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346A5" w14:textId="77777777" w:rsidR="00B10D9F" w:rsidRDefault="00B10D9F" w:rsidP="00B10D9F">
      <w:pPr>
        <w:pStyle w:val="Heading1"/>
        <w:spacing w:before="0" w:line="240" w:lineRule="auto"/>
        <w:jc w:val="right"/>
        <w:rPr>
          <w:rFonts w:ascii="Arial" w:hAnsi="Arial" w:cs="Arial"/>
          <w:b/>
          <w:bCs/>
          <w:color w:val="auto"/>
          <w:sz w:val="22"/>
          <w:szCs w:val="22"/>
          <w:lang w:val="es-ES"/>
        </w:rPr>
      </w:pPr>
      <w:bookmarkStart w:id="0" w:name="_Toc70948667"/>
    </w:p>
    <w:p w14:paraId="696AFD81" w14:textId="67D66F28" w:rsidR="00190C38" w:rsidRDefault="000C2BAB" w:rsidP="00B10D9F">
      <w:pPr>
        <w:pStyle w:val="Heading1"/>
        <w:spacing w:before="0" w:line="240" w:lineRule="auto"/>
        <w:jc w:val="right"/>
        <w:rPr>
          <w:rFonts w:ascii="Arial" w:hAnsi="Arial" w:cs="Arial"/>
          <w:b/>
          <w:bCs/>
          <w:color w:val="auto"/>
          <w:sz w:val="22"/>
          <w:szCs w:val="22"/>
          <w:lang w:val="es-ES"/>
        </w:rPr>
      </w:pPr>
      <w:r>
        <w:rPr>
          <w:rFonts w:ascii="Arial" w:hAnsi="Arial" w:cs="Arial"/>
          <w:b/>
          <w:bCs/>
          <w:color w:val="auto"/>
          <w:sz w:val="22"/>
          <w:szCs w:val="22"/>
          <w:lang w:val="es-ES"/>
        </w:rPr>
        <w:t>ANEXO 3</w:t>
      </w:r>
    </w:p>
    <w:p w14:paraId="22464DAB" w14:textId="77777777" w:rsidR="00B10D9F" w:rsidRPr="00B10D9F" w:rsidRDefault="00B10D9F" w:rsidP="00B10D9F">
      <w:pPr>
        <w:spacing w:after="0" w:line="240" w:lineRule="auto"/>
        <w:rPr>
          <w:lang w:val="es-ES" w:eastAsia="en-GB"/>
        </w:rPr>
      </w:pPr>
    </w:p>
    <w:p w14:paraId="20D0B023" w14:textId="77777777" w:rsidR="00B10D9F" w:rsidRDefault="00B10D9F" w:rsidP="00B10D9F">
      <w:pPr>
        <w:pStyle w:val="Heading1"/>
        <w:spacing w:before="0" w:line="240" w:lineRule="auto"/>
        <w:jc w:val="center"/>
        <w:rPr>
          <w:rFonts w:ascii="Arial" w:hAnsi="Arial" w:cs="Arial"/>
          <w:b/>
          <w:bCs/>
          <w:color w:val="auto"/>
          <w:sz w:val="22"/>
          <w:szCs w:val="22"/>
          <w:lang w:val="es-ES"/>
        </w:rPr>
      </w:pPr>
    </w:p>
    <w:p w14:paraId="57D2E870" w14:textId="77777777" w:rsidR="00313A1B" w:rsidRDefault="00313A1B" w:rsidP="00B10D9F">
      <w:pPr>
        <w:pStyle w:val="Heading1"/>
        <w:spacing w:before="0" w:line="240" w:lineRule="auto"/>
        <w:jc w:val="center"/>
        <w:rPr>
          <w:rFonts w:ascii="Arial" w:hAnsi="Arial" w:cs="Arial"/>
          <w:b/>
          <w:bCs/>
          <w:color w:val="auto"/>
          <w:sz w:val="22"/>
          <w:szCs w:val="22"/>
          <w:lang w:val="es-ES"/>
        </w:rPr>
      </w:pPr>
      <w:r w:rsidRPr="00313A1B">
        <w:rPr>
          <w:rFonts w:ascii="Arial" w:hAnsi="Arial" w:cs="Arial"/>
          <w:b/>
          <w:bCs/>
          <w:color w:val="auto"/>
          <w:sz w:val="22"/>
          <w:szCs w:val="22"/>
          <w:lang w:val="es-ES"/>
        </w:rPr>
        <w:t>PROPUESTA DE METODOLOGÍA P</w:t>
      </w:r>
      <w:r>
        <w:rPr>
          <w:rFonts w:ascii="Arial" w:hAnsi="Arial" w:cs="Arial"/>
          <w:b/>
          <w:bCs/>
          <w:color w:val="auto"/>
          <w:sz w:val="22"/>
          <w:szCs w:val="22"/>
          <w:lang w:val="es-ES"/>
        </w:rPr>
        <w:t>A</w:t>
      </w:r>
      <w:r w:rsidRPr="00313A1B">
        <w:rPr>
          <w:rFonts w:ascii="Arial" w:hAnsi="Arial" w:cs="Arial"/>
          <w:b/>
          <w:bCs/>
          <w:color w:val="auto"/>
          <w:sz w:val="22"/>
          <w:szCs w:val="22"/>
          <w:lang w:val="es-ES"/>
        </w:rPr>
        <w:t xml:space="preserve">RA UNA EVALUACIÓN DE </w:t>
      </w:r>
    </w:p>
    <w:p w14:paraId="7B398B33" w14:textId="718A0AF2" w:rsidR="00190C38" w:rsidRDefault="00313A1B" w:rsidP="00B10D9F">
      <w:pPr>
        <w:pStyle w:val="Heading1"/>
        <w:spacing w:before="0" w:line="240" w:lineRule="auto"/>
        <w:jc w:val="center"/>
        <w:rPr>
          <w:rFonts w:ascii="Arial" w:hAnsi="Arial" w:cs="Arial"/>
          <w:b/>
          <w:bCs/>
          <w:color w:val="auto"/>
          <w:sz w:val="22"/>
          <w:szCs w:val="22"/>
          <w:lang w:val="es-ES"/>
        </w:rPr>
      </w:pPr>
      <w:r w:rsidRPr="00313A1B">
        <w:rPr>
          <w:rFonts w:ascii="Arial" w:hAnsi="Arial" w:cs="Arial"/>
          <w:b/>
          <w:bCs/>
          <w:color w:val="auto"/>
          <w:sz w:val="22"/>
          <w:szCs w:val="22"/>
          <w:lang w:val="es-ES"/>
        </w:rPr>
        <w:t>LOS TAXONES DEL APÉNDICE I DE LA CMS</w:t>
      </w:r>
    </w:p>
    <w:p w14:paraId="6CE02A92" w14:textId="6ECE01F8" w:rsidR="00B10D9F" w:rsidRDefault="00B10D9F" w:rsidP="00B10D9F">
      <w:pPr>
        <w:spacing w:after="0" w:line="240" w:lineRule="auto"/>
        <w:rPr>
          <w:lang w:val="es-ES" w:eastAsia="en-GB"/>
        </w:rPr>
      </w:pPr>
    </w:p>
    <w:p w14:paraId="702E8CB0" w14:textId="77777777" w:rsidR="00B10D9F" w:rsidRPr="00B10D9F" w:rsidRDefault="00B10D9F" w:rsidP="00B10D9F">
      <w:pPr>
        <w:spacing w:after="0" w:line="240" w:lineRule="auto"/>
        <w:rPr>
          <w:lang w:val="es-ES" w:eastAsia="en-GB"/>
        </w:rPr>
      </w:pPr>
    </w:p>
    <w:p w14:paraId="3DE946BD" w14:textId="488C27BD" w:rsidR="00CF7917" w:rsidRDefault="00CF7917" w:rsidP="00190C38">
      <w:pPr>
        <w:pStyle w:val="Heading2"/>
        <w:spacing w:before="0" w:line="240" w:lineRule="auto"/>
        <w:ind w:left="284" w:hanging="284"/>
        <w:jc w:val="both"/>
        <w:rPr>
          <w:rFonts w:ascii="Arial" w:eastAsia="Calibri" w:hAnsi="Arial" w:cs="Arial"/>
          <w:color w:val="auto"/>
          <w:sz w:val="22"/>
          <w:szCs w:val="22"/>
          <w:u w:val="single"/>
          <w:lang w:val="es-ES"/>
        </w:rPr>
      </w:pPr>
      <w:bookmarkStart w:id="1" w:name="_Toc482795148"/>
      <w:bookmarkStart w:id="2" w:name="_Toc39825386"/>
      <w:bookmarkStart w:id="3" w:name="_Toc70948668"/>
      <w:bookmarkEnd w:id="0"/>
      <w:r w:rsidRPr="00190C38">
        <w:rPr>
          <w:rFonts w:ascii="Arial" w:eastAsia="Calibri" w:hAnsi="Arial" w:cs="Arial"/>
          <w:color w:val="auto"/>
          <w:sz w:val="22"/>
          <w:szCs w:val="22"/>
          <w:u w:val="single"/>
          <w:lang w:val="es-ES"/>
        </w:rPr>
        <w:t>Introducción y alcance</w:t>
      </w:r>
      <w:bookmarkEnd w:id="1"/>
      <w:bookmarkEnd w:id="2"/>
      <w:bookmarkEnd w:id="3"/>
    </w:p>
    <w:p w14:paraId="43DD4A63" w14:textId="77777777" w:rsidR="00190C38" w:rsidRPr="00190C38" w:rsidRDefault="00190C38" w:rsidP="00B10D9F">
      <w:pPr>
        <w:spacing w:after="120" w:line="240" w:lineRule="auto"/>
        <w:rPr>
          <w:lang w:val="es-ES" w:eastAsia="en-GB"/>
        </w:rPr>
      </w:pPr>
    </w:p>
    <w:p w14:paraId="394B95DB" w14:textId="4D8ED851" w:rsidR="00CF7917" w:rsidRDefault="00CF7917" w:rsidP="00190C38">
      <w:pPr>
        <w:spacing w:after="0" w:line="240" w:lineRule="auto"/>
        <w:jc w:val="both"/>
        <w:rPr>
          <w:rFonts w:ascii="Arial" w:hAnsi="Arial" w:cs="Arial"/>
          <w:lang w:val="es-ES"/>
        </w:rPr>
      </w:pPr>
      <w:r w:rsidRPr="00190C38">
        <w:rPr>
          <w:rFonts w:ascii="Arial" w:hAnsi="Arial" w:cs="Arial"/>
          <w:lang w:val="es-ES"/>
        </w:rPr>
        <w:t xml:space="preserve">En </w:t>
      </w:r>
      <w:r w:rsidR="00233D22" w:rsidRPr="00190C38">
        <w:rPr>
          <w:rFonts w:ascii="Arial" w:hAnsi="Arial" w:cs="Arial"/>
          <w:lang w:val="es-ES"/>
        </w:rPr>
        <w:t>la</w:t>
      </w:r>
      <w:r w:rsidRPr="00190C38">
        <w:rPr>
          <w:rFonts w:ascii="Arial" w:hAnsi="Arial" w:cs="Arial"/>
          <w:lang w:val="es-ES"/>
        </w:rPr>
        <w:t xml:space="preserve"> 13</w:t>
      </w:r>
      <w:r w:rsidRPr="00190C38">
        <w:rPr>
          <w:rFonts w:ascii="Arial" w:hAnsi="Arial" w:cs="Arial"/>
          <w:vertAlign w:val="superscript"/>
          <w:lang w:val="es-ES"/>
        </w:rPr>
        <w:t>ª</w:t>
      </w:r>
      <w:r w:rsidRPr="00190C38">
        <w:rPr>
          <w:rFonts w:ascii="Arial" w:hAnsi="Arial" w:cs="Arial"/>
          <w:lang w:val="es-ES"/>
        </w:rPr>
        <w:t xml:space="preserve"> </w:t>
      </w:r>
      <w:r w:rsidR="00233D22" w:rsidRPr="00190C38">
        <w:rPr>
          <w:rFonts w:ascii="Arial" w:hAnsi="Arial" w:cs="Arial"/>
          <w:lang w:val="es-ES"/>
        </w:rPr>
        <w:t xml:space="preserve">Reunión de la </w:t>
      </w:r>
      <w:r w:rsidRPr="00190C38">
        <w:rPr>
          <w:rFonts w:ascii="Arial" w:hAnsi="Arial" w:cs="Arial"/>
          <w:lang w:val="es-ES"/>
        </w:rPr>
        <w:t>Conferencia de las Partes de la CMS (COP13; Gandhinagar, 2020), las Partes de la CMS destacaron la necesidad de mejorar la información en relación con los taxones del Apéndice I y adoptaron varias Decisiones para mejorar los datos científicos que sustentan las decisiones que afectan a estas especies. Las decisiones destacaron la necesidad de mejorar la comprensión de las amenazas que suponen para los taxones del Apéndice I el uso directo y el comercio (</w:t>
      </w:r>
      <w:hyperlink r:id="rId7" w:history="1">
        <w:r w:rsidRPr="00190C38">
          <w:rPr>
            <w:rStyle w:val="Hyperlink"/>
            <w:rFonts w:ascii="Arial" w:hAnsi="Arial" w:cs="Arial"/>
            <w:lang w:val="es-ES"/>
          </w:rPr>
          <w:t>Decisiones 13.16-13.18</w:t>
        </w:r>
      </w:hyperlink>
      <w:r w:rsidRPr="00190C38">
        <w:rPr>
          <w:rFonts w:ascii="Arial" w:hAnsi="Arial" w:cs="Arial"/>
          <w:lang w:val="es-ES"/>
        </w:rPr>
        <w:t xml:space="preserve">, </w:t>
      </w:r>
      <w:hyperlink r:id="rId8" w:history="1">
        <w:r w:rsidRPr="00190C38">
          <w:rPr>
            <w:rStyle w:val="Hyperlink"/>
            <w:rFonts w:ascii="Arial" w:hAnsi="Arial" w:cs="Arial"/>
            <w:lang w:val="es-ES"/>
          </w:rPr>
          <w:t>13.24 c)</w:t>
        </w:r>
      </w:hyperlink>
      <w:r w:rsidRPr="00190C38">
        <w:rPr>
          <w:rFonts w:ascii="Arial" w:hAnsi="Arial" w:cs="Arial"/>
          <w:lang w:val="es-ES"/>
        </w:rPr>
        <w:t xml:space="preserve"> así como una revisión del estado de conservación de los taxones incluidos en la CMS, incluidos los aspectos relacionados con la elegibilidad para la inclusión de algunas especies del Apéndice I (</w:t>
      </w:r>
      <w:hyperlink r:id="rId9" w:history="1">
        <w:r w:rsidRPr="00190C38">
          <w:rPr>
            <w:rStyle w:val="Hyperlink"/>
            <w:rFonts w:ascii="Arial" w:hAnsi="Arial" w:cs="Arial"/>
            <w:lang w:val="es-ES"/>
          </w:rPr>
          <w:t>Decisión 13.24 b</w:t>
        </w:r>
      </w:hyperlink>
      <w:r w:rsidRPr="00190C38">
        <w:rPr>
          <w:rFonts w:ascii="Arial" w:hAnsi="Arial" w:cs="Arial"/>
          <w:lang w:val="es-ES"/>
        </w:rPr>
        <w:t>).</w:t>
      </w:r>
    </w:p>
    <w:p w14:paraId="6E955D81" w14:textId="77777777" w:rsidR="00190C38" w:rsidRPr="00190C38" w:rsidRDefault="00190C38" w:rsidP="00190C38">
      <w:pPr>
        <w:spacing w:after="0" w:line="240" w:lineRule="auto"/>
        <w:jc w:val="both"/>
        <w:rPr>
          <w:rFonts w:ascii="Arial" w:hAnsi="Arial" w:cs="Arial"/>
          <w:lang w:val="es-ES"/>
        </w:rPr>
      </w:pPr>
    </w:p>
    <w:p w14:paraId="3E4A04B3" w14:textId="77777777" w:rsidR="00190C38" w:rsidRDefault="00CF7917" w:rsidP="00190C38">
      <w:pPr>
        <w:spacing w:after="0" w:line="240" w:lineRule="auto"/>
        <w:jc w:val="both"/>
        <w:rPr>
          <w:rFonts w:ascii="Arial" w:hAnsi="Arial" w:cs="Arial"/>
          <w:lang w:val="es-ES"/>
        </w:rPr>
      </w:pPr>
      <w:r w:rsidRPr="00190C38">
        <w:rPr>
          <w:rFonts w:ascii="Arial" w:hAnsi="Arial" w:cs="Arial"/>
          <w:lang w:val="es-ES"/>
        </w:rPr>
        <w:t>Para avanzar en el cumplimiento de estas decisiones, la Secretaría de la CMS solicitó al Centro Mundial de Vigilancia de la Conservación del Programa de las Naciones Unidas para el Medio Ambiente (PNUMA-CMVC) que proporcionara una propuesta de metodología para una</w:t>
      </w:r>
      <w:r w:rsidRPr="00190C38">
        <w:rPr>
          <w:rFonts w:ascii="Arial" w:hAnsi="Arial" w:cs="Arial"/>
          <w:b/>
          <w:bCs/>
          <w:lang w:val="es-ES"/>
        </w:rPr>
        <w:t xml:space="preserve"> evaluación </w:t>
      </w:r>
      <w:r w:rsidRPr="00190C38">
        <w:rPr>
          <w:rFonts w:ascii="Arial" w:hAnsi="Arial" w:cs="Arial"/>
          <w:lang w:val="es-ES"/>
        </w:rPr>
        <w:t>que pudiera mejorar la base de la toma de decisiones para los taxones del Apéndice I.</w:t>
      </w:r>
    </w:p>
    <w:p w14:paraId="23C0BA31" w14:textId="73311D9D" w:rsidR="00CF7917" w:rsidRPr="00190C38" w:rsidRDefault="00CF7917" w:rsidP="00190C38">
      <w:pPr>
        <w:spacing w:after="0" w:line="240" w:lineRule="auto"/>
        <w:jc w:val="both"/>
        <w:rPr>
          <w:rFonts w:ascii="Arial" w:hAnsi="Arial" w:cs="Arial"/>
          <w:lang w:val="es-ES"/>
        </w:rPr>
      </w:pPr>
      <w:r w:rsidRPr="00190C38">
        <w:rPr>
          <w:rFonts w:ascii="Arial" w:hAnsi="Arial" w:cs="Arial"/>
          <w:lang w:val="es-ES"/>
        </w:rPr>
        <w:tab/>
      </w:r>
    </w:p>
    <w:p w14:paraId="33B3B627" w14:textId="77777777" w:rsidR="00CF7917" w:rsidRPr="00190C38" w:rsidRDefault="00CF7917" w:rsidP="00190C38">
      <w:pPr>
        <w:spacing w:after="120" w:line="240" w:lineRule="auto"/>
        <w:jc w:val="both"/>
        <w:rPr>
          <w:rFonts w:ascii="Arial" w:hAnsi="Arial" w:cs="Arial"/>
          <w:lang w:val="es-ES"/>
        </w:rPr>
      </w:pPr>
      <w:r w:rsidRPr="00190C38">
        <w:rPr>
          <w:rFonts w:ascii="Arial" w:hAnsi="Arial" w:cs="Arial"/>
          <w:lang w:val="es-ES"/>
        </w:rPr>
        <w:t xml:space="preserve">En concreto, el objetivo de la evaluación rápida es </w:t>
      </w:r>
      <w:r w:rsidRPr="00190C38">
        <w:rPr>
          <w:rFonts w:ascii="Arial" w:hAnsi="Arial" w:cs="Arial"/>
          <w:b/>
          <w:u w:val="single"/>
          <w:lang w:val="es-ES"/>
        </w:rPr>
        <w:t>doble</w:t>
      </w:r>
      <w:r w:rsidRPr="00190C38">
        <w:rPr>
          <w:rFonts w:ascii="Arial" w:hAnsi="Arial" w:cs="Arial"/>
          <w:lang w:val="es-ES"/>
        </w:rPr>
        <w:t xml:space="preserve">, ya que busca evaluar los taxones del Apéndice I para proporcionar más información sobre los siguientes puntos: </w:t>
      </w:r>
    </w:p>
    <w:p w14:paraId="105FD388" w14:textId="3D13BCF1" w:rsidR="00CF7917" w:rsidRPr="00190C38" w:rsidRDefault="00CF7917" w:rsidP="00190C38">
      <w:pPr>
        <w:pStyle w:val="ListParagraph"/>
        <w:numPr>
          <w:ilvl w:val="0"/>
          <w:numId w:val="34"/>
        </w:numPr>
        <w:spacing w:after="80" w:line="240" w:lineRule="auto"/>
        <w:contextualSpacing w:val="0"/>
        <w:jc w:val="both"/>
        <w:rPr>
          <w:rFonts w:ascii="Arial" w:hAnsi="Arial" w:cs="Arial"/>
          <w:lang w:val="es-ES"/>
        </w:rPr>
      </w:pPr>
      <w:r w:rsidRPr="00190C38">
        <w:rPr>
          <w:rFonts w:ascii="Arial" w:hAnsi="Arial" w:cs="Arial"/>
          <w:lang w:val="es-ES"/>
        </w:rPr>
        <w:t xml:space="preserve">El impacto del </w:t>
      </w:r>
      <w:r w:rsidRPr="00190C38">
        <w:rPr>
          <w:rFonts w:ascii="Arial" w:hAnsi="Arial" w:cs="Arial"/>
          <w:b/>
          <w:bCs/>
          <w:lang w:val="es-ES"/>
        </w:rPr>
        <w:t xml:space="preserve">uso directo y el </w:t>
      </w:r>
      <w:r w:rsidRPr="00190C38">
        <w:rPr>
          <w:rStyle w:val="highlight"/>
          <w:rFonts w:ascii="Arial" w:hAnsi="Arial" w:cs="Arial"/>
          <w:b/>
          <w:bCs/>
          <w:lang w:val="es-ES"/>
        </w:rPr>
        <w:t>comercio</w:t>
      </w:r>
      <w:r w:rsidRPr="00190C38">
        <w:rPr>
          <w:rFonts w:ascii="Arial" w:hAnsi="Arial" w:cs="Arial"/>
          <w:lang w:val="es-ES"/>
        </w:rPr>
        <w:t xml:space="preserve"> en el estado de conservación de los taxones incluidos en el Apéndice I (en respuesta a la </w:t>
      </w:r>
      <w:hyperlink r:id="rId10" w:history="1">
        <w:r w:rsidRPr="00190C38">
          <w:rPr>
            <w:rStyle w:val="Hyperlink"/>
            <w:rFonts w:ascii="Arial" w:hAnsi="Arial" w:cs="Arial"/>
            <w:lang w:val="es-ES"/>
          </w:rPr>
          <w:t>Decisión 13.17</w:t>
        </w:r>
      </w:hyperlink>
      <w:r w:rsidRPr="00190C38">
        <w:rPr>
          <w:rFonts w:ascii="Arial" w:hAnsi="Arial" w:cs="Arial"/>
          <w:lang w:val="es-ES"/>
        </w:rPr>
        <w:t xml:space="preserve"> y la </w:t>
      </w:r>
      <w:hyperlink r:id="rId11" w:history="1">
        <w:r w:rsidRPr="000C2BAB">
          <w:rPr>
            <w:rStyle w:val="Hyperlink"/>
            <w:rFonts w:ascii="Arial" w:hAnsi="Arial" w:cs="Arial"/>
            <w:lang w:val="es-ES"/>
          </w:rPr>
          <w:t>Decisión 13.24 c)</w:t>
        </w:r>
      </w:hyperlink>
      <w:r w:rsidRPr="00190C38">
        <w:rPr>
          <w:rFonts w:ascii="Arial" w:hAnsi="Arial" w:cs="Arial"/>
          <w:lang w:val="es-ES"/>
        </w:rPr>
        <w:t>.</w:t>
      </w:r>
    </w:p>
    <w:p w14:paraId="4742C852" w14:textId="5DA1135F" w:rsidR="00CF7917" w:rsidRDefault="00233D22" w:rsidP="00190C38">
      <w:pPr>
        <w:pStyle w:val="ListParagraph"/>
        <w:numPr>
          <w:ilvl w:val="0"/>
          <w:numId w:val="34"/>
        </w:numPr>
        <w:spacing w:after="0" w:line="240" w:lineRule="auto"/>
        <w:jc w:val="both"/>
        <w:rPr>
          <w:rFonts w:ascii="Arial" w:hAnsi="Arial" w:cs="Arial"/>
          <w:lang w:val="es-ES"/>
        </w:rPr>
      </w:pPr>
      <w:r w:rsidRPr="00190C38">
        <w:rPr>
          <w:rFonts w:ascii="Arial" w:hAnsi="Arial" w:cs="Arial"/>
          <w:lang w:val="es-ES"/>
        </w:rPr>
        <w:t xml:space="preserve">la situación de los taxones incluidos en el Apéndice I en relación con los criterios de inclusión definidos en la Resolución 13.17 de la CMS (Decisión 13.24 b) </w:t>
      </w:r>
      <w:r w:rsidR="00CF7917" w:rsidRPr="00190C38">
        <w:rPr>
          <w:rFonts w:ascii="Arial" w:hAnsi="Arial" w:cs="Arial"/>
          <w:lang w:val="es-ES"/>
        </w:rPr>
        <w:t>(</w:t>
      </w:r>
      <w:hyperlink r:id="rId12" w:history="1">
        <w:r w:rsidR="00CF7917" w:rsidRPr="000C2BAB">
          <w:rPr>
            <w:rStyle w:val="Hyperlink"/>
            <w:rFonts w:ascii="Arial" w:hAnsi="Arial" w:cs="Arial"/>
            <w:lang w:val="es-ES"/>
          </w:rPr>
          <w:t>Decisión 13.24 b</w:t>
        </w:r>
      </w:hyperlink>
      <w:r w:rsidR="00CF7917" w:rsidRPr="00190C38">
        <w:rPr>
          <w:rFonts w:ascii="Arial" w:hAnsi="Arial" w:cs="Arial"/>
          <w:lang w:val="es-ES"/>
        </w:rPr>
        <w:t>).</w:t>
      </w:r>
    </w:p>
    <w:p w14:paraId="049E1C64" w14:textId="77777777" w:rsidR="00190C38" w:rsidRPr="00190C38" w:rsidRDefault="00190C38" w:rsidP="00190C38">
      <w:pPr>
        <w:pStyle w:val="ListParagraph"/>
        <w:spacing w:after="0" w:line="240" w:lineRule="auto"/>
        <w:jc w:val="both"/>
        <w:rPr>
          <w:rFonts w:ascii="Arial" w:hAnsi="Arial" w:cs="Arial"/>
          <w:lang w:val="es-ES"/>
        </w:rPr>
      </w:pPr>
    </w:p>
    <w:p w14:paraId="680BC94E" w14:textId="40B3D150" w:rsidR="00CF7917" w:rsidRDefault="00CF7917" w:rsidP="00190C38">
      <w:pPr>
        <w:spacing w:after="0" w:line="240" w:lineRule="auto"/>
        <w:jc w:val="both"/>
        <w:rPr>
          <w:rFonts w:ascii="Arial" w:hAnsi="Arial" w:cs="Arial"/>
          <w:lang w:val="es-ES"/>
        </w:rPr>
      </w:pPr>
      <w:r w:rsidRPr="00190C38">
        <w:rPr>
          <w:rFonts w:ascii="Arial" w:hAnsi="Arial" w:cs="Arial"/>
          <w:lang w:val="es-ES"/>
        </w:rPr>
        <w:t xml:space="preserve">La metodología de evaluación rápida propuesta evaluará conjuntamente los criterios de uso directo y comercio y la </w:t>
      </w:r>
      <w:r w:rsidR="00233D22" w:rsidRPr="00190C38">
        <w:rPr>
          <w:rFonts w:ascii="Arial" w:hAnsi="Arial" w:cs="Arial"/>
          <w:lang w:val="es-ES"/>
        </w:rPr>
        <w:t>inclusión en el</w:t>
      </w:r>
      <w:r w:rsidRPr="00190C38">
        <w:rPr>
          <w:rFonts w:ascii="Arial" w:hAnsi="Arial" w:cs="Arial"/>
          <w:lang w:val="es-ES"/>
        </w:rPr>
        <w:t xml:space="preserve"> Apéndice I, pero propone distintas combinaciones de criterios para tener en cuenta los diferentes enfoques necesarios. Para la evaluación del</w:t>
      </w:r>
      <w:r w:rsidRPr="00190C38">
        <w:rPr>
          <w:rFonts w:ascii="Arial" w:hAnsi="Arial" w:cs="Arial"/>
          <w:b/>
          <w:bCs/>
          <w:lang w:val="es-ES"/>
        </w:rPr>
        <w:t xml:space="preserve"> uso directo y el comercio</w:t>
      </w:r>
      <w:r w:rsidRPr="00190C38">
        <w:rPr>
          <w:rFonts w:ascii="Arial" w:hAnsi="Arial" w:cs="Arial"/>
          <w:lang w:val="es-ES"/>
        </w:rPr>
        <w:t xml:space="preserve">, se supuso que los taxones del Apéndice I debían recibir la máxima prioridad si se enfrentaban al riesgo de extinción, estaban amenazados (o eran biológicamente vulnerables) por el uso o el comercio y no estaban sujetos a los esfuerzos de gestión existentes. Los taxones considerados prioritarios en relación con la </w:t>
      </w:r>
      <w:r w:rsidRPr="00190C38">
        <w:rPr>
          <w:rFonts w:ascii="Arial" w:hAnsi="Arial" w:cs="Arial"/>
          <w:b/>
          <w:bCs/>
          <w:lang w:val="es-ES"/>
        </w:rPr>
        <w:t>elegibilidad para la inclusión en el Apéndice I</w:t>
      </w:r>
      <w:r w:rsidRPr="00190C38">
        <w:rPr>
          <w:rFonts w:ascii="Arial" w:hAnsi="Arial" w:cs="Arial"/>
          <w:lang w:val="es-ES"/>
        </w:rPr>
        <w:t xml:space="preserve"> fueron aquellos con un estado de conservación favorable y pruebas limitadas de su estado migratorio.</w:t>
      </w:r>
    </w:p>
    <w:p w14:paraId="4D71D19D" w14:textId="77777777" w:rsidR="00190C38" w:rsidRPr="00190C38" w:rsidRDefault="00190C38" w:rsidP="00190C38">
      <w:pPr>
        <w:spacing w:after="0" w:line="240" w:lineRule="auto"/>
        <w:jc w:val="both"/>
        <w:rPr>
          <w:rFonts w:ascii="Arial" w:hAnsi="Arial" w:cs="Arial"/>
          <w:lang w:val="es-ES"/>
        </w:rPr>
      </w:pPr>
    </w:p>
    <w:p w14:paraId="2736952C" w14:textId="7AE3EF7C" w:rsidR="00CF7917" w:rsidRDefault="00CF7917" w:rsidP="00190C38">
      <w:pPr>
        <w:spacing w:after="0" w:line="240" w:lineRule="auto"/>
        <w:jc w:val="both"/>
        <w:rPr>
          <w:rFonts w:ascii="Arial" w:hAnsi="Arial" w:cs="Arial"/>
          <w:lang w:val="es-ES"/>
        </w:rPr>
      </w:pPr>
      <w:r w:rsidRPr="00190C38">
        <w:rPr>
          <w:rFonts w:ascii="Arial" w:hAnsi="Arial" w:cs="Arial"/>
          <w:lang w:val="es-ES"/>
        </w:rPr>
        <w:t xml:space="preserve">El presente documento, elaborado por el PNUMA-CMVC en colaboración con la UICN, expone el enfoque propuesto para evaluar estos dos aspectos diferentes de interés para las Partes de la CMS. El trabajo realizado por el PNUMA-CMVC y la UICN en el contexto de la CITES para desarrollar una Evaluación rápida de los taxones del Apéndice I de la CITES (véanse CITES </w:t>
      </w:r>
      <w:hyperlink r:id="rId13" w:history="1">
        <w:r w:rsidRPr="00190C38">
          <w:rPr>
            <w:rStyle w:val="Hyperlink"/>
            <w:rFonts w:ascii="Arial" w:hAnsi="Arial" w:cs="Arial"/>
            <w:lang w:val="es-ES"/>
          </w:rPr>
          <w:t>AC31 Doc.9</w:t>
        </w:r>
      </w:hyperlink>
      <w:r w:rsidRPr="00190C38">
        <w:rPr>
          <w:rFonts w:ascii="Arial" w:hAnsi="Arial" w:cs="Arial"/>
          <w:lang w:val="es-ES"/>
        </w:rPr>
        <w:t xml:space="preserve"> y </w:t>
      </w:r>
      <w:hyperlink r:id="rId14" w:history="1">
        <w:r w:rsidRPr="00190C38">
          <w:rPr>
            <w:rStyle w:val="Hyperlink"/>
            <w:rFonts w:ascii="Arial" w:hAnsi="Arial" w:cs="Arial"/>
            <w:lang w:val="es-ES"/>
          </w:rPr>
          <w:t xml:space="preserve">AC31 </w:t>
        </w:r>
        <w:proofErr w:type="spellStart"/>
        <w:r w:rsidRPr="00190C38">
          <w:rPr>
            <w:rStyle w:val="Hyperlink"/>
            <w:rFonts w:ascii="Arial" w:hAnsi="Arial" w:cs="Arial"/>
            <w:lang w:val="es-ES"/>
          </w:rPr>
          <w:t>Inf</w:t>
        </w:r>
        <w:proofErr w:type="spellEnd"/>
        <w:r w:rsidRPr="00190C38">
          <w:rPr>
            <w:rStyle w:val="Hyperlink"/>
            <w:rFonts w:ascii="Arial" w:hAnsi="Arial" w:cs="Arial"/>
            <w:lang w:val="es-ES"/>
          </w:rPr>
          <w:t>. 6</w:t>
        </w:r>
      </w:hyperlink>
      <w:r w:rsidRPr="00190C38">
        <w:rPr>
          <w:rFonts w:ascii="Arial" w:hAnsi="Arial" w:cs="Arial"/>
          <w:lang w:val="es-ES"/>
        </w:rPr>
        <w:t>) proporciona un modelo para este enfoque propuesto, aunque los conjuntos de datos y los metadatos proporcionados para la Evaluación rápida de la CMS se han adaptado a los requisitos específicos de los taxones de la CMS y al propósito.</w:t>
      </w:r>
    </w:p>
    <w:p w14:paraId="22779A3D" w14:textId="77777777" w:rsidR="00190C38" w:rsidRPr="00190C38" w:rsidRDefault="00190C38" w:rsidP="00190C38">
      <w:pPr>
        <w:spacing w:after="0" w:line="240" w:lineRule="auto"/>
        <w:jc w:val="both"/>
        <w:rPr>
          <w:rFonts w:ascii="Arial" w:hAnsi="Arial" w:cs="Arial"/>
          <w:lang w:val="es-ES"/>
        </w:rPr>
      </w:pPr>
    </w:p>
    <w:p w14:paraId="756123D0" w14:textId="77777777" w:rsidR="00190C38" w:rsidRDefault="00CF7917" w:rsidP="00190C38">
      <w:pPr>
        <w:spacing w:after="0" w:line="240" w:lineRule="auto"/>
        <w:jc w:val="both"/>
        <w:rPr>
          <w:rFonts w:ascii="Arial" w:hAnsi="Arial" w:cs="Arial"/>
          <w:lang w:val="es-ES"/>
        </w:rPr>
      </w:pPr>
      <w:r w:rsidRPr="00190C38">
        <w:rPr>
          <w:rFonts w:ascii="Arial" w:hAnsi="Arial" w:cs="Arial"/>
          <w:lang w:val="es-ES"/>
        </w:rPr>
        <w:t xml:space="preserve">Una vez que se haya incorporado a la metodología la información recibida del Consejo Científico de la CMS y de expertos en taxonomía y datos, y tras la aprobación del enfoque propuesto por el Consejo Científico de la CMS, se recopilarán en forma de evaluación rápida los datos disponibles a nivel de especie/subespecie sobre el estado de conservación y migratorio y el uso directo y el comercio de las 171 especies y nueve subespecies incluidas en el Apéndice I de la CMS. Está previsto que los resultados de la evaluación rápida, incluida la información de los taxones y su </w:t>
      </w:r>
      <w:r w:rsidRPr="00190C38">
        <w:rPr>
          <w:rFonts w:ascii="Arial" w:hAnsi="Arial" w:cs="Arial"/>
          <w:lang w:val="es-ES"/>
        </w:rPr>
        <w:lastRenderedPageBreak/>
        <w:t>correspondiente «puntuación» en orden de clasificación, estén disponibles en forma de un archivo Excel filtrable que proporcione datos resumidos de todos los taxones del Apéndice I.</w:t>
      </w:r>
    </w:p>
    <w:p w14:paraId="10F34776" w14:textId="4457350B" w:rsidR="00CF7917" w:rsidRPr="00190C38" w:rsidRDefault="00CF7917" w:rsidP="00190C38">
      <w:pPr>
        <w:spacing w:after="0" w:line="240" w:lineRule="auto"/>
        <w:jc w:val="both"/>
        <w:rPr>
          <w:rFonts w:ascii="Arial" w:hAnsi="Arial" w:cs="Arial"/>
          <w:lang w:val="es-ES"/>
        </w:rPr>
      </w:pPr>
    </w:p>
    <w:p w14:paraId="146E4ADB" w14:textId="6A710527" w:rsidR="00233D22" w:rsidRDefault="00233D22" w:rsidP="00190C38">
      <w:pPr>
        <w:spacing w:after="0" w:line="240" w:lineRule="auto"/>
        <w:jc w:val="both"/>
        <w:rPr>
          <w:rFonts w:ascii="Arial" w:hAnsi="Arial" w:cs="Arial"/>
          <w:u w:val="single"/>
          <w:lang w:val="es-ES"/>
        </w:rPr>
      </w:pPr>
      <w:r w:rsidRPr="00190C38">
        <w:rPr>
          <w:rFonts w:ascii="Arial" w:hAnsi="Arial" w:cs="Arial"/>
          <w:u w:val="single"/>
          <w:lang w:val="es-ES"/>
        </w:rPr>
        <w:t>Resultado Propuesto</w:t>
      </w:r>
    </w:p>
    <w:p w14:paraId="0CDF8F9A" w14:textId="77777777" w:rsidR="00190C38" w:rsidRPr="00190C38" w:rsidRDefault="00190C38" w:rsidP="00190C38">
      <w:pPr>
        <w:spacing w:after="0" w:line="240" w:lineRule="auto"/>
        <w:jc w:val="both"/>
        <w:rPr>
          <w:rFonts w:ascii="Arial" w:eastAsia="Calibri" w:hAnsi="Arial" w:cs="Arial"/>
          <w:color w:val="4D6B89"/>
          <w:u w:val="single"/>
          <w:lang w:val="es-ES" w:eastAsia="en-GB"/>
        </w:rPr>
      </w:pPr>
    </w:p>
    <w:p w14:paraId="60093FC6" w14:textId="7794B6AC" w:rsidR="00CF7917" w:rsidRDefault="00233D22" w:rsidP="00190C38">
      <w:pPr>
        <w:spacing w:after="0" w:line="240" w:lineRule="auto"/>
        <w:jc w:val="both"/>
        <w:rPr>
          <w:rFonts w:ascii="Arial" w:hAnsi="Arial" w:cs="Arial"/>
          <w:lang w:val="es-ES"/>
        </w:rPr>
      </w:pPr>
      <w:r w:rsidRPr="00190C38">
        <w:rPr>
          <w:rFonts w:ascii="Arial" w:hAnsi="Arial" w:cs="Arial"/>
          <w:lang w:val="es-ES"/>
        </w:rPr>
        <w:t>El resultado de la evaluación rápida proporcionará un archivo de datos de Excel completo con los datos, metadatos y puntuación correspondientes para cada taxón del Apéndice I de la CMS. Proporcionará una herramienta útil para ayudar a la priorización de los taxones y</w:t>
      </w:r>
      <w:r w:rsidR="00CF7917" w:rsidRPr="00190C38">
        <w:rPr>
          <w:rFonts w:ascii="Arial" w:hAnsi="Arial" w:cs="Arial"/>
          <w:lang w:val="es-ES"/>
        </w:rPr>
        <w:t xml:space="preserve"> pueden filtrarse por diferentes parámetros para abordar distintas cuestiones y prioridades. Se prevé que las especies que requieren más atención en términos de uso directo y comercio (es decir, las más amenazadas por el comercio y el uso) obtendrán una puntuación alta en los métodos propuestos. Por el contrario, los taxones con puntuaciones bajas podrían ser pertinentes en relación con los criterios de elegibilidad para el Apéndice I y, en última instancia, pueden beneficiarse de una evaluación más detallada mediante la preparación de estudios de caso.</w:t>
      </w:r>
    </w:p>
    <w:p w14:paraId="1F30D960" w14:textId="77777777" w:rsidR="00190C38" w:rsidRPr="00190C38" w:rsidRDefault="00190C38" w:rsidP="00190C38">
      <w:pPr>
        <w:spacing w:after="0" w:line="240" w:lineRule="auto"/>
        <w:jc w:val="both"/>
        <w:rPr>
          <w:rFonts w:ascii="Arial" w:hAnsi="Arial" w:cs="Arial"/>
          <w:lang w:val="es-ES"/>
        </w:rPr>
      </w:pPr>
    </w:p>
    <w:p w14:paraId="3BF8E259" w14:textId="587204D6" w:rsidR="000C2BAB" w:rsidRDefault="00635DF6" w:rsidP="000C2BAB">
      <w:pPr>
        <w:spacing w:after="0" w:line="240" w:lineRule="auto"/>
        <w:jc w:val="both"/>
        <w:rPr>
          <w:rFonts w:ascii="Arial" w:hAnsi="Arial" w:cs="Arial"/>
          <w:lang w:val="es-ES"/>
        </w:rPr>
      </w:pPr>
      <w:r w:rsidRPr="00190C38">
        <w:rPr>
          <w:rFonts w:ascii="Arial" w:hAnsi="Arial" w:cs="Arial"/>
          <w:lang w:val="es-ES"/>
        </w:rPr>
        <w:t>Se prevé que los resultados de esta evaluación rápida ayudarán a las Partes de la CMS a identificar una lista corta de taxones prioritarios en los que el uso directo y el comercio parecen ser una amenaza y en los que se podría hacer más para mejorar los resultados de la conservación de los taxones migratorios, así como proporcionar información sobre el estado de conservación de los taxones del Apéndice I en general a través de la compilación de conjuntos de datos pertinentes en el resultado de la evaluación rápida, que puede informar la implementación de la CMS en general, así como el informe sobre el estado de conservación previsto en la</w:t>
      </w:r>
      <w:r w:rsidR="00CF7917" w:rsidRPr="00190C38">
        <w:rPr>
          <w:rFonts w:ascii="Arial" w:hAnsi="Arial" w:cs="Arial"/>
          <w:lang w:val="es-ES"/>
        </w:rPr>
        <w:t xml:space="preserve"> </w:t>
      </w:r>
      <w:hyperlink r:id="rId15" w:history="1">
        <w:r w:rsidR="00CF7917" w:rsidRPr="00190C38">
          <w:rPr>
            <w:rStyle w:val="Hyperlink"/>
            <w:rFonts w:ascii="Arial" w:hAnsi="Arial" w:cs="Arial"/>
            <w:lang w:val="es-ES"/>
          </w:rPr>
          <w:t>Decisión 13.24</w:t>
        </w:r>
      </w:hyperlink>
      <w:r w:rsidR="00CF7917" w:rsidRPr="00190C38">
        <w:rPr>
          <w:rFonts w:ascii="Arial" w:hAnsi="Arial" w:cs="Arial"/>
          <w:lang w:val="es-ES"/>
        </w:rPr>
        <w:t xml:space="preserve">. </w:t>
      </w:r>
      <w:bookmarkStart w:id="4" w:name="_Toc70948669"/>
    </w:p>
    <w:p w14:paraId="4B5204E4" w14:textId="77777777" w:rsidR="00B10D9F" w:rsidRPr="000C2BAB" w:rsidRDefault="00B10D9F" w:rsidP="000C2BAB">
      <w:pPr>
        <w:spacing w:after="0" w:line="240" w:lineRule="auto"/>
        <w:jc w:val="both"/>
        <w:rPr>
          <w:rFonts w:ascii="Arial" w:eastAsia="Calibri" w:hAnsi="Arial" w:cs="Arial"/>
          <w:lang w:val="es-ES"/>
        </w:rPr>
      </w:pPr>
    </w:p>
    <w:p w14:paraId="0CA4F034" w14:textId="5B6D3F42" w:rsidR="00CF7917" w:rsidRDefault="00CF7917" w:rsidP="000C2BAB">
      <w:pPr>
        <w:pStyle w:val="Heading2"/>
        <w:spacing w:before="0" w:line="240" w:lineRule="auto"/>
        <w:jc w:val="both"/>
        <w:rPr>
          <w:rFonts w:ascii="Arial" w:eastAsia="Calibri" w:hAnsi="Arial" w:cs="Arial"/>
          <w:color w:val="auto"/>
          <w:sz w:val="22"/>
          <w:szCs w:val="22"/>
          <w:u w:val="single"/>
          <w:lang w:val="es-ES"/>
        </w:rPr>
      </w:pPr>
      <w:r w:rsidRPr="000C2BAB">
        <w:rPr>
          <w:rFonts w:ascii="Arial" w:eastAsia="Calibri" w:hAnsi="Arial" w:cs="Arial"/>
          <w:color w:val="auto"/>
          <w:sz w:val="22"/>
          <w:szCs w:val="22"/>
          <w:u w:val="single"/>
          <w:lang w:val="es-ES"/>
        </w:rPr>
        <w:t>Metodología</w:t>
      </w:r>
      <w:bookmarkEnd w:id="4"/>
    </w:p>
    <w:p w14:paraId="0920BF3D" w14:textId="77777777" w:rsidR="000C2BAB" w:rsidRPr="000C2BAB" w:rsidRDefault="000C2BAB" w:rsidP="000C2BAB">
      <w:pPr>
        <w:spacing w:after="0" w:line="240" w:lineRule="auto"/>
        <w:rPr>
          <w:lang w:val="es-ES" w:eastAsia="en-GB"/>
        </w:rPr>
      </w:pPr>
    </w:p>
    <w:p w14:paraId="48C1A523" w14:textId="300FF924" w:rsidR="00635DF6" w:rsidRDefault="00635DF6" w:rsidP="000C2BAB">
      <w:pPr>
        <w:spacing w:after="0" w:line="240" w:lineRule="auto"/>
        <w:jc w:val="both"/>
        <w:rPr>
          <w:rFonts w:ascii="Arial" w:hAnsi="Arial" w:cs="Arial"/>
          <w:lang w:val="es-ES"/>
        </w:rPr>
      </w:pPr>
      <w:r w:rsidRPr="00190C38">
        <w:rPr>
          <w:rFonts w:ascii="Arial" w:hAnsi="Arial" w:cs="Arial"/>
          <w:lang w:val="es-ES"/>
        </w:rPr>
        <w:t>Esta sección describe la metodología y los conjuntos de datos propuestos para llevar a cabo la evaluación rápida de las especies del Apéndice I. Tras la consulta, algunos parámetros (por ejemplo, los umbrales de los criterios) pueden refinarse (véase Próximos pasos).</w:t>
      </w:r>
    </w:p>
    <w:p w14:paraId="6FD59592" w14:textId="77777777" w:rsidR="00190C38" w:rsidRPr="00190C38" w:rsidRDefault="00190C38" w:rsidP="00190C38">
      <w:pPr>
        <w:spacing w:after="0" w:line="240" w:lineRule="auto"/>
        <w:jc w:val="both"/>
        <w:rPr>
          <w:rFonts w:ascii="Arial" w:hAnsi="Arial" w:cs="Arial"/>
          <w:lang w:val="es-ES"/>
        </w:rPr>
      </w:pPr>
    </w:p>
    <w:p w14:paraId="3F3BDA75" w14:textId="6FD7E46B" w:rsidR="00CF7917" w:rsidRDefault="00CF7917" w:rsidP="00190C38">
      <w:pPr>
        <w:spacing w:after="0" w:line="240" w:lineRule="auto"/>
        <w:jc w:val="both"/>
        <w:rPr>
          <w:rFonts w:ascii="Arial" w:hAnsi="Arial" w:cs="Arial"/>
          <w:lang w:val="es-ES"/>
        </w:rPr>
      </w:pPr>
      <w:r w:rsidRPr="00190C38">
        <w:rPr>
          <w:rFonts w:ascii="Arial" w:hAnsi="Arial" w:cs="Arial"/>
          <w:lang w:val="es-ES"/>
        </w:rPr>
        <w:t xml:space="preserve">Se utilizará una combinación diferente de criterios para evaluar (a) el uso directo y el comercio y (b) la elegibilidad para el Apéndice I, basándose en la priorización inherente a estas dos cuestiones distintas (véase la Tabla 1). Dentro de cinco categorías generales, se proponen 16 criterios para ayudar a la evaluación de las especies del Apéndice I (Tabla 1). </w:t>
      </w:r>
    </w:p>
    <w:p w14:paraId="4862C9BE" w14:textId="77777777" w:rsidR="00190C38" w:rsidRPr="00190C38" w:rsidRDefault="00190C38" w:rsidP="00190C38">
      <w:pPr>
        <w:spacing w:after="0" w:line="240" w:lineRule="auto"/>
        <w:jc w:val="both"/>
        <w:rPr>
          <w:rFonts w:ascii="Arial" w:hAnsi="Arial" w:cs="Arial"/>
          <w:lang w:val="es-ES"/>
        </w:rPr>
      </w:pPr>
    </w:p>
    <w:p w14:paraId="55E44FDF" w14:textId="77777777" w:rsidR="00190C38" w:rsidRDefault="00CF7917" w:rsidP="00190C38">
      <w:pPr>
        <w:spacing w:after="0" w:line="240" w:lineRule="auto"/>
        <w:jc w:val="both"/>
        <w:rPr>
          <w:rFonts w:ascii="Arial" w:hAnsi="Arial" w:cs="Arial"/>
          <w:lang w:val="es-ES"/>
        </w:rPr>
      </w:pPr>
      <w:r w:rsidRPr="00190C38">
        <w:rPr>
          <w:rFonts w:ascii="Arial" w:hAnsi="Arial" w:cs="Arial"/>
          <w:lang w:val="es-ES"/>
        </w:rPr>
        <w:t>En la Tabla 2 se describen los detalles de los datos y la metodología para cada criterio.</w:t>
      </w:r>
    </w:p>
    <w:p w14:paraId="76389BD5" w14:textId="10E25505" w:rsidR="00CF7917" w:rsidRPr="00190C38" w:rsidRDefault="00CF7917" w:rsidP="00190C38">
      <w:pPr>
        <w:spacing w:after="0" w:line="240" w:lineRule="auto"/>
        <w:jc w:val="both"/>
        <w:rPr>
          <w:rFonts w:ascii="Arial" w:hAnsi="Arial" w:cs="Arial"/>
          <w:lang w:val="es-ES"/>
        </w:rPr>
      </w:pPr>
      <w:r w:rsidRPr="00190C38">
        <w:rPr>
          <w:rFonts w:ascii="Arial" w:hAnsi="Arial" w:cs="Arial"/>
          <w:lang w:val="es-ES"/>
        </w:rPr>
        <w:t xml:space="preserve"> </w:t>
      </w:r>
    </w:p>
    <w:p w14:paraId="43F17935" w14:textId="77777777" w:rsidR="00B10D9F" w:rsidRDefault="00B10D9F">
      <w:pPr>
        <w:rPr>
          <w:rFonts w:ascii="Arial" w:hAnsi="Arial" w:cs="Arial"/>
          <w:b/>
          <w:color w:val="00AEEF"/>
          <w:lang w:val="es-ES"/>
        </w:rPr>
      </w:pPr>
      <w:r>
        <w:rPr>
          <w:rFonts w:ascii="Arial" w:hAnsi="Arial" w:cs="Arial"/>
          <w:b/>
          <w:color w:val="00AEEF"/>
          <w:lang w:val="es-ES"/>
        </w:rPr>
        <w:br w:type="page"/>
      </w:r>
    </w:p>
    <w:p w14:paraId="61735CA5" w14:textId="77777777" w:rsidR="00B10D9F" w:rsidRDefault="00B10D9F" w:rsidP="00190C38">
      <w:pPr>
        <w:spacing w:after="0" w:line="240" w:lineRule="auto"/>
        <w:jc w:val="both"/>
        <w:rPr>
          <w:rFonts w:ascii="Arial" w:hAnsi="Arial" w:cs="Arial"/>
          <w:b/>
          <w:lang w:val="es-ES"/>
        </w:rPr>
      </w:pPr>
    </w:p>
    <w:p w14:paraId="74BF38B5" w14:textId="44829AA4" w:rsidR="00CF7917" w:rsidRDefault="00CF7917" w:rsidP="00190C38">
      <w:pPr>
        <w:spacing w:after="0" w:line="240" w:lineRule="auto"/>
        <w:jc w:val="both"/>
        <w:rPr>
          <w:rFonts w:ascii="Arial" w:eastAsia="Wingdings" w:hAnsi="Arial" w:cs="Arial"/>
          <w:lang w:val="es-ES"/>
        </w:rPr>
      </w:pPr>
      <w:r w:rsidRPr="00B10D9F">
        <w:rPr>
          <w:rFonts w:ascii="Arial" w:hAnsi="Arial" w:cs="Arial"/>
          <w:b/>
          <w:lang w:val="es-ES"/>
        </w:rPr>
        <w:t xml:space="preserve">Tabla 1: </w:t>
      </w:r>
      <w:r w:rsidRPr="00190C38">
        <w:rPr>
          <w:rFonts w:ascii="Arial" w:hAnsi="Arial" w:cs="Arial"/>
          <w:lang w:val="es-ES"/>
        </w:rPr>
        <w:t>criterios propuestos a partir de los conjuntos de datos disponibles en cada una de las cinco categorías. Los criterios con «</w:t>
      </w:r>
      <w:r w:rsidRPr="00190C38">
        <w:rPr>
          <w:rFonts w:ascii="Segoe UI Symbol" w:eastAsia="Wingdings" w:hAnsi="Segoe UI Symbol" w:cs="Segoe UI Symbol"/>
          <w:lang w:val="es-ES"/>
        </w:rPr>
        <w:t>✓</w:t>
      </w:r>
      <w:r w:rsidRPr="00190C38">
        <w:rPr>
          <w:rFonts w:ascii="Arial" w:eastAsia="Wingdings" w:hAnsi="Arial" w:cs="Arial"/>
          <w:lang w:val="es-ES"/>
        </w:rPr>
        <w:t>*» se consideran de máxima prioridad y se tendrán en cuenta los multiplicadores para garantizar que se les dé mayor importancia en la puntuación.</w:t>
      </w:r>
    </w:p>
    <w:p w14:paraId="2E5472D1" w14:textId="77777777" w:rsidR="00B10D9F" w:rsidRPr="00190C38" w:rsidRDefault="00B10D9F" w:rsidP="00190C38">
      <w:pPr>
        <w:spacing w:after="0" w:line="240" w:lineRule="auto"/>
        <w:jc w:val="both"/>
        <w:rPr>
          <w:rFonts w:ascii="Arial" w:hAnsi="Arial" w:cs="Arial"/>
          <w:lang w:val="es-ES"/>
        </w:rPr>
      </w:pPr>
    </w:p>
    <w:tbl>
      <w:tblPr>
        <w:tblStyle w:val="TableGrid"/>
        <w:tblW w:w="0" w:type="auto"/>
        <w:tblLook w:val="04A0" w:firstRow="1" w:lastRow="0" w:firstColumn="1" w:lastColumn="0" w:noHBand="0" w:noVBand="1"/>
      </w:tblPr>
      <w:tblGrid>
        <w:gridCol w:w="2676"/>
        <w:gridCol w:w="3128"/>
        <w:gridCol w:w="1989"/>
        <w:gridCol w:w="1451"/>
      </w:tblGrid>
      <w:tr w:rsidR="00CF7917" w:rsidRPr="00313A1B" w14:paraId="0642133B" w14:textId="77777777" w:rsidTr="00635DF6">
        <w:tc>
          <w:tcPr>
            <w:tcW w:w="2676" w:type="dxa"/>
            <w:shd w:val="clear" w:color="auto" w:fill="4C6A89"/>
          </w:tcPr>
          <w:p w14:paraId="66EF5B2F" w14:textId="77777777" w:rsidR="00CF7917" w:rsidRPr="00190C38" w:rsidRDefault="00CF7917" w:rsidP="00190C38">
            <w:pPr>
              <w:jc w:val="both"/>
              <w:rPr>
                <w:rFonts w:ascii="Arial" w:hAnsi="Arial" w:cs="Arial"/>
                <w:b/>
                <w:color w:val="FFFFFF" w:themeColor="background1"/>
              </w:rPr>
            </w:pPr>
            <w:proofErr w:type="spellStart"/>
            <w:r w:rsidRPr="00190C38">
              <w:rPr>
                <w:rFonts w:ascii="Arial" w:hAnsi="Arial" w:cs="Arial"/>
                <w:b/>
                <w:color w:val="FFFFFF" w:themeColor="background1"/>
              </w:rPr>
              <w:t>Categoría</w:t>
            </w:r>
            <w:proofErr w:type="spellEnd"/>
          </w:p>
        </w:tc>
        <w:tc>
          <w:tcPr>
            <w:tcW w:w="3128" w:type="dxa"/>
            <w:shd w:val="clear" w:color="auto" w:fill="4C6A89"/>
          </w:tcPr>
          <w:p w14:paraId="0789F56A" w14:textId="77777777" w:rsidR="00CF7917" w:rsidRPr="00190C38" w:rsidRDefault="00CF7917" w:rsidP="00190C38">
            <w:pPr>
              <w:jc w:val="both"/>
              <w:rPr>
                <w:rFonts w:ascii="Arial" w:hAnsi="Arial" w:cs="Arial"/>
                <w:b/>
                <w:color w:val="FFFFFF" w:themeColor="background1"/>
              </w:rPr>
            </w:pPr>
            <w:r w:rsidRPr="00190C38">
              <w:rPr>
                <w:rFonts w:ascii="Arial" w:hAnsi="Arial" w:cs="Arial"/>
                <w:b/>
                <w:color w:val="FFFFFF" w:themeColor="background1"/>
              </w:rPr>
              <w:t>Criterios</w:t>
            </w:r>
          </w:p>
        </w:tc>
        <w:tc>
          <w:tcPr>
            <w:tcW w:w="1828" w:type="dxa"/>
            <w:shd w:val="clear" w:color="auto" w:fill="4C6A89"/>
          </w:tcPr>
          <w:p w14:paraId="5298A718" w14:textId="77777777" w:rsidR="00CF7917" w:rsidRPr="00190C38" w:rsidRDefault="00CF7917" w:rsidP="00190C38">
            <w:pPr>
              <w:jc w:val="both"/>
              <w:rPr>
                <w:rFonts w:ascii="Arial" w:hAnsi="Arial" w:cs="Arial"/>
                <w:b/>
                <w:color w:val="FFFFFF" w:themeColor="background1"/>
              </w:rPr>
            </w:pPr>
            <w:r w:rsidRPr="00190C38">
              <w:rPr>
                <w:rFonts w:ascii="Arial" w:hAnsi="Arial" w:cs="Arial"/>
                <w:b/>
                <w:color w:val="FFFFFF" w:themeColor="background1"/>
              </w:rPr>
              <w:t>Uso directo/comercio</w:t>
            </w:r>
          </w:p>
        </w:tc>
        <w:tc>
          <w:tcPr>
            <w:tcW w:w="1384" w:type="dxa"/>
            <w:shd w:val="clear" w:color="auto" w:fill="4C6A89"/>
          </w:tcPr>
          <w:p w14:paraId="454F176A" w14:textId="77777777" w:rsidR="00CF7917" w:rsidRPr="00190C38" w:rsidRDefault="00CF7917" w:rsidP="00190C38">
            <w:pPr>
              <w:jc w:val="both"/>
              <w:rPr>
                <w:rFonts w:ascii="Arial" w:hAnsi="Arial" w:cs="Arial"/>
                <w:b/>
                <w:color w:val="FFFFFF" w:themeColor="background1"/>
                <w:lang w:val="es-ES"/>
              </w:rPr>
            </w:pPr>
            <w:r w:rsidRPr="00190C38">
              <w:rPr>
                <w:rFonts w:ascii="Arial" w:hAnsi="Arial" w:cs="Arial"/>
                <w:b/>
                <w:color w:val="FFFFFF" w:themeColor="background1"/>
                <w:lang w:val="es-ES"/>
              </w:rPr>
              <w:t>Elegibilidad para el Apéndice I</w:t>
            </w:r>
          </w:p>
        </w:tc>
      </w:tr>
      <w:tr w:rsidR="00CF7917" w:rsidRPr="00190C38" w14:paraId="1B36A58D" w14:textId="77777777" w:rsidTr="00635DF6">
        <w:tc>
          <w:tcPr>
            <w:tcW w:w="2676" w:type="dxa"/>
            <w:vMerge w:val="restart"/>
          </w:tcPr>
          <w:p w14:paraId="2FE86A1E" w14:textId="77777777" w:rsidR="00CF7917" w:rsidRPr="00190C38" w:rsidRDefault="00CF7917" w:rsidP="00190C38">
            <w:pPr>
              <w:jc w:val="both"/>
              <w:rPr>
                <w:rFonts w:ascii="Arial" w:hAnsi="Arial" w:cs="Arial"/>
              </w:rPr>
            </w:pPr>
            <w:r w:rsidRPr="00190C38">
              <w:rPr>
                <w:rFonts w:ascii="Arial" w:hAnsi="Arial" w:cs="Arial"/>
              </w:rPr>
              <w:t xml:space="preserve">1. </w:t>
            </w:r>
            <w:proofErr w:type="spellStart"/>
            <w:r w:rsidRPr="00190C38">
              <w:rPr>
                <w:rFonts w:ascii="Arial" w:hAnsi="Arial" w:cs="Arial"/>
              </w:rPr>
              <w:t>Riesgo</w:t>
            </w:r>
            <w:proofErr w:type="spellEnd"/>
            <w:r w:rsidRPr="00190C38">
              <w:rPr>
                <w:rFonts w:ascii="Arial" w:hAnsi="Arial" w:cs="Arial"/>
              </w:rPr>
              <w:t xml:space="preserve"> de </w:t>
            </w:r>
            <w:proofErr w:type="spellStart"/>
            <w:r w:rsidRPr="00190C38">
              <w:rPr>
                <w:rFonts w:ascii="Arial" w:hAnsi="Arial" w:cs="Arial"/>
              </w:rPr>
              <w:t>extinción</w:t>
            </w:r>
            <w:proofErr w:type="spellEnd"/>
          </w:p>
        </w:tc>
        <w:tc>
          <w:tcPr>
            <w:tcW w:w="3128" w:type="dxa"/>
          </w:tcPr>
          <w:p w14:paraId="023BD6C5" w14:textId="77777777" w:rsidR="00CF7917" w:rsidRPr="00190C38" w:rsidRDefault="00CF7917" w:rsidP="00190C38">
            <w:pPr>
              <w:jc w:val="both"/>
              <w:rPr>
                <w:rFonts w:ascii="Arial" w:hAnsi="Arial" w:cs="Arial"/>
                <w:lang w:val="es-ES"/>
              </w:rPr>
            </w:pPr>
            <w:r w:rsidRPr="00190C38">
              <w:rPr>
                <w:rFonts w:ascii="Arial" w:hAnsi="Arial" w:cs="Arial"/>
                <w:lang w:val="es-ES"/>
              </w:rPr>
              <w:t>1.1 Estado de la Lista Roja</w:t>
            </w:r>
          </w:p>
        </w:tc>
        <w:tc>
          <w:tcPr>
            <w:tcW w:w="1828" w:type="dxa"/>
            <w:shd w:val="clear" w:color="auto" w:fill="6761A8"/>
          </w:tcPr>
          <w:p w14:paraId="4CAAFD30" w14:textId="77777777" w:rsidR="00CF7917" w:rsidRPr="00190C38" w:rsidRDefault="00CF7917" w:rsidP="00190C38">
            <w:pPr>
              <w:jc w:val="both"/>
              <w:rPr>
                <w:rFonts w:ascii="Arial" w:hAnsi="Arial" w:cs="Arial"/>
              </w:rPr>
            </w:pPr>
            <w:r w:rsidRPr="00190C38">
              <w:rPr>
                <w:rFonts w:ascii="Segoe UI Symbol" w:eastAsia="Wingdings" w:hAnsi="Segoe UI Symbol" w:cs="Segoe UI Symbol"/>
              </w:rPr>
              <w:t>✓</w:t>
            </w:r>
          </w:p>
        </w:tc>
        <w:tc>
          <w:tcPr>
            <w:tcW w:w="1384" w:type="dxa"/>
            <w:shd w:val="clear" w:color="auto" w:fill="2A8A86"/>
          </w:tcPr>
          <w:p w14:paraId="56BFE811" w14:textId="77777777" w:rsidR="00CF7917" w:rsidRPr="00190C38" w:rsidRDefault="00CF7917" w:rsidP="00190C38">
            <w:pPr>
              <w:jc w:val="both"/>
              <w:rPr>
                <w:rFonts w:ascii="Arial" w:hAnsi="Arial" w:cs="Arial"/>
              </w:rPr>
            </w:pPr>
            <w:r w:rsidRPr="00190C38">
              <w:rPr>
                <w:rFonts w:ascii="Segoe UI Symbol" w:eastAsia="Wingdings" w:hAnsi="Segoe UI Symbol" w:cs="Segoe UI Symbol"/>
              </w:rPr>
              <w:t>✓</w:t>
            </w:r>
            <w:r w:rsidRPr="00190C38">
              <w:rPr>
                <w:rFonts w:ascii="Arial" w:eastAsia="Wingdings" w:hAnsi="Arial" w:cs="Arial"/>
              </w:rPr>
              <w:t>*</w:t>
            </w:r>
          </w:p>
        </w:tc>
      </w:tr>
      <w:tr w:rsidR="00CF7917" w:rsidRPr="00190C38" w14:paraId="0C5A7649" w14:textId="77777777" w:rsidTr="00635DF6">
        <w:tc>
          <w:tcPr>
            <w:tcW w:w="2676" w:type="dxa"/>
            <w:vMerge/>
          </w:tcPr>
          <w:p w14:paraId="1A79CFBE" w14:textId="77777777" w:rsidR="00CF7917" w:rsidRPr="00190C38" w:rsidRDefault="00CF7917" w:rsidP="00190C38">
            <w:pPr>
              <w:jc w:val="both"/>
              <w:rPr>
                <w:rFonts w:ascii="Arial" w:hAnsi="Arial" w:cs="Arial"/>
              </w:rPr>
            </w:pPr>
          </w:p>
        </w:tc>
        <w:tc>
          <w:tcPr>
            <w:tcW w:w="3128" w:type="dxa"/>
          </w:tcPr>
          <w:p w14:paraId="4E23645E" w14:textId="77777777" w:rsidR="00CF7917" w:rsidRPr="00190C38" w:rsidRDefault="00CF7917" w:rsidP="00190C38">
            <w:pPr>
              <w:jc w:val="both"/>
              <w:rPr>
                <w:rFonts w:ascii="Arial" w:hAnsi="Arial" w:cs="Arial"/>
              </w:rPr>
            </w:pPr>
            <w:r w:rsidRPr="00190C38">
              <w:rPr>
                <w:rFonts w:ascii="Arial" w:hAnsi="Arial" w:cs="Arial"/>
              </w:rPr>
              <w:t>1.2 Tendencia de la población</w:t>
            </w:r>
          </w:p>
        </w:tc>
        <w:tc>
          <w:tcPr>
            <w:tcW w:w="1828" w:type="dxa"/>
            <w:shd w:val="clear" w:color="auto" w:fill="6761A8"/>
          </w:tcPr>
          <w:p w14:paraId="3ECE5AC4" w14:textId="77777777" w:rsidR="00CF7917" w:rsidRPr="00190C38" w:rsidRDefault="00CF7917" w:rsidP="00190C38">
            <w:pPr>
              <w:jc w:val="both"/>
              <w:rPr>
                <w:rFonts w:ascii="Arial" w:hAnsi="Arial" w:cs="Arial"/>
              </w:rPr>
            </w:pPr>
            <w:r w:rsidRPr="00190C38">
              <w:rPr>
                <w:rFonts w:ascii="Segoe UI Symbol" w:eastAsia="Wingdings" w:hAnsi="Segoe UI Symbol" w:cs="Segoe UI Symbol"/>
              </w:rPr>
              <w:t>✓</w:t>
            </w:r>
          </w:p>
        </w:tc>
        <w:tc>
          <w:tcPr>
            <w:tcW w:w="1384" w:type="dxa"/>
            <w:shd w:val="clear" w:color="auto" w:fill="2A8A86"/>
          </w:tcPr>
          <w:p w14:paraId="0D7CEB45" w14:textId="77777777" w:rsidR="00CF7917" w:rsidRPr="00190C38" w:rsidRDefault="00CF7917" w:rsidP="00190C38">
            <w:pPr>
              <w:jc w:val="both"/>
              <w:rPr>
                <w:rFonts w:ascii="Arial" w:hAnsi="Arial" w:cs="Arial"/>
              </w:rPr>
            </w:pPr>
            <w:r w:rsidRPr="00190C38">
              <w:rPr>
                <w:rFonts w:ascii="Segoe UI Symbol" w:eastAsia="Wingdings" w:hAnsi="Segoe UI Symbol" w:cs="Segoe UI Symbol"/>
              </w:rPr>
              <w:t>✓</w:t>
            </w:r>
          </w:p>
        </w:tc>
      </w:tr>
      <w:tr w:rsidR="00CF7917" w:rsidRPr="00190C38" w14:paraId="4DF9EC86" w14:textId="77777777" w:rsidTr="00635DF6">
        <w:tc>
          <w:tcPr>
            <w:tcW w:w="2676" w:type="dxa"/>
            <w:vMerge w:val="restart"/>
          </w:tcPr>
          <w:p w14:paraId="05787530" w14:textId="77777777" w:rsidR="00CF7917" w:rsidRPr="00190C38" w:rsidRDefault="00CF7917" w:rsidP="00190C38">
            <w:pPr>
              <w:jc w:val="both"/>
              <w:rPr>
                <w:rFonts w:ascii="Arial" w:hAnsi="Arial" w:cs="Arial"/>
              </w:rPr>
            </w:pPr>
            <w:r w:rsidRPr="00190C38">
              <w:rPr>
                <w:rFonts w:ascii="Arial" w:hAnsi="Arial" w:cs="Arial"/>
              </w:rPr>
              <w:t xml:space="preserve">2. Vulnerabilidad biológica </w:t>
            </w:r>
          </w:p>
        </w:tc>
        <w:tc>
          <w:tcPr>
            <w:tcW w:w="3128" w:type="dxa"/>
          </w:tcPr>
          <w:p w14:paraId="79345B6C" w14:textId="77777777" w:rsidR="00CF7917" w:rsidRPr="00190C38" w:rsidRDefault="00CF7917" w:rsidP="00190C38">
            <w:pPr>
              <w:jc w:val="both"/>
              <w:rPr>
                <w:rFonts w:ascii="Arial" w:hAnsi="Arial" w:cs="Arial"/>
              </w:rPr>
            </w:pPr>
            <w:r w:rsidRPr="00190C38">
              <w:rPr>
                <w:rFonts w:ascii="Arial" w:hAnsi="Arial" w:cs="Arial"/>
              </w:rPr>
              <w:t>2.1 Tamaño corporal</w:t>
            </w:r>
          </w:p>
        </w:tc>
        <w:tc>
          <w:tcPr>
            <w:tcW w:w="1828" w:type="dxa"/>
            <w:shd w:val="clear" w:color="auto" w:fill="6761A8"/>
          </w:tcPr>
          <w:p w14:paraId="68A425C8" w14:textId="77777777" w:rsidR="00CF7917" w:rsidRPr="00190C38" w:rsidRDefault="00CF7917" w:rsidP="00190C38">
            <w:pPr>
              <w:jc w:val="both"/>
              <w:rPr>
                <w:rFonts w:ascii="Arial" w:hAnsi="Arial" w:cs="Arial"/>
              </w:rPr>
            </w:pPr>
            <w:r w:rsidRPr="00190C38">
              <w:rPr>
                <w:rFonts w:ascii="Segoe UI Symbol" w:eastAsia="Wingdings" w:hAnsi="Segoe UI Symbol" w:cs="Segoe UI Symbol"/>
              </w:rPr>
              <w:t>✓</w:t>
            </w:r>
          </w:p>
        </w:tc>
        <w:tc>
          <w:tcPr>
            <w:tcW w:w="1384" w:type="dxa"/>
          </w:tcPr>
          <w:p w14:paraId="7C4A6B0E" w14:textId="77777777" w:rsidR="00CF7917" w:rsidRPr="00190C38" w:rsidRDefault="00CF7917" w:rsidP="00190C38">
            <w:pPr>
              <w:jc w:val="both"/>
              <w:rPr>
                <w:rFonts w:ascii="Arial" w:hAnsi="Arial" w:cs="Arial"/>
              </w:rPr>
            </w:pPr>
          </w:p>
        </w:tc>
      </w:tr>
      <w:tr w:rsidR="00CF7917" w:rsidRPr="00190C38" w14:paraId="52F3CFF0" w14:textId="77777777" w:rsidTr="00635DF6">
        <w:tc>
          <w:tcPr>
            <w:tcW w:w="2676" w:type="dxa"/>
            <w:vMerge/>
          </w:tcPr>
          <w:p w14:paraId="07F3B503" w14:textId="77777777" w:rsidR="00CF7917" w:rsidRPr="00190C38" w:rsidRDefault="00CF7917" w:rsidP="00190C38">
            <w:pPr>
              <w:jc w:val="both"/>
              <w:rPr>
                <w:rFonts w:ascii="Arial" w:hAnsi="Arial" w:cs="Arial"/>
              </w:rPr>
            </w:pPr>
          </w:p>
        </w:tc>
        <w:tc>
          <w:tcPr>
            <w:tcW w:w="3128" w:type="dxa"/>
          </w:tcPr>
          <w:p w14:paraId="2B73EFE2" w14:textId="77777777" w:rsidR="00CF7917" w:rsidRPr="00190C38" w:rsidRDefault="00CF7917" w:rsidP="00190C38">
            <w:pPr>
              <w:jc w:val="both"/>
              <w:rPr>
                <w:rFonts w:ascii="Arial" w:hAnsi="Arial" w:cs="Arial"/>
              </w:rPr>
            </w:pPr>
            <w:r w:rsidRPr="00190C38">
              <w:rPr>
                <w:rFonts w:ascii="Arial" w:hAnsi="Arial" w:cs="Arial"/>
              </w:rPr>
              <w:t>2.2 Producción reproductora</w:t>
            </w:r>
          </w:p>
        </w:tc>
        <w:tc>
          <w:tcPr>
            <w:tcW w:w="1828" w:type="dxa"/>
            <w:shd w:val="clear" w:color="auto" w:fill="6761A8"/>
          </w:tcPr>
          <w:p w14:paraId="19C688FF" w14:textId="77777777" w:rsidR="00CF7917" w:rsidRPr="00190C38" w:rsidRDefault="00CF7917" w:rsidP="00190C38">
            <w:pPr>
              <w:jc w:val="both"/>
              <w:rPr>
                <w:rFonts w:ascii="Arial" w:hAnsi="Arial" w:cs="Arial"/>
              </w:rPr>
            </w:pPr>
            <w:r w:rsidRPr="00190C38">
              <w:rPr>
                <w:rFonts w:ascii="Segoe UI Symbol" w:eastAsia="Wingdings" w:hAnsi="Segoe UI Symbol" w:cs="Segoe UI Symbol"/>
              </w:rPr>
              <w:t>✓</w:t>
            </w:r>
          </w:p>
        </w:tc>
        <w:tc>
          <w:tcPr>
            <w:tcW w:w="1384" w:type="dxa"/>
          </w:tcPr>
          <w:p w14:paraId="70825495" w14:textId="77777777" w:rsidR="00CF7917" w:rsidRPr="00190C38" w:rsidRDefault="00CF7917" w:rsidP="00190C38">
            <w:pPr>
              <w:jc w:val="both"/>
              <w:rPr>
                <w:rFonts w:ascii="Arial" w:hAnsi="Arial" w:cs="Arial"/>
              </w:rPr>
            </w:pPr>
          </w:p>
        </w:tc>
      </w:tr>
      <w:tr w:rsidR="00CF7917" w:rsidRPr="00190C38" w14:paraId="11300D54" w14:textId="77777777" w:rsidTr="00635DF6">
        <w:tc>
          <w:tcPr>
            <w:tcW w:w="2676" w:type="dxa"/>
            <w:vMerge/>
          </w:tcPr>
          <w:p w14:paraId="6E7D151C" w14:textId="77777777" w:rsidR="00CF7917" w:rsidRPr="00190C38" w:rsidRDefault="00CF7917" w:rsidP="00190C38">
            <w:pPr>
              <w:jc w:val="both"/>
              <w:rPr>
                <w:rFonts w:ascii="Arial" w:hAnsi="Arial" w:cs="Arial"/>
              </w:rPr>
            </w:pPr>
          </w:p>
        </w:tc>
        <w:tc>
          <w:tcPr>
            <w:tcW w:w="3128" w:type="dxa"/>
          </w:tcPr>
          <w:p w14:paraId="4F9FB4BA" w14:textId="77777777" w:rsidR="00CF7917" w:rsidRPr="00190C38" w:rsidRDefault="00CF7917" w:rsidP="00190C38">
            <w:pPr>
              <w:jc w:val="both"/>
              <w:rPr>
                <w:rFonts w:ascii="Arial" w:hAnsi="Arial" w:cs="Arial"/>
              </w:rPr>
            </w:pPr>
            <w:r w:rsidRPr="00190C38">
              <w:rPr>
                <w:rFonts w:ascii="Arial" w:hAnsi="Arial" w:cs="Arial"/>
              </w:rPr>
              <w:t>2.3 Extensión del hábitat</w:t>
            </w:r>
          </w:p>
        </w:tc>
        <w:tc>
          <w:tcPr>
            <w:tcW w:w="1828" w:type="dxa"/>
            <w:shd w:val="clear" w:color="auto" w:fill="6761A8"/>
          </w:tcPr>
          <w:p w14:paraId="3CE53097" w14:textId="77777777" w:rsidR="00CF7917" w:rsidRPr="00190C38" w:rsidRDefault="00CF7917" w:rsidP="00190C38">
            <w:pPr>
              <w:jc w:val="both"/>
              <w:rPr>
                <w:rFonts w:ascii="Arial" w:hAnsi="Arial" w:cs="Arial"/>
              </w:rPr>
            </w:pPr>
            <w:r w:rsidRPr="00190C38">
              <w:rPr>
                <w:rFonts w:ascii="Segoe UI Symbol" w:eastAsia="Wingdings" w:hAnsi="Segoe UI Symbol" w:cs="Segoe UI Symbol"/>
              </w:rPr>
              <w:t>✓</w:t>
            </w:r>
          </w:p>
        </w:tc>
        <w:tc>
          <w:tcPr>
            <w:tcW w:w="1384" w:type="dxa"/>
          </w:tcPr>
          <w:p w14:paraId="3F85F5B6" w14:textId="77777777" w:rsidR="00CF7917" w:rsidRPr="00190C38" w:rsidRDefault="00CF7917" w:rsidP="00190C38">
            <w:pPr>
              <w:jc w:val="both"/>
              <w:rPr>
                <w:rFonts w:ascii="Arial" w:hAnsi="Arial" w:cs="Arial"/>
              </w:rPr>
            </w:pPr>
          </w:p>
        </w:tc>
      </w:tr>
      <w:tr w:rsidR="00CF7917" w:rsidRPr="00190C38" w14:paraId="1042543A" w14:textId="77777777" w:rsidTr="00635DF6">
        <w:tc>
          <w:tcPr>
            <w:tcW w:w="2676" w:type="dxa"/>
            <w:vMerge/>
          </w:tcPr>
          <w:p w14:paraId="7B7C0A8E" w14:textId="77777777" w:rsidR="00CF7917" w:rsidRPr="00190C38" w:rsidRDefault="00CF7917" w:rsidP="00190C38">
            <w:pPr>
              <w:jc w:val="both"/>
              <w:rPr>
                <w:rFonts w:ascii="Arial" w:hAnsi="Arial" w:cs="Arial"/>
              </w:rPr>
            </w:pPr>
          </w:p>
        </w:tc>
        <w:tc>
          <w:tcPr>
            <w:tcW w:w="3128" w:type="dxa"/>
          </w:tcPr>
          <w:p w14:paraId="60ADEEE2" w14:textId="77777777" w:rsidR="00CF7917" w:rsidRPr="00190C38" w:rsidRDefault="00CF7917" w:rsidP="00190C38">
            <w:pPr>
              <w:jc w:val="both"/>
              <w:rPr>
                <w:rFonts w:ascii="Arial" w:hAnsi="Arial" w:cs="Arial"/>
                <w:lang w:val="es-ES"/>
              </w:rPr>
            </w:pPr>
            <w:r w:rsidRPr="00190C38">
              <w:rPr>
                <w:rFonts w:ascii="Arial" w:hAnsi="Arial" w:cs="Arial"/>
                <w:lang w:val="es-ES"/>
              </w:rPr>
              <w:t>2.4 Tamaño del área de distribución</w:t>
            </w:r>
          </w:p>
        </w:tc>
        <w:tc>
          <w:tcPr>
            <w:tcW w:w="1828" w:type="dxa"/>
            <w:shd w:val="clear" w:color="auto" w:fill="6761A8"/>
          </w:tcPr>
          <w:p w14:paraId="0BB23357" w14:textId="77777777" w:rsidR="00CF7917" w:rsidRPr="00190C38" w:rsidRDefault="00CF7917" w:rsidP="00190C38">
            <w:pPr>
              <w:jc w:val="both"/>
              <w:rPr>
                <w:rFonts w:ascii="Arial" w:hAnsi="Arial" w:cs="Arial"/>
              </w:rPr>
            </w:pPr>
            <w:r w:rsidRPr="00190C38">
              <w:rPr>
                <w:rFonts w:ascii="Segoe UI Symbol" w:eastAsia="Wingdings" w:hAnsi="Segoe UI Symbol" w:cs="Segoe UI Symbol"/>
              </w:rPr>
              <w:t>✓</w:t>
            </w:r>
          </w:p>
        </w:tc>
        <w:tc>
          <w:tcPr>
            <w:tcW w:w="1384" w:type="dxa"/>
          </w:tcPr>
          <w:p w14:paraId="4E683EE9" w14:textId="77777777" w:rsidR="00CF7917" w:rsidRPr="00190C38" w:rsidRDefault="00CF7917" w:rsidP="00190C38">
            <w:pPr>
              <w:jc w:val="both"/>
              <w:rPr>
                <w:rFonts w:ascii="Arial" w:hAnsi="Arial" w:cs="Arial"/>
              </w:rPr>
            </w:pPr>
          </w:p>
        </w:tc>
      </w:tr>
      <w:tr w:rsidR="00CF7917" w:rsidRPr="00190C38" w14:paraId="3D870EB3" w14:textId="77777777" w:rsidTr="00635DF6">
        <w:tc>
          <w:tcPr>
            <w:tcW w:w="2676" w:type="dxa"/>
            <w:vMerge w:val="restart"/>
          </w:tcPr>
          <w:p w14:paraId="21C6A270" w14:textId="77777777" w:rsidR="00CF7917" w:rsidRPr="00190C38" w:rsidRDefault="00CF7917" w:rsidP="00190C38">
            <w:pPr>
              <w:jc w:val="both"/>
              <w:rPr>
                <w:rFonts w:ascii="Arial" w:hAnsi="Arial" w:cs="Arial"/>
              </w:rPr>
            </w:pPr>
            <w:r w:rsidRPr="00190C38">
              <w:rPr>
                <w:rFonts w:ascii="Arial" w:hAnsi="Arial" w:cs="Arial"/>
              </w:rPr>
              <w:t>3. Amenaza para la especie</w:t>
            </w:r>
          </w:p>
        </w:tc>
        <w:tc>
          <w:tcPr>
            <w:tcW w:w="3128" w:type="dxa"/>
          </w:tcPr>
          <w:p w14:paraId="5C525DA8" w14:textId="77777777" w:rsidR="00CF7917" w:rsidRPr="00190C38" w:rsidRDefault="00CF7917" w:rsidP="00190C38">
            <w:pPr>
              <w:jc w:val="both"/>
              <w:rPr>
                <w:rFonts w:ascii="Arial" w:hAnsi="Arial" w:cs="Arial"/>
              </w:rPr>
            </w:pPr>
            <w:r w:rsidRPr="00190C38">
              <w:rPr>
                <w:rFonts w:ascii="Arial" w:hAnsi="Arial" w:cs="Arial"/>
              </w:rPr>
              <w:t>3.1 Amenaza por uso</w:t>
            </w:r>
          </w:p>
        </w:tc>
        <w:tc>
          <w:tcPr>
            <w:tcW w:w="1828" w:type="dxa"/>
            <w:shd w:val="clear" w:color="auto" w:fill="6761A8"/>
          </w:tcPr>
          <w:p w14:paraId="5EDFCDFF" w14:textId="77777777" w:rsidR="00CF7917" w:rsidRPr="00190C38" w:rsidRDefault="00CF7917" w:rsidP="00190C38">
            <w:pPr>
              <w:jc w:val="both"/>
              <w:rPr>
                <w:rFonts w:ascii="Arial" w:hAnsi="Arial" w:cs="Arial"/>
              </w:rPr>
            </w:pPr>
            <w:r w:rsidRPr="00190C38">
              <w:rPr>
                <w:rFonts w:ascii="Segoe UI Symbol" w:eastAsia="Wingdings" w:hAnsi="Segoe UI Symbol" w:cs="Segoe UI Symbol"/>
              </w:rPr>
              <w:t>✓</w:t>
            </w:r>
            <w:r w:rsidRPr="00190C38">
              <w:rPr>
                <w:rFonts w:ascii="Arial" w:eastAsia="Wingdings" w:hAnsi="Arial" w:cs="Arial"/>
              </w:rPr>
              <w:t>*</w:t>
            </w:r>
          </w:p>
        </w:tc>
        <w:tc>
          <w:tcPr>
            <w:tcW w:w="1384" w:type="dxa"/>
          </w:tcPr>
          <w:p w14:paraId="4AEE92EB" w14:textId="77777777" w:rsidR="00CF7917" w:rsidRPr="00190C38" w:rsidRDefault="00CF7917" w:rsidP="00190C38">
            <w:pPr>
              <w:jc w:val="both"/>
              <w:rPr>
                <w:rFonts w:ascii="Arial" w:hAnsi="Arial" w:cs="Arial"/>
              </w:rPr>
            </w:pPr>
          </w:p>
        </w:tc>
      </w:tr>
      <w:tr w:rsidR="00CF7917" w:rsidRPr="00190C38" w14:paraId="0721F4D7" w14:textId="77777777" w:rsidTr="00635DF6">
        <w:tc>
          <w:tcPr>
            <w:tcW w:w="2676" w:type="dxa"/>
            <w:vMerge/>
          </w:tcPr>
          <w:p w14:paraId="014BADE4" w14:textId="77777777" w:rsidR="00CF7917" w:rsidRPr="00190C38" w:rsidRDefault="00CF7917" w:rsidP="00190C38">
            <w:pPr>
              <w:jc w:val="both"/>
              <w:rPr>
                <w:rFonts w:ascii="Arial" w:hAnsi="Arial" w:cs="Arial"/>
              </w:rPr>
            </w:pPr>
          </w:p>
        </w:tc>
        <w:tc>
          <w:tcPr>
            <w:tcW w:w="3128" w:type="dxa"/>
          </w:tcPr>
          <w:p w14:paraId="4F5AB488" w14:textId="77777777" w:rsidR="00CF7917" w:rsidRPr="00190C38" w:rsidRDefault="00CF7917" w:rsidP="00190C38">
            <w:pPr>
              <w:jc w:val="both"/>
              <w:rPr>
                <w:rFonts w:ascii="Arial" w:hAnsi="Arial" w:cs="Arial"/>
                <w:lang w:val="es-ES"/>
              </w:rPr>
            </w:pPr>
            <w:r w:rsidRPr="00190C38">
              <w:rPr>
                <w:rFonts w:ascii="Arial" w:hAnsi="Arial" w:cs="Arial"/>
                <w:lang w:val="es-ES"/>
              </w:rPr>
              <w:t>3.2 En el comercio internacional legal</w:t>
            </w:r>
          </w:p>
        </w:tc>
        <w:tc>
          <w:tcPr>
            <w:tcW w:w="1828" w:type="dxa"/>
            <w:shd w:val="clear" w:color="auto" w:fill="6761A8"/>
          </w:tcPr>
          <w:p w14:paraId="65CCA1CB" w14:textId="77777777" w:rsidR="00CF7917" w:rsidRPr="00190C38" w:rsidRDefault="00CF7917" w:rsidP="00190C38">
            <w:pPr>
              <w:jc w:val="both"/>
              <w:rPr>
                <w:rFonts w:ascii="Arial" w:hAnsi="Arial" w:cs="Arial"/>
              </w:rPr>
            </w:pPr>
            <w:r w:rsidRPr="00190C38">
              <w:rPr>
                <w:rFonts w:ascii="Segoe UI Symbol" w:eastAsia="Wingdings" w:hAnsi="Segoe UI Symbol" w:cs="Segoe UI Symbol"/>
              </w:rPr>
              <w:t>✓</w:t>
            </w:r>
            <w:r w:rsidRPr="00190C38">
              <w:rPr>
                <w:rFonts w:ascii="Arial" w:eastAsia="Wingdings" w:hAnsi="Arial" w:cs="Arial"/>
              </w:rPr>
              <w:t>*</w:t>
            </w:r>
          </w:p>
        </w:tc>
        <w:tc>
          <w:tcPr>
            <w:tcW w:w="1384" w:type="dxa"/>
          </w:tcPr>
          <w:p w14:paraId="7667CC9F" w14:textId="77777777" w:rsidR="00CF7917" w:rsidRPr="00190C38" w:rsidRDefault="00CF7917" w:rsidP="00190C38">
            <w:pPr>
              <w:jc w:val="both"/>
              <w:rPr>
                <w:rFonts w:ascii="Arial" w:hAnsi="Arial" w:cs="Arial"/>
              </w:rPr>
            </w:pPr>
          </w:p>
        </w:tc>
      </w:tr>
      <w:tr w:rsidR="00CF7917" w:rsidRPr="00190C38" w14:paraId="16D97D98" w14:textId="77777777" w:rsidTr="00635DF6">
        <w:tc>
          <w:tcPr>
            <w:tcW w:w="2676" w:type="dxa"/>
            <w:vMerge/>
          </w:tcPr>
          <w:p w14:paraId="3CBA7FFF" w14:textId="77777777" w:rsidR="00CF7917" w:rsidRPr="00190C38" w:rsidRDefault="00CF7917" w:rsidP="00190C38">
            <w:pPr>
              <w:jc w:val="both"/>
              <w:rPr>
                <w:rFonts w:ascii="Arial" w:hAnsi="Arial" w:cs="Arial"/>
              </w:rPr>
            </w:pPr>
          </w:p>
        </w:tc>
        <w:tc>
          <w:tcPr>
            <w:tcW w:w="3128" w:type="dxa"/>
          </w:tcPr>
          <w:p w14:paraId="59CD33B3" w14:textId="77777777" w:rsidR="00CF7917" w:rsidRPr="00190C38" w:rsidRDefault="00CF7917" w:rsidP="00190C38">
            <w:pPr>
              <w:jc w:val="both"/>
              <w:rPr>
                <w:rFonts w:ascii="Arial" w:hAnsi="Arial" w:cs="Arial"/>
              </w:rPr>
            </w:pPr>
            <w:r w:rsidRPr="00190C38">
              <w:rPr>
                <w:rFonts w:ascii="Arial" w:hAnsi="Arial" w:cs="Arial"/>
              </w:rPr>
              <w:t>3.3 Uso/consumo doméstico</w:t>
            </w:r>
          </w:p>
        </w:tc>
        <w:tc>
          <w:tcPr>
            <w:tcW w:w="1828" w:type="dxa"/>
            <w:shd w:val="clear" w:color="auto" w:fill="6761A8"/>
          </w:tcPr>
          <w:p w14:paraId="3045409B" w14:textId="77777777" w:rsidR="00CF7917" w:rsidRPr="00190C38" w:rsidRDefault="00CF7917" w:rsidP="00190C38">
            <w:pPr>
              <w:jc w:val="both"/>
              <w:rPr>
                <w:rFonts w:ascii="Arial" w:hAnsi="Arial" w:cs="Arial"/>
              </w:rPr>
            </w:pPr>
            <w:r w:rsidRPr="00190C38">
              <w:rPr>
                <w:rFonts w:ascii="Segoe UI Symbol" w:eastAsia="Wingdings" w:hAnsi="Segoe UI Symbol" w:cs="Segoe UI Symbol"/>
              </w:rPr>
              <w:t>✓</w:t>
            </w:r>
          </w:p>
        </w:tc>
        <w:tc>
          <w:tcPr>
            <w:tcW w:w="1384" w:type="dxa"/>
          </w:tcPr>
          <w:p w14:paraId="6BCC4755" w14:textId="77777777" w:rsidR="00CF7917" w:rsidRPr="00190C38" w:rsidRDefault="00CF7917" w:rsidP="00190C38">
            <w:pPr>
              <w:jc w:val="both"/>
              <w:rPr>
                <w:rFonts w:ascii="Arial" w:hAnsi="Arial" w:cs="Arial"/>
              </w:rPr>
            </w:pPr>
          </w:p>
        </w:tc>
      </w:tr>
      <w:tr w:rsidR="00CF7917" w:rsidRPr="00190C38" w14:paraId="06A8B3EA" w14:textId="77777777" w:rsidTr="00635DF6">
        <w:tc>
          <w:tcPr>
            <w:tcW w:w="2676" w:type="dxa"/>
            <w:vMerge/>
          </w:tcPr>
          <w:p w14:paraId="30B3F17C" w14:textId="77777777" w:rsidR="00CF7917" w:rsidRPr="00190C38" w:rsidRDefault="00CF7917" w:rsidP="00190C38">
            <w:pPr>
              <w:jc w:val="both"/>
              <w:rPr>
                <w:rFonts w:ascii="Arial" w:hAnsi="Arial" w:cs="Arial"/>
              </w:rPr>
            </w:pPr>
          </w:p>
        </w:tc>
        <w:tc>
          <w:tcPr>
            <w:tcW w:w="3128" w:type="dxa"/>
          </w:tcPr>
          <w:p w14:paraId="0243DD8B" w14:textId="77777777" w:rsidR="00CF7917" w:rsidRPr="00190C38" w:rsidRDefault="00CF7917" w:rsidP="00190C38">
            <w:pPr>
              <w:jc w:val="both"/>
              <w:rPr>
                <w:rFonts w:ascii="Arial" w:hAnsi="Arial" w:cs="Arial"/>
              </w:rPr>
            </w:pPr>
            <w:r w:rsidRPr="00190C38">
              <w:rPr>
                <w:rFonts w:ascii="Arial" w:hAnsi="Arial" w:cs="Arial"/>
              </w:rPr>
              <w:t>3.4 Caza ilegal</w:t>
            </w:r>
          </w:p>
        </w:tc>
        <w:tc>
          <w:tcPr>
            <w:tcW w:w="1828" w:type="dxa"/>
            <w:shd w:val="clear" w:color="auto" w:fill="6761A8"/>
          </w:tcPr>
          <w:p w14:paraId="0096D985" w14:textId="77777777" w:rsidR="00CF7917" w:rsidRPr="00190C38" w:rsidRDefault="00CF7917" w:rsidP="00190C38">
            <w:pPr>
              <w:jc w:val="both"/>
              <w:rPr>
                <w:rFonts w:ascii="Arial" w:hAnsi="Arial" w:cs="Arial"/>
              </w:rPr>
            </w:pPr>
            <w:r w:rsidRPr="00190C38">
              <w:rPr>
                <w:rFonts w:ascii="Segoe UI Symbol" w:eastAsia="Wingdings" w:hAnsi="Segoe UI Symbol" w:cs="Segoe UI Symbol"/>
              </w:rPr>
              <w:t>✓</w:t>
            </w:r>
          </w:p>
        </w:tc>
        <w:tc>
          <w:tcPr>
            <w:tcW w:w="1384" w:type="dxa"/>
          </w:tcPr>
          <w:p w14:paraId="36236364" w14:textId="77777777" w:rsidR="00CF7917" w:rsidRPr="00190C38" w:rsidRDefault="00CF7917" w:rsidP="00190C38">
            <w:pPr>
              <w:jc w:val="both"/>
              <w:rPr>
                <w:rFonts w:ascii="Arial" w:hAnsi="Arial" w:cs="Arial"/>
              </w:rPr>
            </w:pPr>
          </w:p>
        </w:tc>
      </w:tr>
      <w:tr w:rsidR="00CF7917" w:rsidRPr="00190C38" w14:paraId="32042253" w14:textId="77777777" w:rsidTr="00635DF6">
        <w:tc>
          <w:tcPr>
            <w:tcW w:w="2676" w:type="dxa"/>
            <w:vMerge/>
          </w:tcPr>
          <w:p w14:paraId="110ACE69" w14:textId="77777777" w:rsidR="00CF7917" w:rsidRPr="00190C38" w:rsidRDefault="00CF7917" w:rsidP="00190C38">
            <w:pPr>
              <w:jc w:val="both"/>
              <w:rPr>
                <w:rFonts w:ascii="Arial" w:hAnsi="Arial" w:cs="Arial"/>
              </w:rPr>
            </w:pPr>
          </w:p>
        </w:tc>
        <w:tc>
          <w:tcPr>
            <w:tcW w:w="3128" w:type="dxa"/>
          </w:tcPr>
          <w:p w14:paraId="669D40AC" w14:textId="77777777" w:rsidR="00CF7917" w:rsidRPr="00190C38" w:rsidRDefault="00CF7917" w:rsidP="00190C38">
            <w:pPr>
              <w:jc w:val="both"/>
              <w:rPr>
                <w:rFonts w:ascii="Arial" w:hAnsi="Arial" w:cs="Arial"/>
                <w:lang w:val="es-ES"/>
              </w:rPr>
            </w:pPr>
            <w:r w:rsidRPr="00190C38">
              <w:rPr>
                <w:rFonts w:ascii="Arial" w:hAnsi="Arial" w:cs="Arial"/>
                <w:lang w:val="es-ES"/>
              </w:rPr>
              <w:t>3.5 Impacto de las amenazas actuales</w:t>
            </w:r>
          </w:p>
        </w:tc>
        <w:tc>
          <w:tcPr>
            <w:tcW w:w="1828" w:type="dxa"/>
          </w:tcPr>
          <w:p w14:paraId="39C6FEF8" w14:textId="77777777" w:rsidR="00CF7917" w:rsidRPr="00190C38" w:rsidRDefault="00CF7917" w:rsidP="00190C38">
            <w:pPr>
              <w:jc w:val="both"/>
              <w:rPr>
                <w:rFonts w:ascii="Arial" w:hAnsi="Arial" w:cs="Arial"/>
                <w:lang w:val="es-ES"/>
              </w:rPr>
            </w:pPr>
          </w:p>
        </w:tc>
        <w:tc>
          <w:tcPr>
            <w:tcW w:w="1384" w:type="dxa"/>
            <w:shd w:val="clear" w:color="auto" w:fill="2A8A86"/>
          </w:tcPr>
          <w:p w14:paraId="22304CEF" w14:textId="77777777" w:rsidR="00CF7917" w:rsidRPr="00190C38" w:rsidRDefault="00CF7917" w:rsidP="00190C38">
            <w:pPr>
              <w:jc w:val="both"/>
              <w:rPr>
                <w:rFonts w:ascii="Arial" w:hAnsi="Arial" w:cs="Arial"/>
              </w:rPr>
            </w:pPr>
            <w:r w:rsidRPr="00190C38">
              <w:rPr>
                <w:rFonts w:ascii="Segoe UI Symbol" w:eastAsia="Wingdings" w:hAnsi="Segoe UI Symbol" w:cs="Segoe UI Symbol"/>
              </w:rPr>
              <w:t>✓</w:t>
            </w:r>
            <w:r w:rsidRPr="00190C38">
              <w:rPr>
                <w:rFonts w:ascii="Arial" w:eastAsia="Wingdings" w:hAnsi="Arial" w:cs="Arial"/>
              </w:rPr>
              <w:t>*</w:t>
            </w:r>
          </w:p>
        </w:tc>
      </w:tr>
      <w:tr w:rsidR="00CF7917" w:rsidRPr="00190C38" w14:paraId="570576C3" w14:textId="77777777" w:rsidTr="00635DF6">
        <w:tc>
          <w:tcPr>
            <w:tcW w:w="2676" w:type="dxa"/>
            <w:vMerge w:val="restart"/>
          </w:tcPr>
          <w:p w14:paraId="63A59827" w14:textId="77777777" w:rsidR="00CF7917" w:rsidRPr="00190C38" w:rsidRDefault="00CF7917" w:rsidP="00190C38">
            <w:pPr>
              <w:jc w:val="both"/>
              <w:rPr>
                <w:rFonts w:ascii="Arial" w:hAnsi="Arial" w:cs="Arial"/>
              </w:rPr>
            </w:pPr>
            <w:r w:rsidRPr="00190C38">
              <w:rPr>
                <w:rFonts w:ascii="Arial" w:hAnsi="Arial" w:cs="Arial"/>
              </w:rPr>
              <w:t>4. Esfuerzo de gestión</w:t>
            </w:r>
          </w:p>
        </w:tc>
        <w:tc>
          <w:tcPr>
            <w:tcW w:w="3128" w:type="dxa"/>
          </w:tcPr>
          <w:p w14:paraId="62CAED61" w14:textId="77777777" w:rsidR="00CF7917" w:rsidRPr="00190C38" w:rsidRDefault="00CF7917" w:rsidP="00190C38">
            <w:pPr>
              <w:jc w:val="both"/>
              <w:rPr>
                <w:rFonts w:ascii="Arial" w:hAnsi="Arial" w:cs="Arial"/>
                <w:lang w:val="es-ES"/>
              </w:rPr>
            </w:pPr>
            <w:r w:rsidRPr="00190C38">
              <w:rPr>
                <w:rFonts w:ascii="Arial" w:hAnsi="Arial" w:cs="Arial"/>
                <w:lang w:val="es-ES"/>
              </w:rPr>
              <w:t>4.1 Medidas existentes en el marco de la CITES</w:t>
            </w:r>
          </w:p>
        </w:tc>
        <w:tc>
          <w:tcPr>
            <w:tcW w:w="1828" w:type="dxa"/>
            <w:shd w:val="clear" w:color="auto" w:fill="6761A8"/>
          </w:tcPr>
          <w:p w14:paraId="1E017A95" w14:textId="77777777" w:rsidR="00CF7917" w:rsidRPr="00190C38" w:rsidRDefault="00CF7917" w:rsidP="00190C38">
            <w:pPr>
              <w:jc w:val="both"/>
              <w:rPr>
                <w:rFonts w:ascii="Arial" w:hAnsi="Arial" w:cs="Arial"/>
              </w:rPr>
            </w:pPr>
            <w:r w:rsidRPr="00190C38">
              <w:rPr>
                <w:rFonts w:ascii="Segoe UI Symbol" w:eastAsia="Wingdings" w:hAnsi="Segoe UI Symbol" w:cs="Segoe UI Symbol"/>
              </w:rPr>
              <w:t>✓</w:t>
            </w:r>
          </w:p>
        </w:tc>
        <w:tc>
          <w:tcPr>
            <w:tcW w:w="1384" w:type="dxa"/>
          </w:tcPr>
          <w:p w14:paraId="39C85F86" w14:textId="77777777" w:rsidR="00CF7917" w:rsidRPr="00190C38" w:rsidRDefault="00CF7917" w:rsidP="00190C38">
            <w:pPr>
              <w:jc w:val="both"/>
              <w:rPr>
                <w:rFonts w:ascii="Arial" w:hAnsi="Arial" w:cs="Arial"/>
              </w:rPr>
            </w:pPr>
          </w:p>
        </w:tc>
      </w:tr>
      <w:tr w:rsidR="00CF7917" w:rsidRPr="00190C38" w14:paraId="262004A9" w14:textId="77777777" w:rsidTr="00635DF6">
        <w:tc>
          <w:tcPr>
            <w:tcW w:w="2676" w:type="dxa"/>
            <w:vMerge/>
          </w:tcPr>
          <w:p w14:paraId="07AA03F0" w14:textId="77777777" w:rsidR="00CF7917" w:rsidRPr="00190C38" w:rsidRDefault="00CF7917" w:rsidP="00190C38">
            <w:pPr>
              <w:jc w:val="both"/>
              <w:rPr>
                <w:rFonts w:ascii="Arial" w:hAnsi="Arial" w:cs="Arial"/>
                <w:highlight w:val="yellow"/>
              </w:rPr>
            </w:pPr>
          </w:p>
        </w:tc>
        <w:tc>
          <w:tcPr>
            <w:tcW w:w="3128" w:type="dxa"/>
          </w:tcPr>
          <w:p w14:paraId="2065D3A6" w14:textId="77777777" w:rsidR="00CF7917" w:rsidRPr="00190C38" w:rsidRDefault="00CF7917" w:rsidP="00190C38">
            <w:pPr>
              <w:jc w:val="both"/>
              <w:rPr>
                <w:rFonts w:ascii="Arial" w:hAnsi="Arial" w:cs="Arial"/>
                <w:lang w:val="es-ES"/>
              </w:rPr>
            </w:pPr>
            <w:r w:rsidRPr="00190C38">
              <w:rPr>
                <w:rFonts w:ascii="Arial" w:hAnsi="Arial" w:cs="Arial"/>
                <w:lang w:val="es-ES"/>
              </w:rPr>
              <w:t>4.2 Acciones de conservación en curso</w:t>
            </w:r>
          </w:p>
        </w:tc>
        <w:tc>
          <w:tcPr>
            <w:tcW w:w="1828" w:type="dxa"/>
            <w:shd w:val="clear" w:color="auto" w:fill="6761A8"/>
          </w:tcPr>
          <w:p w14:paraId="7D754963" w14:textId="77777777" w:rsidR="00CF7917" w:rsidRPr="00190C38" w:rsidRDefault="00CF7917" w:rsidP="00190C38">
            <w:pPr>
              <w:jc w:val="both"/>
              <w:rPr>
                <w:rFonts w:ascii="Arial" w:hAnsi="Arial" w:cs="Arial"/>
              </w:rPr>
            </w:pPr>
            <w:r w:rsidRPr="00190C38">
              <w:rPr>
                <w:rFonts w:ascii="Segoe UI Symbol" w:eastAsia="Wingdings" w:hAnsi="Segoe UI Symbol" w:cs="Segoe UI Symbol"/>
              </w:rPr>
              <w:t>✓</w:t>
            </w:r>
          </w:p>
        </w:tc>
        <w:tc>
          <w:tcPr>
            <w:tcW w:w="1384" w:type="dxa"/>
          </w:tcPr>
          <w:p w14:paraId="178D631D" w14:textId="77777777" w:rsidR="00CF7917" w:rsidRPr="00190C38" w:rsidRDefault="00CF7917" w:rsidP="00190C38">
            <w:pPr>
              <w:jc w:val="both"/>
              <w:rPr>
                <w:rFonts w:ascii="Arial" w:hAnsi="Arial" w:cs="Arial"/>
              </w:rPr>
            </w:pPr>
          </w:p>
        </w:tc>
      </w:tr>
      <w:tr w:rsidR="00CF7917" w:rsidRPr="00190C38" w14:paraId="3308B2CD" w14:textId="77777777" w:rsidTr="00635DF6">
        <w:tc>
          <w:tcPr>
            <w:tcW w:w="2676" w:type="dxa"/>
            <w:vMerge/>
          </w:tcPr>
          <w:p w14:paraId="355F98EB" w14:textId="77777777" w:rsidR="00CF7917" w:rsidRPr="00190C38" w:rsidRDefault="00CF7917" w:rsidP="00190C38">
            <w:pPr>
              <w:jc w:val="both"/>
              <w:rPr>
                <w:rFonts w:ascii="Arial" w:hAnsi="Arial" w:cs="Arial"/>
                <w:highlight w:val="yellow"/>
              </w:rPr>
            </w:pPr>
          </w:p>
        </w:tc>
        <w:tc>
          <w:tcPr>
            <w:tcW w:w="3128" w:type="dxa"/>
          </w:tcPr>
          <w:p w14:paraId="2F7A3AD3" w14:textId="77777777" w:rsidR="00CF7917" w:rsidRPr="00190C38" w:rsidRDefault="00CF7917" w:rsidP="00190C38">
            <w:pPr>
              <w:jc w:val="both"/>
              <w:rPr>
                <w:rFonts w:ascii="Arial" w:hAnsi="Arial" w:cs="Arial"/>
              </w:rPr>
            </w:pPr>
            <w:r w:rsidRPr="00190C38">
              <w:rPr>
                <w:rFonts w:ascii="Arial" w:hAnsi="Arial" w:cs="Arial"/>
              </w:rPr>
              <w:t>4.3 Prohibición de captura</w:t>
            </w:r>
          </w:p>
        </w:tc>
        <w:tc>
          <w:tcPr>
            <w:tcW w:w="1828" w:type="dxa"/>
            <w:shd w:val="clear" w:color="auto" w:fill="6761A8"/>
          </w:tcPr>
          <w:p w14:paraId="7F2F871E" w14:textId="77777777" w:rsidR="00CF7917" w:rsidRPr="00190C38" w:rsidRDefault="00CF7917" w:rsidP="00190C38">
            <w:pPr>
              <w:jc w:val="both"/>
              <w:rPr>
                <w:rFonts w:ascii="Arial" w:hAnsi="Arial" w:cs="Arial"/>
              </w:rPr>
            </w:pPr>
            <w:r w:rsidRPr="00190C38">
              <w:rPr>
                <w:rFonts w:ascii="Segoe UI Symbol" w:eastAsia="Wingdings" w:hAnsi="Segoe UI Symbol" w:cs="Segoe UI Symbol"/>
              </w:rPr>
              <w:t>✓</w:t>
            </w:r>
          </w:p>
        </w:tc>
        <w:tc>
          <w:tcPr>
            <w:tcW w:w="1384" w:type="dxa"/>
          </w:tcPr>
          <w:p w14:paraId="5D5F7B43" w14:textId="77777777" w:rsidR="00CF7917" w:rsidRPr="00190C38" w:rsidRDefault="00CF7917" w:rsidP="00190C38">
            <w:pPr>
              <w:jc w:val="both"/>
              <w:rPr>
                <w:rFonts w:ascii="Arial" w:hAnsi="Arial" w:cs="Arial"/>
              </w:rPr>
            </w:pPr>
          </w:p>
        </w:tc>
      </w:tr>
      <w:tr w:rsidR="00835C4E" w:rsidRPr="00190C38" w14:paraId="667EB326" w14:textId="77777777" w:rsidTr="00635DF6">
        <w:tc>
          <w:tcPr>
            <w:tcW w:w="2676" w:type="dxa"/>
            <w:vMerge w:val="restart"/>
          </w:tcPr>
          <w:p w14:paraId="6FC026CE" w14:textId="6F9BBF01" w:rsidR="00835C4E" w:rsidRPr="00190C38" w:rsidRDefault="00835C4E" w:rsidP="00190C38">
            <w:pPr>
              <w:jc w:val="both"/>
              <w:rPr>
                <w:rFonts w:ascii="Arial" w:hAnsi="Arial" w:cs="Arial"/>
                <w:highlight w:val="yellow"/>
              </w:rPr>
            </w:pPr>
            <w:r w:rsidRPr="00190C38">
              <w:rPr>
                <w:rFonts w:ascii="Arial" w:hAnsi="Arial" w:cs="Arial"/>
              </w:rPr>
              <w:t xml:space="preserve">5. </w:t>
            </w:r>
            <w:proofErr w:type="spellStart"/>
            <w:r w:rsidRPr="00190C38">
              <w:rPr>
                <w:rFonts w:ascii="Arial" w:hAnsi="Arial" w:cs="Arial"/>
              </w:rPr>
              <w:t>Comportamietno</w:t>
            </w:r>
            <w:proofErr w:type="spellEnd"/>
            <w:r w:rsidRPr="00190C38">
              <w:rPr>
                <w:rFonts w:ascii="Arial" w:hAnsi="Arial" w:cs="Arial"/>
              </w:rPr>
              <w:t xml:space="preserve"> </w:t>
            </w:r>
            <w:proofErr w:type="spellStart"/>
            <w:r w:rsidRPr="00190C38">
              <w:rPr>
                <w:rFonts w:ascii="Arial" w:hAnsi="Arial" w:cs="Arial"/>
              </w:rPr>
              <w:t>migratorio</w:t>
            </w:r>
            <w:proofErr w:type="spellEnd"/>
          </w:p>
        </w:tc>
        <w:tc>
          <w:tcPr>
            <w:tcW w:w="3128" w:type="dxa"/>
          </w:tcPr>
          <w:p w14:paraId="399D9FDA" w14:textId="23CD904B" w:rsidR="00835C4E" w:rsidRPr="00190C38" w:rsidRDefault="00835C4E" w:rsidP="00190C38">
            <w:pPr>
              <w:jc w:val="both"/>
              <w:rPr>
                <w:rFonts w:ascii="Arial" w:hAnsi="Arial" w:cs="Arial"/>
              </w:rPr>
            </w:pPr>
            <w:r w:rsidRPr="00190C38">
              <w:rPr>
                <w:rFonts w:ascii="Arial" w:hAnsi="Arial" w:cs="Arial"/>
              </w:rPr>
              <w:t xml:space="preserve">5.1 Patron de </w:t>
            </w:r>
            <w:proofErr w:type="spellStart"/>
            <w:r w:rsidRPr="00190C38">
              <w:rPr>
                <w:rFonts w:ascii="Arial" w:hAnsi="Arial" w:cs="Arial"/>
              </w:rPr>
              <w:t>movimiento</w:t>
            </w:r>
            <w:proofErr w:type="spellEnd"/>
          </w:p>
        </w:tc>
        <w:tc>
          <w:tcPr>
            <w:tcW w:w="1828" w:type="dxa"/>
          </w:tcPr>
          <w:p w14:paraId="6F0A4123" w14:textId="77777777" w:rsidR="00835C4E" w:rsidRPr="00190C38" w:rsidRDefault="00835C4E" w:rsidP="00190C38">
            <w:pPr>
              <w:jc w:val="both"/>
              <w:rPr>
                <w:rFonts w:ascii="Arial" w:hAnsi="Arial" w:cs="Arial"/>
              </w:rPr>
            </w:pPr>
          </w:p>
        </w:tc>
        <w:tc>
          <w:tcPr>
            <w:tcW w:w="1384" w:type="dxa"/>
            <w:shd w:val="clear" w:color="auto" w:fill="2A8A86"/>
          </w:tcPr>
          <w:p w14:paraId="7771DED6" w14:textId="77777777" w:rsidR="00835C4E" w:rsidRPr="00190C38" w:rsidRDefault="00835C4E" w:rsidP="00190C38">
            <w:pPr>
              <w:jc w:val="both"/>
              <w:rPr>
                <w:rFonts w:ascii="Arial" w:hAnsi="Arial" w:cs="Arial"/>
              </w:rPr>
            </w:pPr>
            <w:r w:rsidRPr="00190C38">
              <w:rPr>
                <w:rFonts w:ascii="Segoe UI Symbol" w:eastAsia="Wingdings" w:hAnsi="Segoe UI Symbol" w:cs="Segoe UI Symbol"/>
              </w:rPr>
              <w:t>✓</w:t>
            </w:r>
          </w:p>
        </w:tc>
      </w:tr>
      <w:tr w:rsidR="00835C4E" w:rsidRPr="00190C38" w14:paraId="43BF9A33" w14:textId="77777777" w:rsidTr="00835C4E">
        <w:tc>
          <w:tcPr>
            <w:tcW w:w="2676" w:type="dxa"/>
            <w:vMerge/>
          </w:tcPr>
          <w:p w14:paraId="53FFFCC3" w14:textId="77777777" w:rsidR="00835C4E" w:rsidRPr="00190C38" w:rsidRDefault="00835C4E" w:rsidP="00190C38">
            <w:pPr>
              <w:jc w:val="both"/>
              <w:rPr>
                <w:rFonts w:ascii="Arial" w:hAnsi="Arial" w:cs="Arial"/>
              </w:rPr>
            </w:pPr>
          </w:p>
        </w:tc>
        <w:tc>
          <w:tcPr>
            <w:tcW w:w="3128" w:type="dxa"/>
            <w:shd w:val="clear" w:color="auto" w:fill="auto"/>
          </w:tcPr>
          <w:p w14:paraId="1E90B430" w14:textId="28D870BC" w:rsidR="00835C4E" w:rsidRPr="00190C38" w:rsidRDefault="00835C4E" w:rsidP="00190C38">
            <w:pPr>
              <w:jc w:val="both"/>
              <w:rPr>
                <w:rFonts w:ascii="Arial" w:hAnsi="Arial" w:cs="Arial"/>
                <w:lang w:val="es-ES"/>
              </w:rPr>
            </w:pPr>
            <w:r w:rsidRPr="00190C38">
              <w:rPr>
                <w:rFonts w:ascii="Arial" w:hAnsi="Arial" w:cs="Arial"/>
                <w:lang w:val="es-ES"/>
              </w:rPr>
              <w:t>5.2 Proporción de población migratoria mundial</w:t>
            </w:r>
          </w:p>
        </w:tc>
        <w:tc>
          <w:tcPr>
            <w:tcW w:w="1828" w:type="dxa"/>
            <w:shd w:val="clear" w:color="auto" w:fill="auto"/>
          </w:tcPr>
          <w:p w14:paraId="305D5427" w14:textId="77777777" w:rsidR="00835C4E" w:rsidRPr="00190C38" w:rsidRDefault="00835C4E" w:rsidP="00190C38">
            <w:pPr>
              <w:jc w:val="both"/>
              <w:rPr>
                <w:rFonts w:ascii="Arial" w:hAnsi="Arial" w:cs="Arial"/>
                <w:lang w:val="es-ES"/>
              </w:rPr>
            </w:pPr>
          </w:p>
        </w:tc>
        <w:tc>
          <w:tcPr>
            <w:tcW w:w="1384" w:type="dxa"/>
            <w:shd w:val="clear" w:color="auto" w:fill="auto"/>
          </w:tcPr>
          <w:p w14:paraId="07723749" w14:textId="5F419FFB" w:rsidR="00835C4E" w:rsidRPr="00190C38" w:rsidRDefault="00835C4E" w:rsidP="00190C38">
            <w:pPr>
              <w:jc w:val="both"/>
              <w:rPr>
                <w:rFonts w:ascii="Arial" w:eastAsia="Wingdings" w:hAnsi="Arial" w:cs="Arial"/>
                <w:lang w:val="es-ES"/>
              </w:rPr>
            </w:pPr>
            <w:r w:rsidRPr="00190C38">
              <w:rPr>
                <w:rFonts w:ascii="Segoe UI Symbol" w:eastAsia="Wingdings" w:hAnsi="Segoe UI Symbol" w:cs="Segoe UI Symbol"/>
              </w:rPr>
              <w:t>✓</w:t>
            </w:r>
          </w:p>
        </w:tc>
      </w:tr>
    </w:tbl>
    <w:p w14:paraId="25AB98F1" w14:textId="77777777" w:rsidR="00CF7917" w:rsidRPr="00190C38" w:rsidRDefault="00CF7917" w:rsidP="00190C38">
      <w:pPr>
        <w:spacing w:after="0" w:line="240" w:lineRule="auto"/>
        <w:jc w:val="both"/>
        <w:rPr>
          <w:rFonts w:ascii="Arial" w:hAnsi="Arial" w:cs="Arial"/>
          <w:lang w:val="es-ES"/>
        </w:rPr>
      </w:pPr>
    </w:p>
    <w:p w14:paraId="43170AC0" w14:textId="78C58162" w:rsidR="00CF7917" w:rsidRDefault="00CF7917" w:rsidP="00190C38">
      <w:pPr>
        <w:spacing w:after="0" w:line="240" w:lineRule="auto"/>
        <w:jc w:val="both"/>
        <w:rPr>
          <w:rFonts w:ascii="Arial" w:hAnsi="Arial" w:cs="Arial"/>
          <w:lang w:val="es-ES"/>
        </w:rPr>
      </w:pPr>
      <w:r w:rsidRPr="00190C38">
        <w:rPr>
          <w:rFonts w:ascii="Arial" w:hAnsi="Arial" w:cs="Arial"/>
          <w:lang w:val="es-ES"/>
        </w:rPr>
        <w:t xml:space="preserve">Cada taxón recibe una puntuación para cada criterio, según la disponibilidad de datos. Se calcularán las puntuaciones finales de cada taxón para (a) el impacto del uso directo y el comercio y (b) la elegibilidad para la inclusión en el Apéndice I. Estas puntuaciones finales se basan en la puntuación media de todos los criterios pertinentes (véase la Tabla 1 para los criterios pertinentes) a los que se podría asignar una puntuación. Los criterios para los que no se podría asignar una puntuación para un taxón individual no se incluirán en la puntuación final de ese taxón para evitar que se produzca un sesgo la puntuación; esto incluye los casos en los que los taxones aún no tienen una evaluación de la Lista Roja de la UICN, en los que los datos eran desconocidos o en los que no estaban disponibles, por ejemplo. </w:t>
      </w:r>
    </w:p>
    <w:p w14:paraId="4C01750D" w14:textId="77777777" w:rsidR="00B10D9F" w:rsidRPr="00190C38" w:rsidRDefault="00B10D9F" w:rsidP="00190C38">
      <w:pPr>
        <w:spacing w:after="0" w:line="240" w:lineRule="auto"/>
        <w:jc w:val="both"/>
        <w:rPr>
          <w:rFonts w:ascii="Arial" w:hAnsi="Arial" w:cs="Arial"/>
          <w:lang w:val="es-ES"/>
        </w:rPr>
      </w:pPr>
    </w:p>
    <w:p w14:paraId="6604403D" w14:textId="6EF455A7" w:rsidR="00CF7917" w:rsidRDefault="00CF7917" w:rsidP="00190C38">
      <w:pPr>
        <w:spacing w:after="0" w:line="240" w:lineRule="auto"/>
        <w:jc w:val="both"/>
        <w:rPr>
          <w:rFonts w:ascii="Arial" w:hAnsi="Arial" w:cs="Arial"/>
          <w:b/>
          <w:i/>
          <w:lang w:val="es-ES"/>
        </w:rPr>
      </w:pPr>
      <w:r w:rsidRPr="00190C38">
        <w:rPr>
          <w:rFonts w:ascii="Arial" w:hAnsi="Arial" w:cs="Arial"/>
          <w:b/>
          <w:i/>
          <w:lang w:val="es-ES"/>
        </w:rPr>
        <w:t>Impacto del uso directo y del comercio</w:t>
      </w:r>
    </w:p>
    <w:p w14:paraId="2E86D105" w14:textId="77777777" w:rsidR="00B10D9F" w:rsidRPr="00190C38" w:rsidRDefault="00B10D9F" w:rsidP="00190C38">
      <w:pPr>
        <w:spacing w:after="0" w:line="240" w:lineRule="auto"/>
        <w:jc w:val="both"/>
        <w:rPr>
          <w:rFonts w:ascii="Arial" w:hAnsi="Arial" w:cs="Arial"/>
          <w:b/>
          <w:lang w:val="es-ES"/>
        </w:rPr>
      </w:pPr>
    </w:p>
    <w:p w14:paraId="4C2151DB" w14:textId="2CA3A767" w:rsidR="00CF7917" w:rsidRDefault="00CF7917" w:rsidP="00190C38">
      <w:pPr>
        <w:spacing w:after="0" w:line="240" w:lineRule="auto"/>
        <w:jc w:val="both"/>
        <w:rPr>
          <w:rFonts w:ascii="Arial" w:hAnsi="Arial" w:cs="Arial"/>
          <w:lang w:val="es-ES"/>
        </w:rPr>
      </w:pPr>
      <w:r w:rsidRPr="00190C38">
        <w:rPr>
          <w:rFonts w:ascii="Arial" w:hAnsi="Arial" w:cs="Arial"/>
          <w:lang w:val="es-ES"/>
        </w:rPr>
        <w:t>El uso directo y el comercio de las especies del Apéndice I y la aplicación del artículo III de la Convención relativo al comercio internacional de las especies incluidas en el Apéndice I se señalaron como una preocupación particular en la COP13 de la CMS (</w:t>
      </w:r>
      <w:hyperlink r:id="rId16" w:history="1">
        <w:r w:rsidRPr="00190C38">
          <w:rPr>
            <w:rStyle w:val="Hyperlink"/>
            <w:rFonts w:ascii="Arial" w:hAnsi="Arial" w:cs="Arial"/>
            <w:lang w:val="es-ES"/>
          </w:rPr>
          <w:t>Decisiones 13.16-18</w:t>
        </w:r>
      </w:hyperlink>
      <w:r w:rsidRPr="00190C38">
        <w:rPr>
          <w:rFonts w:ascii="Arial" w:hAnsi="Arial" w:cs="Arial"/>
          <w:lang w:val="es-ES"/>
        </w:rPr>
        <w:t>). Tal y como se describe en el artículo III 5 de la Convención, las especies incluidas en el Apéndice I no pueden cazarse salvo en circunstancias muy concretas.</w:t>
      </w:r>
    </w:p>
    <w:p w14:paraId="6F72D50D" w14:textId="77777777" w:rsidR="00B10D9F" w:rsidRPr="00190C38" w:rsidRDefault="00B10D9F" w:rsidP="00190C38">
      <w:pPr>
        <w:spacing w:after="0" w:line="240" w:lineRule="auto"/>
        <w:jc w:val="both"/>
        <w:rPr>
          <w:rFonts w:ascii="Arial" w:hAnsi="Arial" w:cs="Arial"/>
          <w:lang w:val="es-ES"/>
        </w:rPr>
      </w:pPr>
    </w:p>
    <w:p w14:paraId="354E1567" w14:textId="77777777" w:rsidR="00CF7917" w:rsidRPr="00190C38" w:rsidRDefault="00CF7917" w:rsidP="00B10D9F">
      <w:pPr>
        <w:spacing w:after="120" w:line="240" w:lineRule="auto"/>
        <w:jc w:val="both"/>
        <w:rPr>
          <w:rFonts w:ascii="Arial" w:hAnsi="Arial" w:cs="Arial"/>
          <w:lang w:val="es-ES"/>
        </w:rPr>
      </w:pPr>
      <w:r w:rsidRPr="00190C38">
        <w:rPr>
          <w:rFonts w:ascii="Arial" w:hAnsi="Arial" w:cs="Arial"/>
          <w:lang w:val="es-ES"/>
        </w:rPr>
        <w:t xml:space="preserve">Los taxones identificados como altamente afectados por el uso directo y el comercio (es decir, con </w:t>
      </w:r>
      <w:r w:rsidRPr="00190C38">
        <w:rPr>
          <w:rFonts w:ascii="Arial" w:hAnsi="Arial" w:cs="Arial"/>
          <w:b/>
          <w:bCs/>
          <w:lang w:val="es-ES"/>
        </w:rPr>
        <w:t>altas puntuaciones generales</w:t>
      </w:r>
      <w:r w:rsidRPr="00190C38">
        <w:rPr>
          <w:rFonts w:ascii="Arial" w:hAnsi="Arial" w:cs="Arial"/>
          <w:lang w:val="es-ES"/>
        </w:rPr>
        <w:t>) serán aquellos con:</w:t>
      </w:r>
    </w:p>
    <w:p w14:paraId="0F97D7E7" w14:textId="77777777" w:rsidR="00CF7917" w:rsidRPr="00190C38" w:rsidRDefault="00CF7917" w:rsidP="00B10D9F">
      <w:pPr>
        <w:pStyle w:val="ListParagraph"/>
        <w:numPr>
          <w:ilvl w:val="0"/>
          <w:numId w:val="35"/>
        </w:numPr>
        <w:spacing w:after="80" w:line="240" w:lineRule="auto"/>
        <w:contextualSpacing w:val="0"/>
        <w:jc w:val="both"/>
        <w:rPr>
          <w:rFonts w:ascii="Arial" w:hAnsi="Arial" w:cs="Arial"/>
          <w:lang w:val="es-ES"/>
        </w:rPr>
      </w:pPr>
      <w:r w:rsidRPr="00190C38">
        <w:rPr>
          <w:rFonts w:ascii="Arial" w:hAnsi="Arial" w:cs="Arial"/>
          <w:lang w:val="es-ES"/>
        </w:rPr>
        <w:t xml:space="preserve">Alto riesgo de extinción mundial (categoría 1). </w:t>
      </w:r>
    </w:p>
    <w:p w14:paraId="4F427755" w14:textId="77777777" w:rsidR="00CF7917" w:rsidRPr="00190C38" w:rsidRDefault="00CF7917" w:rsidP="00B10D9F">
      <w:pPr>
        <w:pStyle w:val="ListParagraph"/>
        <w:numPr>
          <w:ilvl w:val="0"/>
          <w:numId w:val="35"/>
        </w:numPr>
        <w:spacing w:after="80" w:line="240" w:lineRule="auto"/>
        <w:contextualSpacing w:val="0"/>
        <w:jc w:val="both"/>
        <w:rPr>
          <w:rFonts w:ascii="Arial" w:hAnsi="Arial" w:cs="Arial"/>
          <w:lang w:val="es-ES"/>
        </w:rPr>
      </w:pPr>
      <w:r w:rsidRPr="00190C38">
        <w:rPr>
          <w:rFonts w:ascii="Arial" w:hAnsi="Arial" w:cs="Arial"/>
          <w:lang w:val="es-ES"/>
        </w:rPr>
        <w:t xml:space="preserve">Alta vulnerabilidad biológica debido, por ejemplo, a una tasa de reproducción lenta o a un alto grado de especialización del hábitat (categoría 2). </w:t>
      </w:r>
    </w:p>
    <w:p w14:paraId="43E8DD7B" w14:textId="77777777" w:rsidR="00CF7917" w:rsidRPr="00190C38" w:rsidRDefault="00CF7917" w:rsidP="00B10D9F">
      <w:pPr>
        <w:pStyle w:val="ListParagraph"/>
        <w:numPr>
          <w:ilvl w:val="0"/>
          <w:numId w:val="35"/>
        </w:numPr>
        <w:spacing w:after="80" w:line="240" w:lineRule="auto"/>
        <w:contextualSpacing w:val="0"/>
        <w:jc w:val="both"/>
        <w:rPr>
          <w:rFonts w:ascii="Arial" w:hAnsi="Arial" w:cs="Arial"/>
          <w:lang w:val="es-ES"/>
        </w:rPr>
      </w:pPr>
      <w:r w:rsidRPr="00190C38">
        <w:rPr>
          <w:rFonts w:ascii="Arial" w:hAnsi="Arial" w:cs="Arial"/>
          <w:lang w:val="es-ES"/>
        </w:rPr>
        <w:lastRenderedPageBreak/>
        <w:t xml:space="preserve">Datos del comercio internacional legal e ilegal, así como del uso/consumo doméstico (categoría 3). </w:t>
      </w:r>
    </w:p>
    <w:p w14:paraId="57859D36" w14:textId="21B60255" w:rsidR="00CF7917" w:rsidRDefault="00CF7917" w:rsidP="00190C38">
      <w:pPr>
        <w:pStyle w:val="ListParagraph"/>
        <w:numPr>
          <w:ilvl w:val="0"/>
          <w:numId w:val="35"/>
        </w:numPr>
        <w:spacing w:after="0" w:line="240" w:lineRule="auto"/>
        <w:jc w:val="both"/>
        <w:rPr>
          <w:rFonts w:ascii="Arial" w:hAnsi="Arial" w:cs="Arial"/>
          <w:lang w:val="es-ES"/>
        </w:rPr>
      </w:pPr>
      <w:r w:rsidRPr="00190C38">
        <w:rPr>
          <w:rFonts w:ascii="Arial" w:hAnsi="Arial" w:cs="Arial"/>
          <w:lang w:val="es-ES"/>
        </w:rPr>
        <w:t>Aquellos taxones que no cuentan con esfuerzos o medidas de gestión (categoría 4).</w:t>
      </w:r>
    </w:p>
    <w:p w14:paraId="5E8428EE" w14:textId="77777777" w:rsidR="00B10D9F" w:rsidRPr="00190C38" w:rsidRDefault="00B10D9F" w:rsidP="00B10D9F">
      <w:pPr>
        <w:pStyle w:val="ListParagraph"/>
        <w:spacing w:after="0" w:line="240" w:lineRule="auto"/>
        <w:ind w:left="1080"/>
        <w:jc w:val="both"/>
        <w:rPr>
          <w:rFonts w:ascii="Arial" w:hAnsi="Arial" w:cs="Arial"/>
          <w:lang w:val="es-ES"/>
        </w:rPr>
      </w:pPr>
    </w:p>
    <w:p w14:paraId="3BECFF2D" w14:textId="0F231931" w:rsidR="00CF7917" w:rsidRDefault="00CF7917" w:rsidP="00190C38">
      <w:pPr>
        <w:spacing w:after="0" w:line="240" w:lineRule="auto"/>
        <w:jc w:val="both"/>
        <w:rPr>
          <w:rFonts w:ascii="Arial" w:hAnsi="Arial" w:cs="Arial"/>
          <w:lang w:val="es-ES"/>
        </w:rPr>
      </w:pPr>
      <w:r w:rsidRPr="00190C38">
        <w:rPr>
          <w:rFonts w:ascii="Arial" w:hAnsi="Arial" w:cs="Arial"/>
          <w:lang w:val="es-ES"/>
        </w:rPr>
        <w:t>Los resultados ayudarán a comprender mejor qué especies se ven afectadas por el uso directo y el comercio.</w:t>
      </w:r>
    </w:p>
    <w:p w14:paraId="508A2166" w14:textId="77777777" w:rsidR="00B10D9F" w:rsidRPr="00190C38" w:rsidRDefault="00B10D9F" w:rsidP="00190C38">
      <w:pPr>
        <w:spacing w:after="0" w:line="240" w:lineRule="auto"/>
        <w:jc w:val="both"/>
        <w:rPr>
          <w:rFonts w:ascii="Arial" w:hAnsi="Arial" w:cs="Arial"/>
          <w:lang w:val="es-ES"/>
        </w:rPr>
      </w:pPr>
    </w:p>
    <w:p w14:paraId="7A3583FA" w14:textId="2BE1D846" w:rsidR="00B10D9F" w:rsidRDefault="00CF7917" w:rsidP="00190C38">
      <w:pPr>
        <w:keepNext/>
        <w:spacing w:after="0" w:line="240" w:lineRule="auto"/>
        <w:jc w:val="both"/>
        <w:rPr>
          <w:rFonts w:ascii="Arial" w:hAnsi="Arial" w:cs="Arial"/>
          <w:b/>
          <w:i/>
          <w:lang w:val="es-ES"/>
        </w:rPr>
      </w:pPr>
      <w:r w:rsidRPr="00190C38">
        <w:rPr>
          <w:rFonts w:ascii="Arial" w:hAnsi="Arial" w:cs="Arial"/>
          <w:b/>
          <w:i/>
          <w:lang w:val="es-ES"/>
        </w:rPr>
        <w:t>Elegibilidad para la inclusión en el Apéndice I</w:t>
      </w:r>
    </w:p>
    <w:p w14:paraId="1232C648" w14:textId="77777777" w:rsidR="00B10D9F" w:rsidRPr="00B10D9F" w:rsidRDefault="00B10D9F" w:rsidP="00190C38">
      <w:pPr>
        <w:keepNext/>
        <w:spacing w:after="0" w:line="240" w:lineRule="auto"/>
        <w:jc w:val="both"/>
        <w:rPr>
          <w:rFonts w:ascii="Arial" w:hAnsi="Arial" w:cs="Arial"/>
          <w:b/>
          <w:i/>
          <w:lang w:val="es-ES"/>
        </w:rPr>
      </w:pPr>
    </w:p>
    <w:p w14:paraId="216CA2DA" w14:textId="40ED6B42" w:rsidR="00CF7917" w:rsidRDefault="00CF7917" w:rsidP="00190C38">
      <w:pPr>
        <w:spacing w:after="0" w:line="240" w:lineRule="auto"/>
        <w:jc w:val="both"/>
        <w:rPr>
          <w:rFonts w:ascii="Arial" w:hAnsi="Arial" w:cs="Arial"/>
          <w:lang w:val="es-ES"/>
        </w:rPr>
      </w:pPr>
      <w:r w:rsidRPr="00190C38">
        <w:rPr>
          <w:rFonts w:ascii="Arial" w:hAnsi="Arial" w:cs="Arial"/>
          <w:lang w:val="es-ES"/>
        </w:rPr>
        <w:t xml:space="preserve">Los taxones identificados con pocas posibilidades de elegibilidad para la inclusión en el Apéndice I (es decir, con </w:t>
      </w:r>
      <w:r w:rsidRPr="00190C38">
        <w:rPr>
          <w:rFonts w:ascii="Arial" w:hAnsi="Arial" w:cs="Arial"/>
          <w:b/>
          <w:bCs/>
          <w:lang w:val="es-ES"/>
        </w:rPr>
        <w:t>bajas puntuaciones generales</w:t>
      </w:r>
      <w:r w:rsidRPr="00190C38">
        <w:rPr>
          <w:rFonts w:ascii="Arial" w:hAnsi="Arial" w:cs="Arial"/>
          <w:lang w:val="es-ES"/>
        </w:rPr>
        <w:t>) serán aquellos con un bajo riesgo de extinción actual (categoría 1) y un impacto limitado de las amenazas actuales o futuras (criterio 3.5),</w:t>
      </w:r>
      <w:r w:rsidR="002E0785" w:rsidRPr="00190C38">
        <w:rPr>
          <w:rFonts w:ascii="Arial" w:hAnsi="Arial" w:cs="Arial"/>
          <w:lang w:val="es-ES"/>
        </w:rPr>
        <w:t xml:space="preserve"> y aquellos en los que hay pruebas limitadas de comportamiento migratorio</w:t>
      </w:r>
      <w:r w:rsidRPr="00190C38">
        <w:rPr>
          <w:rFonts w:ascii="Arial" w:hAnsi="Arial" w:cs="Arial"/>
          <w:lang w:val="es-ES"/>
        </w:rPr>
        <w:t xml:space="preserve"> (categoría 5)</w:t>
      </w:r>
      <w:r w:rsidR="002E0785" w:rsidRPr="00190C38">
        <w:rPr>
          <w:rFonts w:ascii="Arial" w:hAnsi="Arial" w:cs="Arial"/>
          <w:vertAlign w:val="superscript"/>
          <w:lang w:val="es-ES"/>
        </w:rPr>
        <w:t xml:space="preserve"> </w:t>
      </w:r>
      <w:r w:rsidR="002E0785" w:rsidRPr="00190C38">
        <w:rPr>
          <w:rFonts w:ascii="Arial" w:hAnsi="Arial" w:cs="Arial"/>
          <w:vertAlign w:val="superscript"/>
        </w:rPr>
        <w:footnoteReference w:id="1"/>
      </w:r>
      <w:r w:rsidR="002E0785" w:rsidRPr="00190C38">
        <w:rPr>
          <w:rFonts w:ascii="Arial" w:hAnsi="Arial" w:cs="Arial"/>
          <w:lang w:val="es-ES"/>
        </w:rPr>
        <w:t>.</w:t>
      </w:r>
    </w:p>
    <w:p w14:paraId="6F38982B" w14:textId="77777777" w:rsidR="00B10D9F" w:rsidRPr="00190C38" w:rsidRDefault="00B10D9F" w:rsidP="00190C38">
      <w:pPr>
        <w:spacing w:after="0" w:line="240" w:lineRule="auto"/>
        <w:jc w:val="both"/>
        <w:rPr>
          <w:rFonts w:ascii="Arial" w:hAnsi="Arial" w:cs="Arial"/>
          <w:lang w:val="es-ES"/>
        </w:rPr>
      </w:pPr>
    </w:p>
    <w:p w14:paraId="347B9408" w14:textId="6932979D" w:rsidR="002E0785" w:rsidRDefault="002E0785" w:rsidP="00190C38">
      <w:pPr>
        <w:spacing w:after="0" w:line="240" w:lineRule="auto"/>
        <w:jc w:val="both"/>
        <w:rPr>
          <w:rFonts w:ascii="Arial" w:hAnsi="Arial" w:cs="Arial"/>
          <w:lang w:val="es-ES"/>
        </w:rPr>
      </w:pPr>
      <w:r w:rsidRPr="00190C38">
        <w:rPr>
          <w:rFonts w:ascii="Arial" w:hAnsi="Arial" w:cs="Arial"/>
          <w:lang w:val="es-ES"/>
        </w:rPr>
        <w:t xml:space="preserve">En relación con las consideraciones migratorias (categoría 5), se recopilarán datos de varias fuentes para dar una indicación de la situación migratoria. Es importante señalar, sin embargo, que dadas las diferencias en la definición de "migratorio" utilizada por la CMS, la UICN y otros proveedores de datos, estos criterios no proporcionan una conclusión sobre si las especies cumplen o no con la definición de migratorio de la CMS. </w:t>
      </w:r>
    </w:p>
    <w:p w14:paraId="54EF54C0" w14:textId="77777777" w:rsidR="00B10D9F" w:rsidRPr="00190C38" w:rsidRDefault="00B10D9F" w:rsidP="00190C38">
      <w:pPr>
        <w:spacing w:after="0" w:line="240" w:lineRule="auto"/>
        <w:jc w:val="both"/>
        <w:rPr>
          <w:rFonts w:ascii="Arial" w:hAnsi="Arial" w:cs="Arial"/>
          <w:lang w:val="es-ES"/>
        </w:rPr>
      </w:pPr>
    </w:p>
    <w:p w14:paraId="5FB044A8" w14:textId="7C93271B" w:rsidR="00CF7917" w:rsidRDefault="00CF7917" w:rsidP="00190C38">
      <w:pPr>
        <w:spacing w:after="0" w:line="240" w:lineRule="auto"/>
        <w:jc w:val="both"/>
        <w:rPr>
          <w:rFonts w:ascii="Arial" w:hAnsi="Arial" w:cs="Arial"/>
          <w:lang w:val="es-ES"/>
        </w:rPr>
      </w:pPr>
      <w:r w:rsidRPr="00190C38">
        <w:rPr>
          <w:rFonts w:ascii="Arial" w:hAnsi="Arial" w:cs="Arial"/>
          <w:lang w:val="es-ES"/>
        </w:rPr>
        <w:t>Los resultados proporcionarán información sobre el estado de conservación y el estado migratorio de cada una de las especies del Apéndice I para ayudar a mejorar la comprensión de la idoneidad y elegibilidad de las inclusiones.</w:t>
      </w:r>
    </w:p>
    <w:p w14:paraId="34504373" w14:textId="77777777" w:rsidR="00B10D9F" w:rsidRPr="00190C38" w:rsidRDefault="00B10D9F" w:rsidP="00190C38">
      <w:pPr>
        <w:spacing w:after="0" w:line="240" w:lineRule="auto"/>
        <w:jc w:val="both"/>
        <w:rPr>
          <w:rFonts w:ascii="Arial" w:hAnsi="Arial" w:cs="Arial"/>
          <w:lang w:val="es-ES"/>
        </w:rPr>
      </w:pPr>
    </w:p>
    <w:p w14:paraId="0846DB78" w14:textId="06386A5F" w:rsidR="00CF7917" w:rsidRDefault="00CF7917" w:rsidP="00190C38">
      <w:pPr>
        <w:spacing w:after="0" w:line="240" w:lineRule="auto"/>
        <w:jc w:val="both"/>
        <w:rPr>
          <w:rFonts w:ascii="Arial" w:hAnsi="Arial" w:cs="Arial"/>
          <w:b/>
          <w:i/>
          <w:lang w:val="es-ES"/>
        </w:rPr>
      </w:pPr>
      <w:r w:rsidRPr="00190C38">
        <w:rPr>
          <w:rFonts w:ascii="Arial" w:hAnsi="Arial" w:cs="Arial"/>
          <w:b/>
          <w:i/>
          <w:lang w:val="es-ES"/>
        </w:rPr>
        <w:t>Datos incluidos</w:t>
      </w:r>
    </w:p>
    <w:p w14:paraId="3D557EF3" w14:textId="77777777" w:rsidR="00B10D9F" w:rsidRPr="00190C38" w:rsidRDefault="00B10D9F" w:rsidP="00190C38">
      <w:pPr>
        <w:spacing w:after="0" w:line="240" w:lineRule="auto"/>
        <w:jc w:val="both"/>
        <w:rPr>
          <w:rFonts w:ascii="Arial" w:hAnsi="Arial" w:cs="Arial"/>
          <w:b/>
          <w:i/>
          <w:lang w:val="es-ES"/>
        </w:rPr>
      </w:pPr>
    </w:p>
    <w:p w14:paraId="215E366E" w14:textId="13F41236" w:rsidR="00CF7917" w:rsidRDefault="00CF7917" w:rsidP="00190C38">
      <w:pPr>
        <w:spacing w:after="0" w:line="240" w:lineRule="auto"/>
        <w:jc w:val="both"/>
        <w:rPr>
          <w:rFonts w:ascii="Arial" w:hAnsi="Arial" w:cs="Arial"/>
          <w:lang w:val="es-ES"/>
        </w:rPr>
      </w:pPr>
      <w:r w:rsidRPr="00190C38">
        <w:rPr>
          <w:rFonts w:ascii="Arial" w:hAnsi="Arial" w:cs="Arial"/>
          <w:lang w:val="es-ES"/>
        </w:rPr>
        <w:t>La evaluación se basa en conjuntos de datos disponibles públicamente (informes nacionales de la CMS</w:t>
      </w:r>
      <w:r w:rsidRPr="00190C38">
        <w:rPr>
          <w:rStyle w:val="FootnoteReference"/>
          <w:rFonts w:ascii="Arial" w:hAnsi="Arial" w:cs="Arial"/>
        </w:rPr>
        <w:footnoteReference w:id="2"/>
      </w:r>
      <w:r w:rsidRPr="00190C38">
        <w:rPr>
          <w:rFonts w:ascii="Arial" w:hAnsi="Arial" w:cs="Arial"/>
          <w:lang w:val="es-ES"/>
        </w:rPr>
        <w:t xml:space="preserve">, </w:t>
      </w:r>
      <w:r w:rsidR="002E0785" w:rsidRPr="00190C38">
        <w:rPr>
          <w:rFonts w:ascii="Arial" w:hAnsi="Arial" w:cs="Arial"/>
          <w:lang w:val="es-ES"/>
        </w:rPr>
        <w:t>Lista de Estados de Distribución de la CMS</w:t>
      </w:r>
      <w:r w:rsidRPr="00190C38">
        <w:rPr>
          <w:rFonts w:ascii="Arial" w:hAnsi="Arial" w:cs="Arial"/>
          <w:lang w:val="es-ES"/>
        </w:rPr>
        <w:t>, base de datos de comercio de la CITES, la Lista Roja de Especies Amenazadas de la UICN</w:t>
      </w:r>
      <w:r w:rsidRPr="00190C38">
        <w:rPr>
          <w:rFonts w:ascii="Arial" w:hAnsi="Arial" w:cs="Arial"/>
          <w:vertAlign w:val="superscript"/>
          <w:lang w:val="es-ES"/>
        </w:rPr>
        <w:t>TM</w:t>
      </w:r>
      <w:r w:rsidRPr="00190C38">
        <w:rPr>
          <w:rFonts w:ascii="Arial" w:hAnsi="Arial" w:cs="Arial"/>
          <w:lang w:val="es-ES"/>
        </w:rPr>
        <w:t>, datos sobre incautaciones de TRAFFIC, UENP/CMS/COP13/Doc.27.3 Anexo 3</w:t>
      </w:r>
      <w:r w:rsidRPr="00190C38">
        <w:rPr>
          <w:rStyle w:val="FootnoteReference"/>
          <w:rFonts w:ascii="Arial" w:hAnsi="Arial" w:cs="Arial"/>
        </w:rPr>
        <w:footnoteReference w:id="3"/>
      </w:r>
      <w:r w:rsidRPr="00190C38">
        <w:rPr>
          <w:rFonts w:ascii="Arial" w:hAnsi="Arial" w:cs="Arial"/>
          <w:lang w:val="es-ES"/>
        </w:rPr>
        <w:t xml:space="preserve"> y varias fuentes adicionales de datos biológicos/ecológicos), así como en los datos de importación de los Estados Unidos de América adquiridos de LEMIS a través de una solicitud de FOIA.</w:t>
      </w:r>
    </w:p>
    <w:p w14:paraId="156B649B" w14:textId="77777777" w:rsidR="00B10D9F" w:rsidRPr="00190C38" w:rsidRDefault="00B10D9F" w:rsidP="00190C38">
      <w:pPr>
        <w:spacing w:after="0" w:line="240" w:lineRule="auto"/>
        <w:jc w:val="both"/>
        <w:rPr>
          <w:rFonts w:ascii="Arial" w:hAnsi="Arial" w:cs="Arial"/>
          <w:lang w:val="es-ES"/>
        </w:rPr>
      </w:pPr>
    </w:p>
    <w:p w14:paraId="365AD767" w14:textId="53FF509F" w:rsidR="00CF7917" w:rsidRDefault="00CF7917" w:rsidP="00190C38">
      <w:pPr>
        <w:spacing w:after="0" w:line="240" w:lineRule="auto"/>
        <w:jc w:val="both"/>
        <w:rPr>
          <w:rFonts w:ascii="Arial" w:hAnsi="Arial" w:cs="Arial"/>
          <w:lang w:val="es-ES"/>
        </w:rPr>
      </w:pPr>
      <w:r w:rsidRPr="00190C38">
        <w:rPr>
          <w:rFonts w:ascii="Arial" w:hAnsi="Arial" w:cs="Arial"/>
          <w:lang w:val="es-ES"/>
        </w:rPr>
        <w:t>El Consejo Científico de la CMS podría considerar si algunas categorías o criterios son más prioritarios que otros (por ejemplo, la categoría 3 para priorizar las especies amenazadas por el uso/comercio) y podrían beneficiarse de tener puntuaciones ponderadas. Las sugerencias de criterios que en las que se puede justificar una ponderación se indican con un asterisco en la Tabla 1.</w:t>
      </w:r>
    </w:p>
    <w:p w14:paraId="04C4B417" w14:textId="77777777" w:rsidR="00B10D9F" w:rsidRPr="00190C38" w:rsidRDefault="00B10D9F" w:rsidP="00190C38">
      <w:pPr>
        <w:spacing w:after="0" w:line="240" w:lineRule="auto"/>
        <w:jc w:val="both"/>
        <w:rPr>
          <w:rFonts w:ascii="Arial" w:hAnsi="Arial" w:cs="Arial"/>
          <w:highlight w:val="green"/>
          <w:lang w:val="es-ES"/>
        </w:rPr>
      </w:pPr>
    </w:p>
    <w:p w14:paraId="56066228" w14:textId="77777777" w:rsidR="00CF7917" w:rsidRPr="00190C38" w:rsidRDefault="00CF7917" w:rsidP="00B10D9F">
      <w:pPr>
        <w:spacing w:after="120" w:line="240" w:lineRule="auto"/>
        <w:jc w:val="both"/>
        <w:rPr>
          <w:rFonts w:ascii="Arial" w:hAnsi="Arial" w:cs="Arial"/>
          <w:kern w:val="20"/>
          <w:highlight w:val="yellow"/>
          <w:lang w:val="es-ES"/>
        </w:rPr>
      </w:pPr>
      <w:r w:rsidRPr="00190C38">
        <w:rPr>
          <w:rFonts w:ascii="Arial" w:hAnsi="Arial" w:cs="Arial"/>
          <w:kern w:val="20"/>
          <w:lang w:val="es-ES"/>
        </w:rPr>
        <w:t>Además de proporcionar una puntuación para cada criterio y, cuando sea posible, los datos en los que se basa dicha puntuación</w:t>
      </w:r>
      <w:r w:rsidRPr="00190C38">
        <w:rPr>
          <w:rStyle w:val="FootnoteReference"/>
          <w:rFonts w:ascii="Arial" w:hAnsi="Arial" w:cs="Arial"/>
          <w:kern w:val="20"/>
        </w:rPr>
        <w:footnoteReference w:id="4"/>
      </w:r>
      <w:r w:rsidRPr="00190C38">
        <w:rPr>
          <w:rFonts w:ascii="Arial" w:hAnsi="Arial" w:cs="Arial"/>
          <w:kern w:val="20"/>
          <w:lang w:val="es-ES"/>
        </w:rPr>
        <w:t>, también se proporcionará información contextual no puntuable para apoyar la identificación de los taxones más prioritarios en función de (a) el uso directo y el comercio o (b) la posibilidad de incluirlos en el Apéndice I, incluidos los siguientes aspectos</w:t>
      </w:r>
      <w:r w:rsidRPr="00190C38">
        <w:rPr>
          <w:rFonts w:ascii="Arial" w:hAnsi="Arial" w:cs="Arial"/>
          <w:lang w:val="es-ES"/>
        </w:rPr>
        <w:t>:</w:t>
      </w:r>
    </w:p>
    <w:p w14:paraId="4DF08D45" w14:textId="77777777" w:rsidR="00CF7917" w:rsidRPr="00190C38" w:rsidRDefault="00CF7917" w:rsidP="00B10D9F">
      <w:pPr>
        <w:pStyle w:val="ListParagraph"/>
        <w:numPr>
          <w:ilvl w:val="0"/>
          <w:numId w:val="2"/>
        </w:numPr>
        <w:spacing w:after="80" w:line="240" w:lineRule="auto"/>
        <w:ind w:left="360"/>
        <w:contextualSpacing w:val="0"/>
        <w:jc w:val="both"/>
        <w:rPr>
          <w:rFonts w:ascii="Arial" w:hAnsi="Arial" w:cs="Arial"/>
          <w:lang w:val="es-ES"/>
        </w:rPr>
      </w:pPr>
      <w:r w:rsidRPr="00190C38">
        <w:rPr>
          <w:rFonts w:ascii="Arial" w:hAnsi="Arial" w:cs="Arial"/>
          <w:lang w:val="es-ES"/>
        </w:rPr>
        <w:t xml:space="preserve">El </w:t>
      </w:r>
      <w:r w:rsidRPr="00190C38">
        <w:rPr>
          <w:rFonts w:ascii="Arial" w:hAnsi="Arial" w:cs="Arial"/>
          <w:b/>
          <w:lang w:val="es-ES"/>
        </w:rPr>
        <w:t>año que figura</w:t>
      </w:r>
      <w:r w:rsidRPr="00190C38">
        <w:rPr>
          <w:rFonts w:ascii="Arial" w:hAnsi="Arial" w:cs="Arial"/>
          <w:lang w:val="es-ES"/>
        </w:rPr>
        <w:t xml:space="preserve"> en el Apéndice I de la CMS.</w:t>
      </w:r>
    </w:p>
    <w:p w14:paraId="206869C2" w14:textId="77777777" w:rsidR="00CF7917" w:rsidRPr="00190C38" w:rsidRDefault="00CF7917" w:rsidP="00B10D9F">
      <w:pPr>
        <w:pStyle w:val="ListParagraph"/>
        <w:numPr>
          <w:ilvl w:val="0"/>
          <w:numId w:val="2"/>
        </w:numPr>
        <w:spacing w:after="80" w:line="240" w:lineRule="auto"/>
        <w:ind w:left="360"/>
        <w:contextualSpacing w:val="0"/>
        <w:jc w:val="both"/>
        <w:rPr>
          <w:rFonts w:ascii="Arial" w:hAnsi="Arial" w:cs="Arial"/>
          <w:lang w:val="es-ES"/>
        </w:rPr>
      </w:pPr>
      <w:r w:rsidRPr="00190C38">
        <w:rPr>
          <w:rFonts w:ascii="Arial" w:hAnsi="Arial" w:cs="Arial"/>
          <w:lang w:val="es-ES"/>
        </w:rPr>
        <w:t>Si el taxón también está incluido en el</w:t>
      </w:r>
      <w:r w:rsidRPr="00190C38">
        <w:rPr>
          <w:rFonts w:ascii="Arial" w:hAnsi="Arial" w:cs="Arial"/>
          <w:b/>
          <w:bCs/>
          <w:lang w:val="es-ES"/>
        </w:rPr>
        <w:t xml:space="preserve"> Apéndice II</w:t>
      </w:r>
      <w:r w:rsidRPr="00190C38">
        <w:rPr>
          <w:rFonts w:ascii="Arial" w:hAnsi="Arial" w:cs="Arial"/>
          <w:lang w:val="es-ES"/>
        </w:rPr>
        <w:t xml:space="preserve"> de la CMS.; </w:t>
      </w:r>
    </w:p>
    <w:p w14:paraId="60ADFB36" w14:textId="77777777" w:rsidR="00CF7917" w:rsidRPr="00190C38" w:rsidRDefault="00CF7917" w:rsidP="00B10D9F">
      <w:pPr>
        <w:pStyle w:val="ListParagraph"/>
        <w:numPr>
          <w:ilvl w:val="0"/>
          <w:numId w:val="2"/>
        </w:numPr>
        <w:spacing w:after="80" w:line="240" w:lineRule="auto"/>
        <w:ind w:left="360"/>
        <w:contextualSpacing w:val="0"/>
        <w:jc w:val="both"/>
        <w:rPr>
          <w:rFonts w:ascii="Arial" w:hAnsi="Arial" w:cs="Arial"/>
          <w:lang w:val="es-ES"/>
        </w:rPr>
      </w:pPr>
      <w:r w:rsidRPr="00190C38">
        <w:rPr>
          <w:rFonts w:ascii="Arial" w:hAnsi="Arial" w:cs="Arial"/>
          <w:lang w:val="es-ES"/>
        </w:rPr>
        <w:t xml:space="preserve">El </w:t>
      </w:r>
      <w:r w:rsidRPr="00190C38">
        <w:rPr>
          <w:rFonts w:ascii="Arial" w:hAnsi="Arial" w:cs="Arial"/>
          <w:b/>
          <w:lang w:val="es-ES"/>
        </w:rPr>
        <w:t>año</w:t>
      </w:r>
      <w:r w:rsidRPr="00190C38">
        <w:rPr>
          <w:rFonts w:ascii="Arial" w:hAnsi="Arial" w:cs="Arial"/>
          <w:lang w:val="es-ES"/>
        </w:rPr>
        <w:t xml:space="preserve"> de la </w:t>
      </w:r>
      <w:r w:rsidRPr="00190C38">
        <w:rPr>
          <w:rFonts w:ascii="Arial" w:hAnsi="Arial" w:cs="Arial"/>
          <w:b/>
          <w:lang w:val="es-ES"/>
        </w:rPr>
        <w:t>evaluación más reciente de la Lista Roja de la UICN</w:t>
      </w:r>
      <w:r w:rsidRPr="00190C38">
        <w:rPr>
          <w:rFonts w:ascii="Arial" w:hAnsi="Arial" w:cs="Arial"/>
          <w:lang w:val="es-ES"/>
        </w:rPr>
        <w:t xml:space="preserve"> (de la que se derivan los datos de la Lista Roja en los criterios pertinentes).</w:t>
      </w:r>
    </w:p>
    <w:p w14:paraId="0D8B2841" w14:textId="77777777" w:rsidR="00CF7917" w:rsidRPr="00190C38" w:rsidRDefault="00CF7917" w:rsidP="00190C38">
      <w:pPr>
        <w:pStyle w:val="ListParagraph"/>
        <w:numPr>
          <w:ilvl w:val="0"/>
          <w:numId w:val="2"/>
        </w:numPr>
        <w:spacing w:after="0" w:line="240" w:lineRule="auto"/>
        <w:ind w:left="360"/>
        <w:jc w:val="both"/>
        <w:rPr>
          <w:rFonts w:ascii="Arial" w:hAnsi="Arial" w:cs="Arial"/>
          <w:lang w:val="es-ES"/>
        </w:rPr>
      </w:pPr>
      <w:r w:rsidRPr="00190C38">
        <w:rPr>
          <w:rFonts w:ascii="Arial" w:hAnsi="Arial" w:cs="Arial"/>
          <w:lang w:val="es-ES"/>
        </w:rPr>
        <w:t xml:space="preserve">Todas las </w:t>
      </w:r>
      <w:r w:rsidRPr="00190C38">
        <w:rPr>
          <w:rFonts w:ascii="Arial" w:hAnsi="Arial" w:cs="Arial"/>
          <w:b/>
          <w:bCs/>
          <w:lang w:val="es-ES"/>
        </w:rPr>
        <w:t>categorías históricas de evaluación de la Lista Roja de la UICN</w:t>
      </w:r>
      <w:r w:rsidRPr="00190C38">
        <w:rPr>
          <w:rFonts w:ascii="Arial" w:hAnsi="Arial" w:cs="Arial"/>
          <w:lang w:val="es-ES"/>
        </w:rPr>
        <w:t xml:space="preserve"> (fecha de evaluación y criterio de la Lista Roja, ordenados cronológicamente).</w:t>
      </w:r>
    </w:p>
    <w:p w14:paraId="2E93ECBA" w14:textId="77777777" w:rsidR="00CF7917" w:rsidRPr="00190C38" w:rsidRDefault="00CF7917" w:rsidP="00B10D9F">
      <w:pPr>
        <w:pStyle w:val="ListParagraph"/>
        <w:numPr>
          <w:ilvl w:val="0"/>
          <w:numId w:val="2"/>
        </w:numPr>
        <w:spacing w:after="80" w:line="240" w:lineRule="auto"/>
        <w:ind w:left="360"/>
        <w:contextualSpacing w:val="0"/>
        <w:jc w:val="both"/>
        <w:rPr>
          <w:rFonts w:ascii="Arial" w:hAnsi="Arial" w:cs="Arial"/>
          <w:lang w:val="es-ES"/>
        </w:rPr>
      </w:pPr>
      <w:r w:rsidRPr="00190C38">
        <w:rPr>
          <w:rFonts w:ascii="Arial" w:hAnsi="Arial" w:cs="Arial"/>
          <w:b/>
          <w:bCs/>
          <w:lang w:val="es-ES"/>
        </w:rPr>
        <w:lastRenderedPageBreak/>
        <w:t>Evaluaciones nacionales de la Lista Roja</w:t>
      </w:r>
      <w:r w:rsidRPr="00190C38">
        <w:rPr>
          <w:rFonts w:ascii="Arial" w:hAnsi="Arial" w:cs="Arial"/>
          <w:lang w:val="es-ES"/>
        </w:rPr>
        <w:t>, si están disponibles, para las especies del Apéndice I de la CMS con inclusiones a nivel de población.</w:t>
      </w:r>
    </w:p>
    <w:p w14:paraId="7BED6E5D" w14:textId="751D8222" w:rsidR="00CF7917" w:rsidRPr="00190C38" w:rsidRDefault="00CF7917" w:rsidP="00B10D9F">
      <w:pPr>
        <w:pStyle w:val="ListParagraph"/>
        <w:numPr>
          <w:ilvl w:val="0"/>
          <w:numId w:val="2"/>
        </w:numPr>
        <w:spacing w:after="80" w:line="240" w:lineRule="auto"/>
        <w:ind w:left="360"/>
        <w:contextualSpacing w:val="0"/>
        <w:jc w:val="both"/>
        <w:rPr>
          <w:rFonts w:ascii="Arial" w:hAnsi="Arial" w:cs="Arial"/>
          <w:lang w:val="es-ES"/>
        </w:rPr>
      </w:pPr>
      <w:r w:rsidRPr="00190C38">
        <w:rPr>
          <w:rFonts w:ascii="Arial" w:hAnsi="Arial" w:cs="Arial"/>
          <w:lang w:val="es-ES"/>
        </w:rPr>
        <w:t xml:space="preserve">El </w:t>
      </w:r>
      <w:r w:rsidRPr="00190C38">
        <w:rPr>
          <w:rFonts w:ascii="Arial" w:hAnsi="Arial" w:cs="Arial"/>
          <w:b/>
          <w:lang w:val="es-ES"/>
        </w:rPr>
        <w:t>número de Estados del área de distribución</w:t>
      </w:r>
      <w:r w:rsidRPr="00190C38">
        <w:rPr>
          <w:rFonts w:ascii="Arial" w:hAnsi="Arial" w:cs="Arial"/>
          <w:lang w:val="es-ES"/>
        </w:rPr>
        <w:t xml:space="preserve"> según los registros de distribución en </w:t>
      </w:r>
      <w:r w:rsidR="00AF6CC0" w:rsidRPr="00190C38">
        <w:rPr>
          <w:rFonts w:ascii="Arial" w:hAnsi="Arial" w:cs="Arial"/>
          <w:lang w:val="es-ES"/>
        </w:rPr>
        <w:t xml:space="preserve">De la Lista de Estados de distribución de la CMS </w:t>
      </w:r>
      <w:r w:rsidRPr="00190C38">
        <w:rPr>
          <w:rFonts w:ascii="Arial" w:hAnsi="Arial" w:cs="Arial"/>
          <w:lang w:val="es-ES"/>
        </w:rPr>
        <w:t>(enumerando además los Estados del área de distribución por código ISO2).</w:t>
      </w:r>
    </w:p>
    <w:p w14:paraId="5EAFDAF9" w14:textId="77777777" w:rsidR="00CF7917" w:rsidRPr="00190C38" w:rsidRDefault="00CF7917" w:rsidP="00B10D9F">
      <w:pPr>
        <w:pStyle w:val="ListParagraph"/>
        <w:numPr>
          <w:ilvl w:val="0"/>
          <w:numId w:val="2"/>
        </w:numPr>
        <w:spacing w:after="80" w:line="240" w:lineRule="auto"/>
        <w:ind w:left="360"/>
        <w:contextualSpacing w:val="0"/>
        <w:jc w:val="both"/>
        <w:rPr>
          <w:rFonts w:ascii="Arial" w:hAnsi="Arial" w:cs="Arial"/>
          <w:lang w:val="es-ES"/>
        </w:rPr>
      </w:pPr>
      <w:r w:rsidRPr="00190C38">
        <w:rPr>
          <w:rFonts w:ascii="Arial" w:hAnsi="Arial" w:cs="Arial"/>
          <w:lang w:val="es-ES"/>
        </w:rPr>
        <w:t xml:space="preserve">El </w:t>
      </w:r>
      <w:r w:rsidRPr="00190C38">
        <w:rPr>
          <w:rFonts w:ascii="Arial" w:hAnsi="Arial" w:cs="Arial"/>
          <w:b/>
          <w:bCs/>
          <w:lang w:val="es-ES"/>
        </w:rPr>
        <w:t>tamaño estimado de la población mundial</w:t>
      </w:r>
      <w:r w:rsidRPr="00190C38">
        <w:rPr>
          <w:rFonts w:ascii="Arial" w:hAnsi="Arial" w:cs="Arial"/>
          <w:lang w:val="es-ES"/>
        </w:rPr>
        <w:t xml:space="preserve"> basado en el número de individuos adultos en la evaluación más reciente de la Lista Roja.</w:t>
      </w:r>
      <w:r w:rsidRPr="00190C38">
        <w:rPr>
          <w:rStyle w:val="FootnoteReference"/>
          <w:rFonts w:ascii="Arial" w:hAnsi="Arial" w:cs="Arial"/>
        </w:rPr>
        <w:footnoteReference w:id="5"/>
      </w:r>
      <w:r w:rsidRPr="00190C38">
        <w:rPr>
          <w:rFonts w:ascii="Arial" w:hAnsi="Arial" w:cs="Arial"/>
          <w:lang w:val="es-ES"/>
        </w:rPr>
        <w:t xml:space="preserve">; </w:t>
      </w:r>
    </w:p>
    <w:p w14:paraId="1B705F98" w14:textId="77777777" w:rsidR="00CF7917" w:rsidRPr="00190C38" w:rsidRDefault="00CF7917" w:rsidP="00B10D9F">
      <w:pPr>
        <w:pStyle w:val="ListParagraph"/>
        <w:numPr>
          <w:ilvl w:val="0"/>
          <w:numId w:val="2"/>
        </w:numPr>
        <w:spacing w:after="80" w:line="240" w:lineRule="auto"/>
        <w:ind w:left="360"/>
        <w:contextualSpacing w:val="0"/>
        <w:jc w:val="both"/>
        <w:rPr>
          <w:rFonts w:ascii="Arial" w:hAnsi="Arial" w:cs="Arial"/>
          <w:lang w:val="es-ES"/>
        </w:rPr>
      </w:pPr>
      <w:r w:rsidRPr="00190C38">
        <w:rPr>
          <w:rFonts w:ascii="Arial" w:hAnsi="Arial" w:cs="Arial"/>
          <w:lang w:val="es-ES"/>
        </w:rPr>
        <w:t xml:space="preserve">Resumen de las medidas existentes en la familia de la CMS (por ejemplo, si existen planes de acción de la CMS, acuerdos derivados, </w:t>
      </w:r>
      <w:proofErr w:type="spellStart"/>
      <w:r w:rsidRPr="00190C38">
        <w:rPr>
          <w:rFonts w:ascii="Arial" w:hAnsi="Arial" w:cs="Arial"/>
          <w:lang w:val="es-ES"/>
        </w:rPr>
        <w:t>MdE</w:t>
      </w:r>
      <w:proofErr w:type="spellEnd"/>
      <w:r w:rsidRPr="00190C38">
        <w:rPr>
          <w:rFonts w:ascii="Arial" w:hAnsi="Arial" w:cs="Arial"/>
          <w:lang w:val="es-ES"/>
        </w:rPr>
        <w:t xml:space="preserve"> o iniciativas especiales para especies).</w:t>
      </w:r>
    </w:p>
    <w:p w14:paraId="41101B97" w14:textId="77777777" w:rsidR="00CF7917" w:rsidRPr="00190C38" w:rsidRDefault="00CF7917" w:rsidP="00190C38">
      <w:pPr>
        <w:pStyle w:val="ListParagraph"/>
        <w:numPr>
          <w:ilvl w:val="0"/>
          <w:numId w:val="2"/>
        </w:numPr>
        <w:spacing w:after="0" w:line="240" w:lineRule="auto"/>
        <w:ind w:left="360"/>
        <w:jc w:val="both"/>
        <w:rPr>
          <w:rFonts w:ascii="Arial" w:hAnsi="Arial" w:cs="Arial"/>
          <w:lang w:val="es-ES"/>
        </w:rPr>
      </w:pPr>
      <w:r w:rsidRPr="00190C38">
        <w:rPr>
          <w:rFonts w:ascii="Arial" w:hAnsi="Arial" w:cs="Arial"/>
          <w:lang w:val="es-ES"/>
        </w:rPr>
        <w:t>Consideraciones de nomenclatura, cuando sea pertinente (por ejemplo, diferencias entre la CMS y la CITES).</w:t>
      </w:r>
    </w:p>
    <w:p w14:paraId="21FF53BD" w14:textId="77777777" w:rsidR="00CF7917" w:rsidRPr="00190C38" w:rsidRDefault="00CF7917" w:rsidP="00190C38">
      <w:pPr>
        <w:spacing w:after="0" w:line="240" w:lineRule="auto"/>
        <w:jc w:val="both"/>
        <w:rPr>
          <w:rFonts w:ascii="Arial" w:hAnsi="Arial" w:cs="Arial"/>
          <w:color w:val="2F5496" w:themeColor="accent1" w:themeShade="BF"/>
          <w:lang w:val="es-ES"/>
        </w:rPr>
      </w:pPr>
    </w:p>
    <w:p w14:paraId="5B3C3201" w14:textId="084416CC" w:rsidR="00CF7917" w:rsidRDefault="00CF7917" w:rsidP="00190C38">
      <w:pPr>
        <w:spacing w:after="0" w:line="240" w:lineRule="auto"/>
        <w:jc w:val="both"/>
        <w:rPr>
          <w:rFonts w:ascii="Arial" w:hAnsi="Arial" w:cs="Arial"/>
          <w:u w:val="single"/>
          <w:lang w:val="es-ES"/>
        </w:rPr>
      </w:pPr>
      <w:r w:rsidRPr="00B10D9F">
        <w:rPr>
          <w:rFonts w:ascii="Arial" w:hAnsi="Arial" w:cs="Arial"/>
          <w:u w:val="single"/>
          <w:lang w:val="es-ES"/>
        </w:rPr>
        <w:t>Próximos pasos</w:t>
      </w:r>
    </w:p>
    <w:p w14:paraId="372B4FF3" w14:textId="77777777" w:rsidR="00B10D9F" w:rsidRPr="00B10D9F" w:rsidRDefault="00B10D9F" w:rsidP="00190C38">
      <w:pPr>
        <w:spacing w:after="0" w:line="240" w:lineRule="auto"/>
        <w:jc w:val="both"/>
        <w:rPr>
          <w:rFonts w:ascii="Arial" w:hAnsi="Arial" w:cs="Arial"/>
          <w:u w:val="single"/>
          <w:lang w:val="es-ES"/>
        </w:rPr>
      </w:pPr>
    </w:p>
    <w:p w14:paraId="5792E490" w14:textId="77777777" w:rsidR="00B10D9F" w:rsidRDefault="00CF7917" w:rsidP="00190C38">
      <w:pPr>
        <w:spacing w:after="0" w:line="240" w:lineRule="auto"/>
        <w:jc w:val="both"/>
        <w:rPr>
          <w:rFonts w:ascii="Arial" w:hAnsi="Arial" w:cs="Arial"/>
          <w:lang w:val="es-ES"/>
        </w:rPr>
      </w:pPr>
      <w:r w:rsidRPr="00190C38">
        <w:rPr>
          <w:rFonts w:ascii="Arial" w:hAnsi="Arial" w:cs="Arial"/>
          <w:lang w:val="es-ES"/>
        </w:rPr>
        <w:t>El siguiente paso será consultar</w:t>
      </w:r>
      <w:r w:rsidR="00AF6CC0" w:rsidRPr="00190C38">
        <w:rPr>
          <w:rFonts w:ascii="Arial" w:hAnsi="Arial" w:cs="Arial"/>
          <w:lang w:val="es-ES"/>
        </w:rPr>
        <w:t xml:space="preserve"> sobre la metodología propuesta</w:t>
      </w:r>
      <w:r w:rsidRPr="00190C38">
        <w:rPr>
          <w:rFonts w:ascii="Arial" w:hAnsi="Arial" w:cs="Arial"/>
          <w:lang w:val="es-ES"/>
        </w:rPr>
        <w:t xml:space="preserve"> con la Secretaría de la CMS, el Consejo Científico de la CMS, los expertos taxonómicos pertinentes de la Comisión de Supervivencia de Especies de la UICN y los proveedores de datos (de la Asociación de la Lista Roja de la UICN, incluida BirdLife International). </w:t>
      </w:r>
    </w:p>
    <w:p w14:paraId="6809B05E" w14:textId="77777777" w:rsidR="00B10D9F" w:rsidRDefault="00B10D9F" w:rsidP="00190C38">
      <w:pPr>
        <w:spacing w:after="0" w:line="240" w:lineRule="auto"/>
        <w:jc w:val="both"/>
        <w:rPr>
          <w:rFonts w:ascii="Arial" w:hAnsi="Arial" w:cs="Arial"/>
          <w:lang w:val="es-ES"/>
        </w:rPr>
      </w:pPr>
    </w:p>
    <w:p w14:paraId="4EEEF8B2" w14:textId="77777777" w:rsidR="00B10D9F" w:rsidRDefault="00B10D9F" w:rsidP="00190C38">
      <w:pPr>
        <w:spacing w:after="0" w:line="240" w:lineRule="auto"/>
        <w:jc w:val="both"/>
        <w:rPr>
          <w:rFonts w:ascii="Arial" w:hAnsi="Arial" w:cs="Arial"/>
          <w:b/>
          <w:color w:val="00AEEF"/>
          <w:lang w:val="es-ES"/>
        </w:rPr>
        <w:sectPr w:rsidR="00B10D9F" w:rsidSect="00200358">
          <w:headerReference w:type="even" r:id="rId17"/>
          <w:headerReference w:type="default" r:id="rId18"/>
          <w:footerReference w:type="even" r:id="rId19"/>
          <w:footerReference w:type="default" r:id="rId20"/>
          <w:headerReference w:type="first" r:id="rId21"/>
          <w:type w:val="continuous"/>
          <w:pgSz w:w="11906" w:h="16838" w:code="9"/>
          <w:pgMar w:top="1138" w:right="1138" w:bottom="1138" w:left="1138" w:header="708" w:footer="708" w:gutter="0"/>
          <w:cols w:space="708"/>
          <w:titlePg/>
          <w:docGrid w:linePitch="360"/>
        </w:sectPr>
      </w:pPr>
    </w:p>
    <w:p w14:paraId="7F54EC41" w14:textId="7C739D41" w:rsidR="00CF7917" w:rsidRDefault="00CF7917" w:rsidP="00190C38">
      <w:pPr>
        <w:spacing w:after="0" w:line="240" w:lineRule="auto"/>
        <w:jc w:val="both"/>
        <w:rPr>
          <w:rFonts w:ascii="Arial" w:hAnsi="Arial" w:cs="Arial"/>
          <w:lang w:val="es-ES"/>
        </w:rPr>
      </w:pPr>
      <w:r w:rsidRPr="00B10D9F">
        <w:rPr>
          <w:rFonts w:ascii="Arial" w:hAnsi="Arial" w:cs="Arial"/>
          <w:b/>
          <w:lang w:val="es-ES"/>
        </w:rPr>
        <w:lastRenderedPageBreak/>
        <w:t xml:space="preserve">Tabla 2: </w:t>
      </w:r>
      <w:r w:rsidRPr="00190C38">
        <w:rPr>
          <w:rFonts w:ascii="Arial" w:hAnsi="Arial" w:cs="Arial"/>
          <w:b/>
          <w:lang w:val="es-ES"/>
        </w:rPr>
        <w:t xml:space="preserve">resumen de los criterios de puntuación de la evaluación rápida propuestos en el Apéndice I pendientes de abordar. </w:t>
      </w:r>
      <w:r w:rsidRPr="00190C38">
        <w:rPr>
          <w:rFonts w:ascii="Arial" w:hAnsi="Arial" w:cs="Arial"/>
          <w:lang w:val="es-ES"/>
        </w:rPr>
        <w:t>Cuando los datos estén disponibles, los criterios se puntuarán entre 1 (alto) y -1 (bajo). A cada taxón se le asignará una puntuación final basada en la puntuación media de todos los criterios que puedan evaluarse. Los criterios con datos inexistentes o incompletos no se puntuarán para no alterar el resultado final.</w:t>
      </w:r>
    </w:p>
    <w:p w14:paraId="7A64B7E7" w14:textId="77777777" w:rsidR="00200358" w:rsidRPr="004224A6" w:rsidRDefault="00200358" w:rsidP="00190C38">
      <w:pPr>
        <w:spacing w:after="0" w:line="240" w:lineRule="auto"/>
        <w:jc w:val="both"/>
        <w:rPr>
          <w:rFonts w:ascii="Arial" w:hAnsi="Arial" w:cs="Arial"/>
          <w:sz w:val="16"/>
          <w:szCs w:val="16"/>
          <w:lang w:val="es-ES"/>
        </w:rPr>
      </w:pPr>
    </w:p>
    <w:tbl>
      <w:tblPr>
        <w:tblStyle w:val="TableGrid"/>
        <w:tblW w:w="5000" w:type="pct"/>
        <w:tblLook w:val="04A0" w:firstRow="1" w:lastRow="0" w:firstColumn="1" w:lastColumn="0" w:noHBand="0" w:noVBand="1"/>
      </w:tblPr>
      <w:tblGrid>
        <w:gridCol w:w="1901"/>
        <w:gridCol w:w="2840"/>
        <w:gridCol w:w="5696"/>
        <w:gridCol w:w="2362"/>
        <w:gridCol w:w="1753"/>
      </w:tblGrid>
      <w:tr w:rsidR="00CF7917" w:rsidRPr="00200358" w14:paraId="36E8C82A" w14:textId="77777777" w:rsidTr="00200358">
        <w:trPr>
          <w:tblHeader/>
        </w:trPr>
        <w:tc>
          <w:tcPr>
            <w:tcW w:w="728" w:type="pct"/>
            <w:shd w:val="clear" w:color="auto" w:fill="4C6A89"/>
          </w:tcPr>
          <w:p w14:paraId="77F86F53" w14:textId="77777777" w:rsidR="00CF7917" w:rsidRPr="00200358" w:rsidRDefault="00CF7917" w:rsidP="00190C38">
            <w:pPr>
              <w:jc w:val="both"/>
              <w:rPr>
                <w:rFonts w:ascii="Arial" w:hAnsi="Arial" w:cs="Arial"/>
                <w:sz w:val="20"/>
                <w:szCs w:val="20"/>
              </w:rPr>
            </w:pPr>
            <w:proofErr w:type="spellStart"/>
            <w:r w:rsidRPr="00200358">
              <w:rPr>
                <w:rFonts w:ascii="Arial" w:hAnsi="Arial" w:cs="Arial"/>
                <w:b/>
                <w:color w:val="FFFFFF" w:themeColor="background1"/>
                <w:sz w:val="20"/>
                <w:szCs w:val="20"/>
              </w:rPr>
              <w:t>Criterios</w:t>
            </w:r>
            <w:proofErr w:type="spellEnd"/>
          </w:p>
        </w:tc>
        <w:tc>
          <w:tcPr>
            <w:tcW w:w="677" w:type="pct"/>
            <w:shd w:val="clear" w:color="auto" w:fill="4C6A89"/>
          </w:tcPr>
          <w:p w14:paraId="10D3AAC8" w14:textId="77777777" w:rsidR="00CF7917" w:rsidRPr="00200358" w:rsidRDefault="00CF7917" w:rsidP="00190C38">
            <w:pPr>
              <w:jc w:val="both"/>
              <w:rPr>
                <w:rFonts w:ascii="Arial" w:hAnsi="Arial" w:cs="Arial"/>
                <w:sz w:val="20"/>
                <w:szCs w:val="20"/>
              </w:rPr>
            </w:pPr>
            <w:r w:rsidRPr="00200358">
              <w:rPr>
                <w:rFonts w:ascii="Arial" w:hAnsi="Arial" w:cs="Arial"/>
                <w:b/>
                <w:color w:val="FFFFFF" w:themeColor="background1"/>
                <w:sz w:val="20"/>
                <w:szCs w:val="20"/>
              </w:rPr>
              <w:t xml:space="preserve">Fuente de </w:t>
            </w:r>
            <w:proofErr w:type="spellStart"/>
            <w:r w:rsidRPr="00200358">
              <w:rPr>
                <w:rFonts w:ascii="Arial" w:hAnsi="Arial" w:cs="Arial"/>
                <w:b/>
                <w:color w:val="FFFFFF" w:themeColor="background1"/>
                <w:sz w:val="20"/>
                <w:szCs w:val="20"/>
              </w:rPr>
              <w:t>información</w:t>
            </w:r>
            <w:proofErr w:type="spellEnd"/>
          </w:p>
        </w:tc>
        <w:tc>
          <w:tcPr>
            <w:tcW w:w="2032" w:type="pct"/>
            <w:shd w:val="clear" w:color="auto" w:fill="4C6A89"/>
          </w:tcPr>
          <w:p w14:paraId="234B763A" w14:textId="77777777" w:rsidR="00CF7917" w:rsidRPr="00200358" w:rsidRDefault="00CF7917" w:rsidP="00190C38">
            <w:pPr>
              <w:jc w:val="both"/>
              <w:rPr>
                <w:rFonts w:ascii="Arial" w:hAnsi="Arial" w:cs="Arial"/>
                <w:sz w:val="20"/>
                <w:szCs w:val="20"/>
              </w:rPr>
            </w:pPr>
            <w:proofErr w:type="spellStart"/>
            <w:r w:rsidRPr="00200358">
              <w:rPr>
                <w:rFonts w:ascii="Arial" w:hAnsi="Arial" w:cs="Arial"/>
                <w:b/>
                <w:color w:val="FFFFFF" w:themeColor="background1"/>
                <w:sz w:val="20"/>
                <w:szCs w:val="20"/>
              </w:rPr>
              <w:t>Métodos</w:t>
            </w:r>
            <w:proofErr w:type="spellEnd"/>
          </w:p>
        </w:tc>
        <w:tc>
          <w:tcPr>
            <w:tcW w:w="886" w:type="pct"/>
            <w:shd w:val="clear" w:color="auto" w:fill="4C6A89"/>
          </w:tcPr>
          <w:p w14:paraId="2103520F" w14:textId="77777777" w:rsidR="00CF7917" w:rsidRPr="00200358" w:rsidRDefault="00CF7917" w:rsidP="00190C38">
            <w:pPr>
              <w:jc w:val="both"/>
              <w:rPr>
                <w:rFonts w:ascii="Arial" w:hAnsi="Arial" w:cs="Arial"/>
                <w:sz w:val="20"/>
                <w:szCs w:val="20"/>
              </w:rPr>
            </w:pPr>
            <w:proofErr w:type="spellStart"/>
            <w:r w:rsidRPr="00200358">
              <w:rPr>
                <w:rFonts w:ascii="Arial" w:hAnsi="Arial" w:cs="Arial"/>
                <w:b/>
                <w:color w:val="FFFFFF" w:themeColor="background1"/>
                <w:sz w:val="20"/>
                <w:szCs w:val="20"/>
              </w:rPr>
              <w:t>Criterios</w:t>
            </w:r>
            <w:proofErr w:type="spellEnd"/>
            <w:r w:rsidRPr="00200358">
              <w:rPr>
                <w:rFonts w:ascii="Arial" w:hAnsi="Arial" w:cs="Arial"/>
                <w:b/>
                <w:color w:val="FFFFFF" w:themeColor="background1"/>
                <w:sz w:val="20"/>
                <w:szCs w:val="20"/>
              </w:rPr>
              <w:t xml:space="preserve"> de </w:t>
            </w:r>
            <w:proofErr w:type="spellStart"/>
            <w:r w:rsidRPr="00200358">
              <w:rPr>
                <w:rFonts w:ascii="Arial" w:hAnsi="Arial" w:cs="Arial"/>
                <w:b/>
                <w:color w:val="FFFFFF" w:themeColor="background1"/>
                <w:sz w:val="20"/>
                <w:szCs w:val="20"/>
              </w:rPr>
              <w:t>puntuación</w:t>
            </w:r>
            <w:proofErr w:type="spellEnd"/>
          </w:p>
        </w:tc>
        <w:tc>
          <w:tcPr>
            <w:tcW w:w="677" w:type="pct"/>
            <w:shd w:val="clear" w:color="auto" w:fill="4C6A89"/>
          </w:tcPr>
          <w:p w14:paraId="176FCBC3" w14:textId="77777777" w:rsidR="00CF7917" w:rsidRPr="00200358" w:rsidRDefault="00CF7917" w:rsidP="00190C38">
            <w:pPr>
              <w:jc w:val="both"/>
              <w:rPr>
                <w:rFonts w:ascii="Arial" w:hAnsi="Arial" w:cs="Arial"/>
                <w:sz w:val="20"/>
                <w:szCs w:val="20"/>
              </w:rPr>
            </w:pPr>
            <w:r w:rsidRPr="00200358">
              <w:rPr>
                <w:rFonts w:ascii="Arial" w:hAnsi="Arial" w:cs="Arial"/>
                <w:b/>
                <w:color w:val="FFFFFF" w:themeColor="background1"/>
                <w:sz w:val="20"/>
                <w:szCs w:val="20"/>
              </w:rPr>
              <w:t xml:space="preserve">Sin </w:t>
            </w:r>
            <w:proofErr w:type="spellStart"/>
            <w:r w:rsidRPr="00200358">
              <w:rPr>
                <w:rFonts w:ascii="Arial" w:hAnsi="Arial" w:cs="Arial"/>
                <w:b/>
                <w:color w:val="FFFFFF" w:themeColor="background1"/>
                <w:sz w:val="20"/>
                <w:szCs w:val="20"/>
              </w:rPr>
              <w:t>puntuación</w:t>
            </w:r>
            <w:proofErr w:type="spellEnd"/>
            <w:r w:rsidRPr="00200358">
              <w:rPr>
                <w:rFonts w:ascii="Arial" w:hAnsi="Arial" w:cs="Arial"/>
                <w:b/>
                <w:color w:val="FFFFFF" w:themeColor="background1"/>
                <w:sz w:val="20"/>
                <w:szCs w:val="20"/>
                <w:vertAlign w:val="superscript"/>
              </w:rPr>
              <w:footnoteReference w:id="6"/>
            </w:r>
          </w:p>
        </w:tc>
      </w:tr>
      <w:tr w:rsidR="00CF7917" w:rsidRPr="00200358" w14:paraId="77521C60" w14:textId="77777777" w:rsidTr="00200358">
        <w:tc>
          <w:tcPr>
            <w:tcW w:w="5000" w:type="pct"/>
            <w:gridSpan w:val="5"/>
            <w:shd w:val="clear" w:color="auto" w:fill="00AEEF"/>
          </w:tcPr>
          <w:p w14:paraId="1B53C24F" w14:textId="77777777" w:rsidR="00CF7917" w:rsidRPr="00200358" w:rsidRDefault="00CF7917" w:rsidP="00190C38">
            <w:pPr>
              <w:jc w:val="both"/>
              <w:rPr>
                <w:rFonts w:ascii="Arial" w:hAnsi="Arial" w:cs="Arial"/>
                <w:b/>
                <w:bCs/>
                <w:sz w:val="20"/>
                <w:szCs w:val="20"/>
              </w:rPr>
            </w:pPr>
            <w:r w:rsidRPr="00200358">
              <w:rPr>
                <w:rFonts w:ascii="Arial" w:hAnsi="Arial" w:cs="Arial"/>
                <w:b/>
                <w:bCs/>
                <w:sz w:val="20"/>
                <w:szCs w:val="20"/>
              </w:rPr>
              <w:t xml:space="preserve">Estado de </w:t>
            </w:r>
            <w:proofErr w:type="spellStart"/>
            <w:r w:rsidRPr="00200358">
              <w:rPr>
                <w:rFonts w:ascii="Arial" w:hAnsi="Arial" w:cs="Arial"/>
                <w:b/>
                <w:bCs/>
                <w:sz w:val="20"/>
                <w:szCs w:val="20"/>
              </w:rPr>
              <w:t>conservación</w:t>
            </w:r>
            <w:proofErr w:type="spellEnd"/>
          </w:p>
        </w:tc>
      </w:tr>
      <w:tr w:rsidR="00CF7917" w:rsidRPr="00313A1B" w14:paraId="6E291AE6" w14:textId="77777777" w:rsidTr="00200358">
        <w:tc>
          <w:tcPr>
            <w:tcW w:w="728" w:type="pct"/>
          </w:tcPr>
          <w:p w14:paraId="24177A40"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1.1 Categoría de estado de la Lista Roja</w:t>
            </w:r>
          </w:p>
        </w:tc>
        <w:tc>
          <w:tcPr>
            <w:tcW w:w="677" w:type="pct"/>
          </w:tcPr>
          <w:p w14:paraId="33B9A7F7" w14:textId="77777777" w:rsidR="00CF7917" w:rsidRPr="00200358" w:rsidRDefault="00CF7917" w:rsidP="00190C38">
            <w:pPr>
              <w:jc w:val="both"/>
              <w:rPr>
                <w:rFonts w:ascii="Arial" w:hAnsi="Arial" w:cs="Arial"/>
                <w:sz w:val="20"/>
                <w:szCs w:val="20"/>
              </w:rPr>
            </w:pPr>
            <w:r w:rsidRPr="00200358">
              <w:rPr>
                <w:rFonts w:ascii="Arial" w:hAnsi="Arial" w:cs="Arial"/>
                <w:sz w:val="20"/>
                <w:szCs w:val="20"/>
              </w:rPr>
              <w:t xml:space="preserve">Lista </w:t>
            </w:r>
            <w:proofErr w:type="spellStart"/>
            <w:r w:rsidRPr="00200358">
              <w:rPr>
                <w:rFonts w:ascii="Arial" w:hAnsi="Arial" w:cs="Arial"/>
                <w:sz w:val="20"/>
                <w:szCs w:val="20"/>
              </w:rPr>
              <w:t>Roja</w:t>
            </w:r>
            <w:proofErr w:type="spellEnd"/>
            <w:r w:rsidRPr="00200358">
              <w:rPr>
                <w:rFonts w:ascii="Arial" w:hAnsi="Arial" w:cs="Arial"/>
                <w:sz w:val="20"/>
                <w:szCs w:val="20"/>
              </w:rPr>
              <w:t xml:space="preserve"> de UICN</w:t>
            </w:r>
            <w:bookmarkStart w:id="8" w:name="_Ref40691319"/>
            <w:r w:rsidRPr="00200358">
              <w:rPr>
                <w:rFonts w:ascii="Arial" w:hAnsi="Arial" w:cs="Arial"/>
                <w:sz w:val="20"/>
                <w:szCs w:val="20"/>
                <w:vertAlign w:val="superscript"/>
              </w:rPr>
              <w:footnoteReference w:id="7"/>
            </w:r>
            <w:bookmarkEnd w:id="8"/>
          </w:p>
        </w:tc>
        <w:tc>
          <w:tcPr>
            <w:tcW w:w="2032" w:type="pct"/>
          </w:tcPr>
          <w:p w14:paraId="746D89D7" w14:textId="77777777" w:rsidR="00CF7917" w:rsidRPr="00200358" w:rsidRDefault="00CF7917" w:rsidP="00190C38">
            <w:pPr>
              <w:jc w:val="both"/>
              <w:rPr>
                <w:rFonts w:ascii="Arial" w:hAnsi="Arial" w:cs="Arial"/>
                <w:iCs/>
                <w:sz w:val="20"/>
                <w:szCs w:val="20"/>
                <w:u w:val="single"/>
              </w:rPr>
            </w:pPr>
            <w:proofErr w:type="spellStart"/>
            <w:r w:rsidRPr="00200358">
              <w:rPr>
                <w:rFonts w:ascii="Arial" w:hAnsi="Arial" w:cs="Arial"/>
                <w:iCs/>
                <w:sz w:val="20"/>
                <w:szCs w:val="20"/>
                <w:u w:val="single"/>
              </w:rPr>
              <w:t>Prioridades</w:t>
            </w:r>
            <w:proofErr w:type="spellEnd"/>
            <w:r w:rsidRPr="00200358">
              <w:rPr>
                <w:rFonts w:ascii="Arial" w:hAnsi="Arial" w:cs="Arial"/>
                <w:iCs/>
                <w:sz w:val="20"/>
                <w:szCs w:val="20"/>
                <w:u w:val="single"/>
              </w:rPr>
              <w:t xml:space="preserve"> </w:t>
            </w:r>
          </w:p>
          <w:p w14:paraId="294DF884" w14:textId="77777777" w:rsidR="00CF7917" w:rsidRPr="00200358" w:rsidRDefault="00CF7917" w:rsidP="00190C38">
            <w:pPr>
              <w:pStyle w:val="ListParagraph"/>
              <w:numPr>
                <w:ilvl w:val="0"/>
                <w:numId w:val="36"/>
              </w:numPr>
              <w:ind w:left="457"/>
              <w:jc w:val="both"/>
              <w:rPr>
                <w:rFonts w:ascii="Arial" w:hAnsi="Arial" w:cs="Arial"/>
                <w:sz w:val="20"/>
                <w:szCs w:val="20"/>
                <w:lang w:val="es-ES"/>
              </w:rPr>
            </w:pPr>
            <w:r w:rsidRPr="00200358">
              <w:rPr>
                <w:rFonts w:ascii="Arial" w:hAnsi="Arial" w:cs="Arial"/>
                <w:i/>
                <w:sz w:val="20"/>
                <w:szCs w:val="20"/>
                <w:lang w:val="es-ES"/>
              </w:rPr>
              <w:t xml:space="preserve">Amenaza por uso/comercio: </w:t>
            </w:r>
            <w:r w:rsidRPr="00200358">
              <w:rPr>
                <w:rFonts w:ascii="Arial" w:hAnsi="Arial" w:cs="Arial"/>
                <w:iCs/>
                <w:sz w:val="20"/>
                <w:szCs w:val="20"/>
                <w:lang w:val="es-ES"/>
              </w:rPr>
              <w:t>taxones</w:t>
            </w:r>
            <w:r w:rsidRPr="00200358">
              <w:rPr>
                <w:rFonts w:ascii="Arial" w:hAnsi="Arial" w:cs="Arial"/>
                <w:i/>
                <w:sz w:val="20"/>
                <w:szCs w:val="20"/>
                <w:lang w:val="es-ES"/>
              </w:rPr>
              <w:t xml:space="preserve"> amenazados a nivel mundial. </w:t>
            </w:r>
          </w:p>
          <w:p w14:paraId="2F4399B9" w14:textId="77777777" w:rsidR="00CF7917" w:rsidRPr="00200358" w:rsidRDefault="00CF7917" w:rsidP="00190C38">
            <w:pPr>
              <w:pStyle w:val="ListParagraph"/>
              <w:numPr>
                <w:ilvl w:val="0"/>
                <w:numId w:val="36"/>
              </w:numPr>
              <w:ind w:left="457"/>
              <w:jc w:val="both"/>
              <w:rPr>
                <w:rFonts w:ascii="Arial" w:hAnsi="Arial" w:cs="Arial"/>
                <w:sz w:val="20"/>
                <w:szCs w:val="20"/>
                <w:lang w:val="es-ES"/>
              </w:rPr>
            </w:pPr>
            <w:r w:rsidRPr="00200358">
              <w:rPr>
                <w:rFonts w:ascii="Arial" w:hAnsi="Arial" w:cs="Arial"/>
                <w:i/>
                <w:sz w:val="20"/>
                <w:szCs w:val="20"/>
                <w:lang w:val="es-ES"/>
              </w:rPr>
              <w:t xml:space="preserve">Elegibilidad para el Apéndice I: </w:t>
            </w:r>
            <w:r w:rsidRPr="00200358">
              <w:rPr>
                <w:rFonts w:ascii="Arial" w:hAnsi="Arial" w:cs="Arial"/>
                <w:iCs/>
                <w:sz w:val="20"/>
                <w:szCs w:val="20"/>
                <w:lang w:val="es-ES"/>
              </w:rPr>
              <w:t>taxones de menor preocupación</w:t>
            </w:r>
            <w:r w:rsidRPr="00200358">
              <w:rPr>
                <w:rFonts w:ascii="Arial" w:hAnsi="Arial" w:cs="Arial"/>
                <w:i/>
                <w:sz w:val="20"/>
                <w:szCs w:val="20"/>
                <w:lang w:val="es-ES"/>
              </w:rPr>
              <w:t xml:space="preserve">. </w:t>
            </w:r>
          </w:p>
          <w:p w14:paraId="4F6D29C5" w14:textId="77777777" w:rsidR="00CF7917" w:rsidRPr="00200358" w:rsidRDefault="00CF7917" w:rsidP="00190C38">
            <w:pPr>
              <w:jc w:val="both"/>
              <w:rPr>
                <w:rFonts w:ascii="Arial" w:hAnsi="Arial" w:cs="Arial"/>
                <w:sz w:val="20"/>
                <w:szCs w:val="20"/>
                <w:lang w:val="es-ES"/>
              </w:rPr>
            </w:pPr>
          </w:p>
        </w:tc>
        <w:tc>
          <w:tcPr>
            <w:tcW w:w="886" w:type="pct"/>
          </w:tcPr>
          <w:p w14:paraId="29E8430F" w14:textId="77777777" w:rsidR="00CF7917" w:rsidRPr="00200358" w:rsidRDefault="00CF7917" w:rsidP="00190C38">
            <w:pPr>
              <w:jc w:val="both"/>
              <w:rPr>
                <w:rFonts w:ascii="Arial" w:hAnsi="Arial" w:cs="Arial"/>
                <w:sz w:val="20"/>
                <w:szCs w:val="20"/>
                <w:lang w:val="fr-FR"/>
              </w:rPr>
            </w:pPr>
            <w:proofErr w:type="gramStart"/>
            <w:r w:rsidRPr="00200358">
              <w:rPr>
                <w:rFonts w:ascii="Arial" w:hAnsi="Arial" w:cs="Arial"/>
                <w:sz w:val="20"/>
                <w:szCs w:val="20"/>
                <w:lang w:val="fr-FR"/>
              </w:rPr>
              <w:t>1:</w:t>
            </w:r>
            <w:proofErr w:type="gramEnd"/>
            <w:r w:rsidRPr="00200358">
              <w:rPr>
                <w:rFonts w:ascii="Arial" w:hAnsi="Arial" w:cs="Arial"/>
                <w:sz w:val="20"/>
                <w:szCs w:val="20"/>
                <w:lang w:val="fr-FR"/>
              </w:rPr>
              <w:t xml:space="preserve"> CR y EW</w:t>
            </w:r>
            <w:r w:rsidRPr="00200358">
              <w:rPr>
                <w:rStyle w:val="FootnoteReference"/>
                <w:rFonts w:ascii="Arial" w:hAnsi="Arial" w:cs="Arial"/>
                <w:sz w:val="20"/>
                <w:szCs w:val="20"/>
              </w:rPr>
              <w:footnoteReference w:id="8"/>
            </w:r>
          </w:p>
          <w:p w14:paraId="4E615DC8" w14:textId="77777777" w:rsidR="00CF7917" w:rsidRPr="00200358" w:rsidRDefault="00CF7917" w:rsidP="00190C38">
            <w:pPr>
              <w:jc w:val="both"/>
              <w:rPr>
                <w:rFonts w:ascii="Arial" w:hAnsi="Arial" w:cs="Arial"/>
                <w:sz w:val="20"/>
                <w:szCs w:val="20"/>
                <w:lang w:val="fr-FR"/>
              </w:rPr>
            </w:pPr>
            <w:r w:rsidRPr="00200358">
              <w:rPr>
                <w:rFonts w:ascii="Arial" w:hAnsi="Arial" w:cs="Arial"/>
                <w:sz w:val="20"/>
                <w:szCs w:val="20"/>
                <w:lang w:val="fr-FR"/>
              </w:rPr>
              <w:t>0,</w:t>
            </w:r>
            <w:proofErr w:type="gramStart"/>
            <w:r w:rsidRPr="00200358">
              <w:rPr>
                <w:rFonts w:ascii="Arial" w:hAnsi="Arial" w:cs="Arial"/>
                <w:sz w:val="20"/>
                <w:szCs w:val="20"/>
                <w:lang w:val="fr-FR"/>
              </w:rPr>
              <w:t>8:</w:t>
            </w:r>
            <w:proofErr w:type="gramEnd"/>
            <w:r w:rsidRPr="00200358">
              <w:rPr>
                <w:rFonts w:ascii="Arial" w:hAnsi="Arial" w:cs="Arial"/>
                <w:sz w:val="20"/>
                <w:szCs w:val="20"/>
                <w:lang w:val="fr-FR"/>
              </w:rPr>
              <w:t xml:space="preserve"> EN</w:t>
            </w:r>
          </w:p>
          <w:p w14:paraId="08579880" w14:textId="77777777" w:rsidR="00CF7917" w:rsidRPr="00200358" w:rsidRDefault="00CF7917" w:rsidP="00190C38">
            <w:pPr>
              <w:jc w:val="both"/>
              <w:rPr>
                <w:rFonts w:ascii="Arial" w:hAnsi="Arial" w:cs="Arial"/>
                <w:sz w:val="20"/>
                <w:szCs w:val="20"/>
                <w:lang w:val="fr-FR"/>
              </w:rPr>
            </w:pPr>
            <w:r w:rsidRPr="00200358">
              <w:rPr>
                <w:rFonts w:ascii="Arial" w:hAnsi="Arial" w:cs="Arial"/>
                <w:sz w:val="20"/>
                <w:szCs w:val="20"/>
                <w:lang w:val="fr-FR"/>
              </w:rPr>
              <w:t>0,</w:t>
            </w:r>
            <w:proofErr w:type="gramStart"/>
            <w:r w:rsidRPr="00200358">
              <w:rPr>
                <w:rFonts w:ascii="Arial" w:hAnsi="Arial" w:cs="Arial"/>
                <w:sz w:val="20"/>
                <w:szCs w:val="20"/>
                <w:lang w:val="fr-FR"/>
              </w:rPr>
              <w:t>6:</w:t>
            </w:r>
            <w:proofErr w:type="gramEnd"/>
            <w:r w:rsidRPr="00200358">
              <w:rPr>
                <w:rFonts w:ascii="Arial" w:hAnsi="Arial" w:cs="Arial"/>
                <w:sz w:val="20"/>
                <w:szCs w:val="20"/>
                <w:lang w:val="fr-FR"/>
              </w:rPr>
              <w:t xml:space="preserve"> VU</w:t>
            </w:r>
          </w:p>
          <w:p w14:paraId="23822DFC" w14:textId="77777777" w:rsidR="00CF7917" w:rsidRPr="00200358" w:rsidRDefault="00CF7917" w:rsidP="00190C38">
            <w:pPr>
              <w:jc w:val="both"/>
              <w:rPr>
                <w:rFonts w:ascii="Arial" w:hAnsi="Arial" w:cs="Arial"/>
                <w:sz w:val="20"/>
                <w:szCs w:val="20"/>
                <w:lang w:val="fr-FR"/>
              </w:rPr>
            </w:pPr>
            <w:r w:rsidRPr="00200358">
              <w:rPr>
                <w:rFonts w:ascii="Arial" w:hAnsi="Arial" w:cs="Arial"/>
                <w:sz w:val="20"/>
                <w:szCs w:val="20"/>
                <w:lang w:val="fr-FR"/>
              </w:rPr>
              <w:t>0,</w:t>
            </w:r>
            <w:proofErr w:type="gramStart"/>
            <w:r w:rsidRPr="00200358">
              <w:rPr>
                <w:rFonts w:ascii="Arial" w:hAnsi="Arial" w:cs="Arial"/>
                <w:sz w:val="20"/>
                <w:szCs w:val="20"/>
                <w:lang w:val="fr-FR"/>
              </w:rPr>
              <w:t>4:</w:t>
            </w:r>
            <w:proofErr w:type="gramEnd"/>
            <w:r w:rsidRPr="00200358">
              <w:rPr>
                <w:rFonts w:ascii="Arial" w:hAnsi="Arial" w:cs="Arial"/>
                <w:sz w:val="20"/>
                <w:szCs w:val="20"/>
                <w:lang w:val="fr-FR"/>
              </w:rPr>
              <w:t xml:space="preserve"> NT</w:t>
            </w:r>
          </w:p>
          <w:p w14:paraId="542ADAF6" w14:textId="77777777" w:rsidR="00CF7917" w:rsidRPr="00200358" w:rsidRDefault="00CF7917" w:rsidP="00190C38">
            <w:pPr>
              <w:jc w:val="both"/>
              <w:rPr>
                <w:rFonts w:ascii="Arial" w:hAnsi="Arial" w:cs="Arial"/>
                <w:sz w:val="20"/>
                <w:szCs w:val="20"/>
                <w:lang w:val="fr-FR"/>
              </w:rPr>
            </w:pPr>
            <w:proofErr w:type="gramStart"/>
            <w:r w:rsidRPr="00200358">
              <w:rPr>
                <w:rFonts w:ascii="Arial" w:hAnsi="Arial" w:cs="Arial"/>
                <w:sz w:val="20"/>
                <w:szCs w:val="20"/>
                <w:lang w:val="fr-FR"/>
              </w:rPr>
              <w:t>0:</w:t>
            </w:r>
            <w:proofErr w:type="gramEnd"/>
            <w:r w:rsidRPr="00200358">
              <w:rPr>
                <w:rFonts w:ascii="Arial" w:hAnsi="Arial" w:cs="Arial"/>
                <w:sz w:val="20"/>
                <w:szCs w:val="20"/>
                <w:lang w:val="fr-FR"/>
              </w:rPr>
              <w:t xml:space="preserve"> EX</w:t>
            </w:r>
          </w:p>
          <w:p w14:paraId="0B1EF4F9" w14:textId="77777777" w:rsidR="00CF7917" w:rsidRPr="00200358" w:rsidRDefault="00CF7917" w:rsidP="00190C38">
            <w:pPr>
              <w:jc w:val="both"/>
              <w:rPr>
                <w:rFonts w:ascii="Arial" w:hAnsi="Arial" w:cs="Arial"/>
                <w:sz w:val="20"/>
                <w:szCs w:val="20"/>
                <w:lang w:val="fr-FR"/>
              </w:rPr>
            </w:pPr>
            <w:r w:rsidRPr="00200358">
              <w:rPr>
                <w:rFonts w:ascii="Arial" w:hAnsi="Arial" w:cs="Arial"/>
                <w:sz w:val="20"/>
                <w:szCs w:val="20"/>
                <w:lang w:val="fr-FR"/>
              </w:rPr>
              <w:t>-</w:t>
            </w:r>
            <w:proofErr w:type="gramStart"/>
            <w:r w:rsidRPr="00200358">
              <w:rPr>
                <w:rFonts w:ascii="Arial" w:hAnsi="Arial" w:cs="Arial"/>
                <w:sz w:val="20"/>
                <w:szCs w:val="20"/>
                <w:lang w:val="fr-FR"/>
              </w:rPr>
              <w:t>1:</w:t>
            </w:r>
            <w:proofErr w:type="gramEnd"/>
            <w:r w:rsidRPr="00200358">
              <w:rPr>
                <w:rFonts w:ascii="Arial" w:hAnsi="Arial" w:cs="Arial"/>
                <w:sz w:val="20"/>
                <w:szCs w:val="20"/>
                <w:lang w:val="fr-FR"/>
              </w:rPr>
              <w:t xml:space="preserve"> LC</w:t>
            </w:r>
          </w:p>
        </w:tc>
        <w:tc>
          <w:tcPr>
            <w:tcW w:w="677" w:type="pct"/>
          </w:tcPr>
          <w:p w14:paraId="3DA8B39F"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Estado de la Lista Roja: DD (datos insuficientes).</w:t>
            </w:r>
          </w:p>
          <w:p w14:paraId="0BFFB953" w14:textId="77777777" w:rsidR="00CF7917" w:rsidRPr="00200358" w:rsidRDefault="00CF7917" w:rsidP="00190C38">
            <w:pPr>
              <w:jc w:val="both"/>
              <w:rPr>
                <w:rFonts w:ascii="Arial" w:hAnsi="Arial" w:cs="Arial"/>
                <w:sz w:val="16"/>
                <w:szCs w:val="16"/>
                <w:lang w:val="es-ES"/>
              </w:rPr>
            </w:pPr>
            <w:r w:rsidRPr="00200358">
              <w:rPr>
                <w:rFonts w:ascii="Arial" w:hAnsi="Arial" w:cs="Arial"/>
                <w:sz w:val="16"/>
                <w:szCs w:val="16"/>
                <w:lang w:val="es-ES"/>
              </w:rPr>
              <w:t xml:space="preserve"> </w:t>
            </w:r>
          </w:p>
          <w:p w14:paraId="6C756178"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Taxón no evaluado aún por la UICN.</w:t>
            </w:r>
          </w:p>
        </w:tc>
      </w:tr>
      <w:tr w:rsidR="00CF7917" w:rsidRPr="00313A1B" w14:paraId="6486739A" w14:textId="77777777" w:rsidTr="00200358">
        <w:tc>
          <w:tcPr>
            <w:tcW w:w="728" w:type="pct"/>
          </w:tcPr>
          <w:p w14:paraId="39F9CF62" w14:textId="77777777" w:rsidR="00CF7917" w:rsidRPr="00200358" w:rsidRDefault="00CF7917" w:rsidP="00190C38">
            <w:pPr>
              <w:jc w:val="both"/>
              <w:rPr>
                <w:rFonts w:ascii="Arial" w:hAnsi="Arial" w:cs="Arial"/>
                <w:sz w:val="20"/>
                <w:szCs w:val="20"/>
              </w:rPr>
            </w:pPr>
            <w:r w:rsidRPr="00200358">
              <w:rPr>
                <w:rFonts w:ascii="Arial" w:hAnsi="Arial" w:cs="Arial"/>
                <w:sz w:val="20"/>
                <w:szCs w:val="20"/>
              </w:rPr>
              <w:t xml:space="preserve">1.2 </w:t>
            </w:r>
            <w:proofErr w:type="spellStart"/>
            <w:r w:rsidRPr="00200358">
              <w:rPr>
                <w:rFonts w:ascii="Arial" w:hAnsi="Arial" w:cs="Arial"/>
                <w:sz w:val="20"/>
                <w:szCs w:val="20"/>
              </w:rPr>
              <w:t>Tendencia</w:t>
            </w:r>
            <w:proofErr w:type="spellEnd"/>
            <w:r w:rsidRPr="00200358">
              <w:rPr>
                <w:rFonts w:ascii="Arial" w:hAnsi="Arial" w:cs="Arial"/>
                <w:sz w:val="20"/>
                <w:szCs w:val="20"/>
              </w:rPr>
              <w:t xml:space="preserve"> de la población</w:t>
            </w:r>
          </w:p>
        </w:tc>
        <w:tc>
          <w:tcPr>
            <w:tcW w:w="677" w:type="pct"/>
          </w:tcPr>
          <w:p w14:paraId="3F95B6BF" w14:textId="77777777" w:rsidR="00CF7917" w:rsidRPr="00200358" w:rsidRDefault="00CF7917" w:rsidP="00190C38">
            <w:pPr>
              <w:jc w:val="both"/>
              <w:rPr>
                <w:rFonts w:ascii="Arial" w:hAnsi="Arial" w:cs="Arial"/>
                <w:sz w:val="20"/>
                <w:szCs w:val="20"/>
              </w:rPr>
            </w:pPr>
            <w:r w:rsidRPr="00200358">
              <w:rPr>
                <w:rFonts w:ascii="Arial" w:hAnsi="Arial" w:cs="Arial"/>
                <w:sz w:val="20"/>
                <w:szCs w:val="20"/>
              </w:rPr>
              <w:t xml:space="preserve">Lista </w:t>
            </w:r>
            <w:proofErr w:type="spellStart"/>
            <w:r w:rsidRPr="00200358">
              <w:rPr>
                <w:rFonts w:ascii="Arial" w:hAnsi="Arial" w:cs="Arial"/>
                <w:sz w:val="20"/>
                <w:szCs w:val="20"/>
              </w:rPr>
              <w:t>Roja</w:t>
            </w:r>
            <w:proofErr w:type="spellEnd"/>
            <w:r w:rsidRPr="00200358">
              <w:rPr>
                <w:rFonts w:ascii="Arial" w:hAnsi="Arial" w:cs="Arial"/>
                <w:sz w:val="20"/>
                <w:szCs w:val="20"/>
              </w:rPr>
              <w:t xml:space="preserve"> de la UICN</w:t>
            </w:r>
            <w:r w:rsidRPr="00200358">
              <w:rPr>
                <w:rFonts w:ascii="Arial" w:hAnsi="Arial" w:cs="Arial"/>
                <w:sz w:val="20"/>
                <w:szCs w:val="20"/>
                <w:vertAlign w:val="superscript"/>
              </w:rPr>
              <w:fldChar w:fldCharType="begin"/>
            </w:r>
            <w:r w:rsidRPr="00200358">
              <w:rPr>
                <w:rFonts w:ascii="Arial" w:hAnsi="Arial" w:cs="Arial"/>
                <w:sz w:val="20"/>
                <w:szCs w:val="20"/>
                <w:vertAlign w:val="superscript"/>
              </w:rPr>
              <w:instrText xml:space="preserve"> NOTEREF _Ref40691319 \h  \* MERGEFORMAT </w:instrText>
            </w:r>
            <w:r w:rsidRPr="00200358">
              <w:rPr>
                <w:rFonts w:ascii="Arial" w:hAnsi="Arial" w:cs="Arial"/>
                <w:sz w:val="20"/>
                <w:szCs w:val="20"/>
                <w:vertAlign w:val="superscript"/>
              </w:rPr>
            </w:r>
            <w:r w:rsidRPr="00200358">
              <w:rPr>
                <w:rFonts w:ascii="Arial" w:hAnsi="Arial" w:cs="Arial"/>
                <w:sz w:val="20"/>
                <w:szCs w:val="20"/>
                <w:vertAlign w:val="superscript"/>
              </w:rPr>
              <w:fldChar w:fldCharType="separate"/>
            </w:r>
            <w:r w:rsidRPr="00200358">
              <w:rPr>
                <w:rFonts w:ascii="Arial" w:hAnsi="Arial" w:cs="Arial"/>
                <w:sz w:val="20"/>
                <w:szCs w:val="20"/>
                <w:vertAlign w:val="superscript"/>
              </w:rPr>
              <w:t>7</w:t>
            </w:r>
            <w:r w:rsidRPr="00200358">
              <w:rPr>
                <w:rFonts w:ascii="Arial" w:hAnsi="Arial" w:cs="Arial"/>
                <w:sz w:val="20"/>
                <w:szCs w:val="20"/>
                <w:vertAlign w:val="superscript"/>
              </w:rPr>
              <w:fldChar w:fldCharType="end"/>
            </w:r>
          </w:p>
          <w:p w14:paraId="6D90968D" w14:textId="77777777" w:rsidR="00CF7917" w:rsidRPr="00200358" w:rsidRDefault="00CF7917" w:rsidP="00190C38">
            <w:pPr>
              <w:jc w:val="both"/>
              <w:rPr>
                <w:rFonts w:ascii="Arial" w:hAnsi="Arial" w:cs="Arial"/>
                <w:sz w:val="20"/>
                <w:szCs w:val="20"/>
              </w:rPr>
            </w:pPr>
          </w:p>
        </w:tc>
        <w:tc>
          <w:tcPr>
            <w:tcW w:w="2032" w:type="pct"/>
          </w:tcPr>
          <w:p w14:paraId="5EEC7EE8" w14:textId="77777777" w:rsidR="00CF7917" w:rsidRPr="00200358" w:rsidRDefault="00CF7917" w:rsidP="00190C38">
            <w:pPr>
              <w:jc w:val="both"/>
              <w:rPr>
                <w:rFonts w:ascii="Arial" w:hAnsi="Arial" w:cs="Arial"/>
                <w:iCs/>
                <w:sz w:val="20"/>
                <w:szCs w:val="20"/>
                <w:u w:val="single"/>
              </w:rPr>
            </w:pPr>
            <w:proofErr w:type="spellStart"/>
            <w:r w:rsidRPr="00200358">
              <w:rPr>
                <w:rFonts w:ascii="Arial" w:hAnsi="Arial" w:cs="Arial"/>
                <w:iCs/>
                <w:sz w:val="20"/>
                <w:szCs w:val="20"/>
                <w:u w:val="single"/>
              </w:rPr>
              <w:t>Prioridades</w:t>
            </w:r>
            <w:proofErr w:type="spellEnd"/>
            <w:r w:rsidRPr="00200358">
              <w:rPr>
                <w:rFonts w:ascii="Arial" w:hAnsi="Arial" w:cs="Arial"/>
                <w:iCs/>
                <w:sz w:val="20"/>
                <w:szCs w:val="20"/>
                <w:u w:val="single"/>
              </w:rPr>
              <w:t xml:space="preserve"> </w:t>
            </w:r>
          </w:p>
          <w:p w14:paraId="31CD6279" w14:textId="77777777" w:rsidR="00CF7917" w:rsidRPr="00200358" w:rsidRDefault="00CF7917" w:rsidP="00190C38">
            <w:pPr>
              <w:pStyle w:val="ListParagraph"/>
              <w:numPr>
                <w:ilvl w:val="0"/>
                <w:numId w:val="37"/>
              </w:numPr>
              <w:ind w:left="457"/>
              <w:jc w:val="both"/>
              <w:rPr>
                <w:rFonts w:ascii="Arial" w:hAnsi="Arial" w:cs="Arial"/>
                <w:sz w:val="20"/>
                <w:szCs w:val="20"/>
                <w:lang w:val="es-ES"/>
              </w:rPr>
            </w:pPr>
            <w:r w:rsidRPr="00200358">
              <w:rPr>
                <w:rFonts w:ascii="Arial" w:hAnsi="Arial" w:cs="Arial"/>
                <w:i/>
                <w:sz w:val="20"/>
                <w:szCs w:val="20"/>
                <w:lang w:val="es-ES"/>
              </w:rPr>
              <w:t xml:space="preserve">Amenaza por el uso/comercio: </w:t>
            </w:r>
            <w:r w:rsidRPr="00200358">
              <w:rPr>
                <w:rFonts w:ascii="Arial" w:hAnsi="Arial" w:cs="Arial"/>
                <w:iCs/>
                <w:sz w:val="20"/>
                <w:szCs w:val="20"/>
                <w:lang w:val="es-ES"/>
              </w:rPr>
              <w:t>poblaciones decrecientes</w:t>
            </w:r>
            <w:r w:rsidRPr="00200358">
              <w:rPr>
                <w:rFonts w:ascii="Arial" w:hAnsi="Arial" w:cs="Arial"/>
                <w:i/>
                <w:sz w:val="20"/>
                <w:szCs w:val="20"/>
                <w:lang w:val="es-ES"/>
              </w:rPr>
              <w:t>.</w:t>
            </w:r>
          </w:p>
          <w:p w14:paraId="2F478DC8" w14:textId="77777777" w:rsidR="00CF7917" w:rsidRPr="00200358" w:rsidRDefault="00CF7917" w:rsidP="00190C38">
            <w:pPr>
              <w:pStyle w:val="ListParagraph"/>
              <w:numPr>
                <w:ilvl w:val="0"/>
                <w:numId w:val="37"/>
              </w:numPr>
              <w:ind w:left="457"/>
              <w:jc w:val="both"/>
              <w:rPr>
                <w:rFonts w:ascii="Arial" w:hAnsi="Arial" w:cs="Arial"/>
                <w:sz w:val="20"/>
                <w:szCs w:val="20"/>
                <w:lang w:val="es-ES"/>
              </w:rPr>
            </w:pPr>
            <w:r w:rsidRPr="00200358">
              <w:rPr>
                <w:rFonts w:ascii="Arial" w:hAnsi="Arial" w:cs="Arial"/>
                <w:i/>
                <w:sz w:val="20"/>
                <w:szCs w:val="20"/>
                <w:lang w:val="es-ES"/>
              </w:rPr>
              <w:t xml:space="preserve">Elegibilidad en el Apéndice I: </w:t>
            </w:r>
            <w:r w:rsidRPr="00200358">
              <w:rPr>
                <w:rFonts w:ascii="Arial" w:hAnsi="Arial" w:cs="Arial"/>
                <w:iCs/>
                <w:sz w:val="20"/>
                <w:szCs w:val="20"/>
                <w:lang w:val="es-ES"/>
              </w:rPr>
              <w:t>poblaciones crecientes/estables</w:t>
            </w:r>
            <w:r w:rsidRPr="00200358">
              <w:rPr>
                <w:rFonts w:ascii="Arial" w:hAnsi="Arial" w:cs="Arial"/>
                <w:i/>
                <w:sz w:val="20"/>
                <w:szCs w:val="20"/>
                <w:lang w:val="es-ES"/>
              </w:rPr>
              <w:t>.</w:t>
            </w:r>
          </w:p>
          <w:p w14:paraId="6716F29E" w14:textId="77777777" w:rsidR="00CF7917" w:rsidRPr="00200358" w:rsidRDefault="00CF7917" w:rsidP="00190C38">
            <w:pPr>
              <w:jc w:val="both"/>
              <w:rPr>
                <w:rFonts w:ascii="Arial" w:hAnsi="Arial" w:cs="Arial"/>
                <w:sz w:val="16"/>
                <w:szCs w:val="16"/>
                <w:lang w:val="es-ES"/>
              </w:rPr>
            </w:pPr>
          </w:p>
          <w:p w14:paraId="766683BE"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Tendencia de la población según la evaluación de la Lista Roja de la UICN.</w:t>
            </w:r>
          </w:p>
        </w:tc>
        <w:tc>
          <w:tcPr>
            <w:tcW w:w="886" w:type="pct"/>
          </w:tcPr>
          <w:p w14:paraId="55D902E3" w14:textId="77777777" w:rsidR="00CF7917" w:rsidRPr="00200358" w:rsidRDefault="00CF7917" w:rsidP="00190C38">
            <w:pPr>
              <w:jc w:val="both"/>
              <w:rPr>
                <w:rFonts w:ascii="Arial" w:hAnsi="Arial" w:cs="Arial"/>
                <w:sz w:val="20"/>
                <w:szCs w:val="20"/>
              </w:rPr>
            </w:pPr>
            <w:r w:rsidRPr="00200358">
              <w:rPr>
                <w:rFonts w:ascii="Arial" w:hAnsi="Arial" w:cs="Arial"/>
                <w:sz w:val="20"/>
                <w:szCs w:val="20"/>
              </w:rPr>
              <w:t xml:space="preserve">1: </w:t>
            </w:r>
            <w:proofErr w:type="spellStart"/>
            <w:r w:rsidRPr="00200358">
              <w:rPr>
                <w:rFonts w:ascii="Arial" w:hAnsi="Arial" w:cs="Arial"/>
                <w:sz w:val="20"/>
                <w:szCs w:val="20"/>
              </w:rPr>
              <w:t>Decreciente</w:t>
            </w:r>
            <w:proofErr w:type="spellEnd"/>
          </w:p>
          <w:p w14:paraId="0150A9D7" w14:textId="77777777" w:rsidR="00CF7917" w:rsidRPr="00200358" w:rsidRDefault="00CF7917" w:rsidP="00190C38">
            <w:pPr>
              <w:jc w:val="both"/>
              <w:rPr>
                <w:rFonts w:ascii="Arial" w:hAnsi="Arial" w:cs="Arial"/>
                <w:sz w:val="20"/>
                <w:szCs w:val="20"/>
              </w:rPr>
            </w:pPr>
            <w:r w:rsidRPr="00200358">
              <w:rPr>
                <w:rFonts w:ascii="Arial" w:hAnsi="Arial" w:cs="Arial"/>
                <w:sz w:val="20"/>
                <w:szCs w:val="20"/>
              </w:rPr>
              <w:t xml:space="preserve">0,5: </w:t>
            </w:r>
            <w:proofErr w:type="spellStart"/>
            <w:r w:rsidRPr="00200358">
              <w:rPr>
                <w:rFonts w:ascii="Arial" w:hAnsi="Arial" w:cs="Arial"/>
                <w:sz w:val="20"/>
                <w:szCs w:val="20"/>
              </w:rPr>
              <w:t>Estable</w:t>
            </w:r>
            <w:proofErr w:type="spellEnd"/>
          </w:p>
          <w:p w14:paraId="0E905BC0" w14:textId="77777777" w:rsidR="00CF7917" w:rsidRPr="00200358" w:rsidRDefault="00CF7917" w:rsidP="00190C38">
            <w:pPr>
              <w:jc w:val="both"/>
              <w:rPr>
                <w:rFonts w:ascii="Arial" w:hAnsi="Arial" w:cs="Arial"/>
                <w:sz w:val="20"/>
                <w:szCs w:val="20"/>
              </w:rPr>
            </w:pPr>
            <w:r w:rsidRPr="00200358">
              <w:rPr>
                <w:rFonts w:ascii="Arial" w:hAnsi="Arial" w:cs="Arial"/>
                <w:sz w:val="20"/>
                <w:szCs w:val="20"/>
              </w:rPr>
              <w:t xml:space="preserve">0: </w:t>
            </w:r>
            <w:proofErr w:type="spellStart"/>
            <w:r w:rsidRPr="00200358">
              <w:rPr>
                <w:rFonts w:ascii="Arial" w:hAnsi="Arial" w:cs="Arial"/>
                <w:sz w:val="20"/>
                <w:szCs w:val="20"/>
              </w:rPr>
              <w:t>Creciente</w:t>
            </w:r>
            <w:proofErr w:type="spellEnd"/>
          </w:p>
        </w:tc>
        <w:tc>
          <w:tcPr>
            <w:tcW w:w="677" w:type="pct"/>
          </w:tcPr>
          <w:p w14:paraId="531C8288"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Tendencia de la población: desconocida.</w:t>
            </w:r>
          </w:p>
          <w:p w14:paraId="07C88013" w14:textId="77777777" w:rsidR="00CF7917" w:rsidRPr="00200358" w:rsidRDefault="00CF7917" w:rsidP="00190C38">
            <w:pPr>
              <w:jc w:val="both"/>
              <w:rPr>
                <w:rFonts w:ascii="Arial" w:hAnsi="Arial" w:cs="Arial"/>
                <w:sz w:val="16"/>
                <w:szCs w:val="16"/>
                <w:lang w:val="es-ES"/>
              </w:rPr>
            </w:pPr>
          </w:p>
          <w:p w14:paraId="31E620D6"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Taxón no evaluado aún por la UICN.</w:t>
            </w:r>
          </w:p>
        </w:tc>
      </w:tr>
      <w:tr w:rsidR="00CF7917" w:rsidRPr="00200358" w14:paraId="4DABC8D9" w14:textId="77777777" w:rsidTr="00200358">
        <w:tc>
          <w:tcPr>
            <w:tcW w:w="5000" w:type="pct"/>
            <w:gridSpan w:val="5"/>
            <w:shd w:val="clear" w:color="auto" w:fill="00AEEF"/>
          </w:tcPr>
          <w:p w14:paraId="150DCE30" w14:textId="77777777" w:rsidR="00CF7917" w:rsidRPr="00200358" w:rsidRDefault="00CF7917" w:rsidP="00190C38">
            <w:pPr>
              <w:jc w:val="both"/>
              <w:rPr>
                <w:rFonts w:ascii="Arial" w:hAnsi="Arial" w:cs="Arial"/>
                <w:b/>
                <w:bCs/>
                <w:sz w:val="20"/>
                <w:szCs w:val="20"/>
              </w:rPr>
            </w:pPr>
            <w:proofErr w:type="spellStart"/>
            <w:r w:rsidRPr="00200358">
              <w:rPr>
                <w:rFonts w:ascii="Arial" w:hAnsi="Arial" w:cs="Arial"/>
                <w:b/>
                <w:bCs/>
                <w:sz w:val="20"/>
                <w:szCs w:val="20"/>
              </w:rPr>
              <w:t>Vulnerabilidad</w:t>
            </w:r>
            <w:proofErr w:type="spellEnd"/>
            <w:r w:rsidRPr="00200358">
              <w:rPr>
                <w:rFonts w:ascii="Arial" w:hAnsi="Arial" w:cs="Arial"/>
                <w:b/>
                <w:bCs/>
                <w:sz w:val="20"/>
                <w:szCs w:val="20"/>
              </w:rPr>
              <w:t xml:space="preserve"> </w:t>
            </w:r>
            <w:proofErr w:type="spellStart"/>
            <w:r w:rsidRPr="00200358">
              <w:rPr>
                <w:rFonts w:ascii="Arial" w:hAnsi="Arial" w:cs="Arial"/>
                <w:b/>
                <w:bCs/>
                <w:sz w:val="20"/>
                <w:szCs w:val="20"/>
              </w:rPr>
              <w:t>biológica</w:t>
            </w:r>
            <w:proofErr w:type="spellEnd"/>
          </w:p>
        </w:tc>
      </w:tr>
      <w:tr w:rsidR="00CF7917" w:rsidRPr="00313A1B" w14:paraId="72C7CD17" w14:textId="77777777" w:rsidTr="00200358">
        <w:tc>
          <w:tcPr>
            <w:tcW w:w="728" w:type="pct"/>
          </w:tcPr>
          <w:p w14:paraId="52451CA0" w14:textId="77777777" w:rsidR="00CF7917" w:rsidRPr="00200358" w:rsidRDefault="00CF7917" w:rsidP="00190C38">
            <w:pPr>
              <w:jc w:val="both"/>
              <w:rPr>
                <w:rFonts w:ascii="Arial" w:hAnsi="Arial" w:cs="Arial"/>
                <w:sz w:val="20"/>
                <w:szCs w:val="20"/>
                <w:highlight w:val="green"/>
              </w:rPr>
            </w:pPr>
            <w:r w:rsidRPr="00200358">
              <w:rPr>
                <w:rFonts w:ascii="Arial" w:hAnsi="Arial" w:cs="Arial"/>
                <w:sz w:val="20"/>
                <w:szCs w:val="20"/>
              </w:rPr>
              <w:t xml:space="preserve">2.1 </w:t>
            </w:r>
            <w:proofErr w:type="spellStart"/>
            <w:r w:rsidRPr="00200358">
              <w:rPr>
                <w:rFonts w:ascii="Arial" w:hAnsi="Arial" w:cs="Arial"/>
                <w:sz w:val="20"/>
                <w:szCs w:val="20"/>
              </w:rPr>
              <w:t>Tamaño</w:t>
            </w:r>
            <w:proofErr w:type="spellEnd"/>
            <w:r w:rsidRPr="00200358">
              <w:rPr>
                <w:rFonts w:ascii="Arial" w:hAnsi="Arial" w:cs="Arial"/>
                <w:sz w:val="20"/>
                <w:szCs w:val="20"/>
              </w:rPr>
              <w:t xml:space="preserve"> corporal </w:t>
            </w:r>
          </w:p>
        </w:tc>
        <w:tc>
          <w:tcPr>
            <w:tcW w:w="677" w:type="pct"/>
          </w:tcPr>
          <w:p w14:paraId="40680044"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Base de datos del ciclo vital de los amniotas</w:t>
            </w:r>
            <w:bookmarkStart w:id="9" w:name="_Ref71180621"/>
            <w:r w:rsidRPr="00200358">
              <w:rPr>
                <w:rStyle w:val="FootnoteReference"/>
                <w:rFonts w:ascii="Arial" w:hAnsi="Arial" w:cs="Arial"/>
                <w:sz w:val="20"/>
                <w:szCs w:val="20"/>
              </w:rPr>
              <w:footnoteReference w:id="9"/>
            </w:r>
            <w:bookmarkEnd w:id="9"/>
            <w:r w:rsidRPr="00200358">
              <w:rPr>
                <w:rFonts w:ascii="Arial" w:hAnsi="Arial" w:cs="Arial"/>
                <w:sz w:val="20"/>
                <w:szCs w:val="20"/>
                <w:lang w:val="es-ES"/>
              </w:rPr>
              <w:t xml:space="preserve"> </w:t>
            </w:r>
            <w:proofErr w:type="spellStart"/>
            <w:r w:rsidRPr="00200358">
              <w:rPr>
                <w:rFonts w:ascii="Arial" w:hAnsi="Arial" w:cs="Arial"/>
                <w:sz w:val="20"/>
                <w:szCs w:val="20"/>
                <w:lang w:val="es-ES"/>
              </w:rPr>
              <w:t>AnAge</w:t>
            </w:r>
            <w:bookmarkStart w:id="10" w:name="_Ref71180637"/>
            <w:proofErr w:type="spellEnd"/>
            <w:r w:rsidRPr="00200358">
              <w:rPr>
                <w:rStyle w:val="FootnoteReference"/>
                <w:rFonts w:ascii="Arial" w:hAnsi="Arial" w:cs="Arial"/>
                <w:sz w:val="20"/>
                <w:szCs w:val="20"/>
              </w:rPr>
              <w:footnoteReference w:id="10"/>
            </w:r>
            <w:bookmarkEnd w:id="10"/>
          </w:p>
          <w:p w14:paraId="70DEF7E2" w14:textId="77777777" w:rsidR="00CF7917" w:rsidRPr="00200358" w:rsidRDefault="00CF7917" w:rsidP="00190C38">
            <w:pPr>
              <w:jc w:val="both"/>
              <w:rPr>
                <w:rFonts w:ascii="Arial" w:hAnsi="Arial" w:cs="Arial"/>
                <w:sz w:val="20"/>
                <w:szCs w:val="20"/>
                <w:highlight w:val="green"/>
              </w:rPr>
            </w:pPr>
            <w:proofErr w:type="spellStart"/>
            <w:r w:rsidRPr="00200358">
              <w:rPr>
                <w:rFonts w:ascii="Arial" w:hAnsi="Arial" w:cs="Arial"/>
                <w:sz w:val="20"/>
                <w:szCs w:val="20"/>
              </w:rPr>
              <w:t>FishBase</w:t>
            </w:r>
            <w:proofErr w:type="spellEnd"/>
            <w:r w:rsidRPr="00200358">
              <w:rPr>
                <w:rStyle w:val="FootnoteReference"/>
                <w:rFonts w:ascii="Arial" w:hAnsi="Arial" w:cs="Arial"/>
                <w:sz w:val="20"/>
                <w:szCs w:val="20"/>
              </w:rPr>
              <w:footnoteReference w:id="11"/>
            </w:r>
          </w:p>
        </w:tc>
        <w:tc>
          <w:tcPr>
            <w:tcW w:w="2032" w:type="pct"/>
          </w:tcPr>
          <w:p w14:paraId="34D8885F" w14:textId="77777777" w:rsidR="00CF7917" w:rsidRPr="00200358" w:rsidRDefault="00CF7917" w:rsidP="00190C38">
            <w:pPr>
              <w:jc w:val="both"/>
              <w:rPr>
                <w:rFonts w:ascii="Arial" w:hAnsi="Arial" w:cs="Arial"/>
                <w:iCs/>
                <w:sz w:val="20"/>
                <w:szCs w:val="20"/>
                <w:u w:val="single"/>
              </w:rPr>
            </w:pPr>
            <w:proofErr w:type="spellStart"/>
            <w:r w:rsidRPr="00200358">
              <w:rPr>
                <w:rFonts w:ascii="Arial" w:hAnsi="Arial" w:cs="Arial"/>
                <w:iCs/>
                <w:sz w:val="20"/>
                <w:szCs w:val="20"/>
                <w:u w:val="single"/>
              </w:rPr>
              <w:t>Prioridades</w:t>
            </w:r>
            <w:proofErr w:type="spellEnd"/>
            <w:r w:rsidRPr="00200358">
              <w:rPr>
                <w:rFonts w:ascii="Arial" w:hAnsi="Arial" w:cs="Arial"/>
                <w:iCs/>
                <w:sz w:val="20"/>
                <w:szCs w:val="20"/>
                <w:u w:val="single"/>
              </w:rPr>
              <w:t xml:space="preserve"> </w:t>
            </w:r>
          </w:p>
          <w:p w14:paraId="71F4744F" w14:textId="77777777" w:rsidR="00CF7917" w:rsidRPr="00200358" w:rsidRDefault="00CF7917" w:rsidP="00190C38">
            <w:pPr>
              <w:pStyle w:val="ListParagraph"/>
              <w:numPr>
                <w:ilvl w:val="0"/>
                <w:numId w:val="37"/>
              </w:numPr>
              <w:ind w:left="457"/>
              <w:jc w:val="both"/>
              <w:rPr>
                <w:rFonts w:ascii="Arial" w:hAnsi="Arial" w:cs="Arial"/>
                <w:sz w:val="20"/>
                <w:szCs w:val="20"/>
                <w:lang w:val="es-ES"/>
              </w:rPr>
            </w:pPr>
            <w:r w:rsidRPr="00200358">
              <w:rPr>
                <w:rFonts w:ascii="Arial" w:hAnsi="Arial" w:cs="Arial"/>
                <w:i/>
                <w:sz w:val="20"/>
                <w:szCs w:val="20"/>
                <w:lang w:val="es-ES"/>
              </w:rPr>
              <w:t xml:space="preserve">Amenaza por uso/comercio: </w:t>
            </w:r>
            <w:r w:rsidRPr="00200358">
              <w:rPr>
                <w:rFonts w:ascii="Arial" w:hAnsi="Arial" w:cs="Arial"/>
                <w:iCs/>
                <w:sz w:val="20"/>
                <w:szCs w:val="20"/>
                <w:lang w:val="es-ES"/>
              </w:rPr>
              <w:t xml:space="preserve">es probable que los </w:t>
            </w:r>
            <w:r w:rsidRPr="00200358">
              <w:rPr>
                <w:rFonts w:ascii="Arial" w:hAnsi="Arial" w:cs="Arial"/>
                <w:sz w:val="20"/>
                <w:szCs w:val="20"/>
                <w:lang w:val="es-ES"/>
              </w:rPr>
              <w:t>taxones de gran tamaño</w:t>
            </w:r>
            <w:r w:rsidRPr="00200358">
              <w:rPr>
                <w:rFonts w:ascii="Arial" w:hAnsi="Arial" w:cs="Arial"/>
                <w:i/>
                <w:iCs/>
                <w:sz w:val="20"/>
                <w:szCs w:val="20"/>
                <w:lang w:val="es-ES"/>
              </w:rPr>
              <w:t xml:space="preserve"> </w:t>
            </w:r>
            <w:r w:rsidRPr="00200358">
              <w:rPr>
                <w:rFonts w:ascii="Arial" w:hAnsi="Arial" w:cs="Arial"/>
                <w:sz w:val="20"/>
                <w:szCs w:val="20"/>
                <w:lang w:val="es-ES"/>
              </w:rPr>
              <w:t>sean más vulnerables ante la sobreexplotación</w:t>
            </w:r>
            <w:r w:rsidRPr="00200358">
              <w:rPr>
                <w:rFonts w:ascii="Arial" w:hAnsi="Arial" w:cs="Arial"/>
                <w:i/>
                <w:sz w:val="20"/>
                <w:szCs w:val="20"/>
                <w:lang w:val="es-ES"/>
              </w:rPr>
              <w:t>.</w:t>
            </w:r>
            <w:r w:rsidRPr="00200358">
              <w:rPr>
                <w:rFonts w:ascii="Arial" w:hAnsi="Arial" w:cs="Arial"/>
                <w:i/>
                <w:iCs/>
                <w:sz w:val="20"/>
                <w:szCs w:val="20"/>
                <w:lang w:val="es-ES"/>
              </w:rPr>
              <w:t xml:space="preserve"> </w:t>
            </w:r>
          </w:p>
          <w:p w14:paraId="4A1EE5B2" w14:textId="77777777" w:rsidR="00CF7917" w:rsidRPr="00200358" w:rsidRDefault="00CF7917" w:rsidP="00190C38">
            <w:pPr>
              <w:jc w:val="both"/>
              <w:rPr>
                <w:rFonts w:ascii="Arial" w:hAnsi="Arial" w:cs="Arial"/>
                <w:sz w:val="16"/>
                <w:szCs w:val="16"/>
                <w:lang w:val="es-ES"/>
              </w:rPr>
            </w:pPr>
          </w:p>
          <w:p w14:paraId="1E5EC631" w14:textId="7FF62D40"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Los umbrales superior</w:t>
            </w:r>
            <w:r w:rsidR="004224A6">
              <w:rPr>
                <w:rFonts w:ascii="Arial" w:hAnsi="Arial" w:cs="Arial"/>
                <w:sz w:val="20"/>
                <w:szCs w:val="20"/>
                <w:lang w:val="es-ES"/>
              </w:rPr>
              <w:t>es</w:t>
            </w:r>
            <w:r w:rsidRPr="00200358">
              <w:rPr>
                <w:rFonts w:ascii="Arial" w:hAnsi="Arial" w:cs="Arial"/>
                <w:sz w:val="20"/>
                <w:szCs w:val="20"/>
                <w:lang w:val="es-ES"/>
              </w:rPr>
              <w:t xml:space="preserve"> (33 % superior) e inferior (33 % inferior) se calcularán para cada clase</w:t>
            </w:r>
            <w:r w:rsidRPr="00200358">
              <w:rPr>
                <w:rStyle w:val="CommentReference"/>
                <w:rFonts w:ascii="Arial" w:hAnsi="Arial" w:cs="Arial"/>
                <w:sz w:val="20"/>
                <w:szCs w:val="20"/>
                <w:lang w:val="es-ES"/>
              </w:rPr>
              <w:t xml:space="preserve"> </w:t>
            </w:r>
            <w:r w:rsidRPr="00200358">
              <w:rPr>
                <w:rFonts w:ascii="Arial" w:hAnsi="Arial" w:cs="Arial"/>
                <w:sz w:val="20"/>
                <w:szCs w:val="20"/>
                <w:lang w:val="es-ES"/>
              </w:rPr>
              <w:t xml:space="preserve">basándose en las medidas de la </w:t>
            </w:r>
            <w:r w:rsidRPr="00200358">
              <w:rPr>
                <w:rFonts w:ascii="Arial" w:hAnsi="Arial" w:cs="Arial"/>
                <w:b/>
                <w:bCs/>
                <w:sz w:val="20"/>
                <w:szCs w:val="20"/>
                <w:lang w:val="es-ES"/>
              </w:rPr>
              <w:t>masa corporal de los adultos</w:t>
            </w:r>
            <w:r w:rsidRPr="00200358">
              <w:rPr>
                <w:rFonts w:ascii="Arial" w:hAnsi="Arial" w:cs="Arial"/>
                <w:sz w:val="20"/>
                <w:szCs w:val="20"/>
                <w:lang w:val="es-ES"/>
              </w:rPr>
              <w:t xml:space="preserve"> (o la longitud máxima de los peces) para cada especie disponible. Cuando se disponga de una serie de medidas para un taxón, se utilizará el valor medio.</w:t>
            </w:r>
          </w:p>
        </w:tc>
        <w:tc>
          <w:tcPr>
            <w:tcW w:w="886" w:type="pct"/>
          </w:tcPr>
          <w:p w14:paraId="34E60830"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1: &gt; umbral superior</w:t>
            </w:r>
          </w:p>
          <w:p w14:paraId="77D4F0BA"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0,5: entre el umbral superior y el inferior</w:t>
            </w:r>
          </w:p>
          <w:p w14:paraId="3F2400DD" w14:textId="77777777" w:rsidR="00CF7917" w:rsidRPr="00200358" w:rsidRDefault="00CF7917" w:rsidP="00190C38">
            <w:pPr>
              <w:jc w:val="both"/>
              <w:rPr>
                <w:rFonts w:ascii="Arial" w:hAnsi="Arial" w:cs="Arial"/>
                <w:sz w:val="20"/>
                <w:szCs w:val="20"/>
                <w:highlight w:val="green"/>
              </w:rPr>
            </w:pPr>
            <w:r w:rsidRPr="00200358">
              <w:rPr>
                <w:rFonts w:ascii="Arial" w:hAnsi="Arial" w:cs="Arial"/>
                <w:sz w:val="20"/>
                <w:szCs w:val="20"/>
              </w:rPr>
              <w:t>0: &lt; umbral inferior</w:t>
            </w:r>
          </w:p>
        </w:tc>
        <w:tc>
          <w:tcPr>
            <w:tcW w:w="677" w:type="pct"/>
          </w:tcPr>
          <w:p w14:paraId="6341EA56" w14:textId="77777777" w:rsidR="00CF7917" w:rsidRPr="00200358" w:rsidRDefault="00CF7917" w:rsidP="00190C38">
            <w:pPr>
              <w:jc w:val="both"/>
              <w:rPr>
                <w:rFonts w:ascii="Arial" w:hAnsi="Arial" w:cs="Arial"/>
                <w:sz w:val="20"/>
                <w:szCs w:val="20"/>
                <w:highlight w:val="green"/>
                <w:lang w:val="es-ES"/>
              </w:rPr>
            </w:pPr>
            <w:r w:rsidRPr="00200358">
              <w:rPr>
                <w:rFonts w:ascii="Arial" w:hAnsi="Arial" w:cs="Arial"/>
                <w:sz w:val="20"/>
                <w:szCs w:val="20"/>
                <w:lang w:val="es-ES"/>
              </w:rPr>
              <w:t>No hay datos disponibles sobre el tamaño corporal.</w:t>
            </w:r>
          </w:p>
        </w:tc>
      </w:tr>
      <w:tr w:rsidR="00CF7917" w:rsidRPr="00313A1B" w14:paraId="7FF277BD" w14:textId="77777777" w:rsidTr="00200358">
        <w:tc>
          <w:tcPr>
            <w:tcW w:w="728" w:type="pct"/>
          </w:tcPr>
          <w:p w14:paraId="7613E21D" w14:textId="77777777" w:rsidR="00CF7917" w:rsidRPr="00200358" w:rsidRDefault="00CF7917" w:rsidP="00190C38">
            <w:pPr>
              <w:jc w:val="both"/>
              <w:rPr>
                <w:rFonts w:ascii="Arial" w:hAnsi="Arial" w:cs="Arial"/>
                <w:strike/>
                <w:sz w:val="20"/>
                <w:szCs w:val="20"/>
                <w:highlight w:val="green"/>
              </w:rPr>
            </w:pPr>
            <w:r w:rsidRPr="00200358">
              <w:rPr>
                <w:rFonts w:ascii="Arial" w:hAnsi="Arial" w:cs="Arial"/>
                <w:sz w:val="20"/>
                <w:szCs w:val="20"/>
              </w:rPr>
              <w:lastRenderedPageBreak/>
              <w:t xml:space="preserve">2.2 </w:t>
            </w:r>
            <w:proofErr w:type="spellStart"/>
            <w:r w:rsidRPr="00200358">
              <w:rPr>
                <w:rFonts w:ascii="Arial" w:hAnsi="Arial" w:cs="Arial"/>
                <w:sz w:val="20"/>
                <w:szCs w:val="20"/>
              </w:rPr>
              <w:t>Producción</w:t>
            </w:r>
            <w:proofErr w:type="spellEnd"/>
            <w:r w:rsidRPr="00200358">
              <w:rPr>
                <w:rFonts w:ascii="Arial" w:hAnsi="Arial" w:cs="Arial"/>
                <w:sz w:val="20"/>
                <w:szCs w:val="20"/>
              </w:rPr>
              <w:t xml:space="preserve"> </w:t>
            </w:r>
            <w:proofErr w:type="spellStart"/>
            <w:r w:rsidRPr="00200358">
              <w:rPr>
                <w:rFonts w:ascii="Arial" w:hAnsi="Arial" w:cs="Arial"/>
                <w:sz w:val="20"/>
                <w:szCs w:val="20"/>
              </w:rPr>
              <w:t>reproductora</w:t>
            </w:r>
            <w:proofErr w:type="spellEnd"/>
          </w:p>
        </w:tc>
        <w:tc>
          <w:tcPr>
            <w:tcW w:w="677" w:type="pct"/>
          </w:tcPr>
          <w:p w14:paraId="73D66EFD"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Base de datos del ciclo vital de los amniotas</w:t>
            </w:r>
            <w:r w:rsidRPr="00200358">
              <w:rPr>
                <w:rFonts w:ascii="Arial" w:hAnsi="Arial" w:cs="Arial"/>
                <w:sz w:val="20"/>
                <w:szCs w:val="20"/>
                <w:vertAlign w:val="superscript"/>
              </w:rPr>
              <w:fldChar w:fldCharType="begin"/>
            </w:r>
            <w:r w:rsidRPr="00200358">
              <w:rPr>
                <w:rFonts w:ascii="Arial" w:hAnsi="Arial" w:cs="Arial"/>
                <w:sz w:val="20"/>
                <w:szCs w:val="20"/>
                <w:vertAlign w:val="superscript"/>
                <w:lang w:val="es-ES"/>
              </w:rPr>
              <w:instrText xml:space="preserve"> NOTEREF _Ref71180621 \h  \* MERGEFORMAT </w:instrText>
            </w:r>
            <w:r w:rsidRPr="00200358">
              <w:rPr>
                <w:rFonts w:ascii="Arial" w:hAnsi="Arial" w:cs="Arial"/>
                <w:sz w:val="20"/>
                <w:szCs w:val="20"/>
                <w:vertAlign w:val="superscript"/>
              </w:rPr>
            </w:r>
            <w:r w:rsidRPr="00200358">
              <w:rPr>
                <w:rFonts w:ascii="Arial" w:hAnsi="Arial" w:cs="Arial"/>
                <w:sz w:val="20"/>
                <w:szCs w:val="20"/>
                <w:vertAlign w:val="superscript"/>
              </w:rPr>
              <w:fldChar w:fldCharType="separate"/>
            </w:r>
            <w:r w:rsidRPr="00200358">
              <w:rPr>
                <w:rFonts w:ascii="Arial" w:hAnsi="Arial" w:cs="Arial"/>
                <w:sz w:val="20"/>
                <w:szCs w:val="20"/>
                <w:vertAlign w:val="superscript"/>
                <w:lang w:val="es-ES"/>
              </w:rPr>
              <w:t>9</w:t>
            </w:r>
            <w:r w:rsidRPr="00200358">
              <w:rPr>
                <w:rFonts w:ascii="Arial" w:hAnsi="Arial" w:cs="Arial"/>
                <w:sz w:val="20"/>
                <w:szCs w:val="20"/>
                <w:vertAlign w:val="superscript"/>
              </w:rPr>
              <w:fldChar w:fldCharType="end"/>
            </w:r>
            <w:r w:rsidRPr="00200358">
              <w:rPr>
                <w:rFonts w:ascii="Arial" w:hAnsi="Arial" w:cs="Arial"/>
                <w:sz w:val="20"/>
                <w:szCs w:val="20"/>
                <w:lang w:val="es-ES"/>
              </w:rPr>
              <w:t xml:space="preserve"> AnAge</w:t>
            </w:r>
            <w:r w:rsidRPr="00200358">
              <w:rPr>
                <w:rFonts w:ascii="Arial" w:hAnsi="Arial" w:cs="Arial"/>
                <w:sz w:val="20"/>
                <w:szCs w:val="20"/>
                <w:vertAlign w:val="superscript"/>
              </w:rPr>
              <w:fldChar w:fldCharType="begin"/>
            </w:r>
            <w:r w:rsidRPr="00200358">
              <w:rPr>
                <w:rFonts w:ascii="Arial" w:hAnsi="Arial" w:cs="Arial"/>
                <w:sz w:val="20"/>
                <w:szCs w:val="20"/>
                <w:vertAlign w:val="superscript"/>
                <w:lang w:val="es-ES"/>
              </w:rPr>
              <w:instrText xml:space="preserve"> NOTEREF _Ref71180637 \h  \* MERGEFORMAT </w:instrText>
            </w:r>
            <w:r w:rsidRPr="00200358">
              <w:rPr>
                <w:rFonts w:ascii="Arial" w:hAnsi="Arial" w:cs="Arial"/>
                <w:sz w:val="20"/>
                <w:szCs w:val="20"/>
                <w:vertAlign w:val="superscript"/>
              </w:rPr>
            </w:r>
            <w:r w:rsidRPr="00200358">
              <w:rPr>
                <w:rFonts w:ascii="Arial" w:hAnsi="Arial" w:cs="Arial"/>
                <w:sz w:val="20"/>
                <w:szCs w:val="20"/>
                <w:vertAlign w:val="superscript"/>
              </w:rPr>
              <w:fldChar w:fldCharType="separate"/>
            </w:r>
            <w:r w:rsidRPr="00200358">
              <w:rPr>
                <w:rFonts w:ascii="Arial" w:hAnsi="Arial" w:cs="Arial"/>
                <w:sz w:val="20"/>
                <w:szCs w:val="20"/>
                <w:vertAlign w:val="superscript"/>
                <w:lang w:val="es-ES"/>
              </w:rPr>
              <w:t>10</w:t>
            </w:r>
            <w:r w:rsidRPr="00200358">
              <w:rPr>
                <w:rFonts w:ascii="Arial" w:hAnsi="Arial" w:cs="Arial"/>
                <w:sz w:val="20"/>
                <w:szCs w:val="20"/>
                <w:vertAlign w:val="superscript"/>
              </w:rPr>
              <w:fldChar w:fldCharType="end"/>
            </w:r>
          </w:p>
          <w:p w14:paraId="046CD4E1" w14:textId="77777777" w:rsidR="00CF7917" w:rsidRPr="00200358" w:rsidRDefault="00CF7917" w:rsidP="00190C38">
            <w:pPr>
              <w:jc w:val="both"/>
              <w:rPr>
                <w:rFonts w:ascii="Arial" w:hAnsi="Arial" w:cs="Arial"/>
                <w:strike/>
                <w:sz w:val="20"/>
                <w:szCs w:val="20"/>
                <w:highlight w:val="green"/>
                <w:lang w:val="es-ES"/>
              </w:rPr>
            </w:pPr>
          </w:p>
        </w:tc>
        <w:tc>
          <w:tcPr>
            <w:tcW w:w="2032" w:type="pct"/>
          </w:tcPr>
          <w:p w14:paraId="5E2F5DAE" w14:textId="77777777" w:rsidR="00CF7917" w:rsidRPr="00200358" w:rsidRDefault="00CF7917" w:rsidP="00190C38">
            <w:pPr>
              <w:jc w:val="both"/>
              <w:rPr>
                <w:rFonts w:ascii="Arial" w:hAnsi="Arial" w:cs="Arial"/>
                <w:iCs/>
                <w:sz w:val="20"/>
                <w:szCs w:val="20"/>
                <w:u w:val="single"/>
              </w:rPr>
            </w:pPr>
            <w:proofErr w:type="spellStart"/>
            <w:r w:rsidRPr="00200358">
              <w:rPr>
                <w:rFonts w:ascii="Arial" w:hAnsi="Arial" w:cs="Arial"/>
                <w:iCs/>
                <w:sz w:val="20"/>
                <w:szCs w:val="20"/>
                <w:u w:val="single"/>
              </w:rPr>
              <w:t>Prioridades</w:t>
            </w:r>
            <w:proofErr w:type="spellEnd"/>
            <w:r w:rsidRPr="00200358">
              <w:rPr>
                <w:rFonts w:ascii="Arial" w:hAnsi="Arial" w:cs="Arial"/>
                <w:iCs/>
                <w:sz w:val="20"/>
                <w:szCs w:val="20"/>
                <w:u w:val="single"/>
              </w:rPr>
              <w:t xml:space="preserve"> </w:t>
            </w:r>
          </w:p>
          <w:p w14:paraId="5A29C0EA" w14:textId="77777777" w:rsidR="00CF7917" w:rsidRPr="00200358" w:rsidRDefault="00CF7917" w:rsidP="00190C38">
            <w:pPr>
              <w:pStyle w:val="ListParagraph"/>
              <w:numPr>
                <w:ilvl w:val="0"/>
                <w:numId w:val="38"/>
              </w:numPr>
              <w:ind w:left="465"/>
              <w:jc w:val="both"/>
              <w:rPr>
                <w:rFonts w:ascii="Arial" w:hAnsi="Arial" w:cs="Arial"/>
                <w:i/>
                <w:iCs/>
                <w:sz w:val="20"/>
                <w:szCs w:val="20"/>
                <w:lang w:val="es-ES"/>
              </w:rPr>
            </w:pPr>
            <w:r w:rsidRPr="00200358">
              <w:rPr>
                <w:rFonts w:ascii="Arial" w:hAnsi="Arial" w:cs="Arial"/>
                <w:i/>
                <w:sz w:val="20"/>
                <w:szCs w:val="20"/>
                <w:lang w:val="es-ES"/>
              </w:rPr>
              <w:t xml:space="preserve">Amenaza por uso/comercio: </w:t>
            </w:r>
            <w:r w:rsidRPr="00200358">
              <w:rPr>
                <w:rFonts w:ascii="Arial" w:hAnsi="Arial" w:cs="Arial"/>
                <w:iCs/>
                <w:sz w:val="20"/>
                <w:szCs w:val="20"/>
                <w:lang w:val="es-ES"/>
              </w:rPr>
              <w:t>taxones con historiales vitales relativamente lentos (producen menos crías o alcanzan la madurez a una edad más tardía)</w:t>
            </w:r>
            <w:r w:rsidRPr="00200358">
              <w:rPr>
                <w:rFonts w:ascii="Arial" w:hAnsi="Arial" w:cs="Arial"/>
                <w:i/>
                <w:sz w:val="20"/>
                <w:szCs w:val="20"/>
                <w:lang w:val="es-ES"/>
              </w:rPr>
              <w:t>.</w:t>
            </w:r>
          </w:p>
          <w:p w14:paraId="0EDAAFA5" w14:textId="77777777" w:rsidR="00CF7917" w:rsidRPr="00200358" w:rsidRDefault="00CF7917" w:rsidP="00190C38">
            <w:pPr>
              <w:jc w:val="both"/>
              <w:rPr>
                <w:rFonts w:ascii="Arial" w:hAnsi="Arial" w:cs="Arial"/>
                <w:sz w:val="20"/>
                <w:szCs w:val="20"/>
                <w:lang w:val="es-ES"/>
              </w:rPr>
            </w:pPr>
          </w:p>
          <w:p w14:paraId="76911039"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La producción reproductora se puntuará en función de dos parámetros. Se consideran</w:t>
            </w:r>
            <w:r w:rsidRPr="00200358" w:rsidDel="00CB2223">
              <w:rPr>
                <w:rFonts w:ascii="Arial" w:hAnsi="Arial" w:cs="Arial"/>
                <w:sz w:val="20"/>
                <w:szCs w:val="20"/>
                <w:lang w:val="es-ES"/>
              </w:rPr>
              <w:t xml:space="preserve"> parámetros complementarios y se combinan para maximizar la cobertura de datos sin «doble contabilidad».</w:t>
            </w:r>
          </w:p>
          <w:p w14:paraId="36285F42" w14:textId="77777777" w:rsidR="00CF7917" w:rsidRPr="00200358" w:rsidRDefault="00CF7917" w:rsidP="00190C38">
            <w:pPr>
              <w:pStyle w:val="ListParagraph"/>
              <w:numPr>
                <w:ilvl w:val="0"/>
                <w:numId w:val="31"/>
              </w:numPr>
              <w:jc w:val="both"/>
              <w:rPr>
                <w:rFonts w:ascii="Arial" w:hAnsi="Arial" w:cs="Arial"/>
                <w:sz w:val="20"/>
                <w:szCs w:val="20"/>
              </w:rPr>
            </w:pPr>
            <w:proofErr w:type="spellStart"/>
            <w:r w:rsidRPr="00200358">
              <w:rPr>
                <w:rFonts w:ascii="Arial" w:hAnsi="Arial" w:cs="Arial"/>
                <w:sz w:val="20"/>
                <w:szCs w:val="20"/>
              </w:rPr>
              <w:t>Número</w:t>
            </w:r>
            <w:proofErr w:type="spellEnd"/>
            <w:r w:rsidRPr="00200358">
              <w:rPr>
                <w:rFonts w:ascii="Arial" w:hAnsi="Arial" w:cs="Arial"/>
                <w:sz w:val="20"/>
                <w:szCs w:val="20"/>
              </w:rPr>
              <w:t xml:space="preserve"> de </w:t>
            </w:r>
            <w:proofErr w:type="spellStart"/>
            <w:r w:rsidRPr="00200358">
              <w:rPr>
                <w:rFonts w:ascii="Arial" w:hAnsi="Arial" w:cs="Arial"/>
                <w:sz w:val="20"/>
                <w:szCs w:val="20"/>
              </w:rPr>
              <w:t>crías</w:t>
            </w:r>
            <w:proofErr w:type="spellEnd"/>
            <w:r w:rsidRPr="00200358">
              <w:rPr>
                <w:rFonts w:ascii="Arial" w:hAnsi="Arial" w:cs="Arial"/>
                <w:sz w:val="20"/>
                <w:szCs w:val="20"/>
              </w:rPr>
              <w:t xml:space="preserve"> </w:t>
            </w:r>
            <w:proofErr w:type="spellStart"/>
            <w:r w:rsidRPr="00200358">
              <w:rPr>
                <w:rFonts w:ascii="Arial" w:hAnsi="Arial" w:cs="Arial"/>
                <w:sz w:val="20"/>
                <w:szCs w:val="20"/>
              </w:rPr>
              <w:t>producidas</w:t>
            </w:r>
            <w:proofErr w:type="spellEnd"/>
          </w:p>
          <w:p w14:paraId="45DB26E4" w14:textId="77777777" w:rsidR="00CF7917" w:rsidRPr="00200358" w:rsidRDefault="00CF7917" w:rsidP="00190C38">
            <w:pPr>
              <w:pStyle w:val="ListParagraph"/>
              <w:numPr>
                <w:ilvl w:val="0"/>
                <w:numId w:val="31"/>
              </w:numPr>
              <w:jc w:val="both"/>
              <w:rPr>
                <w:rFonts w:ascii="Arial" w:hAnsi="Arial" w:cs="Arial"/>
                <w:sz w:val="20"/>
                <w:szCs w:val="20"/>
              </w:rPr>
            </w:pPr>
            <w:proofErr w:type="spellStart"/>
            <w:r w:rsidRPr="00200358">
              <w:rPr>
                <w:rFonts w:ascii="Arial" w:hAnsi="Arial" w:cs="Arial"/>
                <w:sz w:val="20"/>
                <w:szCs w:val="20"/>
              </w:rPr>
              <w:t>Edad</w:t>
            </w:r>
            <w:proofErr w:type="spellEnd"/>
            <w:r w:rsidRPr="00200358">
              <w:rPr>
                <w:rFonts w:ascii="Arial" w:hAnsi="Arial" w:cs="Arial"/>
                <w:sz w:val="20"/>
                <w:szCs w:val="20"/>
              </w:rPr>
              <w:t xml:space="preserve"> de </w:t>
            </w:r>
            <w:proofErr w:type="spellStart"/>
            <w:r w:rsidRPr="00200358">
              <w:rPr>
                <w:rFonts w:ascii="Arial" w:hAnsi="Arial" w:cs="Arial"/>
                <w:sz w:val="20"/>
                <w:szCs w:val="20"/>
              </w:rPr>
              <w:t>madurez</w:t>
            </w:r>
            <w:proofErr w:type="spellEnd"/>
            <w:r w:rsidRPr="00200358">
              <w:rPr>
                <w:rFonts w:ascii="Arial" w:hAnsi="Arial" w:cs="Arial"/>
                <w:sz w:val="20"/>
                <w:szCs w:val="20"/>
              </w:rPr>
              <w:t xml:space="preserve"> </w:t>
            </w:r>
          </w:p>
          <w:p w14:paraId="036FD059" w14:textId="77777777" w:rsidR="00CF7917" w:rsidRPr="00200358" w:rsidRDefault="00CF7917" w:rsidP="00190C38">
            <w:pPr>
              <w:jc w:val="both"/>
              <w:rPr>
                <w:rFonts w:ascii="Arial" w:hAnsi="Arial" w:cs="Arial"/>
                <w:sz w:val="20"/>
                <w:szCs w:val="20"/>
              </w:rPr>
            </w:pPr>
          </w:p>
          <w:p w14:paraId="6545E704" w14:textId="5245EA23"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Los umbrales superior</w:t>
            </w:r>
            <w:r w:rsidR="004224A6">
              <w:rPr>
                <w:rFonts w:ascii="Arial" w:hAnsi="Arial" w:cs="Arial"/>
                <w:sz w:val="20"/>
                <w:szCs w:val="20"/>
                <w:lang w:val="es-ES"/>
              </w:rPr>
              <w:t>es</w:t>
            </w:r>
            <w:r w:rsidRPr="00200358">
              <w:rPr>
                <w:rFonts w:ascii="Arial" w:hAnsi="Arial" w:cs="Arial"/>
                <w:sz w:val="20"/>
                <w:szCs w:val="20"/>
                <w:lang w:val="es-ES"/>
              </w:rPr>
              <w:t xml:space="preserve"> (33 % superior) e inferior (33 % inferior) para estos dos parámetros se calcularán por separado para cada clase basándose en los datos disponibles para cada especie de esas clases. Cuando se disponga de una serie de medidas para un taxón, se utilizará el valor medio. El (a) número medio de crías</w:t>
            </w:r>
            <w:r w:rsidR="007C58AB" w:rsidRPr="00200358">
              <w:rPr>
                <w:rFonts w:ascii="Arial" w:hAnsi="Arial" w:cs="Arial"/>
                <w:sz w:val="20"/>
                <w:szCs w:val="20"/>
                <w:lang w:val="es-ES"/>
              </w:rPr>
              <w:t xml:space="preserve"> producidas</w:t>
            </w:r>
            <w:r w:rsidRPr="00200358">
              <w:rPr>
                <w:rFonts w:ascii="Arial" w:hAnsi="Arial" w:cs="Arial"/>
                <w:sz w:val="20"/>
                <w:szCs w:val="20"/>
                <w:lang w:val="es-ES"/>
              </w:rPr>
              <w:t xml:space="preserve"> y (b) la edad de madurez para cada taxón del Apéndice I se puntuará en función de estos umbrales.</w:t>
            </w:r>
          </w:p>
          <w:p w14:paraId="677169CB" w14:textId="77777777" w:rsidR="007C58AB" w:rsidRPr="00200358" w:rsidRDefault="007C58AB" w:rsidP="00190C38">
            <w:pPr>
              <w:jc w:val="both"/>
              <w:rPr>
                <w:rFonts w:ascii="Arial" w:hAnsi="Arial" w:cs="Arial"/>
                <w:sz w:val="20"/>
                <w:szCs w:val="20"/>
                <w:lang w:val="es-ES"/>
              </w:rPr>
            </w:pPr>
          </w:p>
          <w:p w14:paraId="727B3A3D" w14:textId="77777777" w:rsidR="007C58AB" w:rsidRPr="00200358" w:rsidRDefault="007C58AB" w:rsidP="00190C38">
            <w:pPr>
              <w:jc w:val="both"/>
              <w:rPr>
                <w:rFonts w:ascii="Arial" w:hAnsi="Arial" w:cs="Arial"/>
                <w:sz w:val="20"/>
                <w:szCs w:val="20"/>
                <w:lang w:val="es-ES"/>
              </w:rPr>
            </w:pPr>
            <w:r w:rsidRPr="00200358">
              <w:rPr>
                <w:rFonts w:ascii="Arial" w:hAnsi="Arial" w:cs="Arial"/>
                <w:sz w:val="20"/>
                <w:szCs w:val="20"/>
                <w:lang w:val="es-ES"/>
              </w:rPr>
              <w:t>Cuando sólo se disponga de datos para una métrica, los taxones se puntuarán únicamente en función de esa métrica.</w:t>
            </w:r>
          </w:p>
          <w:p w14:paraId="73989FCD" w14:textId="1DB2E155" w:rsidR="007C58AB" w:rsidRPr="00200358" w:rsidRDefault="007C58AB" w:rsidP="00190C38">
            <w:pPr>
              <w:jc w:val="both"/>
              <w:rPr>
                <w:rFonts w:ascii="Arial" w:hAnsi="Arial" w:cs="Arial"/>
                <w:sz w:val="20"/>
                <w:szCs w:val="20"/>
                <w:lang w:val="es-ES"/>
              </w:rPr>
            </w:pPr>
          </w:p>
        </w:tc>
        <w:tc>
          <w:tcPr>
            <w:tcW w:w="886" w:type="pct"/>
          </w:tcPr>
          <w:p w14:paraId="41376186" w14:textId="5F3415D5"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1:</w:t>
            </w:r>
            <w:r w:rsidR="00AF6CC0" w:rsidRPr="00200358">
              <w:rPr>
                <w:rFonts w:ascii="Arial" w:hAnsi="Arial" w:cs="Arial"/>
                <w:sz w:val="20"/>
                <w:szCs w:val="20"/>
                <w:lang w:val="es-ES"/>
              </w:rPr>
              <w:t xml:space="preserve"> historia de vida “</w:t>
            </w:r>
            <w:proofErr w:type="spellStart"/>
            <w:r w:rsidR="00AF6CC0" w:rsidRPr="00200358">
              <w:rPr>
                <w:rFonts w:ascii="Arial" w:hAnsi="Arial" w:cs="Arial"/>
                <w:sz w:val="20"/>
                <w:szCs w:val="20"/>
                <w:lang w:val="es-ES"/>
              </w:rPr>
              <w:t>relentizada</w:t>
            </w:r>
            <w:proofErr w:type="spellEnd"/>
            <w:r w:rsidR="00AF6CC0" w:rsidRPr="00200358">
              <w:rPr>
                <w:rFonts w:ascii="Arial" w:hAnsi="Arial" w:cs="Arial"/>
                <w:sz w:val="20"/>
                <w:szCs w:val="20"/>
                <w:lang w:val="es-ES"/>
              </w:rPr>
              <w:t>”</w:t>
            </w:r>
            <w:r w:rsidR="004224A6">
              <w:rPr>
                <w:rFonts w:ascii="Arial" w:hAnsi="Arial" w:cs="Arial"/>
                <w:sz w:val="20"/>
                <w:szCs w:val="20"/>
                <w:lang w:val="es-ES"/>
              </w:rPr>
              <w:t xml:space="preserve"> </w:t>
            </w:r>
            <w:proofErr w:type="gramStart"/>
            <w:r w:rsidR="00AF6CC0" w:rsidRPr="00200358">
              <w:rPr>
                <w:rFonts w:ascii="Arial" w:hAnsi="Arial" w:cs="Arial"/>
                <w:sz w:val="20"/>
                <w:szCs w:val="20"/>
                <w:lang w:val="es-ES"/>
              </w:rPr>
              <w:t>(</w:t>
            </w:r>
            <w:r w:rsidRPr="00200358">
              <w:rPr>
                <w:rFonts w:ascii="Arial" w:hAnsi="Arial" w:cs="Arial"/>
                <w:sz w:val="20"/>
                <w:szCs w:val="20"/>
                <w:lang w:val="es-ES"/>
              </w:rPr>
              <w:t xml:space="preserve"> &gt;</w:t>
            </w:r>
            <w:proofErr w:type="gramEnd"/>
            <w:r w:rsidRPr="00200358">
              <w:rPr>
                <w:rFonts w:ascii="Arial" w:hAnsi="Arial" w:cs="Arial"/>
                <w:sz w:val="20"/>
                <w:szCs w:val="20"/>
                <w:lang w:val="es-ES"/>
              </w:rPr>
              <w:t xml:space="preserve"> umbral superior </w:t>
            </w:r>
            <w:r w:rsidR="00AF6CC0" w:rsidRPr="00200358">
              <w:rPr>
                <w:rFonts w:ascii="Arial" w:hAnsi="Arial" w:cs="Arial"/>
                <w:sz w:val="20"/>
                <w:szCs w:val="20"/>
                <w:lang w:val="es-ES"/>
              </w:rPr>
              <w:t xml:space="preserve">para la edad de madurez Y &lt; umbral inferior para el número de crías) </w:t>
            </w:r>
          </w:p>
          <w:p w14:paraId="04A53ACF" w14:textId="568281AC"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 xml:space="preserve">0,66: &gt; umbral superior para </w:t>
            </w:r>
            <w:r w:rsidR="00AF6CC0" w:rsidRPr="00200358">
              <w:rPr>
                <w:rFonts w:ascii="Arial" w:hAnsi="Arial" w:cs="Arial"/>
                <w:sz w:val="20"/>
                <w:szCs w:val="20"/>
                <w:lang w:val="es-ES"/>
              </w:rPr>
              <w:t>la madurez O &lt; umbral inferior para el número de crías (pero no ambas)</w:t>
            </w:r>
          </w:p>
          <w:p w14:paraId="51CDC49B"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0,33: entre el umbral superior y el inferior de al menos un parámetro</w:t>
            </w:r>
          </w:p>
          <w:p w14:paraId="5DFC4AFE" w14:textId="3AB3A64C"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0:</w:t>
            </w:r>
            <w:r w:rsidR="00AF6CC0" w:rsidRPr="00200358">
              <w:rPr>
                <w:rFonts w:ascii="Arial" w:hAnsi="Arial" w:cs="Arial"/>
                <w:sz w:val="20"/>
                <w:szCs w:val="20"/>
                <w:lang w:val="es-ES"/>
              </w:rPr>
              <w:t xml:space="preserve"> historia de vida “rápida”</w:t>
            </w:r>
            <w:r w:rsidRPr="00200358">
              <w:rPr>
                <w:rFonts w:ascii="Arial" w:hAnsi="Arial" w:cs="Arial"/>
                <w:sz w:val="20"/>
                <w:szCs w:val="20"/>
                <w:lang w:val="es-ES"/>
              </w:rPr>
              <w:t xml:space="preserve"> </w:t>
            </w:r>
            <w:r w:rsidR="007C58AB" w:rsidRPr="00200358">
              <w:rPr>
                <w:rFonts w:ascii="Arial" w:hAnsi="Arial" w:cs="Arial"/>
                <w:sz w:val="20"/>
                <w:szCs w:val="20"/>
                <w:lang w:val="es-ES"/>
              </w:rPr>
              <w:t>(</w:t>
            </w:r>
            <w:r w:rsidRPr="00200358">
              <w:rPr>
                <w:rFonts w:ascii="Arial" w:hAnsi="Arial" w:cs="Arial"/>
                <w:sz w:val="20"/>
                <w:szCs w:val="20"/>
                <w:lang w:val="es-ES"/>
              </w:rPr>
              <w:t>&lt; umbral inferior para</w:t>
            </w:r>
            <w:r w:rsidR="007C58AB" w:rsidRPr="00200358">
              <w:rPr>
                <w:rFonts w:ascii="Arial" w:hAnsi="Arial" w:cs="Arial"/>
                <w:sz w:val="20"/>
                <w:szCs w:val="20"/>
                <w:lang w:val="es-ES"/>
              </w:rPr>
              <w:t xml:space="preserve"> la edad de madurez Y &gt; umbral superior para el número de crías)</w:t>
            </w:r>
          </w:p>
          <w:p w14:paraId="32D5E690" w14:textId="77777777" w:rsidR="00CF7917" w:rsidRPr="00200358" w:rsidRDefault="00CF7917" w:rsidP="00190C38">
            <w:pPr>
              <w:jc w:val="both"/>
              <w:rPr>
                <w:rFonts w:ascii="Arial" w:hAnsi="Arial" w:cs="Arial"/>
                <w:sz w:val="20"/>
                <w:szCs w:val="20"/>
                <w:lang w:val="es-ES"/>
              </w:rPr>
            </w:pPr>
          </w:p>
          <w:p w14:paraId="52FAF88E" w14:textId="6F189902" w:rsidR="00CF7917" w:rsidRPr="00200358" w:rsidRDefault="00CF7917" w:rsidP="00190C38">
            <w:pPr>
              <w:jc w:val="both"/>
              <w:rPr>
                <w:rFonts w:ascii="Arial" w:hAnsi="Arial" w:cs="Arial"/>
                <w:strike/>
                <w:sz w:val="20"/>
                <w:szCs w:val="20"/>
                <w:highlight w:val="green"/>
                <w:lang w:val="es-ES"/>
              </w:rPr>
            </w:pPr>
          </w:p>
        </w:tc>
        <w:tc>
          <w:tcPr>
            <w:tcW w:w="677" w:type="pct"/>
          </w:tcPr>
          <w:p w14:paraId="011E3C0D" w14:textId="77777777" w:rsidR="00CF7917" w:rsidRPr="00200358" w:rsidRDefault="00CF7917" w:rsidP="00190C38">
            <w:pPr>
              <w:jc w:val="both"/>
              <w:rPr>
                <w:rFonts w:ascii="Arial" w:hAnsi="Arial" w:cs="Arial"/>
                <w:strike/>
                <w:sz w:val="20"/>
                <w:szCs w:val="20"/>
                <w:highlight w:val="green"/>
                <w:lang w:val="es-ES"/>
              </w:rPr>
            </w:pPr>
            <w:r w:rsidRPr="00200358">
              <w:rPr>
                <w:rFonts w:ascii="Arial" w:hAnsi="Arial" w:cs="Arial"/>
                <w:sz w:val="20"/>
                <w:szCs w:val="20"/>
                <w:lang w:val="es-ES"/>
              </w:rPr>
              <w:t>No hay datos disponibles sobre el número de crías y la edad de madurez.</w:t>
            </w:r>
          </w:p>
        </w:tc>
      </w:tr>
      <w:tr w:rsidR="00CF7917" w:rsidRPr="00313A1B" w14:paraId="789CB027" w14:textId="77777777" w:rsidTr="00200358">
        <w:tc>
          <w:tcPr>
            <w:tcW w:w="728" w:type="pct"/>
          </w:tcPr>
          <w:p w14:paraId="13E896A2" w14:textId="77777777" w:rsidR="00CF7917" w:rsidRPr="00200358" w:rsidRDefault="00CF7917" w:rsidP="00190C38">
            <w:pPr>
              <w:jc w:val="both"/>
              <w:rPr>
                <w:rFonts w:ascii="Arial" w:hAnsi="Arial" w:cs="Arial"/>
                <w:sz w:val="20"/>
                <w:szCs w:val="20"/>
                <w:highlight w:val="green"/>
              </w:rPr>
            </w:pPr>
            <w:r w:rsidRPr="00200358">
              <w:rPr>
                <w:rFonts w:ascii="Arial" w:hAnsi="Arial" w:cs="Arial"/>
                <w:sz w:val="20"/>
                <w:szCs w:val="20"/>
              </w:rPr>
              <w:t xml:space="preserve">2.3 </w:t>
            </w:r>
            <w:proofErr w:type="spellStart"/>
            <w:r w:rsidRPr="00200358">
              <w:rPr>
                <w:rFonts w:ascii="Arial" w:hAnsi="Arial" w:cs="Arial"/>
                <w:sz w:val="20"/>
                <w:szCs w:val="20"/>
              </w:rPr>
              <w:t>Extensión</w:t>
            </w:r>
            <w:proofErr w:type="spellEnd"/>
            <w:r w:rsidRPr="00200358">
              <w:rPr>
                <w:rFonts w:ascii="Arial" w:hAnsi="Arial" w:cs="Arial"/>
                <w:sz w:val="20"/>
                <w:szCs w:val="20"/>
              </w:rPr>
              <w:t xml:space="preserve"> del </w:t>
            </w:r>
            <w:proofErr w:type="spellStart"/>
            <w:r w:rsidRPr="00200358">
              <w:rPr>
                <w:rFonts w:ascii="Arial" w:hAnsi="Arial" w:cs="Arial"/>
                <w:sz w:val="20"/>
                <w:szCs w:val="20"/>
              </w:rPr>
              <w:t>hábitat</w:t>
            </w:r>
            <w:proofErr w:type="spellEnd"/>
          </w:p>
        </w:tc>
        <w:tc>
          <w:tcPr>
            <w:tcW w:w="677" w:type="pct"/>
          </w:tcPr>
          <w:p w14:paraId="5CE7855D" w14:textId="77777777" w:rsidR="00CF7917" w:rsidRPr="00200358" w:rsidRDefault="00CF7917" w:rsidP="00190C38">
            <w:pPr>
              <w:jc w:val="both"/>
              <w:rPr>
                <w:rFonts w:ascii="Arial" w:hAnsi="Arial" w:cs="Arial"/>
                <w:sz w:val="20"/>
                <w:szCs w:val="20"/>
                <w:highlight w:val="green"/>
              </w:rPr>
            </w:pPr>
            <w:proofErr w:type="spellStart"/>
            <w:r w:rsidRPr="00200358">
              <w:rPr>
                <w:rFonts w:ascii="Arial" w:hAnsi="Arial" w:cs="Arial"/>
                <w:sz w:val="20"/>
                <w:szCs w:val="20"/>
              </w:rPr>
              <w:t>Ducatez</w:t>
            </w:r>
            <w:proofErr w:type="spellEnd"/>
            <w:r w:rsidRPr="00200358">
              <w:rPr>
                <w:rFonts w:ascii="Arial" w:hAnsi="Arial" w:cs="Arial"/>
                <w:sz w:val="20"/>
                <w:szCs w:val="20"/>
              </w:rPr>
              <w:t xml:space="preserve"> </w:t>
            </w:r>
            <w:r w:rsidRPr="00200358">
              <w:rPr>
                <w:rFonts w:ascii="Arial" w:hAnsi="Arial" w:cs="Arial"/>
                <w:i/>
                <w:iCs/>
                <w:sz w:val="20"/>
                <w:szCs w:val="20"/>
              </w:rPr>
              <w:t>et al</w:t>
            </w:r>
            <w:r w:rsidRPr="00200358">
              <w:rPr>
                <w:rFonts w:ascii="Arial" w:hAnsi="Arial" w:cs="Arial"/>
                <w:sz w:val="20"/>
                <w:szCs w:val="20"/>
              </w:rPr>
              <w:t>. (2016)</w:t>
            </w:r>
            <w:r w:rsidRPr="00200358">
              <w:rPr>
                <w:rStyle w:val="FootnoteReference"/>
                <w:rFonts w:ascii="Arial" w:hAnsi="Arial" w:cs="Arial"/>
                <w:sz w:val="20"/>
                <w:szCs w:val="20"/>
              </w:rPr>
              <w:footnoteReference w:id="12"/>
            </w:r>
          </w:p>
        </w:tc>
        <w:tc>
          <w:tcPr>
            <w:tcW w:w="2032" w:type="pct"/>
          </w:tcPr>
          <w:p w14:paraId="38F429AF" w14:textId="77777777" w:rsidR="00CF7917" w:rsidRPr="00200358" w:rsidRDefault="00CF7917" w:rsidP="00190C38">
            <w:pPr>
              <w:jc w:val="both"/>
              <w:rPr>
                <w:rFonts w:ascii="Arial" w:hAnsi="Arial" w:cs="Arial"/>
                <w:iCs/>
                <w:sz w:val="20"/>
                <w:szCs w:val="20"/>
                <w:u w:val="single"/>
              </w:rPr>
            </w:pPr>
            <w:proofErr w:type="spellStart"/>
            <w:r w:rsidRPr="00200358">
              <w:rPr>
                <w:rFonts w:ascii="Arial" w:hAnsi="Arial" w:cs="Arial"/>
                <w:iCs/>
                <w:sz w:val="20"/>
                <w:szCs w:val="20"/>
                <w:u w:val="single"/>
              </w:rPr>
              <w:t>Prioridades</w:t>
            </w:r>
            <w:proofErr w:type="spellEnd"/>
            <w:r w:rsidRPr="00200358">
              <w:rPr>
                <w:rFonts w:ascii="Arial" w:hAnsi="Arial" w:cs="Arial"/>
                <w:iCs/>
                <w:sz w:val="20"/>
                <w:szCs w:val="20"/>
                <w:u w:val="single"/>
              </w:rPr>
              <w:t xml:space="preserve"> </w:t>
            </w:r>
          </w:p>
          <w:p w14:paraId="09F003CE" w14:textId="77777777" w:rsidR="00CF7917" w:rsidRPr="00200358" w:rsidRDefault="00CF7917" w:rsidP="00190C38">
            <w:pPr>
              <w:pStyle w:val="ListParagraph"/>
              <w:numPr>
                <w:ilvl w:val="0"/>
                <w:numId w:val="38"/>
              </w:numPr>
              <w:jc w:val="both"/>
              <w:rPr>
                <w:rFonts w:ascii="Arial" w:hAnsi="Arial" w:cs="Arial"/>
                <w:sz w:val="20"/>
                <w:szCs w:val="20"/>
                <w:lang w:val="es-ES"/>
              </w:rPr>
            </w:pPr>
            <w:r w:rsidRPr="00200358">
              <w:rPr>
                <w:rFonts w:ascii="Arial" w:hAnsi="Arial" w:cs="Arial"/>
                <w:i/>
                <w:sz w:val="20"/>
                <w:szCs w:val="20"/>
                <w:lang w:val="es-ES"/>
              </w:rPr>
              <w:t xml:space="preserve">Amenaza por uso/comercio: </w:t>
            </w:r>
            <w:r w:rsidRPr="00200358">
              <w:rPr>
                <w:rFonts w:ascii="Arial" w:hAnsi="Arial" w:cs="Arial"/>
                <w:iCs/>
                <w:sz w:val="20"/>
                <w:szCs w:val="20"/>
                <w:lang w:val="es-ES"/>
              </w:rPr>
              <w:t>es probable que los taxones</w:t>
            </w:r>
            <w:r w:rsidRPr="00200358">
              <w:rPr>
                <w:rFonts w:ascii="Arial" w:hAnsi="Arial" w:cs="Arial"/>
                <w:sz w:val="20"/>
                <w:szCs w:val="20"/>
                <w:lang w:val="es-ES"/>
              </w:rPr>
              <w:t xml:space="preserve"> que ocupan un pequeño número de hábitats (especialistas)</w:t>
            </w:r>
            <w:r w:rsidRPr="00200358">
              <w:rPr>
                <w:rFonts w:ascii="Arial" w:hAnsi="Arial" w:cs="Arial"/>
                <w:i/>
                <w:iCs/>
                <w:sz w:val="20"/>
                <w:szCs w:val="20"/>
                <w:lang w:val="es-ES"/>
              </w:rPr>
              <w:t xml:space="preserve"> </w:t>
            </w:r>
            <w:r w:rsidRPr="00200358">
              <w:rPr>
                <w:rFonts w:ascii="Arial" w:hAnsi="Arial" w:cs="Arial"/>
                <w:sz w:val="20"/>
                <w:szCs w:val="20"/>
                <w:lang w:val="es-ES"/>
              </w:rPr>
              <w:t>sean más vulnerables que los que ocupan un gran número de estas (generalistas).</w:t>
            </w:r>
          </w:p>
          <w:p w14:paraId="57CEB885" w14:textId="77777777" w:rsidR="00CF7917" w:rsidRPr="00200358" w:rsidRDefault="00CF7917" w:rsidP="00190C38">
            <w:pPr>
              <w:jc w:val="both"/>
              <w:rPr>
                <w:rFonts w:ascii="Arial" w:hAnsi="Arial" w:cs="Arial"/>
                <w:i/>
                <w:iCs/>
                <w:sz w:val="20"/>
                <w:szCs w:val="20"/>
                <w:lang w:val="es-ES"/>
              </w:rPr>
            </w:pPr>
          </w:p>
          <w:p w14:paraId="3089B97C" w14:textId="57A45A1C"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 xml:space="preserve">Los </w:t>
            </w:r>
            <w:proofErr w:type="gramStart"/>
            <w:r w:rsidRPr="00200358">
              <w:rPr>
                <w:rFonts w:ascii="Arial" w:hAnsi="Arial" w:cs="Arial"/>
                <w:sz w:val="20"/>
                <w:szCs w:val="20"/>
                <w:lang w:val="es-ES"/>
              </w:rPr>
              <w:t>umbrales superior</w:t>
            </w:r>
            <w:proofErr w:type="gramEnd"/>
            <w:r w:rsidRPr="00200358">
              <w:rPr>
                <w:rFonts w:ascii="Arial" w:hAnsi="Arial" w:cs="Arial"/>
                <w:sz w:val="20"/>
                <w:szCs w:val="20"/>
                <w:lang w:val="es-ES"/>
              </w:rPr>
              <w:t xml:space="preserve"> (33 % superior) e inferior (33 % inferior) se calcularán para cada clase basándose en los </w:t>
            </w:r>
            <w:r w:rsidRPr="00200358">
              <w:rPr>
                <w:rFonts w:ascii="Arial" w:hAnsi="Arial" w:cs="Arial"/>
                <w:b/>
                <w:bCs/>
                <w:sz w:val="20"/>
                <w:szCs w:val="20"/>
                <w:lang w:val="es-ES"/>
              </w:rPr>
              <w:t>datos de extensión del hábitat</w:t>
            </w:r>
            <w:r w:rsidRPr="00200358">
              <w:rPr>
                <w:rFonts w:ascii="Arial" w:hAnsi="Arial" w:cs="Arial"/>
                <w:sz w:val="20"/>
                <w:szCs w:val="20"/>
                <w:lang w:val="es-ES"/>
              </w:rPr>
              <w:t xml:space="preserve"> para cada especie evaluada por </w:t>
            </w:r>
            <w:proofErr w:type="spellStart"/>
            <w:r w:rsidRPr="00200358">
              <w:rPr>
                <w:rFonts w:ascii="Arial" w:hAnsi="Arial" w:cs="Arial"/>
                <w:sz w:val="20"/>
                <w:szCs w:val="20"/>
                <w:lang w:val="es-ES"/>
              </w:rPr>
              <w:t>Ducatez</w:t>
            </w:r>
            <w:proofErr w:type="spellEnd"/>
            <w:r w:rsidRPr="00200358">
              <w:rPr>
                <w:rFonts w:ascii="Arial" w:hAnsi="Arial" w:cs="Arial"/>
                <w:sz w:val="20"/>
                <w:szCs w:val="20"/>
                <w:lang w:val="es-ES"/>
              </w:rPr>
              <w:t xml:space="preserve"> </w:t>
            </w:r>
            <w:r w:rsidRPr="00200358">
              <w:rPr>
                <w:rFonts w:ascii="Arial" w:hAnsi="Arial" w:cs="Arial"/>
                <w:i/>
                <w:iCs/>
                <w:sz w:val="20"/>
                <w:szCs w:val="20"/>
                <w:lang w:val="es-ES"/>
              </w:rPr>
              <w:t>et al.</w:t>
            </w:r>
            <w:r w:rsidRPr="00200358">
              <w:rPr>
                <w:rFonts w:ascii="Arial" w:hAnsi="Arial" w:cs="Arial"/>
                <w:sz w:val="20"/>
                <w:szCs w:val="20"/>
                <w:lang w:val="es-ES"/>
              </w:rPr>
              <w:t xml:space="preserve"> (2016). La extensión del hábitat para cada taxón del Apéndice I se calific</w:t>
            </w:r>
            <w:r w:rsidR="007C58AB" w:rsidRPr="00200358">
              <w:rPr>
                <w:rFonts w:ascii="Arial" w:hAnsi="Arial" w:cs="Arial"/>
                <w:sz w:val="20"/>
                <w:szCs w:val="20"/>
                <w:lang w:val="es-ES"/>
              </w:rPr>
              <w:t>ará</w:t>
            </w:r>
            <w:r w:rsidRPr="00200358">
              <w:rPr>
                <w:rFonts w:ascii="Arial" w:hAnsi="Arial" w:cs="Arial"/>
                <w:sz w:val="20"/>
                <w:szCs w:val="20"/>
                <w:lang w:val="es-ES"/>
              </w:rPr>
              <w:t xml:space="preserve"> en función de estos umbrales.</w:t>
            </w:r>
          </w:p>
        </w:tc>
        <w:tc>
          <w:tcPr>
            <w:tcW w:w="886" w:type="pct"/>
          </w:tcPr>
          <w:p w14:paraId="2E9D847E"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1: &gt; umbral superior</w:t>
            </w:r>
          </w:p>
          <w:p w14:paraId="6BF0A352"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0,5: entre el umbral superior y el inferior</w:t>
            </w:r>
          </w:p>
          <w:p w14:paraId="09B680EC" w14:textId="77777777" w:rsidR="00CF7917" w:rsidRPr="00200358" w:rsidRDefault="00CF7917" w:rsidP="00190C38">
            <w:pPr>
              <w:jc w:val="both"/>
              <w:rPr>
                <w:rFonts w:ascii="Arial" w:hAnsi="Arial" w:cs="Arial"/>
                <w:sz w:val="20"/>
                <w:szCs w:val="20"/>
                <w:highlight w:val="green"/>
              </w:rPr>
            </w:pPr>
            <w:r w:rsidRPr="00200358">
              <w:rPr>
                <w:rFonts w:ascii="Arial" w:hAnsi="Arial" w:cs="Arial"/>
                <w:sz w:val="20"/>
                <w:szCs w:val="20"/>
              </w:rPr>
              <w:t>0: &lt; umbral inferior</w:t>
            </w:r>
          </w:p>
        </w:tc>
        <w:tc>
          <w:tcPr>
            <w:tcW w:w="677" w:type="pct"/>
          </w:tcPr>
          <w:p w14:paraId="397C823A" w14:textId="77777777" w:rsidR="00CF7917" w:rsidRPr="00200358" w:rsidRDefault="00CF7917" w:rsidP="00190C38">
            <w:pPr>
              <w:jc w:val="both"/>
              <w:rPr>
                <w:rFonts w:ascii="Arial" w:hAnsi="Arial" w:cs="Arial"/>
                <w:sz w:val="20"/>
                <w:szCs w:val="20"/>
                <w:highlight w:val="green"/>
                <w:lang w:val="es-ES"/>
              </w:rPr>
            </w:pPr>
            <w:r w:rsidRPr="00200358">
              <w:rPr>
                <w:rFonts w:ascii="Arial" w:hAnsi="Arial" w:cs="Arial"/>
                <w:sz w:val="20"/>
                <w:szCs w:val="20"/>
                <w:lang w:val="es-ES"/>
              </w:rPr>
              <w:t>Taxón no evaluado aún por la UICN.</w:t>
            </w:r>
          </w:p>
        </w:tc>
      </w:tr>
      <w:tr w:rsidR="00CF7917" w:rsidRPr="00313A1B" w14:paraId="4F5F4E81" w14:textId="77777777" w:rsidTr="00200358">
        <w:tc>
          <w:tcPr>
            <w:tcW w:w="728" w:type="pct"/>
          </w:tcPr>
          <w:p w14:paraId="2E1EB424"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lastRenderedPageBreak/>
              <w:t>2.4 Tamaño del área de distribución</w:t>
            </w:r>
          </w:p>
        </w:tc>
        <w:tc>
          <w:tcPr>
            <w:tcW w:w="677" w:type="pct"/>
          </w:tcPr>
          <w:p w14:paraId="6AF1992D"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Lista Roja de la UICN</w:t>
            </w:r>
            <w:r w:rsidRPr="00200358">
              <w:rPr>
                <w:rFonts w:ascii="Arial" w:hAnsi="Arial" w:cs="Arial"/>
                <w:sz w:val="20"/>
                <w:szCs w:val="20"/>
                <w:vertAlign w:val="superscript"/>
              </w:rPr>
              <w:fldChar w:fldCharType="begin"/>
            </w:r>
            <w:r w:rsidRPr="00200358">
              <w:rPr>
                <w:rFonts w:ascii="Arial" w:hAnsi="Arial" w:cs="Arial"/>
                <w:sz w:val="20"/>
                <w:szCs w:val="20"/>
                <w:vertAlign w:val="superscript"/>
                <w:lang w:val="es-ES"/>
              </w:rPr>
              <w:instrText xml:space="preserve"> NOTEREF _Ref40691319 \h  \* MERGEFORMAT </w:instrText>
            </w:r>
            <w:r w:rsidRPr="00200358">
              <w:rPr>
                <w:rFonts w:ascii="Arial" w:hAnsi="Arial" w:cs="Arial"/>
                <w:sz w:val="20"/>
                <w:szCs w:val="20"/>
                <w:vertAlign w:val="superscript"/>
              </w:rPr>
            </w:r>
            <w:r w:rsidRPr="00200358">
              <w:rPr>
                <w:rFonts w:ascii="Arial" w:hAnsi="Arial" w:cs="Arial"/>
                <w:sz w:val="20"/>
                <w:szCs w:val="20"/>
                <w:vertAlign w:val="superscript"/>
              </w:rPr>
              <w:fldChar w:fldCharType="separate"/>
            </w:r>
            <w:r w:rsidRPr="00200358">
              <w:rPr>
                <w:rFonts w:ascii="Arial" w:hAnsi="Arial" w:cs="Arial"/>
                <w:sz w:val="20"/>
                <w:szCs w:val="20"/>
                <w:vertAlign w:val="superscript"/>
                <w:lang w:val="es-ES"/>
              </w:rPr>
              <w:t>7</w:t>
            </w:r>
            <w:r w:rsidRPr="00200358">
              <w:rPr>
                <w:rFonts w:ascii="Arial" w:hAnsi="Arial" w:cs="Arial"/>
                <w:sz w:val="20"/>
                <w:szCs w:val="20"/>
                <w:vertAlign w:val="superscript"/>
              </w:rPr>
              <w:fldChar w:fldCharType="end"/>
            </w:r>
          </w:p>
        </w:tc>
        <w:tc>
          <w:tcPr>
            <w:tcW w:w="2032" w:type="pct"/>
          </w:tcPr>
          <w:p w14:paraId="518E33DB" w14:textId="77777777" w:rsidR="00CF7917" w:rsidRPr="00200358" w:rsidRDefault="00CF7917" w:rsidP="00190C38">
            <w:pPr>
              <w:jc w:val="both"/>
              <w:rPr>
                <w:rFonts w:ascii="Arial" w:hAnsi="Arial" w:cs="Arial"/>
                <w:iCs/>
                <w:sz w:val="20"/>
                <w:szCs w:val="20"/>
                <w:u w:val="single"/>
              </w:rPr>
            </w:pPr>
            <w:r w:rsidRPr="00200358">
              <w:rPr>
                <w:rFonts w:ascii="Arial" w:hAnsi="Arial" w:cs="Arial"/>
                <w:iCs/>
                <w:sz w:val="20"/>
                <w:szCs w:val="20"/>
                <w:u w:val="single"/>
              </w:rPr>
              <w:t xml:space="preserve">Prioridades </w:t>
            </w:r>
          </w:p>
          <w:p w14:paraId="57683099" w14:textId="77777777" w:rsidR="00CF7917" w:rsidRPr="00200358" w:rsidRDefault="00CF7917" w:rsidP="00190C38">
            <w:pPr>
              <w:pStyle w:val="ListParagraph"/>
              <w:numPr>
                <w:ilvl w:val="0"/>
                <w:numId w:val="38"/>
              </w:numPr>
              <w:jc w:val="both"/>
              <w:rPr>
                <w:rFonts w:ascii="Arial" w:hAnsi="Arial" w:cs="Arial"/>
                <w:sz w:val="20"/>
                <w:szCs w:val="20"/>
                <w:lang w:val="es-ES"/>
              </w:rPr>
            </w:pPr>
            <w:r w:rsidRPr="00200358">
              <w:rPr>
                <w:rFonts w:ascii="Arial" w:hAnsi="Arial" w:cs="Arial"/>
                <w:i/>
                <w:sz w:val="20"/>
                <w:szCs w:val="20"/>
                <w:lang w:val="es-ES"/>
              </w:rPr>
              <w:t xml:space="preserve">Amenaza por uso/comercio: </w:t>
            </w:r>
            <w:r w:rsidRPr="00200358">
              <w:rPr>
                <w:rFonts w:ascii="Arial" w:hAnsi="Arial" w:cs="Arial"/>
                <w:sz w:val="20"/>
                <w:szCs w:val="20"/>
                <w:lang w:val="es-ES"/>
              </w:rPr>
              <w:t>taxones con áreas de distribución pequeñas</w:t>
            </w:r>
            <w:r w:rsidRPr="00200358">
              <w:rPr>
                <w:rFonts w:ascii="Arial" w:hAnsi="Arial" w:cs="Arial"/>
                <w:i/>
                <w:sz w:val="20"/>
                <w:szCs w:val="20"/>
                <w:lang w:val="es-ES"/>
              </w:rPr>
              <w:t>.</w:t>
            </w:r>
          </w:p>
          <w:p w14:paraId="531D47D4" w14:textId="77777777" w:rsidR="00CF7917" w:rsidRPr="00200358" w:rsidRDefault="00CF7917" w:rsidP="00190C38">
            <w:pPr>
              <w:jc w:val="both"/>
              <w:rPr>
                <w:rFonts w:ascii="Arial" w:hAnsi="Arial" w:cs="Arial"/>
                <w:sz w:val="20"/>
                <w:szCs w:val="20"/>
                <w:lang w:val="es-ES"/>
              </w:rPr>
            </w:pPr>
          </w:p>
          <w:p w14:paraId="25597F96"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 xml:space="preserve">Los </w:t>
            </w:r>
            <w:proofErr w:type="gramStart"/>
            <w:r w:rsidRPr="00200358">
              <w:rPr>
                <w:rFonts w:ascii="Arial" w:hAnsi="Arial" w:cs="Arial"/>
                <w:sz w:val="20"/>
                <w:szCs w:val="20"/>
                <w:lang w:val="es-ES"/>
              </w:rPr>
              <w:t>umbrales superior</w:t>
            </w:r>
            <w:proofErr w:type="gramEnd"/>
            <w:r w:rsidRPr="00200358">
              <w:rPr>
                <w:rFonts w:ascii="Arial" w:hAnsi="Arial" w:cs="Arial"/>
                <w:sz w:val="20"/>
                <w:szCs w:val="20"/>
                <w:lang w:val="es-ES"/>
              </w:rPr>
              <w:t xml:space="preserve"> (33 % superior) e inferior (33 % inferior) se calcularán para cada orden basándose en la </w:t>
            </w:r>
            <w:r w:rsidRPr="00200358">
              <w:rPr>
                <w:rFonts w:ascii="Arial" w:hAnsi="Arial" w:cs="Arial"/>
                <w:b/>
                <w:sz w:val="20"/>
                <w:szCs w:val="20"/>
                <w:lang w:val="es-ES"/>
              </w:rPr>
              <w:t>extensión de la presencia</w:t>
            </w:r>
            <w:r w:rsidRPr="00200358">
              <w:rPr>
                <w:rFonts w:ascii="Arial" w:hAnsi="Arial" w:cs="Arial"/>
                <w:sz w:val="20"/>
                <w:szCs w:val="20"/>
                <w:lang w:val="es-ES"/>
              </w:rPr>
              <w:t xml:space="preserve"> (EOO) de cada taxón evaluado por la UICN. Cuando la EOO se proporcione como un área de distribución, se utilizará el valor medio.</w:t>
            </w:r>
          </w:p>
          <w:p w14:paraId="758062B9"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 xml:space="preserve">La media de la EOO de cada taxón del Apéndice I se calificará en función de estos umbrales. </w:t>
            </w:r>
          </w:p>
          <w:p w14:paraId="59584D1D" w14:textId="77777777" w:rsidR="00CF7917" w:rsidRPr="00200358" w:rsidRDefault="00CF7917" w:rsidP="00190C38">
            <w:pPr>
              <w:jc w:val="both"/>
              <w:rPr>
                <w:rFonts w:ascii="Arial" w:hAnsi="Arial" w:cs="Arial"/>
                <w:sz w:val="20"/>
                <w:szCs w:val="20"/>
                <w:lang w:val="es-ES"/>
              </w:rPr>
            </w:pPr>
          </w:p>
        </w:tc>
        <w:tc>
          <w:tcPr>
            <w:tcW w:w="886" w:type="pct"/>
          </w:tcPr>
          <w:p w14:paraId="2B933FC2"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1: &lt; umbral inferior</w:t>
            </w:r>
          </w:p>
          <w:p w14:paraId="4B01B05F"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0,5: entre el umbral superior y el inferior</w:t>
            </w:r>
          </w:p>
          <w:p w14:paraId="1AD7FD83" w14:textId="77777777" w:rsidR="00CF7917" w:rsidRPr="00200358" w:rsidRDefault="00CF7917" w:rsidP="00190C38">
            <w:pPr>
              <w:jc w:val="both"/>
              <w:rPr>
                <w:rFonts w:ascii="Arial" w:hAnsi="Arial" w:cs="Arial"/>
                <w:sz w:val="20"/>
                <w:szCs w:val="20"/>
              </w:rPr>
            </w:pPr>
            <w:r w:rsidRPr="00200358">
              <w:rPr>
                <w:rFonts w:ascii="Arial" w:hAnsi="Arial" w:cs="Arial"/>
                <w:sz w:val="20"/>
                <w:szCs w:val="20"/>
              </w:rPr>
              <w:t>0: &gt; umbral superior</w:t>
            </w:r>
          </w:p>
        </w:tc>
        <w:tc>
          <w:tcPr>
            <w:tcW w:w="677" w:type="pct"/>
          </w:tcPr>
          <w:p w14:paraId="6B254BA0"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Los datos de EOO no están disponibles en la UICN.</w:t>
            </w:r>
          </w:p>
          <w:p w14:paraId="10D32C71" w14:textId="77777777" w:rsidR="00CF7917" w:rsidRPr="00200358" w:rsidRDefault="00CF7917" w:rsidP="00190C38">
            <w:pPr>
              <w:jc w:val="both"/>
              <w:rPr>
                <w:rFonts w:ascii="Arial" w:hAnsi="Arial" w:cs="Arial"/>
                <w:sz w:val="20"/>
                <w:szCs w:val="20"/>
                <w:lang w:val="es-ES"/>
              </w:rPr>
            </w:pPr>
          </w:p>
          <w:p w14:paraId="105CB382"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Taxón no evaluado aún por la UICN.</w:t>
            </w:r>
          </w:p>
        </w:tc>
      </w:tr>
      <w:tr w:rsidR="00CF7917" w:rsidRPr="00200358" w14:paraId="081160EC" w14:textId="77777777" w:rsidTr="00200358">
        <w:tc>
          <w:tcPr>
            <w:tcW w:w="5000" w:type="pct"/>
            <w:gridSpan w:val="5"/>
            <w:shd w:val="clear" w:color="auto" w:fill="00AEEF"/>
          </w:tcPr>
          <w:p w14:paraId="140E6A51" w14:textId="77777777" w:rsidR="00CF7917" w:rsidRPr="00200358" w:rsidRDefault="00CF7917" w:rsidP="00190C38">
            <w:pPr>
              <w:jc w:val="both"/>
              <w:rPr>
                <w:rFonts w:ascii="Arial" w:hAnsi="Arial" w:cs="Arial"/>
                <w:b/>
                <w:bCs/>
                <w:sz w:val="20"/>
                <w:szCs w:val="20"/>
              </w:rPr>
            </w:pPr>
            <w:proofErr w:type="spellStart"/>
            <w:r w:rsidRPr="00200358">
              <w:rPr>
                <w:rFonts w:ascii="Arial" w:hAnsi="Arial" w:cs="Arial"/>
                <w:b/>
                <w:bCs/>
                <w:sz w:val="20"/>
                <w:szCs w:val="20"/>
              </w:rPr>
              <w:t>Amenaza</w:t>
            </w:r>
            <w:proofErr w:type="spellEnd"/>
            <w:r w:rsidRPr="00200358">
              <w:rPr>
                <w:rFonts w:ascii="Arial" w:hAnsi="Arial" w:cs="Arial"/>
                <w:b/>
                <w:bCs/>
                <w:sz w:val="20"/>
                <w:szCs w:val="20"/>
              </w:rPr>
              <w:t xml:space="preserve"> para la </w:t>
            </w:r>
            <w:proofErr w:type="spellStart"/>
            <w:r w:rsidRPr="00200358">
              <w:rPr>
                <w:rFonts w:ascii="Arial" w:hAnsi="Arial" w:cs="Arial"/>
                <w:b/>
                <w:bCs/>
                <w:sz w:val="20"/>
                <w:szCs w:val="20"/>
              </w:rPr>
              <w:t>especie</w:t>
            </w:r>
            <w:proofErr w:type="spellEnd"/>
          </w:p>
        </w:tc>
      </w:tr>
      <w:tr w:rsidR="00CF7917" w:rsidRPr="00313A1B" w14:paraId="11D41AD7" w14:textId="77777777" w:rsidTr="00200358">
        <w:tc>
          <w:tcPr>
            <w:tcW w:w="728" w:type="pct"/>
          </w:tcPr>
          <w:p w14:paraId="1DBFF9C1" w14:textId="77777777" w:rsidR="00CF7917" w:rsidRPr="00200358" w:rsidRDefault="00CF7917" w:rsidP="00190C38">
            <w:pPr>
              <w:jc w:val="both"/>
              <w:rPr>
                <w:rFonts w:ascii="Arial" w:hAnsi="Arial" w:cs="Arial"/>
                <w:sz w:val="20"/>
                <w:szCs w:val="20"/>
              </w:rPr>
            </w:pPr>
            <w:r w:rsidRPr="00200358">
              <w:rPr>
                <w:rFonts w:ascii="Arial" w:hAnsi="Arial" w:cs="Arial"/>
                <w:sz w:val="20"/>
                <w:szCs w:val="20"/>
              </w:rPr>
              <w:t>3.1 Amenaza por uso</w:t>
            </w:r>
          </w:p>
        </w:tc>
        <w:tc>
          <w:tcPr>
            <w:tcW w:w="677" w:type="pct"/>
          </w:tcPr>
          <w:p w14:paraId="68DD278B" w14:textId="77777777" w:rsidR="00CF7917" w:rsidRPr="00200358" w:rsidRDefault="00CF7917" w:rsidP="00190C38">
            <w:pPr>
              <w:jc w:val="both"/>
              <w:rPr>
                <w:rFonts w:ascii="Arial" w:hAnsi="Arial" w:cs="Arial"/>
                <w:sz w:val="20"/>
                <w:szCs w:val="20"/>
              </w:rPr>
            </w:pPr>
            <w:r w:rsidRPr="00200358">
              <w:rPr>
                <w:rFonts w:ascii="Arial" w:hAnsi="Arial" w:cs="Arial"/>
                <w:sz w:val="20"/>
                <w:szCs w:val="20"/>
              </w:rPr>
              <w:t xml:space="preserve">Lista </w:t>
            </w:r>
            <w:proofErr w:type="spellStart"/>
            <w:r w:rsidRPr="00200358">
              <w:rPr>
                <w:rFonts w:ascii="Arial" w:hAnsi="Arial" w:cs="Arial"/>
                <w:sz w:val="20"/>
                <w:szCs w:val="20"/>
              </w:rPr>
              <w:t>Roja</w:t>
            </w:r>
            <w:proofErr w:type="spellEnd"/>
            <w:r w:rsidRPr="00200358">
              <w:rPr>
                <w:rFonts w:ascii="Arial" w:hAnsi="Arial" w:cs="Arial"/>
                <w:sz w:val="20"/>
                <w:szCs w:val="20"/>
              </w:rPr>
              <w:t xml:space="preserve"> de la UICN</w:t>
            </w:r>
            <w:r w:rsidRPr="00200358">
              <w:rPr>
                <w:rFonts w:ascii="Arial" w:hAnsi="Arial" w:cs="Arial"/>
                <w:sz w:val="20"/>
                <w:szCs w:val="20"/>
                <w:vertAlign w:val="superscript"/>
              </w:rPr>
              <w:fldChar w:fldCharType="begin"/>
            </w:r>
            <w:r w:rsidRPr="00200358">
              <w:rPr>
                <w:rFonts w:ascii="Arial" w:hAnsi="Arial" w:cs="Arial"/>
                <w:sz w:val="20"/>
                <w:szCs w:val="20"/>
                <w:vertAlign w:val="superscript"/>
              </w:rPr>
              <w:instrText xml:space="preserve"> NOTEREF _Ref40691319 \h  \* MERGEFORMAT </w:instrText>
            </w:r>
            <w:r w:rsidRPr="00200358">
              <w:rPr>
                <w:rFonts w:ascii="Arial" w:hAnsi="Arial" w:cs="Arial"/>
                <w:sz w:val="20"/>
                <w:szCs w:val="20"/>
                <w:vertAlign w:val="superscript"/>
              </w:rPr>
            </w:r>
            <w:r w:rsidRPr="00200358">
              <w:rPr>
                <w:rFonts w:ascii="Arial" w:hAnsi="Arial" w:cs="Arial"/>
                <w:sz w:val="20"/>
                <w:szCs w:val="20"/>
                <w:vertAlign w:val="superscript"/>
              </w:rPr>
              <w:fldChar w:fldCharType="separate"/>
            </w:r>
            <w:r w:rsidRPr="00200358">
              <w:rPr>
                <w:rFonts w:ascii="Arial" w:hAnsi="Arial" w:cs="Arial"/>
                <w:sz w:val="20"/>
                <w:szCs w:val="20"/>
                <w:vertAlign w:val="superscript"/>
              </w:rPr>
              <w:t>7</w:t>
            </w:r>
            <w:r w:rsidRPr="00200358">
              <w:rPr>
                <w:rFonts w:ascii="Arial" w:hAnsi="Arial" w:cs="Arial"/>
                <w:sz w:val="20"/>
                <w:szCs w:val="20"/>
                <w:vertAlign w:val="superscript"/>
              </w:rPr>
              <w:fldChar w:fldCharType="end"/>
            </w:r>
          </w:p>
          <w:p w14:paraId="0742F5D0" w14:textId="77777777" w:rsidR="00CF7917" w:rsidRPr="00200358" w:rsidRDefault="00CF7917" w:rsidP="00190C38">
            <w:pPr>
              <w:jc w:val="both"/>
              <w:rPr>
                <w:rFonts w:ascii="Arial" w:hAnsi="Arial" w:cs="Arial"/>
                <w:sz w:val="20"/>
                <w:szCs w:val="20"/>
              </w:rPr>
            </w:pPr>
          </w:p>
        </w:tc>
        <w:tc>
          <w:tcPr>
            <w:tcW w:w="2032" w:type="pct"/>
          </w:tcPr>
          <w:p w14:paraId="2EDCD8C6" w14:textId="77777777" w:rsidR="00CF7917" w:rsidRPr="00200358" w:rsidRDefault="00CF7917" w:rsidP="00190C38">
            <w:pPr>
              <w:jc w:val="both"/>
              <w:rPr>
                <w:rFonts w:ascii="Arial" w:hAnsi="Arial" w:cs="Arial"/>
                <w:iCs/>
                <w:sz w:val="20"/>
                <w:szCs w:val="20"/>
                <w:u w:val="single"/>
              </w:rPr>
            </w:pPr>
            <w:r w:rsidRPr="00200358">
              <w:rPr>
                <w:rFonts w:ascii="Arial" w:hAnsi="Arial" w:cs="Arial"/>
                <w:iCs/>
                <w:sz w:val="20"/>
                <w:szCs w:val="20"/>
                <w:u w:val="single"/>
              </w:rPr>
              <w:t xml:space="preserve">Prioridades </w:t>
            </w:r>
          </w:p>
          <w:p w14:paraId="6974DDD9" w14:textId="77777777" w:rsidR="00CF7917" w:rsidRPr="00200358" w:rsidRDefault="00CF7917" w:rsidP="00190C38">
            <w:pPr>
              <w:pStyle w:val="ListParagraph"/>
              <w:numPr>
                <w:ilvl w:val="0"/>
                <w:numId w:val="38"/>
              </w:numPr>
              <w:jc w:val="both"/>
              <w:rPr>
                <w:rFonts w:ascii="Arial" w:hAnsi="Arial" w:cs="Arial"/>
                <w:i/>
                <w:iCs/>
                <w:sz w:val="20"/>
                <w:szCs w:val="20"/>
                <w:lang w:val="es-ES"/>
              </w:rPr>
            </w:pPr>
            <w:r w:rsidRPr="00200358">
              <w:rPr>
                <w:rFonts w:ascii="Arial" w:hAnsi="Arial" w:cs="Arial"/>
                <w:i/>
                <w:sz w:val="20"/>
                <w:szCs w:val="20"/>
                <w:lang w:val="es-ES"/>
              </w:rPr>
              <w:t xml:space="preserve">Amenaza por uso/comercio: </w:t>
            </w:r>
            <w:r w:rsidRPr="00200358">
              <w:rPr>
                <w:rFonts w:ascii="Arial" w:hAnsi="Arial" w:cs="Arial"/>
                <w:sz w:val="20"/>
                <w:szCs w:val="20"/>
                <w:lang w:val="es-ES"/>
              </w:rPr>
              <w:t>taxones para los que el «comercio/uso» es una amenaza documentada</w:t>
            </w:r>
            <w:r w:rsidRPr="00200358">
              <w:rPr>
                <w:rFonts w:ascii="Arial" w:hAnsi="Arial" w:cs="Arial"/>
                <w:i/>
                <w:sz w:val="20"/>
                <w:szCs w:val="20"/>
                <w:lang w:val="es-ES"/>
              </w:rPr>
              <w:t>.</w:t>
            </w:r>
            <w:r w:rsidRPr="00200358">
              <w:rPr>
                <w:rFonts w:ascii="Arial" w:hAnsi="Arial" w:cs="Arial"/>
                <w:i/>
                <w:iCs/>
                <w:sz w:val="20"/>
                <w:szCs w:val="20"/>
                <w:lang w:val="es-ES"/>
              </w:rPr>
              <w:t xml:space="preserve"> </w:t>
            </w:r>
          </w:p>
          <w:p w14:paraId="436FB755" w14:textId="77777777" w:rsidR="00CF7917" w:rsidRPr="00200358" w:rsidRDefault="00CF7917" w:rsidP="00190C38">
            <w:pPr>
              <w:jc w:val="both"/>
              <w:rPr>
                <w:rFonts w:ascii="Arial" w:hAnsi="Arial" w:cs="Arial"/>
                <w:sz w:val="20"/>
                <w:szCs w:val="20"/>
                <w:lang w:val="es-ES"/>
              </w:rPr>
            </w:pPr>
          </w:p>
          <w:p w14:paraId="2FD90821"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 xml:space="preserve">Si las evaluaciones de la Lista Roja de la UICN consideraron </w:t>
            </w:r>
            <w:r w:rsidRPr="00200358">
              <w:rPr>
                <w:rFonts w:ascii="Arial" w:hAnsi="Arial" w:cs="Arial"/>
                <w:b/>
                <w:sz w:val="20"/>
                <w:szCs w:val="20"/>
                <w:lang w:val="es-ES"/>
              </w:rPr>
              <w:t>el uso deliberado de los recursos biológicos</w:t>
            </w:r>
            <w:r w:rsidRPr="00200358">
              <w:rPr>
                <w:rFonts w:ascii="Arial" w:hAnsi="Arial" w:cs="Arial"/>
                <w:sz w:val="20"/>
                <w:szCs w:val="20"/>
                <w:lang w:val="es-ES"/>
              </w:rPr>
              <w:t xml:space="preserve"> como una amenaza (clasificaciones de las amenazas: 5.1.1, 5.4.2)</w:t>
            </w:r>
            <w:r w:rsidRPr="00200358">
              <w:rPr>
                <w:rStyle w:val="FootnoteReference"/>
                <w:rFonts w:ascii="Arial" w:hAnsi="Arial" w:cs="Arial"/>
                <w:sz w:val="20"/>
                <w:szCs w:val="20"/>
              </w:rPr>
              <w:footnoteReference w:id="13"/>
            </w:r>
            <w:r w:rsidRPr="00200358">
              <w:rPr>
                <w:rFonts w:ascii="Arial" w:hAnsi="Arial" w:cs="Arial"/>
                <w:sz w:val="20"/>
                <w:szCs w:val="20"/>
                <w:lang w:val="es-ES"/>
              </w:rPr>
              <w:t xml:space="preserve"> y, en tal caso, la gravedad de dichas amenazas. Cuando existan múltiples amenazas y gravedad, se tomará la puntuación más alta.</w:t>
            </w:r>
          </w:p>
          <w:p w14:paraId="3419A212" w14:textId="77777777" w:rsidR="00CF7917" w:rsidRPr="00200358" w:rsidRDefault="00CF7917" w:rsidP="00190C38">
            <w:pPr>
              <w:jc w:val="both"/>
              <w:rPr>
                <w:rFonts w:ascii="Arial" w:hAnsi="Arial" w:cs="Arial"/>
                <w:sz w:val="20"/>
                <w:szCs w:val="20"/>
                <w:lang w:val="es-ES"/>
              </w:rPr>
            </w:pPr>
          </w:p>
          <w:p w14:paraId="566B5C56"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Se excluirán las amenazas consideradas como «En el pasado, retorno improbable».</w:t>
            </w:r>
          </w:p>
        </w:tc>
        <w:tc>
          <w:tcPr>
            <w:tcW w:w="886" w:type="pct"/>
          </w:tcPr>
          <w:p w14:paraId="6FC23A3D"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1: Se considera una amenaza (gravedad: disminución muy rápida o rápida)</w:t>
            </w:r>
          </w:p>
          <w:p w14:paraId="09411EB0"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0,66: Se considera una amenaza (gravedad: desconocida o variable)</w:t>
            </w:r>
          </w:p>
          <w:p w14:paraId="22430867"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0,33: Se considera una amenaza (gravedad: disminución insignificante, disminución lenta o nula)</w:t>
            </w:r>
          </w:p>
          <w:p w14:paraId="00A60F52"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 xml:space="preserve">0: </w:t>
            </w:r>
            <w:r w:rsidRPr="00200358">
              <w:rPr>
                <w:rFonts w:ascii="Arial" w:hAnsi="Arial" w:cs="Arial"/>
                <w:b/>
                <w:sz w:val="20"/>
                <w:szCs w:val="20"/>
                <w:lang w:val="es-ES"/>
              </w:rPr>
              <w:t>No</w:t>
            </w:r>
            <w:r w:rsidRPr="00200358">
              <w:rPr>
                <w:rFonts w:ascii="Arial" w:hAnsi="Arial" w:cs="Arial"/>
                <w:sz w:val="20"/>
                <w:szCs w:val="20"/>
                <w:lang w:val="es-ES"/>
              </w:rPr>
              <w:t xml:space="preserve"> se considera una amenaza</w:t>
            </w:r>
          </w:p>
        </w:tc>
        <w:tc>
          <w:tcPr>
            <w:tcW w:w="677" w:type="pct"/>
          </w:tcPr>
          <w:p w14:paraId="7DA65D3B"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Estado en la lista roja: LC.</w:t>
            </w:r>
          </w:p>
          <w:p w14:paraId="72539339" w14:textId="77777777" w:rsidR="00CF7917" w:rsidRPr="00200358" w:rsidRDefault="00CF7917" w:rsidP="00190C38">
            <w:pPr>
              <w:jc w:val="both"/>
              <w:rPr>
                <w:rFonts w:ascii="Arial" w:hAnsi="Arial" w:cs="Arial"/>
                <w:sz w:val="20"/>
                <w:szCs w:val="20"/>
                <w:lang w:val="es-ES"/>
              </w:rPr>
            </w:pPr>
          </w:p>
          <w:p w14:paraId="0B43E194"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 xml:space="preserve">Taxón al que </w:t>
            </w:r>
            <w:r w:rsidRPr="00200358">
              <w:rPr>
                <w:rFonts w:ascii="Arial" w:hAnsi="Arial" w:cs="Arial"/>
                <w:b/>
                <w:bCs/>
                <w:sz w:val="20"/>
                <w:szCs w:val="20"/>
                <w:lang w:val="es-ES"/>
              </w:rPr>
              <w:t xml:space="preserve">no </w:t>
            </w:r>
            <w:r w:rsidRPr="00200358">
              <w:rPr>
                <w:rFonts w:ascii="Arial" w:hAnsi="Arial" w:cs="Arial"/>
                <w:sz w:val="20"/>
                <w:szCs w:val="20"/>
                <w:lang w:val="es-ES"/>
              </w:rPr>
              <w:t>se le ha asignado una clasificación de amenaza.</w:t>
            </w:r>
          </w:p>
          <w:p w14:paraId="4631A596" w14:textId="77777777" w:rsidR="00CF7917" w:rsidRPr="00200358" w:rsidRDefault="00CF7917" w:rsidP="00190C38">
            <w:pPr>
              <w:jc w:val="both"/>
              <w:rPr>
                <w:rFonts w:ascii="Arial" w:hAnsi="Arial" w:cs="Arial"/>
                <w:sz w:val="20"/>
                <w:szCs w:val="20"/>
                <w:lang w:val="es-ES"/>
              </w:rPr>
            </w:pPr>
          </w:p>
          <w:p w14:paraId="79AA3585"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Taxón no evaluado aún por la UICN.</w:t>
            </w:r>
          </w:p>
        </w:tc>
      </w:tr>
      <w:tr w:rsidR="00CF7917" w:rsidRPr="00313A1B" w14:paraId="2C8A3243" w14:textId="77777777" w:rsidTr="00200358">
        <w:tc>
          <w:tcPr>
            <w:tcW w:w="728" w:type="pct"/>
          </w:tcPr>
          <w:p w14:paraId="111676C3" w14:textId="77777777" w:rsidR="00CF7917" w:rsidRPr="00200358" w:rsidRDefault="00CF7917" w:rsidP="00200358">
            <w:pPr>
              <w:spacing w:before="80"/>
              <w:jc w:val="both"/>
              <w:rPr>
                <w:rFonts w:ascii="Arial" w:hAnsi="Arial" w:cs="Arial"/>
                <w:sz w:val="20"/>
                <w:szCs w:val="20"/>
              </w:rPr>
            </w:pPr>
            <w:r w:rsidRPr="00200358">
              <w:rPr>
                <w:rFonts w:ascii="Arial" w:hAnsi="Arial" w:cs="Arial"/>
                <w:sz w:val="20"/>
                <w:szCs w:val="20"/>
              </w:rPr>
              <w:t xml:space="preserve">3.2 </w:t>
            </w:r>
            <w:proofErr w:type="spellStart"/>
            <w:r w:rsidRPr="00200358">
              <w:rPr>
                <w:rFonts w:ascii="Arial" w:hAnsi="Arial" w:cs="Arial"/>
                <w:sz w:val="20"/>
                <w:szCs w:val="20"/>
              </w:rPr>
              <w:t>En</w:t>
            </w:r>
            <w:proofErr w:type="spellEnd"/>
            <w:r w:rsidRPr="00200358">
              <w:rPr>
                <w:rFonts w:ascii="Arial" w:hAnsi="Arial" w:cs="Arial"/>
                <w:sz w:val="20"/>
                <w:szCs w:val="20"/>
              </w:rPr>
              <w:t xml:space="preserve"> el </w:t>
            </w:r>
            <w:proofErr w:type="spellStart"/>
            <w:r w:rsidRPr="00200358">
              <w:rPr>
                <w:rFonts w:ascii="Arial" w:hAnsi="Arial" w:cs="Arial"/>
                <w:sz w:val="20"/>
                <w:szCs w:val="20"/>
              </w:rPr>
              <w:t>comercio</w:t>
            </w:r>
            <w:proofErr w:type="spellEnd"/>
            <w:r w:rsidRPr="00200358">
              <w:rPr>
                <w:rFonts w:ascii="Arial" w:hAnsi="Arial" w:cs="Arial"/>
                <w:sz w:val="20"/>
                <w:szCs w:val="20"/>
              </w:rPr>
              <w:t xml:space="preserve"> </w:t>
            </w:r>
            <w:proofErr w:type="spellStart"/>
            <w:r w:rsidRPr="00200358">
              <w:rPr>
                <w:rFonts w:ascii="Arial" w:hAnsi="Arial" w:cs="Arial"/>
                <w:sz w:val="20"/>
                <w:szCs w:val="20"/>
              </w:rPr>
              <w:t>internacional</w:t>
            </w:r>
            <w:proofErr w:type="spellEnd"/>
            <w:r w:rsidRPr="00200358">
              <w:rPr>
                <w:rFonts w:ascii="Arial" w:hAnsi="Arial" w:cs="Arial"/>
                <w:sz w:val="20"/>
                <w:szCs w:val="20"/>
              </w:rPr>
              <w:t xml:space="preserve"> legal</w:t>
            </w:r>
          </w:p>
          <w:p w14:paraId="25D6C359" w14:textId="77777777" w:rsidR="00CF7917" w:rsidRPr="00200358" w:rsidRDefault="00CF7917" w:rsidP="00190C38">
            <w:pPr>
              <w:jc w:val="both"/>
              <w:rPr>
                <w:rFonts w:ascii="Arial" w:hAnsi="Arial" w:cs="Arial"/>
                <w:sz w:val="20"/>
                <w:szCs w:val="20"/>
                <w:highlight w:val="green"/>
              </w:rPr>
            </w:pPr>
          </w:p>
          <w:p w14:paraId="3B110320" w14:textId="77777777" w:rsidR="00CF7917" w:rsidRPr="00200358" w:rsidRDefault="00CF7917" w:rsidP="00190C38">
            <w:pPr>
              <w:jc w:val="both"/>
              <w:rPr>
                <w:rFonts w:ascii="Arial" w:hAnsi="Arial" w:cs="Arial"/>
                <w:sz w:val="20"/>
                <w:szCs w:val="20"/>
                <w:highlight w:val="green"/>
              </w:rPr>
            </w:pPr>
          </w:p>
        </w:tc>
        <w:tc>
          <w:tcPr>
            <w:tcW w:w="677" w:type="pct"/>
          </w:tcPr>
          <w:p w14:paraId="16B1BBA5" w14:textId="77777777" w:rsidR="00CF7917" w:rsidRPr="00200358" w:rsidRDefault="00CF7917" w:rsidP="00200358">
            <w:pPr>
              <w:spacing w:before="80"/>
              <w:jc w:val="both"/>
              <w:rPr>
                <w:rFonts w:ascii="Arial" w:hAnsi="Arial" w:cs="Arial"/>
                <w:sz w:val="20"/>
                <w:szCs w:val="20"/>
                <w:lang w:val="es-ES"/>
              </w:rPr>
            </w:pPr>
            <w:r w:rsidRPr="00200358">
              <w:rPr>
                <w:rFonts w:ascii="Arial" w:hAnsi="Arial" w:cs="Arial"/>
                <w:sz w:val="20"/>
                <w:szCs w:val="20"/>
                <w:lang w:val="es-ES"/>
              </w:rPr>
              <w:t>Base de datos de comercio de la CITES</w:t>
            </w:r>
            <w:r w:rsidRPr="00200358">
              <w:rPr>
                <w:rFonts w:ascii="Arial" w:hAnsi="Arial" w:cs="Arial"/>
                <w:sz w:val="20"/>
                <w:szCs w:val="20"/>
                <w:vertAlign w:val="superscript"/>
              </w:rPr>
              <w:footnoteReference w:id="14"/>
            </w:r>
          </w:p>
          <w:p w14:paraId="3B785453" w14:textId="77777777" w:rsidR="00CF7917" w:rsidRPr="00200358" w:rsidRDefault="00CF7917" w:rsidP="00190C38">
            <w:pPr>
              <w:jc w:val="both"/>
              <w:rPr>
                <w:rFonts w:ascii="Arial" w:hAnsi="Arial" w:cs="Arial"/>
                <w:sz w:val="20"/>
                <w:szCs w:val="20"/>
                <w:highlight w:val="green"/>
              </w:rPr>
            </w:pPr>
            <w:r w:rsidRPr="00200358">
              <w:rPr>
                <w:rFonts w:ascii="Arial" w:hAnsi="Arial" w:cs="Arial"/>
                <w:sz w:val="20"/>
                <w:szCs w:val="20"/>
              </w:rPr>
              <w:t>LEMIS</w:t>
            </w:r>
          </w:p>
          <w:p w14:paraId="1247D483" w14:textId="77777777" w:rsidR="00CF7917" w:rsidRPr="00200358" w:rsidRDefault="00CF7917" w:rsidP="00190C38">
            <w:pPr>
              <w:jc w:val="both"/>
              <w:rPr>
                <w:rFonts w:ascii="Arial" w:hAnsi="Arial" w:cs="Arial"/>
                <w:sz w:val="20"/>
                <w:szCs w:val="20"/>
              </w:rPr>
            </w:pPr>
            <w:r w:rsidRPr="00200358">
              <w:rPr>
                <w:rFonts w:ascii="Arial" w:hAnsi="Arial" w:cs="Arial"/>
                <w:sz w:val="20"/>
                <w:szCs w:val="20"/>
              </w:rPr>
              <w:t xml:space="preserve">Lista </w:t>
            </w:r>
            <w:proofErr w:type="spellStart"/>
            <w:r w:rsidRPr="00200358">
              <w:rPr>
                <w:rFonts w:ascii="Arial" w:hAnsi="Arial" w:cs="Arial"/>
                <w:sz w:val="20"/>
                <w:szCs w:val="20"/>
              </w:rPr>
              <w:t>Roja</w:t>
            </w:r>
            <w:proofErr w:type="spellEnd"/>
            <w:r w:rsidRPr="00200358">
              <w:rPr>
                <w:rFonts w:ascii="Arial" w:hAnsi="Arial" w:cs="Arial"/>
                <w:sz w:val="20"/>
                <w:szCs w:val="20"/>
              </w:rPr>
              <w:t xml:space="preserve"> de la UICN</w:t>
            </w:r>
            <w:r w:rsidRPr="00200358">
              <w:rPr>
                <w:rFonts w:ascii="Arial" w:hAnsi="Arial" w:cs="Arial"/>
                <w:sz w:val="20"/>
                <w:szCs w:val="20"/>
                <w:vertAlign w:val="superscript"/>
              </w:rPr>
              <w:fldChar w:fldCharType="begin"/>
            </w:r>
            <w:r w:rsidRPr="00200358">
              <w:rPr>
                <w:rFonts w:ascii="Arial" w:hAnsi="Arial" w:cs="Arial"/>
                <w:sz w:val="20"/>
                <w:szCs w:val="20"/>
                <w:vertAlign w:val="superscript"/>
              </w:rPr>
              <w:instrText xml:space="preserve"> NOTEREF _Ref40691319 \h  \* MERGEFORMAT </w:instrText>
            </w:r>
            <w:r w:rsidRPr="00200358">
              <w:rPr>
                <w:rFonts w:ascii="Arial" w:hAnsi="Arial" w:cs="Arial"/>
                <w:sz w:val="20"/>
                <w:szCs w:val="20"/>
                <w:vertAlign w:val="superscript"/>
              </w:rPr>
            </w:r>
            <w:r w:rsidRPr="00200358">
              <w:rPr>
                <w:rFonts w:ascii="Arial" w:hAnsi="Arial" w:cs="Arial"/>
                <w:sz w:val="20"/>
                <w:szCs w:val="20"/>
                <w:vertAlign w:val="superscript"/>
              </w:rPr>
              <w:fldChar w:fldCharType="separate"/>
            </w:r>
            <w:r w:rsidRPr="00200358">
              <w:rPr>
                <w:rFonts w:ascii="Arial" w:hAnsi="Arial" w:cs="Arial"/>
                <w:sz w:val="20"/>
                <w:szCs w:val="20"/>
                <w:vertAlign w:val="superscript"/>
              </w:rPr>
              <w:t>7</w:t>
            </w:r>
            <w:r w:rsidRPr="00200358">
              <w:rPr>
                <w:rFonts w:ascii="Arial" w:hAnsi="Arial" w:cs="Arial"/>
                <w:sz w:val="20"/>
                <w:szCs w:val="20"/>
                <w:vertAlign w:val="superscript"/>
              </w:rPr>
              <w:fldChar w:fldCharType="end"/>
            </w:r>
          </w:p>
          <w:p w14:paraId="68B06FB1" w14:textId="77777777" w:rsidR="00CF7917" w:rsidRPr="00200358" w:rsidRDefault="00CF7917" w:rsidP="00190C38">
            <w:pPr>
              <w:jc w:val="both"/>
              <w:rPr>
                <w:rFonts w:ascii="Arial" w:hAnsi="Arial" w:cs="Arial"/>
                <w:sz w:val="20"/>
                <w:szCs w:val="20"/>
                <w:highlight w:val="green"/>
              </w:rPr>
            </w:pPr>
          </w:p>
          <w:p w14:paraId="53B9CBCA" w14:textId="77777777" w:rsidR="00CF7917" w:rsidRPr="00200358" w:rsidRDefault="00CF7917" w:rsidP="00190C38">
            <w:pPr>
              <w:jc w:val="both"/>
              <w:rPr>
                <w:rFonts w:ascii="Arial" w:hAnsi="Arial" w:cs="Arial"/>
                <w:sz w:val="20"/>
                <w:szCs w:val="20"/>
                <w:highlight w:val="green"/>
              </w:rPr>
            </w:pPr>
          </w:p>
        </w:tc>
        <w:tc>
          <w:tcPr>
            <w:tcW w:w="2032" w:type="pct"/>
          </w:tcPr>
          <w:p w14:paraId="19CBF334" w14:textId="77777777" w:rsidR="00CF7917" w:rsidRPr="00200358" w:rsidRDefault="00CF7917" w:rsidP="00200358">
            <w:pPr>
              <w:spacing w:before="80"/>
              <w:jc w:val="both"/>
              <w:rPr>
                <w:rFonts w:ascii="Arial" w:hAnsi="Arial" w:cs="Arial"/>
                <w:iCs/>
                <w:sz w:val="20"/>
                <w:szCs w:val="20"/>
                <w:u w:val="single"/>
              </w:rPr>
            </w:pPr>
            <w:r w:rsidRPr="00200358">
              <w:rPr>
                <w:rFonts w:ascii="Arial" w:hAnsi="Arial" w:cs="Arial"/>
                <w:iCs/>
                <w:sz w:val="20"/>
                <w:szCs w:val="20"/>
                <w:u w:val="single"/>
              </w:rPr>
              <w:t xml:space="preserve">Prioridades </w:t>
            </w:r>
          </w:p>
          <w:p w14:paraId="403DDE2B" w14:textId="77777777" w:rsidR="00CF7917" w:rsidRPr="00200358" w:rsidRDefault="00CF7917" w:rsidP="00190C38">
            <w:pPr>
              <w:pStyle w:val="ListParagraph"/>
              <w:numPr>
                <w:ilvl w:val="0"/>
                <w:numId w:val="38"/>
              </w:numPr>
              <w:jc w:val="both"/>
              <w:rPr>
                <w:rFonts w:ascii="Arial" w:hAnsi="Arial" w:cs="Arial"/>
                <w:sz w:val="20"/>
                <w:szCs w:val="20"/>
                <w:lang w:val="es-ES"/>
              </w:rPr>
            </w:pPr>
            <w:r w:rsidRPr="00200358">
              <w:rPr>
                <w:rFonts w:ascii="Arial" w:hAnsi="Arial" w:cs="Arial"/>
                <w:i/>
                <w:sz w:val="20"/>
                <w:szCs w:val="20"/>
                <w:lang w:val="es-ES"/>
              </w:rPr>
              <w:t xml:space="preserve">Amenaza por uso/comercio: </w:t>
            </w:r>
            <w:r w:rsidRPr="00200358">
              <w:rPr>
                <w:rFonts w:ascii="Arial" w:hAnsi="Arial" w:cs="Arial"/>
                <w:sz w:val="20"/>
                <w:szCs w:val="20"/>
                <w:lang w:val="es-ES"/>
              </w:rPr>
              <w:t>taxones en el comercio internacional legal de origen silvestre</w:t>
            </w:r>
            <w:r w:rsidRPr="00200358">
              <w:rPr>
                <w:rFonts w:ascii="Arial" w:hAnsi="Arial" w:cs="Arial"/>
                <w:i/>
                <w:sz w:val="20"/>
                <w:szCs w:val="20"/>
                <w:lang w:val="es-ES"/>
              </w:rPr>
              <w:t>.</w:t>
            </w:r>
          </w:p>
          <w:p w14:paraId="2080EE04" w14:textId="77777777" w:rsidR="00CF7917" w:rsidRPr="00200358" w:rsidRDefault="00CF7917" w:rsidP="00190C38">
            <w:pPr>
              <w:jc w:val="both"/>
              <w:rPr>
                <w:rFonts w:ascii="Arial" w:hAnsi="Arial" w:cs="Arial"/>
                <w:sz w:val="20"/>
                <w:szCs w:val="20"/>
                <w:lang w:val="es-ES"/>
              </w:rPr>
            </w:pPr>
          </w:p>
          <w:p w14:paraId="0D37D37E"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 xml:space="preserve">Los datos sobre el comercio internacional legal de origen silvestre se obtendrán de varias fuentes y se analizarán por separado. En los casos en los que los taxones estuvieran incluidos en la lista de la CITES, se utilizarán exclusivamente </w:t>
            </w:r>
            <w:r w:rsidRPr="00200358">
              <w:rPr>
                <w:rFonts w:ascii="Arial" w:hAnsi="Arial" w:cs="Arial"/>
                <w:sz w:val="20"/>
                <w:szCs w:val="20"/>
                <w:lang w:val="es-ES"/>
              </w:rPr>
              <w:lastRenderedPageBreak/>
              <w:t>los datos de la base de datos de comercio de la CITES, ya que esta registra los datos oficiales de comercio legal que las Partes comunican a la CITES. Sin embargo, para los taxones no incluidos en la lista de la CITES, se utilizarán fuentes de datos comerciales adicionales. A continuación, se detallan los métodos para cada uno de ellos.</w:t>
            </w:r>
          </w:p>
          <w:p w14:paraId="31B9398E" w14:textId="77777777" w:rsidR="00CF7917" w:rsidRPr="00200358" w:rsidRDefault="00CF7917" w:rsidP="00190C38">
            <w:pPr>
              <w:jc w:val="both"/>
              <w:rPr>
                <w:rFonts w:ascii="Arial" w:hAnsi="Arial" w:cs="Arial"/>
                <w:sz w:val="20"/>
                <w:szCs w:val="20"/>
                <w:lang w:val="es-ES"/>
              </w:rPr>
            </w:pPr>
          </w:p>
          <w:p w14:paraId="29E1B994" w14:textId="77777777" w:rsidR="00CF7917" w:rsidRPr="00200358" w:rsidRDefault="00CF7917" w:rsidP="00190C38">
            <w:pPr>
              <w:jc w:val="both"/>
              <w:rPr>
                <w:rFonts w:ascii="Arial" w:hAnsi="Arial" w:cs="Arial"/>
                <w:i/>
                <w:iCs/>
                <w:sz w:val="20"/>
                <w:szCs w:val="20"/>
                <w:lang w:val="es-ES"/>
              </w:rPr>
            </w:pPr>
            <w:r w:rsidRPr="00200358">
              <w:rPr>
                <w:rFonts w:ascii="Arial" w:hAnsi="Arial" w:cs="Arial"/>
                <w:i/>
                <w:iCs/>
                <w:sz w:val="20"/>
                <w:szCs w:val="20"/>
                <w:lang w:val="es-ES"/>
              </w:rPr>
              <w:t>Taxones incluidos en la CITES</w:t>
            </w:r>
          </w:p>
          <w:p w14:paraId="5399370F"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 xml:space="preserve">Se calculará un umbral superior (el 33 % superior) para cada orden basado en el </w:t>
            </w:r>
            <w:sdt>
              <w:sdtPr>
                <w:rPr>
                  <w:rFonts w:ascii="Arial" w:hAnsi="Arial" w:cs="Arial"/>
                  <w:sz w:val="20"/>
                  <w:szCs w:val="20"/>
                </w:rPr>
                <w:tag w:val="goog_rdk_1"/>
                <w:id w:val="-517853154"/>
              </w:sdtPr>
              <w:sdtEndPr/>
              <w:sdtContent/>
            </w:sdt>
            <w:r w:rsidRPr="00200358">
              <w:rPr>
                <w:rFonts w:ascii="Arial" w:hAnsi="Arial" w:cs="Arial"/>
                <w:sz w:val="20"/>
                <w:szCs w:val="20"/>
                <w:lang w:val="es-ES"/>
              </w:rPr>
              <w:t>nivel medio anual de comercio de materias primas de origen silvestre</w:t>
            </w:r>
            <w:bookmarkStart w:id="11" w:name="_Ref71101069"/>
            <w:r w:rsidRPr="00200358">
              <w:rPr>
                <w:rStyle w:val="FootnoteReference"/>
                <w:rFonts w:ascii="Arial" w:hAnsi="Arial" w:cs="Arial"/>
                <w:sz w:val="20"/>
                <w:szCs w:val="20"/>
              </w:rPr>
              <w:footnoteReference w:id="15"/>
            </w:r>
            <w:bookmarkEnd w:id="11"/>
            <w:r w:rsidRPr="00200358">
              <w:rPr>
                <w:rFonts w:ascii="Arial" w:hAnsi="Arial" w:cs="Arial"/>
                <w:sz w:val="20"/>
                <w:szCs w:val="20"/>
                <w:lang w:val="es-ES"/>
              </w:rPr>
              <w:t xml:space="preserve"> (2015-2019) en la base de datos de comercio de la CITES para cada taxón incluido en la CITES (en todos los apéndices).</w:t>
            </w:r>
          </w:p>
          <w:p w14:paraId="37E2218D" w14:textId="77777777" w:rsidR="00CF7917" w:rsidRPr="00200358" w:rsidRDefault="00CF7917" w:rsidP="00190C38">
            <w:pPr>
              <w:jc w:val="both"/>
              <w:rPr>
                <w:rFonts w:ascii="Arial" w:hAnsi="Arial" w:cs="Arial"/>
                <w:sz w:val="20"/>
                <w:szCs w:val="20"/>
                <w:lang w:val="es-ES"/>
              </w:rPr>
            </w:pPr>
          </w:p>
          <w:p w14:paraId="792DF5A9"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Los niveles de comercio de cada taxón del Apéndice I (basados en los parámetros anteriores)</w:t>
            </w:r>
            <w:r w:rsidRPr="00200358" w:rsidDel="00DC65D5">
              <w:rPr>
                <w:rFonts w:ascii="Arial" w:hAnsi="Arial" w:cs="Arial"/>
                <w:sz w:val="20"/>
                <w:szCs w:val="20"/>
                <w:vertAlign w:val="superscript"/>
                <w:lang w:val="es-ES"/>
              </w:rPr>
              <w:t xml:space="preserve"> </w:t>
            </w:r>
            <w:r w:rsidRPr="00200358">
              <w:rPr>
                <w:rFonts w:ascii="Arial" w:hAnsi="Arial" w:cs="Arial"/>
                <w:sz w:val="20"/>
                <w:szCs w:val="20"/>
                <w:lang w:val="es-ES"/>
              </w:rPr>
              <w:t>se calificarán en función de estos umbrales.</w:t>
            </w:r>
            <w:r w:rsidRPr="00200358">
              <w:rPr>
                <w:rFonts w:ascii="Arial" w:hAnsi="Arial" w:cs="Arial"/>
                <w:sz w:val="20"/>
                <w:szCs w:val="20"/>
                <w:vertAlign w:val="superscript"/>
              </w:rPr>
              <w:footnoteReference w:id="16"/>
            </w:r>
            <w:r w:rsidRPr="00200358">
              <w:rPr>
                <w:rFonts w:ascii="Arial" w:hAnsi="Arial" w:cs="Arial"/>
                <w:sz w:val="20"/>
                <w:szCs w:val="20"/>
                <w:lang w:val="es-ES"/>
              </w:rPr>
              <w:t>.</w:t>
            </w:r>
          </w:p>
          <w:p w14:paraId="7336539F"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 xml:space="preserve"> </w:t>
            </w:r>
          </w:p>
          <w:p w14:paraId="0632E517" w14:textId="77777777" w:rsidR="00CF7917" w:rsidRPr="00200358" w:rsidRDefault="00CF7917" w:rsidP="00190C38">
            <w:pPr>
              <w:jc w:val="both"/>
              <w:rPr>
                <w:rFonts w:ascii="Arial" w:hAnsi="Arial" w:cs="Arial"/>
                <w:sz w:val="20"/>
                <w:szCs w:val="20"/>
                <w:lang w:val="es-ES"/>
              </w:rPr>
            </w:pPr>
            <w:r w:rsidRPr="00200358">
              <w:rPr>
                <w:rFonts w:ascii="Arial" w:hAnsi="Arial" w:cs="Arial"/>
                <w:i/>
                <w:iCs/>
                <w:sz w:val="20"/>
                <w:szCs w:val="20"/>
                <w:lang w:val="es-ES"/>
              </w:rPr>
              <w:t>Taxones no incluidos en la CITES</w:t>
            </w:r>
          </w:p>
          <w:p w14:paraId="698B4D3D"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Los taxones no incluidos en la CITES se clasificarán como en el comercio, pero en cantidades relativas desconocidas en función de uno de los siguientes criterios:</w:t>
            </w:r>
          </w:p>
          <w:p w14:paraId="201F0B9B"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a) Taxones del Anexo D de la UE importados en la UE como comercio de materias primas de origen silvestre (2015-2019) en las bases de datos de comercio de la CITES</w:t>
            </w:r>
            <w:r w:rsidRPr="00200358">
              <w:rPr>
                <w:rFonts w:ascii="Arial" w:hAnsi="Arial" w:cs="Arial"/>
                <w:sz w:val="20"/>
                <w:szCs w:val="20"/>
                <w:vertAlign w:val="superscript"/>
              </w:rPr>
              <w:fldChar w:fldCharType="begin"/>
            </w:r>
            <w:r w:rsidRPr="00200358">
              <w:rPr>
                <w:rFonts w:ascii="Arial" w:hAnsi="Arial" w:cs="Arial"/>
                <w:sz w:val="20"/>
                <w:szCs w:val="20"/>
                <w:vertAlign w:val="superscript"/>
                <w:lang w:val="es-ES"/>
              </w:rPr>
              <w:instrText xml:space="preserve"> NOTEREF _Ref71101069 \h  \* MERGEFORMAT </w:instrText>
            </w:r>
            <w:r w:rsidRPr="00200358">
              <w:rPr>
                <w:rFonts w:ascii="Arial" w:hAnsi="Arial" w:cs="Arial"/>
                <w:sz w:val="20"/>
                <w:szCs w:val="20"/>
                <w:vertAlign w:val="superscript"/>
              </w:rPr>
            </w:r>
            <w:r w:rsidRPr="00200358">
              <w:rPr>
                <w:rFonts w:ascii="Arial" w:hAnsi="Arial" w:cs="Arial"/>
                <w:sz w:val="20"/>
                <w:szCs w:val="20"/>
                <w:vertAlign w:val="superscript"/>
              </w:rPr>
              <w:fldChar w:fldCharType="separate"/>
            </w:r>
            <w:r w:rsidRPr="00200358">
              <w:rPr>
                <w:rFonts w:ascii="Arial" w:hAnsi="Arial" w:cs="Arial"/>
                <w:sz w:val="20"/>
                <w:szCs w:val="20"/>
                <w:vertAlign w:val="superscript"/>
                <w:lang w:val="es-ES"/>
              </w:rPr>
              <w:t>16</w:t>
            </w:r>
            <w:r w:rsidRPr="00200358">
              <w:rPr>
                <w:rFonts w:ascii="Arial" w:hAnsi="Arial" w:cs="Arial"/>
                <w:sz w:val="20"/>
                <w:szCs w:val="20"/>
                <w:vertAlign w:val="superscript"/>
              </w:rPr>
              <w:fldChar w:fldCharType="end"/>
            </w:r>
            <w:r w:rsidRPr="00200358">
              <w:rPr>
                <w:rFonts w:ascii="Arial" w:hAnsi="Arial" w:cs="Arial"/>
                <w:sz w:val="20"/>
                <w:szCs w:val="20"/>
                <w:lang w:val="es-ES"/>
              </w:rPr>
              <w:t>.</w:t>
            </w:r>
          </w:p>
          <w:p w14:paraId="620D091B"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b) Taxón importado en los Estados Unidos de América como comercio de materias primas de origen silvestre (2015-2019) en la base de datos de LEMIS</w:t>
            </w:r>
            <w:r w:rsidRPr="00200358">
              <w:rPr>
                <w:rFonts w:ascii="Arial" w:hAnsi="Arial" w:cs="Arial"/>
                <w:sz w:val="20"/>
                <w:szCs w:val="20"/>
                <w:vertAlign w:val="superscript"/>
              </w:rPr>
              <w:fldChar w:fldCharType="begin"/>
            </w:r>
            <w:r w:rsidRPr="00200358">
              <w:rPr>
                <w:rFonts w:ascii="Arial" w:hAnsi="Arial" w:cs="Arial"/>
                <w:sz w:val="20"/>
                <w:szCs w:val="20"/>
                <w:vertAlign w:val="superscript"/>
                <w:lang w:val="es-ES"/>
              </w:rPr>
              <w:instrText xml:space="preserve"> NOTEREF _Ref71101069 \h  \* MERGEFORMAT </w:instrText>
            </w:r>
            <w:r w:rsidRPr="00200358">
              <w:rPr>
                <w:rFonts w:ascii="Arial" w:hAnsi="Arial" w:cs="Arial"/>
                <w:sz w:val="20"/>
                <w:szCs w:val="20"/>
                <w:vertAlign w:val="superscript"/>
              </w:rPr>
            </w:r>
            <w:r w:rsidRPr="00200358">
              <w:rPr>
                <w:rFonts w:ascii="Arial" w:hAnsi="Arial" w:cs="Arial"/>
                <w:sz w:val="20"/>
                <w:szCs w:val="20"/>
                <w:vertAlign w:val="superscript"/>
              </w:rPr>
              <w:fldChar w:fldCharType="separate"/>
            </w:r>
            <w:r w:rsidRPr="00200358">
              <w:rPr>
                <w:rFonts w:ascii="Arial" w:hAnsi="Arial" w:cs="Arial"/>
                <w:sz w:val="20"/>
                <w:szCs w:val="20"/>
                <w:vertAlign w:val="superscript"/>
                <w:lang w:val="es-ES"/>
              </w:rPr>
              <w:t>16</w:t>
            </w:r>
            <w:r w:rsidRPr="00200358">
              <w:rPr>
                <w:rFonts w:ascii="Arial" w:hAnsi="Arial" w:cs="Arial"/>
                <w:sz w:val="20"/>
                <w:szCs w:val="20"/>
                <w:vertAlign w:val="superscript"/>
              </w:rPr>
              <w:fldChar w:fldCharType="end"/>
            </w:r>
            <w:r w:rsidRPr="00200358">
              <w:rPr>
                <w:rFonts w:ascii="Arial" w:hAnsi="Arial" w:cs="Arial"/>
                <w:sz w:val="20"/>
                <w:szCs w:val="20"/>
                <w:lang w:val="es-ES"/>
              </w:rPr>
              <w:t>.</w:t>
            </w:r>
          </w:p>
          <w:p w14:paraId="6CBEC5AB" w14:textId="77777777" w:rsidR="00CF7917" w:rsidRDefault="00CF7917" w:rsidP="00190C38">
            <w:pPr>
              <w:jc w:val="both"/>
              <w:rPr>
                <w:rFonts w:ascii="Arial" w:hAnsi="Arial" w:cs="Arial"/>
                <w:sz w:val="20"/>
                <w:szCs w:val="20"/>
                <w:lang w:val="es-ES"/>
              </w:rPr>
            </w:pPr>
            <w:r w:rsidRPr="00200358">
              <w:rPr>
                <w:rFonts w:ascii="Arial" w:hAnsi="Arial" w:cs="Arial"/>
                <w:sz w:val="20"/>
                <w:szCs w:val="20"/>
                <w:lang w:val="es-ES"/>
              </w:rPr>
              <w:t xml:space="preserve">c) Si las evaluaciones de la Lista Roja de la UICN clasificaron algún uso final (distinto de la investigación y el establecimiento de la producción </w:t>
            </w:r>
            <w:r w:rsidRPr="00200358">
              <w:rPr>
                <w:rFonts w:ascii="Arial" w:hAnsi="Arial" w:cs="Arial"/>
                <w:i/>
                <w:iCs/>
                <w:sz w:val="20"/>
                <w:szCs w:val="20"/>
                <w:lang w:val="es-ES"/>
              </w:rPr>
              <w:t>ex situ</w:t>
            </w:r>
            <w:r w:rsidRPr="00200358">
              <w:rPr>
                <w:rFonts w:ascii="Arial" w:hAnsi="Arial" w:cs="Arial"/>
                <w:sz w:val="20"/>
                <w:szCs w:val="20"/>
                <w:lang w:val="es-ES"/>
              </w:rPr>
              <w:t>) como «internacional».</w:t>
            </w:r>
          </w:p>
          <w:p w14:paraId="54E16760" w14:textId="77777777" w:rsidR="00200358" w:rsidRDefault="00200358" w:rsidP="00190C38">
            <w:pPr>
              <w:jc w:val="both"/>
              <w:rPr>
                <w:rFonts w:ascii="Arial" w:hAnsi="Arial" w:cs="Arial"/>
                <w:sz w:val="20"/>
                <w:szCs w:val="20"/>
                <w:lang w:val="es-ES"/>
              </w:rPr>
            </w:pPr>
          </w:p>
          <w:p w14:paraId="29233BCF" w14:textId="241F03CC" w:rsidR="004224A6" w:rsidRPr="00200358" w:rsidRDefault="004224A6" w:rsidP="00190C38">
            <w:pPr>
              <w:jc w:val="both"/>
              <w:rPr>
                <w:rFonts w:ascii="Arial" w:hAnsi="Arial" w:cs="Arial"/>
                <w:sz w:val="20"/>
                <w:szCs w:val="20"/>
                <w:lang w:val="es-ES"/>
              </w:rPr>
            </w:pPr>
          </w:p>
        </w:tc>
        <w:tc>
          <w:tcPr>
            <w:tcW w:w="886" w:type="pct"/>
          </w:tcPr>
          <w:p w14:paraId="47BA365C" w14:textId="77777777" w:rsidR="00CF7917" w:rsidRPr="00200358" w:rsidRDefault="00CF7917" w:rsidP="00200358">
            <w:pPr>
              <w:spacing w:before="80"/>
              <w:jc w:val="both"/>
              <w:rPr>
                <w:rFonts w:ascii="Arial" w:hAnsi="Arial" w:cs="Arial"/>
                <w:sz w:val="20"/>
                <w:szCs w:val="20"/>
                <w:lang w:val="es-ES"/>
              </w:rPr>
            </w:pPr>
            <w:r w:rsidRPr="00200358">
              <w:rPr>
                <w:rFonts w:ascii="Arial" w:hAnsi="Arial" w:cs="Arial"/>
                <w:sz w:val="20"/>
                <w:szCs w:val="20"/>
                <w:lang w:val="es-ES"/>
              </w:rPr>
              <w:lastRenderedPageBreak/>
              <w:t>1: altos niveles de comercio internacional legal de origen silvestre (especies incluidas en la CITES &gt; umbral superior)</w:t>
            </w:r>
          </w:p>
          <w:p w14:paraId="4DC4502C"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 xml:space="preserve">0,5: comercio internacional legal de </w:t>
            </w:r>
            <w:r w:rsidRPr="00200358">
              <w:rPr>
                <w:rFonts w:ascii="Arial" w:hAnsi="Arial" w:cs="Arial"/>
                <w:sz w:val="20"/>
                <w:szCs w:val="20"/>
                <w:lang w:val="es-ES"/>
              </w:rPr>
              <w:lastRenderedPageBreak/>
              <w:t>origen silvestre, pero con niveles relativamente bajos (especies incluidas en la CITES &lt; umbral superior) o desconocidos (para especies no incluidas en la CITES)</w:t>
            </w:r>
          </w:p>
          <w:p w14:paraId="7F447F46"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 xml:space="preserve">0: no hay pruebas de comercio internacional legal de origen silvestre </w:t>
            </w:r>
          </w:p>
        </w:tc>
        <w:tc>
          <w:tcPr>
            <w:tcW w:w="677" w:type="pct"/>
          </w:tcPr>
          <w:p w14:paraId="01D391BA" w14:textId="77777777" w:rsidR="00CF7917" w:rsidRPr="00200358" w:rsidRDefault="00CF7917" w:rsidP="00190C38">
            <w:pPr>
              <w:jc w:val="both"/>
              <w:rPr>
                <w:rFonts w:ascii="Arial" w:hAnsi="Arial" w:cs="Arial"/>
                <w:sz w:val="20"/>
                <w:szCs w:val="20"/>
                <w:highlight w:val="green"/>
                <w:lang w:val="es-ES"/>
              </w:rPr>
            </w:pPr>
          </w:p>
        </w:tc>
      </w:tr>
      <w:tr w:rsidR="00CF7917" w:rsidRPr="00313A1B" w14:paraId="23775211" w14:textId="77777777" w:rsidTr="00200358">
        <w:tc>
          <w:tcPr>
            <w:tcW w:w="728" w:type="pct"/>
          </w:tcPr>
          <w:p w14:paraId="4CB6F5D4" w14:textId="77777777" w:rsidR="00CF7917" w:rsidRPr="00200358" w:rsidRDefault="00CF7917" w:rsidP="00190C38">
            <w:pPr>
              <w:jc w:val="both"/>
              <w:rPr>
                <w:rFonts w:ascii="Arial" w:hAnsi="Arial" w:cs="Arial"/>
                <w:sz w:val="20"/>
                <w:szCs w:val="20"/>
                <w:highlight w:val="green"/>
              </w:rPr>
            </w:pPr>
            <w:r w:rsidRPr="00200358">
              <w:rPr>
                <w:rFonts w:ascii="Arial" w:hAnsi="Arial" w:cs="Arial"/>
                <w:sz w:val="20"/>
                <w:szCs w:val="20"/>
              </w:rPr>
              <w:lastRenderedPageBreak/>
              <w:t xml:space="preserve">3.3 </w:t>
            </w:r>
            <w:proofErr w:type="spellStart"/>
            <w:r w:rsidRPr="00200358">
              <w:rPr>
                <w:rFonts w:ascii="Arial" w:hAnsi="Arial" w:cs="Arial"/>
                <w:sz w:val="20"/>
                <w:szCs w:val="20"/>
              </w:rPr>
              <w:t>Uso</w:t>
            </w:r>
            <w:proofErr w:type="spellEnd"/>
            <w:r w:rsidRPr="00200358">
              <w:rPr>
                <w:rFonts w:ascii="Arial" w:hAnsi="Arial" w:cs="Arial"/>
                <w:sz w:val="20"/>
                <w:szCs w:val="20"/>
              </w:rPr>
              <w:t>/</w:t>
            </w:r>
            <w:proofErr w:type="spellStart"/>
            <w:r w:rsidRPr="00200358">
              <w:rPr>
                <w:rFonts w:ascii="Arial" w:hAnsi="Arial" w:cs="Arial"/>
                <w:sz w:val="20"/>
                <w:szCs w:val="20"/>
              </w:rPr>
              <w:t>consumo</w:t>
            </w:r>
            <w:proofErr w:type="spellEnd"/>
            <w:r w:rsidRPr="00200358">
              <w:rPr>
                <w:rFonts w:ascii="Arial" w:hAnsi="Arial" w:cs="Arial"/>
                <w:sz w:val="20"/>
                <w:szCs w:val="20"/>
              </w:rPr>
              <w:t xml:space="preserve"> </w:t>
            </w:r>
            <w:proofErr w:type="spellStart"/>
            <w:r w:rsidRPr="00200358">
              <w:rPr>
                <w:rFonts w:ascii="Arial" w:hAnsi="Arial" w:cs="Arial"/>
                <w:sz w:val="20"/>
                <w:szCs w:val="20"/>
              </w:rPr>
              <w:t>doméstico</w:t>
            </w:r>
            <w:proofErr w:type="spellEnd"/>
          </w:p>
        </w:tc>
        <w:tc>
          <w:tcPr>
            <w:tcW w:w="677" w:type="pct"/>
          </w:tcPr>
          <w:p w14:paraId="2201AD6B" w14:textId="77777777" w:rsidR="00CF7917" w:rsidRPr="00200358" w:rsidRDefault="00CF7917" w:rsidP="00190C38">
            <w:pPr>
              <w:jc w:val="both"/>
              <w:rPr>
                <w:rFonts w:ascii="Arial" w:hAnsi="Arial" w:cs="Arial"/>
                <w:sz w:val="20"/>
                <w:szCs w:val="20"/>
              </w:rPr>
            </w:pPr>
            <w:r w:rsidRPr="00200358">
              <w:rPr>
                <w:rFonts w:ascii="Arial" w:hAnsi="Arial" w:cs="Arial"/>
                <w:sz w:val="20"/>
                <w:szCs w:val="20"/>
              </w:rPr>
              <w:t xml:space="preserve">Lista </w:t>
            </w:r>
            <w:proofErr w:type="spellStart"/>
            <w:r w:rsidRPr="00200358">
              <w:rPr>
                <w:rFonts w:ascii="Arial" w:hAnsi="Arial" w:cs="Arial"/>
                <w:sz w:val="20"/>
                <w:szCs w:val="20"/>
              </w:rPr>
              <w:t>Roja</w:t>
            </w:r>
            <w:proofErr w:type="spellEnd"/>
            <w:r w:rsidRPr="00200358">
              <w:rPr>
                <w:rFonts w:ascii="Arial" w:hAnsi="Arial" w:cs="Arial"/>
                <w:sz w:val="20"/>
                <w:szCs w:val="20"/>
              </w:rPr>
              <w:t xml:space="preserve"> de la UICN</w:t>
            </w:r>
            <w:r w:rsidRPr="00200358">
              <w:rPr>
                <w:rFonts w:ascii="Arial" w:hAnsi="Arial" w:cs="Arial"/>
                <w:sz w:val="20"/>
                <w:szCs w:val="20"/>
                <w:vertAlign w:val="superscript"/>
              </w:rPr>
              <w:fldChar w:fldCharType="begin"/>
            </w:r>
            <w:r w:rsidRPr="00200358">
              <w:rPr>
                <w:rFonts w:ascii="Arial" w:hAnsi="Arial" w:cs="Arial"/>
                <w:sz w:val="20"/>
                <w:szCs w:val="20"/>
                <w:vertAlign w:val="superscript"/>
              </w:rPr>
              <w:instrText xml:space="preserve"> NOTEREF _Ref40691319 \h  \* MERGEFORMAT </w:instrText>
            </w:r>
            <w:r w:rsidRPr="00200358">
              <w:rPr>
                <w:rFonts w:ascii="Arial" w:hAnsi="Arial" w:cs="Arial"/>
                <w:sz w:val="20"/>
                <w:szCs w:val="20"/>
                <w:vertAlign w:val="superscript"/>
              </w:rPr>
            </w:r>
            <w:r w:rsidRPr="00200358">
              <w:rPr>
                <w:rFonts w:ascii="Arial" w:hAnsi="Arial" w:cs="Arial"/>
                <w:sz w:val="20"/>
                <w:szCs w:val="20"/>
                <w:vertAlign w:val="superscript"/>
              </w:rPr>
              <w:fldChar w:fldCharType="separate"/>
            </w:r>
            <w:r w:rsidRPr="00200358">
              <w:rPr>
                <w:rFonts w:ascii="Arial" w:hAnsi="Arial" w:cs="Arial"/>
                <w:sz w:val="20"/>
                <w:szCs w:val="20"/>
                <w:vertAlign w:val="superscript"/>
              </w:rPr>
              <w:t>7</w:t>
            </w:r>
            <w:r w:rsidRPr="00200358">
              <w:rPr>
                <w:rFonts w:ascii="Arial" w:hAnsi="Arial" w:cs="Arial"/>
                <w:sz w:val="20"/>
                <w:szCs w:val="20"/>
                <w:vertAlign w:val="superscript"/>
              </w:rPr>
              <w:fldChar w:fldCharType="end"/>
            </w:r>
          </w:p>
          <w:p w14:paraId="3566AED3" w14:textId="77777777" w:rsidR="00CF7917" w:rsidRPr="00200358" w:rsidRDefault="00CF7917" w:rsidP="00190C38">
            <w:pPr>
              <w:jc w:val="both"/>
              <w:rPr>
                <w:rFonts w:ascii="Arial" w:hAnsi="Arial" w:cs="Arial"/>
                <w:sz w:val="20"/>
                <w:szCs w:val="20"/>
                <w:highlight w:val="green"/>
              </w:rPr>
            </w:pPr>
          </w:p>
        </w:tc>
        <w:tc>
          <w:tcPr>
            <w:tcW w:w="2032" w:type="pct"/>
          </w:tcPr>
          <w:p w14:paraId="3F4D9D09" w14:textId="77777777" w:rsidR="00CF7917" w:rsidRPr="00200358" w:rsidRDefault="00CF7917" w:rsidP="00190C38">
            <w:pPr>
              <w:jc w:val="both"/>
              <w:rPr>
                <w:rFonts w:ascii="Arial" w:hAnsi="Arial" w:cs="Arial"/>
                <w:iCs/>
                <w:sz w:val="20"/>
                <w:szCs w:val="20"/>
                <w:u w:val="single"/>
              </w:rPr>
            </w:pPr>
            <w:r w:rsidRPr="00200358">
              <w:rPr>
                <w:rFonts w:ascii="Arial" w:hAnsi="Arial" w:cs="Arial"/>
                <w:iCs/>
                <w:sz w:val="20"/>
                <w:szCs w:val="20"/>
                <w:u w:val="single"/>
              </w:rPr>
              <w:t xml:space="preserve">Prioridades </w:t>
            </w:r>
          </w:p>
          <w:p w14:paraId="1F8E2795" w14:textId="77777777" w:rsidR="00CF7917" w:rsidRPr="00200358" w:rsidRDefault="00CF7917" w:rsidP="00190C38">
            <w:pPr>
              <w:pStyle w:val="ListParagraph"/>
              <w:numPr>
                <w:ilvl w:val="0"/>
                <w:numId w:val="38"/>
              </w:numPr>
              <w:jc w:val="both"/>
              <w:rPr>
                <w:rFonts w:ascii="Arial" w:hAnsi="Arial" w:cs="Arial"/>
                <w:i/>
                <w:iCs/>
                <w:sz w:val="20"/>
                <w:szCs w:val="20"/>
                <w:lang w:val="es-ES"/>
              </w:rPr>
            </w:pPr>
            <w:r w:rsidRPr="00200358">
              <w:rPr>
                <w:rFonts w:ascii="Arial" w:hAnsi="Arial" w:cs="Arial"/>
                <w:i/>
                <w:sz w:val="20"/>
                <w:szCs w:val="20"/>
                <w:lang w:val="es-ES"/>
              </w:rPr>
              <w:t xml:space="preserve">Amenaza por uso/comercio: </w:t>
            </w:r>
            <w:r w:rsidRPr="00200358">
              <w:rPr>
                <w:rFonts w:ascii="Arial" w:hAnsi="Arial" w:cs="Arial"/>
                <w:sz w:val="20"/>
                <w:szCs w:val="20"/>
                <w:lang w:val="es-ES"/>
              </w:rPr>
              <w:t>taxones de uso doméstico</w:t>
            </w:r>
            <w:r w:rsidRPr="00200358">
              <w:rPr>
                <w:rFonts w:ascii="Arial" w:hAnsi="Arial" w:cs="Arial"/>
                <w:i/>
                <w:sz w:val="20"/>
                <w:szCs w:val="20"/>
                <w:lang w:val="es-ES"/>
              </w:rPr>
              <w:t>.</w:t>
            </w:r>
            <w:r w:rsidRPr="00200358">
              <w:rPr>
                <w:rFonts w:ascii="Arial" w:hAnsi="Arial" w:cs="Arial"/>
                <w:i/>
                <w:iCs/>
                <w:sz w:val="20"/>
                <w:szCs w:val="20"/>
                <w:lang w:val="es-ES"/>
              </w:rPr>
              <w:t xml:space="preserve"> </w:t>
            </w:r>
          </w:p>
          <w:p w14:paraId="2B913348" w14:textId="77777777" w:rsidR="00CF7917" w:rsidRPr="00200358" w:rsidRDefault="00CF7917" w:rsidP="00190C38">
            <w:pPr>
              <w:jc w:val="both"/>
              <w:rPr>
                <w:rFonts w:ascii="Arial" w:hAnsi="Arial" w:cs="Arial"/>
                <w:i/>
                <w:iCs/>
                <w:sz w:val="16"/>
                <w:szCs w:val="16"/>
                <w:lang w:val="es-ES"/>
              </w:rPr>
            </w:pPr>
          </w:p>
          <w:p w14:paraId="7C6914D0" w14:textId="77777777" w:rsidR="00CF7917" w:rsidRPr="00200358" w:rsidRDefault="00CF7917" w:rsidP="00190C38">
            <w:pPr>
              <w:jc w:val="both"/>
              <w:rPr>
                <w:rFonts w:ascii="Arial" w:hAnsi="Arial" w:cs="Arial"/>
                <w:sz w:val="20"/>
                <w:szCs w:val="20"/>
                <w:lang w:val="es-ES"/>
              </w:rPr>
            </w:pPr>
            <w:r w:rsidRPr="00200358">
              <w:rPr>
                <w:rFonts w:ascii="Arial" w:hAnsi="Arial" w:cs="Arial"/>
                <w:i/>
                <w:iCs/>
                <w:sz w:val="20"/>
                <w:szCs w:val="20"/>
                <w:lang w:val="es-ES"/>
              </w:rPr>
              <w:t xml:space="preserve"> </w:t>
            </w:r>
            <w:r w:rsidRPr="00200358">
              <w:rPr>
                <w:rFonts w:ascii="Arial" w:hAnsi="Arial" w:cs="Arial"/>
                <w:sz w:val="20"/>
                <w:szCs w:val="20"/>
                <w:lang w:val="es-ES"/>
              </w:rPr>
              <w:t xml:space="preserve">Si las evaluaciones de la Lista Roja de la UICN clasificaron algún uso final (distinto de la investigación y el establecimiento de la producción </w:t>
            </w:r>
            <w:r w:rsidRPr="00200358">
              <w:rPr>
                <w:rFonts w:ascii="Arial" w:hAnsi="Arial" w:cs="Arial"/>
                <w:i/>
                <w:iCs/>
                <w:sz w:val="20"/>
                <w:szCs w:val="20"/>
                <w:lang w:val="es-ES"/>
              </w:rPr>
              <w:t>ex situ</w:t>
            </w:r>
            <w:r w:rsidRPr="00200358">
              <w:rPr>
                <w:rFonts w:ascii="Arial" w:hAnsi="Arial" w:cs="Arial"/>
                <w:sz w:val="20"/>
                <w:szCs w:val="20"/>
                <w:lang w:val="es-ES"/>
              </w:rPr>
              <w:t>) como «nacional» o «de subsistencia».</w:t>
            </w:r>
          </w:p>
          <w:p w14:paraId="66507096"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Los taxones considerados «no utilizados» según la evaluación de la Lista Roja de la UICN se considerarán «de uso no doméstico».</w:t>
            </w:r>
          </w:p>
        </w:tc>
        <w:tc>
          <w:tcPr>
            <w:tcW w:w="886" w:type="pct"/>
          </w:tcPr>
          <w:p w14:paraId="36FC229A"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1: Taxón de uso doméstico</w:t>
            </w:r>
          </w:p>
          <w:p w14:paraId="01C84E4F" w14:textId="77777777" w:rsidR="00CF7917" w:rsidRPr="00200358" w:rsidRDefault="00CF7917" w:rsidP="00190C38">
            <w:pPr>
              <w:jc w:val="both"/>
              <w:rPr>
                <w:rFonts w:ascii="Arial" w:hAnsi="Arial" w:cs="Arial"/>
                <w:sz w:val="20"/>
                <w:szCs w:val="20"/>
                <w:highlight w:val="green"/>
                <w:lang w:val="es-ES"/>
              </w:rPr>
            </w:pPr>
            <w:r w:rsidRPr="00200358">
              <w:rPr>
                <w:rFonts w:ascii="Arial" w:hAnsi="Arial" w:cs="Arial"/>
                <w:sz w:val="20"/>
                <w:szCs w:val="20"/>
                <w:lang w:val="es-ES"/>
              </w:rPr>
              <w:t>0: Taxón de uso no doméstico</w:t>
            </w:r>
          </w:p>
        </w:tc>
        <w:tc>
          <w:tcPr>
            <w:tcW w:w="677" w:type="pct"/>
          </w:tcPr>
          <w:p w14:paraId="7C70D070"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 xml:space="preserve">Taxón </w:t>
            </w:r>
            <w:r w:rsidRPr="00200358">
              <w:rPr>
                <w:rFonts w:ascii="Arial" w:hAnsi="Arial" w:cs="Arial"/>
                <w:b/>
                <w:bCs/>
                <w:sz w:val="20"/>
                <w:szCs w:val="20"/>
                <w:lang w:val="es-ES"/>
              </w:rPr>
              <w:t xml:space="preserve">sin </w:t>
            </w:r>
            <w:r w:rsidRPr="00200358">
              <w:rPr>
                <w:rFonts w:ascii="Arial" w:hAnsi="Arial" w:cs="Arial"/>
                <w:sz w:val="20"/>
                <w:szCs w:val="20"/>
                <w:lang w:val="es-ES"/>
              </w:rPr>
              <w:t xml:space="preserve">usos finales asignados o con usos finales </w:t>
            </w:r>
            <w:proofErr w:type="gramStart"/>
            <w:r w:rsidRPr="00200358">
              <w:rPr>
                <w:rFonts w:ascii="Arial" w:hAnsi="Arial" w:cs="Arial"/>
                <w:sz w:val="20"/>
                <w:szCs w:val="20"/>
                <w:lang w:val="es-ES"/>
              </w:rPr>
              <w:t>asignados</w:t>
            </w:r>
            <w:proofErr w:type="gramEnd"/>
            <w:r w:rsidRPr="00200358">
              <w:rPr>
                <w:rFonts w:ascii="Arial" w:hAnsi="Arial" w:cs="Arial"/>
                <w:sz w:val="20"/>
                <w:szCs w:val="20"/>
                <w:lang w:val="es-ES"/>
              </w:rPr>
              <w:t xml:space="preserve"> pero sin datos sobre la escala.</w:t>
            </w:r>
          </w:p>
          <w:p w14:paraId="0EF94B2F" w14:textId="77777777" w:rsidR="00CF7917" w:rsidRPr="00200358" w:rsidRDefault="00CF7917" w:rsidP="00190C38">
            <w:pPr>
              <w:jc w:val="both"/>
              <w:rPr>
                <w:rFonts w:ascii="Arial" w:hAnsi="Arial" w:cs="Arial"/>
                <w:sz w:val="16"/>
                <w:szCs w:val="16"/>
                <w:lang w:val="es-ES"/>
              </w:rPr>
            </w:pPr>
          </w:p>
          <w:p w14:paraId="0CC6033F" w14:textId="77777777" w:rsidR="00CF7917" w:rsidRPr="00200358" w:rsidRDefault="00CF7917" w:rsidP="00190C38">
            <w:pPr>
              <w:jc w:val="both"/>
              <w:rPr>
                <w:rFonts w:ascii="Arial" w:hAnsi="Arial" w:cs="Arial"/>
                <w:sz w:val="20"/>
                <w:szCs w:val="20"/>
                <w:highlight w:val="green"/>
                <w:lang w:val="es-ES"/>
              </w:rPr>
            </w:pPr>
            <w:r w:rsidRPr="00200358">
              <w:rPr>
                <w:rFonts w:ascii="Arial" w:hAnsi="Arial" w:cs="Arial"/>
                <w:sz w:val="20"/>
                <w:szCs w:val="20"/>
                <w:lang w:val="es-ES"/>
              </w:rPr>
              <w:t>Taxón no evaluado aún por la UICN.</w:t>
            </w:r>
          </w:p>
        </w:tc>
      </w:tr>
      <w:tr w:rsidR="00CF7917" w:rsidRPr="00313A1B" w14:paraId="0BF159C9" w14:textId="77777777" w:rsidTr="00200358">
        <w:tc>
          <w:tcPr>
            <w:tcW w:w="728" w:type="pct"/>
          </w:tcPr>
          <w:p w14:paraId="33942946" w14:textId="77777777" w:rsidR="00CF7917" w:rsidRPr="00200358" w:rsidRDefault="00CF7917" w:rsidP="00190C38">
            <w:pPr>
              <w:jc w:val="both"/>
              <w:rPr>
                <w:rFonts w:ascii="Arial" w:hAnsi="Arial" w:cs="Arial"/>
                <w:sz w:val="20"/>
                <w:szCs w:val="20"/>
                <w:highlight w:val="green"/>
                <w:lang w:val="es-ES"/>
              </w:rPr>
            </w:pPr>
            <w:r w:rsidRPr="00200358">
              <w:rPr>
                <w:rFonts w:ascii="Arial" w:hAnsi="Arial" w:cs="Arial"/>
                <w:sz w:val="20"/>
                <w:szCs w:val="20"/>
                <w:lang w:val="es-ES"/>
              </w:rPr>
              <w:t xml:space="preserve">3.4 Caza, captura y </w:t>
            </w:r>
            <w:proofErr w:type="gramStart"/>
            <w:r w:rsidRPr="00200358">
              <w:rPr>
                <w:rFonts w:ascii="Arial" w:hAnsi="Arial" w:cs="Arial"/>
                <w:sz w:val="20"/>
                <w:szCs w:val="20"/>
                <w:lang w:val="es-ES"/>
              </w:rPr>
              <w:t>comercio ilegales</w:t>
            </w:r>
            <w:proofErr w:type="gramEnd"/>
          </w:p>
        </w:tc>
        <w:tc>
          <w:tcPr>
            <w:tcW w:w="677" w:type="pct"/>
          </w:tcPr>
          <w:p w14:paraId="560026C3"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LEMIS</w:t>
            </w:r>
          </w:p>
          <w:p w14:paraId="5EDBF9DA"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Portal de comercio de especies silvestres de TRAFFIC</w:t>
            </w:r>
            <w:r w:rsidRPr="00200358">
              <w:rPr>
                <w:rStyle w:val="FootnoteReference"/>
                <w:rFonts w:ascii="Arial" w:hAnsi="Arial" w:cs="Arial"/>
                <w:sz w:val="20"/>
                <w:szCs w:val="20"/>
              </w:rPr>
              <w:footnoteReference w:id="17"/>
            </w:r>
          </w:p>
          <w:p w14:paraId="380D196E" w14:textId="77777777" w:rsidR="00CF7917" w:rsidRPr="00200358" w:rsidRDefault="00CF7917" w:rsidP="00190C38">
            <w:pPr>
              <w:jc w:val="both"/>
              <w:rPr>
                <w:rFonts w:ascii="Arial" w:hAnsi="Arial" w:cs="Arial"/>
                <w:sz w:val="20"/>
                <w:szCs w:val="20"/>
              </w:rPr>
            </w:pPr>
            <w:r w:rsidRPr="00200358">
              <w:rPr>
                <w:rFonts w:ascii="Arial" w:hAnsi="Arial" w:cs="Arial"/>
                <w:sz w:val="20"/>
                <w:szCs w:val="20"/>
              </w:rPr>
              <w:t>Complementado con bibliografía adicional</w:t>
            </w:r>
            <w:r w:rsidRPr="00200358">
              <w:rPr>
                <w:rStyle w:val="FootnoteReference"/>
                <w:rFonts w:ascii="Arial" w:hAnsi="Arial" w:cs="Arial"/>
                <w:sz w:val="20"/>
                <w:szCs w:val="20"/>
              </w:rPr>
              <w:footnoteReference w:id="18"/>
            </w:r>
          </w:p>
          <w:p w14:paraId="699566C0" w14:textId="77777777" w:rsidR="00CF7917" w:rsidRPr="00200358" w:rsidRDefault="00CF7917" w:rsidP="00190C38">
            <w:pPr>
              <w:jc w:val="both"/>
              <w:rPr>
                <w:rFonts w:ascii="Arial" w:hAnsi="Arial" w:cs="Arial"/>
                <w:sz w:val="20"/>
                <w:szCs w:val="20"/>
                <w:highlight w:val="green"/>
              </w:rPr>
            </w:pPr>
          </w:p>
        </w:tc>
        <w:tc>
          <w:tcPr>
            <w:tcW w:w="2032" w:type="pct"/>
          </w:tcPr>
          <w:p w14:paraId="2393D321" w14:textId="77777777" w:rsidR="00CF7917" w:rsidRPr="00200358" w:rsidRDefault="00CF7917" w:rsidP="00190C38">
            <w:pPr>
              <w:jc w:val="both"/>
              <w:rPr>
                <w:rFonts w:ascii="Arial" w:hAnsi="Arial" w:cs="Arial"/>
                <w:iCs/>
                <w:sz w:val="20"/>
                <w:szCs w:val="20"/>
                <w:u w:val="single"/>
              </w:rPr>
            </w:pPr>
            <w:r w:rsidRPr="00200358">
              <w:rPr>
                <w:rFonts w:ascii="Arial" w:hAnsi="Arial" w:cs="Arial"/>
                <w:iCs/>
                <w:sz w:val="20"/>
                <w:szCs w:val="20"/>
                <w:u w:val="single"/>
              </w:rPr>
              <w:t xml:space="preserve">Prioridades </w:t>
            </w:r>
          </w:p>
          <w:p w14:paraId="79176ABB" w14:textId="77777777" w:rsidR="00CF7917" w:rsidRPr="00200358" w:rsidRDefault="00CF7917" w:rsidP="00190C38">
            <w:pPr>
              <w:pStyle w:val="ListParagraph"/>
              <w:numPr>
                <w:ilvl w:val="0"/>
                <w:numId w:val="38"/>
              </w:numPr>
              <w:jc w:val="both"/>
              <w:rPr>
                <w:rFonts w:ascii="Arial" w:hAnsi="Arial" w:cs="Arial"/>
                <w:sz w:val="20"/>
                <w:szCs w:val="20"/>
                <w:lang w:val="es-ES"/>
              </w:rPr>
            </w:pPr>
            <w:r w:rsidRPr="00200358">
              <w:rPr>
                <w:rFonts w:ascii="Arial" w:hAnsi="Arial" w:cs="Arial"/>
                <w:i/>
                <w:sz w:val="20"/>
                <w:szCs w:val="20"/>
                <w:lang w:val="es-ES"/>
              </w:rPr>
              <w:t xml:space="preserve">Amenaza por uso/comercio: </w:t>
            </w:r>
            <w:r w:rsidRPr="00200358">
              <w:rPr>
                <w:rFonts w:ascii="Arial" w:hAnsi="Arial" w:cs="Arial"/>
                <w:sz w:val="20"/>
                <w:szCs w:val="20"/>
                <w:lang w:val="es-ES"/>
              </w:rPr>
              <w:t>taxones documentados en el comercio ilegal o cazados ilegalmente para su uso</w:t>
            </w:r>
            <w:r w:rsidRPr="00200358">
              <w:rPr>
                <w:rFonts w:ascii="Arial" w:hAnsi="Arial" w:cs="Arial"/>
                <w:i/>
                <w:sz w:val="20"/>
                <w:szCs w:val="20"/>
                <w:lang w:val="es-ES"/>
              </w:rPr>
              <w:t>.</w:t>
            </w:r>
          </w:p>
          <w:p w14:paraId="12668EA8" w14:textId="77777777" w:rsidR="00CF7917" w:rsidRPr="00200358" w:rsidRDefault="00CF7917" w:rsidP="00190C38">
            <w:pPr>
              <w:jc w:val="both"/>
              <w:rPr>
                <w:rFonts w:ascii="Arial" w:hAnsi="Arial" w:cs="Arial"/>
                <w:sz w:val="16"/>
                <w:szCs w:val="16"/>
                <w:lang w:val="es-ES"/>
              </w:rPr>
            </w:pPr>
          </w:p>
          <w:p w14:paraId="037B8D4A"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Una o más incautaciones notificadas a nivel de especie o subespecie solo</w:t>
            </w:r>
            <w:r w:rsidRPr="00200358">
              <w:rPr>
                <w:rFonts w:ascii="Arial" w:hAnsi="Arial" w:cs="Arial"/>
                <w:sz w:val="20"/>
                <w:szCs w:val="20"/>
                <w:vertAlign w:val="superscript"/>
              </w:rPr>
              <w:footnoteReference w:id="19"/>
            </w:r>
            <w:r w:rsidRPr="00200358">
              <w:rPr>
                <w:rFonts w:ascii="Arial" w:hAnsi="Arial" w:cs="Arial"/>
                <w:sz w:val="20"/>
                <w:szCs w:val="20"/>
                <w:lang w:val="es-ES"/>
              </w:rPr>
              <w:t xml:space="preserve"> en los diez años más recientes de datos de LEMIS (2010-2019, incautaciones notificadas como fuente «I») y los doce años más recientes de datos de TRAFFIC (2010-2021).</w:t>
            </w:r>
            <w:r w:rsidRPr="00200358">
              <w:rPr>
                <w:rStyle w:val="FootnoteReference"/>
                <w:rFonts w:ascii="Arial" w:hAnsi="Arial" w:cs="Arial"/>
                <w:sz w:val="20"/>
                <w:szCs w:val="20"/>
              </w:rPr>
              <w:footnoteReference w:id="20"/>
            </w:r>
            <w:r w:rsidRPr="00200358">
              <w:rPr>
                <w:rFonts w:ascii="Arial" w:hAnsi="Arial" w:cs="Arial"/>
                <w:sz w:val="20"/>
                <w:szCs w:val="20"/>
                <w:lang w:val="es-ES"/>
              </w:rPr>
              <w:t xml:space="preserve"> Solo se incluyeron los datos notificados como «incautación» o «trata/comercio ilegal» del portal de comercio de especies silvestres TRAFFIC.</w:t>
            </w:r>
          </w:p>
        </w:tc>
        <w:tc>
          <w:tcPr>
            <w:tcW w:w="886" w:type="pct"/>
          </w:tcPr>
          <w:p w14:paraId="35E80396" w14:textId="77777777" w:rsidR="00CF7917" w:rsidRPr="00200358" w:rsidRDefault="00CF7917" w:rsidP="00190C38">
            <w:pPr>
              <w:jc w:val="both"/>
              <w:rPr>
                <w:rFonts w:ascii="Arial" w:hAnsi="Arial" w:cs="Arial"/>
                <w:sz w:val="20"/>
                <w:szCs w:val="20"/>
              </w:rPr>
            </w:pPr>
            <w:r w:rsidRPr="00200358">
              <w:rPr>
                <w:rFonts w:ascii="Arial" w:hAnsi="Arial" w:cs="Arial"/>
                <w:sz w:val="20"/>
                <w:szCs w:val="20"/>
              </w:rPr>
              <w:t xml:space="preserve">1: </w:t>
            </w:r>
            <w:proofErr w:type="spellStart"/>
            <w:r w:rsidRPr="00200358">
              <w:rPr>
                <w:rFonts w:ascii="Arial" w:hAnsi="Arial" w:cs="Arial"/>
                <w:sz w:val="20"/>
                <w:szCs w:val="20"/>
              </w:rPr>
              <w:t>Incautación</w:t>
            </w:r>
            <w:proofErr w:type="spellEnd"/>
            <w:r w:rsidRPr="00200358">
              <w:rPr>
                <w:rFonts w:ascii="Arial" w:hAnsi="Arial" w:cs="Arial"/>
                <w:sz w:val="20"/>
                <w:szCs w:val="20"/>
              </w:rPr>
              <w:t xml:space="preserve"> de </w:t>
            </w:r>
            <w:proofErr w:type="spellStart"/>
            <w:r w:rsidRPr="00200358">
              <w:rPr>
                <w:rFonts w:ascii="Arial" w:hAnsi="Arial" w:cs="Arial"/>
                <w:sz w:val="20"/>
                <w:szCs w:val="20"/>
              </w:rPr>
              <w:t>taxones</w:t>
            </w:r>
            <w:proofErr w:type="spellEnd"/>
            <w:r w:rsidRPr="00200358">
              <w:rPr>
                <w:rFonts w:ascii="Arial" w:hAnsi="Arial" w:cs="Arial"/>
                <w:sz w:val="20"/>
                <w:szCs w:val="20"/>
              </w:rPr>
              <w:t xml:space="preserve"> </w:t>
            </w:r>
            <w:proofErr w:type="spellStart"/>
            <w:r w:rsidRPr="00200358">
              <w:rPr>
                <w:rFonts w:ascii="Arial" w:hAnsi="Arial" w:cs="Arial"/>
                <w:sz w:val="20"/>
                <w:szCs w:val="20"/>
              </w:rPr>
              <w:t>comunicada</w:t>
            </w:r>
            <w:proofErr w:type="spellEnd"/>
          </w:p>
        </w:tc>
        <w:tc>
          <w:tcPr>
            <w:tcW w:w="677" w:type="pct"/>
          </w:tcPr>
          <w:p w14:paraId="20DE51B5"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No se ha informado de ninguna incautación para el taxón.</w:t>
            </w:r>
          </w:p>
        </w:tc>
      </w:tr>
      <w:tr w:rsidR="00CF7917" w:rsidRPr="00313A1B" w14:paraId="7BC9472C" w14:textId="77777777" w:rsidTr="00200358">
        <w:tc>
          <w:tcPr>
            <w:tcW w:w="728" w:type="pct"/>
          </w:tcPr>
          <w:p w14:paraId="450E1D01" w14:textId="77777777" w:rsidR="00CF7917" w:rsidRPr="00200358" w:rsidRDefault="00CF7917" w:rsidP="00190C38">
            <w:pPr>
              <w:jc w:val="both"/>
              <w:rPr>
                <w:rFonts w:ascii="Arial" w:hAnsi="Arial" w:cs="Arial"/>
                <w:sz w:val="20"/>
                <w:szCs w:val="20"/>
                <w:highlight w:val="green"/>
                <w:lang w:val="es-ES"/>
              </w:rPr>
            </w:pPr>
            <w:r w:rsidRPr="00200358">
              <w:rPr>
                <w:rFonts w:ascii="Arial" w:hAnsi="Arial" w:cs="Arial"/>
                <w:sz w:val="20"/>
                <w:szCs w:val="20"/>
                <w:lang w:val="es-ES"/>
              </w:rPr>
              <w:t>3.5 Impacto de las amenazas actuales</w:t>
            </w:r>
          </w:p>
        </w:tc>
        <w:tc>
          <w:tcPr>
            <w:tcW w:w="677" w:type="pct"/>
          </w:tcPr>
          <w:p w14:paraId="497B96EA" w14:textId="77777777" w:rsidR="00CF7917" w:rsidRPr="00200358" w:rsidRDefault="00CF7917" w:rsidP="00190C38">
            <w:pPr>
              <w:jc w:val="both"/>
              <w:rPr>
                <w:rFonts w:ascii="Arial" w:hAnsi="Arial" w:cs="Arial"/>
                <w:sz w:val="20"/>
                <w:szCs w:val="20"/>
              </w:rPr>
            </w:pPr>
            <w:r w:rsidRPr="00200358">
              <w:rPr>
                <w:rFonts w:ascii="Arial" w:hAnsi="Arial" w:cs="Arial"/>
                <w:sz w:val="20"/>
                <w:szCs w:val="20"/>
              </w:rPr>
              <w:t xml:space="preserve">Lista </w:t>
            </w:r>
            <w:proofErr w:type="spellStart"/>
            <w:r w:rsidRPr="00200358">
              <w:rPr>
                <w:rFonts w:ascii="Arial" w:hAnsi="Arial" w:cs="Arial"/>
                <w:sz w:val="20"/>
                <w:szCs w:val="20"/>
              </w:rPr>
              <w:t>Roja</w:t>
            </w:r>
            <w:proofErr w:type="spellEnd"/>
            <w:r w:rsidRPr="00200358">
              <w:rPr>
                <w:rFonts w:ascii="Arial" w:hAnsi="Arial" w:cs="Arial"/>
                <w:sz w:val="20"/>
                <w:szCs w:val="20"/>
              </w:rPr>
              <w:t xml:space="preserve"> de la UICN</w:t>
            </w:r>
            <w:r w:rsidRPr="00200358">
              <w:rPr>
                <w:rFonts w:ascii="Arial" w:hAnsi="Arial" w:cs="Arial"/>
                <w:sz w:val="20"/>
                <w:szCs w:val="20"/>
                <w:vertAlign w:val="superscript"/>
              </w:rPr>
              <w:fldChar w:fldCharType="begin"/>
            </w:r>
            <w:r w:rsidRPr="00200358">
              <w:rPr>
                <w:rFonts w:ascii="Arial" w:hAnsi="Arial" w:cs="Arial"/>
                <w:sz w:val="20"/>
                <w:szCs w:val="20"/>
                <w:vertAlign w:val="superscript"/>
              </w:rPr>
              <w:instrText xml:space="preserve"> NOTEREF _Ref40691319 \h  \* MERGEFORMAT </w:instrText>
            </w:r>
            <w:r w:rsidRPr="00200358">
              <w:rPr>
                <w:rFonts w:ascii="Arial" w:hAnsi="Arial" w:cs="Arial"/>
                <w:sz w:val="20"/>
                <w:szCs w:val="20"/>
                <w:vertAlign w:val="superscript"/>
              </w:rPr>
            </w:r>
            <w:r w:rsidRPr="00200358">
              <w:rPr>
                <w:rFonts w:ascii="Arial" w:hAnsi="Arial" w:cs="Arial"/>
                <w:sz w:val="20"/>
                <w:szCs w:val="20"/>
                <w:vertAlign w:val="superscript"/>
              </w:rPr>
              <w:fldChar w:fldCharType="separate"/>
            </w:r>
            <w:r w:rsidRPr="00200358">
              <w:rPr>
                <w:rFonts w:ascii="Arial" w:hAnsi="Arial" w:cs="Arial"/>
                <w:sz w:val="20"/>
                <w:szCs w:val="20"/>
                <w:vertAlign w:val="superscript"/>
              </w:rPr>
              <w:t>7</w:t>
            </w:r>
            <w:r w:rsidRPr="00200358">
              <w:rPr>
                <w:rFonts w:ascii="Arial" w:hAnsi="Arial" w:cs="Arial"/>
                <w:sz w:val="20"/>
                <w:szCs w:val="20"/>
                <w:vertAlign w:val="superscript"/>
              </w:rPr>
              <w:fldChar w:fldCharType="end"/>
            </w:r>
          </w:p>
          <w:p w14:paraId="255969E6" w14:textId="77777777" w:rsidR="00CF7917" w:rsidRPr="00200358" w:rsidRDefault="00CF7917" w:rsidP="00190C38">
            <w:pPr>
              <w:jc w:val="both"/>
              <w:rPr>
                <w:rFonts w:ascii="Arial" w:hAnsi="Arial" w:cs="Arial"/>
                <w:sz w:val="20"/>
                <w:szCs w:val="20"/>
                <w:highlight w:val="green"/>
              </w:rPr>
            </w:pPr>
          </w:p>
        </w:tc>
        <w:tc>
          <w:tcPr>
            <w:tcW w:w="2032" w:type="pct"/>
          </w:tcPr>
          <w:p w14:paraId="72405CB1" w14:textId="77777777" w:rsidR="00CF7917" w:rsidRPr="00200358" w:rsidRDefault="00CF7917" w:rsidP="00190C38">
            <w:pPr>
              <w:jc w:val="both"/>
              <w:rPr>
                <w:rFonts w:ascii="Arial" w:hAnsi="Arial" w:cs="Arial"/>
                <w:iCs/>
                <w:sz w:val="20"/>
                <w:szCs w:val="20"/>
                <w:u w:val="single"/>
              </w:rPr>
            </w:pPr>
            <w:r w:rsidRPr="00200358">
              <w:rPr>
                <w:rFonts w:ascii="Arial" w:hAnsi="Arial" w:cs="Arial"/>
                <w:iCs/>
                <w:sz w:val="20"/>
                <w:szCs w:val="20"/>
                <w:u w:val="single"/>
              </w:rPr>
              <w:t xml:space="preserve">Prioridades </w:t>
            </w:r>
          </w:p>
          <w:p w14:paraId="2A30DEB9" w14:textId="77777777" w:rsidR="00CF7917" w:rsidRPr="00200358" w:rsidRDefault="00CF7917" w:rsidP="00190C38">
            <w:pPr>
              <w:pStyle w:val="ListParagraph"/>
              <w:numPr>
                <w:ilvl w:val="0"/>
                <w:numId w:val="38"/>
              </w:numPr>
              <w:jc w:val="both"/>
              <w:rPr>
                <w:rFonts w:ascii="Arial" w:hAnsi="Arial" w:cs="Arial"/>
                <w:i/>
                <w:iCs/>
                <w:sz w:val="20"/>
                <w:szCs w:val="20"/>
                <w:lang w:val="es-ES"/>
              </w:rPr>
            </w:pPr>
            <w:r w:rsidRPr="00200358">
              <w:rPr>
                <w:rFonts w:ascii="Arial" w:hAnsi="Arial" w:cs="Arial"/>
                <w:i/>
                <w:sz w:val="20"/>
                <w:szCs w:val="20"/>
                <w:lang w:val="es-ES"/>
              </w:rPr>
              <w:t xml:space="preserve">Elegibilidad para el Apéndice I: </w:t>
            </w:r>
            <w:r w:rsidRPr="00200358">
              <w:rPr>
                <w:rFonts w:ascii="Arial" w:hAnsi="Arial" w:cs="Arial"/>
                <w:sz w:val="20"/>
                <w:szCs w:val="20"/>
                <w:lang w:val="es-ES"/>
              </w:rPr>
              <w:t>taxones documentados como sujetos a graves amenazas actuales o probables amenazas futuras</w:t>
            </w:r>
            <w:r w:rsidRPr="00200358">
              <w:rPr>
                <w:rFonts w:ascii="Arial" w:hAnsi="Arial" w:cs="Arial"/>
                <w:i/>
                <w:sz w:val="20"/>
                <w:szCs w:val="20"/>
                <w:lang w:val="es-ES"/>
              </w:rPr>
              <w:t>.</w:t>
            </w:r>
            <w:r w:rsidRPr="00200358">
              <w:rPr>
                <w:rFonts w:ascii="Arial" w:hAnsi="Arial" w:cs="Arial"/>
                <w:i/>
                <w:iCs/>
                <w:sz w:val="20"/>
                <w:szCs w:val="20"/>
                <w:lang w:val="es-ES"/>
              </w:rPr>
              <w:t xml:space="preserve"> </w:t>
            </w:r>
          </w:p>
          <w:p w14:paraId="2FDD32C1" w14:textId="77777777" w:rsidR="00CF7917" w:rsidRPr="00200358" w:rsidRDefault="00CF7917" w:rsidP="00190C38">
            <w:pPr>
              <w:jc w:val="both"/>
              <w:rPr>
                <w:rFonts w:ascii="Arial" w:hAnsi="Arial" w:cs="Arial"/>
                <w:sz w:val="16"/>
                <w:szCs w:val="16"/>
                <w:highlight w:val="green"/>
                <w:lang w:val="es-ES"/>
              </w:rPr>
            </w:pPr>
          </w:p>
          <w:p w14:paraId="53F0DDE5" w14:textId="77777777" w:rsidR="00CF7917" w:rsidRPr="00200358" w:rsidRDefault="00CF7917" w:rsidP="00190C38">
            <w:pPr>
              <w:jc w:val="both"/>
              <w:rPr>
                <w:rFonts w:ascii="Arial" w:hAnsi="Arial" w:cs="Arial"/>
                <w:sz w:val="20"/>
                <w:szCs w:val="20"/>
                <w:highlight w:val="green"/>
                <w:lang w:val="es-ES"/>
              </w:rPr>
            </w:pPr>
            <w:r w:rsidRPr="00200358">
              <w:rPr>
                <w:rFonts w:ascii="Arial" w:hAnsi="Arial" w:cs="Arial"/>
                <w:sz w:val="20"/>
                <w:szCs w:val="20"/>
                <w:lang w:val="es-ES"/>
              </w:rPr>
              <w:t>Amenazas actuales o futuras clasificadas como de alto o medio impacto según el sistema de puntuación del impacto de las amenazas de la UICN.</w:t>
            </w:r>
            <w:r w:rsidRPr="00200358">
              <w:rPr>
                <w:rStyle w:val="FootnoteReference"/>
                <w:rFonts w:ascii="Arial" w:hAnsi="Arial" w:cs="Arial"/>
                <w:sz w:val="20"/>
                <w:szCs w:val="20"/>
              </w:rPr>
              <w:footnoteReference w:id="21"/>
            </w:r>
            <w:r w:rsidRPr="00200358">
              <w:rPr>
                <w:rFonts w:ascii="Arial" w:hAnsi="Arial" w:cs="Arial"/>
                <w:sz w:val="20"/>
                <w:szCs w:val="20"/>
                <w:highlight w:val="green"/>
                <w:lang w:val="es-ES"/>
              </w:rPr>
              <w:t xml:space="preserve"> </w:t>
            </w:r>
          </w:p>
        </w:tc>
        <w:tc>
          <w:tcPr>
            <w:tcW w:w="886" w:type="pct"/>
          </w:tcPr>
          <w:p w14:paraId="5A7D747B"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1: todas de alto impacto</w:t>
            </w:r>
          </w:p>
          <w:p w14:paraId="19EA67CE"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 xml:space="preserve">0,75: al menos una de alto impacto, pero no todas </w:t>
            </w:r>
          </w:p>
          <w:p w14:paraId="509D0A80"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0,5: todas de medio impacto</w:t>
            </w:r>
          </w:p>
          <w:p w14:paraId="33A8A0F9" w14:textId="77777777" w:rsidR="00CF7917" w:rsidRPr="00200358" w:rsidRDefault="00CF7917" w:rsidP="00190C38">
            <w:pPr>
              <w:jc w:val="both"/>
              <w:rPr>
                <w:rFonts w:ascii="Arial" w:hAnsi="Arial" w:cs="Arial"/>
                <w:sz w:val="20"/>
                <w:szCs w:val="20"/>
                <w:highlight w:val="green"/>
                <w:lang w:val="es-ES"/>
              </w:rPr>
            </w:pPr>
            <w:r w:rsidRPr="00200358">
              <w:rPr>
                <w:rFonts w:ascii="Arial" w:hAnsi="Arial" w:cs="Arial"/>
                <w:sz w:val="20"/>
                <w:szCs w:val="20"/>
                <w:lang w:val="es-ES"/>
              </w:rPr>
              <w:t xml:space="preserve">0,25: ninguna de alto </w:t>
            </w:r>
            <w:proofErr w:type="gramStart"/>
            <w:r w:rsidRPr="00200358">
              <w:rPr>
                <w:rFonts w:ascii="Arial" w:hAnsi="Arial" w:cs="Arial"/>
                <w:sz w:val="20"/>
                <w:szCs w:val="20"/>
                <w:lang w:val="es-ES"/>
              </w:rPr>
              <w:t>impacto</w:t>
            </w:r>
            <w:proofErr w:type="gramEnd"/>
            <w:r w:rsidRPr="00200358">
              <w:rPr>
                <w:rFonts w:ascii="Arial" w:hAnsi="Arial" w:cs="Arial"/>
                <w:sz w:val="20"/>
                <w:szCs w:val="20"/>
                <w:lang w:val="es-ES"/>
              </w:rPr>
              <w:t xml:space="preserve"> pero al menos una de medio impacto 0: no hay amenazas actuales/futuras o, cuando las hay, todas se evalúan como de </w:t>
            </w:r>
            <w:r w:rsidRPr="00200358">
              <w:rPr>
                <w:rFonts w:ascii="Arial" w:hAnsi="Arial" w:cs="Arial"/>
                <w:sz w:val="20"/>
                <w:szCs w:val="20"/>
                <w:lang w:val="es-ES"/>
              </w:rPr>
              <w:lastRenderedPageBreak/>
              <w:t>impacto bajo/insignificante</w:t>
            </w:r>
          </w:p>
        </w:tc>
        <w:tc>
          <w:tcPr>
            <w:tcW w:w="677" w:type="pct"/>
          </w:tcPr>
          <w:p w14:paraId="67344D71"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lastRenderedPageBreak/>
              <w:t>Estado en la lista roja: LC.</w:t>
            </w:r>
          </w:p>
          <w:p w14:paraId="5C8BD1D9" w14:textId="77777777" w:rsidR="00CF7917" w:rsidRPr="00200358" w:rsidRDefault="00CF7917" w:rsidP="00190C38">
            <w:pPr>
              <w:jc w:val="both"/>
              <w:rPr>
                <w:rFonts w:ascii="Arial" w:hAnsi="Arial" w:cs="Arial"/>
                <w:sz w:val="16"/>
                <w:szCs w:val="16"/>
                <w:lang w:val="es-ES"/>
              </w:rPr>
            </w:pPr>
          </w:p>
          <w:p w14:paraId="7AFE5DF3"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 xml:space="preserve">Taxón al que </w:t>
            </w:r>
            <w:r w:rsidRPr="00200358">
              <w:rPr>
                <w:rFonts w:ascii="Arial" w:hAnsi="Arial" w:cs="Arial"/>
                <w:b/>
                <w:bCs/>
                <w:sz w:val="20"/>
                <w:szCs w:val="20"/>
                <w:lang w:val="es-ES"/>
              </w:rPr>
              <w:t xml:space="preserve">no </w:t>
            </w:r>
            <w:r w:rsidRPr="00200358">
              <w:rPr>
                <w:rFonts w:ascii="Arial" w:hAnsi="Arial" w:cs="Arial"/>
                <w:sz w:val="20"/>
                <w:szCs w:val="20"/>
                <w:lang w:val="es-ES"/>
              </w:rPr>
              <w:t>se le ha asignado una clasificación de amenaza o una puntuación de impacto.</w:t>
            </w:r>
          </w:p>
          <w:p w14:paraId="0B67379B" w14:textId="77777777" w:rsidR="00CF7917" w:rsidRPr="00200358" w:rsidRDefault="00CF7917" w:rsidP="00190C38">
            <w:pPr>
              <w:jc w:val="both"/>
              <w:rPr>
                <w:rFonts w:ascii="Arial" w:hAnsi="Arial" w:cs="Arial"/>
                <w:sz w:val="16"/>
                <w:szCs w:val="16"/>
                <w:lang w:val="es-ES"/>
              </w:rPr>
            </w:pPr>
          </w:p>
          <w:p w14:paraId="11CCE065" w14:textId="77777777" w:rsidR="00CF7917" w:rsidRPr="00200358" w:rsidRDefault="00CF7917" w:rsidP="00190C38">
            <w:pPr>
              <w:jc w:val="both"/>
              <w:rPr>
                <w:rFonts w:ascii="Arial" w:hAnsi="Arial" w:cs="Arial"/>
                <w:sz w:val="20"/>
                <w:szCs w:val="20"/>
                <w:highlight w:val="green"/>
                <w:lang w:val="es-ES"/>
              </w:rPr>
            </w:pPr>
            <w:r w:rsidRPr="00200358">
              <w:rPr>
                <w:rFonts w:ascii="Arial" w:hAnsi="Arial" w:cs="Arial"/>
                <w:sz w:val="20"/>
                <w:szCs w:val="20"/>
                <w:lang w:val="es-ES"/>
              </w:rPr>
              <w:t>Taxón no evaluado aún por la UICN.</w:t>
            </w:r>
          </w:p>
        </w:tc>
      </w:tr>
      <w:tr w:rsidR="00CF7917" w:rsidRPr="00200358" w14:paraId="1D52B8E5" w14:textId="77777777" w:rsidTr="00200358">
        <w:tc>
          <w:tcPr>
            <w:tcW w:w="5000" w:type="pct"/>
            <w:gridSpan w:val="5"/>
            <w:shd w:val="clear" w:color="auto" w:fill="00AEEF"/>
          </w:tcPr>
          <w:p w14:paraId="73BC63EF" w14:textId="77777777" w:rsidR="00CF7917" w:rsidRPr="00200358" w:rsidRDefault="00CF7917" w:rsidP="00190C38">
            <w:pPr>
              <w:jc w:val="both"/>
              <w:rPr>
                <w:rFonts w:ascii="Arial" w:hAnsi="Arial" w:cs="Arial"/>
                <w:b/>
                <w:bCs/>
                <w:sz w:val="20"/>
                <w:szCs w:val="20"/>
              </w:rPr>
            </w:pPr>
            <w:proofErr w:type="spellStart"/>
            <w:r w:rsidRPr="00200358">
              <w:rPr>
                <w:rFonts w:ascii="Arial" w:hAnsi="Arial" w:cs="Arial"/>
                <w:b/>
                <w:bCs/>
                <w:sz w:val="20"/>
                <w:szCs w:val="20"/>
              </w:rPr>
              <w:t>Gestión</w:t>
            </w:r>
            <w:proofErr w:type="spellEnd"/>
          </w:p>
        </w:tc>
      </w:tr>
      <w:tr w:rsidR="00CF7917" w:rsidRPr="00200358" w14:paraId="21A031F1" w14:textId="77777777" w:rsidTr="00200358">
        <w:tc>
          <w:tcPr>
            <w:tcW w:w="728" w:type="pct"/>
          </w:tcPr>
          <w:p w14:paraId="098BE06B" w14:textId="77777777" w:rsidR="00CF7917" w:rsidRPr="00200358" w:rsidRDefault="00CF7917" w:rsidP="00190C38">
            <w:pPr>
              <w:jc w:val="both"/>
              <w:rPr>
                <w:rFonts w:ascii="Arial" w:hAnsi="Arial" w:cs="Arial"/>
                <w:sz w:val="20"/>
                <w:szCs w:val="20"/>
                <w:highlight w:val="yellow"/>
                <w:lang w:val="es-ES"/>
              </w:rPr>
            </w:pPr>
            <w:r w:rsidRPr="00200358">
              <w:rPr>
                <w:rFonts w:ascii="Arial" w:hAnsi="Arial" w:cs="Arial"/>
                <w:sz w:val="20"/>
                <w:szCs w:val="20"/>
                <w:lang w:val="es-ES"/>
              </w:rPr>
              <w:t>4.1 Medidas existentes en el marco de la CITES</w:t>
            </w:r>
          </w:p>
        </w:tc>
        <w:tc>
          <w:tcPr>
            <w:tcW w:w="677" w:type="pct"/>
          </w:tcPr>
          <w:p w14:paraId="562D1753" w14:textId="77777777" w:rsidR="00CF7917" w:rsidRPr="00200358" w:rsidRDefault="00CF7917" w:rsidP="00190C38">
            <w:pPr>
              <w:jc w:val="both"/>
              <w:rPr>
                <w:rFonts w:ascii="Arial" w:hAnsi="Arial" w:cs="Arial"/>
                <w:sz w:val="20"/>
                <w:szCs w:val="20"/>
                <w:highlight w:val="yellow"/>
              </w:rPr>
            </w:pPr>
            <w:r w:rsidRPr="00200358">
              <w:rPr>
                <w:rFonts w:ascii="Arial" w:hAnsi="Arial" w:cs="Arial"/>
                <w:sz w:val="20"/>
                <w:szCs w:val="20"/>
              </w:rPr>
              <w:t>CITES</w:t>
            </w:r>
            <w:r w:rsidRPr="00200358">
              <w:rPr>
                <w:rStyle w:val="FootnoteReference"/>
                <w:rFonts w:ascii="Arial" w:hAnsi="Arial" w:cs="Arial"/>
                <w:sz w:val="20"/>
                <w:szCs w:val="20"/>
              </w:rPr>
              <w:footnoteReference w:id="22"/>
            </w:r>
          </w:p>
        </w:tc>
        <w:tc>
          <w:tcPr>
            <w:tcW w:w="2032" w:type="pct"/>
          </w:tcPr>
          <w:p w14:paraId="1AE4BCAC" w14:textId="77777777" w:rsidR="00CF7917" w:rsidRPr="00200358" w:rsidRDefault="00CF7917" w:rsidP="00190C38">
            <w:pPr>
              <w:jc w:val="both"/>
              <w:rPr>
                <w:rFonts w:ascii="Arial" w:hAnsi="Arial" w:cs="Arial"/>
                <w:iCs/>
                <w:sz w:val="20"/>
                <w:szCs w:val="20"/>
                <w:u w:val="single"/>
              </w:rPr>
            </w:pPr>
            <w:r w:rsidRPr="00200358">
              <w:rPr>
                <w:rFonts w:ascii="Arial" w:hAnsi="Arial" w:cs="Arial"/>
                <w:iCs/>
                <w:sz w:val="20"/>
                <w:szCs w:val="20"/>
                <w:u w:val="single"/>
              </w:rPr>
              <w:t xml:space="preserve">Prioridades </w:t>
            </w:r>
          </w:p>
          <w:p w14:paraId="5426CD14" w14:textId="77777777" w:rsidR="00CF7917" w:rsidRPr="00200358" w:rsidRDefault="00CF7917" w:rsidP="00190C38">
            <w:pPr>
              <w:pStyle w:val="ListParagraph"/>
              <w:numPr>
                <w:ilvl w:val="0"/>
                <w:numId w:val="38"/>
              </w:numPr>
              <w:jc w:val="both"/>
              <w:rPr>
                <w:rFonts w:ascii="Arial" w:hAnsi="Arial" w:cs="Arial"/>
                <w:i/>
                <w:sz w:val="20"/>
                <w:szCs w:val="20"/>
                <w:lang w:val="es-ES"/>
              </w:rPr>
            </w:pPr>
            <w:r w:rsidRPr="00200358">
              <w:rPr>
                <w:rFonts w:ascii="Arial" w:hAnsi="Arial" w:cs="Arial"/>
                <w:i/>
                <w:sz w:val="20"/>
                <w:szCs w:val="20"/>
                <w:lang w:val="es-ES"/>
              </w:rPr>
              <w:t xml:space="preserve">Amenaza por uso/comercio: </w:t>
            </w:r>
            <w:r w:rsidRPr="00200358">
              <w:rPr>
                <w:rFonts w:ascii="Arial" w:hAnsi="Arial" w:cs="Arial"/>
                <w:sz w:val="20"/>
                <w:szCs w:val="20"/>
                <w:lang w:val="es-ES"/>
              </w:rPr>
              <w:t>taxones sin medidas de la CITES</w:t>
            </w:r>
            <w:r w:rsidRPr="00200358">
              <w:rPr>
                <w:rFonts w:ascii="Arial" w:hAnsi="Arial" w:cs="Arial"/>
                <w:i/>
                <w:sz w:val="20"/>
                <w:szCs w:val="20"/>
                <w:lang w:val="es-ES"/>
              </w:rPr>
              <w:t>.</w:t>
            </w:r>
          </w:p>
          <w:p w14:paraId="6F9653C0" w14:textId="77777777" w:rsidR="00CF7917" w:rsidRPr="00200358" w:rsidRDefault="00CF7917" w:rsidP="00190C38">
            <w:pPr>
              <w:ind w:left="142"/>
              <w:jc w:val="both"/>
              <w:rPr>
                <w:rFonts w:ascii="Arial" w:hAnsi="Arial" w:cs="Arial"/>
                <w:i/>
                <w:sz w:val="16"/>
                <w:szCs w:val="16"/>
                <w:lang w:val="es-ES"/>
              </w:rPr>
            </w:pPr>
          </w:p>
          <w:p w14:paraId="7517E4A2"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Si los taxones del Apéndice I de la CMS también figuran actualmente en los Apéndices de la CITES y, en tal caso, en qué Apéndice se encuentran.</w:t>
            </w:r>
          </w:p>
          <w:p w14:paraId="30AB0CAB"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Los taxones del Apéndice II de la CITES se priorizan además en función de si también están cubiertos por al menos una de las siguientes medidas de la CITES: Resoluciones de la CITES, Decisiones de la CITES, Grupo de trabajo de la CITES; o si tienen cuotas aprobadas por la COP (cuotas definidas en resoluciones o anotaciones de inclusión).</w:t>
            </w:r>
          </w:p>
        </w:tc>
        <w:tc>
          <w:tcPr>
            <w:tcW w:w="886" w:type="pct"/>
          </w:tcPr>
          <w:p w14:paraId="2D11D2AA" w14:textId="77777777" w:rsidR="00CF7917" w:rsidRPr="00200358" w:rsidRDefault="00CF7917" w:rsidP="00190C38">
            <w:pPr>
              <w:pStyle w:val="CommentText"/>
              <w:jc w:val="both"/>
              <w:rPr>
                <w:rFonts w:ascii="Arial" w:hAnsi="Arial" w:cs="Arial"/>
                <w:lang w:val="es-ES"/>
              </w:rPr>
            </w:pPr>
            <w:r w:rsidRPr="00200358">
              <w:rPr>
                <w:rFonts w:ascii="Arial" w:hAnsi="Arial" w:cs="Arial"/>
                <w:lang w:val="es-ES"/>
              </w:rPr>
              <w:t>1: No incluido en la CITES/Apéndice III de CITES</w:t>
            </w:r>
          </w:p>
          <w:p w14:paraId="1FCB95BB" w14:textId="77777777" w:rsidR="00CF7917" w:rsidRPr="00200358" w:rsidRDefault="00CF7917" w:rsidP="00190C38">
            <w:pPr>
              <w:pStyle w:val="CommentText"/>
              <w:jc w:val="both"/>
              <w:rPr>
                <w:rFonts w:ascii="Arial" w:hAnsi="Arial" w:cs="Arial"/>
                <w:lang w:val="es-ES"/>
              </w:rPr>
            </w:pPr>
            <w:r w:rsidRPr="00200358">
              <w:rPr>
                <w:rFonts w:ascii="Arial" w:hAnsi="Arial" w:cs="Arial"/>
                <w:lang w:val="es-ES"/>
              </w:rPr>
              <w:t xml:space="preserve">0,66: Apéndice II sin medidas específicas </w:t>
            </w:r>
          </w:p>
          <w:p w14:paraId="603BF5D5" w14:textId="77777777" w:rsidR="00CF7917" w:rsidRPr="00200358" w:rsidRDefault="00CF7917" w:rsidP="00190C38">
            <w:pPr>
              <w:pStyle w:val="CommentText"/>
              <w:jc w:val="both"/>
              <w:rPr>
                <w:rFonts w:ascii="Arial" w:hAnsi="Arial" w:cs="Arial"/>
                <w:lang w:val="es-ES"/>
              </w:rPr>
            </w:pPr>
            <w:r w:rsidRPr="00200358">
              <w:rPr>
                <w:rFonts w:ascii="Arial" w:hAnsi="Arial" w:cs="Arial"/>
                <w:lang w:val="es-ES"/>
              </w:rPr>
              <w:t xml:space="preserve">0,33: Apéndice II con medidas </w:t>
            </w:r>
          </w:p>
          <w:p w14:paraId="7752D07B" w14:textId="77777777" w:rsidR="00CF7917" w:rsidRPr="00200358" w:rsidRDefault="00CF7917" w:rsidP="00190C38">
            <w:pPr>
              <w:jc w:val="both"/>
              <w:rPr>
                <w:rFonts w:ascii="Arial" w:hAnsi="Arial" w:cs="Arial"/>
                <w:sz w:val="20"/>
                <w:szCs w:val="20"/>
                <w:highlight w:val="yellow"/>
              </w:rPr>
            </w:pPr>
            <w:r w:rsidRPr="00200358">
              <w:rPr>
                <w:rFonts w:ascii="Arial" w:hAnsi="Arial" w:cs="Arial"/>
                <w:sz w:val="20"/>
                <w:szCs w:val="20"/>
              </w:rPr>
              <w:t xml:space="preserve">0: </w:t>
            </w:r>
            <w:proofErr w:type="spellStart"/>
            <w:r w:rsidRPr="00200358">
              <w:rPr>
                <w:rFonts w:ascii="Arial" w:hAnsi="Arial" w:cs="Arial"/>
                <w:sz w:val="20"/>
                <w:szCs w:val="20"/>
              </w:rPr>
              <w:t>Apéndice</w:t>
            </w:r>
            <w:proofErr w:type="spellEnd"/>
            <w:r w:rsidRPr="00200358">
              <w:rPr>
                <w:rFonts w:ascii="Arial" w:hAnsi="Arial" w:cs="Arial"/>
                <w:sz w:val="20"/>
                <w:szCs w:val="20"/>
              </w:rPr>
              <w:t xml:space="preserve"> I</w:t>
            </w:r>
          </w:p>
        </w:tc>
        <w:tc>
          <w:tcPr>
            <w:tcW w:w="677" w:type="pct"/>
          </w:tcPr>
          <w:p w14:paraId="3F14F24C" w14:textId="77777777" w:rsidR="00CF7917" w:rsidRPr="00200358" w:rsidRDefault="00CF7917" w:rsidP="00190C38">
            <w:pPr>
              <w:jc w:val="both"/>
              <w:rPr>
                <w:rFonts w:ascii="Arial" w:hAnsi="Arial" w:cs="Arial"/>
                <w:sz w:val="20"/>
                <w:szCs w:val="20"/>
                <w:highlight w:val="yellow"/>
              </w:rPr>
            </w:pPr>
          </w:p>
        </w:tc>
      </w:tr>
      <w:tr w:rsidR="00CF7917" w:rsidRPr="00313A1B" w14:paraId="2E462F05" w14:textId="77777777" w:rsidTr="00200358">
        <w:tc>
          <w:tcPr>
            <w:tcW w:w="728" w:type="pct"/>
          </w:tcPr>
          <w:p w14:paraId="19A8A659"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4.2 Acciones de conservación en curso</w:t>
            </w:r>
          </w:p>
        </w:tc>
        <w:tc>
          <w:tcPr>
            <w:tcW w:w="677" w:type="pct"/>
          </w:tcPr>
          <w:p w14:paraId="760255DB"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Lista Roja de la UICN</w:t>
            </w:r>
            <w:r w:rsidRPr="00200358">
              <w:rPr>
                <w:rFonts w:ascii="Arial" w:hAnsi="Arial" w:cs="Arial"/>
                <w:sz w:val="20"/>
                <w:szCs w:val="20"/>
                <w:vertAlign w:val="superscript"/>
              </w:rPr>
              <w:fldChar w:fldCharType="begin"/>
            </w:r>
            <w:r w:rsidRPr="00200358">
              <w:rPr>
                <w:rFonts w:ascii="Arial" w:hAnsi="Arial" w:cs="Arial"/>
                <w:sz w:val="20"/>
                <w:szCs w:val="20"/>
                <w:vertAlign w:val="superscript"/>
                <w:lang w:val="es-ES"/>
              </w:rPr>
              <w:instrText xml:space="preserve"> NOTEREF _Ref40691319 \h  \* MERGEFORMAT </w:instrText>
            </w:r>
            <w:r w:rsidRPr="00200358">
              <w:rPr>
                <w:rFonts w:ascii="Arial" w:hAnsi="Arial" w:cs="Arial"/>
                <w:sz w:val="20"/>
                <w:szCs w:val="20"/>
                <w:vertAlign w:val="superscript"/>
              </w:rPr>
            </w:r>
            <w:r w:rsidRPr="00200358">
              <w:rPr>
                <w:rFonts w:ascii="Arial" w:hAnsi="Arial" w:cs="Arial"/>
                <w:sz w:val="20"/>
                <w:szCs w:val="20"/>
                <w:vertAlign w:val="superscript"/>
              </w:rPr>
              <w:fldChar w:fldCharType="separate"/>
            </w:r>
            <w:r w:rsidRPr="00200358">
              <w:rPr>
                <w:rFonts w:ascii="Arial" w:hAnsi="Arial" w:cs="Arial"/>
                <w:sz w:val="20"/>
                <w:szCs w:val="20"/>
                <w:vertAlign w:val="superscript"/>
                <w:lang w:val="es-ES"/>
              </w:rPr>
              <w:t>7</w:t>
            </w:r>
            <w:r w:rsidRPr="00200358">
              <w:rPr>
                <w:rFonts w:ascii="Arial" w:hAnsi="Arial" w:cs="Arial"/>
                <w:sz w:val="20"/>
                <w:szCs w:val="20"/>
                <w:vertAlign w:val="superscript"/>
              </w:rPr>
              <w:fldChar w:fldCharType="end"/>
            </w:r>
          </w:p>
        </w:tc>
        <w:tc>
          <w:tcPr>
            <w:tcW w:w="2032" w:type="pct"/>
          </w:tcPr>
          <w:p w14:paraId="52A4B53C" w14:textId="77777777" w:rsidR="00CF7917" w:rsidRPr="00200358" w:rsidRDefault="00CF7917" w:rsidP="00190C38">
            <w:pPr>
              <w:jc w:val="both"/>
              <w:rPr>
                <w:rFonts w:ascii="Arial" w:hAnsi="Arial" w:cs="Arial"/>
                <w:iCs/>
                <w:sz w:val="20"/>
                <w:szCs w:val="20"/>
                <w:u w:val="single"/>
              </w:rPr>
            </w:pPr>
            <w:r w:rsidRPr="00200358">
              <w:rPr>
                <w:rFonts w:ascii="Arial" w:hAnsi="Arial" w:cs="Arial"/>
                <w:iCs/>
                <w:sz w:val="20"/>
                <w:szCs w:val="20"/>
                <w:u w:val="single"/>
              </w:rPr>
              <w:t xml:space="preserve">Prioridades </w:t>
            </w:r>
          </w:p>
          <w:p w14:paraId="13C9903F" w14:textId="77777777" w:rsidR="00CF7917" w:rsidRPr="00200358" w:rsidRDefault="00CF7917" w:rsidP="00190C38">
            <w:pPr>
              <w:pStyle w:val="ListParagraph"/>
              <w:numPr>
                <w:ilvl w:val="0"/>
                <w:numId w:val="38"/>
              </w:numPr>
              <w:jc w:val="both"/>
              <w:rPr>
                <w:rFonts w:ascii="Arial" w:hAnsi="Arial" w:cs="Arial"/>
                <w:i/>
                <w:iCs/>
                <w:sz w:val="20"/>
                <w:szCs w:val="20"/>
                <w:lang w:val="es-ES"/>
              </w:rPr>
            </w:pPr>
            <w:r w:rsidRPr="00200358">
              <w:rPr>
                <w:rFonts w:ascii="Arial" w:hAnsi="Arial" w:cs="Arial"/>
                <w:i/>
                <w:sz w:val="20"/>
                <w:szCs w:val="20"/>
                <w:lang w:val="es-ES"/>
              </w:rPr>
              <w:t xml:space="preserve">Amenaza por uso/comercio: </w:t>
            </w:r>
            <w:r w:rsidRPr="00200358">
              <w:rPr>
                <w:rFonts w:ascii="Arial" w:hAnsi="Arial" w:cs="Arial"/>
                <w:sz w:val="20"/>
                <w:szCs w:val="20"/>
                <w:lang w:val="es-ES"/>
              </w:rPr>
              <w:t>taxones con poca o ninguna acción de conservación</w:t>
            </w:r>
            <w:r w:rsidRPr="00200358">
              <w:rPr>
                <w:rFonts w:ascii="Arial" w:hAnsi="Arial" w:cs="Arial"/>
                <w:i/>
                <w:sz w:val="20"/>
                <w:szCs w:val="20"/>
                <w:lang w:val="es-ES"/>
              </w:rPr>
              <w:t>.</w:t>
            </w:r>
          </w:p>
          <w:p w14:paraId="36AF855F" w14:textId="77777777" w:rsidR="00CF7917" w:rsidRPr="00200358" w:rsidRDefault="00CF7917" w:rsidP="00190C38">
            <w:pPr>
              <w:jc w:val="both"/>
              <w:rPr>
                <w:rFonts w:ascii="Arial" w:hAnsi="Arial" w:cs="Arial"/>
                <w:sz w:val="16"/>
                <w:szCs w:val="16"/>
                <w:lang w:val="es-ES"/>
              </w:rPr>
            </w:pPr>
          </w:p>
          <w:p w14:paraId="069C681B"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Si las evaluaciones de la Lista Roja de la UICN consideran que existen acciones de conservación para las siguientes clasificaciones de acciones de conservación de la UICN: protección de tierras/aguas, gestión de sitios/áreas o gestión de especies.</w:t>
            </w:r>
          </w:p>
        </w:tc>
        <w:tc>
          <w:tcPr>
            <w:tcW w:w="886" w:type="pct"/>
          </w:tcPr>
          <w:p w14:paraId="39527813"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1: Cuando se clasifican, todos son No</w:t>
            </w:r>
          </w:p>
          <w:p w14:paraId="2BD54772"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0,5: Cuando se clasifican, hay más No que Sí</w:t>
            </w:r>
          </w:p>
          <w:p w14:paraId="3022B263"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0: Cuando se clasifican, todos o la mayoría son Sí</w:t>
            </w:r>
          </w:p>
        </w:tc>
        <w:tc>
          <w:tcPr>
            <w:tcW w:w="677" w:type="pct"/>
          </w:tcPr>
          <w:p w14:paraId="3E224EDD"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Todas las acciones de conservación son «desconocidas».</w:t>
            </w:r>
          </w:p>
          <w:p w14:paraId="45385864" w14:textId="77777777" w:rsidR="00CF7917" w:rsidRPr="00200358" w:rsidRDefault="00CF7917" w:rsidP="00190C38">
            <w:pPr>
              <w:jc w:val="both"/>
              <w:rPr>
                <w:rFonts w:ascii="Arial" w:hAnsi="Arial" w:cs="Arial"/>
                <w:sz w:val="16"/>
                <w:szCs w:val="16"/>
                <w:lang w:val="es-ES"/>
              </w:rPr>
            </w:pPr>
          </w:p>
          <w:p w14:paraId="1DA3C195"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Taxón no evaluado aún por la UICN.</w:t>
            </w:r>
          </w:p>
        </w:tc>
      </w:tr>
      <w:tr w:rsidR="00CF7917" w:rsidRPr="00313A1B" w14:paraId="5C1F6601" w14:textId="77777777" w:rsidTr="00200358">
        <w:tc>
          <w:tcPr>
            <w:tcW w:w="728" w:type="pct"/>
          </w:tcPr>
          <w:p w14:paraId="5586AE01" w14:textId="77777777" w:rsidR="00CF7917" w:rsidRPr="00200358" w:rsidRDefault="00CF7917" w:rsidP="00190C38">
            <w:pPr>
              <w:jc w:val="both"/>
              <w:rPr>
                <w:rFonts w:ascii="Arial" w:hAnsi="Arial" w:cs="Arial"/>
                <w:sz w:val="20"/>
                <w:szCs w:val="20"/>
                <w:highlight w:val="green"/>
                <w:lang w:val="es-ES"/>
              </w:rPr>
            </w:pPr>
            <w:r w:rsidRPr="00200358">
              <w:rPr>
                <w:rFonts w:ascii="Arial" w:hAnsi="Arial" w:cs="Arial"/>
                <w:sz w:val="20"/>
                <w:szCs w:val="20"/>
                <w:lang w:val="es-ES"/>
              </w:rPr>
              <w:t xml:space="preserve">4.3 Prohibición de captura (artículo </w:t>
            </w:r>
            <w:proofErr w:type="gramStart"/>
            <w:r w:rsidRPr="00200358">
              <w:rPr>
                <w:rFonts w:ascii="Arial" w:hAnsi="Arial" w:cs="Arial"/>
                <w:sz w:val="20"/>
                <w:szCs w:val="20"/>
                <w:lang w:val="es-ES"/>
              </w:rPr>
              <w:t>III(</w:t>
            </w:r>
            <w:proofErr w:type="gramEnd"/>
            <w:r w:rsidRPr="00200358">
              <w:rPr>
                <w:rFonts w:ascii="Arial" w:hAnsi="Arial" w:cs="Arial"/>
                <w:sz w:val="20"/>
                <w:szCs w:val="20"/>
                <w:lang w:val="es-ES"/>
              </w:rPr>
              <w:t>5))</w:t>
            </w:r>
          </w:p>
        </w:tc>
        <w:tc>
          <w:tcPr>
            <w:tcW w:w="677" w:type="pct"/>
          </w:tcPr>
          <w:p w14:paraId="2ACE3860" w14:textId="77777777" w:rsidR="00CF7917" w:rsidRPr="00200358" w:rsidRDefault="00CF7917" w:rsidP="00190C38">
            <w:pPr>
              <w:jc w:val="both"/>
              <w:rPr>
                <w:rFonts w:ascii="Arial" w:hAnsi="Arial" w:cs="Arial"/>
                <w:sz w:val="20"/>
                <w:szCs w:val="20"/>
                <w:highlight w:val="green"/>
                <w:lang w:val="es-ES"/>
              </w:rPr>
            </w:pPr>
            <w:r w:rsidRPr="00200358">
              <w:rPr>
                <w:rFonts w:ascii="Arial" w:hAnsi="Arial" w:cs="Arial"/>
                <w:sz w:val="20"/>
                <w:szCs w:val="20"/>
                <w:lang w:val="es-ES"/>
              </w:rPr>
              <w:t>Informes nacionales de la CMS</w:t>
            </w:r>
            <w:r w:rsidRPr="00200358">
              <w:rPr>
                <w:rStyle w:val="FootnoteReference"/>
                <w:rFonts w:ascii="Arial" w:hAnsi="Arial" w:cs="Arial"/>
                <w:sz w:val="20"/>
                <w:szCs w:val="20"/>
              </w:rPr>
              <w:footnoteReference w:id="23"/>
            </w:r>
          </w:p>
        </w:tc>
        <w:tc>
          <w:tcPr>
            <w:tcW w:w="2032" w:type="pct"/>
          </w:tcPr>
          <w:p w14:paraId="445596D0" w14:textId="77777777" w:rsidR="00CF7917" w:rsidRPr="00200358" w:rsidRDefault="00CF7917" w:rsidP="00190C38">
            <w:pPr>
              <w:jc w:val="both"/>
              <w:rPr>
                <w:rFonts w:ascii="Arial" w:hAnsi="Arial" w:cs="Arial"/>
                <w:iCs/>
                <w:sz w:val="20"/>
                <w:szCs w:val="20"/>
                <w:u w:val="single"/>
              </w:rPr>
            </w:pPr>
            <w:r w:rsidRPr="00200358">
              <w:rPr>
                <w:rFonts w:ascii="Arial" w:hAnsi="Arial" w:cs="Arial"/>
                <w:iCs/>
                <w:sz w:val="20"/>
                <w:szCs w:val="20"/>
                <w:u w:val="single"/>
              </w:rPr>
              <w:t xml:space="preserve">Prioridades </w:t>
            </w:r>
          </w:p>
          <w:p w14:paraId="22877E89" w14:textId="77777777" w:rsidR="00CF7917" w:rsidRPr="00200358" w:rsidRDefault="00CF7917" w:rsidP="00190C38">
            <w:pPr>
              <w:pStyle w:val="ListParagraph"/>
              <w:numPr>
                <w:ilvl w:val="0"/>
                <w:numId w:val="38"/>
              </w:numPr>
              <w:jc w:val="both"/>
              <w:rPr>
                <w:rFonts w:ascii="Arial" w:hAnsi="Arial" w:cs="Arial"/>
                <w:sz w:val="20"/>
                <w:szCs w:val="20"/>
                <w:lang w:val="es-ES"/>
              </w:rPr>
            </w:pPr>
            <w:r w:rsidRPr="00200358">
              <w:rPr>
                <w:rFonts w:ascii="Arial" w:hAnsi="Arial" w:cs="Arial"/>
                <w:i/>
                <w:sz w:val="20"/>
                <w:szCs w:val="20"/>
                <w:lang w:val="es-ES"/>
              </w:rPr>
              <w:t xml:space="preserve">Amenaza por uso/comercio: </w:t>
            </w:r>
            <w:r w:rsidRPr="00200358">
              <w:rPr>
                <w:rFonts w:ascii="Arial" w:hAnsi="Arial" w:cs="Arial"/>
                <w:sz w:val="20"/>
                <w:szCs w:val="20"/>
                <w:lang w:val="es-ES"/>
              </w:rPr>
              <w:t>taxones con una gran parte de Estados del área de distribución en los que la captura no está prohibida</w:t>
            </w:r>
            <w:r w:rsidRPr="00200358">
              <w:rPr>
                <w:rFonts w:ascii="Arial" w:hAnsi="Arial" w:cs="Arial"/>
                <w:i/>
                <w:sz w:val="20"/>
                <w:szCs w:val="20"/>
                <w:lang w:val="es-ES"/>
              </w:rPr>
              <w:t>.</w:t>
            </w:r>
          </w:p>
          <w:p w14:paraId="430E007F" w14:textId="77777777" w:rsidR="00CF7917" w:rsidRPr="00200358" w:rsidRDefault="00CF7917" w:rsidP="00190C38">
            <w:pPr>
              <w:jc w:val="both"/>
              <w:rPr>
                <w:rFonts w:ascii="Arial" w:hAnsi="Arial" w:cs="Arial"/>
                <w:sz w:val="16"/>
                <w:szCs w:val="16"/>
                <w:lang w:val="es-ES"/>
              </w:rPr>
            </w:pPr>
          </w:p>
          <w:p w14:paraId="0B35E0DB"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Si los Estados del área de distribución informaron de la prohibición de captura de taxones del Apéndice I en su Informe Nacional de la CMS del último ciclo de presentación de informes en respuesta a la pregunta «</w:t>
            </w:r>
            <w:r w:rsidRPr="00200358">
              <w:rPr>
                <w:rFonts w:ascii="Arial" w:hAnsi="Arial" w:cs="Arial"/>
                <w:i/>
                <w:iCs/>
                <w:sz w:val="20"/>
                <w:szCs w:val="20"/>
                <w:lang w:val="es-ES"/>
              </w:rPr>
              <w:t xml:space="preserve">¿Está prohibida la captura de especies del Apéndice I por la legislación nacional o territorial de conformidad con el artículo </w:t>
            </w:r>
            <w:proofErr w:type="gramStart"/>
            <w:r w:rsidRPr="00200358">
              <w:rPr>
                <w:rFonts w:ascii="Arial" w:hAnsi="Arial" w:cs="Arial"/>
                <w:i/>
                <w:iCs/>
                <w:sz w:val="20"/>
                <w:szCs w:val="20"/>
                <w:lang w:val="es-ES"/>
              </w:rPr>
              <w:t>III(</w:t>
            </w:r>
            <w:proofErr w:type="gramEnd"/>
            <w:r w:rsidRPr="00200358">
              <w:rPr>
                <w:rFonts w:ascii="Arial" w:hAnsi="Arial" w:cs="Arial"/>
                <w:i/>
                <w:iCs/>
                <w:sz w:val="20"/>
                <w:szCs w:val="20"/>
                <w:lang w:val="es-ES"/>
              </w:rPr>
              <w:t>5) de la CMS?»</w:t>
            </w:r>
            <w:r w:rsidRPr="00200358">
              <w:rPr>
                <w:rFonts w:ascii="Arial" w:hAnsi="Arial" w:cs="Arial"/>
                <w:sz w:val="20"/>
                <w:szCs w:val="20"/>
                <w:lang w:val="es-ES"/>
              </w:rPr>
              <w:t xml:space="preserve">. </w:t>
            </w:r>
          </w:p>
          <w:p w14:paraId="2CFFE76F" w14:textId="77777777" w:rsidR="00CF7917" w:rsidRPr="00200358" w:rsidRDefault="00CF7917" w:rsidP="00190C38">
            <w:pPr>
              <w:jc w:val="both"/>
              <w:rPr>
                <w:rFonts w:ascii="Arial" w:hAnsi="Arial" w:cs="Arial"/>
                <w:sz w:val="20"/>
                <w:szCs w:val="20"/>
                <w:lang w:val="es-ES"/>
              </w:rPr>
            </w:pPr>
          </w:p>
          <w:p w14:paraId="705E57CD"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Se consideró que la captura estaba prohibida si se aplicaba a la totalidad del Estado del área de distribución. En los casos en los que solo se informó de la ausencia de capturas en una parte del país/territorio o de «algunas especies» (sin especificar la especie), la prohibición de capturas se consideró «no confirmada».</w:t>
            </w:r>
          </w:p>
          <w:p w14:paraId="6E5B4270" w14:textId="77777777" w:rsidR="00CF7917" w:rsidRPr="00200358" w:rsidRDefault="00CF7917" w:rsidP="00190C38">
            <w:pPr>
              <w:jc w:val="both"/>
              <w:rPr>
                <w:rFonts w:ascii="Arial" w:hAnsi="Arial" w:cs="Arial"/>
                <w:sz w:val="20"/>
                <w:szCs w:val="20"/>
                <w:lang w:val="es-ES"/>
              </w:rPr>
            </w:pPr>
          </w:p>
          <w:p w14:paraId="3E10C357" w14:textId="4DD5FEEC"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Los Estados del área de distribución se basan en la distribución nativa del taxón</w:t>
            </w:r>
            <w:r w:rsidR="007C58AB" w:rsidRPr="00200358">
              <w:rPr>
                <w:rFonts w:ascii="Arial" w:hAnsi="Arial" w:cs="Arial"/>
                <w:sz w:val="20"/>
                <w:szCs w:val="20"/>
                <w:lang w:val="es-ES"/>
              </w:rPr>
              <w:t xml:space="preserve">. </w:t>
            </w:r>
            <w:r w:rsidRPr="00200358">
              <w:rPr>
                <w:rFonts w:ascii="Arial" w:hAnsi="Arial" w:cs="Arial"/>
                <w:sz w:val="20"/>
                <w:szCs w:val="20"/>
                <w:lang w:val="es-ES"/>
              </w:rPr>
              <w:t>Se excluyeron los Estados del área de distribución que a) no son Parte de la CMS, b) no presentaron un Informe Nacional de la CMS durante el último ciclo de presentación de informes o c) no respondieron a la pregunta pertinente si presentaron un Informe Nacional.</w:t>
            </w:r>
          </w:p>
        </w:tc>
        <w:tc>
          <w:tcPr>
            <w:tcW w:w="886" w:type="pct"/>
          </w:tcPr>
          <w:p w14:paraId="2422B5CD"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lastRenderedPageBreak/>
              <w:t>1: no se ha confirmado que la captura esté prohibida en ningún Estado del área de distribución</w:t>
            </w:r>
          </w:p>
          <w:p w14:paraId="62A5411A"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0,75: se ha confirmado que la captura está prohibida en &lt;25 % de los Estados del área de distribución</w:t>
            </w:r>
          </w:p>
          <w:p w14:paraId="78BF7528"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lastRenderedPageBreak/>
              <w:t>0,5: se ha confirmado que la captura está prohibida en entre el 26 % y el 50 % de los Estados del área de distribución</w:t>
            </w:r>
          </w:p>
          <w:p w14:paraId="63FE8341"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0,25: se ha confirmado que la captura está prohibida en entre el 51 % y el 75 % de los Estados del área de distribución</w:t>
            </w:r>
          </w:p>
          <w:p w14:paraId="35FE3B0B"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0: se ha confirmado que la captura está prohibida en &gt;75 % de los Estados del área de distribución</w:t>
            </w:r>
          </w:p>
          <w:p w14:paraId="752BD415" w14:textId="77777777" w:rsidR="00CF7917" w:rsidRPr="00200358" w:rsidRDefault="00CF7917" w:rsidP="00190C38">
            <w:pPr>
              <w:jc w:val="both"/>
              <w:rPr>
                <w:rFonts w:ascii="Arial" w:hAnsi="Arial" w:cs="Arial"/>
                <w:sz w:val="20"/>
                <w:szCs w:val="20"/>
                <w:highlight w:val="green"/>
                <w:lang w:val="es-ES"/>
              </w:rPr>
            </w:pPr>
          </w:p>
        </w:tc>
        <w:tc>
          <w:tcPr>
            <w:tcW w:w="677" w:type="pct"/>
          </w:tcPr>
          <w:p w14:paraId="2D742796"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lastRenderedPageBreak/>
              <w:t>&lt;20 % de los Estados del área de distribución del taxón presentaron informes nacionales de la CMS durante el último ciclo de presentación de informes.</w:t>
            </w:r>
          </w:p>
        </w:tc>
      </w:tr>
      <w:tr w:rsidR="00CF7917" w:rsidRPr="00200358" w14:paraId="7C047891" w14:textId="77777777" w:rsidTr="00200358">
        <w:tc>
          <w:tcPr>
            <w:tcW w:w="5000" w:type="pct"/>
            <w:gridSpan w:val="5"/>
            <w:shd w:val="clear" w:color="auto" w:fill="00AEEF"/>
          </w:tcPr>
          <w:p w14:paraId="3B991D43" w14:textId="1FE92D71" w:rsidR="00CF7917" w:rsidRPr="00200358" w:rsidRDefault="007C58AB" w:rsidP="00190C38">
            <w:pPr>
              <w:jc w:val="both"/>
              <w:rPr>
                <w:rFonts w:ascii="Arial" w:hAnsi="Arial" w:cs="Arial"/>
                <w:b/>
                <w:bCs/>
                <w:sz w:val="20"/>
                <w:szCs w:val="20"/>
              </w:rPr>
            </w:pPr>
            <w:proofErr w:type="spellStart"/>
            <w:r w:rsidRPr="00200358">
              <w:rPr>
                <w:rFonts w:ascii="Arial" w:hAnsi="Arial" w:cs="Arial"/>
                <w:b/>
                <w:bCs/>
                <w:sz w:val="20"/>
                <w:szCs w:val="20"/>
              </w:rPr>
              <w:t>Comportamiento</w:t>
            </w:r>
            <w:proofErr w:type="spellEnd"/>
            <w:r w:rsidR="00CF7917" w:rsidRPr="00200358">
              <w:rPr>
                <w:rFonts w:ascii="Arial" w:hAnsi="Arial" w:cs="Arial"/>
                <w:b/>
                <w:bCs/>
                <w:sz w:val="20"/>
                <w:szCs w:val="20"/>
              </w:rPr>
              <w:t xml:space="preserve"> </w:t>
            </w:r>
            <w:proofErr w:type="spellStart"/>
            <w:r w:rsidR="00CF7917" w:rsidRPr="00200358">
              <w:rPr>
                <w:rFonts w:ascii="Arial" w:hAnsi="Arial" w:cs="Arial"/>
                <w:b/>
                <w:bCs/>
                <w:sz w:val="20"/>
                <w:szCs w:val="20"/>
              </w:rPr>
              <w:t>migratorio</w:t>
            </w:r>
            <w:proofErr w:type="spellEnd"/>
            <w:r w:rsidR="00ED231B" w:rsidRPr="00200358">
              <w:rPr>
                <w:rFonts w:ascii="Arial" w:hAnsi="Arial" w:cs="Arial"/>
                <w:i/>
                <w:sz w:val="20"/>
                <w:szCs w:val="20"/>
                <w:vertAlign w:val="superscript"/>
              </w:rPr>
              <w:footnoteReference w:id="24"/>
            </w:r>
          </w:p>
        </w:tc>
      </w:tr>
      <w:tr w:rsidR="00CF7917" w:rsidRPr="00313A1B" w14:paraId="6EBE18AD" w14:textId="77777777" w:rsidTr="00200358">
        <w:tc>
          <w:tcPr>
            <w:tcW w:w="728" w:type="pct"/>
          </w:tcPr>
          <w:p w14:paraId="52923BB9" w14:textId="02541B14" w:rsidR="00CF7917" w:rsidRPr="00200358" w:rsidRDefault="00CF7917" w:rsidP="00190C38">
            <w:pPr>
              <w:jc w:val="both"/>
              <w:rPr>
                <w:rFonts w:ascii="Arial" w:hAnsi="Arial" w:cs="Arial"/>
                <w:sz w:val="20"/>
                <w:szCs w:val="20"/>
              </w:rPr>
            </w:pPr>
            <w:r w:rsidRPr="00200358">
              <w:rPr>
                <w:rFonts w:ascii="Arial" w:hAnsi="Arial" w:cs="Arial"/>
                <w:sz w:val="20"/>
                <w:szCs w:val="20"/>
              </w:rPr>
              <w:t xml:space="preserve">5.1 </w:t>
            </w:r>
            <w:proofErr w:type="spellStart"/>
            <w:r w:rsidR="007C58AB" w:rsidRPr="00200358">
              <w:rPr>
                <w:rFonts w:ascii="Arial" w:hAnsi="Arial" w:cs="Arial"/>
                <w:sz w:val="20"/>
                <w:szCs w:val="20"/>
              </w:rPr>
              <w:t>Patrones</w:t>
            </w:r>
            <w:proofErr w:type="spellEnd"/>
            <w:r w:rsidR="007C58AB" w:rsidRPr="00200358">
              <w:rPr>
                <w:rFonts w:ascii="Arial" w:hAnsi="Arial" w:cs="Arial"/>
                <w:sz w:val="20"/>
                <w:szCs w:val="20"/>
              </w:rPr>
              <w:t xml:space="preserve"> de </w:t>
            </w:r>
            <w:proofErr w:type="spellStart"/>
            <w:r w:rsidR="007C58AB" w:rsidRPr="00200358">
              <w:rPr>
                <w:rFonts w:ascii="Arial" w:hAnsi="Arial" w:cs="Arial"/>
                <w:sz w:val="20"/>
                <w:szCs w:val="20"/>
              </w:rPr>
              <w:t>movimiento</w:t>
            </w:r>
            <w:proofErr w:type="spellEnd"/>
          </w:p>
          <w:p w14:paraId="4F0A1B85" w14:textId="77777777" w:rsidR="00CF7917" w:rsidRPr="00200358" w:rsidRDefault="00CF7917" w:rsidP="00190C38">
            <w:pPr>
              <w:jc w:val="both"/>
              <w:rPr>
                <w:rFonts w:ascii="Arial" w:hAnsi="Arial" w:cs="Arial"/>
                <w:sz w:val="20"/>
                <w:szCs w:val="20"/>
              </w:rPr>
            </w:pPr>
          </w:p>
        </w:tc>
        <w:tc>
          <w:tcPr>
            <w:tcW w:w="677" w:type="pct"/>
          </w:tcPr>
          <w:p w14:paraId="51CEAC0F" w14:textId="77777777" w:rsidR="00CF7917" w:rsidRPr="00200358" w:rsidRDefault="00CF7917" w:rsidP="00190C38">
            <w:pPr>
              <w:jc w:val="both"/>
              <w:rPr>
                <w:rFonts w:ascii="Arial" w:hAnsi="Arial" w:cs="Arial"/>
                <w:sz w:val="20"/>
                <w:szCs w:val="20"/>
                <w:vertAlign w:val="superscript"/>
                <w:lang w:val="es-ES"/>
              </w:rPr>
            </w:pPr>
            <w:r w:rsidRPr="00200358">
              <w:rPr>
                <w:rFonts w:ascii="Arial" w:hAnsi="Arial" w:cs="Arial"/>
                <w:sz w:val="20"/>
                <w:szCs w:val="20"/>
                <w:lang w:val="es-ES"/>
              </w:rPr>
              <w:t>Lista Roja de la UICN</w:t>
            </w:r>
            <w:r w:rsidRPr="00200358">
              <w:rPr>
                <w:rFonts w:ascii="Arial" w:hAnsi="Arial" w:cs="Arial"/>
                <w:sz w:val="20"/>
                <w:szCs w:val="20"/>
                <w:vertAlign w:val="superscript"/>
              </w:rPr>
              <w:fldChar w:fldCharType="begin"/>
            </w:r>
            <w:r w:rsidRPr="00200358">
              <w:rPr>
                <w:rFonts w:ascii="Arial" w:hAnsi="Arial" w:cs="Arial"/>
                <w:sz w:val="20"/>
                <w:szCs w:val="20"/>
                <w:vertAlign w:val="superscript"/>
                <w:lang w:val="es-ES"/>
              </w:rPr>
              <w:instrText xml:space="preserve"> NOTEREF _Ref40691319 \h  \* MERGEFORMAT </w:instrText>
            </w:r>
            <w:r w:rsidRPr="00200358">
              <w:rPr>
                <w:rFonts w:ascii="Arial" w:hAnsi="Arial" w:cs="Arial"/>
                <w:sz w:val="20"/>
                <w:szCs w:val="20"/>
                <w:vertAlign w:val="superscript"/>
              </w:rPr>
            </w:r>
            <w:r w:rsidRPr="00200358">
              <w:rPr>
                <w:rFonts w:ascii="Arial" w:hAnsi="Arial" w:cs="Arial"/>
                <w:sz w:val="20"/>
                <w:szCs w:val="20"/>
                <w:vertAlign w:val="superscript"/>
              </w:rPr>
              <w:fldChar w:fldCharType="separate"/>
            </w:r>
            <w:r w:rsidRPr="00200358">
              <w:rPr>
                <w:rFonts w:ascii="Arial" w:hAnsi="Arial" w:cs="Arial"/>
                <w:sz w:val="20"/>
                <w:szCs w:val="20"/>
                <w:vertAlign w:val="superscript"/>
                <w:lang w:val="es-ES"/>
              </w:rPr>
              <w:t>7</w:t>
            </w:r>
            <w:r w:rsidRPr="00200358">
              <w:rPr>
                <w:rFonts w:ascii="Arial" w:hAnsi="Arial" w:cs="Arial"/>
                <w:sz w:val="20"/>
                <w:szCs w:val="20"/>
                <w:vertAlign w:val="superscript"/>
              </w:rPr>
              <w:fldChar w:fldCharType="end"/>
            </w:r>
          </w:p>
          <w:p w14:paraId="00ABA720" w14:textId="77777777"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UNEP/CMS/COP13/Doc.27.3 Anexo 3</w:t>
            </w:r>
            <w:r w:rsidRPr="00200358">
              <w:rPr>
                <w:rStyle w:val="FootnoteReference"/>
                <w:rFonts w:ascii="Arial" w:hAnsi="Arial" w:cs="Arial"/>
                <w:sz w:val="20"/>
                <w:szCs w:val="20"/>
              </w:rPr>
              <w:footnoteReference w:id="25"/>
            </w:r>
          </w:p>
        </w:tc>
        <w:tc>
          <w:tcPr>
            <w:tcW w:w="2032" w:type="pct"/>
          </w:tcPr>
          <w:p w14:paraId="54372AC6" w14:textId="77777777" w:rsidR="00CF7917" w:rsidRPr="00200358" w:rsidRDefault="00CF7917" w:rsidP="00190C38">
            <w:pPr>
              <w:jc w:val="both"/>
              <w:rPr>
                <w:rFonts w:ascii="Arial" w:hAnsi="Arial" w:cs="Arial"/>
                <w:iCs/>
                <w:sz w:val="20"/>
                <w:szCs w:val="20"/>
                <w:u w:val="single"/>
              </w:rPr>
            </w:pPr>
            <w:r w:rsidRPr="00200358">
              <w:rPr>
                <w:rFonts w:ascii="Arial" w:hAnsi="Arial" w:cs="Arial"/>
                <w:iCs/>
                <w:sz w:val="20"/>
                <w:szCs w:val="20"/>
                <w:u w:val="single"/>
              </w:rPr>
              <w:t xml:space="preserve">Prioridades </w:t>
            </w:r>
          </w:p>
          <w:p w14:paraId="6370D7F4" w14:textId="6AFC801B" w:rsidR="00CF7917" w:rsidRPr="00200358" w:rsidRDefault="00CF7917" w:rsidP="00190C38">
            <w:pPr>
              <w:pStyle w:val="ListParagraph"/>
              <w:numPr>
                <w:ilvl w:val="0"/>
                <w:numId w:val="38"/>
              </w:numPr>
              <w:jc w:val="both"/>
              <w:rPr>
                <w:rFonts w:ascii="Arial" w:hAnsi="Arial" w:cs="Arial"/>
                <w:i/>
                <w:iCs/>
                <w:sz w:val="20"/>
                <w:szCs w:val="20"/>
                <w:lang w:val="es-ES"/>
              </w:rPr>
            </w:pPr>
            <w:r w:rsidRPr="00200358">
              <w:rPr>
                <w:rFonts w:ascii="Arial" w:hAnsi="Arial" w:cs="Arial"/>
                <w:i/>
                <w:sz w:val="20"/>
                <w:szCs w:val="20"/>
                <w:lang w:val="es-ES"/>
              </w:rPr>
              <w:t xml:space="preserve">Elegibilidad para el Apéndice I: </w:t>
            </w:r>
            <w:r w:rsidR="004F208B" w:rsidRPr="00200358">
              <w:rPr>
                <w:rFonts w:ascii="Arial" w:hAnsi="Arial" w:cs="Arial"/>
                <w:sz w:val="20"/>
                <w:szCs w:val="20"/>
                <w:lang w:val="es-ES"/>
              </w:rPr>
              <w:t>sin evidencia de comportamiento migratorio</w:t>
            </w:r>
          </w:p>
          <w:p w14:paraId="7B1991C4" w14:textId="77777777" w:rsidR="00CF7917" w:rsidRPr="00200358" w:rsidRDefault="00CF7917" w:rsidP="00190C38">
            <w:pPr>
              <w:jc w:val="both"/>
              <w:rPr>
                <w:rFonts w:ascii="Arial" w:hAnsi="Arial" w:cs="Arial"/>
                <w:sz w:val="20"/>
                <w:szCs w:val="20"/>
                <w:lang w:val="es-ES"/>
              </w:rPr>
            </w:pPr>
          </w:p>
          <w:p w14:paraId="2C7F3009" w14:textId="77777777" w:rsidR="00CF7917" w:rsidRDefault="009E71FC" w:rsidP="00190C38">
            <w:pPr>
              <w:jc w:val="both"/>
              <w:rPr>
                <w:rFonts w:ascii="Arial" w:hAnsi="Arial" w:cs="Arial"/>
                <w:sz w:val="20"/>
                <w:szCs w:val="20"/>
                <w:lang w:val="es-ES"/>
              </w:rPr>
            </w:pPr>
            <w:r w:rsidRPr="00200358">
              <w:rPr>
                <w:rFonts w:ascii="Arial" w:hAnsi="Arial" w:cs="Arial"/>
                <w:sz w:val="20"/>
                <w:szCs w:val="20"/>
                <w:lang w:val="es-ES"/>
              </w:rPr>
              <w:t>Si los taxones del Apéndice I muestran patrones de movimiento según la evaluación de la Lista Roja de la UICN y/o se consideran móviles a través de las fronteras internacionales en el desglose de las familias y géneros de aves incluidos en el Apéndice II (se aplica sólo a los taxones de aves del Apéndice I que también están incluidos en el Ap. II como parte de una lista de nivel superior).</w:t>
            </w:r>
            <w:r w:rsidR="00CF7917" w:rsidRPr="00200358">
              <w:rPr>
                <w:rFonts w:ascii="Arial" w:hAnsi="Arial" w:cs="Arial"/>
                <w:sz w:val="20"/>
                <w:szCs w:val="20"/>
                <w:lang w:val="es-ES"/>
              </w:rPr>
              <w:t xml:space="preserve">  </w:t>
            </w:r>
          </w:p>
          <w:p w14:paraId="1EF9FC26" w14:textId="73D77A63" w:rsidR="00200358" w:rsidRPr="00200358" w:rsidRDefault="00200358" w:rsidP="00190C38">
            <w:pPr>
              <w:jc w:val="both"/>
              <w:rPr>
                <w:rFonts w:ascii="Arial" w:hAnsi="Arial" w:cs="Arial"/>
                <w:sz w:val="20"/>
                <w:szCs w:val="20"/>
                <w:lang w:val="es-ES"/>
              </w:rPr>
            </w:pPr>
          </w:p>
        </w:tc>
        <w:tc>
          <w:tcPr>
            <w:tcW w:w="886" w:type="pct"/>
          </w:tcPr>
          <w:p w14:paraId="53B361A0" w14:textId="77777777" w:rsidR="009E71FC" w:rsidRPr="00200358" w:rsidRDefault="009E71FC" w:rsidP="00190C38">
            <w:pPr>
              <w:jc w:val="both"/>
              <w:rPr>
                <w:rFonts w:ascii="Arial" w:hAnsi="Arial" w:cs="Arial"/>
                <w:sz w:val="20"/>
                <w:szCs w:val="20"/>
                <w:lang w:val="es-ES"/>
              </w:rPr>
            </w:pPr>
            <w:r w:rsidRPr="00200358">
              <w:rPr>
                <w:rFonts w:ascii="Arial" w:hAnsi="Arial" w:cs="Arial"/>
                <w:sz w:val="20"/>
                <w:szCs w:val="20"/>
                <w:lang w:val="es-ES"/>
              </w:rPr>
              <w:t>1: Taxón considerado "Migrante completo" por la UICN/móvil a través de las fronteras (aves)</w:t>
            </w:r>
          </w:p>
          <w:p w14:paraId="23B52BCA" w14:textId="77777777" w:rsidR="009E71FC" w:rsidRPr="00200358" w:rsidRDefault="009E71FC" w:rsidP="00190C38">
            <w:pPr>
              <w:jc w:val="both"/>
              <w:rPr>
                <w:rFonts w:ascii="Arial" w:hAnsi="Arial" w:cs="Arial"/>
                <w:sz w:val="20"/>
                <w:szCs w:val="20"/>
                <w:lang w:val="es-ES"/>
              </w:rPr>
            </w:pPr>
            <w:r w:rsidRPr="00200358">
              <w:rPr>
                <w:rFonts w:ascii="Arial" w:hAnsi="Arial" w:cs="Arial"/>
                <w:sz w:val="20"/>
                <w:szCs w:val="20"/>
                <w:lang w:val="es-ES"/>
              </w:rPr>
              <w:t xml:space="preserve">0,5 </w:t>
            </w:r>
            <w:proofErr w:type="gramStart"/>
            <w:r w:rsidRPr="00200358">
              <w:rPr>
                <w:rFonts w:ascii="Arial" w:hAnsi="Arial" w:cs="Arial"/>
                <w:sz w:val="20"/>
                <w:szCs w:val="20"/>
                <w:lang w:val="es-ES"/>
              </w:rPr>
              <w:t>Taxón</w:t>
            </w:r>
            <w:proofErr w:type="gramEnd"/>
            <w:r w:rsidRPr="00200358">
              <w:rPr>
                <w:rFonts w:ascii="Arial" w:hAnsi="Arial" w:cs="Arial"/>
                <w:sz w:val="20"/>
                <w:szCs w:val="20"/>
                <w:lang w:val="es-ES"/>
              </w:rPr>
              <w:t xml:space="preserve"> considerado "nómada" o "migrante altitudinal" por la UICN</w:t>
            </w:r>
          </w:p>
          <w:p w14:paraId="133F1000" w14:textId="785DB71A" w:rsidR="00CF7917" w:rsidRPr="00200358" w:rsidRDefault="009E71FC" w:rsidP="00190C38">
            <w:pPr>
              <w:jc w:val="both"/>
              <w:rPr>
                <w:rFonts w:ascii="Arial" w:hAnsi="Arial" w:cs="Arial"/>
                <w:sz w:val="20"/>
                <w:szCs w:val="20"/>
                <w:lang w:val="es-ES"/>
              </w:rPr>
            </w:pPr>
            <w:r w:rsidRPr="00200358">
              <w:rPr>
                <w:rFonts w:ascii="Arial" w:hAnsi="Arial" w:cs="Arial"/>
                <w:sz w:val="20"/>
                <w:szCs w:val="20"/>
                <w:lang w:val="es-ES"/>
              </w:rPr>
              <w:t xml:space="preserve">0: Prueba directa de que el taxón </w:t>
            </w:r>
            <w:r w:rsidRPr="00200358">
              <w:rPr>
                <w:rFonts w:ascii="Arial" w:hAnsi="Arial" w:cs="Arial"/>
                <w:b/>
                <w:bCs/>
                <w:sz w:val="20"/>
                <w:szCs w:val="20"/>
                <w:lang w:val="es-ES"/>
              </w:rPr>
              <w:t>no</w:t>
            </w:r>
            <w:r w:rsidRPr="00200358">
              <w:rPr>
                <w:rFonts w:ascii="Arial" w:hAnsi="Arial" w:cs="Arial"/>
                <w:sz w:val="20"/>
                <w:szCs w:val="20"/>
                <w:lang w:val="es-ES"/>
              </w:rPr>
              <w:t xml:space="preserve"> se considera migratorio según la definición de la UICN</w:t>
            </w:r>
          </w:p>
        </w:tc>
        <w:tc>
          <w:tcPr>
            <w:tcW w:w="677" w:type="pct"/>
          </w:tcPr>
          <w:p w14:paraId="7555918F" w14:textId="75EA325B" w:rsidR="00CF7917" w:rsidRPr="00200358" w:rsidRDefault="00CF7917" w:rsidP="00190C38">
            <w:pPr>
              <w:jc w:val="both"/>
              <w:rPr>
                <w:rFonts w:ascii="Arial" w:hAnsi="Arial" w:cs="Arial"/>
                <w:sz w:val="20"/>
                <w:szCs w:val="20"/>
                <w:lang w:val="es-ES"/>
              </w:rPr>
            </w:pPr>
            <w:r w:rsidRPr="00200358">
              <w:rPr>
                <w:rFonts w:ascii="Arial" w:hAnsi="Arial" w:cs="Arial"/>
                <w:sz w:val="20"/>
                <w:szCs w:val="20"/>
                <w:lang w:val="es-ES"/>
              </w:rPr>
              <w:t xml:space="preserve">No hay pruebas </w:t>
            </w:r>
            <w:proofErr w:type="gramStart"/>
            <w:r w:rsidRPr="00200358">
              <w:rPr>
                <w:rFonts w:ascii="Arial" w:hAnsi="Arial" w:cs="Arial"/>
                <w:sz w:val="20"/>
                <w:szCs w:val="20"/>
                <w:lang w:val="es-ES"/>
              </w:rPr>
              <w:t xml:space="preserve">del </w:t>
            </w:r>
            <w:r w:rsidR="009E71FC" w:rsidRPr="00200358">
              <w:rPr>
                <w:rFonts w:ascii="Arial" w:hAnsi="Arial" w:cs="Arial"/>
                <w:sz w:val="20"/>
                <w:szCs w:val="20"/>
                <w:lang w:val="es-ES"/>
              </w:rPr>
              <w:t>patrones</w:t>
            </w:r>
            <w:proofErr w:type="gramEnd"/>
            <w:r w:rsidR="009E71FC" w:rsidRPr="00200358">
              <w:rPr>
                <w:rFonts w:ascii="Arial" w:hAnsi="Arial" w:cs="Arial"/>
                <w:sz w:val="20"/>
                <w:szCs w:val="20"/>
                <w:lang w:val="es-ES"/>
              </w:rPr>
              <w:t xml:space="preserve"> de movimiento</w:t>
            </w:r>
            <w:r w:rsidRPr="00200358">
              <w:rPr>
                <w:rFonts w:ascii="Arial" w:hAnsi="Arial" w:cs="Arial"/>
                <w:sz w:val="20"/>
                <w:szCs w:val="20"/>
                <w:lang w:val="es-ES"/>
              </w:rPr>
              <w:t>.</w:t>
            </w:r>
          </w:p>
        </w:tc>
      </w:tr>
      <w:tr w:rsidR="009E71FC" w:rsidRPr="00313A1B" w14:paraId="76358FA5" w14:textId="77777777" w:rsidTr="00200358">
        <w:tc>
          <w:tcPr>
            <w:tcW w:w="728" w:type="pct"/>
          </w:tcPr>
          <w:p w14:paraId="42DC7938" w14:textId="11D06432" w:rsidR="009E71FC" w:rsidRPr="00200358" w:rsidRDefault="009E71FC" w:rsidP="00190C38">
            <w:pPr>
              <w:jc w:val="both"/>
              <w:rPr>
                <w:rFonts w:ascii="Arial" w:hAnsi="Arial" w:cs="Arial"/>
                <w:sz w:val="20"/>
                <w:szCs w:val="20"/>
                <w:lang w:val="es-ES"/>
              </w:rPr>
            </w:pPr>
            <w:r w:rsidRPr="00200358">
              <w:rPr>
                <w:rFonts w:ascii="Arial" w:hAnsi="Arial" w:cs="Arial"/>
                <w:sz w:val="20"/>
                <w:szCs w:val="20"/>
                <w:lang w:val="es-ES"/>
              </w:rPr>
              <w:t>5.2 Proporción de la población mundial que migra</w:t>
            </w:r>
          </w:p>
        </w:tc>
        <w:tc>
          <w:tcPr>
            <w:tcW w:w="677" w:type="pct"/>
          </w:tcPr>
          <w:p w14:paraId="2D437454" w14:textId="77777777" w:rsidR="009E71FC" w:rsidRPr="00200358" w:rsidRDefault="009E71FC" w:rsidP="00190C38">
            <w:pPr>
              <w:jc w:val="both"/>
              <w:rPr>
                <w:rFonts w:ascii="Arial" w:hAnsi="Arial" w:cs="Arial"/>
                <w:sz w:val="20"/>
                <w:szCs w:val="20"/>
                <w:lang w:val="es-ES"/>
              </w:rPr>
            </w:pPr>
            <w:r w:rsidRPr="00200358">
              <w:rPr>
                <w:rFonts w:ascii="Arial" w:hAnsi="Arial" w:cs="Arial"/>
                <w:sz w:val="20"/>
                <w:szCs w:val="20"/>
                <w:lang w:val="es-ES"/>
              </w:rPr>
              <w:t>Lista Roja de la UICN7</w:t>
            </w:r>
          </w:p>
          <w:p w14:paraId="0FD28718" w14:textId="77777777" w:rsidR="009E71FC" w:rsidRPr="00200358" w:rsidRDefault="009E71FC" w:rsidP="00190C38">
            <w:pPr>
              <w:jc w:val="both"/>
              <w:rPr>
                <w:rFonts w:ascii="Arial" w:hAnsi="Arial" w:cs="Arial"/>
                <w:sz w:val="20"/>
                <w:szCs w:val="20"/>
                <w:lang w:val="es-ES"/>
              </w:rPr>
            </w:pPr>
            <w:r w:rsidRPr="00200358">
              <w:rPr>
                <w:rFonts w:ascii="Arial" w:hAnsi="Arial" w:cs="Arial"/>
                <w:sz w:val="20"/>
                <w:szCs w:val="20"/>
                <w:lang w:val="es-ES"/>
              </w:rPr>
              <w:t>UNEP/CMS/COP13/Doc.27.3 Anexo 327</w:t>
            </w:r>
          </w:p>
          <w:p w14:paraId="1F233A01" w14:textId="3B9940B4" w:rsidR="009E71FC" w:rsidRPr="00200358" w:rsidRDefault="009E71FC" w:rsidP="00190C38">
            <w:pPr>
              <w:jc w:val="both"/>
              <w:rPr>
                <w:rFonts w:ascii="Arial" w:hAnsi="Arial" w:cs="Arial"/>
                <w:sz w:val="20"/>
                <w:szCs w:val="20"/>
                <w:lang w:val="es-ES"/>
              </w:rPr>
            </w:pPr>
            <w:proofErr w:type="spellStart"/>
            <w:r w:rsidRPr="00200358">
              <w:rPr>
                <w:rFonts w:ascii="Arial" w:hAnsi="Arial" w:cs="Arial"/>
                <w:sz w:val="20"/>
                <w:szCs w:val="20"/>
                <w:lang w:val="es-ES"/>
              </w:rPr>
              <w:lastRenderedPageBreak/>
              <w:t>Eyres</w:t>
            </w:r>
            <w:proofErr w:type="spellEnd"/>
            <w:r w:rsidRPr="00200358">
              <w:rPr>
                <w:rFonts w:ascii="Arial" w:hAnsi="Arial" w:cs="Arial"/>
                <w:sz w:val="20"/>
                <w:szCs w:val="20"/>
                <w:lang w:val="es-ES"/>
              </w:rPr>
              <w:t xml:space="preserve"> et al. (2017)</w:t>
            </w:r>
            <w:r w:rsidR="00ED231B" w:rsidRPr="00200358">
              <w:rPr>
                <w:rFonts w:ascii="Arial" w:hAnsi="Arial" w:cs="Arial"/>
                <w:sz w:val="20"/>
                <w:szCs w:val="20"/>
                <w:vertAlign w:val="superscript"/>
              </w:rPr>
              <w:t xml:space="preserve"> </w:t>
            </w:r>
            <w:r w:rsidR="00ED231B" w:rsidRPr="00200358">
              <w:rPr>
                <w:rFonts w:ascii="Arial" w:hAnsi="Arial" w:cs="Arial"/>
                <w:sz w:val="20"/>
                <w:szCs w:val="20"/>
                <w:vertAlign w:val="superscript"/>
              </w:rPr>
              <w:footnoteReference w:id="26"/>
            </w:r>
          </w:p>
        </w:tc>
        <w:tc>
          <w:tcPr>
            <w:tcW w:w="2032" w:type="pct"/>
          </w:tcPr>
          <w:p w14:paraId="1D477931" w14:textId="77777777" w:rsidR="009E71FC" w:rsidRPr="00200358" w:rsidRDefault="009E71FC" w:rsidP="00190C38">
            <w:pPr>
              <w:jc w:val="both"/>
              <w:rPr>
                <w:rFonts w:ascii="Arial" w:hAnsi="Arial" w:cs="Arial"/>
                <w:iCs/>
                <w:sz w:val="20"/>
                <w:szCs w:val="20"/>
                <w:lang w:val="es-ES"/>
              </w:rPr>
            </w:pPr>
            <w:r w:rsidRPr="00200358">
              <w:rPr>
                <w:rFonts w:ascii="Arial" w:hAnsi="Arial" w:cs="Arial"/>
                <w:iCs/>
                <w:sz w:val="20"/>
                <w:szCs w:val="20"/>
                <w:lang w:val="es-ES"/>
              </w:rPr>
              <w:lastRenderedPageBreak/>
              <w:t xml:space="preserve">Prioridades </w:t>
            </w:r>
          </w:p>
          <w:p w14:paraId="5A011914" w14:textId="77777777" w:rsidR="009E71FC" w:rsidRPr="00200358" w:rsidRDefault="009E71FC" w:rsidP="00190C38">
            <w:pPr>
              <w:pStyle w:val="ListParagraph"/>
              <w:numPr>
                <w:ilvl w:val="0"/>
                <w:numId w:val="38"/>
              </w:numPr>
              <w:jc w:val="both"/>
              <w:rPr>
                <w:rFonts w:ascii="Arial" w:hAnsi="Arial" w:cs="Arial"/>
                <w:iCs/>
                <w:sz w:val="20"/>
                <w:szCs w:val="20"/>
                <w:lang w:val="es-ES"/>
              </w:rPr>
            </w:pPr>
            <w:r w:rsidRPr="00200358">
              <w:rPr>
                <w:rFonts w:ascii="Arial" w:hAnsi="Arial" w:cs="Arial"/>
                <w:i/>
                <w:sz w:val="20"/>
                <w:szCs w:val="20"/>
                <w:lang w:val="es-ES"/>
              </w:rPr>
              <w:t>Elegibilidad del Apéndice I</w:t>
            </w:r>
            <w:r w:rsidRPr="00200358">
              <w:rPr>
                <w:rFonts w:ascii="Arial" w:hAnsi="Arial" w:cs="Arial"/>
                <w:iCs/>
                <w:sz w:val="20"/>
                <w:szCs w:val="20"/>
                <w:lang w:val="es-ES"/>
              </w:rPr>
              <w:t>: no hay pruebas de comportamiento migratorio en ninguna población</w:t>
            </w:r>
          </w:p>
          <w:p w14:paraId="772BEAA8" w14:textId="77777777" w:rsidR="009E71FC" w:rsidRPr="00200358" w:rsidRDefault="009E71FC" w:rsidP="00190C38">
            <w:pPr>
              <w:jc w:val="both"/>
              <w:rPr>
                <w:rFonts w:ascii="Arial" w:hAnsi="Arial" w:cs="Arial"/>
                <w:iCs/>
                <w:sz w:val="20"/>
                <w:szCs w:val="20"/>
                <w:lang w:val="es-ES"/>
              </w:rPr>
            </w:pPr>
          </w:p>
          <w:p w14:paraId="6AD6196D" w14:textId="1F960D6C" w:rsidR="009E71FC" w:rsidRPr="00200358" w:rsidRDefault="009E71FC" w:rsidP="00190C38">
            <w:pPr>
              <w:jc w:val="both"/>
              <w:rPr>
                <w:rFonts w:ascii="Arial" w:hAnsi="Arial" w:cs="Arial"/>
                <w:iCs/>
                <w:sz w:val="20"/>
                <w:szCs w:val="20"/>
                <w:lang w:val="es-ES"/>
              </w:rPr>
            </w:pPr>
            <w:r w:rsidRPr="00200358">
              <w:rPr>
                <w:rFonts w:ascii="Arial" w:hAnsi="Arial" w:cs="Arial"/>
                <w:iCs/>
                <w:sz w:val="20"/>
                <w:szCs w:val="20"/>
                <w:lang w:val="es-ES"/>
              </w:rPr>
              <w:lastRenderedPageBreak/>
              <w:t xml:space="preserve">Si </w:t>
            </w:r>
            <w:r w:rsidRPr="00200358">
              <w:rPr>
                <w:rFonts w:ascii="Arial" w:hAnsi="Arial" w:cs="Arial"/>
                <w:b/>
                <w:bCs/>
                <w:iCs/>
                <w:sz w:val="20"/>
                <w:szCs w:val="20"/>
                <w:lang w:val="es-ES"/>
              </w:rPr>
              <w:t>toda, o sólo parte</w:t>
            </w:r>
            <w:r w:rsidRPr="00200358">
              <w:rPr>
                <w:rFonts w:ascii="Arial" w:hAnsi="Arial" w:cs="Arial"/>
                <w:iCs/>
                <w:sz w:val="20"/>
                <w:szCs w:val="20"/>
                <w:lang w:val="es-ES"/>
              </w:rPr>
              <w:t>, de la población global de los taxones del Apéndice I exhiben patrones de movimiento basados en tres fuentes de datos. Los taxones se considerarán migrantes parciales (es decir, algunos, pero no todos los individuos/poblaciones dentro del taxón exhiben un comportamiento migratorio) si se consideran:</w:t>
            </w:r>
          </w:p>
          <w:p w14:paraId="5A8DB57C" w14:textId="09783A4E" w:rsidR="009E71FC" w:rsidRPr="00200358" w:rsidRDefault="009E71FC" w:rsidP="00190C38">
            <w:pPr>
              <w:jc w:val="both"/>
              <w:rPr>
                <w:rFonts w:ascii="Arial" w:hAnsi="Arial" w:cs="Arial"/>
                <w:iCs/>
                <w:sz w:val="20"/>
                <w:szCs w:val="20"/>
                <w:lang w:val="es-ES"/>
              </w:rPr>
            </w:pPr>
          </w:p>
          <w:p w14:paraId="4A7EC825" w14:textId="06980D32" w:rsidR="009E71FC" w:rsidRPr="00200358" w:rsidRDefault="009E71FC" w:rsidP="00190C38">
            <w:pPr>
              <w:pStyle w:val="ListParagraph"/>
              <w:numPr>
                <w:ilvl w:val="0"/>
                <w:numId w:val="40"/>
              </w:numPr>
              <w:jc w:val="both"/>
              <w:rPr>
                <w:rFonts w:ascii="Arial" w:hAnsi="Arial" w:cs="Arial"/>
                <w:iCs/>
                <w:sz w:val="20"/>
                <w:szCs w:val="20"/>
                <w:lang w:val="es-ES"/>
              </w:rPr>
            </w:pPr>
            <w:r w:rsidRPr="00200358">
              <w:rPr>
                <w:rFonts w:ascii="Arial" w:hAnsi="Arial" w:cs="Arial"/>
                <w:iCs/>
                <w:sz w:val="20"/>
                <w:szCs w:val="20"/>
                <w:lang w:val="es-ES"/>
              </w:rPr>
              <w:t xml:space="preserve">"migrante parcial"/"parcialmente migratorio" en la información sobre el hábitat de evaluación de la Lista Roja de la UICN; </w:t>
            </w:r>
          </w:p>
          <w:p w14:paraId="7CD11D29" w14:textId="33C6BCF8" w:rsidR="009E71FC" w:rsidRPr="00200358" w:rsidRDefault="009E71FC" w:rsidP="00190C38">
            <w:pPr>
              <w:pStyle w:val="ListParagraph"/>
              <w:numPr>
                <w:ilvl w:val="0"/>
                <w:numId w:val="40"/>
              </w:numPr>
              <w:jc w:val="both"/>
              <w:rPr>
                <w:rFonts w:ascii="Arial" w:hAnsi="Arial" w:cs="Arial"/>
                <w:iCs/>
                <w:sz w:val="20"/>
                <w:szCs w:val="20"/>
                <w:lang w:val="es-ES"/>
              </w:rPr>
            </w:pPr>
            <w:r w:rsidRPr="00200358">
              <w:rPr>
                <w:rFonts w:ascii="Arial" w:hAnsi="Arial" w:cs="Arial"/>
                <w:iCs/>
                <w:sz w:val="20"/>
                <w:szCs w:val="20"/>
                <w:lang w:val="es-ES"/>
              </w:rPr>
              <w:t xml:space="preserve">"migrantes parciales" en el desglose de las familias y géneros de aves incluidos en el Apéndice II; y/o </w:t>
            </w:r>
          </w:p>
          <w:p w14:paraId="7D58B968" w14:textId="02AE3B88" w:rsidR="009E71FC" w:rsidRPr="00200358" w:rsidRDefault="009E71FC" w:rsidP="00190C38">
            <w:pPr>
              <w:pStyle w:val="ListParagraph"/>
              <w:numPr>
                <w:ilvl w:val="0"/>
                <w:numId w:val="40"/>
              </w:numPr>
              <w:jc w:val="both"/>
              <w:rPr>
                <w:rFonts w:ascii="Arial" w:hAnsi="Arial" w:cs="Arial"/>
                <w:iCs/>
                <w:sz w:val="20"/>
                <w:szCs w:val="20"/>
                <w:lang w:val="es-ES"/>
              </w:rPr>
            </w:pPr>
            <w:r w:rsidRPr="00200358">
              <w:rPr>
                <w:rFonts w:ascii="Arial" w:hAnsi="Arial" w:cs="Arial"/>
                <w:iCs/>
                <w:sz w:val="20"/>
                <w:szCs w:val="20"/>
                <w:lang w:val="es-ES"/>
              </w:rPr>
              <w:t xml:space="preserve">"migrantes parciales direccionales" en </w:t>
            </w:r>
            <w:proofErr w:type="spellStart"/>
            <w:r w:rsidRPr="00200358">
              <w:rPr>
                <w:rFonts w:ascii="Arial" w:hAnsi="Arial" w:cs="Arial"/>
                <w:iCs/>
                <w:sz w:val="20"/>
                <w:szCs w:val="20"/>
                <w:lang w:val="es-ES"/>
              </w:rPr>
              <w:t>Eyres</w:t>
            </w:r>
            <w:proofErr w:type="spellEnd"/>
            <w:r w:rsidRPr="00200358">
              <w:rPr>
                <w:rFonts w:ascii="Arial" w:hAnsi="Arial" w:cs="Arial"/>
                <w:iCs/>
                <w:sz w:val="20"/>
                <w:szCs w:val="20"/>
                <w:lang w:val="es-ES"/>
              </w:rPr>
              <w:t xml:space="preserve"> et al. (2017)</w:t>
            </w:r>
          </w:p>
          <w:p w14:paraId="4FCDD360" w14:textId="77777777" w:rsidR="009E71FC" w:rsidRPr="00200358" w:rsidRDefault="009E71FC" w:rsidP="00190C38">
            <w:pPr>
              <w:jc w:val="both"/>
              <w:rPr>
                <w:rFonts w:ascii="Arial" w:hAnsi="Arial" w:cs="Arial"/>
                <w:iCs/>
                <w:sz w:val="20"/>
                <w:szCs w:val="20"/>
                <w:lang w:val="es-ES"/>
              </w:rPr>
            </w:pPr>
          </w:p>
          <w:p w14:paraId="64617729" w14:textId="2632E8D0" w:rsidR="009E71FC" w:rsidRPr="00200358" w:rsidRDefault="009E71FC" w:rsidP="00190C38">
            <w:pPr>
              <w:jc w:val="both"/>
              <w:rPr>
                <w:rFonts w:ascii="Arial" w:hAnsi="Arial" w:cs="Arial"/>
                <w:iCs/>
                <w:sz w:val="20"/>
                <w:szCs w:val="20"/>
                <w:lang w:val="es-ES"/>
              </w:rPr>
            </w:pPr>
            <w:r w:rsidRPr="00200358">
              <w:rPr>
                <w:rFonts w:ascii="Arial" w:hAnsi="Arial" w:cs="Arial"/>
                <w:iCs/>
                <w:sz w:val="20"/>
                <w:szCs w:val="20"/>
                <w:lang w:val="es-ES"/>
              </w:rPr>
              <w:t>Si no hay pruebas de que los taxones sean migrantes parciales, se supondrá que todas las poblaciones de taxones identificados como "migrantes totales"/ móviles a través de las fronteras en el criterio 5.1 son totalmente migratorias.</w:t>
            </w:r>
          </w:p>
          <w:p w14:paraId="2574F7FB" w14:textId="3FFABCA3" w:rsidR="009E71FC" w:rsidRPr="00200358" w:rsidRDefault="009E71FC" w:rsidP="00190C38">
            <w:pPr>
              <w:jc w:val="both"/>
              <w:rPr>
                <w:rFonts w:ascii="Arial" w:hAnsi="Arial" w:cs="Arial"/>
                <w:iCs/>
                <w:sz w:val="20"/>
                <w:szCs w:val="20"/>
                <w:u w:val="single"/>
                <w:lang w:val="es-ES"/>
              </w:rPr>
            </w:pPr>
          </w:p>
        </w:tc>
        <w:tc>
          <w:tcPr>
            <w:tcW w:w="886" w:type="pct"/>
          </w:tcPr>
          <w:p w14:paraId="316DCAE5" w14:textId="77777777" w:rsidR="009E71FC" w:rsidRPr="00200358" w:rsidRDefault="009E71FC" w:rsidP="00190C38">
            <w:pPr>
              <w:jc w:val="both"/>
              <w:rPr>
                <w:rFonts w:ascii="Arial" w:hAnsi="Arial" w:cs="Arial"/>
                <w:sz w:val="20"/>
                <w:szCs w:val="20"/>
                <w:lang w:val="es-ES"/>
              </w:rPr>
            </w:pPr>
            <w:r w:rsidRPr="00200358">
              <w:rPr>
                <w:rFonts w:ascii="Arial" w:hAnsi="Arial" w:cs="Arial"/>
                <w:sz w:val="20"/>
                <w:szCs w:val="20"/>
                <w:lang w:val="es-ES"/>
              </w:rPr>
              <w:lastRenderedPageBreak/>
              <w:t>1: Se supone que todos los individuos y poblaciones del taxón migran</w:t>
            </w:r>
          </w:p>
          <w:p w14:paraId="135A13D4" w14:textId="5C0D822A" w:rsidR="009E71FC" w:rsidRPr="00200358" w:rsidRDefault="009E71FC" w:rsidP="00190C38">
            <w:pPr>
              <w:jc w:val="both"/>
              <w:rPr>
                <w:rFonts w:ascii="Arial" w:hAnsi="Arial" w:cs="Arial"/>
                <w:sz w:val="20"/>
                <w:szCs w:val="20"/>
                <w:lang w:val="es-ES"/>
              </w:rPr>
            </w:pPr>
            <w:r w:rsidRPr="00200358">
              <w:rPr>
                <w:rFonts w:ascii="Arial" w:hAnsi="Arial" w:cs="Arial"/>
                <w:sz w:val="20"/>
                <w:szCs w:val="20"/>
                <w:lang w:val="es-ES"/>
              </w:rPr>
              <w:lastRenderedPageBreak/>
              <w:t>0,5: Migración parcial (sólo migran algunos individuos/poblaciones del taxón)</w:t>
            </w:r>
          </w:p>
        </w:tc>
        <w:tc>
          <w:tcPr>
            <w:tcW w:w="677" w:type="pct"/>
          </w:tcPr>
          <w:p w14:paraId="01B775F9" w14:textId="53207785" w:rsidR="009E71FC" w:rsidRPr="00200358" w:rsidRDefault="009E71FC" w:rsidP="00190C38">
            <w:pPr>
              <w:jc w:val="both"/>
              <w:rPr>
                <w:rFonts w:ascii="Arial" w:hAnsi="Arial" w:cs="Arial"/>
                <w:sz w:val="20"/>
                <w:szCs w:val="20"/>
                <w:lang w:val="es-ES"/>
              </w:rPr>
            </w:pPr>
            <w:r w:rsidRPr="00200358">
              <w:rPr>
                <w:rFonts w:ascii="Arial" w:hAnsi="Arial" w:cs="Arial"/>
                <w:sz w:val="20"/>
                <w:szCs w:val="20"/>
                <w:lang w:val="es-ES"/>
              </w:rPr>
              <w:lastRenderedPageBreak/>
              <w:t xml:space="preserve">No hay pruebas relativas a la proporción de la población </w:t>
            </w:r>
            <w:r w:rsidRPr="00200358">
              <w:rPr>
                <w:rFonts w:ascii="Arial" w:hAnsi="Arial" w:cs="Arial"/>
                <w:sz w:val="20"/>
                <w:szCs w:val="20"/>
                <w:lang w:val="es-ES"/>
              </w:rPr>
              <w:lastRenderedPageBreak/>
              <w:t>mundial que migra.</w:t>
            </w:r>
          </w:p>
        </w:tc>
      </w:tr>
    </w:tbl>
    <w:p w14:paraId="0DC59D43" w14:textId="77777777" w:rsidR="00CF7917" w:rsidRPr="00190C38" w:rsidRDefault="00CF7917" w:rsidP="00190C38">
      <w:pPr>
        <w:spacing w:after="0" w:line="240" w:lineRule="auto"/>
        <w:jc w:val="both"/>
        <w:rPr>
          <w:rFonts w:ascii="Arial" w:hAnsi="Arial" w:cs="Arial"/>
          <w:lang w:val="es-ES"/>
        </w:rPr>
      </w:pPr>
    </w:p>
    <w:p w14:paraId="4D514D92" w14:textId="77777777" w:rsidR="004A2D43" w:rsidRPr="00190C38" w:rsidRDefault="004A2D43" w:rsidP="00190C38">
      <w:pPr>
        <w:spacing w:after="0" w:line="240" w:lineRule="auto"/>
        <w:jc w:val="both"/>
        <w:rPr>
          <w:rFonts w:ascii="Arial" w:hAnsi="Arial" w:cs="Arial"/>
          <w:lang w:val="es-ES"/>
        </w:rPr>
      </w:pPr>
    </w:p>
    <w:sectPr w:rsidR="004A2D43" w:rsidRPr="00190C38" w:rsidSect="00B10D9F">
      <w:pgSz w:w="16838" w:h="11906" w:orient="landscape" w:code="9"/>
      <w:pgMar w:top="1138" w:right="1138" w:bottom="1138"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01481" w14:textId="77777777" w:rsidR="00B10D9F" w:rsidRDefault="00B10D9F" w:rsidP="00CF7917">
      <w:pPr>
        <w:spacing w:after="0" w:line="240" w:lineRule="auto"/>
      </w:pPr>
      <w:r>
        <w:separator/>
      </w:r>
    </w:p>
  </w:endnote>
  <w:endnote w:type="continuationSeparator" w:id="0">
    <w:p w14:paraId="0B5B2870" w14:textId="77777777" w:rsidR="00B10D9F" w:rsidRDefault="00B10D9F" w:rsidP="00CF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482364"/>
      <w:docPartObj>
        <w:docPartGallery w:val="Page Numbers (Bottom of Page)"/>
        <w:docPartUnique/>
      </w:docPartObj>
    </w:sdtPr>
    <w:sdtEndPr>
      <w:rPr>
        <w:rFonts w:ascii="Arial" w:hAnsi="Arial" w:cs="Arial"/>
        <w:noProof/>
        <w:sz w:val="18"/>
        <w:szCs w:val="18"/>
      </w:rPr>
    </w:sdtEndPr>
    <w:sdtContent>
      <w:p w14:paraId="4AE742DE" w14:textId="1E75D001" w:rsidR="00B10D9F" w:rsidRPr="00B10D9F" w:rsidRDefault="00B10D9F">
        <w:pPr>
          <w:pStyle w:val="Footer"/>
          <w:jc w:val="center"/>
          <w:rPr>
            <w:rFonts w:ascii="Arial" w:hAnsi="Arial" w:cs="Arial"/>
            <w:sz w:val="18"/>
            <w:szCs w:val="18"/>
          </w:rPr>
        </w:pPr>
        <w:r w:rsidRPr="00B10D9F">
          <w:rPr>
            <w:rFonts w:ascii="Arial" w:hAnsi="Arial" w:cs="Arial"/>
            <w:sz w:val="18"/>
            <w:szCs w:val="18"/>
          </w:rPr>
          <w:fldChar w:fldCharType="begin"/>
        </w:r>
        <w:r w:rsidRPr="00B10D9F">
          <w:rPr>
            <w:rFonts w:ascii="Arial" w:hAnsi="Arial" w:cs="Arial"/>
            <w:sz w:val="18"/>
            <w:szCs w:val="18"/>
          </w:rPr>
          <w:instrText xml:space="preserve"> PAGE   \* MERGEFORMAT </w:instrText>
        </w:r>
        <w:r w:rsidRPr="00B10D9F">
          <w:rPr>
            <w:rFonts w:ascii="Arial" w:hAnsi="Arial" w:cs="Arial"/>
            <w:sz w:val="18"/>
            <w:szCs w:val="18"/>
          </w:rPr>
          <w:fldChar w:fldCharType="separate"/>
        </w:r>
        <w:r w:rsidRPr="00B10D9F">
          <w:rPr>
            <w:rFonts w:ascii="Arial" w:hAnsi="Arial" w:cs="Arial"/>
            <w:noProof/>
            <w:sz w:val="18"/>
            <w:szCs w:val="18"/>
          </w:rPr>
          <w:t>2</w:t>
        </w:r>
        <w:r w:rsidRPr="00B10D9F">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342079245"/>
      <w:docPartObj>
        <w:docPartGallery w:val="Page Numbers (Bottom of Page)"/>
        <w:docPartUnique/>
      </w:docPartObj>
    </w:sdtPr>
    <w:sdtEndPr>
      <w:rPr>
        <w:noProof/>
      </w:rPr>
    </w:sdtEndPr>
    <w:sdtContent>
      <w:p w14:paraId="2BF267CC" w14:textId="3820A906" w:rsidR="00200358" w:rsidRPr="00200358" w:rsidRDefault="00200358">
        <w:pPr>
          <w:pStyle w:val="Footer"/>
          <w:jc w:val="center"/>
          <w:rPr>
            <w:rFonts w:ascii="Arial" w:hAnsi="Arial" w:cs="Arial"/>
            <w:sz w:val="18"/>
            <w:szCs w:val="18"/>
          </w:rPr>
        </w:pPr>
        <w:r w:rsidRPr="00200358">
          <w:rPr>
            <w:rFonts w:ascii="Arial" w:hAnsi="Arial" w:cs="Arial"/>
            <w:sz w:val="18"/>
            <w:szCs w:val="18"/>
          </w:rPr>
          <w:fldChar w:fldCharType="begin"/>
        </w:r>
        <w:r w:rsidRPr="00200358">
          <w:rPr>
            <w:rFonts w:ascii="Arial" w:hAnsi="Arial" w:cs="Arial"/>
            <w:sz w:val="18"/>
            <w:szCs w:val="18"/>
          </w:rPr>
          <w:instrText xml:space="preserve"> PAGE   \* MERGEFORMAT </w:instrText>
        </w:r>
        <w:r w:rsidRPr="00200358">
          <w:rPr>
            <w:rFonts w:ascii="Arial" w:hAnsi="Arial" w:cs="Arial"/>
            <w:sz w:val="18"/>
            <w:szCs w:val="18"/>
          </w:rPr>
          <w:fldChar w:fldCharType="separate"/>
        </w:r>
        <w:r w:rsidRPr="00200358">
          <w:rPr>
            <w:rFonts w:ascii="Arial" w:hAnsi="Arial" w:cs="Arial"/>
            <w:noProof/>
            <w:sz w:val="18"/>
            <w:szCs w:val="18"/>
          </w:rPr>
          <w:t>2</w:t>
        </w:r>
        <w:r w:rsidRPr="00200358">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62DD" w14:textId="77777777" w:rsidR="00B10D9F" w:rsidRDefault="00B10D9F" w:rsidP="00CF7917">
      <w:pPr>
        <w:spacing w:after="0" w:line="240" w:lineRule="auto"/>
      </w:pPr>
      <w:r>
        <w:separator/>
      </w:r>
    </w:p>
  </w:footnote>
  <w:footnote w:type="continuationSeparator" w:id="0">
    <w:p w14:paraId="3E4D2C2E" w14:textId="77777777" w:rsidR="00B10D9F" w:rsidRDefault="00B10D9F" w:rsidP="00CF7917">
      <w:pPr>
        <w:spacing w:after="0" w:line="240" w:lineRule="auto"/>
      </w:pPr>
      <w:r>
        <w:continuationSeparator/>
      </w:r>
    </w:p>
  </w:footnote>
  <w:footnote w:id="1">
    <w:p w14:paraId="24CC85DB" w14:textId="32865456" w:rsidR="00B10D9F" w:rsidRPr="00B10D9F" w:rsidRDefault="00B10D9F" w:rsidP="00B10D9F">
      <w:pPr>
        <w:pStyle w:val="FootnoteText"/>
        <w:jc w:val="both"/>
        <w:rPr>
          <w:rFonts w:ascii="Arial" w:hAnsi="Arial" w:cs="Arial"/>
          <w:sz w:val="16"/>
          <w:szCs w:val="16"/>
          <w:lang w:val="es-ES"/>
        </w:rPr>
      </w:pPr>
      <w:r w:rsidRPr="00B609FB">
        <w:rPr>
          <w:rStyle w:val="FootnoteReference"/>
          <w:rFonts w:ascii="Roboto" w:hAnsi="Roboto"/>
          <w:sz w:val="18"/>
          <w:szCs w:val="18"/>
        </w:rPr>
        <w:footnoteRef/>
      </w:r>
      <w:r w:rsidRPr="002E0785">
        <w:rPr>
          <w:rFonts w:ascii="Roboto" w:hAnsi="Roboto"/>
          <w:sz w:val="18"/>
          <w:szCs w:val="18"/>
          <w:lang w:val="es-ES"/>
        </w:rPr>
        <w:t xml:space="preserve"> </w:t>
      </w:r>
      <w:r w:rsidRPr="00B10D9F">
        <w:rPr>
          <w:rFonts w:ascii="Arial" w:hAnsi="Arial" w:cs="Arial"/>
          <w:sz w:val="16"/>
          <w:szCs w:val="16"/>
          <w:lang w:val="es-ES"/>
        </w:rPr>
        <w:t xml:space="preserve">Nota: la ausencia de datos sobre el comportamiento migratorio no debe considerarse como una prueba de que un taxón no es migratorio, sino que puede indicar que los taxones están poco estudiados o que faltan datos sobre los patrones de movimiento. </w:t>
      </w:r>
    </w:p>
  </w:footnote>
  <w:footnote w:id="2">
    <w:p w14:paraId="29F89853" w14:textId="77777777" w:rsidR="00B10D9F" w:rsidRPr="00B10D9F" w:rsidRDefault="00B10D9F" w:rsidP="00B10D9F">
      <w:pPr>
        <w:pStyle w:val="FootnoteText"/>
        <w:jc w:val="both"/>
        <w:rPr>
          <w:rFonts w:ascii="Arial" w:hAnsi="Arial" w:cs="Arial"/>
          <w:sz w:val="16"/>
          <w:szCs w:val="16"/>
          <w:lang w:val="es-ES"/>
        </w:rPr>
      </w:pPr>
      <w:r w:rsidRPr="00B10D9F">
        <w:rPr>
          <w:rStyle w:val="FootnoteReference"/>
          <w:rFonts w:ascii="Arial" w:hAnsi="Arial" w:cs="Arial"/>
          <w:sz w:val="16"/>
          <w:szCs w:val="16"/>
        </w:rPr>
        <w:footnoteRef/>
      </w:r>
      <w:r w:rsidRPr="00B10D9F">
        <w:rPr>
          <w:rFonts w:ascii="Arial" w:hAnsi="Arial" w:cs="Arial"/>
          <w:sz w:val="16"/>
          <w:szCs w:val="16"/>
          <w:lang w:val="es-ES"/>
        </w:rPr>
        <w:t xml:space="preserve">Disponible en </w:t>
      </w:r>
      <w:r w:rsidR="00313A1B">
        <w:fldChar w:fldCharType="begin"/>
      </w:r>
      <w:r w:rsidR="00313A1B" w:rsidRPr="00313A1B">
        <w:rPr>
          <w:lang w:val="es-ES"/>
        </w:rPr>
        <w:instrText xml:space="preserve"> HYPERLINK "https://www.cms.int/en/documents/national-reports" </w:instrText>
      </w:r>
      <w:r w:rsidR="00313A1B">
        <w:fldChar w:fldCharType="separate"/>
      </w:r>
      <w:r w:rsidRPr="00B10D9F">
        <w:rPr>
          <w:rStyle w:val="Hyperlink"/>
          <w:rFonts w:ascii="Arial" w:hAnsi="Arial" w:cs="Arial"/>
          <w:sz w:val="16"/>
          <w:szCs w:val="16"/>
          <w:lang w:val="es-ES"/>
        </w:rPr>
        <w:t>https://www.cms.int/es/documents/national-reports</w:t>
      </w:r>
      <w:r w:rsidR="00313A1B">
        <w:rPr>
          <w:rStyle w:val="Hyperlink"/>
          <w:rFonts w:ascii="Arial" w:hAnsi="Arial" w:cs="Arial"/>
          <w:sz w:val="16"/>
          <w:szCs w:val="16"/>
          <w:lang w:val="es-ES"/>
        </w:rPr>
        <w:fldChar w:fldCharType="end"/>
      </w:r>
      <w:r w:rsidRPr="00B10D9F">
        <w:rPr>
          <w:rFonts w:ascii="Arial" w:hAnsi="Arial" w:cs="Arial"/>
          <w:sz w:val="16"/>
          <w:szCs w:val="16"/>
          <w:lang w:val="es-ES"/>
        </w:rPr>
        <w:t>. Solo el 61 % de las Partes actuales de la CMS presentaron informes nacionales durante el último ciclo de presentación de informes nacionales.</w:t>
      </w:r>
    </w:p>
  </w:footnote>
  <w:footnote w:id="3">
    <w:p w14:paraId="40F871CF" w14:textId="77777777" w:rsidR="00B10D9F" w:rsidRPr="00B10D9F" w:rsidRDefault="00B10D9F" w:rsidP="00B10D9F">
      <w:pPr>
        <w:pStyle w:val="FootnoteText"/>
        <w:jc w:val="both"/>
        <w:rPr>
          <w:rFonts w:ascii="Arial" w:hAnsi="Arial" w:cs="Arial"/>
          <w:sz w:val="16"/>
          <w:szCs w:val="16"/>
          <w:lang w:val="es-ES"/>
        </w:rPr>
      </w:pPr>
      <w:r w:rsidRPr="00B10D9F">
        <w:rPr>
          <w:rStyle w:val="FootnoteReference"/>
          <w:rFonts w:ascii="Arial" w:hAnsi="Arial" w:cs="Arial"/>
          <w:sz w:val="16"/>
          <w:szCs w:val="16"/>
        </w:rPr>
        <w:footnoteRef/>
      </w:r>
      <w:r w:rsidRPr="00B10D9F">
        <w:rPr>
          <w:rFonts w:ascii="Arial" w:hAnsi="Arial" w:cs="Arial"/>
          <w:sz w:val="16"/>
          <w:szCs w:val="16"/>
          <w:lang w:val="es-ES"/>
        </w:rPr>
        <w:t xml:space="preserve">Disponible en </w:t>
      </w:r>
      <w:r w:rsidR="00313A1B">
        <w:fldChar w:fldCharType="begin"/>
      </w:r>
      <w:r w:rsidR="00313A1B" w:rsidRPr="00313A1B">
        <w:rPr>
          <w:lang w:val="es-ES"/>
        </w:rPr>
        <w:instrText xml:space="preserve"> HYPERLINK "https://www.cms.int/sites/default/files/document/cms_cop13_doc.27.3_annex3_e.xlsx" </w:instrText>
      </w:r>
      <w:r w:rsidR="00313A1B">
        <w:fldChar w:fldCharType="separate"/>
      </w:r>
      <w:r w:rsidRPr="00B10D9F">
        <w:rPr>
          <w:rStyle w:val="Hyperlink"/>
          <w:rFonts w:ascii="Arial" w:hAnsi="Arial" w:cs="Arial"/>
          <w:sz w:val="16"/>
          <w:szCs w:val="16"/>
          <w:lang w:val="es-ES"/>
        </w:rPr>
        <w:t>https://www.cms.int/sites/default/files/document/cms_cop13_doc.27.3_annex3_e.xlsx</w:t>
      </w:r>
      <w:r w:rsidR="00313A1B">
        <w:rPr>
          <w:rStyle w:val="Hyperlink"/>
          <w:rFonts w:ascii="Arial" w:hAnsi="Arial" w:cs="Arial"/>
          <w:sz w:val="16"/>
          <w:szCs w:val="16"/>
          <w:lang w:val="es-ES"/>
        </w:rPr>
        <w:fldChar w:fldCharType="end"/>
      </w:r>
      <w:r w:rsidRPr="00B10D9F">
        <w:rPr>
          <w:rFonts w:ascii="Arial" w:hAnsi="Arial" w:cs="Arial"/>
          <w:sz w:val="16"/>
          <w:szCs w:val="16"/>
          <w:lang w:val="es-ES"/>
        </w:rPr>
        <w:t xml:space="preserve"> </w:t>
      </w:r>
    </w:p>
  </w:footnote>
  <w:footnote w:id="4">
    <w:p w14:paraId="1632DAE2" w14:textId="77777777" w:rsidR="00B10D9F" w:rsidRPr="00B10D9F" w:rsidRDefault="00B10D9F" w:rsidP="00B10D9F">
      <w:pPr>
        <w:pStyle w:val="FootnoteText"/>
        <w:jc w:val="both"/>
        <w:rPr>
          <w:rFonts w:ascii="Arial" w:hAnsi="Arial" w:cs="Arial"/>
          <w:sz w:val="16"/>
          <w:szCs w:val="16"/>
          <w:lang w:val="es-ES"/>
        </w:rPr>
      </w:pPr>
      <w:r w:rsidRPr="00B10D9F">
        <w:rPr>
          <w:rStyle w:val="FootnoteReference"/>
          <w:rFonts w:ascii="Arial" w:hAnsi="Arial" w:cs="Arial"/>
          <w:sz w:val="16"/>
          <w:szCs w:val="16"/>
        </w:rPr>
        <w:footnoteRef/>
      </w:r>
      <w:r w:rsidRPr="00B10D9F">
        <w:rPr>
          <w:rFonts w:ascii="Arial" w:hAnsi="Arial" w:cs="Arial"/>
          <w:sz w:val="16"/>
          <w:szCs w:val="16"/>
          <w:lang w:val="es-ES"/>
        </w:rPr>
        <w:t xml:space="preserve"> Solo si estos datos están disponibles públicamente.</w:t>
      </w:r>
    </w:p>
  </w:footnote>
  <w:footnote w:id="5">
    <w:p w14:paraId="048C89C4" w14:textId="77777777" w:rsidR="00B10D9F" w:rsidRPr="00B10D9F" w:rsidRDefault="00B10D9F" w:rsidP="00B10D9F">
      <w:pPr>
        <w:pStyle w:val="FootnoteText"/>
        <w:jc w:val="both"/>
        <w:rPr>
          <w:rFonts w:ascii="Arial" w:hAnsi="Arial" w:cs="Arial"/>
          <w:sz w:val="16"/>
          <w:szCs w:val="16"/>
          <w:lang w:val="es-ES"/>
        </w:rPr>
      </w:pPr>
      <w:r w:rsidRPr="00B10D9F">
        <w:rPr>
          <w:rStyle w:val="FootnoteReference"/>
          <w:rFonts w:ascii="Arial" w:hAnsi="Arial" w:cs="Arial"/>
          <w:sz w:val="16"/>
          <w:szCs w:val="16"/>
        </w:rPr>
        <w:footnoteRef/>
      </w:r>
      <w:r w:rsidRPr="00B10D9F">
        <w:rPr>
          <w:rFonts w:ascii="Arial" w:hAnsi="Arial" w:cs="Arial"/>
          <w:sz w:val="16"/>
          <w:szCs w:val="16"/>
          <w:lang w:val="es-ES"/>
        </w:rPr>
        <w:t xml:space="preserve"> Si se proporciona una serie de estimaciones del tamaño de la población, se tomará la media. El tamaño estimado de la población según la evaluación de la Lista Roja no pudo incluirse como criterio de puntuación porque es un factor clave para asignar el estado de la Lista Roja y, por tanto, ambos están muy relacionados.</w:t>
      </w:r>
    </w:p>
  </w:footnote>
  <w:footnote w:id="6">
    <w:p w14:paraId="1E8DE95D" w14:textId="77777777" w:rsidR="00B10D9F" w:rsidRPr="00200358" w:rsidRDefault="00B10D9F" w:rsidP="00200358">
      <w:pPr>
        <w:pBdr>
          <w:top w:val="nil"/>
          <w:left w:val="nil"/>
          <w:bottom w:val="nil"/>
          <w:right w:val="nil"/>
          <w:between w:val="nil"/>
        </w:pBdr>
        <w:spacing w:after="0" w:line="240" w:lineRule="auto"/>
        <w:jc w:val="both"/>
        <w:rPr>
          <w:rFonts w:ascii="Arial" w:hAnsi="Arial" w:cs="Arial"/>
          <w:color w:val="000000"/>
          <w:sz w:val="16"/>
          <w:szCs w:val="16"/>
          <w:lang w:val="es-ES"/>
        </w:rPr>
      </w:pPr>
      <w:r w:rsidRPr="00200358">
        <w:rPr>
          <w:rStyle w:val="FootnoteReference"/>
          <w:rFonts w:ascii="Arial" w:hAnsi="Arial" w:cs="Arial"/>
          <w:sz w:val="16"/>
          <w:szCs w:val="16"/>
        </w:rPr>
        <w:footnoteRef/>
      </w:r>
      <w:r w:rsidRPr="00200358">
        <w:rPr>
          <w:rFonts w:ascii="Arial" w:hAnsi="Arial" w:cs="Arial"/>
          <w:color w:val="000000"/>
          <w:sz w:val="16"/>
          <w:szCs w:val="16"/>
          <w:lang w:val="es-ES"/>
        </w:rPr>
        <w:t xml:space="preserve"> Cuando no pueda puntuarse un criterio para un determinado taxón, se excluirá para evitar sesgar la puntuación final del taxón. </w:t>
      </w:r>
    </w:p>
  </w:footnote>
  <w:footnote w:id="7">
    <w:p w14:paraId="453E615D" w14:textId="77777777" w:rsidR="00B10D9F" w:rsidRPr="00200358" w:rsidRDefault="00B10D9F" w:rsidP="00200358">
      <w:pPr>
        <w:pBdr>
          <w:top w:val="nil"/>
          <w:left w:val="nil"/>
          <w:bottom w:val="nil"/>
          <w:right w:val="nil"/>
          <w:between w:val="nil"/>
        </w:pBdr>
        <w:spacing w:after="0" w:line="240" w:lineRule="auto"/>
        <w:jc w:val="both"/>
        <w:rPr>
          <w:rFonts w:ascii="Arial" w:hAnsi="Arial" w:cs="Arial"/>
          <w:color w:val="000000"/>
          <w:sz w:val="16"/>
          <w:szCs w:val="16"/>
          <w:lang w:val="es-ES"/>
        </w:rPr>
      </w:pPr>
      <w:r w:rsidRPr="00200358">
        <w:rPr>
          <w:rStyle w:val="FootnoteReference"/>
          <w:rFonts w:ascii="Arial" w:hAnsi="Arial" w:cs="Arial"/>
          <w:sz w:val="16"/>
          <w:szCs w:val="16"/>
        </w:rPr>
        <w:footnoteRef/>
      </w:r>
      <w:r w:rsidRPr="00200358">
        <w:rPr>
          <w:rFonts w:ascii="Arial" w:hAnsi="Arial" w:cs="Arial"/>
          <w:color w:val="000000"/>
          <w:sz w:val="16"/>
          <w:szCs w:val="16"/>
          <w:lang w:val="es-ES"/>
        </w:rPr>
        <w:t xml:space="preserve"> </w:t>
      </w:r>
      <w:r w:rsidRPr="00200358">
        <w:rPr>
          <w:rFonts w:ascii="Arial" w:hAnsi="Arial" w:cs="Arial"/>
          <w:sz w:val="16"/>
          <w:szCs w:val="16"/>
          <w:lang w:val="es-ES"/>
        </w:rPr>
        <w:t xml:space="preserve">Disponible en </w:t>
      </w:r>
      <w:r w:rsidR="00313A1B">
        <w:fldChar w:fldCharType="begin"/>
      </w:r>
      <w:r w:rsidR="00313A1B" w:rsidRPr="00313A1B">
        <w:rPr>
          <w:lang w:val="es-ES"/>
        </w:rPr>
        <w:instrText xml:space="preserve"> HYPERLINK "http://www.iucnredlist.org" \h </w:instrText>
      </w:r>
      <w:r w:rsidR="00313A1B">
        <w:fldChar w:fldCharType="separate"/>
      </w:r>
      <w:r w:rsidRPr="00200358">
        <w:rPr>
          <w:rFonts w:ascii="Arial" w:hAnsi="Arial" w:cs="Arial"/>
          <w:color w:val="0563C1"/>
          <w:sz w:val="16"/>
          <w:szCs w:val="16"/>
          <w:u w:val="single"/>
          <w:lang w:val="es-ES"/>
        </w:rPr>
        <w:t>https://www.iucnredlist.org/es/</w:t>
      </w:r>
      <w:r w:rsidR="00313A1B">
        <w:rPr>
          <w:rFonts w:ascii="Arial" w:hAnsi="Arial" w:cs="Arial"/>
          <w:color w:val="0563C1"/>
          <w:sz w:val="16"/>
          <w:szCs w:val="16"/>
          <w:u w:val="single"/>
          <w:lang w:val="es-ES"/>
        </w:rPr>
        <w:fldChar w:fldCharType="end"/>
      </w:r>
      <w:r w:rsidRPr="00200358">
        <w:rPr>
          <w:rFonts w:ascii="Arial" w:hAnsi="Arial" w:cs="Arial"/>
          <w:sz w:val="16"/>
          <w:szCs w:val="16"/>
          <w:lang w:val="es-ES"/>
        </w:rPr>
        <w:t xml:space="preserve">. </w:t>
      </w:r>
    </w:p>
  </w:footnote>
  <w:footnote w:id="8">
    <w:p w14:paraId="0529F8B1" w14:textId="77777777" w:rsidR="00B10D9F" w:rsidRPr="00200358" w:rsidRDefault="00B10D9F" w:rsidP="00200358">
      <w:pPr>
        <w:pStyle w:val="FootnoteText"/>
        <w:jc w:val="both"/>
        <w:rPr>
          <w:rFonts w:ascii="Arial" w:hAnsi="Arial" w:cs="Arial"/>
          <w:sz w:val="16"/>
          <w:szCs w:val="16"/>
          <w:lang w:val="es-ES"/>
        </w:rPr>
      </w:pPr>
      <w:r w:rsidRPr="00200358">
        <w:rPr>
          <w:rStyle w:val="FootnoteReference"/>
          <w:rFonts w:ascii="Arial" w:hAnsi="Arial" w:cs="Arial"/>
          <w:sz w:val="16"/>
          <w:szCs w:val="16"/>
        </w:rPr>
        <w:footnoteRef/>
      </w:r>
      <w:r w:rsidRPr="00200358">
        <w:rPr>
          <w:rFonts w:ascii="Arial" w:hAnsi="Arial" w:cs="Arial"/>
          <w:sz w:val="16"/>
          <w:szCs w:val="16"/>
          <w:lang w:val="es-ES"/>
        </w:rPr>
        <w:t xml:space="preserve"> La puntuación de extinto en la naturaleza (EW) será igual a la de CR en el supuesto de que las reintroducciones de taxones extintos tengan tamaños de población pequeños, y estos taxones pueden seguir siendo vulnerables a las amenazas de comercio.</w:t>
      </w:r>
    </w:p>
  </w:footnote>
  <w:footnote w:id="9">
    <w:p w14:paraId="363651DA" w14:textId="77777777" w:rsidR="00B10D9F" w:rsidRPr="00200358" w:rsidRDefault="00B10D9F" w:rsidP="00200358">
      <w:pPr>
        <w:pStyle w:val="FootnoteText"/>
        <w:jc w:val="both"/>
        <w:rPr>
          <w:rFonts w:ascii="Arial" w:hAnsi="Arial" w:cs="Arial"/>
          <w:sz w:val="16"/>
          <w:szCs w:val="16"/>
          <w:lang w:val="es-ES"/>
        </w:rPr>
      </w:pPr>
      <w:r w:rsidRPr="00200358">
        <w:rPr>
          <w:rStyle w:val="FootnoteReference"/>
          <w:rFonts w:ascii="Arial" w:hAnsi="Arial" w:cs="Arial"/>
          <w:sz w:val="16"/>
          <w:szCs w:val="16"/>
        </w:rPr>
        <w:footnoteRef/>
      </w:r>
      <w:r w:rsidRPr="00200358">
        <w:rPr>
          <w:rFonts w:ascii="Arial" w:hAnsi="Arial" w:cs="Arial"/>
          <w:sz w:val="16"/>
          <w:szCs w:val="16"/>
        </w:rPr>
        <w:t xml:space="preserve"> Nathan P. Myhrvold, Elita Baldridge, Benjamin Chan, Dhileep Sivam, Daniel L. Freeman y S. K. Morgan Ernest. 2015. An amniote life-history database to perform comparative analyses with birds, mammals, and reptiles. </w:t>
      </w:r>
      <w:r w:rsidRPr="00200358">
        <w:rPr>
          <w:rFonts w:ascii="Arial" w:hAnsi="Arial" w:cs="Arial"/>
          <w:sz w:val="16"/>
          <w:szCs w:val="16"/>
          <w:lang w:val="es-ES"/>
        </w:rPr>
        <w:t>Ecology 96:3109</w:t>
      </w:r>
    </w:p>
  </w:footnote>
  <w:footnote w:id="10">
    <w:p w14:paraId="5CEEF0D6" w14:textId="77777777" w:rsidR="00B10D9F" w:rsidRPr="00200358" w:rsidRDefault="00B10D9F" w:rsidP="00200358">
      <w:pPr>
        <w:pStyle w:val="FootnoteText"/>
        <w:jc w:val="both"/>
        <w:rPr>
          <w:rFonts w:ascii="Arial" w:hAnsi="Arial" w:cs="Arial"/>
          <w:sz w:val="16"/>
          <w:szCs w:val="16"/>
          <w:lang w:val="es-ES"/>
        </w:rPr>
      </w:pPr>
      <w:r w:rsidRPr="00200358">
        <w:rPr>
          <w:rStyle w:val="FootnoteReference"/>
          <w:rFonts w:ascii="Arial" w:hAnsi="Arial" w:cs="Arial"/>
          <w:sz w:val="16"/>
          <w:szCs w:val="16"/>
        </w:rPr>
        <w:footnoteRef/>
      </w:r>
      <w:r w:rsidRPr="00200358">
        <w:rPr>
          <w:rFonts w:ascii="Arial" w:hAnsi="Arial" w:cs="Arial"/>
          <w:sz w:val="16"/>
          <w:szCs w:val="16"/>
          <w:lang w:val="es-ES"/>
        </w:rPr>
        <w:t xml:space="preserve">Disponible en </w:t>
      </w:r>
      <w:r w:rsidR="00313A1B">
        <w:fldChar w:fldCharType="begin"/>
      </w:r>
      <w:r w:rsidR="00313A1B" w:rsidRPr="00313A1B">
        <w:rPr>
          <w:lang w:val="es-ES"/>
        </w:rPr>
        <w:instrText xml:space="preserve"> HYPERLINK "https://genomics.senescence.info/</w:instrText>
      </w:r>
      <w:r w:rsidR="00313A1B" w:rsidRPr="00313A1B">
        <w:rPr>
          <w:lang w:val="es-ES"/>
        </w:rPr>
        <w:instrText xml:space="preserve">" </w:instrText>
      </w:r>
      <w:r w:rsidR="00313A1B">
        <w:fldChar w:fldCharType="separate"/>
      </w:r>
      <w:r w:rsidRPr="00200358">
        <w:rPr>
          <w:rStyle w:val="Hyperlink"/>
          <w:rFonts w:ascii="Arial" w:hAnsi="Arial" w:cs="Arial"/>
          <w:sz w:val="16"/>
          <w:szCs w:val="16"/>
          <w:lang w:val="es-ES"/>
        </w:rPr>
        <w:t>https://genomics.senescence.info/</w:t>
      </w:r>
      <w:r w:rsidR="00313A1B">
        <w:rPr>
          <w:rStyle w:val="Hyperlink"/>
          <w:rFonts w:ascii="Arial" w:hAnsi="Arial" w:cs="Arial"/>
          <w:sz w:val="16"/>
          <w:szCs w:val="16"/>
          <w:lang w:val="es-ES"/>
        </w:rPr>
        <w:fldChar w:fldCharType="end"/>
      </w:r>
      <w:r w:rsidRPr="00200358">
        <w:rPr>
          <w:rFonts w:ascii="Arial" w:hAnsi="Arial" w:cs="Arial"/>
          <w:sz w:val="16"/>
          <w:szCs w:val="16"/>
          <w:lang w:val="es-ES"/>
        </w:rPr>
        <w:t xml:space="preserve"> </w:t>
      </w:r>
    </w:p>
  </w:footnote>
  <w:footnote w:id="11">
    <w:p w14:paraId="559A1702" w14:textId="77777777" w:rsidR="00B10D9F" w:rsidRPr="00233D22" w:rsidRDefault="00B10D9F" w:rsidP="00200358">
      <w:pPr>
        <w:pStyle w:val="FootnoteText"/>
        <w:jc w:val="both"/>
        <w:rPr>
          <w:rFonts w:ascii="Roboto" w:hAnsi="Roboto"/>
          <w:sz w:val="18"/>
          <w:szCs w:val="18"/>
          <w:lang w:val="es-ES"/>
        </w:rPr>
      </w:pPr>
      <w:r w:rsidRPr="00200358">
        <w:rPr>
          <w:rStyle w:val="FootnoteReference"/>
          <w:rFonts w:ascii="Arial" w:hAnsi="Arial" w:cs="Arial"/>
          <w:sz w:val="16"/>
          <w:szCs w:val="16"/>
        </w:rPr>
        <w:footnoteRef/>
      </w:r>
      <w:r w:rsidRPr="00200358">
        <w:rPr>
          <w:rFonts w:ascii="Arial" w:hAnsi="Arial" w:cs="Arial"/>
          <w:sz w:val="16"/>
          <w:szCs w:val="16"/>
          <w:lang w:val="es-ES"/>
        </w:rPr>
        <w:t xml:space="preserve">Disponible en </w:t>
      </w:r>
      <w:r w:rsidR="00313A1B">
        <w:fldChar w:fldCharType="begin"/>
      </w:r>
      <w:r w:rsidR="00313A1B" w:rsidRPr="00313A1B">
        <w:rPr>
          <w:lang w:val="es-ES"/>
        </w:rPr>
        <w:instrText xml:space="preserve"> HYPERLINK "https://www.fishbase.se/" </w:instrText>
      </w:r>
      <w:r w:rsidR="00313A1B">
        <w:fldChar w:fldCharType="separate"/>
      </w:r>
      <w:r w:rsidRPr="00200358">
        <w:rPr>
          <w:rStyle w:val="Hyperlink"/>
          <w:rFonts w:ascii="Arial" w:hAnsi="Arial" w:cs="Arial"/>
          <w:sz w:val="16"/>
          <w:szCs w:val="16"/>
          <w:lang w:val="es-ES"/>
        </w:rPr>
        <w:t>https://www.fishbase.se/</w:t>
      </w:r>
      <w:r w:rsidR="00313A1B">
        <w:rPr>
          <w:rStyle w:val="Hyperlink"/>
          <w:rFonts w:ascii="Arial" w:hAnsi="Arial" w:cs="Arial"/>
          <w:sz w:val="16"/>
          <w:szCs w:val="16"/>
          <w:lang w:val="es-ES"/>
        </w:rPr>
        <w:fldChar w:fldCharType="end"/>
      </w:r>
      <w:r w:rsidRPr="00233D22">
        <w:rPr>
          <w:rFonts w:ascii="Roboto" w:hAnsi="Roboto"/>
          <w:sz w:val="18"/>
          <w:szCs w:val="18"/>
          <w:lang w:val="es-ES"/>
        </w:rPr>
        <w:t xml:space="preserve"> </w:t>
      </w:r>
    </w:p>
  </w:footnote>
  <w:footnote w:id="12">
    <w:p w14:paraId="13719CB1" w14:textId="77777777" w:rsidR="00B10D9F" w:rsidRPr="00200358" w:rsidRDefault="00B10D9F" w:rsidP="00200358">
      <w:pPr>
        <w:pStyle w:val="FootnoteText"/>
        <w:jc w:val="both"/>
        <w:rPr>
          <w:rFonts w:ascii="Arial" w:hAnsi="Arial" w:cs="Arial"/>
          <w:sz w:val="16"/>
          <w:szCs w:val="16"/>
        </w:rPr>
      </w:pPr>
      <w:r w:rsidRPr="00200358">
        <w:rPr>
          <w:rStyle w:val="FootnoteReference"/>
          <w:rFonts w:ascii="Arial" w:hAnsi="Arial" w:cs="Arial"/>
          <w:sz w:val="16"/>
          <w:szCs w:val="16"/>
        </w:rPr>
        <w:footnoteRef/>
      </w:r>
      <w:r w:rsidRPr="00200358">
        <w:rPr>
          <w:rFonts w:ascii="Arial" w:hAnsi="Arial" w:cs="Arial"/>
          <w:sz w:val="16"/>
          <w:szCs w:val="16"/>
        </w:rPr>
        <w:t xml:space="preserve">Ducatez, S., Tingley, R. y Shine, R. (2016) Using species co-occurrence patterns to quantify relative habitat breadth in terrestrial vertebrates. Ecosphere, 5(12): 1-12. </w:t>
      </w:r>
      <w:hyperlink r:id="rId1" w:history="1">
        <w:r w:rsidRPr="00200358">
          <w:rPr>
            <w:rStyle w:val="Hyperlink"/>
            <w:rFonts w:ascii="Arial" w:hAnsi="Arial" w:cs="Arial"/>
            <w:sz w:val="16"/>
            <w:szCs w:val="16"/>
          </w:rPr>
          <w:t>https://figshare.com/collections/Using_species_co-occurrence_patterns_to_quantify_relative_habitat_breadth_in_terrestrial_vertebrates/3308385</w:t>
        </w:r>
      </w:hyperlink>
      <w:r w:rsidRPr="00200358">
        <w:rPr>
          <w:rFonts w:ascii="Arial" w:hAnsi="Arial" w:cs="Arial"/>
          <w:sz w:val="16"/>
          <w:szCs w:val="16"/>
        </w:rPr>
        <w:t xml:space="preserve"> </w:t>
      </w:r>
    </w:p>
  </w:footnote>
  <w:footnote w:id="13">
    <w:p w14:paraId="565C1124" w14:textId="77777777" w:rsidR="00B10D9F" w:rsidRPr="00200358" w:rsidRDefault="00B10D9F" w:rsidP="00CF7917">
      <w:pPr>
        <w:pStyle w:val="FootnoteText"/>
        <w:rPr>
          <w:rFonts w:ascii="Arial" w:hAnsi="Arial" w:cs="Arial"/>
          <w:sz w:val="16"/>
          <w:szCs w:val="16"/>
          <w:lang w:val="es-ES"/>
        </w:rPr>
      </w:pPr>
      <w:r w:rsidRPr="00200358">
        <w:rPr>
          <w:rStyle w:val="FootnoteReference"/>
          <w:rFonts w:ascii="Arial" w:hAnsi="Arial" w:cs="Arial"/>
          <w:sz w:val="16"/>
          <w:szCs w:val="16"/>
        </w:rPr>
        <w:footnoteRef/>
      </w:r>
      <w:r w:rsidRPr="00200358">
        <w:rPr>
          <w:rFonts w:ascii="Arial" w:hAnsi="Arial" w:cs="Arial"/>
          <w:sz w:val="16"/>
          <w:szCs w:val="16"/>
          <w:lang w:val="es-ES"/>
        </w:rPr>
        <w:t xml:space="preserve">Disponible en </w:t>
      </w:r>
      <w:r w:rsidR="00313A1B">
        <w:fldChar w:fldCharType="begin"/>
      </w:r>
      <w:r w:rsidR="00313A1B" w:rsidRPr="00313A1B">
        <w:rPr>
          <w:lang w:val="es-ES"/>
        </w:rPr>
        <w:instrText xml:space="preserve"> HYPERLINK "https://www.iucnred</w:instrText>
      </w:r>
      <w:r w:rsidR="00313A1B" w:rsidRPr="00313A1B">
        <w:rPr>
          <w:lang w:val="es-ES"/>
        </w:rPr>
        <w:instrText xml:space="preserve">list.org/resources/threat-classification-scheme" </w:instrText>
      </w:r>
      <w:r w:rsidR="00313A1B">
        <w:fldChar w:fldCharType="separate"/>
      </w:r>
      <w:r w:rsidRPr="00200358">
        <w:rPr>
          <w:rStyle w:val="Hyperlink"/>
          <w:rFonts w:ascii="Arial" w:hAnsi="Arial" w:cs="Arial"/>
          <w:sz w:val="16"/>
          <w:szCs w:val="16"/>
          <w:lang w:val="es-ES"/>
        </w:rPr>
        <w:t>https://www.iucnredlist.org/resources/threat-classification-scheme</w:t>
      </w:r>
      <w:r w:rsidR="00313A1B">
        <w:rPr>
          <w:rStyle w:val="Hyperlink"/>
          <w:rFonts w:ascii="Arial" w:hAnsi="Arial" w:cs="Arial"/>
          <w:sz w:val="16"/>
          <w:szCs w:val="16"/>
          <w:lang w:val="es-ES"/>
        </w:rPr>
        <w:fldChar w:fldCharType="end"/>
      </w:r>
      <w:r w:rsidRPr="00200358">
        <w:rPr>
          <w:rFonts w:ascii="Arial" w:hAnsi="Arial" w:cs="Arial"/>
          <w:sz w:val="16"/>
          <w:szCs w:val="16"/>
          <w:lang w:val="es-ES"/>
        </w:rPr>
        <w:t xml:space="preserve">. </w:t>
      </w:r>
    </w:p>
  </w:footnote>
  <w:footnote w:id="14">
    <w:p w14:paraId="250A74D6" w14:textId="77777777" w:rsidR="00B10D9F" w:rsidRPr="00200358" w:rsidRDefault="00B10D9F" w:rsidP="00CF7917">
      <w:pPr>
        <w:pBdr>
          <w:top w:val="nil"/>
          <w:left w:val="nil"/>
          <w:bottom w:val="nil"/>
          <w:right w:val="nil"/>
          <w:between w:val="nil"/>
        </w:pBdr>
        <w:spacing w:after="0" w:line="240" w:lineRule="auto"/>
        <w:rPr>
          <w:rFonts w:ascii="Arial" w:hAnsi="Arial" w:cs="Arial"/>
          <w:color w:val="000000"/>
          <w:sz w:val="16"/>
          <w:szCs w:val="16"/>
          <w:lang w:val="es-ES"/>
        </w:rPr>
      </w:pPr>
      <w:r w:rsidRPr="00200358">
        <w:rPr>
          <w:rStyle w:val="FootnoteReference"/>
          <w:rFonts w:ascii="Arial" w:hAnsi="Arial" w:cs="Arial"/>
          <w:sz w:val="16"/>
          <w:szCs w:val="16"/>
        </w:rPr>
        <w:footnoteRef/>
      </w:r>
      <w:r w:rsidRPr="00200358">
        <w:rPr>
          <w:rFonts w:ascii="Arial" w:hAnsi="Arial" w:cs="Arial"/>
          <w:color w:val="000000"/>
          <w:sz w:val="16"/>
          <w:szCs w:val="16"/>
          <w:lang w:val="es-ES"/>
        </w:rPr>
        <w:t xml:space="preserve">Disponible en </w:t>
      </w:r>
      <w:r w:rsidR="00313A1B">
        <w:fldChar w:fldCharType="begin"/>
      </w:r>
      <w:r w:rsidR="00313A1B" w:rsidRPr="00313A1B">
        <w:rPr>
          <w:lang w:val="es-ES"/>
        </w:rPr>
        <w:instrText xml:space="preserve"> HYPERLINK "https://trade.cites.org/" </w:instrText>
      </w:r>
      <w:r w:rsidR="00313A1B">
        <w:fldChar w:fldCharType="separate"/>
      </w:r>
      <w:r w:rsidRPr="00200358">
        <w:rPr>
          <w:rStyle w:val="Hyperlink"/>
          <w:rFonts w:ascii="Arial" w:hAnsi="Arial" w:cs="Arial"/>
          <w:sz w:val="16"/>
          <w:szCs w:val="16"/>
          <w:lang w:val="es-ES"/>
        </w:rPr>
        <w:t>https://trade.cites.org/es/cites_trade</w:t>
      </w:r>
      <w:r w:rsidR="00313A1B">
        <w:rPr>
          <w:rStyle w:val="Hyperlink"/>
          <w:rFonts w:ascii="Arial" w:hAnsi="Arial" w:cs="Arial"/>
          <w:sz w:val="16"/>
          <w:szCs w:val="16"/>
          <w:lang w:val="es-ES"/>
        </w:rPr>
        <w:fldChar w:fldCharType="end"/>
      </w:r>
      <w:r w:rsidRPr="00200358">
        <w:rPr>
          <w:rFonts w:ascii="Arial" w:hAnsi="Arial" w:cs="Arial"/>
          <w:color w:val="000000"/>
          <w:sz w:val="16"/>
          <w:szCs w:val="16"/>
          <w:lang w:val="es-ES"/>
        </w:rPr>
        <w:t>.</w:t>
      </w:r>
    </w:p>
  </w:footnote>
  <w:footnote w:id="15">
    <w:p w14:paraId="1D30F8A8" w14:textId="77777777" w:rsidR="00B10D9F" w:rsidRPr="00200358" w:rsidRDefault="00B10D9F" w:rsidP="00200358">
      <w:pPr>
        <w:pStyle w:val="FootnoteText"/>
        <w:jc w:val="both"/>
        <w:rPr>
          <w:rFonts w:ascii="Arial" w:hAnsi="Arial" w:cs="Arial"/>
          <w:sz w:val="16"/>
          <w:szCs w:val="16"/>
          <w:lang w:val="es-ES"/>
        </w:rPr>
      </w:pPr>
      <w:r w:rsidRPr="00200358">
        <w:rPr>
          <w:rStyle w:val="FootnoteReference"/>
          <w:rFonts w:ascii="Arial" w:hAnsi="Arial" w:cs="Arial"/>
          <w:sz w:val="16"/>
          <w:szCs w:val="16"/>
        </w:rPr>
        <w:footnoteRef/>
      </w:r>
      <w:r w:rsidRPr="00200358">
        <w:rPr>
          <w:rFonts w:ascii="Arial" w:hAnsi="Arial" w:cs="Arial"/>
          <w:sz w:val="16"/>
          <w:szCs w:val="16"/>
          <w:lang w:val="es-ES"/>
        </w:rPr>
        <w:t xml:space="preserve"> Comercio directo basado en las exportaciones brutas (la mayor de las cantidades declaradas por el exportador y el importador) para lo siguiente: </w:t>
      </w:r>
    </w:p>
    <w:p w14:paraId="7AC0005F" w14:textId="77777777" w:rsidR="00B10D9F" w:rsidRPr="00200358" w:rsidRDefault="00B10D9F" w:rsidP="00200358">
      <w:pPr>
        <w:pStyle w:val="FootnoteText"/>
        <w:jc w:val="both"/>
        <w:rPr>
          <w:rFonts w:ascii="Arial" w:hAnsi="Arial" w:cs="Arial"/>
          <w:sz w:val="16"/>
          <w:szCs w:val="16"/>
          <w:lang w:val="es-ES"/>
        </w:rPr>
      </w:pPr>
      <w:r w:rsidRPr="00200358">
        <w:rPr>
          <w:rFonts w:ascii="Arial" w:hAnsi="Arial" w:cs="Arial"/>
          <w:b/>
          <w:bCs/>
          <w:sz w:val="16"/>
          <w:szCs w:val="16"/>
          <w:lang w:val="es-ES"/>
        </w:rPr>
        <w:t>fuentes</w:t>
      </w:r>
      <w:r w:rsidRPr="00200358">
        <w:rPr>
          <w:rFonts w:ascii="Arial" w:hAnsi="Arial" w:cs="Arial"/>
          <w:sz w:val="16"/>
          <w:szCs w:val="16"/>
          <w:lang w:val="es-ES"/>
        </w:rPr>
        <w:t xml:space="preserve">: «R», «U», «W» y no declaradas; </w:t>
      </w:r>
      <w:r w:rsidRPr="00200358">
        <w:rPr>
          <w:rFonts w:ascii="Arial" w:hAnsi="Arial" w:cs="Arial"/>
          <w:b/>
          <w:bCs/>
          <w:sz w:val="16"/>
          <w:szCs w:val="16"/>
          <w:lang w:val="es-ES"/>
        </w:rPr>
        <w:t>términos de comercio</w:t>
      </w:r>
      <w:r w:rsidRPr="00200358">
        <w:rPr>
          <w:rFonts w:ascii="Arial" w:hAnsi="Arial" w:cs="Arial"/>
          <w:sz w:val="16"/>
          <w:szCs w:val="16"/>
          <w:lang w:val="es-ES"/>
        </w:rPr>
        <w:t xml:space="preserve">: barbas, cuerpos, huesos, tallas de hueso, piezas óseas, caparazones, tallas, huevos, huevos (vivos), aletas, agallas, vesículas biliares, tallas de cuernos, piezas de cuernos, cuernos, piezas de marfil, tallas de marfil, carne, placas, escamas, conchas, piezas de piel, pieles, esqueletos, calaveras, dientes, trofeos, colmillos; </w:t>
      </w:r>
      <w:r w:rsidRPr="00200358">
        <w:rPr>
          <w:rFonts w:ascii="Arial" w:hAnsi="Arial" w:cs="Arial"/>
          <w:b/>
          <w:bCs/>
          <w:sz w:val="16"/>
          <w:szCs w:val="16"/>
          <w:lang w:val="es-ES"/>
        </w:rPr>
        <w:t>unidades</w:t>
      </w:r>
      <w:r w:rsidRPr="00200358">
        <w:rPr>
          <w:rFonts w:ascii="Arial" w:hAnsi="Arial" w:cs="Arial"/>
          <w:sz w:val="16"/>
          <w:szCs w:val="16"/>
          <w:lang w:val="es-ES"/>
        </w:rPr>
        <w:t xml:space="preserve">: solo número y peso (kg); </w:t>
      </w:r>
      <w:r w:rsidRPr="00200358">
        <w:rPr>
          <w:rFonts w:ascii="Arial" w:hAnsi="Arial" w:cs="Arial"/>
          <w:b/>
          <w:bCs/>
          <w:sz w:val="16"/>
          <w:szCs w:val="16"/>
          <w:lang w:val="es-ES"/>
        </w:rPr>
        <w:t>objetivos</w:t>
      </w:r>
      <w:r w:rsidRPr="00200358">
        <w:rPr>
          <w:rFonts w:ascii="Arial" w:hAnsi="Arial" w:cs="Arial"/>
          <w:sz w:val="16"/>
          <w:szCs w:val="16"/>
          <w:lang w:val="es-ES"/>
        </w:rPr>
        <w:t xml:space="preserve">: todos excepto el científico («S») </w:t>
      </w:r>
    </w:p>
  </w:footnote>
  <w:footnote w:id="16">
    <w:p w14:paraId="32DB3752" w14:textId="77777777" w:rsidR="00B10D9F" w:rsidRPr="00200358" w:rsidRDefault="00B10D9F" w:rsidP="00200358">
      <w:pPr>
        <w:pBdr>
          <w:top w:val="nil"/>
          <w:left w:val="nil"/>
          <w:bottom w:val="nil"/>
          <w:right w:val="nil"/>
          <w:between w:val="nil"/>
        </w:pBdr>
        <w:spacing w:after="0" w:line="240" w:lineRule="auto"/>
        <w:jc w:val="both"/>
        <w:rPr>
          <w:rFonts w:ascii="Arial" w:hAnsi="Arial" w:cs="Arial"/>
          <w:color w:val="000000"/>
          <w:sz w:val="16"/>
          <w:szCs w:val="16"/>
          <w:lang w:val="es-ES"/>
        </w:rPr>
      </w:pPr>
      <w:r w:rsidRPr="00200358">
        <w:rPr>
          <w:rStyle w:val="FootnoteReference"/>
          <w:rFonts w:ascii="Arial" w:hAnsi="Arial" w:cs="Arial"/>
          <w:sz w:val="16"/>
          <w:szCs w:val="16"/>
        </w:rPr>
        <w:footnoteRef/>
      </w:r>
      <w:r w:rsidRPr="00200358">
        <w:rPr>
          <w:rFonts w:ascii="Arial" w:hAnsi="Arial" w:cs="Arial"/>
          <w:color w:val="000000"/>
          <w:sz w:val="16"/>
          <w:szCs w:val="16"/>
          <w:lang w:val="es-ES"/>
        </w:rPr>
        <w:t xml:space="preserve">Cuando solo figuren algunas poblaciones en el Apéndice I de la CMS, solo se incluirá el comercio de estas poblaciones. </w:t>
      </w:r>
    </w:p>
  </w:footnote>
  <w:footnote w:id="17">
    <w:p w14:paraId="1EE6138B" w14:textId="77777777" w:rsidR="00B10D9F" w:rsidRPr="00200358" w:rsidRDefault="00B10D9F" w:rsidP="00200358">
      <w:pPr>
        <w:pStyle w:val="FootnoteText"/>
        <w:jc w:val="both"/>
        <w:rPr>
          <w:rFonts w:ascii="Arial" w:hAnsi="Arial" w:cs="Arial"/>
          <w:sz w:val="16"/>
          <w:szCs w:val="16"/>
          <w:lang w:val="es-ES"/>
        </w:rPr>
      </w:pPr>
      <w:r w:rsidRPr="00200358">
        <w:rPr>
          <w:rStyle w:val="FootnoteReference"/>
          <w:rFonts w:ascii="Arial" w:hAnsi="Arial" w:cs="Arial"/>
          <w:sz w:val="16"/>
          <w:szCs w:val="16"/>
        </w:rPr>
        <w:footnoteRef/>
      </w:r>
      <w:r w:rsidRPr="00200358">
        <w:rPr>
          <w:rFonts w:ascii="Arial" w:hAnsi="Arial" w:cs="Arial"/>
          <w:sz w:val="16"/>
          <w:szCs w:val="16"/>
        </w:rPr>
        <w:t xml:space="preserve">TRAFFIC International (2021). Wildlife Trade Portal. </w:t>
      </w:r>
      <w:r w:rsidRPr="00200358">
        <w:rPr>
          <w:rFonts w:ascii="Arial" w:hAnsi="Arial" w:cs="Arial"/>
          <w:sz w:val="16"/>
          <w:szCs w:val="16"/>
          <w:lang w:val="es-ES"/>
        </w:rPr>
        <w:t xml:space="preserve">Disponible en </w:t>
      </w:r>
      <w:r w:rsidR="00313A1B">
        <w:fldChar w:fldCharType="begin"/>
      </w:r>
      <w:r w:rsidR="00313A1B" w:rsidRPr="00313A1B">
        <w:rPr>
          <w:lang w:val="es-ES"/>
        </w:rPr>
        <w:instrText xml:space="preserve"> HYPERLINK "http://www.wildlifetradeportal.org" </w:instrText>
      </w:r>
      <w:r w:rsidR="00313A1B">
        <w:fldChar w:fldCharType="separate"/>
      </w:r>
      <w:r w:rsidRPr="00200358">
        <w:rPr>
          <w:rStyle w:val="Hyperlink"/>
          <w:rFonts w:ascii="Arial" w:hAnsi="Arial" w:cs="Arial"/>
          <w:sz w:val="16"/>
          <w:szCs w:val="16"/>
          <w:lang w:val="es-ES"/>
        </w:rPr>
        <w:t>www.wildlifetradeportal.org</w:t>
      </w:r>
      <w:r w:rsidR="00313A1B">
        <w:rPr>
          <w:rStyle w:val="Hyperlink"/>
          <w:rFonts w:ascii="Arial" w:hAnsi="Arial" w:cs="Arial"/>
          <w:sz w:val="16"/>
          <w:szCs w:val="16"/>
          <w:lang w:val="es-ES"/>
        </w:rPr>
        <w:fldChar w:fldCharType="end"/>
      </w:r>
      <w:r w:rsidRPr="00200358">
        <w:rPr>
          <w:rFonts w:ascii="Arial" w:hAnsi="Arial" w:cs="Arial"/>
          <w:sz w:val="16"/>
          <w:szCs w:val="16"/>
          <w:lang w:val="es-ES"/>
        </w:rPr>
        <w:t>. Solo se ha incluido la asignación taxonómica directa entre los nombres aceptados.</w:t>
      </w:r>
    </w:p>
  </w:footnote>
  <w:footnote w:id="18">
    <w:p w14:paraId="7B886B4C" w14:textId="77777777" w:rsidR="00B10D9F" w:rsidRPr="00200358" w:rsidRDefault="00B10D9F" w:rsidP="00200358">
      <w:pPr>
        <w:pStyle w:val="FootnoteText"/>
        <w:jc w:val="both"/>
        <w:rPr>
          <w:rFonts w:ascii="Arial" w:hAnsi="Arial" w:cs="Arial"/>
          <w:sz w:val="16"/>
          <w:szCs w:val="16"/>
          <w:lang w:val="es-ES"/>
        </w:rPr>
      </w:pPr>
      <w:r w:rsidRPr="00200358">
        <w:rPr>
          <w:rStyle w:val="FootnoteReference"/>
          <w:rFonts w:ascii="Arial" w:hAnsi="Arial" w:cs="Arial"/>
          <w:sz w:val="16"/>
          <w:szCs w:val="16"/>
        </w:rPr>
        <w:footnoteRef/>
      </w:r>
      <w:r w:rsidRPr="00200358">
        <w:rPr>
          <w:rFonts w:ascii="Arial" w:hAnsi="Arial" w:cs="Arial"/>
          <w:sz w:val="16"/>
          <w:szCs w:val="16"/>
          <w:lang w:val="es-ES"/>
        </w:rPr>
        <w:t xml:space="preserve">Por ejemplo, Brochet </w:t>
      </w:r>
      <w:r w:rsidRPr="00200358">
        <w:rPr>
          <w:rFonts w:ascii="Arial" w:hAnsi="Arial" w:cs="Arial"/>
          <w:i/>
          <w:iCs/>
          <w:sz w:val="16"/>
          <w:szCs w:val="16"/>
          <w:lang w:val="es-ES"/>
        </w:rPr>
        <w:t>et al</w:t>
      </w:r>
      <w:r w:rsidRPr="00200358">
        <w:rPr>
          <w:rFonts w:ascii="Arial" w:hAnsi="Arial" w:cs="Arial"/>
          <w:sz w:val="16"/>
          <w:szCs w:val="16"/>
          <w:lang w:val="es-ES"/>
        </w:rPr>
        <w:t xml:space="preserve">. 2016. </w:t>
      </w:r>
      <w:r w:rsidRPr="00200358">
        <w:rPr>
          <w:rFonts w:ascii="Arial" w:hAnsi="Arial" w:cs="Arial"/>
          <w:sz w:val="16"/>
          <w:szCs w:val="16"/>
        </w:rPr>
        <w:t xml:space="preserve">Preliminary assessment of the scope and scale of illegal killing and taking of birds in the Mediterranean. </w:t>
      </w:r>
      <w:r w:rsidRPr="00200358">
        <w:rPr>
          <w:rFonts w:ascii="Arial" w:hAnsi="Arial" w:cs="Arial"/>
          <w:sz w:val="16"/>
          <w:szCs w:val="16"/>
          <w:lang w:val="es-ES"/>
        </w:rPr>
        <w:t>Bird Conservation International. 26 (1).</w:t>
      </w:r>
    </w:p>
  </w:footnote>
  <w:footnote w:id="19">
    <w:p w14:paraId="3B893E77" w14:textId="77777777" w:rsidR="00B10D9F" w:rsidRPr="00200358" w:rsidRDefault="00B10D9F" w:rsidP="00200358">
      <w:pPr>
        <w:pBdr>
          <w:top w:val="nil"/>
          <w:left w:val="nil"/>
          <w:bottom w:val="nil"/>
          <w:right w:val="nil"/>
          <w:between w:val="nil"/>
        </w:pBdr>
        <w:spacing w:after="0" w:line="240" w:lineRule="auto"/>
        <w:jc w:val="both"/>
        <w:rPr>
          <w:rFonts w:ascii="Arial" w:hAnsi="Arial" w:cs="Arial"/>
          <w:color w:val="000000"/>
          <w:sz w:val="16"/>
          <w:szCs w:val="16"/>
          <w:lang w:val="es-ES"/>
        </w:rPr>
      </w:pPr>
      <w:r w:rsidRPr="00200358">
        <w:rPr>
          <w:rStyle w:val="FootnoteReference"/>
          <w:rFonts w:ascii="Arial" w:hAnsi="Arial" w:cs="Arial"/>
          <w:sz w:val="16"/>
          <w:szCs w:val="16"/>
        </w:rPr>
        <w:footnoteRef/>
      </w:r>
      <w:r w:rsidRPr="00200358">
        <w:rPr>
          <w:rFonts w:ascii="Arial" w:hAnsi="Arial" w:cs="Arial"/>
          <w:color w:val="000000"/>
          <w:sz w:val="16"/>
          <w:szCs w:val="16"/>
          <w:lang w:val="es-ES"/>
        </w:rPr>
        <w:t xml:space="preserve"> Se excluyeron las incautaciones notificadas a un nivel taxonómico superior.</w:t>
      </w:r>
    </w:p>
  </w:footnote>
  <w:footnote w:id="20">
    <w:p w14:paraId="1B2E3ED0" w14:textId="77777777" w:rsidR="00B10D9F" w:rsidRPr="00200358" w:rsidRDefault="00B10D9F" w:rsidP="00200358">
      <w:pPr>
        <w:pStyle w:val="FootnoteText"/>
        <w:jc w:val="both"/>
        <w:rPr>
          <w:rFonts w:ascii="Arial" w:hAnsi="Arial" w:cs="Arial"/>
          <w:sz w:val="16"/>
          <w:szCs w:val="16"/>
          <w:lang w:val="es-ES"/>
        </w:rPr>
      </w:pPr>
      <w:r w:rsidRPr="00200358">
        <w:rPr>
          <w:rStyle w:val="FootnoteReference"/>
          <w:rFonts w:ascii="Arial" w:hAnsi="Arial" w:cs="Arial"/>
          <w:sz w:val="16"/>
          <w:szCs w:val="16"/>
        </w:rPr>
        <w:footnoteRef/>
      </w:r>
      <w:r w:rsidRPr="00200358">
        <w:rPr>
          <w:rFonts w:ascii="Arial" w:hAnsi="Arial" w:cs="Arial"/>
          <w:sz w:val="16"/>
          <w:szCs w:val="16"/>
          <w:lang w:val="es-ES"/>
        </w:rPr>
        <w:t xml:space="preserve"> Debido al ciclo de presentación de informes, los datos de LEMIS solo estaban disponibles de 2015 a 2019.</w:t>
      </w:r>
    </w:p>
  </w:footnote>
  <w:footnote w:id="21">
    <w:p w14:paraId="582C7466" w14:textId="77777777" w:rsidR="00B10D9F" w:rsidRPr="00233D22" w:rsidRDefault="00B10D9F" w:rsidP="00200358">
      <w:pPr>
        <w:pStyle w:val="FootnoteText"/>
        <w:jc w:val="both"/>
        <w:rPr>
          <w:lang w:val="es-ES"/>
        </w:rPr>
      </w:pPr>
      <w:r w:rsidRPr="00200358">
        <w:rPr>
          <w:rStyle w:val="FootnoteReference"/>
          <w:rFonts w:ascii="Arial" w:hAnsi="Arial" w:cs="Arial"/>
          <w:sz w:val="16"/>
          <w:szCs w:val="16"/>
        </w:rPr>
        <w:footnoteRef/>
      </w:r>
      <w:r w:rsidRPr="00200358">
        <w:rPr>
          <w:rFonts w:ascii="Arial" w:hAnsi="Arial" w:cs="Arial"/>
          <w:sz w:val="16"/>
          <w:szCs w:val="16"/>
          <w:lang w:val="es-ES"/>
        </w:rPr>
        <w:t xml:space="preserve"> </w:t>
      </w:r>
      <w:r w:rsidR="00313A1B">
        <w:fldChar w:fldCharType="begin"/>
      </w:r>
      <w:r w:rsidR="00313A1B" w:rsidRPr="00313A1B">
        <w:rPr>
          <w:lang w:val="es-ES"/>
        </w:rPr>
        <w:instrText xml:space="preserve"> HYPERLINK "https://nc.iucnredlist.org/redlist/content/attachment_files/Dec_2012_Guidance_on_Threat_Impact_Scoring_Revised.pdf" </w:instrText>
      </w:r>
      <w:r w:rsidR="00313A1B">
        <w:fldChar w:fldCharType="separate"/>
      </w:r>
      <w:r w:rsidRPr="00200358">
        <w:rPr>
          <w:rStyle w:val="Hyperlink"/>
          <w:rFonts w:ascii="Arial" w:hAnsi="Arial" w:cs="Arial"/>
          <w:sz w:val="16"/>
          <w:szCs w:val="16"/>
          <w:lang w:val="es-ES"/>
        </w:rPr>
        <w:t>https://nc.iucnredlist.org/redlist/content/attachment_files/Dec_2012_Guidance_on_Threat_Impact_Scoring_Revised.pdf</w:t>
      </w:r>
      <w:r w:rsidR="00313A1B">
        <w:rPr>
          <w:rStyle w:val="Hyperlink"/>
          <w:rFonts w:ascii="Arial" w:hAnsi="Arial" w:cs="Arial"/>
          <w:sz w:val="16"/>
          <w:szCs w:val="16"/>
          <w:lang w:val="es-ES"/>
        </w:rPr>
        <w:fldChar w:fldCharType="end"/>
      </w:r>
      <w:r w:rsidRPr="00233D22">
        <w:rPr>
          <w:rFonts w:ascii="Roboto" w:hAnsi="Roboto"/>
          <w:sz w:val="18"/>
          <w:szCs w:val="18"/>
          <w:lang w:val="es-ES"/>
        </w:rPr>
        <w:t xml:space="preserve"> </w:t>
      </w:r>
    </w:p>
  </w:footnote>
  <w:footnote w:id="22">
    <w:p w14:paraId="3C7A47CB" w14:textId="77777777" w:rsidR="00B10D9F" w:rsidRPr="00233D22" w:rsidRDefault="00B10D9F" w:rsidP="00CF7917">
      <w:pPr>
        <w:pStyle w:val="FootnoteText"/>
        <w:rPr>
          <w:rFonts w:ascii="Roboto" w:hAnsi="Roboto"/>
          <w:lang w:val="es-ES"/>
        </w:rPr>
      </w:pPr>
      <w:r w:rsidRPr="00B002CF">
        <w:rPr>
          <w:rStyle w:val="FootnoteReference"/>
          <w:rFonts w:ascii="Roboto" w:hAnsi="Roboto"/>
          <w:sz w:val="18"/>
          <w:szCs w:val="18"/>
        </w:rPr>
        <w:footnoteRef/>
      </w:r>
      <w:r w:rsidRPr="00233D22">
        <w:rPr>
          <w:rFonts w:ascii="Roboto" w:hAnsi="Roboto"/>
          <w:sz w:val="18"/>
          <w:szCs w:val="18"/>
          <w:lang w:val="es-ES"/>
        </w:rPr>
        <w:t xml:space="preserve">Disponible en </w:t>
      </w:r>
      <w:r w:rsidR="00313A1B">
        <w:fldChar w:fldCharType="begin"/>
      </w:r>
      <w:r w:rsidR="00313A1B" w:rsidRPr="00313A1B">
        <w:rPr>
          <w:lang w:val="es-ES"/>
        </w:rPr>
        <w:instrText xml:space="preserve"> HYPERLINK "http://www.cites.org" </w:instrText>
      </w:r>
      <w:r w:rsidR="00313A1B">
        <w:fldChar w:fldCharType="separate"/>
      </w:r>
      <w:r w:rsidRPr="00233D22">
        <w:rPr>
          <w:rStyle w:val="Hyperlink"/>
          <w:rFonts w:ascii="Roboto" w:hAnsi="Roboto"/>
          <w:sz w:val="18"/>
          <w:szCs w:val="18"/>
          <w:lang w:val="es-ES"/>
        </w:rPr>
        <w:t>https://cites.org/esp</w:t>
      </w:r>
      <w:r w:rsidR="00313A1B">
        <w:rPr>
          <w:rStyle w:val="Hyperlink"/>
          <w:rFonts w:ascii="Roboto" w:hAnsi="Roboto"/>
          <w:sz w:val="18"/>
          <w:szCs w:val="18"/>
          <w:lang w:val="es-ES"/>
        </w:rPr>
        <w:fldChar w:fldCharType="end"/>
      </w:r>
      <w:r w:rsidRPr="00233D22">
        <w:rPr>
          <w:rFonts w:ascii="Roboto" w:hAnsi="Roboto"/>
          <w:sz w:val="18"/>
          <w:szCs w:val="18"/>
          <w:lang w:val="es-ES"/>
        </w:rPr>
        <w:t>.</w:t>
      </w:r>
    </w:p>
  </w:footnote>
  <w:footnote w:id="23">
    <w:p w14:paraId="3A210F50" w14:textId="77777777" w:rsidR="00B10D9F" w:rsidRPr="00233D22" w:rsidRDefault="00B10D9F" w:rsidP="00CF7917">
      <w:pPr>
        <w:pStyle w:val="FootnoteText"/>
        <w:rPr>
          <w:rFonts w:ascii="Roboto" w:hAnsi="Roboto"/>
          <w:sz w:val="18"/>
          <w:szCs w:val="18"/>
          <w:lang w:val="es-ES"/>
        </w:rPr>
      </w:pPr>
      <w:r w:rsidRPr="005D0296">
        <w:rPr>
          <w:rStyle w:val="FootnoteReference"/>
          <w:rFonts w:ascii="Roboto" w:hAnsi="Roboto"/>
          <w:sz w:val="18"/>
          <w:szCs w:val="18"/>
        </w:rPr>
        <w:footnoteRef/>
      </w:r>
      <w:r w:rsidRPr="00233D22">
        <w:rPr>
          <w:rFonts w:ascii="Roboto" w:hAnsi="Roboto"/>
          <w:sz w:val="18"/>
          <w:szCs w:val="18"/>
          <w:lang w:val="es-ES"/>
        </w:rPr>
        <w:t xml:space="preserve">Disponible en </w:t>
      </w:r>
      <w:r w:rsidR="00313A1B">
        <w:fldChar w:fldCharType="begin"/>
      </w:r>
      <w:r w:rsidR="00313A1B" w:rsidRPr="00313A1B">
        <w:rPr>
          <w:lang w:val="es-ES"/>
        </w:rPr>
        <w:instrText xml:space="preserve"> HYPERLINK "https://www.cms.int/en/documents/national-reports" </w:instrText>
      </w:r>
      <w:r w:rsidR="00313A1B">
        <w:fldChar w:fldCharType="separate"/>
      </w:r>
      <w:r w:rsidRPr="00233D22">
        <w:rPr>
          <w:rStyle w:val="Hyperlink"/>
          <w:rFonts w:ascii="Roboto" w:hAnsi="Roboto"/>
          <w:sz w:val="18"/>
          <w:szCs w:val="18"/>
          <w:lang w:val="es-ES"/>
        </w:rPr>
        <w:t>https://www.cms.int/es/documents/national-reports</w:t>
      </w:r>
      <w:r w:rsidR="00313A1B">
        <w:rPr>
          <w:rStyle w:val="Hyperlink"/>
          <w:rFonts w:ascii="Roboto" w:hAnsi="Roboto"/>
          <w:sz w:val="18"/>
          <w:szCs w:val="18"/>
          <w:lang w:val="es-ES"/>
        </w:rPr>
        <w:fldChar w:fldCharType="end"/>
      </w:r>
      <w:r w:rsidRPr="00233D22">
        <w:rPr>
          <w:rFonts w:ascii="Roboto" w:hAnsi="Roboto"/>
          <w:sz w:val="18"/>
          <w:szCs w:val="18"/>
          <w:lang w:val="es-ES"/>
        </w:rPr>
        <w:t>. Solo el 61 % de las Partes actuales de la CMS presentaron informes nacionales durante el último ciclo de presentación de informes nacionales.</w:t>
      </w:r>
    </w:p>
  </w:footnote>
  <w:footnote w:id="24">
    <w:p w14:paraId="4F8109B0" w14:textId="7E3CE980" w:rsidR="00B10D9F" w:rsidRPr="00200358" w:rsidRDefault="00B10D9F" w:rsidP="00200358">
      <w:pPr>
        <w:pStyle w:val="FootnoteText"/>
        <w:jc w:val="both"/>
        <w:rPr>
          <w:rFonts w:ascii="Arial" w:hAnsi="Arial" w:cs="Arial"/>
          <w:sz w:val="16"/>
          <w:szCs w:val="16"/>
          <w:lang w:val="es-ES"/>
        </w:rPr>
      </w:pPr>
      <w:r w:rsidRPr="00200358">
        <w:rPr>
          <w:rStyle w:val="FootnoteReference"/>
          <w:rFonts w:ascii="Arial" w:hAnsi="Arial" w:cs="Arial"/>
          <w:sz w:val="16"/>
          <w:szCs w:val="16"/>
        </w:rPr>
        <w:footnoteRef/>
      </w:r>
      <w:r w:rsidRPr="00200358">
        <w:rPr>
          <w:rFonts w:ascii="Arial" w:hAnsi="Arial" w:cs="Arial"/>
          <w:sz w:val="16"/>
          <w:szCs w:val="16"/>
          <w:lang w:val="es-ES"/>
        </w:rPr>
        <w:t xml:space="preserve"> Las fuentes de datos utilizadas en la categoría 5 (comportamiento migratorio) pueden diferir de la CMS en su definición de "migratorio" y no deberían utilizarse para sacar conclusiones sobre si se cumple la definición específica de "migratorio" de la CMS. Los datos que faltan (es decir, para los taxones que no se puntúan) no son una prueba de que una especie no sea migratoria. </w:t>
      </w:r>
    </w:p>
  </w:footnote>
  <w:footnote w:id="25">
    <w:p w14:paraId="21553E5D" w14:textId="77777777" w:rsidR="00B10D9F" w:rsidRPr="00200358" w:rsidRDefault="00B10D9F" w:rsidP="00200358">
      <w:pPr>
        <w:pStyle w:val="FootnoteText"/>
        <w:jc w:val="both"/>
        <w:rPr>
          <w:rFonts w:ascii="Arial" w:hAnsi="Arial" w:cs="Arial"/>
          <w:sz w:val="16"/>
          <w:szCs w:val="16"/>
        </w:rPr>
      </w:pPr>
      <w:r w:rsidRPr="00200358">
        <w:rPr>
          <w:rStyle w:val="FootnoteReference"/>
          <w:rFonts w:ascii="Arial" w:hAnsi="Arial" w:cs="Arial"/>
          <w:sz w:val="16"/>
          <w:szCs w:val="16"/>
        </w:rPr>
        <w:footnoteRef/>
      </w:r>
      <w:r w:rsidRPr="00200358">
        <w:rPr>
          <w:rFonts w:ascii="Arial" w:hAnsi="Arial" w:cs="Arial"/>
          <w:sz w:val="16"/>
          <w:szCs w:val="16"/>
          <w:lang w:val="es-ES"/>
        </w:rPr>
        <w:t>Especies pertenecientes a las familias y géneros de aves desglosadas que figuran en el Apéndice II de la CMS.</w:t>
      </w:r>
      <w:r w:rsidR="00313A1B">
        <w:fldChar w:fldCharType="begin"/>
      </w:r>
      <w:r w:rsidR="00313A1B" w:rsidRPr="00313A1B">
        <w:rPr>
          <w:lang w:val="es-ES"/>
        </w:rPr>
        <w:instrText xml:space="preserve"> HYPERLINK "http</w:instrText>
      </w:r>
      <w:r w:rsidR="00313A1B" w:rsidRPr="00313A1B">
        <w:rPr>
          <w:lang w:val="es-ES"/>
        </w:rPr>
        <w:instrText xml:space="preserve">s://www.cms.int/sites/default/files/document/cms_cop13_doc.27.3_annex3_e.xlsx" </w:instrText>
      </w:r>
      <w:r w:rsidR="00313A1B">
        <w:fldChar w:fldCharType="separate"/>
      </w:r>
      <w:r w:rsidRPr="00200358">
        <w:rPr>
          <w:rStyle w:val="Hyperlink"/>
          <w:rFonts w:ascii="Arial" w:hAnsi="Arial" w:cs="Arial"/>
          <w:sz w:val="16"/>
          <w:szCs w:val="16"/>
        </w:rPr>
        <w:t>https://www.cms.int/sites/default/files/document/cms_cop13_doc.27.3_annex3_e.xlsx</w:t>
      </w:r>
      <w:r w:rsidR="00313A1B">
        <w:rPr>
          <w:rStyle w:val="Hyperlink"/>
          <w:rFonts w:ascii="Arial" w:hAnsi="Arial" w:cs="Arial"/>
          <w:sz w:val="16"/>
          <w:szCs w:val="16"/>
        </w:rPr>
        <w:fldChar w:fldCharType="end"/>
      </w:r>
      <w:r w:rsidRPr="00200358">
        <w:rPr>
          <w:rFonts w:ascii="Arial" w:hAnsi="Arial" w:cs="Arial"/>
          <w:sz w:val="16"/>
          <w:szCs w:val="16"/>
        </w:rPr>
        <w:t xml:space="preserve"> </w:t>
      </w:r>
    </w:p>
  </w:footnote>
  <w:footnote w:id="26">
    <w:p w14:paraId="4201013C" w14:textId="2839A37C" w:rsidR="00B10D9F" w:rsidRPr="00200358" w:rsidRDefault="00B10D9F" w:rsidP="00200358">
      <w:pPr>
        <w:pStyle w:val="FootnoteText"/>
        <w:jc w:val="both"/>
        <w:rPr>
          <w:rFonts w:ascii="Arial" w:hAnsi="Arial" w:cs="Arial"/>
          <w:sz w:val="16"/>
          <w:szCs w:val="16"/>
          <w:lang w:val="en-US"/>
        </w:rPr>
      </w:pPr>
      <w:r w:rsidRPr="00200358">
        <w:rPr>
          <w:rStyle w:val="FootnoteReference"/>
          <w:rFonts w:ascii="Arial" w:hAnsi="Arial" w:cs="Arial"/>
          <w:sz w:val="16"/>
          <w:szCs w:val="16"/>
        </w:rPr>
        <w:footnoteRef/>
      </w:r>
      <w:r w:rsidRPr="00200358">
        <w:rPr>
          <w:rFonts w:ascii="Arial" w:hAnsi="Arial" w:cs="Arial"/>
          <w:sz w:val="16"/>
          <w:szCs w:val="16"/>
          <w:lang w:val="es-ES"/>
        </w:rPr>
        <w:t xml:space="preserve"> </w:t>
      </w:r>
      <w:r w:rsidRPr="00200358">
        <w:rPr>
          <w:rFonts w:ascii="Arial" w:hAnsi="Arial" w:cs="Arial"/>
          <w:sz w:val="16"/>
          <w:szCs w:val="16"/>
          <w:lang w:val="es-ES"/>
        </w:rPr>
        <w:t xml:space="preserve">Eyres, A., Böhning-Gaese, K. y Fritz, S. A. (2017) Cuantificación de los nichos climáticos en las aves: añadiendo la dimensión temporal. </w:t>
      </w:r>
      <w:r w:rsidRPr="00200358">
        <w:rPr>
          <w:rFonts w:ascii="Arial" w:hAnsi="Arial" w:cs="Arial"/>
          <w:i/>
          <w:sz w:val="16"/>
          <w:szCs w:val="16"/>
        </w:rPr>
        <w:t>Journal of Avian Biology</w:t>
      </w:r>
      <w:r w:rsidRPr="00200358">
        <w:rPr>
          <w:rFonts w:ascii="Arial" w:hAnsi="Arial" w:cs="Arial"/>
          <w:sz w:val="16"/>
          <w:szCs w:val="16"/>
        </w:rPr>
        <w:t xml:space="preserve"> 48(12), 1517-1531. </w:t>
      </w:r>
      <w:hyperlink r:id="rId2" w:history="1">
        <w:r w:rsidRPr="00200358">
          <w:rPr>
            <w:rStyle w:val="Hyperlink"/>
            <w:rFonts w:ascii="Arial" w:hAnsi="Arial" w:cs="Arial"/>
            <w:sz w:val="16"/>
            <w:szCs w:val="16"/>
          </w:rPr>
          <w:t>https://doi.org/10.1111/jav.01308</w:t>
        </w:r>
      </w:hyperlink>
      <w:r w:rsidRPr="00200358">
        <w:rPr>
          <w:rFonts w:ascii="Arial" w:hAnsi="Arial" w:cs="Arial"/>
          <w:sz w:val="16"/>
          <w:szCs w:val="16"/>
        </w:rPr>
        <w:t xml:space="preserve">. </w:t>
      </w:r>
      <w:r w:rsidRPr="00200358">
        <w:rPr>
          <w:rFonts w:ascii="Arial" w:hAnsi="Arial" w:cs="Arial"/>
          <w:sz w:val="16"/>
          <w:szCs w:val="16"/>
          <w:lang w:val="en-US"/>
        </w:rPr>
        <w:t xml:space="preserve">Datos accesible via </w:t>
      </w:r>
      <w:hyperlink r:id="rId3" w:history="1">
        <w:r w:rsidRPr="00200358">
          <w:rPr>
            <w:rStyle w:val="Hyperlink"/>
            <w:rFonts w:ascii="Arial" w:hAnsi="Arial" w:cs="Arial"/>
            <w:sz w:val="16"/>
            <w:szCs w:val="16"/>
            <w:lang w:val="en-US"/>
          </w:rPr>
          <w:t>https://dataportal.senckenberg.de/dataset/migratory-behaviour-in-birds-a-classification-across-all-living-species</w:t>
        </w:r>
      </w:hyperlink>
      <w:r w:rsidRPr="00200358">
        <w:rPr>
          <w:rStyle w:val="Hyperlink"/>
          <w:rFonts w:ascii="Arial" w:hAnsi="Arial" w:cs="Arial"/>
          <w:sz w:val="16"/>
          <w:szCs w:val="16"/>
          <w:lang w:val="en-US"/>
        </w:rPr>
        <w:t>.</w:t>
      </w:r>
      <w:r w:rsidRPr="00200358">
        <w:rPr>
          <w:rFonts w:ascii="Arial" w:hAnsi="Arial" w:cs="Arial"/>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B60E" w14:textId="1BEF65E1" w:rsidR="00B10D9F" w:rsidRPr="00B10D9F" w:rsidRDefault="00313A1B" w:rsidP="00200358">
    <w:pPr>
      <w:pStyle w:val="Header"/>
      <w:pBdr>
        <w:bottom w:val="single" w:sz="4" w:space="1" w:color="auto"/>
      </w:pBdr>
      <w:rPr>
        <w:rFonts w:ascii="Arial" w:hAnsi="Arial" w:cs="Arial"/>
        <w:i/>
        <w:iCs/>
        <w:sz w:val="18"/>
        <w:szCs w:val="18"/>
      </w:rPr>
    </w:pPr>
    <w:bookmarkStart w:id="5" w:name="_Hlk74911739"/>
    <w:r>
      <w:rPr>
        <w:rFonts w:ascii="Arial" w:hAnsi="Arial" w:cs="Arial"/>
        <w:i/>
        <w:iCs/>
        <w:noProof/>
        <w:sz w:val="18"/>
        <w:szCs w:val="18"/>
      </w:rPr>
      <w:pict w14:anchorId="55E98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374.6pt;height:224.75pt;rotation:315;z-index:-25165004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B10D9F" w:rsidRPr="00B10D9F">
      <w:rPr>
        <w:rFonts w:ascii="Arial" w:hAnsi="Arial" w:cs="Arial"/>
        <w:i/>
        <w:iCs/>
        <w:sz w:val="18"/>
        <w:szCs w:val="18"/>
      </w:rPr>
      <w:t>UNEP/CMS/</w:t>
    </w:r>
    <w:r w:rsidR="00200358">
      <w:rPr>
        <w:rFonts w:ascii="Arial" w:hAnsi="Arial" w:cs="Arial"/>
        <w:i/>
        <w:iCs/>
        <w:sz w:val="18"/>
        <w:szCs w:val="18"/>
      </w:rPr>
      <w:t>ScC-SC5/</w:t>
    </w:r>
    <w:r w:rsidR="00B10D9F" w:rsidRPr="00B10D9F">
      <w:rPr>
        <w:rFonts w:ascii="Arial" w:hAnsi="Arial" w:cs="Arial"/>
        <w:i/>
        <w:iCs/>
        <w:sz w:val="18"/>
        <w:szCs w:val="18"/>
      </w:rPr>
      <w:t>Doc.5/</w:t>
    </w:r>
    <w:r w:rsidR="00200358">
      <w:rPr>
        <w:rFonts w:ascii="Arial" w:hAnsi="Arial" w:cs="Arial"/>
        <w:i/>
        <w:iCs/>
        <w:sz w:val="18"/>
        <w:szCs w:val="18"/>
      </w:rPr>
      <w:t>Rev.1/</w:t>
    </w:r>
    <w:r w:rsidR="00B10D9F" w:rsidRPr="00B10D9F">
      <w:rPr>
        <w:rFonts w:ascii="Arial" w:hAnsi="Arial" w:cs="Arial"/>
        <w:i/>
        <w:iCs/>
        <w:sz w:val="18"/>
        <w:szCs w:val="18"/>
      </w:rPr>
      <w:t>Anexo 3</w:t>
    </w:r>
  </w:p>
  <w:bookmarkEnd w:id="5"/>
  <w:p w14:paraId="13DEC27E" w14:textId="77777777" w:rsidR="00B10D9F" w:rsidRDefault="00313A1B">
    <w:pPr>
      <w:pStyle w:val="Header"/>
    </w:pPr>
    <w:r>
      <w:rPr>
        <w:noProof/>
      </w:rPr>
      <w:pict w14:anchorId="03500677">
        <v:shape id="PowerPlusWaterMarkObject1093464338" o:spid="_x0000_s1029" type="#_x0000_t136" style="position:absolute;margin-left:0;margin-top:0;width:374.6pt;height:224.75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2B7B5" w14:textId="0823E7B3" w:rsidR="00B10D9F" w:rsidRPr="00B10D9F" w:rsidRDefault="00313A1B" w:rsidP="004224A6">
    <w:pPr>
      <w:pStyle w:val="Header"/>
      <w:pBdr>
        <w:bottom w:val="single" w:sz="4" w:space="1" w:color="auto"/>
      </w:pBdr>
      <w:jc w:val="right"/>
      <w:rPr>
        <w:rFonts w:ascii="Arial" w:hAnsi="Arial" w:cs="Arial"/>
        <w:i/>
        <w:iCs/>
        <w:sz w:val="18"/>
        <w:szCs w:val="18"/>
      </w:rPr>
    </w:pPr>
    <w:bookmarkStart w:id="6" w:name="_Hlk74910630"/>
    <w:bookmarkStart w:id="7" w:name="_Hlk74910631"/>
    <w:r>
      <w:rPr>
        <w:rFonts w:ascii="Arial" w:hAnsi="Arial" w:cs="Arial"/>
        <w:i/>
        <w:iCs/>
        <w:noProof/>
        <w:sz w:val="18"/>
        <w:szCs w:val="18"/>
      </w:rPr>
      <w:pict w14:anchorId="3014C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464339" o:spid="_x0000_s1030" type="#_x0000_t136" style="position:absolute;left:0;text-align:left;margin-left:0;margin-top:0;width:374.6pt;height:224.75pt;rotation:315;z-index:-25165209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B10D9F" w:rsidRPr="00B10D9F">
      <w:rPr>
        <w:rFonts w:ascii="Arial" w:hAnsi="Arial" w:cs="Arial"/>
        <w:i/>
        <w:iCs/>
        <w:sz w:val="18"/>
        <w:szCs w:val="18"/>
      </w:rPr>
      <w:t>UNEP/CMS/</w:t>
    </w:r>
    <w:r w:rsidR="004224A6">
      <w:rPr>
        <w:rFonts w:ascii="Arial" w:hAnsi="Arial" w:cs="Arial"/>
        <w:i/>
        <w:iCs/>
        <w:sz w:val="18"/>
        <w:szCs w:val="18"/>
      </w:rPr>
      <w:t>ScC-SC5/</w:t>
    </w:r>
    <w:r w:rsidR="00B10D9F" w:rsidRPr="00B10D9F">
      <w:rPr>
        <w:rFonts w:ascii="Arial" w:hAnsi="Arial" w:cs="Arial"/>
        <w:i/>
        <w:iCs/>
        <w:sz w:val="18"/>
        <w:szCs w:val="18"/>
      </w:rPr>
      <w:t>Doc.5/</w:t>
    </w:r>
    <w:r w:rsidR="004224A6">
      <w:rPr>
        <w:rFonts w:ascii="Arial" w:hAnsi="Arial" w:cs="Arial"/>
        <w:i/>
        <w:iCs/>
        <w:sz w:val="18"/>
        <w:szCs w:val="18"/>
      </w:rPr>
      <w:t>Rev.1/</w:t>
    </w:r>
    <w:r w:rsidR="00B10D9F" w:rsidRPr="00B10D9F">
      <w:rPr>
        <w:rFonts w:ascii="Arial" w:hAnsi="Arial" w:cs="Arial"/>
        <w:i/>
        <w:iCs/>
        <w:sz w:val="18"/>
        <w:szCs w:val="18"/>
      </w:rPr>
      <w:t>Anexo 3</w:t>
    </w:r>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8FDD3" w14:textId="77777777" w:rsidR="00200358" w:rsidRPr="00B10D9F" w:rsidRDefault="00313A1B" w:rsidP="00200358">
    <w:pPr>
      <w:pStyle w:val="Header"/>
      <w:pBdr>
        <w:bottom w:val="single" w:sz="4" w:space="1" w:color="auto"/>
      </w:pBdr>
      <w:jc w:val="right"/>
      <w:rPr>
        <w:rFonts w:ascii="Arial" w:hAnsi="Arial" w:cs="Arial"/>
        <w:i/>
        <w:iCs/>
        <w:sz w:val="18"/>
        <w:szCs w:val="18"/>
      </w:rPr>
    </w:pPr>
    <w:r>
      <w:rPr>
        <w:rFonts w:ascii="Arial" w:hAnsi="Arial" w:cs="Arial"/>
        <w:i/>
        <w:iCs/>
        <w:noProof/>
        <w:sz w:val="18"/>
        <w:szCs w:val="18"/>
      </w:rPr>
      <w:pict w14:anchorId="7CA1E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0;margin-top:0;width:374.6pt;height:224.75pt;rotation:315;z-index:-25164800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200358" w:rsidRPr="00B10D9F">
      <w:rPr>
        <w:rFonts w:ascii="Arial" w:hAnsi="Arial" w:cs="Arial"/>
        <w:i/>
        <w:iCs/>
        <w:sz w:val="18"/>
        <w:szCs w:val="18"/>
      </w:rPr>
      <w:t>UNEP/CMS/</w:t>
    </w:r>
    <w:r w:rsidR="00200358">
      <w:rPr>
        <w:rFonts w:ascii="Arial" w:hAnsi="Arial" w:cs="Arial"/>
        <w:i/>
        <w:iCs/>
        <w:sz w:val="18"/>
        <w:szCs w:val="18"/>
      </w:rPr>
      <w:t>ScC-SC5/</w:t>
    </w:r>
    <w:r w:rsidR="00200358" w:rsidRPr="00B10D9F">
      <w:rPr>
        <w:rFonts w:ascii="Arial" w:hAnsi="Arial" w:cs="Arial"/>
        <w:i/>
        <w:iCs/>
        <w:sz w:val="18"/>
        <w:szCs w:val="18"/>
      </w:rPr>
      <w:t>Doc.5/</w:t>
    </w:r>
    <w:r w:rsidR="00200358">
      <w:rPr>
        <w:rFonts w:ascii="Arial" w:hAnsi="Arial" w:cs="Arial"/>
        <w:i/>
        <w:iCs/>
        <w:sz w:val="18"/>
        <w:szCs w:val="18"/>
      </w:rPr>
      <w:t>Rev.1/</w:t>
    </w:r>
    <w:r w:rsidR="00200358" w:rsidRPr="00B10D9F">
      <w:rPr>
        <w:rFonts w:ascii="Arial" w:hAnsi="Arial" w:cs="Arial"/>
        <w:i/>
        <w:iCs/>
        <w:sz w:val="18"/>
        <w:szCs w:val="18"/>
      </w:rPr>
      <w:t>Anexo 3</w:t>
    </w:r>
  </w:p>
  <w:p w14:paraId="428740B3" w14:textId="77777777" w:rsidR="00B10D9F" w:rsidRDefault="00313A1B">
    <w:pPr>
      <w:pStyle w:val="Header"/>
    </w:pPr>
    <w:r>
      <w:rPr>
        <w:noProof/>
      </w:rPr>
      <w:pict w14:anchorId="27BA5806">
        <v:shape id="PowerPlusWaterMarkObject1093464337" o:spid="_x0000_s1028" type="#_x0000_t136" style="position:absolute;margin-left:0;margin-top:0;width:374.6pt;height:224.75pt;rotation:315;z-index:-25165414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9CB"/>
    <w:multiLevelType w:val="hybridMultilevel"/>
    <w:tmpl w:val="FFFFFFFF"/>
    <w:lvl w:ilvl="0" w:tplc="FD4AA3CA">
      <w:start w:val="1"/>
      <w:numFmt w:val="bullet"/>
      <w:lvlText w:val="§"/>
      <w:lvlJc w:val="left"/>
      <w:pPr>
        <w:ind w:left="720" w:hanging="360"/>
      </w:pPr>
      <w:rPr>
        <w:rFonts w:ascii="Wingdings" w:hAnsi="Wingdings" w:hint="default"/>
      </w:rPr>
    </w:lvl>
    <w:lvl w:ilvl="1" w:tplc="169CCE0A">
      <w:start w:val="1"/>
      <w:numFmt w:val="bullet"/>
      <w:lvlText w:val="o"/>
      <w:lvlJc w:val="left"/>
      <w:pPr>
        <w:ind w:left="1440" w:hanging="360"/>
      </w:pPr>
      <w:rPr>
        <w:rFonts w:ascii="Courier New" w:hAnsi="Courier New" w:hint="default"/>
      </w:rPr>
    </w:lvl>
    <w:lvl w:ilvl="2" w:tplc="0F94FB66">
      <w:start w:val="1"/>
      <w:numFmt w:val="bullet"/>
      <w:lvlText w:val=""/>
      <w:lvlJc w:val="left"/>
      <w:pPr>
        <w:ind w:left="2160" w:hanging="360"/>
      </w:pPr>
      <w:rPr>
        <w:rFonts w:ascii="Wingdings" w:hAnsi="Wingdings" w:hint="default"/>
      </w:rPr>
    </w:lvl>
    <w:lvl w:ilvl="3" w:tplc="191A5CE2">
      <w:start w:val="1"/>
      <w:numFmt w:val="bullet"/>
      <w:lvlText w:val=""/>
      <w:lvlJc w:val="left"/>
      <w:pPr>
        <w:ind w:left="2880" w:hanging="360"/>
      </w:pPr>
      <w:rPr>
        <w:rFonts w:ascii="Symbol" w:hAnsi="Symbol" w:hint="default"/>
      </w:rPr>
    </w:lvl>
    <w:lvl w:ilvl="4" w:tplc="B71E84B2">
      <w:start w:val="1"/>
      <w:numFmt w:val="bullet"/>
      <w:lvlText w:val="o"/>
      <w:lvlJc w:val="left"/>
      <w:pPr>
        <w:ind w:left="3600" w:hanging="360"/>
      </w:pPr>
      <w:rPr>
        <w:rFonts w:ascii="Courier New" w:hAnsi="Courier New" w:hint="default"/>
      </w:rPr>
    </w:lvl>
    <w:lvl w:ilvl="5" w:tplc="28327702">
      <w:start w:val="1"/>
      <w:numFmt w:val="bullet"/>
      <w:lvlText w:val=""/>
      <w:lvlJc w:val="left"/>
      <w:pPr>
        <w:ind w:left="4320" w:hanging="360"/>
      </w:pPr>
      <w:rPr>
        <w:rFonts w:ascii="Wingdings" w:hAnsi="Wingdings" w:hint="default"/>
      </w:rPr>
    </w:lvl>
    <w:lvl w:ilvl="6" w:tplc="26B68358">
      <w:start w:val="1"/>
      <w:numFmt w:val="bullet"/>
      <w:lvlText w:val=""/>
      <w:lvlJc w:val="left"/>
      <w:pPr>
        <w:ind w:left="5040" w:hanging="360"/>
      </w:pPr>
      <w:rPr>
        <w:rFonts w:ascii="Symbol" w:hAnsi="Symbol" w:hint="default"/>
      </w:rPr>
    </w:lvl>
    <w:lvl w:ilvl="7" w:tplc="33F82C3E">
      <w:start w:val="1"/>
      <w:numFmt w:val="bullet"/>
      <w:lvlText w:val="o"/>
      <w:lvlJc w:val="left"/>
      <w:pPr>
        <w:ind w:left="5760" w:hanging="360"/>
      </w:pPr>
      <w:rPr>
        <w:rFonts w:ascii="Courier New" w:hAnsi="Courier New" w:hint="default"/>
      </w:rPr>
    </w:lvl>
    <w:lvl w:ilvl="8" w:tplc="D23251FA">
      <w:start w:val="1"/>
      <w:numFmt w:val="bullet"/>
      <w:lvlText w:val=""/>
      <w:lvlJc w:val="left"/>
      <w:pPr>
        <w:ind w:left="6480" w:hanging="360"/>
      </w:pPr>
      <w:rPr>
        <w:rFonts w:ascii="Wingdings" w:hAnsi="Wingdings" w:hint="default"/>
      </w:rPr>
    </w:lvl>
  </w:abstractNum>
  <w:abstractNum w:abstractNumId="1" w15:restartNumberingAfterBreak="0">
    <w:nsid w:val="03B30721"/>
    <w:multiLevelType w:val="hybridMultilevel"/>
    <w:tmpl w:val="FFFFFFFF"/>
    <w:lvl w:ilvl="0" w:tplc="6764FB18">
      <w:start w:val="1"/>
      <w:numFmt w:val="bullet"/>
      <w:lvlText w:val="§"/>
      <w:lvlJc w:val="left"/>
      <w:pPr>
        <w:ind w:left="720" w:hanging="360"/>
      </w:pPr>
      <w:rPr>
        <w:rFonts w:ascii="Wingdings" w:hAnsi="Wingdings" w:hint="default"/>
      </w:rPr>
    </w:lvl>
    <w:lvl w:ilvl="1" w:tplc="50FAE5E8">
      <w:start w:val="1"/>
      <w:numFmt w:val="bullet"/>
      <w:lvlText w:val="o"/>
      <w:lvlJc w:val="left"/>
      <w:pPr>
        <w:ind w:left="1440" w:hanging="360"/>
      </w:pPr>
      <w:rPr>
        <w:rFonts w:ascii="Courier New" w:hAnsi="Courier New" w:hint="default"/>
      </w:rPr>
    </w:lvl>
    <w:lvl w:ilvl="2" w:tplc="A3F43D58">
      <w:start w:val="1"/>
      <w:numFmt w:val="bullet"/>
      <w:lvlText w:val=""/>
      <w:lvlJc w:val="left"/>
      <w:pPr>
        <w:ind w:left="2160" w:hanging="360"/>
      </w:pPr>
      <w:rPr>
        <w:rFonts w:ascii="Wingdings" w:hAnsi="Wingdings" w:hint="default"/>
      </w:rPr>
    </w:lvl>
    <w:lvl w:ilvl="3" w:tplc="DD76A2B0">
      <w:start w:val="1"/>
      <w:numFmt w:val="bullet"/>
      <w:lvlText w:val=""/>
      <w:lvlJc w:val="left"/>
      <w:pPr>
        <w:ind w:left="2880" w:hanging="360"/>
      </w:pPr>
      <w:rPr>
        <w:rFonts w:ascii="Symbol" w:hAnsi="Symbol" w:hint="default"/>
      </w:rPr>
    </w:lvl>
    <w:lvl w:ilvl="4" w:tplc="BAD88B16">
      <w:start w:val="1"/>
      <w:numFmt w:val="bullet"/>
      <w:lvlText w:val="o"/>
      <w:lvlJc w:val="left"/>
      <w:pPr>
        <w:ind w:left="3600" w:hanging="360"/>
      </w:pPr>
      <w:rPr>
        <w:rFonts w:ascii="Courier New" w:hAnsi="Courier New" w:hint="default"/>
      </w:rPr>
    </w:lvl>
    <w:lvl w:ilvl="5" w:tplc="5CE2BB0E">
      <w:start w:val="1"/>
      <w:numFmt w:val="bullet"/>
      <w:lvlText w:val=""/>
      <w:lvlJc w:val="left"/>
      <w:pPr>
        <w:ind w:left="4320" w:hanging="360"/>
      </w:pPr>
      <w:rPr>
        <w:rFonts w:ascii="Wingdings" w:hAnsi="Wingdings" w:hint="default"/>
      </w:rPr>
    </w:lvl>
    <w:lvl w:ilvl="6" w:tplc="B69E7CB2">
      <w:start w:val="1"/>
      <w:numFmt w:val="bullet"/>
      <w:lvlText w:val=""/>
      <w:lvlJc w:val="left"/>
      <w:pPr>
        <w:ind w:left="5040" w:hanging="360"/>
      </w:pPr>
      <w:rPr>
        <w:rFonts w:ascii="Symbol" w:hAnsi="Symbol" w:hint="default"/>
      </w:rPr>
    </w:lvl>
    <w:lvl w:ilvl="7" w:tplc="5826FE5C">
      <w:start w:val="1"/>
      <w:numFmt w:val="bullet"/>
      <w:lvlText w:val="o"/>
      <w:lvlJc w:val="left"/>
      <w:pPr>
        <w:ind w:left="5760" w:hanging="360"/>
      </w:pPr>
      <w:rPr>
        <w:rFonts w:ascii="Courier New" w:hAnsi="Courier New" w:hint="default"/>
      </w:rPr>
    </w:lvl>
    <w:lvl w:ilvl="8" w:tplc="B6D22D02">
      <w:start w:val="1"/>
      <w:numFmt w:val="bullet"/>
      <w:lvlText w:val=""/>
      <w:lvlJc w:val="left"/>
      <w:pPr>
        <w:ind w:left="6480" w:hanging="360"/>
      </w:pPr>
      <w:rPr>
        <w:rFonts w:ascii="Wingdings" w:hAnsi="Wingdings" w:hint="default"/>
      </w:rPr>
    </w:lvl>
  </w:abstractNum>
  <w:abstractNum w:abstractNumId="2" w15:restartNumberingAfterBreak="0">
    <w:nsid w:val="06B62C86"/>
    <w:multiLevelType w:val="hybridMultilevel"/>
    <w:tmpl w:val="F42E50F6"/>
    <w:lvl w:ilvl="0" w:tplc="F8F446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042EA"/>
    <w:multiLevelType w:val="hybridMultilevel"/>
    <w:tmpl w:val="FFFFFFFF"/>
    <w:lvl w:ilvl="0" w:tplc="B0E61A00">
      <w:start w:val="1"/>
      <w:numFmt w:val="bullet"/>
      <w:lvlText w:val="§"/>
      <w:lvlJc w:val="left"/>
      <w:pPr>
        <w:ind w:left="720" w:hanging="360"/>
      </w:pPr>
      <w:rPr>
        <w:rFonts w:ascii="Wingdings" w:hAnsi="Wingdings" w:hint="default"/>
      </w:rPr>
    </w:lvl>
    <w:lvl w:ilvl="1" w:tplc="D6364F8A">
      <w:start w:val="1"/>
      <w:numFmt w:val="bullet"/>
      <w:lvlText w:val="o"/>
      <w:lvlJc w:val="left"/>
      <w:pPr>
        <w:ind w:left="1440" w:hanging="360"/>
      </w:pPr>
      <w:rPr>
        <w:rFonts w:ascii="Courier New" w:hAnsi="Courier New" w:hint="default"/>
      </w:rPr>
    </w:lvl>
    <w:lvl w:ilvl="2" w:tplc="EE84D694">
      <w:start w:val="1"/>
      <w:numFmt w:val="bullet"/>
      <w:lvlText w:val=""/>
      <w:lvlJc w:val="left"/>
      <w:pPr>
        <w:ind w:left="2160" w:hanging="360"/>
      </w:pPr>
      <w:rPr>
        <w:rFonts w:ascii="Wingdings" w:hAnsi="Wingdings" w:hint="default"/>
      </w:rPr>
    </w:lvl>
    <w:lvl w:ilvl="3" w:tplc="7478BD82">
      <w:start w:val="1"/>
      <w:numFmt w:val="bullet"/>
      <w:lvlText w:val=""/>
      <w:lvlJc w:val="left"/>
      <w:pPr>
        <w:ind w:left="2880" w:hanging="360"/>
      </w:pPr>
      <w:rPr>
        <w:rFonts w:ascii="Symbol" w:hAnsi="Symbol" w:hint="default"/>
      </w:rPr>
    </w:lvl>
    <w:lvl w:ilvl="4" w:tplc="C04EE346">
      <w:start w:val="1"/>
      <w:numFmt w:val="bullet"/>
      <w:lvlText w:val="o"/>
      <w:lvlJc w:val="left"/>
      <w:pPr>
        <w:ind w:left="3600" w:hanging="360"/>
      </w:pPr>
      <w:rPr>
        <w:rFonts w:ascii="Courier New" w:hAnsi="Courier New" w:hint="default"/>
      </w:rPr>
    </w:lvl>
    <w:lvl w:ilvl="5" w:tplc="739808E2">
      <w:start w:val="1"/>
      <w:numFmt w:val="bullet"/>
      <w:lvlText w:val=""/>
      <w:lvlJc w:val="left"/>
      <w:pPr>
        <w:ind w:left="4320" w:hanging="360"/>
      </w:pPr>
      <w:rPr>
        <w:rFonts w:ascii="Wingdings" w:hAnsi="Wingdings" w:hint="default"/>
      </w:rPr>
    </w:lvl>
    <w:lvl w:ilvl="6" w:tplc="1DC0ACFE">
      <w:start w:val="1"/>
      <w:numFmt w:val="bullet"/>
      <w:lvlText w:val=""/>
      <w:lvlJc w:val="left"/>
      <w:pPr>
        <w:ind w:left="5040" w:hanging="360"/>
      </w:pPr>
      <w:rPr>
        <w:rFonts w:ascii="Symbol" w:hAnsi="Symbol" w:hint="default"/>
      </w:rPr>
    </w:lvl>
    <w:lvl w:ilvl="7" w:tplc="0842322A">
      <w:start w:val="1"/>
      <w:numFmt w:val="bullet"/>
      <w:lvlText w:val="o"/>
      <w:lvlJc w:val="left"/>
      <w:pPr>
        <w:ind w:left="5760" w:hanging="360"/>
      </w:pPr>
      <w:rPr>
        <w:rFonts w:ascii="Courier New" w:hAnsi="Courier New" w:hint="default"/>
      </w:rPr>
    </w:lvl>
    <w:lvl w:ilvl="8" w:tplc="EEB64656">
      <w:start w:val="1"/>
      <w:numFmt w:val="bullet"/>
      <w:lvlText w:val=""/>
      <w:lvlJc w:val="left"/>
      <w:pPr>
        <w:ind w:left="6480" w:hanging="360"/>
      </w:pPr>
      <w:rPr>
        <w:rFonts w:ascii="Wingdings" w:hAnsi="Wingdings" w:hint="default"/>
      </w:rPr>
    </w:lvl>
  </w:abstractNum>
  <w:abstractNum w:abstractNumId="4" w15:restartNumberingAfterBreak="0">
    <w:nsid w:val="081416D4"/>
    <w:multiLevelType w:val="hybridMultilevel"/>
    <w:tmpl w:val="FFFFFFFF"/>
    <w:lvl w:ilvl="0" w:tplc="FEC8CDE8">
      <w:start w:val="1"/>
      <w:numFmt w:val="bullet"/>
      <w:lvlText w:val="-"/>
      <w:lvlJc w:val="left"/>
      <w:pPr>
        <w:ind w:left="720" w:hanging="360"/>
      </w:pPr>
      <w:rPr>
        <w:rFonts w:ascii="Calibri" w:hAnsi="Calibri" w:hint="default"/>
      </w:rPr>
    </w:lvl>
    <w:lvl w:ilvl="1" w:tplc="C158F830">
      <w:start w:val="1"/>
      <w:numFmt w:val="bullet"/>
      <w:lvlText w:val="o"/>
      <w:lvlJc w:val="left"/>
      <w:pPr>
        <w:ind w:left="1440" w:hanging="360"/>
      </w:pPr>
      <w:rPr>
        <w:rFonts w:ascii="Courier New" w:hAnsi="Courier New" w:hint="default"/>
      </w:rPr>
    </w:lvl>
    <w:lvl w:ilvl="2" w:tplc="07662016">
      <w:start w:val="1"/>
      <w:numFmt w:val="bullet"/>
      <w:lvlText w:val=""/>
      <w:lvlJc w:val="left"/>
      <w:pPr>
        <w:ind w:left="2160" w:hanging="360"/>
      </w:pPr>
      <w:rPr>
        <w:rFonts w:ascii="Wingdings" w:hAnsi="Wingdings" w:hint="default"/>
      </w:rPr>
    </w:lvl>
    <w:lvl w:ilvl="3" w:tplc="39F85E9A">
      <w:start w:val="1"/>
      <w:numFmt w:val="bullet"/>
      <w:lvlText w:val=""/>
      <w:lvlJc w:val="left"/>
      <w:pPr>
        <w:ind w:left="2880" w:hanging="360"/>
      </w:pPr>
      <w:rPr>
        <w:rFonts w:ascii="Symbol" w:hAnsi="Symbol" w:hint="default"/>
      </w:rPr>
    </w:lvl>
    <w:lvl w:ilvl="4" w:tplc="A558C736">
      <w:start w:val="1"/>
      <w:numFmt w:val="bullet"/>
      <w:lvlText w:val="o"/>
      <w:lvlJc w:val="left"/>
      <w:pPr>
        <w:ind w:left="3600" w:hanging="360"/>
      </w:pPr>
      <w:rPr>
        <w:rFonts w:ascii="Courier New" w:hAnsi="Courier New" w:hint="default"/>
      </w:rPr>
    </w:lvl>
    <w:lvl w:ilvl="5" w:tplc="09E27662">
      <w:start w:val="1"/>
      <w:numFmt w:val="bullet"/>
      <w:lvlText w:val=""/>
      <w:lvlJc w:val="left"/>
      <w:pPr>
        <w:ind w:left="4320" w:hanging="360"/>
      </w:pPr>
      <w:rPr>
        <w:rFonts w:ascii="Wingdings" w:hAnsi="Wingdings" w:hint="default"/>
      </w:rPr>
    </w:lvl>
    <w:lvl w:ilvl="6" w:tplc="0040FFD8">
      <w:start w:val="1"/>
      <w:numFmt w:val="bullet"/>
      <w:lvlText w:val=""/>
      <w:lvlJc w:val="left"/>
      <w:pPr>
        <w:ind w:left="5040" w:hanging="360"/>
      </w:pPr>
      <w:rPr>
        <w:rFonts w:ascii="Symbol" w:hAnsi="Symbol" w:hint="default"/>
      </w:rPr>
    </w:lvl>
    <w:lvl w:ilvl="7" w:tplc="B53EAF2C">
      <w:start w:val="1"/>
      <w:numFmt w:val="bullet"/>
      <w:lvlText w:val="o"/>
      <w:lvlJc w:val="left"/>
      <w:pPr>
        <w:ind w:left="5760" w:hanging="360"/>
      </w:pPr>
      <w:rPr>
        <w:rFonts w:ascii="Courier New" w:hAnsi="Courier New" w:hint="default"/>
      </w:rPr>
    </w:lvl>
    <w:lvl w:ilvl="8" w:tplc="BE9AA4A6">
      <w:start w:val="1"/>
      <w:numFmt w:val="bullet"/>
      <w:lvlText w:val=""/>
      <w:lvlJc w:val="left"/>
      <w:pPr>
        <w:ind w:left="6480" w:hanging="360"/>
      </w:pPr>
      <w:rPr>
        <w:rFonts w:ascii="Wingdings" w:hAnsi="Wingdings" w:hint="default"/>
      </w:rPr>
    </w:lvl>
  </w:abstractNum>
  <w:abstractNum w:abstractNumId="5" w15:restartNumberingAfterBreak="0">
    <w:nsid w:val="0A923E6A"/>
    <w:multiLevelType w:val="hybridMultilevel"/>
    <w:tmpl w:val="52B2F3D4"/>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0B61421F"/>
    <w:multiLevelType w:val="hybridMultilevel"/>
    <w:tmpl w:val="E548B1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A5C54"/>
    <w:multiLevelType w:val="hybridMultilevel"/>
    <w:tmpl w:val="FFFFFFFF"/>
    <w:lvl w:ilvl="0" w:tplc="B2981002">
      <w:start w:val="1"/>
      <w:numFmt w:val="bullet"/>
      <w:lvlText w:val="-"/>
      <w:lvlJc w:val="left"/>
      <w:pPr>
        <w:ind w:left="720" w:hanging="360"/>
      </w:pPr>
      <w:rPr>
        <w:rFonts w:ascii="Calibri" w:hAnsi="Calibri" w:hint="default"/>
      </w:rPr>
    </w:lvl>
    <w:lvl w:ilvl="1" w:tplc="61489958">
      <w:start w:val="1"/>
      <w:numFmt w:val="bullet"/>
      <w:lvlText w:val="o"/>
      <w:lvlJc w:val="left"/>
      <w:pPr>
        <w:ind w:left="1440" w:hanging="360"/>
      </w:pPr>
      <w:rPr>
        <w:rFonts w:ascii="Courier New" w:hAnsi="Courier New" w:hint="default"/>
      </w:rPr>
    </w:lvl>
    <w:lvl w:ilvl="2" w:tplc="60B6AA6E">
      <w:start w:val="1"/>
      <w:numFmt w:val="bullet"/>
      <w:lvlText w:val=""/>
      <w:lvlJc w:val="left"/>
      <w:pPr>
        <w:ind w:left="2160" w:hanging="360"/>
      </w:pPr>
      <w:rPr>
        <w:rFonts w:ascii="Wingdings" w:hAnsi="Wingdings" w:hint="default"/>
      </w:rPr>
    </w:lvl>
    <w:lvl w:ilvl="3" w:tplc="D6341C46">
      <w:start w:val="1"/>
      <w:numFmt w:val="bullet"/>
      <w:lvlText w:val=""/>
      <w:lvlJc w:val="left"/>
      <w:pPr>
        <w:ind w:left="2880" w:hanging="360"/>
      </w:pPr>
      <w:rPr>
        <w:rFonts w:ascii="Symbol" w:hAnsi="Symbol" w:hint="default"/>
      </w:rPr>
    </w:lvl>
    <w:lvl w:ilvl="4" w:tplc="275A3336">
      <w:start w:val="1"/>
      <w:numFmt w:val="bullet"/>
      <w:lvlText w:val="o"/>
      <w:lvlJc w:val="left"/>
      <w:pPr>
        <w:ind w:left="3600" w:hanging="360"/>
      </w:pPr>
      <w:rPr>
        <w:rFonts w:ascii="Courier New" w:hAnsi="Courier New" w:hint="default"/>
      </w:rPr>
    </w:lvl>
    <w:lvl w:ilvl="5" w:tplc="0402395C">
      <w:start w:val="1"/>
      <w:numFmt w:val="bullet"/>
      <w:lvlText w:val=""/>
      <w:lvlJc w:val="left"/>
      <w:pPr>
        <w:ind w:left="4320" w:hanging="360"/>
      </w:pPr>
      <w:rPr>
        <w:rFonts w:ascii="Wingdings" w:hAnsi="Wingdings" w:hint="default"/>
      </w:rPr>
    </w:lvl>
    <w:lvl w:ilvl="6" w:tplc="D478B792">
      <w:start w:val="1"/>
      <w:numFmt w:val="bullet"/>
      <w:lvlText w:val=""/>
      <w:lvlJc w:val="left"/>
      <w:pPr>
        <w:ind w:left="5040" w:hanging="360"/>
      </w:pPr>
      <w:rPr>
        <w:rFonts w:ascii="Symbol" w:hAnsi="Symbol" w:hint="default"/>
      </w:rPr>
    </w:lvl>
    <w:lvl w:ilvl="7" w:tplc="13807278">
      <w:start w:val="1"/>
      <w:numFmt w:val="bullet"/>
      <w:lvlText w:val="o"/>
      <w:lvlJc w:val="left"/>
      <w:pPr>
        <w:ind w:left="5760" w:hanging="360"/>
      </w:pPr>
      <w:rPr>
        <w:rFonts w:ascii="Courier New" w:hAnsi="Courier New" w:hint="default"/>
      </w:rPr>
    </w:lvl>
    <w:lvl w:ilvl="8" w:tplc="EEC6C4C0">
      <w:start w:val="1"/>
      <w:numFmt w:val="bullet"/>
      <w:lvlText w:val=""/>
      <w:lvlJc w:val="left"/>
      <w:pPr>
        <w:ind w:left="6480" w:hanging="360"/>
      </w:pPr>
      <w:rPr>
        <w:rFonts w:ascii="Wingdings" w:hAnsi="Wingdings" w:hint="default"/>
      </w:rPr>
    </w:lvl>
  </w:abstractNum>
  <w:abstractNum w:abstractNumId="8" w15:restartNumberingAfterBreak="0">
    <w:nsid w:val="18133947"/>
    <w:multiLevelType w:val="hybridMultilevel"/>
    <w:tmpl w:val="FFFFFFFF"/>
    <w:lvl w:ilvl="0" w:tplc="4BAEC156">
      <w:start w:val="1"/>
      <w:numFmt w:val="bullet"/>
      <w:lvlText w:val="-"/>
      <w:lvlJc w:val="left"/>
      <w:pPr>
        <w:ind w:left="720" w:hanging="360"/>
      </w:pPr>
      <w:rPr>
        <w:rFonts w:ascii="Calibri" w:hAnsi="Calibri" w:hint="default"/>
      </w:rPr>
    </w:lvl>
    <w:lvl w:ilvl="1" w:tplc="B810CC82">
      <w:start w:val="1"/>
      <w:numFmt w:val="bullet"/>
      <w:lvlText w:val="o"/>
      <w:lvlJc w:val="left"/>
      <w:pPr>
        <w:ind w:left="1440" w:hanging="360"/>
      </w:pPr>
      <w:rPr>
        <w:rFonts w:ascii="Courier New" w:hAnsi="Courier New" w:hint="default"/>
      </w:rPr>
    </w:lvl>
    <w:lvl w:ilvl="2" w:tplc="327C328C">
      <w:start w:val="1"/>
      <w:numFmt w:val="bullet"/>
      <w:lvlText w:val=""/>
      <w:lvlJc w:val="left"/>
      <w:pPr>
        <w:ind w:left="2160" w:hanging="360"/>
      </w:pPr>
      <w:rPr>
        <w:rFonts w:ascii="Wingdings" w:hAnsi="Wingdings" w:hint="default"/>
      </w:rPr>
    </w:lvl>
    <w:lvl w:ilvl="3" w:tplc="A17A6912">
      <w:start w:val="1"/>
      <w:numFmt w:val="bullet"/>
      <w:lvlText w:val=""/>
      <w:lvlJc w:val="left"/>
      <w:pPr>
        <w:ind w:left="2880" w:hanging="360"/>
      </w:pPr>
      <w:rPr>
        <w:rFonts w:ascii="Symbol" w:hAnsi="Symbol" w:hint="default"/>
      </w:rPr>
    </w:lvl>
    <w:lvl w:ilvl="4" w:tplc="5590CA24">
      <w:start w:val="1"/>
      <w:numFmt w:val="bullet"/>
      <w:lvlText w:val="o"/>
      <w:lvlJc w:val="left"/>
      <w:pPr>
        <w:ind w:left="3600" w:hanging="360"/>
      </w:pPr>
      <w:rPr>
        <w:rFonts w:ascii="Courier New" w:hAnsi="Courier New" w:hint="default"/>
      </w:rPr>
    </w:lvl>
    <w:lvl w:ilvl="5" w:tplc="8604B2E0">
      <w:start w:val="1"/>
      <w:numFmt w:val="bullet"/>
      <w:lvlText w:val=""/>
      <w:lvlJc w:val="left"/>
      <w:pPr>
        <w:ind w:left="4320" w:hanging="360"/>
      </w:pPr>
      <w:rPr>
        <w:rFonts w:ascii="Wingdings" w:hAnsi="Wingdings" w:hint="default"/>
      </w:rPr>
    </w:lvl>
    <w:lvl w:ilvl="6" w:tplc="A9824AD4">
      <w:start w:val="1"/>
      <w:numFmt w:val="bullet"/>
      <w:lvlText w:val=""/>
      <w:lvlJc w:val="left"/>
      <w:pPr>
        <w:ind w:left="5040" w:hanging="360"/>
      </w:pPr>
      <w:rPr>
        <w:rFonts w:ascii="Symbol" w:hAnsi="Symbol" w:hint="default"/>
      </w:rPr>
    </w:lvl>
    <w:lvl w:ilvl="7" w:tplc="010EB512">
      <w:start w:val="1"/>
      <w:numFmt w:val="bullet"/>
      <w:lvlText w:val="o"/>
      <w:lvlJc w:val="left"/>
      <w:pPr>
        <w:ind w:left="5760" w:hanging="360"/>
      </w:pPr>
      <w:rPr>
        <w:rFonts w:ascii="Courier New" w:hAnsi="Courier New" w:hint="default"/>
      </w:rPr>
    </w:lvl>
    <w:lvl w:ilvl="8" w:tplc="199CC97C">
      <w:start w:val="1"/>
      <w:numFmt w:val="bullet"/>
      <w:lvlText w:val=""/>
      <w:lvlJc w:val="left"/>
      <w:pPr>
        <w:ind w:left="6480" w:hanging="360"/>
      </w:pPr>
      <w:rPr>
        <w:rFonts w:ascii="Wingdings" w:hAnsi="Wingdings" w:hint="default"/>
      </w:rPr>
    </w:lvl>
  </w:abstractNum>
  <w:abstractNum w:abstractNumId="9" w15:restartNumberingAfterBreak="0">
    <w:nsid w:val="1ABD7739"/>
    <w:multiLevelType w:val="hybridMultilevel"/>
    <w:tmpl w:val="FFFFFFFF"/>
    <w:lvl w:ilvl="0" w:tplc="41745938">
      <w:start w:val="1"/>
      <w:numFmt w:val="bullet"/>
      <w:lvlText w:val="-"/>
      <w:lvlJc w:val="left"/>
      <w:pPr>
        <w:ind w:left="720" w:hanging="360"/>
      </w:pPr>
      <w:rPr>
        <w:rFonts w:ascii="Calibri" w:hAnsi="Calibri" w:hint="default"/>
      </w:rPr>
    </w:lvl>
    <w:lvl w:ilvl="1" w:tplc="3E7201A2">
      <w:start w:val="1"/>
      <w:numFmt w:val="bullet"/>
      <w:lvlText w:val="o"/>
      <w:lvlJc w:val="left"/>
      <w:pPr>
        <w:ind w:left="1440" w:hanging="360"/>
      </w:pPr>
      <w:rPr>
        <w:rFonts w:ascii="Courier New" w:hAnsi="Courier New" w:hint="default"/>
      </w:rPr>
    </w:lvl>
    <w:lvl w:ilvl="2" w:tplc="1E4A533C">
      <w:start w:val="1"/>
      <w:numFmt w:val="bullet"/>
      <w:lvlText w:val=""/>
      <w:lvlJc w:val="left"/>
      <w:pPr>
        <w:ind w:left="2160" w:hanging="360"/>
      </w:pPr>
      <w:rPr>
        <w:rFonts w:ascii="Wingdings" w:hAnsi="Wingdings" w:hint="default"/>
      </w:rPr>
    </w:lvl>
    <w:lvl w:ilvl="3" w:tplc="A62C936E">
      <w:start w:val="1"/>
      <w:numFmt w:val="bullet"/>
      <w:lvlText w:val=""/>
      <w:lvlJc w:val="left"/>
      <w:pPr>
        <w:ind w:left="2880" w:hanging="360"/>
      </w:pPr>
      <w:rPr>
        <w:rFonts w:ascii="Symbol" w:hAnsi="Symbol" w:hint="default"/>
      </w:rPr>
    </w:lvl>
    <w:lvl w:ilvl="4" w:tplc="84844E68">
      <w:start w:val="1"/>
      <w:numFmt w:val="bullet"/>
      <w:lvlText w:val="o"/>
      <w:lvlJc w:val="left"/>
      <w:pPr>
        <w:ind w:left="3600" w:hanging="360"/>
      </w:pPr>
      <w:rPr>
        <w:rFonts w:ascii="Courier New" w:hAnsi="Courier New" w:hint="default"/>
      </w:rPr>
    </w:lvl>
    <w:lvl w:ilvl="5" w:tplc="3A7E4250">
      <w:start w:val="1"/>
      <w:numFmt w:val="bullet"/>
      <w:lvlText w:val=""/>
      <w:lvlJc w:val="left"/>
      <w:pPr>
        <w:ind w:left="4320" w:hanging="360"/>
      </w:pPr>
      <w:rPr>
        <w:rFonts w:ascii="Wingdings" w:hAnsi="Wingdings" w:hint="default"/>
      </w:rPr>
    </w:lvl>
    <w:lvl w:ilvl="6" w:tplc="7DEE8D44">
      <w:start w:val="1"/>
      <w:numFmt w:val="bullet"/>
      <w:lvlText w:val=""/>
      <w:lvlJc w:val="left"/>
      <w:pPr>
        <w:ind w:left="5040" w:hanging="360"/>
      </w:pPr>
      <w:rPr>
        <w:rFonts w:ascii="Symbol" w:hAnsi="Symbol" w:hint="default"/>
      </w:rPr>
    </w:lvl>
    <w:lvl w:ilvl="7" w:tplc="094E52E0">
      <w:start w:val="1"/>
      <w:numFmt w:val="bullet"/>
      <w:lvlText w:val="o"/>
      <w:lvlJc w:val="left"/>
      <w:pPr>
        <w:ind w:left="5760" w:hanging="360"/>
      </w:pPr>
      <w:rPr>
        <w:rFonts w:ascii="Courier New" w:hAnsi="Courier New" w:hint="default"/>
      </w:rPr>
    </w:lvl>
    <w:lvl w:ilvl="8" w:tplc="F2204136">
      <w:start w:val="1"/>
      <w:numFmt w:val="bullet"/>
      <w:lvlText w:val=""/>
      <w:lvlJc w:val="left"/>
      <w:pPr>
        <w:ind w:left="6480" w:hanging="360"/>
      </w:pPr>
      <w:rPr>
        <w:rFonts w:ascii="Wingdings" w:hAnsi="Wingdings" w:hint="default"/>
      </w:rPr>
    </w:lvl>
  </w:abstractNum>
  <w:abstractNum w:abstractNumId="10" w15:restartNumberingAfterBreak="0">
    <w:nsid w:val="1FF77336"/>
    <w:multiLevelType w:val="hybridMultilevel"/>
    <w:tmpl w:val="FFFFFFFF"/>
    <w:lvl w:ilvl="0" w:tplc="57A4B852">
      <w:start w:val="1"/>
      <w:numFmt w:val="bullet"/>
      <w:lvlText w:val="§"/>
      <w:lvlJc w:val="left"/>
      <w:pPr>
        <w:ind w:left="720" w:hanging="360"/>
      </w:pPr>
      <w:rPr>
        <w:rFonts w:ascii="Wingdings" w:hAnsi="Wingdings" w:hint="default"/>
      </w:rPr>
    </w:lvl>
    <w:lvl w:ilvl="1" w:tplc="9F0E728C">
      <w:start w:val="1"/>
      <w:numFmt w:val="bullet"/>
      <w:lvlText w:val="o"/>
      <w:lvlJc w:val="left"/>
      <w:pPr>
        <w:ind w:left="1440" w:hanging="360"/>
      </w:pPr>
      <w:rPr>
        <w:rFonts w:ascii="Courier New" w:hAnsi="Courier New" w:hint="default"/>
      </w:rPr>
    </w:lvl>
    <w:lvl w:ilvl="2" w:tplc="D2DE325E">
      <w:start w:val="1"/>
      <w:numFmt w:val="bullet"/>
      <w:lvlText w:val=""/>
      <w:lvlJc w:val="left"/>
      <w:pPr>
        <w:ind w:left="2160" w:hanging="360"/>
      </w:pPr>
      <w:rPr>
        <w:rFonts w:ascii="Wingdings" w:hAnsi="Wingdings" w:hint="default"/>
      </w:rPr>
    </w:lvl>
    <w:lvl w:ilvl="3" w:tplc="C6C0657C">
      <w:start w:val="1"/>
      <w:numFmt w:val="bullet"/>
      <w:lvlText w:val=""/>
      <w:lvlJc w:val="left"/>
      <w:pPr>
        <w:ind w:left="2880" w:hanging="360"/>
      </w:pPr>
      <w:rPr>
        <w:rFonts w:ascii="Symbol" w:hAnsi="Symbol" w:hint="default"/>
      </w:rPr>
    </w:lvl>
    <w:lvl w:ilvl="4" w:tplc="CCC4F824">
      <w:start w:val="1"/>
      <w:numFmt w:val="bullet"/>
      <w:lvlText w:val="o"/>
      <w:lvlJc w:val="left"/>
      <w:pPr>
        <w:ind w:left="3600" w:hanging="360"/>
      </w:pPr>
      <w:rPr>
        <w:rFonts w:ascii="Courier New" w:hAnsi="Courier New" w:hint="default"/>
      </w:rPr>
    </w:lvl>
    <w:lvl w:ilvl="5" w:tplc="0776B280">
      <w:start w:val="1"/>
      <w:numFmt w:val="bullet"/>
      <w:lvlText w:val=""/>
      <w:lvlJc w:val="left"/>
      <w:pPr>
        <w:ind w:left="4320" w:hanging="360"/>
      </w:pPr>
      <w:rPr>
        <w:rFonts w:ascii="Wingdings" w:hAnsi="Wingdings" w:hint="default"/>
      </w:rPr>
    </w:lvl>
    <w:lvl w:ilvl="6" w:tplc="7E1EC9DE">
      <w:start w:val="1"/>
      <w:numFmt w:val="bullet"/>
      <w:lvlText w:val=""/>
      <w:lvlJc w:val="left"/>
      <w:pPr>
        <w:ind w:left="5040" w:hanging="360"/>
      </w:pPr>
      <w:rPr>
        <w:rFonts w:ascii="Symbol" w:hAnsi="Symbol" w:hint="default"/>
      </w:rPr>
    </w:lvl>
    <w:lvl w:ilvl="7" w:tplc="D4A2D002">
      <w:start w:val="1"/>
      <w:numFmt w:val="bullet"/>
      <w:lvlText w:val="o"/>
      <w:lvlJc w:val="left"/>
      <w:pPr>
        <w:ind w:left="5760" w:hanging="360"/>
      </w:pPr>
      <w:rPr>
        <w:rFonts w:ascii="Courier New" w:hAnsi="Courier New" w:hint="default"/>
      </w:rPr>
    </w:lvl>
    <w:lvl w:ilvl="8" w:tplc="9AA2CBDE">
      <w:start w:val="1"/>
      <w:numFmt w:val="bullet"/>
      <w:lvlText w:val=""/>
      <w:lvlJc w:val="left"/>
      <w:pPr>
        <w:ind w:left="6480" w:hanging="360"/>
      </w:pPr>
      <w:rPr>
        <w:rFonts w:ascii="Wingdings" w:hAnsi="Wingdings" w:hint="default"/>
      </w:rPr>
    </w:lvl>
  </w:abstractNum>
  <w:abstractNum w:abstractNumId="11" w15:restartNumberingAfterBreak="0">
    <w:nsid w:val="211561B2"/>
    <w:multiLevelType w:val="hybridMultilevel"/>
    <w:tmpl w:val="7F3EE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8C5F54"/>
    <w:multiLevelType w:val="hybridMultilevel"/>
    <w:tmpl w:val="726AEB02"/>
    <w:lvl w:ilvl="0" w:tplc="9B7C557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7074D"/>
    <w:multiLevelType w:val="hybridMultilevel"/>
    <w:tmpl w:val="FFFFFFFF"/>
    <w:lvl w:ilvl="0" w:tplc="6ADC03F6">
      <w:start w:val="1"/>
      <w:numFmt w:val="bullet"/>
      <w:lvlText w:val="§"/>
      <w:lvlJc w:val="left"/>
      <w:pPr>
        <w:ind w:left="720" w:hanging="360"/>
      </w:pPr>
      <w:rPr>
        <w:rFonts w:ascii="Wingdings" w:hAnsi="Wingdings" w:hint="default"/>
      </w:rPr>
    </w:lvl>
    <w:lvl w:ilvl="1" w:tplc="3996B674">
      <w:start w:val="1"/>
      <w:numFmt w:val="bullet"/>
      <w:lvlText w:val="o"/>
      <w:lvlJc w:val="left"/>
      <w:pPr>
        <w:ind w:left="1440" w:hanging="360"/>
      </w:pPr>
      <w:rPr>
        <w:rFonts w:ascii="Courier New" w:hAnsi="Courier New" w:hint="default"/>
      </w:rPr>
    </w:lvl>
    <w:lvl w:ilvl="2" w:tplc="026AFDC4">
      <w:start w:val="1"/>
      <w:numFmt w:val="bullet"/>
      <w:lvlText w:val=""/>
      <w:lvlJc w:val="left"/>
      <w:pPr>
        <w:ind w:left="2160" w:hanging="360"/>
      </w:pPr>
      <w:rPr>
        <w:rFonts w:ascii="Wingdings" w:hAnsi="Wingdings" w:hint="default"/>
      </w:rPr>
    </w:lvl>
    <w:lvl w:ilvl="3" w:tplc="F62EC6E8">
      <w:start w:val="1"/>
      <w:numFmt w:val="bullet"/>
      <w:lvlText w:val=""/>
      <w:lvlJc w:val="left"/>
      <w:pPr>
        <w:ind w:left="2880" w:hanging="360"/>
      </w:pPr>
      <w:rPr>
        <w:rFonts w:ascii="Symbol" w:hAnsi="Symbol" w:hint="default"/>
      </w:rPr>
    </w:lvl>
    <w:lvl w:ilvl="4" w:tplc="50403B82">
      <w:start w:val="1"/>
      <w:numFmt w:val="bullet"/>
      <w:lvlText w:val="o"/>
      <w:lvlJc w:val="left"/>
      <w:pPr>
        <w:ind w:left="3600" w:hanging="360"/>
      </w:pPr>
      <w:rPr>
        <w:rFonts w:ascii="Courier New" w:hAnsi="Courier New" w:hint="default"/>
      </w:rPr>
    </w:lvl>
    <w:lvl w:ilvl="5" w:tplc="64601438">
      <w:start w:val="1"/>
      <w:numFmt w:val="bullet"/>
      <w:lvlText w:val=""/>
      <w:lvlJc w:val="left"/>
      <w:pPr>
        <w:ind w:left="4320" w:hanging="360"/>
      </w:pPr>
      <w:rPr>
        <w:rFonts w:ascii="Wingdings" w:hAnsi="Wingdings" w:hint="default"/>
      </w:rPr>
    </w:lvl>
    <w:lvl w:ilvl="6" w:tplc="0978B78E">
      <w:start w:val="1"/>
      <w:numFmt w:val="bullet"/>
      <w:lvlText w:val=""/>
      <w:lvlJc w:val="left"/>
      <w:pPr>
        <w:ind w:left="5040" w:hanging="360"/>
      </w:pPr>
      <w:rPr>
        <w:rFonts w:ascii="Symbol" w:hAnsi="Symbol" w:hint="default"/>
      </w:rPr>
    </w:lvl>
    <w:lvl w:ilvl="7" w:tplc="4CE206F2">
      <w:start w:val="1"/>
      <w:numFmt w:val="bullet"/>
      <w:lvlText w:val="o"/>
      <w:lvlJc w:val="left"/>
      <w:pPr>
        <w:ind w:left="5760" w:hanging="360"/>
      </w:pPr>
      <w:rPr>
        <w:rFonts w:ascii="Courier New" w:hAnsi="Courier New" w:hint="default"/>
      </w:rPr>
    </w:lvl>
    <w:lvl w:ilvl="8" w:tplc="C3A08518">
      <w:start w:val="1"/>
      <w:numFmt w:val="bullet"/>
      <w:lvlText w:val=""/>
      <w:lvlJc w:val="left"/>
      <w:pPr>
        <w:ind w:left="6480" w:hanging="360"/>
      </w:pPr>
      <w:rPr>
        <w:rFonts w:ascii="Wingdings" w:hAnsi="Wingdings" w:hint="default"/>
      </w:rPr>
    </w:lvl>
  </w:abstractNum>
  <w:abstractNum w:abstractNumId="14" w15:restartNumberingAfterBreak="0">
    <w:nsid w:val="38B002B8"/>
    <w:multiLevelType w:val="hybridMultilevel"/>
    <w:tmpl w:val="FFFFFFFF"/>
    <w:lvl w:ilvl="0" w:tplc="0F8A9026">
      <w:start w:val="1"/>
      <w:numFmt w:val="bullet"/>
      <w:lvlText w:val="§"/>
      <w:lvlJc w:val="left"/>
      <w:pPr>
        <w:ind w:left="720" w:hanging="360"/>
      </w:pPr>
      <w:rPr>
        <w:rFonts w:ascii="Wingdings" w:hAnsi="Wingdings" w:hint="default"/>
      </w:rPr>
    </w:lvl>
    <w:lvl w:ilvl="1" w:tplc="9E603A2E">
      <w:start w:val="1"/>
      <w:numFmt w:val="bullet"/>
      <w:lvlText w:val="o"/>
      <w:lvlJc w:val="left"/>
      <w:pPr>
        <w:ind w:left="1440" w:hanging="360"/>
      </w:pPr>
      <w:rPr>
        <w:rFonts w:ascii="Courier New" w:hAnsi="Courier New" w:hint="default"/>
      </w:rPr>
    </w:lvl>
    <w:lvl w:ilvl="2" w:tplc="414A44DE">
      <w:start w:val="1"/>
      <w:numFmt w:val="bullet"/>
      <w:lvlText w:val=""/>
      <w:lvlJc w:val="left"/>
      <w:pPr>
        <w:ind w:left="2160" w:hanging="360"/>
      </w:pPr>
      <w:rPr>
        <w:rFonts w:ascii="Wingdings" w:hAnsi="Wingdings" w:hint="default"/>
      </w:rPr>
    </w:lvl>
    <w:lvl w:ilvl="3" w:tplc="53EE3944">
      <w:start w:val="1"/>
      <w:numFmt w:val="bullet"/>
      <w:lvlText w:val=""/>
      <w:lvlJc w:val="left"/>
      <w:pPr>
        <w:ind w:left="2880" w:hanging="360"/>
      </w:pPr>
      <w:rPr>
        <w:rFonts w:ascii="Symbol" w:hAnsi="Symbol" w:hint="default"/>
      </w:rPr>
    </w:lvl>
    <w:lvl w:ilvl="4" w:tplc="67361954">
      <w:start w:val="1"/>
      <w:numFmt w:val="bullet"/>
      <w:lvlText w:val="o"/>
      <w:lvlJc w:val="left"/>
      <w:pPr>
        <w:ind w:left="3600" w:hanging="360"/>
      </w:pPr>
      <w:rPr>
        <w:rFonts w:ascii="Courier New" w:hAnsi="Courier New" w:hint="default"/>
      </w:rPr>
    </w:lvl>
    <w:lvl w:ilvl="5" w:tplc="FEFA4CA0">
      <w:start w:val="1"/>
      <w:numFmt w:val="bullet"/>
      <w:lvlText w:val=""/>
      <w:lvlJc w:val="left"/>
      <w:pPr>
        <w:ind w:left="4320" w:hanging="360"/>
      </w:pPr>
      <w:rPr>
        <w:rFonts w:ascii="Wingdings" w:hAnsi="Wingdings" w:hint="default"/>
      </w:rPr>
    </w:lvl>
    <w:lvl w:ilvl="6" w:tplc="E39467A0">
      <w:start w:val="1"/>
      <w:numFmt w:val="bullet"/>
      <w:lvlText w:val=""/>
      <w:lvlJc w:val="left"/>
      <w:pPr>
        <w:ind w:left="5040" w:hanging="360"/>
      </w:pPr>
      <w:rPr>
        <w:rFonts w:ascii="Symbol" w:hAnsi="Symbol" w:hint="default"/>
      </w:rPr>
    </w:lvl>
    <w:lvl w:ilvl="7" w:tplc="E3D2B322">
      <w:start w:val="1"/>
      <w:numFmt w:val="bullet"/>
      <w:lvlText w:val="o"/>
      <w:lvlJc w:val="left"/>
      <w:pPr>
        <w:ind w:left="5760" w:hanging="360"/>
      </w:pPr>
      <w:rPr>
        <w:rFonts w:ascii="Courier New" w:hAnsi="Courier New" w:hint="default"/>
      </w:rPr>
    </w:lvl>
    <w:lvl w:ilvl="8" w:tplc="C6AAE766">
      <w:start w:val="1"/>
      <w:numFmt w:val="bullet"/>
      <w:lvlText w:val=""/>
      <w:lvlJc w:val="left"/>
      <w:pPr>
        <w:ind w:left="6480" w:hanging="360"/>
      </w:pPr>
      <w:rPr>
        <w:rFonts w:ascii="Wingdings" w:hAnsi="Wingdings" w:hint="default"/>
      </w:rPr>
    </w:lvl>
  </w:abstractNum>
  <w:abstractNum w:abstractNumId="15" w15:restartNumberingAfterBreak="0">
    <w:nsid w:val="3C315EAA"/>
    <w:multiLevelType w:val="hybridMultilevel"/>
    <w:tmpl w:val="FFFFFFFF"/>
    <w:lvl w:ilvl="0" w:tplc="E66655A4">
      <w:start w:val="1"/>
      <w:numFmt w:val="bullet"/>
      <w:lvlText w:val="-"/>
      <w:lvlJc w:val="left"/>
      <w:pPr>
        <w:ind w:left="720" w:hanging="360"/>
      </w:pPr>
      <w:rPr>
        <w:rFonts w:ascii="Calibri" w:hAnsi="Calibri" w:hint="default"/>
      </w:rPr>
    </w:lvl>
    <w:lvl w:ilvl="1" w:tplc="F8740CA2">
      <w:start w:val="1"/>
      <w:numFmt w:val="bullet"/>
      <w:lvlText w:val="o"/>
      <w:lvlJc w:val="left"/>
      <w:pPr>
        <w:ind w:left="1440" w:hanging="360"/>
      </w:pPr>
      <w:rPr>
        <w:rFonts w:ascii="Courier New" w:hAnsi="Courier New" w:hint="default"/>
      </w:rPr>
    </w:lvl>
    <w:lvl w:ilvl="2" w:tplc="EC366498">
      <w:start w:val="1"/>
      <w:numFmt w:val="bullet"/>
      <w:lvlText w:val=""/>
      <w:lvlJc w:val="left"/>
      <w:pPr>
        <w:ind w:left="2160" w:hanging="360"/>
      </w:pPr>
      <w:rPr>
        <w:rFonts w:ascii="Wingdings" w:hAnsi="Wingdings" w:hint="default"/>
      </w:rPr>
    </w:lvl>
    <w:lvl w:ilvl="3" w:tplc="76EA7AA8">
      <w:start w:val="1"/>
      <w:numFmt w:val="bullet"/>
      <w:lvlText w:val=""/>
      <w:lvlJc w:val="left"/>
      <w:pPr>
        <w:ind w:left="2880" w:hanging="360"/>
      </w:pPr>
      <w:rPr>
        <w:rFonts w:ascii="Symbol" w:hAnsi="Symbol" w:hint="default"/>
      </w:rPr>
    </w:lvl>
    <w:lvl w:ilvl="4" w:tplc="111CBD2A">
      <w:start w:val="1"/>
      <w:numFmt w:val="bullet"/>
      <w:lvlText w:val="o"/>
      <w:lvlJc w:val="left"/>
      <w:pPr>
        <w:ind w:left="3600" w:hanging="360"/>
      </w:pPr>
      <w:rPr>
        <w:rFonts w:ascii="Courier New" w:hAnsi="Courier New" w:hint="default"/>
      </w:rPr>
    </w:lvl>
    <w:lvl w:ilvl="5" w:tplc="8FD2DCB6">
      <w:start w:val="1"/>
      <w:numFmt w:val="bullet"/>
      <w:lvlText w:val=""/>
      <w:lvlJc w:val="left"/>
      <w:pPr>
        <w:ind w:left="4320" w:hanging="360"/>
      </w:pPr>
      <w:rPr>
        <w:rFonts w:ascii="Wingdings" w:hAnsi="Wingdings" w:hint="default"/>
      </w:rPr>
    </w:lvl>
    <w:lvl w:ilvl="6" w:tplc="CA3266EA">
      <w:start w:val="1"/>
      <w:numFmt w:val="bullet"/>
      <w:lvlText w:val=""/>
      <w:lvlJc w:val="left"/>
      <w:pPr>
        <w:ind w:left="5040" w:hanging="360"/>
      </w:pPr>
      <w:rPr>
        <w:rFonts w:ascii="Symbol" w:hAnsi="Symbol" w:hint="default"/>
      </w:rPr>
    </w:lvl>
    <w:lvl w:ilvl="7" w:tplc="BC06E2DE">
      <w:start w:val="1"/>
      <w:numFmt w:val="bullet"/>
      <w:lvlText w:val="o"/>
      <w:lvlJc w:val="left"/>
      <w:pPr>
        <w:ind w:left="5760" w:hanging="360"/>
      </w:pPr>
      <w:rPr>
        <w:rFonts w:ascii="Courier New" w:hAnsi="Courier New" w:hint="default"/>
      </w:rPr>
    </w:lvl>
    <w:lvl w:ilvl="8" w:tplc="16B20E94">
      <w:start w:val="1"/>
      <w:numFmt w:val="bullet"/>
      <w:lvlText w:val=""/>
      <w:lvlJc w:val="left"/>
      <w:pPr>
        <w:ind w:left="6480" w:hanging="360"/>
      </w:pPr>
      <w:rPr>
        <w:rFonts w:ascii="Wingdings" w:hAnsi="Wingdings" w:hint="default"/>
      </w:rPr>
    </w:lvl>
  </w:abstractNum>
  <w:abstractNum w:abstractNumId="16" w15:restartNumberingAfterBreak="0">
    <w:nsid w:val="3F0F6192"/>
    <w:multiLevelType w:val="hybridMultilevel"/>
    <w:tmpl w:val="70142F94"/>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F6B69"/>
    <w:multiLevelType w:val="hybridMultilevel"/>
    <w:tmpl w:val="FFFFFFFF"/>
    <w:lvl w:ilvl="0" w:tplc="EBAE14A0">
      <w:start w:val="1"/>
      <w:numFmt w:val="bullet"/>
      <w:lvlText w:val="§"/>
      <w:lvlJc w:val="left"/>
      <w:pPr>
        <w:ind w:left="720" w:hanging="360"/>
      </w:pPr>
      <w:rPr>
        <w:rFonts w:ascii="Wingdings" w:hAnsi="Wingdings" w:hint="default"/>
      </w:rPr>
    </w:lvl>
    <w:lvl w:ilvl="1" w:tplc="8A14B150">
      <w:start w:val="1"/>
      <w:numFmt w:val="bullet"/>
      <w:lvlText w:val="o"/>
      <w:lvlJc w:val="left"/>
      <w:pPr>
        <w:ind w:left="1440" w:hanging="360"/>
      </w:pPr>
      <w:rPr>
        <w:rFonts w:ascii="Courier New" w:hAnsi="Courier New" w:hint="default"/>
      </w:rPr>
    </w:lvl>
    <w:lvl w:ilvl="2" w:tplc="B8344006">
      <w:start w:val="1"/>
      <w:numFmt w:val="bullet"/>
      <w:lvlText w:val=""/>
      <w:lvlJc w:val="left"/>
      <w:pPr>
        <w:ind w:left="2160" w:hanging="360"/>
      </w:pPr>
      <w:rPr>
        <w:rFonts w:ascii="Wingdings" w:hAnsi="Wingdings" w:hint="default"/>
      </w:rPr>
    </w:lvl>
    <w:lvl w:ilvl="3" w:tplc="BAB0832A">
      <w:start w:val="1"/>
      <w:numFmt w:val="bullet"/>
      <w:lvlText w:val=""/>
      <w:lvlJc w:val="left"/>
      <w:pPr>
        <w:ind w:left="2880" w:hanging="360"/>
      </w:pPr>
      <w:rPr>
        <w:rFonts w:ascii="Symbol" w:hAnsi="Symbol" w:hint="default"/>
      </w:rPr>
    </w:lvl>
    <w:lvl w:ilvl="4" w:tplc="5C4A01E4">
      <w:start w:val="1"/>
      <w:numFmt w:val="bullet"/>
      <w:lvlText w:val="o"/>
      <w:lvlJc w:val="left"/>
      <w:pPr>
        <w:ind w:left="3600" w:hanging="360"/>
      </w:pPr>
      <w:rPr>
        <w:rFonts w:ascii="Courier New" w:hAnsi="Courier New" w:hint="default"/>
      </w:rPr>
    </w:lvl>
    <w:lvl w:ilvl="5" w:tplc="DFF2EEE0">
      <w:start w:val="1"/>
      <w:numFmt w:val="bullet"/>
      <w:lvlText w:val=""/>
      <w:lvlJc w:val="left"/>
      <w:pPr>
        <w:ind w:left="4320" w:hanging="360"/>
      </w:pPr>
      <w:rPr>
        <w:rFonts w:ascii="Wingdings" w:hAnsi="Wingdings" w:hint="default"/>
      </w:rPr>
    </w:lvl>
    <w:lvl w:ilvl="6" w:tplc="C8EEE7B0">
      <w:start w:val="1"/>
      <w:numFmt w:val="bullet"/>
      <w:lvlText w:val=""/>
      <w:lvlJc w:val="left"/>
      <w:pPr>
        <w:ind w:left="5040" w:hanging="360"/>
      </w:pPr>
      <w:rPr>
        <w:rFonts w:ascii="Symbol" w:hAnsi="Symbol" w:hint="default"/>
      </w:rPr>
    </w:lvl>
    <w:lvl w:ilvl="7" w:tplc="03FAF97E">
      <w:start w:val="1"/>
      <w:numFmt w:val="bullet"/>
      <w:lvlText w:val="o"/>
      <w:lvlJc w:val="left"/>
      <w:pPr>
        <w:ind w:left="5760" w:hanging="360"/>
      </w:pPr>
      <w:rPr>
        <w:rFonts w:ascii="Courier New" w:hAnsi="Courier New" w:hint="default"/>
      </w:rPr>
    </w:lvl>
    <w:lvl w:ilvl="8" w:tplc="E15AC150">
      <w:start w:val="1"/>
      <w:numFmt w:val="bullet"/>
      <w:lvlText w:val=""/>
      <w:lvlJc w:val="left"/>
      <w:pPr>
        <w:ind w:left="6480" w:hanging="360"/>
      </w:pPr>
      <w:rPr>
        <w:rFonts w:ascii="Wingdings" w:hAnsi="Wingdings" w:hint="default"/>
      </w:rPr>
    </w:lvl>
  </w:abstractNum>
  <w:abstractNum w:abstractNumId="18" w15:restartNumberingAfterBreak="0">
    <w:nsid w:val="4D0622E5"/>
    <w:multiLevelType w:val="hybridMultilevel"/>
    <w:tmpl w:val="52DC429A"/>
    <w:lvl w:ilvl="0" w:tplc="B30209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E59CE"/>
    <w:multiLevelType w:val="hybridMultilevel"/>
    <w:tmpl w:val="FFFFFFFF"/>
    <w:lvl w:ilvl="0" w:tplc="EBACBDD2">
      <w:start w:val="1"/>
      <w:numFmt w:val="bullet"/>
      <w:lvlText w:val="§"/>
      <w:lvlJc w:val="left"/>
      <w:pPr>
        <w:ind w:left="720" w:hanging="360"/>
      </w:pPr>
      <w:rPr>
        <w:rFonts w:ascii="Wingdings" w:hAnsi="Wingdings" w:hint="default"/>
      </w:rPr>
    </w:lvl>
    <w:lvl w:ilvl="1" w:tplc="913422C4">
      <w:start w:val="1"/>
      <w:numFmt w:val="bullet"/>
      <w:lvlText w:val="o"/>
      <w:lvlJc w:val="left"/>
      <w:pPr>
        <w:ind w:left="1440" w:hanging="360"/>
      </w:pPr>
      <w:rPr>
        <w:rFonts w:ascii="Courier New" w:hAnsi="Courier New" w:hint="default"/>
      </w:rPr>
    </w:lvl>
    <w:lvl w:ilvl="2" w:tplc="1EEA63F2">
      <w:start w:val="1"/>
      <w:numFmt w:val="bullet"/>
      <w:lvlText w:val=""/>
      <w:lvlJc w:val="left"/>
      <w:pPr>
        <w:ind w:left="2160" w:hanging="360"/>
      </w:pPr>
      <w:rPr>
        <w:rFonts w:ascii="Wingdings" w:hAnsi="Wingdings" w:hint="default"/>
      </w:rPr>
    </w:lvl>
    <w:lvl w:ilvl="3" w:tplc="B71C61D8">
      <w:start w:val="1"/>
      <w:numFmt w:val="bullet"/>
      <w:lvlText w:val=""/>
      <w:lvlJc w:val="left"/>
      <w:pPr>
        <w:ind w:left="2880" w:hanging="360"/>
      </w:pPr>
      <w:rPr>
        <w:rFonts w:ascii="Symbol" w:hAnsi="Symbol" w:hint="default"/>
      </w:rPr>
    </w:lvl>
    <w:lvl w:ilvl="4" w:tplc="0254C348">
      <w:start w:val="1"/>
      <w:numFmt w:val="bullet"/>
      <w:lvlText w:val="o"/>
      <w:lvlJc w:val="left"/>
      <w:pPr>
        <w:ind w:left="3600" w:hanging="360"/>
      </w:pPr>
      <w:rPr>
        <w:rFonts w:ascii="Courier New" w:hAnsi="Courier New" w:hint="default"/>
      </w:rPr>
    </w:lvl>
    <w:lvl w:ilvl="5" w:tplc="4F0A8A76">
      <w:start w:val="1"/>
      <w:numFmt w:val="bullet"/>
      <w:lvlText w:val=""/>
      <w:lvlJc w:val="left"/>
      <w:pPr>
        <w:ind w:left="4320" w:hanging="360"/>
      </w:pPr>
      <w:rPr>
        <w:rFonts w:ascii="Wingdings" w:hAnsi="Wingdings" w:hint="default"/>
      </w:rPr>
    </w:lvl>
    <w:lvl w:ilvl="6" w:tplc="4EFC6C1C">
      <w:start w:val="1"/>
      <w:numFmt w:val="bullet"/>
      <w:lvlText w:val=""/>
      <w:lvlJc w:val="left"/>
      <w:pPr>
        <w:ind w:left="5040" w:hanging="360"/>
      </w:pPr>
      <w:rPr>
        <w:rFonts w:ascii="Symbol" w:hAnsi="Symbol" w:hint="default"/>
      </w:rPr>
    </w:lvl>
    <w:lvl w:ilvl="7" w:tplc="E738FCCC">
      <w:start w:val="1"/>
      <w:numFmt w:val="bullet"/>
      <w:lvlText w:val="o"/>
      <w:lvlJc w:val="left"/>
      <w:pPr>
        <w:ind w:left="5760" w:hanging="360"/>
      </w:pPr>
      <w:rPr>
        <w:rFonts w:ascii="Courier New" w:hAnsi="Courier New" w:hint="default"/>
      </w:rPr>
    </w:lvl>
    <w:lvl w:ilvl="8" w:tplc="DA628FB6">
      <w:start w:val="1"/>
      <w:numFmt w:val="bullet"/>
      <w:lvlText w:val=""/>
      <w:lvlJc w:val="left"/>
      <w:pPr>
        <w:ind w:left="6480" w:hanging="360"/>
      </w:pPr>
      <w:rPr>
        <w:rFonts w:ascii="Wingdings" w:hAnsi="Wingdings" w:hint="default"/>
      </w:rPr>
    </w:lvl>
  </w:abstractNum>
  <w:abstractNum w:abstractNumId="20" w15:restartNumberingAfterBreak="0">
    <w:nsid w:val="4F1772E0"/>
    <w:multiLevelType w:val="hybridMultilevel"/>
    <w:tmpl w:val="7CBA7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312FD"/>
    <w:multiLevelType w:val="hybridMultilevel"/>
    <w:tmpl w:val="FFFFFFFF"/>
    <w:lvl w:ilvl="0" w:tplc="40CC2890">
      <w:start w:val="1"/>
      <w:numFmt w:val="bullet"/>
      <w:lvlText w:val="§"/>
      <w:lvlJc w:val="left"/>
      <w:pPr>
        <w:ind w:left="720" w:hanging="360"/>
      </w:pPr>
      <w:rPr>
        <w:rFonts w:ascii="Wingdings" w:hAnsi="Wingdings" w:hint="default"/>
      </w:rPr>
    </w:lvl>
    <w:lvl w:ilvl="1" w:tplc="68D05A8E">
      <w:start w:val="1"/>
      <w:numFmt w:val="bullet"/>
      <w:lvlText w:val="o"/>
      <w:lvlJc w:val="left"/>
      <w:pPr>
        <w:ind w:left="1440" w:hanging="360"/>
      </w:pPr>
      <w:rPr>
        <w:rFonts w:ascii="Courier New" w:hAnsi="Courier New" w:hint="default"/>
      </w:rPr>
    </w:lvl>
    <w:lvl w:ilvl="2" w:tplc="82E054EC">
      <w:start w:val="1"/>
      <w:numFmt w:val="bullet"/>
      <w:lvlText w:val=""/>
      <w:lvlJc w:val="left"/>
      <w:pPr>
        <w:ind w:left="2160" w:hanging="360"/>
      </w:pPr>
      <w:rPr>
        <w:rFonts w:ascii="Wingdings" w:hAnsi="Wingdings" w:hint="default"/>
      </w:rPr>
    </w:lvl>
    <w:lvl w:ilvl="3" w:tplc="6B447FBA">
      <w:start w:val="1"/>
      <w:numFmt w:val="bullet"/>
      <w:lvlText w:val=""/>
      <w:lvlJc w:val="left"/>
      <w:pPr>
        <w:ind w:left="2880" w:hanging="360"/>
      </w:pPr>
      <w:rPr>
        <w:rFonts w:ascii="Symbol" w:hAnsi="Symbol" w:hint="default"/>
      </w:rPr>
    </w:lvl>
    <w:lvl w:ilvl="4" w:tplc="7E2A78DC">
      <w:start w:val="1"/>
      <w:numFmt w:val="bullet"/>
      <w:lvlText w:val="o"/>
      <w:lvlJc w:val="left"/>
      <w:pPr>
        <w:ind w:left="3600" w:hanging="360"/>
      </w:pPr>
      <w:rPr>
        <w:rFonts w:ascii="Courier New" w:hAnsi="Courier New" w:hint="default"/>
      </w:rPr>
    </w:lvl>
    <w:lvl w:ilvl="5" w:tplc="1458E8F2">
      <w:start w:val="1"/>
      <w:numFmt w:val="bullet"/>
      <w:lvlText w:val=""/>
      <w:lvlJc w:val="left"/>
      <w:pPr>
        <w:ind w:left="4320" w:hanging="360"/>
      </w:pPr>
      <w:rPr>
        <w:rFonts w:ascii="Wingdings" w:hAnsi="Wingdings" w:hint="default"/>
      </w:rPr>
    </w:lvl>
    <w:lvl w:ilvl="6" w:tplc="160C29AC">
      <w:start w:val="1"/>
      <w:numFmt w:val="bullet"/>
      <w:lvlText w:val=""/>
      <w:lvlJc w:val="left"/>
      <w:pPr>
        <w:ind w:left="5040" w:hanging="360"/>
      </w:pPr>
      <w:rPr>
        <w:rFonts w:ascii="Symbol" w:hAnsi="Symbol" w:hint="default"/>
      </w:rPr>
    </w:lvl>
    <w:lvl w:ilvl="7" w:tplc="11F4FF34">
      <w:start w:val="1"/>
      <w:numFmt w:val="bullet"/>
      <w:lvlText w:val="o"/>
      <w:lvlJc w:val="left"/>
      <w:pPr>
        <w:ind w:left="5760" w:hanging="360"/>
      </w:pPr>
      <w:rPr>
        <w:rFonts w:ascii="Courier New" w:hAnsi="Courier New" w:hint="default"/>
      </w:rPr>
    </w:lvl>
    <w:lvl w:ilvl="8" w:tplc="1E32D9D4">
      <w:start w:val="1"/>
      <w:numFmt w:val="bullet"/>
      <w:lvlText w:val=""/>
      <w:lvlJc w:val="left"/>
      <w:pPr>
        <w:ind w:left="6480" w:hanging="360"/>
      </w:pPr>
      <w:rPr>
        <w:rFonts w:ascii="Wingdings" w:hAnsi="Wingdings" w:hint="default"/>
      </w:rPr>
    </w:lvl>
  </w:abstractNum>
  <w:abstractNum w:abstractNumId="22" w15:restartNumberingAfterBreak="0">
    <w:nsid w:val="537C736D"/>
    <w:multiLevelType w:val="hybridMultilevel"/>
    <w:tmpl w:val="6BEA90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4E352CC"/>
    <w:multiLevelType w:val="hybridMultilevel"/>
    <w:tmpl w:val="FFFFFFFF"/>
    <w:lvl w:ilvl="0" w:tplc="48DCAC9E">
      <w:start w:val="1"/>
      <w:numFmt w:val="bullet"/>
      <w:lvlText w:val="-"/>
      <w:lvlJc w:val="left"/>
      <w:pPr>
        <w:ind w:left="720" w:hanging="360"/>
      </w:pPr>
      <w:rPr>
        <w:rFonts w:ascii="Calibri" w:hAnsi="Calibri" w:hint="default"/>
      </w:rPr>
    </w:lvl>
    <w:lvl w:ilvl="1" w:tplc="9782E624">
      <w:start w:val="1"/>
      <w:numFmt w:val="bullet"/>
      <w:lvlText w:val="o"/>
      <w:lvlJc w:val="left"/>
      <w:pPr>
        <w:ind w:left="1440" w:hanging="360"/>
      </w:pPr>
      <w:rPr>
        <w:rFonts w:ascii="Courier New" w:hAnsi="Courier New" w:hint="default"/>
      </w:rPr>
    </w:lvl>
    <w:lvl w:ilvl="2" w:tplc="8D72C30C">
      <w:start w:val="1"/>
      <w:numFmt w:val="bullet"/>
      <w:lvlText w:val=""/>
      <w:lvlJc w:val="left"/>
      <w:pPr>
        <w:ind w:left="2160" w:hanging="360"/>
      </w:pPr>
      <w:rPr>
        <w:rFonts w:ascii="Wingdings" w:hAnsi="Wingdings" w:hint="default"/>
      </w:rPr>
    </w:lvl>
    <w:lvl w:ilvl="3" w:tplc="1F1CB90A">
      <w:start w:val="1"/>
      <w:numFmt w:val="bullet"/>
      <w:lvlText w:val=""/>
      <w:lvlJc w:val="left"/>
      <w:pPr>
        <w:ind w:left="2880" w:hanging="360"/>
      </w:pPr>
      <w:rPr>
        <w:rFonts w:ascii="Symbol" w:hAnsi="Symbol" w:hint="default"/>
      </w:rPr>
    </w:lvl>
    <w:lvl w:ilvl="4" w:tplc="6B9A89B6">
      <w:start w:val="1"/>
      <w:numFmt w:val="bullet"/>
      <w:lvlText w:val="o"/>
      <w:lvlJc w:val="left"/>
      <w:pPr>
        <w:ind w:left="3600" w:hanging="360"/>
      </w:pPr>
      <w:rPr>
        <w:rFonts w:ascii="Courier New" w:hAnsi="Courier New" w:hint="default"/>
      </w:rPr>
    </w:lvl>
    <w:lvl w:ilvl="5" w:tplc="B5DE7530">
      <w:start w:val="1"/>
      <w:numFmt w:val="bullet"/>
      <w:lvlText w:val=""/>
      <w:lvlJc w:val="left"/>
      <w:pPr>
        <w:ind w:left="4320" w:hanging="360"/>
      </w:pPr>
      <w:rPr>
        <w:rFonts w:ascii="Wingdings" w:hAnsi="Wingdings" w:hint="default"/>
      </w:rPr>
    </w:lvl>
    <w:lvl w:ilvl="6" w:tplc="1750A4A4">
      <w:start w:val="1"/>
      <w:numFmt w:val="bullet"/>
      <w:lvlText w:val=""/>
      <w:lvlJc w:val="left"/>
      <w:pPr>
        <w:ind w:left="5040" w:hanging="360"/>
      </w:pPr>
      <w:rPr>
        <w:rFonts w:ascii="Symbol" w:hAnsi="Symbol" w:hint="default"/>
      </w:rPr>
    </w:lvl>
    <w:lvl w:ilvl="7" w:tplc="CCC66B5C">
      <w:start w:val="1"/>
      <w:numFmt w:val="bullet"/>
      <w:lvlText w:val="o"/>
      <w:lvlJc w:val="left"/>
      <w:pPr>
        <w:ind w:left="5760" w:hanging="360"/>
      </w:pPr>
      <w:rPr>
        <w:rFonts w:ascii="Courier New" w:hAnsi="Courier New" w:hint="default"/>
      </w:rPr>
    </w:lvl>
    <w:lvl w:ilvl="8" w:tplc="34D41FC8">
      <w:start w:val="1"/>
      <w:numFmt w:val="bullet"/>
      <w:lvlText w:val=""/>
      <w:lvlJc w:val="left"/>
      <w:pPr>
        <w:ind w:left="6480" w:hanging="360"/>
      </w:pPr>
      <w:rPr>
        <w:rFonts w:ascii="Wingdings" w:hAnsi="Wingdings" w:hint="default"/>
      </w:rPr>
    </w:lvl>
  </w:abstractNum>
  <w:abstractNum w:abstractNumId="24" w15:restartNumberingAfterBreak="0">
    <w:nsid w:val="5710448B"/>
    <w:multiLevelType w:val="hybridMultilevel"/>
    <w:tmpl w:val="FFFFFFFF"/>
    <w:lvl w:ilvl="0" w:tplc="9A1A58C0">
      <w:start w:val="1"/>
      <w:numFmt w:val="bullet"/>
      <w:lvlText w:val="§"/>
      <w:lvlJc w:val="left"/>
      <w:pPr>
        <w:ind w:left="720" w:hanging="360"/>
      </w:pPr>
      <w:rPr>
        <w:rFonts w:ascii="Wingdings" w:hAnsi="Wingdings" w:hint="default"/>
      </w:rPr>
    </w:lvl>
    <w:lvl w:ilvl="1" w:tplc="2190F98C">
      <w:start w:val="1"/>
      <w:numFmt w:val="bullet"/>
      <w:lvlText w:val="o"/>
      <w:lvlJc w:val="left"/>
      <w:pPr>
        <w:ind w:left="1440" w:hanging="360"/>
      </w:pPr>
      <w:rPr>
        <w:rFonts w:ascii="Courier New" w:hAnsi="Courier New" w:hint="default"/>
      </w:rPr>
    </w:lvl>
    <w:lvl w:ilvl="2" w:tplc="30EC5276">
      <w:start w:val="1"/>
      <w:numFmt w:val="bullet"/>
      <w:lvlText w:val=""/>
      <w:lvlJc w:val="left"/>
      <w:pPr>
        <w:ind w:left="2160" w:hanging="360"/>
      </w:pPr>
      <w:rPr>
        <w:rFonts w:ascii="Wingdings" w:hAnsi="Wingdings" w:hint="default"/>
      </w:rPr>
    </w:lvl>
    <w:lvl w:ilvl="3" w:tplc="D0C0FA02">
      <w:start w:val="1"/>
      <w:numFmt w:val="bullet"/>
      <w:lvlText w:val=""/>
      <w:lvlJc w:val="left"/>
      <w:pPr>
        <w:ind w:left="2880" w:hanging="360"/>
      </w:pPr>
      <w:rPr>
        <w:rFonts w:ascii="Symbol" w:hAnsi="Symbol" w:hint="default"/>
      </w:rPr>
    </w:lvl>
    <w:lvl w:ilvl="4" w:tplc="CC322800">
      <w:start w:val="1"/>
      <w:numFmt w:val="bullet"/>
      <w:lvlText w:val="o"/>
      <w:lvlJc w:val="left"/>
      <w:pPr>
        <w:ind w:left="3600" w:hanging="360"/>
      </w:pPr>
      <w:rPr>
        <w:rFonts w:ascii="Courier New" w:hAnsi="Courier New" w:hint="default"/>
      </w:rPr>
    </w:lvl>
    <w:lvl w:ilvl="5" w:tplc="E6E45030">
      <w:start w:val="1"/>
      <w:numFmt w:val="bullet"/>
      <w:lvlText w:val=""/>
      <w:lvlJc w:val="left"/>
      <w:pPr>
        <w:ind w:left="4320" w:hanging="360"/>
      </w:pPr>
      <w:rPr>
        <w:rFonts w:ascii="Wingdings" w:hAnsi="Wingdings" w:hint="default"/>
      </w:rPr>
    </w:lvl>
    <w:lvl w:ilvl="6" w:tplc="CE1A3E46">
      <w:start w:val="1"/>
      <w:numFmt w:val="bullet"/>
      <w:lvlText w:val=""/>
      <w:lvlJc w:val="left"/>
      <w:pPr>
        <w:ind w:left="5040" w:hanging="360"/>
      </w:pPr>
      <w:rPr>
        <w:rFonts w:ascii="Symbol" w:hAnsi="Symbol" w:hint="default"/>
      </w:rPr>
    </w:lvl>
    <w:lvl w:ilvl="7" w:tplc="683AF714">
      <w:start w:val="1"/>
      <w:numFmt w:val="bullet"/>
      <w:lvlText w:val="o"/>
      <w:lvlJc w:val="left"/>
      <w:pPr>
        <w:ind w:left="5760" w:hanging="360"/>
      </w:pPr>
      <w:rPr>
        <w:rFonts w:ascii="Courier New" w:hAnsi="Courier New" w:hint="default"/>
      </w:rPr>
    </w:lvl>
    <w:lvl w:ilvl="8" w:tplc="4E0ED0DC">
      <w:start w:val="1"/>
      <w:numFmt w:val="bullet"/>
      <w:lvlText w:val=""/>
      <w:lvlJc w:val="left"/>
      <w:pPr>
        <w:ind w:left="6480" w:hanging="360"/>
      </w:pPr>
      <w:rPr>
        <w:rFonts w:ascii="Wingdings" w:hAnsi="Wingdings" w:hint="default"/>
      </w:rPr>
    </w:lvl>
  </w:abstractNum>
  <w:abstractNum w:abstractNumId="25" w15:restartNumberingAfterBreak="0">
    <w:nsid w:val="573B2FCB"/>
    <w:multiLevelType w:val="hybridMultilevel"/>
    <w:tmpl w:val="FFFFFFFF"/>
    <w:lvl w:ilvl="0" w:tplc="5880B230">
      <w:start w:val="1"/>
      <w:numFmt w:val="bullet"/>
      <w:lvlText w:val="§"/>
      <w:lvlJc w:val="left"/>
      <w:pPr>
        <w:ind w:left="720" w:hanging="360"/>
      </w:pPr>
      <w:rPr>
        <w:rFonts w:ascii="Wingdings" w:hAnsi="Wingdings" w:hint="default"/>
      </w:rPr>
    </w:lvl>
    <w:lvl w:ilvl="1" w:tplc="8196F25C">
      <w:start w:val="1"/>
      <w:numFmt w:val="bullet"/>
      <w:lvlText w:val="o"/>
      <w:lvlJc w:val="left"/>
      <w:pPr>
        <w:ind w:left="1440" w:hanging="360"/>
      </w:pPr>
      <w:rPr>
        <w:rFonts w:ascii="Courier New" w:hAnsi="Courier New" w:hint="default"/>
      </w:rPr>
    </w:lvl>
    <w:lvl w:ilvl="2" w:tplc="4920C5FC">
      <w:start w:val="1"/>
      <w:numFmt w:val="bullet"/>
      <w:lvlText w:val=""/>
      <w:lvlJc w:val="left"/>
      <w:pPr>
        <w:ind w:left="2160" w:hanging="360"/>
      </w:pPr>
      <w:rPr>
        <w:rFonts w:ascii="Wingdings" w:hAnsi="Wingdings" w:hint="default"/>
      </w:rPr>
    </w:lvl>
    <w:lvl w:ilvl="3" w:tplc="DBF85A8C">
      <w:start w:val="1"/>
      <w:numFmt w:val="bullet"/>
      <w:lvlText w:val=""/>
      <w:lvlJc w:val="left"/>
      <w:pPr>
        <w:ind w:left="2880" w:hanging="360"/>
      </w:pPr>
      <w:rPr>
        <w:rFonts w:ascii="Symbol" w:hAnsi="Symbol" w:hint="default"/>
      </w:rPr>
    </w:lvl>
    <w:lvl w:ilvl="4" w:tplc="2AE4E3A0">
      <w:start w:val="1"/>
      <w:numFmt w:val="bullet"/>
      <w:lvlText w:val="o"/>
      <w:lvlJc w:val="left"/>
      <w:pPr>
        <w:ind w:left="3600" w:hanging="360"/>
      </w:pPr>
      <w:rPr>
        <w:rFonts w:ascii="Courier New" w:hAnsi="Courier New" w:hint="default"/>
      </w:rPr>
    </w:lvl>
    <w:lvl w:ilvl="5" w:tplc="00E0EE22">
      <w:start w:val="1"/>
      <w:numFmt w:val="bullet"/>
      <w:lvlText w:val=""/>
      <w:lvlJc w:val="left"/>
      <w:pPr>
        <w:ind w:left="4320" w:hanging="360"/>
      </w:pPr>
      <w:rPr>
        <w:rFonts w:ascii="Wingdings" w:hAnsi="Wingdings" w:hint="default"/>
      </w:rPr>
    </w:lvl>
    <w:lvl w:ilvl="6" w:tplc="0D20CE26">
      <w:start w:val="1"/>
      <w:numFmt w:val="bullet"/>
      <w:lvlText w:val=""/>
      <w:lvlJc w:val="left"/>
      <w:pPr>
        <w:ind w:left="5040" w:hanging="360"/>
      </w:pPr>
      <w:rPr>
        <w:rFonts w:ascii="Symbol" w:hAnsi="Symbol" w:hint="default"/>
      </w:rPr>
    </w:lvl>
    <w:lvl w:ilvl="7" w:tplc="152CAE66">
      <w:start w:val="1"/>
      <w:numFmt w:val="bullet"/>
      <w:lvlText w:val="o"/>
      <w:lvlJc w:val="left"/>
      <w:pPr>
        <w:ind w:left="5760" w:hanging="360"/>
      </w:pPr>
      <w:rPr>
        <w:rFonts w:ascii="Courier New" w:hAnsi="Courier New" w:hint="default"/>
      </w:rPr>
    </w:lvl>
    <w:lvl w:ilvl="8" w:tplc="2414682C">
      <w:start w:val="1"/>
      <w:numFmt w:val="bullet"/>
      <w:lvlText w:val=""/>
      <w:lvlJc w:val="left"/>
      <w:pPr>
        <w:ind w:left="6480" w:hanging="360"/>
      </w:pPr>
      <w:rPr>
        <w:rFonts w:ascii="Wingdings" w:hAnsi="Wingdings" w:hint="default"/>
      </w:rPr>
    </w:lvl>
  </w:abstractNum>
  <w:abstractNum w:abstractNumId="26" w15:restartNumberingAfterBreak="0">
    <w:nsid w:val="59CD6326"/>
    <w:multiLevelType w:val="hybridMultilevel"/>
    <w:tmpl w:val="FFFFFFFF"/>
    <w:lvl w:ilvl="0" w:tplc="D7580DBE">
      <w:start w:val="1"/>
      <w:numFmt w:val="bullet"/>
      <w:lvlText w:val="§"/>
      <w:lvlJc w:val="left"/>
      <w:pPr>
        <w:ind w:left="720" w:hanging="360"/>
      </w:pPr>
      <w:rPr>
        <w:rFonts w:ascii="Wingdings" w:hAnsi="Wingdings" w:hint="default"/>
      </w:rPr>
    </w:lvl>
    <w:lvl w:ilvl="1" w:tplc="A1E45438">
      <w:start w:val="1"/>
      <w:numFmt w:val="bullet"/>
      <w:lvlText w:val="o"/>
      <w:lvlJc w:val="left"/>
      <w:pPr>
        <w:ind w:left="1440" w:hanging="360"/>
      </w:pPr>
      <w:rPr>
        <w:rFonts w:ascii="Courier New" w:hAnsi="Courier New" w:hint="default"/>
      </w:rPr>
    </w:lvl>
    <w:lvl w:ilvl="2" w:tplc="66BE221C">
      <w:start w:val="1"/>
      <w:numFmt w:val="bullet"/>
      <w:lvlText w:val=""/>
      <w:lvlJc w:val="left"/>
      <w:pPr>
        <w:ind w:left="2160" w:hanging="360"/>
      </w:pPr>
      <w:rPr>
        <w:rFonts w:ascii="Wingdings" w:hAnsi="Wingdings" w:hint="default"/>
      </w:rPr>
    </w:lvl>
    <w:lvl w:ilvl="3" w:tplc="FA4E2C6C">
      <w:start w:val="1"/>
      <w:numFmt w:val="bullet"/>
      <w:lvlText w:val=""/>
      <w:lvlJc w:val="left"/>
      <w:pPr>
        <w:ind w:left="2880" w:hanging="360"/>
      </w:pPr>
      <w:rPr>
        <w:rFonts w:ascii="Symbol" w:hAnsi="Symbol" w:hint="default"/>
      </w:rPr>
    </w:lvl>
    <w:lvl w:ilvl="4" w:tplc="945E808E">
      <w:start w:val="1"/>
      <w:numFmt w:val="bullet"/>
      <w:lvlText w:val="o"/>
      <w:lvlJc w:val="left"/>
      <w:pPr>
        <w:ind w:left="3600" w:hanging="360"/>
      </w:pPr>
      <w:rPr>
        <w:rFonts w:ascii="Courier New" w:hAnsi="Courier New" w:hint="default"/>
      </w:rPr>
    </w:lvl>
    <w:lvl w:ilvl="5" w:tplc="41967614">
      <w:start w:val="1"/>
      <w:numFmt w:val="bullet"/>
      <w:lvlText w:val=""/>
      <w:lvlJc w:val="left"/>
      <w:pPr>
        <w:ind w:left="4320" w:hanging="360"/>
      </w:pPr>
      <w:rPr>
        <w:rFonts w:ascii="Wingdings" w:hAnsi="Wingdings" w:hint="default"/>
      </w:rPr>
    </w:lvl>
    <w:lvl w:ilvl="6" w:tplc="52CCB4FA">
      <w:start w:val="1"/>
      <w:numFmt w:val="bullet"/>
      <w:lvlText w:val=""/>
      <w:lvlJc w:val="left"/>
      <w:pPr>
        <w:ind w:left="5040" w:hanging="360"/>
      </w:pPr>
      <w:rPr>
        <w:rFonts w:ascii="Symbol" w:hAnsi="Symbol" w:hint="default"/>
      </w:rPr>
    </w:lvl>
    <w:lvl w:ilvl="7" w:tplc="5BB45B5E">
      <w:start w:val="1"/>
      <w:numFmt w:val="bullet"/>
      <w:lvlText w:val="o"/>
      <w:lvlJc w:val="left"/>
      <w:pPr>
        <w:ind w:left="5760" w:hanging="360"/>
      </w:pPr>
      <w:rPr>
        <w:rFonts w:ascii="Courier New" w:hAnsi="Courier New" w:hint="default"/>
      </w:rPr>
    </w:lvl>
    <w:lvl w:ilvl="8" w:tplc="A6E42294">
      <w:start w:val="1"/>
      <w:numFmt w:val="bullet"/>
      <w:lvlText w:val=""/>
      <w:lvlJc w:val="left"/>
      <w:pPr>
        <w:ind w:left="6480" w:hanging="360"/>
      </w:pPr>
      <w:rPr>
        <w:rFonts w:ascii="Wingdings" w:hAnsi="Wingdings" w:hint="default"/>
      </w:rPr>
    </w:lvl>
  </w:abstractNum>
  <w:abstractNum w:abstractNumId="27" w15:restartNumberingAfterBreak="0">
    <w:nsid w:val="59F72266"/>
    <w:multiLevelType w:val="hybridMultilevel"/>
    <w:tmpl w:val="C8CE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BD5418"/>
    <w:multiLevelType w:val="hybridMultilevel"/>
    <w:tmpl w:val="EAEC259C"/>
    <w:lvl w:ilvl="0" w:tplc="A01856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DD1E9A"/>
    <w:multiLevelType w:val="hybridMultilevel"/>
    <w:tmpl w:val="FFFFFFFF"/>
    <w:lvl w:ilvl="0" w:tplc="7F7A0120">
      <w:start w:val="1"/>
      <w:numFmt w:val="bullet"/>
      <w:lvlText w:val="§"/>
      <w:lvlJc w:val="left"/>
      <w:pPr>
        <w:ind w:left="720" w:hanging="360"/>
      </w:pPr>
      <w:rPr>
        <w:rFonts w:ascii="Wingdings" w:hAnsi="Wingdings" w:hint="default"/>
      </w:rPr>
    </w:lvl>
    <w:lvl w:ilvl="1" w:tplc="67DE3956">
      <w:start w:val="1"/>
      <w:numFmt w:val="bullet"/>
      <w:lvlText w:val="o"/>
      <w:lvlJc w:val="left"/>
      <w:pPr>
        <w:ind w:left="1440" w:hanging="360"/>
      </w:pPr>
      <w:rPr>
        <w:rFonts w:ascii="Courier New" w:hAnsi="Courier New" w:hint="default"/>
      </w:rPr>
    </w:lvl>
    <w:lvl w:ilvl="2" w:tplc="F9EA12B4">
      <w:start w:val="1"/>
      <w:numFmt w:val="bullet"/>
      <w:lvlText w:val=""/>
      <w:lvlJc w:val="left"/>
      <w:pPr>
        <w:ind w:left="2160" w:hanging="360"/>
      </w:pPr>
      <w:rPr>
        <w:rFonts w:ascii="Wingdings" w:hAnsi="Wingdings" w:hint="default"/>
      </w:rPr>
    </w:lvl>
    <w:lvl w:ilvl="3" w:tplc="C1462C14">
      <w:start w:val="1"/>
      <w:numFmt w:val="bullet"/>
      <w:lvlText w:val=""/>
      <w:lvlJc w:val="left"/>
      <w:pPr>
        <w:ind w:left="2880" w:hanging="360"/>
      </w:pPr>
      <w:rPr>
        <w:rFonts w:ascii="Symbol" w:hAnsi="Symbol" w:hint="default"/>
      </w:rPr>
    </w:lvl>
    <w:lvl w:ilvl="4" w:tplc="54D043D2">
      <w:start w:val="1"/>
      <w:numFmt w:val="bullet"/>
      <w:lvlText w:val="o"/>
      <w:lvlJc w:val="left"/>
      <w:pPr>
        <w:ind w:left="3600" w:hanging="360"/>
      </w:pPr>
      <w:rPr>
        <w:rFonts w:ascii="Courier New" w:hAnsi="Courier New" w:hint="default"/>
      </w:rPr>
    </w:lvl>
    <w:lvl w:ilvl="5" w:tplc="2462275A">
      <w:start w:val="1"/>
      <w:numFmt w:val="bullet"/>
      <w:lvlText w:val=""/>
      <w:lvlJc w:val="left"/>
      <w:pPr>
        <w:ind w:left="4320" w:hanging="360"/>
      </w:pPr>
      <w:rPr>
        <w:rFonts w:ascii="Wingdings" w:hAnsi="Wingdings" w:hint="default"/>
      </w:rPr>
    </w:lvl>
    <w:lvl w:ilvl="6" w:tplc="2F4E3F86">
      <w:start w:val="1"/>
      <w:numFmt w:val="bullet"/>
      <w:lvlText w:val=""/>
      <w:lvlJc w:val="left"/>
      <w:pPr>
        <w:ind w:left="5040" w:hanging="360"/>
      </w:pPr>
      <w:rPr>
        <w:rFonts w:ascii="Symbol" w:hAnsi="Symbol" w:hint="default"/>
      </w:rPr>
    </w:lvl>
    <w:lvl w:ilvl="7" w:tplc="78BC3F44">
      <w:start w:val="1"/>
      <w:numFmt w:val="bullet"/>
      <w:lvlText w:val="o"/>
      <w:lvlJc w:val="left"/>
      <w:pPr>
        <w:ind w:left="5760" w:hanging="360"/>
      </w:pPr>
      <w:rPr>
        <w:rFonts w:ascii="Courier New" w:hAnsi="Courier New" w:hint="default"/>
      </w:rPr>
    </w:lvl>
    <w:lvl w:ilvl="8" w:tplc="8C2031E6">
      <w:start w:val="1"/>
      <w:numFmt w:val="bullet"/>
      <w:lvlText w:val=""/>
      <w:lvlJc w:val="left"/>
      <w:pPr>
        <w:ind w:left="6480" w:hanging="360"/>
      </w:pPr>
      <w:rPr>
        <w:rFonts w:ascii="Wingdings" w:hAnsi="Wingdings" w:hint="default"/>
      </w:rPr>
    </w:lvl>
  </w:abstractNum>
  <w:abstractNum w:abstractNumId="30" w15:restartNumberingAfterBreak="0">
    <w:nsid w:val="671D1EB3"/>
    <w:multiLevelType w:val="hybridMultilevel"/>
    <w:tmpl w:val="FFFFFFFF"/>
    <w:lvl w:ilvl="0" w:tplc="FF5AAD44">
      <w:start w:val="1"/>
      <w:numFmt w:val="bullet"/>
      <w:lvlText w:val="-"/>
      <w:lvlJc w:val="left"/>
      <w:pPr>
        <w:ind w:left="720" w:hanging="360"/>
      </w:pPr>
      <w:rPr>
        <w:rFonts w:ascii="Calibri" w:hAnsi="Calibri" w:hint="default"/>
      </w:rPr>
    </w:lvl>
    <w:lvl w:ilvl="1" w:tplc="747663E0">
      <w:start w:val="1"/>
      <w:numFmt w:val="bullet"/>
      <w:lvlText w:val="o"/>
      <w:lvlJc w:val="left"/>
      <w:pPr>
        <w:ind w:left="1440" w:hanging="360"/>
      </w:pPr>
      <w:rPr>
        <w:rFonts w:ascii="Courier New" w:hAnsi="Courier New" w:hint="default"/>
      </w:rPr>
    </w:lvl>
    <w:lvl w:ilvl="2" w:tplc="0068F7DA">
      <w:start w:val="1"/>
      <w:numFmt w:val="bullet"/>
      <w:lvlText w:val=""/>
      <w:lvlJc w:val="left"/>
      <w:pPr>
        <w:ind w:left="2160" w:hanging="360"/>
      </w:pPr>
      <w:rPr>
        <w:rFonts w:ascii="Wingdings" w:hAnsi="Wingdings" w:hint="default"/>
      </w:rPr>
    </w:lvl>
    <w:lvl w:ilvl="3" w:tplc="F84AD956">
      <w:start w:val="1"/>
      <w:numFmt w:val="bullet"/>
      <w:lvlText w:val=""/>
      <w:lvlJc w:val="left"/>
      <w:pPr>
        <w:ind w:left="2880" w:hanging="360"/>
      </w:pPr>
      <w:rPr>
        <w:rFonts w:ascii="Symbol" w:hAnsi="Symbol" w:hint="default"/>
      </w:rPr>
    </w:lvl>
    <w:lvl w:ilvl="4" w:tplc="5E1E429A">
      <w:start w:val="1"/>
      <w:numFmt w:val="bullet"/>
      <w:lvlText w:val="o"/>
      <w:lvlJc w:val="left"/>
      <w:pPr>
        <w:ind w:left="3600" w:hanging="360"/>
      </w:pPr>
      <w:rPr>
        <w:rFonts w:ascii="Courier New" w:hAnsi="Courier New" w:hint="default"/>
      </w:rPr>
    </w:lvl>
    <w:lvl w:ilvl="5" w:tplc="67EAF5C6">
      <w:start w:val="1"/>
      <w:numFmt w:val="bullet"/>
      <w:lvlText w:val=""/>
      <w:lvlJc w:val="left"/>
      <w:pPr>
        <w:ind w:left="4320" w:hanging="360"/>
      </w:pPr>
      <w:rPr>
        <w:rFonts w:ascii="Wingdings" w:hAnsi="Wingdings" w:hint="default"/>
      </w:rPr>
    </w:lvl>
    <w:lvl w:ilvl="6" w:tplc="3CE0DFE6">
      <w:start w:val="1"/>
      <w:numFmt w:val="bullet"/>
      <w:lvlText w:val=""/>
      <w:lvlJc w:val="left"/>
      <w:pPr>
        <w:ind w:left="5040" w:hanging="360"/>
      </w:pPr>
      <w:rPr>
        <w:rFonts w:ascii="Symbol" w:hAnsi="Symbol" w:hint="default"/>
      </w:rPr>
    </w:lvl>
    <w:lvl w:ilvl="7" w:tplc="3C7839A6">
      <w:start w:val="1"/>
      <w:numFmt w:val="bullet"/>
      <w:lvlText w:val="o"/>
      <w:lvlJc w:val="left"/>
      <w:pPr>
        <w:ind w:left="5760" w:hanging="360"/>
      </w:pPr>
      <w:rPr>
        <w:rFonts w:ascii="Courier New" w:hAnsi="Courier New" w:hint="default"/>
      </w:rPr>
    </w:lvl>
    <w:lvl w:ilvl="8" w:tplc="F00A3280">
      <w:start w:val="1"/>
      <w:numFmt w:val="bullet"/>
      <w:lvlText w:val=""/>
      <w:lvlJc w:val="left"/>
      <w:pPr>
        <w:ind w:left="6480" w:hanging="360"/>
      </w:pPr>
      <w:rPr>
        <w:rFonts w:ascii="Wingdings" w:hAnsi="Wingdings" w:hint="default"/>
      </w:rPr>
    </w:lvl>
  </w:abstractNum>
  <w:abstractNum w:abstractNumId="31" w15:restartNumberingAfterBreak="0">
    <w:nsid w:val="6C507775"/>
    <w:multiLevelType w:val="hybridMultilevel"/>
    <w:tmpl w:val="B0B812FA"/>
    <w:lvl w:ilvl="0" w:tplc="97E4A88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8C2154"/>
    <w:multiLevelType w:val="hybridMultilevel"/>
    <w:tmpl w:val="FFFFFFFF"/>
    <w:lvl w:ilvl="0" w:tplc="7D7C6A98">
      <w:start w:val="1"/>
      <w:numFmt w:val="bullet"/>
      <w:lvlText w:val="§"/>
      <w:lvlJc w:val="left"/>
      <w:pPr>
        <w:ind w:left="720" w:hanging="360"/>
      </w:pPr>
      <w:rPr>
        <w:rFonts w:ascii="Wingdings" w:hAnsi="Wingdings" w:hint="default"/>
      </w:rPr>
    </w:lvl>
    <w:lvl w:ilvl="1" w:tplc="A8DA5042">
      <w:start w:val="1"/>
      <w:numFmt w:val="bullet"/>
      <w:lvlText w:val="o"/>
      <w:lvlJc w:val="left"/>
      <w:pPr>
        <w:ind w:left="1440" w:hanging="360"/>
      </w:pPr>
      <w:rPr>
        <w:rFonts w:ascii="Courier New" w:hAnsi="Courier New" w:hint="default"/>
      </w:rPr>
    </w:lvl>
    <w:lvl w:ilvl="2" w:tplc="82BA7DCE">
      <w:start w:val="1"/>
      <w:numFmt w:val="bullet"/>
      <w:lvlText w:val=""/>
      <w:lvlJc w:val="left"/>
      <w:pPr>
        <w:ind w:left="2160" w:hanging="360"/>
      </w:pPr>
      <w:rPr>
        <w:rFonts w:ascii="Wingdings" w:hAnsi="Wingdings" w:hint="default"/>
      </w:rPr>
    </w:lvl>
    <w:lvl w:ilvl="3" w:tplc="B41C1A48">
      <w:start w:val="1"/>
      <w:numFmt w:val="bullet"/>
      <w:lvlText w:val=""/>
      <w:lvlJc w:val="left"/>
      <w:pPr>
        <w:ind w:left="2880" w:hanging="360"/>
      </w:pPr>
      <w:rPr>
        <w:rFonts w:ascii="Symbol" w:hAnsi="Symbol" w:hint="default"/>
      </w:rPr>
    </w:lvl>
    <w:lvl w:ilvl="4" w:tplc="9CF26FFE">
      <w:start w:val="1"/>
      <w:numFmt w:val="bullet"/>
      <w:lvlText w:val="o"/>
      <w:lvlJc w:val="left"/>
      <w:pPr>
        <w:ind w:left="3600" w:hanging="360"/>
      </w:pPr>
      <w:rPr>
        <w:rFonts w:ascii="Courier New" w:hAnsi="Courier New" w:hint="default"/>
      </w:rPr>
    </w:lvl>
    <w:lvl w:ilvl="5" w:tplc="C8306E4A">
      <w:start w:val="1"/>
      <w:numFmt w:val="bullet"/>
      <w:lvlText w:val=""/>
      <w:lvlJc w:val="left"/>
      <w:pPr>
        <w:ind w:left="4320" w:hanging="360"/>
      </w:pPr>
      <w:rPr>
        <w:rFonts w:ascii="Wingdings" w:hAnsi="Wingdings" w:hint="default"/>
      </w:rPr>
    </w:lvl>
    <w:lvl w:ilvl="6" w:tplc="6E8424F4">
      <w:start w:val="1"/>
      <w:numFmt w:val="bullet"/>
      <w:lvlText w:val=""/>
      <w:lvlJc w:val="left"/>
      <w:pPr>
        <w:ind w:left="5040" w:hanging="360"/>
      </w:pPr>
      <w:rPr>
        <w:rFonts w:ascii="Symbol" w:hAnsi="Symbol" w:hint="default"/>
      </w:rPr>
    </w:lvl>
    <w:lvl w:ilvl="7" w:tplc="EF36A8B4">
      <w:start w:val="1"/>
      <w:numFmt w:val="bullet"/>
      <w:lvlText w:val="o"/>
      <w:lvlJc w:val="left"/>
      <w:pPr>
        <w:ind w:left="5760" w:hanging="360"/>
      </w:pPr>
      <w:rPr>
        <w:rFonts w:ascii="Courier New" w:hAnsi="Courier New" w:hint="default"/>
      </w:rPr>
    </w:lvl>
    <w:lvl w:ilvl="8" w:tplc="933E4778">
      <w:start w:val="1"/>
      <w:numFmt w:val="bullet"/>
      <w:lvlText w:val=""/>
      <w:lvlJc w:val="left"/>
      <w:pPr>
        <w:ind w:left="6480" w:hanging="360"/>
      </w:pPr>
      <w:rPr>
        <w:rFonts w:ascii="Wingdings" w:hAnsi="Wingdings" w:hint="default"/>
      </w:rPr>
    </w:lvl>
  </w:abstractNum>
  <w:abstractNum w:abstractNumId="33" w15:restartNumberingAfterBreak="0">
    <w:nsid w:val="70CA4E42"/>
    <w:multiLevelType w:val="hybridMultilevel"/>
    <w:tmpl w:val="FFFFFFFF"/>
    <w:lvl w:ilvl="0" w:tplc="EB4EA0E2">
      <w:start w:val="1"/>
      <w:numFmt w:val="bullet"/>
      <w:lvlText w:val="§"/>
      <w:lvlJc w:val="left"/>
      <w:pPr>
        <w:ind w:left="720" w:hanging="360"/>
      </w:pPr>
      <w:rPr>
        <w:rFonts w:ascii="Wingdings" w:hAnsi="Wingdings" w:hint="default"/>
      </w:rPr>
    </w:lvl>
    <w:lvl w:ilvl="1" w:tplc="AA8EA37A">
      <w:start w:val="1"/>
      <w:numFmt w:val="bullet"/>
      <w:lvlText w:val="o"/>
      <w:lvlJc w:val="left"/>
      <w:pPr>
        <w:ind w:left="1440" w:hanging="360"/>
      </w:pPr>
      <w:rPr>
        <w:rFonts w:ascii="Courier New" w:hAnsi="Courier New" w:hint="default"/>
      </w:rPr>
    </w:lvl>
    <w:lvl w:ilvl="2" w:tplc="1676294C">
      <w:start w:val="1"/>
      <w:numFmt w:val="bullet"/>
      <w:lvlText w:val=""/>
      <w:lvlJc w:val="left"/>
      <w:pPr>
        <w:ind w:left="2160" w:hanging="360"/>
      </w:pPr>
      <w:rPr>
        <w:rFonts w:ascii="Wingdings" w:hAnsi="Wingdings" w:hint="default"/>
      </w:rPr>
    </w:lvl>
    <w:lvl w:ilvl="3" w:tplc="8D8249D8">
      <w:start w:val="1"/>
      <w:numFmt w:val="bullet"/>
      <w:lvlText w:val=""/>
      <w:lvlJc w:val="left"/>
      <w:pPr>
        <w:ind w:left="2880" w:hanging="360"/>
      </w:pPr>
      <w:rPr>
        <w:rFonts w:ascii="Symbol" w:hAnsi="Symbol" w:hint="default"/>
      </w:rPr>
    </w:lvl>
    <w:lvl w:ilvl="4" w:tplc="60D67D72">
      <w:start w:val="1"/>
      <w:numFmt w:val="bullet"/>
      <w:lvlText w:val="o"/>
      <w:lvlJc w:val="left"/>
      <w:pPr>
        <w:ind w:left="3600" w:hanging="360"/>
      </w:pPr>
      <w:rPr>
        <w:rFonts w:ascii="Courier New" w:hAnsi="Courier New" w:hint="default"/>
      </w:rPr>
    </w:lvl>
    <w:lvl w:ilvl="5" w:tplc="208603E8">
      <w:start w:val="1"/>
      <w:numFmt w:val="bullet"/>
      <w:lvlText w:val=""/>
      <w:lvlJc w:val="left"/>
      <w:pPr>
        <w:ind w:left="4320" w:hanging="360"/>
      </w:pPr>
      <w:rPr>
        <w:rFonts w:ascii="Wingdings" w:hAnsi="Wingdings" w:hint="default"/>
      </w:rPr>
    </w:lvl>
    <w:lvl w:ilvl="6" w:tplc="1DD82994">
      <w:start w:val="1"/>
      <w:numFmt w:val="bullet"/>
      <w:lvlText w:val=""/>
      <w:lvlJc w:val="left"/>
      <w:pPr>
        <w:ind w:left="5040" w:hanging="360"/>
      </w:pPr>
      <w:rPr>
        <w:rFonts w:ascii="Symbol" w:hAnsi="Symbol" w:hint="default"/>
      </w:rPr>
    </w:lvl>
    <w:lvl w:ilvl="7" w:tplc="9F90EF0A">
      <w:start w:val="1"/>
      <w:numFmt w:val="bullet"/>
      <w:lvlText w:val="o"/>
      <w:lvlJc w:val="left"/>
      <w:pPr>
        <w:ind w:left="5760" w:hanging="360"/>
      </w:pPr>
      <w:rPr>
        <w:rFonts w:ascii="Courier New" w:hAnsi="Courier New" w:hint="default"/>
      </w:rPr>
    </w:lvl>
    <w:lvl w:ilvl="8" w:tplc="E29C3B22">
      <w:start w:val="1"/>
      <w:numFmt w:val="bullet"/>
      <w:lvlText w:val=""/>
      <w:lvlJc w:val="left"/>
      <w:pPr>
        <w:ind w:left="6480" w:hanging="360"/>
      </w:pPr>
      <w:rPr>
        <w:rFonts w:ascii="Wingdings" w:hAnsi="Wingdings" w:hint="default"/>
      </w:rPr>
    </w:lvl>
  </w:abstractNum>
  <w:abstractNum w:abstractNumId="34" w15:restartNumberingAfterBreak="0">
    <w:nsid w:val="75E47652"/>
    <w:multiLevelType w:val="hybridMultilevel"/>
    <w:tmpl w:val="FFFFFFFF"/>
    <w:lvl w:ilvl="0" w:tplc="155E03BA">
      <w:start w:val="1"/>
      <w:numFmt w:val="bullet"/>
      <w:lvlText w:val="§"/>
      <w:lvlJc w:val="left"/>
      <w:pPr>
        <w:ind w:left="720" w:hanging="360"/>
      </w:pPr>
      <w:rPr>
        <w:rFonts w:ascii="Wingdings" w:hAnsi="Wingdings" w:hint="default"/>
      </w:rPr>
    </w:lvl>
    <w:lvl w:ilvl="1" w:tplc="5AD4CABA">
      <w:start w:val="1"/>
      <w:numFmt w:val="bullet"/>
      <w:lvlText w:val="o"/>
      <w:lvlJc w:val="left"/>
      <w:pPr>
        <w:ind w:left="1440" w:hanging="360"/>
      </w:pPr>
      <w:rPr>
        <w:rFonts w:ascii="Courier New" w:hAnsi="Courier New" w:hint="default"/>
      </w:rPr>
    </w:lvl>
    <w:lvl w:ilvl="2" w:tplc="BC0EDFA0">
      <w:start w:val="1"/>
      <w:numFmt w:val="bullet"/>
      <w:lvlText w:val=""/>
      <w:lvlJc w:val="left"/>
      <w:pPr>
        <w:ind w:left="2160" w:hanging="360"/>
      </w:pPr>
      <w:rPr>
        <w:rFonts w:ascii="Wingdings" w:hAnsi="Wingdings" w:hint="default"/>
      </w:rPr>
    </w:lvl>
    <w:lvl w:ilvl="3" w:tplc="7B0C1D1C">
      <w:start w:val="1"/>
      <w:numFmt w:val="bullet"/>
      <w:lvlText w:val=""/>
      <w:lvlJc w:val="left"/>
      <w:pPr>
        <w:ind w:left="2880" w:hanging="360"/>
      </w:pPr>
      <w:rPr>
        <w:rFonts w:ascii="Symbol" w:hAnsi="Symbol" w:hint="default"/>
      </w:rPr>
    </w:lvl>
    <w:lvl w:ilvl="4" w:tplc="0D664A9E">
      <w:start w:val="1"/>
      <w:numFmt w:val="bullet"/>
      <w:lvlText w:val="o"/>
      <w:lvlJc w:val="left"/>
      <w:pPr>
        <w:ind w:left="3600" w:hanging="360"/>
      </w:pPr>
      <w:rPr>
        <w:rFonts w:ascii="Courier New" w:hAnsi="Courier New" w:hint="default"/>
      </w:rPr>
    </w:lvl>
    <w:lvl w:ilvl="5" w:tplc="1166EF8C">
      <w:start w:val="1"/>
      <w:numFmt w:val="bullet"/>
      <w:lvlText w:val=""/>
      <w:lvlJc w:val="left"/>
      <w:pPr>
        <w:ind w:left="4320" w:hanging="360"/>
      </w:pPr>
      <w:rPr>
        <w:rFonts w:ascii="Wingdings" w:hAnsi="Wingdings" w:hint="default"/>
      </w:rPr>
    </w:lvl>
    <w:lvl w:ilvl="6" w:tplc="5E484498">
      <w:start w:val="1"/>
      <w:numFmt w:val="bullet"/>
      <w:lvlText w:val=""/>
      <w:lvlJc w:val="left"/>
      <w:pPr>
        <w:ind w:left="5040" w:hanging="360"/>
      </w:pPr>
      <w:rPr>
        <w:rFonts w:ascii="Symbol" w:hAnsi="Symbol" w:hint="default"/>
      </w:rPr>
    </w:lvl>
    <w:lvl w:ilvl="7" w:tplc="DD50F5A0">
      <w:start w:val="1"/>
      <w:numFmt w:val="bullet"/>
      <w:lvlText w:val="o"/>
      <w:lvlJc w:val="left"/>
      <w:pPr>
        <w:ind w:left="5760" w:hanging="360"/>
      </w:pPr>
      <w:rPr>
        <w:rFonts w:ascii="Courier New" w:hAnsi="Courier New" w:hint="default"/>
      </w:rPr>
    </w:lvl>
    <w:lvl w:ilvl="8" w:tplc="9E9C3E3C">
      <w:start w:val="1"/>
      <w:numFmt w:val="bullet"/>
      <w:lvlText w:val=""/>
      <w:lvlJc w:val="left"/>
      <w:pPr>
        <w:ind w:left="6480" w:hanging="360"/>
      </w:pPr>
      <w:rPr>
        <w:rFonts w:ascii="Wingdings" w:hAnsi="Wingdings" w:hint="default"/>
      </w:rPr>
    </w:lvl>
  </w:abstractNum>
  <w:abstractNum w:abstractNumId="35" w15:restartNumberingAfterBreak="0">
    <w:nsid w:val="7A667DE3"/>
    <w:multiLevelType w:val="hybridMultilevel"/>
    <w:tmpl w:val="18B2E3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D309B0"/>
    <w:multiLevelType w:val="hybridMultilevel"/>
    <w:tmpl w:val="FFFFFFFF"/>
    <w:lvl w:ilvl="0" w:tplc="C25AAB2E">
      <w:start w:val="1"/>
      <w:numFmt w:val="bullet"/>
      <w:lvlText w:val="§"/>
      <w:lvlJc w:val="left"/>
      <w:pPr>
        <w:ind w:left="720" w:hanging="360"/>
      </w:pPr>
      <w:rPr>
        <w:rFonts w:ascii="Wingdings" w:hAnsi="Wingdings" w:hint="default"/>
      </w:rPr>
    </w:lvl>
    <w:lvl w:ilvl="1" w:tplc="83BA17FC">
      <w:start w:val="1"/>
      <w:numFmt w:val="bullet"/>
      <w:lvlText w:val="o"/>
      <w:lvlJc w:val="left"/>
      <w:pPr>
        <w:ind w:left="1440" w:hanging="360"/>
      </w:pPr>
      <w:rPr>
        <w:rFonts w:ascii="Courier New" w:hAnsi="Courier New" w:hint="default"/>
      </w:rPr>
    </w:lvl>
    <w:lvl w:ilvl="2" w:tplc="7F6255CA">
      <w:start w:val="1"/>
      <w:numFmt w:val="bullet"/>
      <w:lvlText w:val=""/>
      <w:lvlJc w:val="left"/>
      <w:pPr>
        <w:ind w:left="2160" w:hanging="360"/>
      </w:pPr>
      <w:rPr>
        <w:rFonts w:ascii="Wingdings" w:hAnsi="Wingdings" w:hint="default"/>
      </w:rPr>
    </w:lvl>
    <w:lvl w:ilvl="3" w:tplc="7DCEBE90">
      <w:start w:val="1"/>
      <w:numFmt w:val="bullet"/>
      <w:lvlText w:val=""/>
      <w:lvlJc w:val="left"/>
      <w:pPr>
        <w:ind w:left="2880" w:hanging="360"/>
      </w:pPr>
      <w:rPr>
        <w:rFonts w:ascii="Symbol" w:hAnsi="Symbol" w:hint="default"/>
      </w:rPr>
    </w:lvl>
    <w:lvl w:ilvl="4" w:tplc="334C7392">
      <w:start w:val="1"/>
      <w:numFmt w:val="bullet"/>
      <w:lvlText w:val="o"/>
      <w:lvlJc w:val="left"/>
      <w:pPr>
        <w:ind w:left="3600" w:hanging="360"/>
      </w:pPr>
      <w:rPr>
        <w:rFonts w:ascii="Courier New" w:hAnsi="Courier New" w:hint="default"/>
      </w:rPr>
    </w:lvl>
    <w:lvl w:ilvl="5" w:tplc="30B28A56">
      <w:start w:val="1"/>
      <w:numFmt w:val="bullet"/>
      <w:lvlText w:val=""/>
      <w:lvlJc w:val="left"/>
      <w:pPr>
        <w:ind w:left="4320" w:hanging="360"/>
      </w:pPr>
      <w:rPr>
        <w:rFonts w:ascii="Wingdings" w:hAnsi="Wingdings" w:hint="default"/>
      </w:rPr>
    </w:lvl>
    <w:lvl w:ilvl="6" w:tplc="766ED568">
      <w:start w:val="1"/>
      <w:numFmt w:val="bullet"/>
      <w:lvlText w:val=""/>
      <w:lvlJc w:val="left"/>
      <w:pPr>
        <w:ind w:left="5040" w:hanging="360"/>
      </w:pPr>
      <w:rPr>
        <w:rFonts w:ascii="Symbol" w:hAnsi="Symbol" w:hint="default"/>
      </w:rPr>
    </w:lvl>
    <w:lvl w:ilvl="7" w:tplc="814A828E">
      <w:start w:val="1"/>
      <w:numFmt w:val="bullet"/>
      <w:lvlText w:val="o"/>
      <w:lvlJc w:val="left"/>
      <w:pPr>
        <w:ind w:left="5760" w:hanging="360"/>
      </w:pPr>
      <w:rPr>
        <w:rFonts w:ascii="Courier New" w:hAnsi="Courier New" w:hint="default"/>
      </w:rPr>
    </w:lvl>
    <w:lvl w:ilvl="8" w:tplc="283A9CFE">
      <w:start w:val="1"/>
      <w:numFmt w:val="bullet"/>
      <w:lvlText w:val=""/>
      <w:lvlJc w:val="left"/>
      <w:pPr>
        <w:ind w:left="6480" w:hanging="360"/>
      </w:pPr>
      <w:rPr>
        <w:rFonts w:ascii="Wingdings" w:hAnsi="Wingdings" w:hint="default"/>
      </w:rPr>
    </w:lvl>
  </w:abstractNum>
  <w:abstractNum w:abstractNumId="37" w15:restartNumberingAfterBreak="0">
    <w:nsid w:val="7E3C0BBA"/>
    <w:multiLevelType w:val="hybridMultilevel"/>
    <w:tmpl w:val="8356E906"/>
    <w:lvl w:ilvl="0" w:tplc="D37AA28C">
      <w:start w:val="4"/>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117F2"/>
    <w:multiLevelType w:val="hybridMultilevel"/>
    <w:tmpl w:val="18B2E3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972829"/>
    <w:multiLevelType w:val="hybridMultilevel"/>
    <w:tmpl w:val="FFFFFFFF"/>
    <w:lvl w:ilvl="0" w:tplc="CBAC02CA">
      <w:start w:val="1"/>
      <w:numFmt w:val="bullet"/>
      <w:lvlText w:val="§"/>
      <w:lvlJc w:val="left"/>
      <w:pPr>
        <w:ind w:left="720" w:hanging="360"/>
      </w:pPr>
      <w:rPr>
        <w:rFonts w:ascii="Wingdings" w:hAnsi="Wingdings" w:hint="default"/>
      </w:rPr>
    </w:lvl>
    <w:lvl w:ilvl="1" w:tplc="579EA4C0">
      <w:start w:val="1"/>
      <w:numFmt w:val="bullet"/>
      <w:lvlText w:val="o"/>
      <w:lvlJc w:val="left"/>
      <w:pPr>
        <w:ind w:left="1440" w:hanging="360"/>
      </w:pPr>
      <w:rPr>
        <w:rFonts w:ascii="Courier New" w:hAnsi="Courier New" w:hint="default"/>
      </w:rPr>
    </w:lvl>
    <w:lvl w:ilvl="2" w:tplc="F99EEC96">
      <w:start w:val="1"/>
      <w:numFmt w:val="bullet"/>
      <w:lvlText w:val=""/>
      <w:lvlJc w:val="left"/>
      <w:pPr>
        <w:ind w:left="2160" w:hanging="360"/>
      </w:pPr>
      <w:rPr>
        <w:rFonts w:ascii="Wingdings" w:hAnsi="Wingdings" w:hint="default"/>
      </w:rPr>
    </w:lvl>
    <w:lvl w:ilvl="3" w:tplc="D1D20C1E">
      <w:start w:val="1"/>
      <w:numFmt w:val="bullet"/>
      <w:lvlText w:val=""/>
      <w:lvlJc w:val="left"/>
      <w:pPr>
        <w:ind w:left="2880" w:hanging="360"/>
      </w:pPr>
      <w:rPr>
        <w:rFonts w:ascii="Symbol" w:hAnsi="Symbol" w:hint="default"/>
      </w:rPr>
    </w:lvl>
    <w:lvl w:ilvl="4" w:tplc="52AAB356">
      <w:start w:val="1"/>
      <w:numFmt w:val="bullet"/>
      <w:lvlText w:val="o"/>
      <w:lvlJc w:val="left"/>
      <w:pPr>
        <w:ind w:left="3600" w:hanging="360"/>
      </w:pPr>
      <w:rPr>
        <w:rFonts w:ascii="Courier New" w:hAnsi="Courier New" w:hint="default"/>
      </w:rPr>
    </w:lvl>
    <w:lvl w:ilvl="5" w:tplc="698C8192">
      <w:start w:val="1"/>
      <w:numFmt w:val="bullet"/>
      <w:lvlText w:val=""/>
      <w:lvlJc w:val="left"/>
      <w:pPr>
        <w:ind w:left="4320" w:hanging="360"/>
      </w:pPr>
      <w:rPr>
        <w:rFonts w:ascii="Wingdings" w:hAnsi="Wingdings" w:hint="default"/>
      </w:rPr>
    </w:lvl>
    <w:lvl w:ilvl="6" w:tplc="61E4F53C">
      <w:start w:val="1"/>
      <w:numFmt w:val="bullet"/>
      <w:lvlText w:val=""/>
      <w:lvlJc w:val="left"/>
      <w:pPr>
        <w:ind w:left="5040" w:hanging="360"/>
      </w:pPr>
      <w:rPr>
        <w:rFonts w:ascii="Symbol" w:hAnsi="Symbol" w:hint="default"/>
      </w:rPr>
    </w:lvl>
    <w:lvl w:ilvl="7" w:tplc="80F838B8">
      <w:start w:val="1"/>
      <w:numFmt w:val="bullet"/>
      <w:lvlText w:val="o"/>
      <w:lvlJc w:val="left"/>
      <w:pPr>
        <w:ind w:left="5760" w:hanging="360"/>
      </w:pPr>
      <w:rPr>
        <w:rFonts w:ascii="Courier New" w:hAnsi="Courier New" w:hint="default"/>
      </w:rPr>
    </w:lvl>
    <w:lvl w:ilvl="8" w:tplc="45C61BCC">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7"/>
  </w:num>
  <w:num w:numId="4">
    <w:abstractNumId w:val="10"/>
  </w:num>
  <w:num w:numId="5">
    <w:abstractNumId w:val="23"/>
  </w:num>
  <w:num w:numId="6">
    <w:abstractNumId w:val="30"/>
  </w:num>
  <w:num w:numId="7">
    <w:abstractNumId w:val="9"/>
  </w:num>
  <w:num w:numId="8">
    <w:abstractNumId w:val="8"/>
  </w:num>
  <w:num w:numId="9">
    <w:abstractNumId w:val="4"/>
  </w:num>
  <w:num w:numId="10">
    <w:abstractNumId w:val="15"/>
  </w:num>
  <w:num w:numId="11">
    <w:abstractNumId w:val="0"/>
  </w:num>
  <w:num w:numId="12">
    <w:abstractNumId w:val="34"/>
  </w:num>
  <w:num w:numId="13">
    <w:abstractNumId w:val="32"/>
  </w:num>
  <w:num w:numId="14">
    <w:abstractNumId w:val="36"/>
  </w:num>
  <w:num w:numId="15">
    <w:abstractNumId w:val="29"/>
  </w:num>
  <w:num w:numId="16">
    <w:abstractNumId w:val="21"/>
  </w:num>
  <w:num w:numId="17">
    <w:abstractNumId w:val="3"/>
  </w:num>
  <w:num w:numId="18">
    <w:abstractNumId w:val="13"/>
  </w:num>
  <w:num w:numId="19">
    <w:abstractNumId w:val="33"/>
  </w:num>
  <w:num w:numId="20">
    <w:abstractNumId w:val="24"/>
  </w:num>
  <w:num w:numId="21">
    <w:abstractNumId w:val="17"/>
  </w:num>
  <w:num w:numId="22">
    <w:abstractNumId w:val="26"/>
  </w:num>
  <w:num w:numId="23">
    <w:abstractNumId w:val="39"/>
  </w:num>
  <w:num w:numId="24">
    <w:abstractNumId w:val="25"/>
  </w:num>
  <w:num w:numId="25">
    <w:abstractNumId w:val="1"/>
  </w:num>
  <w:num w:numId="26">
    <w:abstractNumId w:val="14"/>
  </w:num>
  <w:num w:numId="27">
    <w:abstractNumId w:val="19"/>
  </w:num>
  <w:num w:numId="28">
    <w:abstractNumId w:val="37"/>
  </w:num>
  <w:num w:numId="29">
    <w:abstractNumId w:val="12"/>
  </w:num>
  <w:num w:numId="30">
    <w:abstractNumId w:val="38"/>
  </w:num>
  <w:num w:numId="31">
    <w:abstractNumId w:val="2"/>
  </w:num>
  <w:num w:numId="32">
    <w:abstractNumId w:val="35"/>
  </w:num>
  <w:num w:numId="33">
    <w:abstractNumId w:val="18"/>
  </w:num>
  <w:num w:numId="34">
    <w:abstractNumId w:val="27"/>
  </w:num>
  <w:num w:numId="35">
    <w:abstractNumId w:val="11"/>
  </w:num>
  <w:num w:numId="36">
    <w:abstractNumId w:val="20"/>
  </w:num>
  <w:num w:numId="37">
    <w:abstractNumId w:val="6"/>
  </w:num>
  <w:num w:numId="38">
    <w:abstractNumId w:val="16"/>
  </w:num>
  <w:num w:numId="39">
    <w:abstractNumId w:val="2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17"/>
    <w:rsid w:val="000C2BAB"/>
    <w:rsid w:val="00190C38"/>
    <w:rsid w:val="00200358"/>
    <w:rsid w:val="00233D22"/>
    <w:rsid w:val="002E0785"/>
    <w:rsid w:val="00313A1B"/>
    <w:rsid w:val="004224A6"/>
    <w:rsid w:val="004A2D43"/>
    <w:rsid w:val="004F208B"/>
    <w:rsid w:val="0054348F"/>
    <w:rsid w:val="00635DF6"/>
    <w:rsid w:val="007C58AB"/>
    <w:rsid w:val="00835C4E"/>
    <w:rsid w:val="009E71FC"/>
    <w:rsid w:val="00AF6CC0"/>
    <w:rsid w:val="00B10D9F"/>
    <w:rsid w:val="00CF7917"/>
    <w:rsid w:val="00ED231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6EBAE"/>
  <w15:chartTrackingRefBased/>
  <w15:docId w15:val="{699B2793-F0D0-4582-BFDF-1B889A93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17"/>
    <w:rPr>
      <w:lang w:val="en-GB"/>
    </w:rPr>
  </w:style>
  <w:style w:type="paragraph" w:styleId="Heading1">
    <w:name w:val="heading 1"/>
    <w:basedOn w:val="Normal"/>
    <w:next w:val="Normal"/>
    <w:link w:val="Heading1Char"/>
    <w:uiPriority w:val="9"/>
    <w:qFormat/>
    <w:rsid w:val="00CF7917"/>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CF7917"/>
    <w:pPr>
      <w:keepNext/>
      <w:keepLines/>
      <w:spacing w:before="40" w:after="0"/>
      <w:outlineLvl w:val="1"/>
    </w:pPr>
    <w:rPr>
      <w:rFonts w:asciiTheme="majorHAnsi" w:eastAsiaTheme="majorEastAsia" w:hAnsiTheme="majorHAnsi" w:cstheme="majorBidi"/>
      <w:color w:val="2F5496" w:themeColor="accent1" w:themeShade="BF"/>
      <w:sz w:val="26"/>
      <w:szCs w:val="26"/>
      <w:lang w:eastAsia="en-GB"/>
    </w:rPr>
  </w:style>
  <w:style w:type="paragraph" w:styleId="Heading4">
    <w:name w:val="heading 4"/>
    <w:basedOn w:val="Normal"/>
    <w:next w:val="Normal"/>
    <w:link w:val="Heading4Char"/>
    <w:uiPriority w:val="9"/>
    <w:semiHidden/>
    <w:unhideWhenUsed/>
    <w:qFormat/>
    <w:rsid w:val="00CF79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917"/>
    <w:rPr>
      <w:rFonts w:asciiTheme="majorHAnsi" w:eastAsiaTheme="majorEastAsia" w:hAnsiTheme="majorHAnsi" w:cstheme="majorBidi"/>
      <w:color w:val="2F5496" w:themeColor="accent1" w:themeShade="BF"/>
      <w:sz w:val="32"/>
      <w:szCs w:val="32"/>
      <w:lang w:val="en-GB" w:eastAsia="en-GB"/>
    </w:rPr>
  </w:style>
  <w:style w:type="character" w:customStyle="1" w:styleId="Heading2Char">
    <w:name w:val="Heading 2 Char"/>
    <w:basedOn w:val="DefaultParagraphFont"/>
    <w:link w:val="Heading2"/>
    <w:uiPriority w:val="9"/>
    <w:rsid w:val="00CF7917"/>
    <w:rPr>
      <w:rFonts w:asciiTheme="majorHAnsi" w:eastAsiaTheme="majorEastAsia" w:hAnsiTheme="majorHAnsi" w:cstheme="majorBidi"/>
      <w:color w:val="2F5496" w:themeColor="accent1" w:themeShade="BF"/>
      <w:sz w:val="26"/>
      <w:szCs w:val="26"/>
      <w:lang w:val="en-GB" w:eastAsia="en-GB"/>
    </w:rPr>
  </w:style>
  <w:style w:type="character" w:customStyle="1" w:styleId="Heading4Char">
    <w:name w:val="Heading 4 Char"/>
    <w:basedOn w:val="DefaultParagraphFont"/>
    <w:link w:val="Heading4"/>
    <w:uiPriority w:val="9"/>
    <w:semiHidden/>
    <w:rsid w:val="00CF7917"/>
    <w:rPr>
      <w:rFonts w:asciiTheme="majorHAnsi" w:eastAsiaTheme="majorEastAsia" w:hAnsiTheme="majorHAnsi" w:cstheme="majorBidi"/>
      <w:i/>
      <w:iCs/>
      <w:color w:val="2F5496" w:themeColor="accent1" w:themeShade="BF"/>
      <w:lang w:val="en-GB"/>
    </w:rPr>
  </w:style>
  <w:style w:type="character" w:styleId="CommentReference">
    <w:name w:val="annotation reference"/>
    <w:basedOn w:val="DefaultParagraphFont"/>
    <w:uiPriority w:val="99"/>
    <w:semiHidden/>
    <w:unhideWhenUsed/>
    <w:rsid w:val="00CF7917"/>
    <w:rPr>
      <w:sz w:val="16"/>
      <w:szCs w:val="16"/>
    </w:rPr>
  </w:style>
  <w:style w:type="paragraph" w:styleId="CommentText">
    <w:name w:val="annotation text"/>
    <w:basedOn w:val="Normal"/>
    <w:link w:val="CommentTextChar"/>
    <w:uiPriority w:val="99"/>
    <w:unhideWhenUsed/>
    <w:rsid w:val="00CF7917"/>
    <w:pPr>
      <w:spacing w:line="240" w:lineRule="auto"/>
    </w:pPr>
    <w:rPr>
      <w:sz w:val="20"/>
      <w:szCs w:val="20"/>
    </w:rPr>
  </w:style>
  <w:style w:type="character" w:customStyle="1" w:styleId="CommentTextChar">
    <w:name w:val="Comment Text Char"/>
    <w:basedOn w:val="DefaultParagraphFont"/>
    <w:link w:val="CommentText"/>
    <w:uiPriority w:val="99"/>
    <w:rsid w:val="00CF7917"/>
    <w:rPr>
      <w:sz w:val="20"/>
      <w:szCs w:val="20"/>
      <w:lang w:val="en-GB"/>
    </w:rPr>
  </w:style>
  <w:style w:type="table" w:styleId="TableGrid">
    <w:name w:val="Table Grid"/>
    <w:basedOn w:val="TableNormal"/>
    <w:uiPriority w:val="39"/>
    <w:rsid w:val="00CF791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917"/>
    <w:rPr>
      <w:color w:val="0563C1" w:themeColor="hyperlink"/>
      <w:u w:val="single"/>
    </w:rPr>
  </w:style>
  <w:style w:type="character" w:styleId="FootnoteReference">
    <w:name w:val="footnote reference"/>
    <w:basedOn w:val="DefaultParagraphFont"/>
    <w:semiHidden/>
    <w:unhideWhenUsed/>
    <w:rsid w:val="00CF7917"/>
    <w:rPr>
      <w:vertAlign w:val="superscript"/>
    </w:rPr>
  </w:style>
  <w:style w:type="paragraph" w:styleId="FootnoteText">
    <w:name w:val="footnote text"/>
    <w:basedOn w:val="Normal"/>
    <w:link w:val="FootnoteTextChar"/>
    <w:semiHidden/>
    <w:unhideWhenUsed/>
    <w:rsid w:val="00CF7917"/>
    <w:pPr>
      <w:spacing w:after="0" w:line="240" w:lineRule="auto"/>
    </w:pPr>
    <w:rPr>
      <w:rFonts w:ascii="Calibri" w:eastAsia="Calibri" w:hAnsi="Calibri" w:cs="Calibri"/>
      <w:sz w:val="20"/>
      <w:szCs w:val="20"/>
      <w:lang w:eastAsia="en-GB"/>
    </w:rPr>
  </w:style>
  <w:style w:type="character" w:customStyle="1" w:styleId="FootnoteTextChar">
    <w:name w:val="Footnote Text Char"/>
    <w:basedOn w:val="DefaultParagraphFont"/>
    <w:link w:val="FootnoteText"/>
    <w:semiHidden/>
    <w:rsid w:val="00CF7917"/>
    <w:rPr>
      <w:rFonts w:ascii="Calibri" w:eastAsia="Calibri" w:hAnsi="Calibri" w:cs="Calibri"/>
      <w:sz w:val="20"/>
      <w:szCs w:val="20"/>
      <w:lang w:val="en-GB" w:eastAsia="en-GB"/>
    </w:rPr>
  </w:style>
  <w:style w:type="character" w:styleId="Emphasis">
    <w:name w:val="Emphasis"/>
    <w:basedOn w:val="DefaultParagraphFont"/>
    <w:uiPriority w:val="20"/>
    <w:qFormat/>
    <w:rsid w:val="00CF7917"/>
    <w:rPr>
      <w:i/>
      <w:iCs/>
    </w:rPr>
  </w:style>
  <w:style w:type="paragraph" w:styleId="BalloonText">
    <w:name w:val="Balloon Text"/>
    <w:basedOn w:val="Normal"/>
    <w:link w:val="BalloonTextChar"/>
    <w:uiPriority w:val="99"/>
    <w:semiHidden/>
    <w:unhideWhenUsed/>
    <w:rsid w:val="00CF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17"/>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CF7917"/>
    <w:rPr>
      <w:b/>
      <w:bCs/>
    </w:rPr>
  </w:style>
  <w:style w:type="character" w:customStyle="1" w:styleId="CommentSubjectChar">
    <w:name w:val="Comment Subject Char"/>
    <w:basedOn w:val="CommentTextChar"/>
    <w:link w:val="CommentSubject"/>
    <w:uiPriority w:val="99"/>
    <w:semiHidden/>
    <w:rsid w:val="00CF7917"/>
    <w:rPr>
      <w:b/>
      <w:bCs/>
      <w:sz w:val="20"/>
      <w:szCs w:val="20"/>
      <w:lang w:val="en-GB"/>
    </w:rPr>
  </w:style>
  <w:style w:type="paragraph" w:styleId="ListParagraph">
    <w:name w:val="List Paragraph"/>
    <w:basedOn w:val="Normal"/>
    <w:uiPriority w:val="34"/>
    <w:qFormat/>
    <w:rsid w:val="00CF7917"/>
    <w:pPr>
      <w:ind w:left="720"/>
      <w:contextualSpacing/>
    </w:pPr>
  </w:style>
  <w:style w:type="character" w:styleId="UnresolvedMention">
    <w:name w:val="Unresolved Mention"/>
    <w:basedOn w:val="DefaultParagraphFont"/>
    <w:uiPriority w:val="99"/>
    <w:unhideWhenUsed/>
    <w:rsid w:val="00CF7917"/>
    <w:rPr>
      <w:color w:val="605E5C"/>
      <w:shd w:val="clear" w:color="auto" w:fill="E1DFDD"/>
    </w:rPr>
  </w:style>
  <w:style w:type="paragraph" w:styleId="Header">
    <w:name w:val="header"/>
    <w:basedOn w:val="Normal"/>
    <w:link w:val="HeaderChar"/>
    <w:uiPriority w:val="99"/>
    <w:unhideWhenUsed/>
    <w:rsid w:val="00CF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917"/>
    <w:rPr>
      <w:lang w:val="en-GB"/>
    </w:rPr>
  </w:style>
  <w:style w:type="paragraph" w:styleId="Footer">
    <w:name w:val="footer"/>
    <w:basedOn w:val="Normal"/>
    <w:link w:val="FooterChar"/>
    <w:uiPriority w:val="99"/>
    <w:unhideWhenUsed/>
    <w:rsid w:val="00CF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917"/>
    <w:rPr>
      <w:lang w:val="en-GB"/>
    </w:rPr>
  </w:style>
  <w:style w:type="character" w:styleId="Mention">
    <w:name w:val="Mention"/>
    <w:basedOn w:val="DefaultParagraphFont"/>
    <w:uiPriority w:val="99"/>
    <w:unhideWhenUsed/>
    <w:rsid w:val="00CF7917"/>
    <w:rPr>
      <w:color w:val="2B579A"/>
      <w:shd w:val="clear" w:color="auto" w:fill="E1DFDD"/>
    </w:rPr>
  </w:style>
  <w:style w:type="character" w:styleId="FollowedHyperlink">
    <w:name w:val="FollowedHyperlink"/>
    <w:basedOn w:val="DefaultParagraphFont"/>
    <w:uiPriority w:val="99"/>
    <w:semiHidden/>
    <w:unhideWhenUsed/>
    <w:rsid w:val="00CF7917"/>
    <w:rPr>
      <w:color w:val="954F72" w:themeColor="followedHyperlink"/>
      <w:u w:val="single"/>
    </w:rPr>
  </w:style>
  <w:style w:type="paragraph" w:styleId="Revision">
    <w:name w:val="Revision"/>
    <w:hidden/>
    <w:uiPriority w:val="99"/>
    <w:semiHidden/>
    <w:rsid w:val="00CF7917"/>
    <w:pPr>
      <w:spacing w:after="0" w:line="240" w:lineRule="auto"/>
    </w:pPr>
    <w:rPr>
      <w:lang w:val="en-GB"/>
    </w:rPr>
  </w:style>
  <w:style w:type="paragraph" w:styleId="NormalWeb">
    <w:name w:val="Normal (Web)"/>
    <w:basedOn w:val="Normal"/>
    <w:uiPriority w:val="99"/>
    <w:semiHidden/>
    <w:unhideWhenUsed/>
    <w:rsid w:val="00CF79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CF7917"/>
    <w:pPr>
      <w:outlineLvl w:val="9"/>
    </w:pPr>
    <w:rPr>
      <w:lang w:val="en-US" w:eastAsia="en-US"/>
    </w:rPr>
  </w:style>
  <w:style w:type="paragraph" w:styleId="TOC1">
    <w:name w:val="toc 1"/>
    <w:basedOn w:val="Normal"/>
    <w:next w:val="Normal"/>
    <w:autoRedefine/>
    <w:uiPriority w:val="39"/>
    <w:unhideWhenUsed/>
    <w:rsid w:val="00CF7917"/>
    <w:pPr>
      <w:spacing w:after="100"/>
    </w:pPr>
    <w:rPr>
      <w:rFonts w:ascii="Calibri" w:eastAsia="Calibri" w:hAnsi="Calibri" w:cs="Calibri"/>
      <w:lang w:eastAsia="en-GB"/>
    </w:rPr>
  </w:style>
  <w:style w:type="paragraph" w:styleId="TOC2">
    <w:name w:val="toc 2"/>
    <w:basedOn w:val="Normal"/>
    <w:next w:val="Normal"/>
    <w:autoRedefine/>
    <w:uiPriority w:val="39"/>
    <w:unhideWhenUsed/>
    <w:rsid w:val="00CF7917"/>
    <w:pPr>
      <w:tabs>
        <w:tab w:val="right" w:leader="dot" w:pos="9016"/>
      </w:tabs>
      <w:spacing w:after="100"/>
      <w:ind w:left="220"/>
    </w:pPr>
  </w:style>
  <w:style w:type="paragraph" w:styleId="Title">
    <w:name w:val="Title"/>
    <w:basedOn w:val="Normal"/>
    <w:next w:val="Subtitle"/>
    <w:link w:val="TitleChar"/>
    <w:autoRedefine/>
    <w:uiPriority w:val="10"/>
    <w:qFormat/>
    <w:rsid w:val="00CF7917"/>
    <w:pPr>
      <w:spacing w:before="720" w:after="360" w:line="240" w:lineRule="auto"/>
      <w:contextualSpacing/>
    </w:pPr>
    <w:rPr>
      <w:rFonts w:ascii="Impact" w:eastAsiaTheme="majorEastAsia" w:hAnsi="Impact" w:cs="Times New Roman (Headings CS)"/>
      <w:caps/>
      <w:color w:val="FFFFFF" w:themeColor="background1"/>
      <w:spacing w:val="-10"/>
      <w:kern w:val="28"/>
      <w:sz w:val="52"/>
      <w:szCs w:val="52"/>
    </w:rPr>
  </w:style>
  <w:style w:type="character" w:customStyle="1" w:styleId="TitleChar">
    <w:name w:val="Title Char"/>
    <w:basedOn w:val="DefaultParagraphFont"/>
    <w:link w:val="Title"/>
    <w:uiPriority w:val="10"/>
    <w:rsid w:val="00CF7917"/>
    <w:rPr>
      <w:rFonts w:ascii="Impact" w:eastAsiaTheme="majorEastAsia" w:hAnsi="Impact" w:cs="Times New Roman (Headings CS)"/>
      <w:caps/>
      <w:color w:val="FFFFFF" w:themeColor="background1"/>
      <w:spacing w:val="-10"/>
      <w:kern w:val="28"/>
      <w:sz w:val="52"/>
      <w:szCs w:val="52"/>
      <w:lang w:val="en-GB"/>
    </w:rPr>
  </w:style>
  <w:style w:type="paragraph" w:styleId="Subtitle">
    <w:name w:val="Subtitle"/>
    <w:basedOn w:val="Normal"/>
    <w:next w:val="Normal"/>
    <w:link w:val="SubtitleChar"/>
    <w:autoRedefine/>
    <w:uiPriority w:val="11"/>
    <w:qFormat/>
    <w:rsid w:val="00CF7917"/>
    <w:pPr>
      <w:numPr>
        <w:ilvl w:val="1"/>
      </w:numPr>
      <w:spacing w:after="840" w:line="500" w:lineRule="exact"/>
    </w:pPr>
    <w:rPr>
      <w:rFonts w:eastAsiaTheme="minorEastAsia"/>
      <w:b/>
      <w:color w:val="E7E6E6" w:themeColor="background2"/>
      <w:spacing w:val="15"/>
      <w:sz w:val="44"/>
    </w:rPr>
  </w:style>
  <w:style w:type="character" w:customStyle="1" w:styleId="SubtitleChar">
    <w:name w:val="Subtitle Char"/>
    <w:basedOn w:val="DefaultParagraphFont"/>
    <w:link w:val="Subtitle"/>
    <w:uiPriority w:val="11"/>
    <w:rsid w:val="00CF7917"/>
    <w:rPr>
      <w:rFonts w:eastAsiaTheme="minorEastAsia"/>
      <w:b/>
      <w:color w:val="E7E6E6" w:themeColor="background2"/>
      <w:spacing w:val="15"/>
      <w:sz w:val="44"/>
      <w:lang w:val="en-GB"/>
    </w:rPr>
  </w:style>
  <w:style w:type="paragraph" w:customStyle="1" w:styleId="paragraph">
    <w:name w:val="paragraph"/>
    <w:basedOn w:val="Normal"/>
    <w:rsid w:val="00CF79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7917"/>
  </w:style>
  <w:style w:type="character" w:customStyle="1" w:styleId="eop">
    <w:name w:val="eop"/>
    <w:basedOn w:val="DefaultParagraphFont"/>
    <w:rsid w:val="00CF7917"/>
  </w:style>
  <w:style w:type="character" w:customStyle="1" w:styleId="scxw124125059">
    <w:name w:val="scxw124125059"/>
    <w:basedOn w:val="DefaultParagraphFont"/>
    <w:rsid w:val="00CF7917"/>
  </w:style>
  <w:style w:type="character" w:customStyle="1" w:styleId="highlight">
    <w:name w:val="highlight"/>
    <w:basedOn w:val="DefaultParagraphFont"/>
    <w:rsid w:val="00CF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s/page/decisiones-1324-1326-estado-de-conservaci%C3%B3n-de-las-especies-migratorias" TargetMode="External"/><Relationship Id="rId13" Type="http://schemas.openxmlformats.org/officeDocument/2006/relationships/hyperlink" Target="https://cites.org/sites/default/files/esp/com/ac-pc/ac31-pc25/S-AC31-09-PC25-10.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cms.int/es/page/decisiones-1316-1319-aplicaci%C3%B3n-del-art%C3%ADculo-iii-de-la-convenci%C3%B3n-respecto-al-comercio" TargetMode="External"/><Relationship Id="rId12" Type="http://schemas.openxmlformats.org/officeDocument/2006/relationships/hyperlink" Target="https://www.cms.int/es/page/decisiones-1324-1326-estado-de-conservaci%C3%B3n-de-las-especies-migratoria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ms.int/es/page/decisiones-1316-1319-aplicaci%C3%B3n-del-art%C3%ADculo-iii-de-la-convenci%C3%B3n-respecto-al-comercio"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es/page/decisiones-1324-1326-estado-de-conservaci%C3%B3n-de-las-especies-migratorias" TargetMode="External"/><Relationship Id="rId5" Type="http://schemas.openxmlformats.org/officeDocument/2006/relationships/footnotes" Target="footnotes.xml"/><Relationship Id="rId15" Type="http://schemas.openxmlformats.org/officeDocument/2006/relationships/hyperlink" Target="https://www.cms.int/es/page/decisiones-1324-1326-estado-de-conservaci%C3%B3n-de-las-especies-migratorias" TargetMode="External"/><Relationship Id="rId23" Type="http://schemas.openxmlformats.org/officeDocument/2006/relationships/theme" Target="theme/theme1.xml"/><Relationship Id="rId10" Type="http://schemas.openxmlformats.org/officeDocument/2006/relationships/hyperlink" Target="https://www.cms.int/es/page/decisiones-1316-1319-aplicaci%C3%B3n-del-art%C3%ADculo-iii-de-la-convenci%C3%B3n-respecto-al-comerci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ms.int/es/page/decisiones-1324-1326-estado-de-conservaci%C3%B3n-de-las-especies-migratorias" TargetMode="External"/><Relationship Id="rId14" Type="http://schemas.openxmlformats.org/officeDocument/2006/relationships/hyperlink" Target="https://cites.org/eng/com/ac/31/inf/index.ph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portal.senckenberg.de/dataset/migratory-behaviour-in-birds-a-classification-across-all-living-species" TargetMode="External"/><Relationship Id="rId2" Type="http://schemas.openxmlformats.org/officeDocument/2006/relationships/hyperlink" Target="https://doi.org/10.1111/jav.01308" TargetMode="External"/><Relationship Id="rId1" Type="http://schemas.openxmlformats.org/officeDocument/2006/relationships/hyperlink" Target="https://figshare.com/collections/Using_species_co-occurrence_patterns_to_quantify_relative_habitat_breadth_in_terrestrial_vertebrates/3308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5031</Words>
  <Characters>25513</Characters>
  <Application>Microsoft Office Word</Application>
  <DocSecurity>0</DocSecurity>
  <Lines>944</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Ximena Victoria Cancino Ordenes</cp:lastModifiedBy>
  <cp:revision>3</cp:revision>
  <dcterms:created xsi:type="dcterms:W3CDTF">2021-06-18T10:36:00Z</dcterms:created>
  <dcterms:modified xsi:type="dcterms:W3CDTF">2021-06-18T10:41:00Z</dcterms:modified>
</cp:coreProperties>
</file>