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9F8CBEE" w14:textId="77777777" w:rsidR="00C54ACE" w:rsidRPr="00C54ACE" w:rsidRDefault="00C54ACE" w:rsidP="00C54ACE">
      <w:pPr>
        <w:jc w:val="center"/>
        <w:rPr>
          <w:rFonts w:ascii="Arial" w:eastAsia="Arial" w:hAnsi="Arial" w:cs="Arial"/>
          <w:b/>
          <w:bCs/>
          <w:i/>
          <w:iCs/>
          <w:caps/>
          <w:sz w:val="22"/>
          <w:szCs w:val="22"/>
          <w:lang w:val="fr-FR"/>
        </w:rPr>
      </w:pPr>
      <w:r w:rsidRPr="00C54ACE">
        <w:rPr>
          <w:rFonts w:ascii="Arial" w:eastAsia="Arial" w:hAnsi="Arial" w:cs="Arial"/>
          <w:b/>
          <w:bCs/>
          <w:caps/>
          <w:sz w:val="22"/>
          <w:szCs w:val="22"/>
          <w:lang w:val="fr-FR"/>
        </w:rPr>
        <w:t>EXAMEN DE L'ÉTAT DE CONSERVATION DES ESPÈCES MIGRATRICES</w:t>
      </w:r>
      <w:r w:rsidRPr="00C54ACE">
        <w:rPr>
          <w:rFonts w:ascii="Arial" w:eastAsia="Arial" w:hAnsi="Arial" w:cs="Arial"/>
          <w:b/>
          <w:bCs/>
          <w:i/>
          <w:iCs/>
          <w:caps/>
          <w:sz w:val="22"/>
          <w:szCs w:val="22"/>
          <w:lang w:val="fr-FR"/>
        </w:rPr>
        <w:t xml:space="preserve"> </w:t>
      </w:r>
    </w:p>
    <w:p w14:paraId="77BA811D" w14:textId="202CA884" w:rsidR="00D82C56" w:rsidRPr="000B33EE" w:rsidRDefault="005D43E4" w:rsidP="00E829C9">
      <w:pPr>
        <w:jc w:val="center"/>
        <w:rPr>
          <w:rFonts w:ascii="Arial" w:hAnsi="Arial" w:cs="Arial"/>
          <w:sz w:val="22"/>
          <w:szCs w:val="22"/>
          <w:lang w:val="fr-FR"/>
        </w:rPr>
      </w:pPr>
      <w:r w:rsidRPr="000B33EE">
        <w:rPr>
          <w:rFonts w:ascii="Arial" w:hAnsi="Arial" w:cs="Arial"/>
          <w:sz w:val="22"/>
          <w:szCs w:val="22"/>
          <w:lang w:val="fr-FR"/>
        </w:rPr>
        <w:t>UNEP/CMS/COP13/Doc</w:t>
      </w:r>
      <w:r w:rsidR="00C54ACE" w:rsidRPr="000B33EE">
        <w:rPr>
          <w:rFonts w:ascii="Arial" w:hAnsi="Arial" w:cs="Arial"/>
          <w:sz w:val="22"/>
          <w:szCs w:val="22"/>
          <w:lang w:val="fr-FR"/>
        </w:rPr>
        <w:t>.24</w:t>
      </w:r>
    </w:p>
    <w:p w14:paraId="48F82B79" w14:textId="77777777" w:rsidR="00D82C56" w:rsidRPr="000B33EE" w:rsidRDefault="00D82C56" w:rsidP="00E829C9">
      <w:pPr>
        <w:jc w:val="center"/>
        <w:rPr>
          <w:rFonts w:ascii="Arial" w:hAnsi="Arial" w:cs="Arial"/>
          <w:sz w:val="22"/>
          <w:szCs w:val="22"/>
          <w:lang w:val="fr-FR"/>
        </w:rPr>
      </w:pPr>
    </w:p>
    <w:p w14:paraId="73A89732" w14:textId="06AFC132"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226B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BD20F5">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49C5778" w14:textId="77777777" w:rsidR="00D82C56" w:rsidRPr="00A048E3" w:rsidRDefault="00D82C56" w:rsidP="00E829C9">
      <w:pPr>
        <w:rPr>
          <w:rFonts w:ascii="Arial" w:hAnsi="Arial" w:cs="Arial"/>
          <w:sz w:val="22"/>
          <w:szCs w:val="22"/>
          <w:lang w:val="fr-FR"/>
        </w:rPr>
      </w:pPr>
    </w:p>
    <w:p w14:paraId="5CD49333" w14:textId="3CDBDD28" w:rsidR="00D82C56" w:rsidRDefault="00A048E3" w:rsidP="00E829C9">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C54ACE">
        <w:rPr>
          <w:rFonts w:ascii="Arial" w:hAnsi="Arial" w:cs="Arial"/>
          <w:sz w:val="22"/>
          <w:szCs w:val="22"/>
          <w:lang w:val="fr-FR"/>
        </w:rPr>
        <w:t>S</w:t>
      </w:r>
    </w:p>
    <w:p w14:paraId="59C0141B" w14:textId="77777777" w:rsidR="00BD20F5" w:rsidRPr="00A048E3" w:rsidRDefault="00BD20F5" w:rsidP="00E829C9">
      <w:pPr>
        <w:jc w:val="center"/>
        <w:rPr>
          <w:rFonts w:ascii="Arial" w:hAnsi="Arial" w:cs="Arial"/>
          <w:sz w:val="22"/>
          <w:szCs w:val="22"/>
          <w:lang w:val="fr-FR"/>
        </w:rPr>
      </w:pPr>
    </w:p>
    <w:p w14:paraId="2F57C3E9" w14:textId="4B9A5B83" w:rsidR="00D82C56" w:rsidRPr="000B33EE" w:rsidRDefault="00BD20F5" w:rsidP="00BD20F5">
      <w:pPr>
        <w:jc w:val="center"/>
        <w:rPr>
          <w:rFonts w:ascii="Arial" w:hAnsi="Arial" w:cs="Arial"/>
          <w:sz w:val="22"/>
          <w:szCs w:val="22"/>
          <w:lang w:val="fr-FR"/>
        </w:rPr>
      </w:pPr>
      <w:r w:rsidRPr="000B33EE">
        <w:rPr>
          <w:rFonts w:ascii="Arial" w:hAnsi="Arial" w:cs="Arial"/>
          <w:b/>
          <w:bCs/>
          <w:sz w:val="22"/>
          <w:szCs w:val="22"/>
          <w:lang w:val="fr-FR"/>
        </w:rPr>
        <w:t>ÉTAT DE CONSERVATION DES ESPÈCES MIGRATRICES</w:t>
      </w:r>
    </w:p>
    <w:p w14:paraId="59088B31" w14:textId="77777777" w:rsidR="00C54ACE" w:rsidRPr="00C54ACE" w:rsidRDefault="00C54ACE" w:rsidP="00C54ACE">
      <w:pPr>
        <w:jc w:val="both"/>
        <w:rPr>
          <w:rFonts w:ascii="Arial" w:hAnsi="Arial" w:cs="Arial"/>
          <w:b/>
          <w:i/>
          <w:sz w:val="22"/>
          <w:szCs w:val="22"/>
          <w:lang w:val="fr-FR"/>
        </w:rPr>
      </w:pPr>
      <w:bookmarkStart w:id="0" w:name="_Hlk27513770"/>
    </w:p>
    <w:p w14:paraId="01A8ABD0" w14:textId="77777777" w:rsidR="00BD20F5" w:rsidRDefault="00BD20F5" w:rsidP="00C54ACE">
      <w:pPr>
        <w:jc w:val="both"/>
        <w:rPr>
          <w:rFonts w:ascii="Arial" w:hAnsi="Arial" w:cs="Arial"/>
          <w:b/>
          <w:i/>
          <w:sz w:val="22"/>
          <w:szCs w:val="22"/>
          <w:lang w:val="fr-FR"/>
        </w:rPr>
      </w:pPr>
    </w:p>
    <w:p w14:paraId="37D0C612" w14:textId="7BB59F2E" w:rsidR="00C54ACE" w:rsidRPr="00C54ACE" w:rsidRDefault="00C54ACE" w:rsidP="00C54ACE">
      <w:pPr>
        <w:jc w:val="both"/>
        <w:rPr>
          <w:rFonts w:ascii="Arial" w:hAnsi="Arial" w:cs="Arial"/>
          <w:b/>
          <w:i/>
          <w:sz w:val="22"/>
          <w:szCs w:val="22"/>
          <w:lang w:val="fr-FR"/>
        </w:rPr>
      </w:pPr>
      <w:r w:rsidRPr="00C54ACE">
        <w:rPr>
          <w:rFonts w:ascii="Arial" w:hAnsi="Arial" w:cs="Arial"/>
          <w:b/>
          <w:i/>
          <w:sz w:val="22"/>
          <w:szCs w:val="22"/>
          <w:lang w:val="fr-FR"/>
        </w:rPr>
        <w:t xml:space="preserve">Adressé au Secrétariat </w:t>
      </w:r>
    </w:p>
    <w:p w14:paraId="5F4B7043" w14:textId="77777777" w:rsidR="00C54ACE" w:rsidRPr="00C54ACE" w:rsidRDefault="00C54ACE" w:rsidP="00C54ACE">
      <w:pPr>
        <w:jc w:val="both"/>
        <w:rPr>
          <w:rFonts w:ascii="Arial" w:hAnsi="Arial" w:cs="Arial"/>
          <w:sz w:val="22"/>
          <w:szCs w:val="22"/>
          <w:lang w:val="fr-FR"/>
        </w:rPr>
      </w:pPr>
    </w:p>
    <w:p w14:paraId="6C1E9E5E" w14:textId="62B38F92" w:rsidR="00C54ACE" w:rsidRPr="00C54ACE" w:rsidRDefault="00C54ACE" w:rsidP="00C54ACE">
      <w:pPr>
        <w:ind w:left="851" w:hanging="851"/>
        <w:jc w:val="both"/>
        <w:rPr>
          <w:rFonts w:ascii="Arial" w:hAnsi="Arial" w:cs="Arial"/>
          <w:iCs/>
          <w:sz w:val="22"/>
          <w:szCs w:val="22"/>
          <w:lang w:val="fr-FR"/>
        </w:rPr>
      </w:pPr>
      <w:r w:rsidRPr="00C54ACE">
        <w:rPr>
          <w:rFonts w:ascii="Arial" w:hAnsi="Arial" w:cs="Arial"/>
          <w:sz w:val="22"/>
          <w:szCs w:val="22"/>
          <w:lang w:val="fr-FR"/>
        </w:rPr>
        <w:t>13.AA</w:t>
      </w:r>
      <w:r w:rsidRPr="00C54ACE">
        <w:rPr>
          <w:rFonts w:ascii="Arial" w:hAnsi="Arial" w:cs="Arial"/>
          <w:sz w:val="22"/>
          <w:szCs w:val="22"/>
          <w:lang w:val="fr-FR"/>
        </w:rPr>
        <w:tab/>
        <w:t xml:space="preserve">Le Secrétariat, sous réserve </w:t>
      </w:r>
      <w:r w:rsidR="00034A63">
        <w:rPr>
          <w:rFonts w:ascii="Arial" w:hAnsi="Arial" w:cs="Arial"/>
          <w:sz w:val="22"/>
          <w:szCs w:val="22"/>
          <w:lang w:val="fr-FR"/>
        </w:rPr>
        <w:t>des</w:t>
      </w:r>
      <w:r w:rsidRPr="00C54ACE">
        <w:rPr>
          <w:rFonts w:ascii="Arial" w:hAnsi="Arial" w:cs="Arial"/>
          <w:sz w:val="22"/>
          <w:szCs w:val="22"/>
          <w:lang w:val="fr-FR"/>
        </w:rPr>
        <w:t xml:space="preserve"> ressources</w:t>
      </w:r>
      <w:r w:rsidR="00034A63">
        <w:rPr>
          <w:rFonts w:ascii="Arial" w:hAnsi="Arial" w:cs="Arial"/>
          <w:sz w:val="22"/>
          <w:szCs w:val="22"/>
          <w:lang w:val="fr-FR"/>
        </w:rPr>
        <w:t xml:space="preserve"> disponibles</w:t>
      </w:r>
      <w:r w:rsidRPr="00C54ACE">
        <w:rPr>
          <w:rFonts w:ascii="Arial" w:hAnsi="Arial" w:cs="Arial"/>
          <w:sz w:val="22"/>
          <w:szCs w:val="22"/>
          <w:lang w:val="fr-FR"/>
        </w:rPr>
        <w:t>, est invité à :</w:t>
      </w:r>
    </w:p>
    <w:p w14:paraId="6DAE68CB" w14:textId="77777777" w:rsidR="00C54ACE" w:rsidRPr="00C54ACE" w:rsidRDefault="00C54ACE" w:rsidP="00C54ACE">
      <w:pPr>
        <w:ind w:left="720" w:hanging="720"/>
        <w:jc w:val="both"/>
        <w:rPr>
          <w:rFonts w:ascii="Arial" w:hAnsi="Arial" w:cs="Arial"/>
          <w:iCs/>
          <w:sz w:val="22"/>
          <w:szCs w:val="22"/>
          <w:lang w:val="fr-FR"/>
        </w:rPr>
      </w:pPr>
    </w:p>
    <w:p w14:paraId="56F71C45" w14:textId="01B01F35" w:rsidR="00C54ACE" w:rsidRPr="00C54ACE" w:rsidRDefault="00393B92" w:rsidP="000B33EE">
      <w:pPr>
        <w:widowControl/>
        <w:numPr>
          <w:ilvl w:val="0"/>
          <w:numId w:val="2"/>
        </w:numPr>
        <w:adjustRightInd w:val="0"/>
        <w:ind w:left="1276" w:hanging="425"/>
        <w:jc w:val="both"/>
        <w:textAlignment w:val="auto"/>
        <w:rPr>
          <w:rFonts w:ascii="Arial" w:hAnsi="Arial" w:cs="Arial"/>
          <w:iCs/>
          <w:sz w:val="22"/>
          <w:szCs w:val="22"/>
          <w:lang w:val="fr-FR"/>
        </w:rPr>
      </w:pPr>
      <w:proofErr w:type="gramStart"/>
      <w:r>
        <w:rPr>
          <w:rFonts w:ascii="Arial" w:hAnsi="Arial" w:cs="Arial"/>
          <w:iCs/>
          <w:sz w:val="22"/>
          <w:szCs w:val="22"/>
          <w:lang w:val="fr-FR"/>
        </w:rPr>
        <w:t>approfondir</w:t>
      </w:r>
      <w:proofErr w:type="gramEnd"/>
      <w:r>
        <w:rPr>
          <w:rFonts w:ascii="Arial" w:hAnsi="Arial" w:cs="Arial"/>
          <w:iCs/>
          <w:sz w:val="22"/>
          <w:szCs w:val="22"/>
          <w:lang w:val="fr-FR"/>
        </w:rPr>
        <w:t xml:space="preserve"> l’</w:t>
      </w:r>
      <w:r w:rsidR="00C54ACE" w:rsidRPr="00C54ACE">
        <w:rPr>
          <w:rFonts w:ascii="Arial" w:hAnsi="Arial" w:cs="Arial"/>
          <w:iCs/>
          <w:sz w:val="22"/>
          <w:szCs w:val="22"/>
          <w:lang w:val="fr-FR"/>
        </w:rPr>
        <w:t>analyse préliminaire de l'état de conservation des espèces migratrices présentée à la COP13 dans le document UNEP/CMS/COP13/Doc.24, en étroite consultation avec le Conseil scientifique et en collaboration avec les organisations compétentes;</w:t>
      </w:r>
    </w:p>
    <w:p w14:paraId="61046BE4" w14:textId="77777777" w:rsidR="00C54ACE" w:rsidRPr="00C54ACE" w:rsidRDefault="00C54ACE" w:rsidP="000B33EE">
      <w:pPr>
        <w:ind w:left="1276" w:hanging="425"/>
        <w:jc w:val="both"/>
        <w:rPr>
          <w:rFonts w:ascii="Arial" w:hAnsi="Arial" w:cs="Arial"/>
          <w:iCs/>
          <w:sz w:val="22"/>
          <w:szCs w:val="22"/>
          <w:lang w:val="fr-FR"/>
        </w:rPr>
      </w:pPr>
    </w:p>
    <w:p w14:paraId="01ABE818" w14:textId="411E978B" w:rsidR="00C54ACE" w:rsidRDefault="00C54ACE" w:rsidP="000B33EE">
      <w:pPr>
        <w:widowControl/>
        <w:numPr>
          <w:ilvl w:val="0"/>
          <w:numId w:val="2"/>
        </w:numPr>
        <w:adjustRightInd w:val="0"/>
        <w:ind w:left="1276" w:hanging="425"/>
        <w:jc w:val="both"/>
        <w:textAlignment w:val="auto"/>
        <w:rPr>
          <w:rFonts w:ascii="Arial" w:hAnsi="Arial" w:cs="Arial"/>
          <w:iCs/>
          <w:sz w:val="22"/>
          <w:szCs w:val="22"/>
          <w:lang w:val="fr-FR"/>
        </w:rPr>
      </w:pPr>
      <w:r w:rsidRPr="00C54ACE">
        <w:rPr>
          <w:rFonts w:ascii="Arial" w:hAnsi="Arial" w:cs="Arial"/>
          <w:iCs/>
          <w:sz w:val="22"/>
          <w:szCs w:val="22"/>
          <w:lang w:val="fr-FR"/>
        </w:rPr>
        <w:t xml:space="preserve">entreprendre, en consultation avec le Conseil scientifique et en collaboration avec les organisations compétentes, un examen approfondi de l'état de conservation des espèces inscrites </w:t>
      </w:r>
      <w:r w:rsidR="00393B92">
        <w:rPr>
          <w:rFonts w:ascii="Arial" w:hAnsi="Arial" w:cs="Arial"/>
          <w:iCs/>
          <w:sz w:val="22"/>
          <w:szCs w:val="22"/>
          <w:lang w:val="fr-FR"/>
        </w:rPr>
        <w:t>aux annexes de la CMS</w:t>
      </w:r>
      <w:r w:rsidRPr="00C54ACE">
        <w:rPr>
          <w:rFonts w:ascii="Arial" w:hAnsi="Arial" w:cs="Arial"/>
          <w:iCs/>
          <w:sz w:val="22"/>
          <w:szCs w:val="22"/>
          <w:lang w:val="fr-FR"/>
        </w:rPr>
        <w:t xml:space="preserve">, en commençant par les espèces </w:t>
      </w:r>
      <w:r w:rsidR="00237E5C">
        <w:rPr>
          <w:rFonts w:ascii="Arial" w:hAnsi="Arial" w:cs="Arial"/>
          <w:iCs/>
          <w:sz w:val="22"/>
          <w:szCs w:val="22"/>
          <w:lang w:val="fr-FR"/>
        </w:rPr>
        <w:t>de l’Annexe I</w:t>
      </w:r>
      <w:r w:rsidRPr="00C54ACE">
        <w:rPr>
          <w:rFonts w:ascii="Arial" w:hAnsi="Arial" w:cs="Arial"/>
          <w:iCs/>
          <w:sz w:val="22"/>
          <w:szCs w:val="22"/>
          <w:lang w:val="fr-FR"/>
        </w:rPr>
        <w:t xml:space="preserve"> </w:t>
      </w:r>
      <w:r w:rsidR="00237E5C">
        <w:rPr>
          <w:rFonts w:ascii="Arial" w:hAnsi="Arial" w:cs="Arial"/>
          <w:iCs/>
          <w:sz w:val="22"/>
          <w:szCs w:val="22"/>
          <w:lang w:val="fr-FR"/>
        </w:rPr>
        <w:t>classées parmi</w:t>
      </w:r>
      <w:r w:rsidRPr="00C54ACE">
        <w:rPr>
          <w:rFonts w:ascii="Arial" w:hAnsi="Arial" w:cs="Arial"/>
          <w:iCs/>
          <w:sz w:val="22"/>
          <w:szCs w:val="22"/>
          <w:lang w:val="fr-FR"/>
        </w:rPr>
        <w:t xml:space="preserve"> les moins menacées d'extinction sur la Liste Rouge des </w:t>
      </w:r>
      <w:r w:rsidR="00237E5C">
        <w:rPr>
          <w:rFonts w:ascii="Arial" w:hAnsi="Arial" w:cs="Arial"/>
          <w:iCs/>
          <w:sz w:val="22"/>
          <w:szCs w:val="22"/>
          <w:lang w:val="fr-FR"/>
        </w:rPr>
        <w:t>e</w:t>
      </w:r>
      <w:r w:rsidRPr="00C54ACE">
        <w:rPr>
          <w:rFonts w:ascii="Arial" w:hAnsi="Arial" w:cs="Arial"/>
          <w:iCs/>
          <w:sz w:val="22"/>
          <w:szCs w:val="22"/>
          <w:lang w:val="fr-FR"/>
        </w:rPr>
        <w:t xml:space="preserve">spèces </w:t>
      </w:r>
      <w:r w:rsidR="00237E5C">
        <w:rPr>
          <w:rFonts w:ascii="Arial" w:hAnsi="Arial" w:cs="Arial"/>
          <w:iCs/>
          <w:sz w:val="22"/>
          <w:szCs w:val="22"/>
          <w:lang w:val="fr-FR"/>
        </w:rPr>
        <w:t>m</w:t>
      </w:r>
      <w:r w:rsidRPr="00C54ACE">
        <w:rPr>
          <w:rFonts w:ascii="Arial" w:hAnsi="Arial" w:cs="Arial"/>
          <w:iCs/>
          <w:sz w:val="22"/>
          <w:szCs w:val="22"/>
          <w:lang w:val="fr-FR"/>
        </w:rPr>
        <w:t xml:space="preserve">enacées de l’UICN, </w:t>
      </w:r>
      <w:r w:rsidR="00237E5C">
        <w:rPr>
          <w:rFonts w:ascii="Arial" w:hAnsi="Arial" w:cs="Arial"/>
          <w:iCs/>
          <w:sz w:val="22"/>
          <w:szCs w:val="22"/>
          <w:lang w:val="fr-FR"/>
        </w:rPr>
        <w:t xml:space="preserve">et dont l’état de conservation s’est amélioré depuis la date de leur </w:t>
      </w:r>
      <w:r w:rsidR="00034A63">
        <w:rPr>
          <w:rFonts w:ascii="Arial" w:hAnsi="Arial" w:cs="Arial"/>
          <w:iCs/>
          <w:sz w:val="22"/>
          <w:szCs w:val="22"/>
          <w:lang w:val="fr-FR"/>
        </w:rPr>
        <w:t xml:space="preserve">première </w:t>
      </w:r>
      <w:r w:rsidR="00237E5C">
        <w:rPr>
          <w:rFonts w:ascii="Arial" w:hAnsi="Arial" w:cs="Arial"/>
          <w:iCs/>
          <w:sz w:val="22"/>
          <w:szCs w:val="22"/>
          <w:lang w:val="fr-FR"/>
        </w:rPr>
        <w:t xml:space="preserve">inscription, et en continuant avec les espèces de l’Annexe II classées En danger, En danger critique </w:t>
      </w:r>
      <w:r w:rsidR="00034A63">
        <w:rPr>
          <w:rFonts w:ascii="Arial" w:hAnsi="Arial" w:cs="Arial"/>
          <w:iCs/>
          <w:sz w:val="22"/>
          <w:szCs w:val="22"/>
          <w:lang w:val="fr-FR"/>
        </w:rPr>
        <w:t xml:space="preserve">d’extinction </w:t>
      </w:r>
      <w:r w:rsidR="00237E5C">
        <w:rPr>
          <w:rFonts w:ascii="Arial" w:hAnsi="Arial" w:cs="Arial"/>
          <w:iCs/>
          <w:sz w:val="22"/>
          <w:szCs w:val="22"/>
          <w:lang w:val="fr-FR"/>
        </w:rPr>
        <w:t xml:space="preserve">et Éteintes à l’état sauvage, </w:t>
      </w:r>
      <w:r w:rsidRPr="00C54ACE">
        <w:rPr>
          <w:rFonts w:ascii="Arial" w:hAnsi="Arial" w:cs="Arial"/>
          <w:iCs/>
          <w:sz w:val="22"/>
          <w:szCs w:val="22"/>
          <w:lang w:val="fr-FR"/>
        </w:rPr>
        <w:t>afin de</w:t>
      </w:r>
      <w:r w:rsidR="00237E5C">
        <w:rPr>
          <w:rFonts w:ascii="Arial" w:hAnsi="Arial" w:cs="Arial"/>
          <w:iCs/>
          <w:sz w:val="22"/>
          <w:szCs w:val="22"/>
          <w:lang w:val="fr-FR"/>
        </w:rPr>
        <w:t xml:space="preserve"> </w:t>
      </w:r>
      <w:r w:rsidRPr="00C54ACE">
        <w:rPr>
          <w:rFonts w:ascii="Arial" w:hAnsi="Arial" w:cs="Arial"/>
          <w:iCs/>
          <w:sz w:val="22"/>
          <w:szCs w:val="22"/>
          <w:lang w:val="fr-FR"/>
        </w:rPr>
        <w:t>déterminer, entre autres :</w:t>
      </w:r>
    </w:p>
    <w:p w14:paraId="4BD85FC7" w14:textId="77777777" w:rsidR="00237E5C" w:rsidRPr="00C54ACE" w:rsidRDefault="00237E5C" w:rsidP="000B33EE">
      <w:pPr>
        <w:widowControl/>
        <w:adjustRightInd w:val="0"/>
        <w:ind w:left="1276" w:hanging="425"/>
        <w:jc w:val="both"/>
        <w:textAlignment w:val="auto"/>
        <w:rPr>
          <w:rFonts w:ascii="Arial" w:hAnsi="Arial" w:cs="Arial"/>
          <w:iCs/>
          <w:sz w:val="22"/>
          <w:szCs w:val="22"/>
          <w:lang w:val="fr-FR"/>
        </w:rPr>
      </w:pPr>
    </w:p>
    <w:p w14:paraId="3AF3812A" w14:textId="340E847F" w:rsidR="00C54ACE" w:rsidRDefault="000A7F0D" w:rsidP="000B33EE">
      <w:pPr>
        <w:pStyle w:val="ListParagraph"/>
        <w:numPr>
          <w:ilvl w:val="0"/>
          <w:numId w:val="3"/>
        </w:numPr>
        <w:suppressAutoHyphens/>
        <w:autoSpaceDE w:val="0"/>
        <w:autoSpaceDN w:val="0"/>
        <w:adjustRightInd w:val="0"/>
        <w:spacing w:after="40" w:line="240" w:lineRule="auto"/>
        <w:jc w:val="both"/>
        <w:rPr>
          <w:rFonts w:cs="Arial"/>
          <w:iCs/>
          <w:lang w:val="fr-FR"/>
        </w:rPr>
      </w:pPr>
      <w:proofErr w:type="gramStart"/>
      <w:r>
        <w:rPr>
          <w:rFonts w:cs="Arial"/>
          <w:iCs/>
          <w:lang w:val="fr-FR"/>
        </w:rPr>
        <w:t>s’il</w:t>
      </w:r>
      <w:proofErr w:type="gramEnd"/>
      <w:r>
        <w:rPr>
          <w:rFonts w:cs="Arial"/>
          <w:iCs/>
          <w:lang w:val="fr-FR"/>
        </w:rPr>
        <w:t xml:space="preserve"> existe </w:t>
      </w:r>
      <w:r w:rsidR="00C54ACE" w:rsidRPr="00C54ACE">
        <w:rPr>
          <w:rFonts w:cs="Arial"/>
          <w:iCs/>
          <w:lang w:val="fr-FR"/>
        </w:rPr>
        <w:t xml:space="preserve">des </w:t>
      </w:r>
      <w:r>
        <w:rPr>
          <w:rFonts w:cs="Arial"/>
          <w:iCs/>
          <w:lang w:val="fr-FR"/>
        </w:rPr>
        <w:t>écarts</w:t>
      </w:r>
      <w:r w:rsidR="00C54ACE" w:rsidRPr="00C54ACE">
        <w:rPr>
          <w:rFonts w:cs="Arial"/>
          <w:iCs/>
          <w:lang w:val="fr-FR"/>
        </w:rPr>
        <w:t xml:space="preserve"> </w:t>
      </w:r>
      <w:r>
        <w:rPr>
          <w:rFonts w:cs="Arial"/>
          <w:iCs/>
          <w:lang w:val="fr-FR"/>
        </w:rPr>
        <w:t>au niveau de</w:t>
      </w:r>
      <w:r w:rsidR="00C54ACE" w:rsidRPr="00C54ACE">
        <w:rPr>
          <w:rFonts w:cs="Arial"/>
          <w:iCs/>
          <w:lang w:val="fr-FR"/>
        </w:rPr>
        <w:t xml:space="preserve"> l'état de conservation de certain</w:t>
      </w:r>
      <w:r>
        <w:rPr>
          <w:rFonts w:cs="Arial"/>
          <w:iCs/>
          <w:lang w:val="fr-FR"/>
        </w:rPr>
        <w:t>e</w:t>
      </w:r>
      <w:r w:rsidR="00C54ACE" w:rsidRPr="00C54ACE">
        <w:rPr>
          <w:rFonts w:cs="Arial"/>
          <w:iCs/>
          <w:lang w:val="fr-FR"/>
        </w:rPr>
        <w:t xml:space="preserve">s </w:t>
      </w:r>
      <w:r>
        <w:rPr>
          <w:rFonts w:cs="Arial"/>
          <w:iCs/>
          <w:lang w:val="fr-FR"/>
        </w:rPr>
        <w:t>populations</w:t>
      </w:r>
      <w:r w:rsidR="00C54ACE" w:rsidRPr="00C54ACE">
        <w:rPr>
          <w:rFonts w:cs="Arial"/>
          <w:iCs/>
          <w:lang w:val="fr-FR"/>
        </w:rPr>
        <w:t xml:space="preserve"> ou unités de gestion ;</w:t>
      </w:r>
    </w:p>
    <w:p w14:paraId="2BFDCB90" w14:textId="77777777" w:rsidR="000A35A8" w:rsidRPr="00C54ACE" w:rsidRDefault="000A35A8" w:rsidP="000B33EE">
      <w:pPr>
        <w:pStyle w:val="ListParagraph"/>
        <w:suppressAutoHyphens/>
        <w:autoSpaceDE w:val="0"/>
        <w:autoSpaceDN w:val="0"/>
        <w:adjustRightInd w:val="0"/>
        <w:spacing w:after="40" w:line="240" w:lineRule="auto"/>
        <w:ind w:left="2138" w:hanging="720"/>
        <w:jc w:val="both"/>
        <w:rPr>
          <w:rFonts w:cs="Arial"/>
          <w:iCs/>
          <w:lang w:val="fr-FR"/>
        </w:rPr>
      </w:pPr>
    </w:p>
    <w:p w14:paraId="2AAEF4B0" w14:textId="35F36A7C" w:rsidR="00C54ACE" w:rsidRPr="00C54ACE" w:rsidRDefault="00C54ACE" w:rsidP="000B33EE">
      <w:pPr>
        <w:pStyle w:val="ListParagraph"/>
        <w:numPr>
          <w:ilvl w:val="0"/>
          <w:numId w:val="3"/>
        </w:numPr>
        <w:suppressAutoHyphens/>
        <w:autoSpaceDE w:val="0"/>
        <w:autoSpaceDN w:val="0"/>
        <w:adjustRightInd w:val="0"/>
        <w:spacing w:after="0" w:line="240" w:lineRule="auto"/>
        <w:jc w:val="both"/>
        <w:rPr>
          <w:rFonts w:cs="Arial"/>
          <w:iCs/>
          <w:lang w:val="fr-FR"/>
        </w:rPr>
      </w:pPr>
      <w:proofErr w:type="gramStart"/>
      <w:r w:rsidRPr="00C54ACE">
        <w:rPr>
          <w:rFonts w:cs="Arial"/>
          <w:iCs/>
          <w:lang w:val="fr-FR"/>
        </w:rPr>
        <w:t>l'importance</w:t>
      </w:r>
      <w:proofErr w:type="gramEnd"/>
      <w:r w:rsidRPr="00C54ACE">
        <w:rPr>
          <w:rFonts w:cs="Arial"/>
          <w:iCs/>
          <w:lang w:val="fr-FR"/>
        </w:rPr>
        <w:t xml:space="preserve"> de la protection que confère l'inscription à l'Annexe I pour la conservation de l'espèce et de ses populations;</w:t>
      </w:r>
    </w:p>
    <w:p w14:paraId="14EDD8E9" w14:textId="77777777" w:rsidR="00C54ACE" w:rsidRPr="00C54ACE" w:rsidRDefault="00C54ACE" w:rsidP="00C54ACE">
      <w:pPr>
        <w:adjustRightInd w:val="0"/>
        <w:ind w:left="1418"/>
        <w:jc w:val="both"/>
        <w:rPr>
          <w:rFonts w:ascii="Arial" w:hAnsi="Arial" w:cs="Arial"/>
          <w:iCs/>
          <w:sz w:val="22"/>
          <w:szCs w:val="22"/>
          <w:lang w:val="fr-FR"/>
        </w:rPr>
      </w:pPr>
    </w:p>
    <w:p w14:paraId="03A71560" w14:textId="02D54362" w:rsidR="00C54ACE" w:rsidRPr="00C54ACE" w:rsidRDefault="00C54ACE" w:rsidP="000B33EE">
      <w:pPr>
        <w:widowControl/>
        <w:numPr>
          <w:ilvl w:val="0"/>
          <w:numId w:val="2"/>
        </w:numPr>
        <w:adjustRightInd w:val="0"/>
        <w:ind w:left="1276" w:hanging="425"/>
        <w:jc w:val="both"/>
        <w:textAlignment w:val="auto"/>
        <w:rPr>
          <w:rFonts w:ascii="Arial" w:hAnsi="Arial" w:cs="Arial"/>
          <w:iCs/>
          <w:sz w:val="22"/>
          <w:szCs w:val="22"/>
          <w:lang w:val="fr-FR"/>
        </w:rPr>
      </w:pPr>
      <w:proofErr w:type="gramStart"/>
      <w:r w:rsidRPr="00C54ACE">
        <w:rPr>
          <w:rFonts w:ascii="Arial" w:hAnsi="Arial" w:cs="Arial"/>
          <w:iCs/>
          <w:sz w:val="22"/>
          <w:szCs w:val="22"/>
          <w:lang w:val="fr-FR"/>
        </w:rPr>
        <w:t>entreprendre</w:t>
      </w:r>
      <w:proofErr w:type="gramEnd"/>
      <w:r w:rsidRPr="00C54ACE">
        <w:rPr>
          <w:rFonts w:ascii="Arial" w:hAnsi="Arial" w:cs="Arial"/>
          <w:iCs/>
          <w:sz w:val="22"/>
          <w:szCs w:val="22"/>
          <w:lang w:val="fr-FR"/>
        </w:rPr>
        <w:t xml:space="preserve">, en consultation avec le Conseil scientifique et en collaboration avec les organisations compétentes, </w:t>
      </w:r>
      <w:r w:rsidR="000A35A8">
        <w:rPr>
          <w:rFonts w:ascii="Arial" w:hAnsi="Arial" w:cs="Arial"/>
          <w:iCs/>
          <w:sz w:val="22"/>
          <w:szCs w:val="22"/>
          <w:lang w:val="fr-FR"/>
        </w:rPr>
        <w:t>ainsi qu’</w:t>
      </w:r>
      <w:r w:rsidRPr="00C54ACE">
        <w:rPr>
          <w:rFonts w:ascii="Arial" w:hAnsi="Arial" w:cs="Arial"/>
          <w:iCs/>
          <w:sz w:val="22"/>
          <w:szCs w:val="22"/>
          <w:lang w:val="fr-FR"/>
        </w:rPr>
        <w:t>en synergie avec d'autres initiatives pertinentes au titre de la Convention, une évaluation de l'impact de l'utilisation directe sur l'état de conservation des espèces inscrites à l'Annexe I;</w:t>
      </w:r>
    </w:p>
    <w:p w14:paraId="3BEBB63A" w14:textId="77777777" w:rsidR="00C54ACE" w:rsidRPr="00C54ACE" w:rsidRDefault="00C54ACE" w:rsidP="000B33EE">
      <w:pPr>
        <w:widowControl/>
        <w:adjustRightInd w:val="0"/>
        <w:ind w:left="1276" w:hanging="425"/>
        <w:jc w:val="both"/>
        <w:rPr>
          <w:rFonts w:ascii="Arial" w:hAnsi="Arial" w:cs="Arial"/>
          <w:iCs/>
          <w:sz w:val="22"/>
          <w:szCs w:val="22"/>
          <w:lang w:val="fr-FR"/>
        </w:rPr>
      </w:pPr>
    </w:p>
    <w:p w14:paraId="5CBAAB4E" w14:textId="3330E71F" w:rsidR="00C54ACE" w:rsidRPr="00C54ACE" w:rsidRDefault="00C54ACE" w:rsidP="000B33EE">
      <w:pPr>
        <w:widowControl/>
        <w:numPr>
          <w:ilvl w:val="0"/>
          <w:numId w:val="2"/>
        </w:numPr>
        <w:adjustRightInd w:val="0"/>
        <w:ind w:left="1276" w:hanging="425"/>
        <w:jc w:val="both"/>
        <w:textAlignment w:val="auto"/>
        <w:rPr>
          <w:rFonts w:ascii="Arial" w:hAnsi="Arial" w:cs="Arial"/>
          <w:iCs/>
          <w:sz w:val="22"/>
          <w:szCs w:val="22"/>
          <w:lang w:val="fr-FR"/>
        </w:rPr>
      </w:pPr>
      <w:proofErr w:type="gramStart"/>
      <w:r w:rsidRPr="00C54ACE">
        <w:rPr>
          <w:rFonts w:ascii="Arial" w:hAnsi="Arial" w:cs="Arial"/>
          <w:iCs/>
          <w:sz w:val="22"/>
          <w:szCs w:val="22"/>
          <w:lang w:val="fr-FR"/>
        </w:rPr>
        <w:t>faire</w:t>
      </w:r>
      <w:proofErr w:type="gramEnd"/>
      <w:r w:rsidRPr="00C54ACE">
        <w:rPr>
          <w:rFonts w:ascii="Arial" w:hAnsi="Arial" w:cs="Arial"/>
          <w:iCs/>
          <w:sz w:val="22"/>
          <w:szCs w:val="22"/>
          <w:lang w:val="fr-FR"/>
        </w:rPr>
        <w:t xml:space="preserve"> rapport sur les progrès accomplis dans la mise en œuvre de la présente décision au Comité de session du Conseil scientifique lors des réunions intersessions de la COP13 et de la COP14 et à la </w:t>
      </w:r>
      <w:r w:rsidR="000A7F0D">
        <w:rPr>
          <w:rFonts w:ascii="Arial" w:hAnsi="Arial" w:cs="Arial"/>
          <w:iCs/>
          <w:sz w:val="22"/>
          <w:szCs w:val="22"/>
          <w:lang w:val="fr-FR"/>
        </w:rPr>
        <w:t>14</w:t>
      </w:r>
      <w:r w:rsidR="000A7F0D" w:rsidRPr="000A7F0D">
        <w:rPr>
          <w:rFonts w:ascii="Arial" w:hAnsi="Arial" w:cs="Arial"/>
          <w:iCs/>
          <w:sz w:val="22"/>
          <w:szCs w:val="22"/>
          <w:vertAlign w:val="superscript"/>
          <w:lang w:val="fr-FR"/>
        </w:rPr>
        <w:t>e</w:t>
      </w:r>
      <w:r w:rsidR="000A7F0D">
        <w:rPr>
          <w:rFonts w:ascii="Arial" w:hAnsi="Arial" w:cs="Arial"/>
          <w:iCs/>
          <w:sz w:val="22"/>
          <w:szCs w:val="22"/>
          <w:lang w:val="fr-FR"/>
        </w:rPr>
        <w:t xml:space="preserve"> session de la </w:t>
      </w:r>
      <w:r w:rsidRPr="00C54ACE">
        <w:rPr>
          <w:rFonts w:ascii="Arial" w:hAnsi="Arial" w:cs="Arial"/>
          <w:iCs/>
          <w:sz w:val="22"/>
          <w:szCs w:val="22"/>
          <w:lang w:val="fr-FR"/>
        </w:rPr>
        <w:t>Conférence des Parties</w:t>
      </w:r>
      <w:r w:rsidR="000A7F0D">
        <w:rPr>
          <w:rFonts w:ascii="Arial" w:hAnsi="Arial" w:cs="Arial"/>
          <w:iCs/>
          <w:sz w:val="22"/>
          <w:szCs w:val="22"/>
          <w:lang w:val="fr-FR"/>
        </w:rPr>
        <w:t>.</w:t>
      </w:r>
    </w:p>
    <w:p w14:paraId="004AC02F" w14:textId="77777777" w:rsidR="00C54ACE" w:rsidRPr="00C54ACE" w:rsidRDefault="00C54ACE" w:rsidP="00BD20F5">
      <w:pPr>
        <w:widowControl/>
        <w:jc w:val="both"/>
        <w:rPr>
          <w:rFonts w:ascii="Arial" w:hAnsi="Arial" w:cs="Arial"/>
          <w:sz w:val="22"/>
          <w:szCs w:val="22"/>
          <w:lang w:val="fr-FR"/>
        </w:rPr>
      </w:pPr>
    </w:p>
    <w:p w14:paraId="4EBB6D51" w14:textId="77777777" w:rsidR="00C54ACE" w:rsidRPr="00C54ACE" w:rsidRDefault="00C54ACE" w:rsidP="00C54ACE">
      <w:pPr>
        <w:jc w:val="both"/>
        <w:rPr>
          <w:rFonts w:ascii="Arial" w:hAnsi="Arial" w:cs="Arial"/>
          <w:b/>
          <w:i/>
          <w:sz w:val="22"/>
          <w:szCs w:val="22"/>
          <w:lang w:val="fr-FR"/>
        </w:rPr>
      </w:pPr>
      <w:r w:rsidRPr="00C54ACE">
        <w:rPr>
          <w:rFonts w:ascii="Arial" w:hAnsi="Arial" w:cs="Arial"/>
          <w:b/>
          <w:i/>
          <w:sz w:val="22"/>
          <w:szCs w:val="22"/>
          <w:lang w:val="fr-FR"/>
        </w:rPr>
        <w:t>Adressé aux Parties, organisations intergouvernementales et non gouvernementales</w:t>
      </w:r>
    </w:p>
    <w:p w14:paraId="075D96A5" w14:textId="77777777" w:rsidR="00C54ACE" w:rsidRPr="00C54ACE" w:rsidRDefault="00C54ACE" w:rsidP="00C54ACE">
      <w:pPr>
        <w:jc w:val="both"/>
        <w:rPr>
          <w:rFonts w:ascii="Arial" w:hAnsi="Arial" w:cs="Arial"/>
          <w:sz w:val="22"/>
          <w:szCs w:val="22"/>
          <w:lang w:val="fr-FR"/>
        </w:rPr>
      </w:pPr>
    </w:p>
    <w:p w14:paraId="2C68EE1E" w14:textId="66CBE2B8" w:rsidR="00C54ACE" w:rsidRPr="00C54ACE" w:rsidRDefault="00C54ACE" w:rsidP="00BD20F5">
      <w:pPr>
        <w:widowControl/>
        <w:ind w:left="851" w:hanging="851"/>
        <w:jc w:val="both"/>
        <w:rPr>
          <w:rFonts w:ascii="Arial" w:hAnsi="Arial" w:cs="Arial"/>
          <w:b/>
          <w:i/>
          <w:sz w:val="22"/>
          <w:szCs w:val="22"/>
          <w:lang w:val="fr-FR"/>
        </w:rPr>
      </w:pPr>
      <w:r w:rsidRPr="00C54ACE">
        <w:rPr>
          <w:rFonts w:ascii="Arial" w:hAnsi="Arial" w:cs="Arial"/>
          <w:sz w:val="22"/>
          <w:szCs w:val="22"/>
          <w:lang w:val="fr-FR"/>
        </w:rPr>
        <w:t>13.BB</w:t>
      </w:r>
      <w:r w:rsidRPr="00C54ACE">
        <w:rPr>
          <w:rFonts w:ascii="Arial" w:hAnsi="Arial" w:cs="Arial"/>
          <w:sz w:val="22"/>
          <w:szCs w:val="22"/>
          <w:lang w:val="fr-FR"/>
        </w:rPr>
        <w:tab/>
        <w:t>Les Parties</w:t>
      </w:r>
      <w:r w:rsidR="000A7F0D">
        <w:rPr>
          <w:rFonts w:ascii="Arial" w:hAnsi="Arial" w:cs="Arial"/>
          <w:sz w:val="22"/>
          <w:szCs w:val="22"/>
          <w:lang w:val="fr-FR"/>
        </w:rPr>
        <w:t xml:space="preserve"> et</w:t>
      </w:r>
      <w:r w:rsidRPr="00C54ACE">
        <w:rPr>
          <w:rFonts w:ascii="Arial" w:hAnsi="Arial" w:cs="Arial"/>
          <w:sz w:val="22"/>
          <w:szCs w:val="22"/>
          <w:lang w:val="fr-FR"/>
        </w:rPr>
        <w:t xml:space="preserve"> les organisations intergouvernementales et non gouvernementales sont encouragées à fournir un soutien financier et technique </w:t>
      </w:r>
      <w:r w:rsidR="000A7F0D">
        <w:rPr>
          <w:rFonts w:ascii="Arial" w:hAnsi="Arial" w:cs="Arial"/>
          <w:sz w:val="22"/>
          <w:szCs w:val="22"/>
          <w:lang w:val="fr-FR"/>
        </w:rPr>
        <w:t>au</w:t>
      </w:r>
      <w:r w:rsidRPr="00C54ACE">
        <w:rPr>
          <w:rFonts w:ascii="Arial" w:hAnsi="Arial" w:cs="Arial"/>
          <w:sz w:val="22"/>
          <w:szCs w:val="22"/>
          <w:lang w:val="fr-FR"/>
        </w:rPr>
        <w:t xml:space="preserve"> Secrétariat dans </w:t>
      </w:r>
      <w:r w:rsidR="000A7F0D">
        <w:rPr>
          <w:rFonts w:ascii="Arial" w:hAnsi="Arial" w:cs="Arial"/>
          <w:sz w:val="22"/>
          <w:szCs w:val="22"/>
          <w:lang w:val="fr-FR"/>
        </w:rPr>
        <w:t>la réalisation</w:t>
      </w:r>
      <w:r w:rsidRPr="00C54ACE">
        <w:rPr>
          <w:rFonts w:ascii="Arial" w:hAnsi="Arial" w:cs="Arial"/>
          <w:sz w:val="22"/>
          <w:szCs w:val="22"/>
          <w:lang w:val="fr-FR"/>
        </w:rPr>
        <w:t xml:space="preserve"> des activités prévues dans la Décision 13. AA</w:t>
      </w:r>
      <w:r w:rsidR="00844203">
        <w:rPr>
          <w:rFonts w:ascii="Arial" w:hAnsi="Arial" w:cs="Arial"/>
          <w:sz w:val="22"/>
          <w:szCs w:val="22"/>
          <w:lang w:val="fr-FR"/>
        </w:rPr>
        <w:t>, paragraphes</w:t>
      </w:r>
      <w:r w:rsidRPr="00C54ACE">
        <w:rPr>
          <w:rFonts w:ascii="Arial" w:hAnsi="Arial" w:cs="Arial"/>
          <w:sz w:val="22"/>
          <w:szCs w:val="22"/>
          <w:lang w:val="fr-FR"/>
        </w:rPr>
        <w:t xml:space="preserve"> a</w:t>
      </w:r>
      <w:r w:rsidR="00844203">
        <w:rPr>
          <w:rFonts w:ascii="Arial" w:hAnsi="Arial" w:cs="Arial"/>
          <w:sz w:val="22"/>
          <w:szCs w:val="22"/>
          <w:lang w:val="fr-FR"/>
        </w:rPr>
        <w:t xml:space="preserve">) à </w:t>
      </w:r>
      <w:r w:rsidRPr="00C54ACE">
        <w:rPr>
          <w:rFonts w:ascii="Arial" w:hAnsi="Arial" w:cs="Arial"/>
          <w:sz w:val="22"/>
          <w:szCs w:val="22"/>
          <w:lang w:val="fr-FR"/>
        </w:rPr>
        <w:t>c</w:t>
      </w:r>
      <w:r w:rsidR="00844203">
        <w:rPr>
          <w:rFonts w:ascii="Arial" w:hAnsi="Arial" w:cs="Arial"/>
          <w:sz w:val="22"/>
          <w:szCs w:val="22"/>
          <w:lang w:val="fr-FR"/>
        </w:rPr>
        <w:t>)</w:t>
      </w:r>
      <w:r w:rsidRPr="00C54ACE">
        <w:rPr>
          <w:rFonts w:ascii="Arial" w:hAnsi="Arial" w:cs="Arial"/>
          <w:sz w:val="22"/>
          <w:szCs w:val="22"/>
          <w:lang w:val="fr-FR"/>
        </w:rPr>
        <w:t>.</w:t>
      </w:r>
    </w:p>
    <w:p w14:paraId="5083B4E3" w14:textId="4873C1F4" w:rsidR="000B33EE" w:rsidRDefault="000B33EE" w:rsidP="00BD20F5">
      <w:pPr>
        <w:widowControl/>
        <w:jc w:val="both"/>
        <w:rPr>
          <w:rFonts w:ascii="Arial" w:hAnsi="Arial" w:cs="Arial"/>
          <w:b/>
          <w:i/>
          <w:sz w:val="22"/>
          <w:szCs w:val="22"/>
          <w:lang w:val="fr-FR"/>
        </w:rPr>
      </w:pPr>
      <w:r>
        <w:rPr>
          <w:rFonts w:ascii="Arial" w:hAnsi="Arial" w:cs="Arial"/>
          <w:b/>
          <w:i/>
          <w:sz w:val="22"/>
          <w:szCs w:val="22"/>
          <w:lang w:val="fr-FR"/>
        </w:rPr>
        <w:br w:type="page"/>
      </w:r>
    </w:p>
    <w:p w14:paraId="1BE48BE7" w14:textId="77777777" w:rsidR="00C54ACE" w:rsidRPr="00C54ACE" w:rsidRDefault="00C54ACE" w:rsidP="00BD20F5">
      <w:pPr>
        <w:widowControl/>
        <w:jc w:val="both"/>
        <w:rPr>
          <w:rFonts w:ascii="Arial" w:hAnsi="Arial" w:cs="Arial"/>
          <w:b/>
          <w:i/>
          <w:sz w:val="22"/>
          <w:szCs w:val="22"/>
          <w:lang w:val="fr-FR"/>
        </w:rPr>
      </w:pPr>
    </w:p>
    <w:p w14:paraId="67BF46F3" w14:textId="77777777" w:rsidR="00C54ACE" w:rsidRPr="00C54ACE" w:rsidRDefault="00C54ACE" w:rsidP="00C54ACE">
      <w:pPr>
        <w:jc w:val="both"/>
        <w:rPr>
          <w:rFonts w:ascii="Arial" w:hAnsi="Arial" w:cs="Arial"/>
          <w:b/>
          <w:i/>
          <w:sz w:val="22"/>
          <w:szCs w:val="22"/>
          <w:lang w:val="fr-FR"/>
        </w:rPr>
      </w:pPr>
      <w:r w:rsidRPr="00C54ACE">
        <w:rPr>
          <w:rFonts w:ascii="Arial" w:hAnsi="Arial" w:cs="Arial"/>
          <w:b/>
          <w:i/>
          <w:sz w:val="22"/>
          <w:szCs w:val="22"/>
          <w:lang w:val="fr-FR"/>
        </w:rPr>
        <w:t>Adressé au Conseil scientifique</w:t>
      </w:r>
    </w:p>
    <w:p w14:paraId="3011B3FE" w14:textId="77777777" w:rsidR="00C54ACE" w:rsidRPr="00C54ACE" w:rsidRDefault="00C54ACE" w:rsidP="00C54ACE">
      <w:pPr>
        <w:jc w:val="both"/>
        <w:rPr>
          <w:rFonts w:ascii="Arial" w:hAnsi="Arial" w:cs="Arial"/>
          <w:sz w:val="22"/>
          <w:szCs w:val="22"/>
          <w:lang w:val="fr-FR"/>
        </w:rPr>
      </w:pPr>
    </w:p>
    <w:p w14:paraId="3232D757" w14:textId="521D4DBB" w:rsidR="00C54ACE" w:rsidRPr="00C54ACE" w:rsidRDefault="00C54ACE" w:rsidP="00C54ACE">
      <w:pPr>
        <w:ind w:left="851" w:hanging="851"/>
        <w:jc w:val="both"/>
        <w:rPr>
          <w:rFonts w:ascii="Arial" w:hAnsi="Arial" w:cs="Arial"/>
          <w:sz w:val="22"/>
          <w:szCs w:val="22"/>
          <w:lang w:val="fr-FR"/>
        </w:rPr>
      </w:pPr>
      <w:r w:rsidRPr="00C54ACE">
        <w:rPr>
          <w:rFonts w:ascii="Arial" w:hAnsi="Arial" w:cs="Arial"/>
          <w:sz w:val="22"/>
          <w:szCs w:val="22"/>
          <w:lang w:val="fr-FR"/>
        </w:rPr>
        <w:t>13.CC</w:t>
      </w:r>
      <w:r w:rsidRPr="00C54ACE">
        <w:rPr>
          <w:rFonts w:ascii="Arial" w:hAnsi="Arial" w:cs="Arial"/>
          <w:sz w:val="22"/>
          <w:szCs w:val="22"/>
          <w:lang w:val="fr-FR"/>
        </w:rPr>
        <w:tab/>
        <w:t>Le Conseil scientifique</w:t>
      </w:r>
      <w:r w:rsidR="00844203">
        <w:rPr>
          <w:rFonts w:ascii="Arial" w:hAnsi="Arial" w:cs="Arial"/>
          <w:sz w:val="22"/>
          <w:szCs w:val="22"/>
          <w:lang w:val="fr-FR"/>
        </w:rPr>
        <w:t xml:space="preserve">, sous réserve des ressources disponibles, </w:t>
      </w:r>
      <w:r w:rsidRPr="00C54ACE">
        <w:rPr>
          <w:rFonts w:ascii="Arial" w:hAnsi="Arial" w:cs="Arial"/>
          <w:sz w:val="22"/>
          <w:szCs w:val="22"/>
          <w:lang w:val="fr-FR"/>
        </w:rPr>
        <w:t>est invité à :</w:t>
      </w:r>
    </w:p>
    <w:p w14:paraId="637BE3B1" w14:textId="77777777" w:rsidR="00C54ACE" w:rsidRPr="00C54ACE" w:rsidRDefault="00C54ACE" w:rsidP="00C54ACE">
      <w:pPr>
        <w:jc w:val="both"/>
        <w:rPr>
          <w:rFonts w:ascii="Arial" w:hAnsi="Arial" w:cs="Arial"/>
          <w:sz w:val="22"/>
          <w:szCs w:val="22"/>
          <w:lang w:val="fr-FR"/>
        </w:rPr>
      </w:pPr>
    </w:p>
    <w:p w14:paraId="22DAFB42" w14:textId="59A0D2F3" w:rsidR="00C54ACE" w:rsidRPr="00C54ACE" w:rsidRDefault="00C54ACE" w:rsidP="000B33EE">
      <w:pPr>
        <w:widowControl/>
        <w:numPr>
          <w:ilvl w:val="0"/>
          <w:numId w:val="4"/>
        </w:numPr>
        <w:adjustRightInd w:val="0"/>
        <w:ind w:left="1276" w:hanging="425"/>
        <w:jc w:val="both"/>
        <w:textAlignment w:val="auto"/>
        <w:rPr>
          <w:rFonts w:ascii="Arial" w:hAnsi="Arial" w:cs="Arial"/>
          <w:sz w:val="22"/>
          <w:szCs w:val="22"/>
          <w:lang w:val="fr-FR"/>
        </w:rPr>
      </w:pPr>
      <w:proofErr w:type="gramStart"/>
      <w:r w:rsidRPr="00C54ACE">
        <w:rPr>
          <w:rFonts w:ascii="Arial" w:hAnsi="Arial" w:cs="Arial"/>
          <w:sz w:val="22"/>
          <w:szCs w:val="22"/>
          <w:lang w:val="fr-FR"/>
        </w:rPr>
        <w:t>apporter</w:t>
      </w:r>
      <w:proofErr w:type="gramEnd"/>
      <w:r w:rsidRPr="00C54ACE">
        <w:rPr>
          <w:rFonts w:ascii="Arial" w:hAnsi="Arial" w:cs="Arial"/>
          <w:sz w:val="22"/>
          <w:szCs w:val="22"/>
          <w:lang w:val="fr-FR"/>
        </w:rPr>
        <w:t xml:space="preserve"> son aide et ses conseils au Secrétariat dans </w:t>
      </w:r>
      <w:r w:rsidR="00844203">
        <w:rPr>
          <w:rFonts w:ascii="Arial" w:hAnsi="Arial" w:cs="Arial"/>
          <w:sz w:val="22"/>
          <w:szCs w:val="22"/>
          <w:lang w:val="fr-FR"/>
        </w:rPr>
        <w:t>la réalisation</w:t>
      </w:r>
      <w:r w:rsidRPr="00C54ACE">
        <w:rPr>
          <w:rFonts w:ascii="Arial" w:hAnsi="Arial" w:cs="Arial"/>
          <w:sz w:val="22"/>
          <w:szCs w:val="22"/>
          <w:lang w:val="fr-FR"/>
        </w:rPr>
        <w:t xml:space="preserve"> des activités prévues dans la Décision 13. AA</w:t>
      </w:r>
      <w:r w:rsidR="00844203">
        <w:rPr>
          <w:rFonts w:ascii="Arial" w:hAnsi="Arial" w:cs="Arial"/>
          <w:sz w:val="22"/>
          <w:szCs w:val="22"/>
          <w:lang w:val="fr-FR"/>
        </w:rPr>
        <w:t>,</w:t>
      </w:r>
      <w:r w:rsidRPr="00C54ACE">
        <w:rPr>
          <w:rFonts w:ascii="Arial" w:hAnsi="Arial" w:cs="Arial"/>
          <w:sz w:val="22"/>
          <w:szCs w:val="22"/>
          <w:lang w:val="fr-FR"/>
        </w:rPr>
        <w:t xml:space="preserve"> </w:t>
      </w:r>
      <w:r w:rsidR="00844203" w:rsidRPr="00844203">
        <w:rPr>
          <w:rFonts w:ascii="Arial" w:hAnsi="Arial" w:cs="Arial"/>
          <w:sz w:val="22"/>
          <w:szCs w:val="22"/>
          <w:lang w:val="fr-FR"/>
        </w:rPr>
        <w:t>paragraphes a) à c).</w:t>
      </w:r>
    </w:p>
    <w:p w14:paraId="45E5D36A" w14:textId="77777777" w:rsidR="00C54ACE" w:rsidRPr="00C54ACE" w:rsidRDefault="00C54ACE" w:rsidP="000B33EE">
      <w:pPr>
        <w:adjustRightInd w:val="0"/>
        <w:ind w:left="1276" w:hanging="425"/>
        <w:jc w:val="both"/>
        <w:rPr>
          <w:rFonts w:ascii="Arial" w:hAnsi="Arial" w:cs="Arial"/>
          <w:sz w:val="22"/>
          <w:szCs w:val="22"/>
          <w:lang w:val="fr-FR"/>
        </w:rPr>
      </w:pPr>
    </w:p>
    <w:bookmarkEnd w:id="0"/>
    <w:p w14:paraId="63A73B09" w14:textId="3933A582" w:rsidR="00C54ACE" w:rsidRPr="00C54ACE" w:rsidRDefault="00C54ACE" w:rsidP="000B33EE">
      <w:pPr>
        <w:numPr>
          <w:ilvl w:val="0"/>
          <w:numId w:val="4"/>
        </w:numPr>
        <w:suppressAutoHyphens w:val="0"/>
        <w:adjustRightInd w:val="0"/>
        <w:ind w:left="1276" w:hanging="425"/>
        <w:jc w:val="both"/>
        <w:textAlignment w:val="auto"/>
        <w:rPr>
          <w:rFonts w:ascii="Arial" w:hAnsi="Arial" w:cs="Arial"/>
          <w:sz w:val="22"/>
          <w:szCs w:val="22"/>
          <w:lang w:val="fr-FR"/>
        </w:rPr>
      </w:pPr>
      <w:proofErr w:type="gramStart"/>
      <w:r w:rsidRPr="00C54ACE">
        <w:rPr>
          <w:rFonts w:ascii="Arial" w:hAnsi="Arial" w:cs="Arial"/>
          <w:sz w:val="22"/>
          <w:szCs w:val="22"/>
          <w:lang w:val="fr-FR"/>
        </w:rPr>
        <w:t>examiner</w:t>
      </w:r>
      <w:proofErr w:type="gramEnd"/>
      <w:r w:rsidRPr="00C54ACE">
        <w:rPr>
          <w:rFonts w:ascii="Arial" w:hAnsi="Arial" w:cs="Arial"/>
          <w:sz w:val="22"/>
          <w:szCs w:val="22"/>
          <w:lang w:val="fr-FR"/>
        </w:rPr>
        <w:t xml:space="preserve"> les rapports soumis par le Secrétariat en application de la présente décision et f</w:t>
      </w:r>
      <w:r w:rsidR="00844203">
        <w:rPr>
          <w:rFonts w:ascii="Arial" w:hAnsi="Arial" w:cs="Arial"/>
          <w:sz w:val="22"/>
          <w:szCs w:val="22"/>
          <w:lang w:val="fr-FR"/>
        </w:rPr>
        <w:t>ormul</w:t>
      </w:r>
      <w:r w:rsidRPr="00C54ACE">
        <w:rPr>
          <w:rFonts w:ascii="Arial" w:hAnsi="Arial" w:cs="Arial"/>
          <w:sz w:val="22"/>
          <w:szCs w:val="22"/>
          <w:lang w:val="fr-FR"/>
        </w:rPr>
        <w:t>e</w:t>
      </w:r>
      <w:r w:rsidR="00844203">
        <w:rPr>
          <w:rFonts w:ascii="Arial" w:hAnsi="Arial" w:cs="Arial"/>
          <w:sz w:val="22"/>
          <w:szCs w:val="22"/>
          <w:lang w:val="fr-FR"/>
        </w:rPr>
        <w:t>r</w:t>
      </w:r>
      <w:r w:rsidRPr="00C54ACE">
        <w:rPr>
          <w:rFonts w:ascii="Arial" w:hAnsi="Arial" w:cs="Arial"/>
          <w:sz w:val="22"/>
          <w:szCs w:val="22"/>
          <w:lang w:val="fr-FR"/>
        </w:rPr>
        <w:t xml:space="preserve"> des recommandations</w:t>
      </w:r>
      <w:r w:rsidR="00844203">
        <w:rPr>
          <w:rFonts w:ascii="Arial" w:hAnsi="Arial" w:cs="Arial"/>
          <w:sz w:val="22"/>
          <w:szCs w:val="22"/>
          <w:lang w:val="fr-FR"/>
        </w:rPr>
        <w:t>, le cas échéant,</w:t>
      </w:r>
      <w:r w:rsidRPr="00C54ACE">
        <w:rPr>
          <w:rFonts w:ascii="Arial" w:hAnsi="Arial" w:cs="Arial"/>
          <w:sz w:val="22"/>
          <w:szCs w:val="22"/>
          <w:lang w:val="fr-FR"/>
        </w:rPr>
        <w:t xml:space="preserve"> à la </w:t>
      </w:r>
      <w:r w:rsidR="00844203">
        <w:rPr>
          <w:rFonts w:ascii="Arial" w:hAnsi="Arial" w:cs="Arial"/>
          <w:sz w:val="22"/>
          <w:szCs w:val="22"/>
          <w:lang w:val="fr-FR"/>
        </w:rPr>
        <w:t>14</w:t>
      </w:r>
      <w:r w:rsidR="00844203" w:rsidRPr="00844203">
        <w:rPr>
          <w:rFonts w:ascii="Arial" w:hAnsi="Arial" w:cs="Arial"/>
          <w:sz w:val="22"/>
          <w:szCs w:val="22"/>
          <w:vertAlign w:val="superscript"/>
          <w:lang w:val="fr-FR"/>
        </w:rPr>
        <w:t>e</w:t>
      </w:r>
      <w:r w:rsidR="00844203">
        <w:rPr>
          <w:rFonts w:ascii="Arial" w:hAnsi="Arial" w:cs="Arial"/>
          <w:sz w:val="22"/>
          <w:szCs w:val="22"/>
          <w:lang w:val="fr-FR"/>
        </w:rPr>
        <w:t xml:space="preserve"> session de la </w:t>
      </w:r>
      <w:r w:rsidRPr="00C54ACE">
        <w:rPr>
          <w:rFonts w:ascii="Arial" w:hAnsi="Arial" w:cs="Arial"/>
          <w:sz w:val="22"/>
          <w:szCs w:val="22"/>
          <w:lang w:val="fr-FR"/>
        </w:rPr>
        <w:t>Conférence des Parties sur les me</w:t>
      </w:r>
      <w:bookmarkStart w:id="1" w:name="_GoBack"/>
      <w:bookmarkEnd w:id="1"/>
      <w:r w:rsidRPr="00C54ACE">
        <w:rPr>
          <w:rFonts w:ascii="Arial" w:hAnsi="Arial" w:cs="Arial"/>
          <w:sz w:val="22"/>
          <w:szCs w:val="22"/>
          <w:lang w:val="fr-FR"/>
        </w:rPr>
        <w:t xml:space="preserve">sures de conservation </w:t>
      </w:r>
      <w:r w:rsidR="00844203">
        <w:rPr>
          <w:rFonts w:ascii="Arial" w:hAnsi="Arial" w:cs="Arial"/>
          <w:sz w:val="22"/>
          <w:szCs w:val="22"/>
          <w:lang w:val="fr-FR"/>
        </w:rPr>
        <w:t>étayées</w:t>
      </w:r>
      <w:r w:rsidRPr="00C54ACE">
        <w:rPr>
          <w:rFonts w:ascii="Arial" w:hAnsi="Arial" w:cs="Arial"/>
          <w:sz w:val="22"/>
          <w:szCs w:val="22"/>
          <w:lang w:val="fr-FR"/>
        </w:rPr>
        <w:t xml:space="preserve"> par ces rapports.</w:t>
      </w:r>
    </w:p>
    <w:sectPr w:rsidR="00C54ACE" w:rsidRPr="00C54ACE">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F1AE56C"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0B33EE">
      <w:rPr>
        <w:rFonts w:ascii="Arial" w:hAnsi="Arial" w:cs="Arial"/>
        <w:i/>
        <w:szCs w:val="20"/>
        <w:lang w:val="en-GB"/>
      </w:rPr>
      <w:t>24</w:t>
    </w:r>
  </w:p>
  <w:p w14:paraId="50B9F4CC" w14:textId="77777777" w:rsidR="00A16E93" w:rsidRDefault="000B3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0B3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EFA7D2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C54ACE">
      <w:rPr>
        <w:rFonts w:ascii="Arial" w:hAnsi="Arial" w:cs="Arial"/>
        <w:bCs/>
        <w:i/>
        <w:iCs/>
        <w:szCs w:val="20"/>
        <w:lang w:val="en-GB"/>
      </w:rPr>
      <w:t>24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 w15:restartNumberingAfterBreak="0">
    <w:nsid w:val="54DB2BE1"/>
    <w:multiLevelType w:val="hybridMultilevel"/>
    <w:tmpl w:val="17D4909C"/>
    <w:lvl w:ilvl="0" w:tplc="3DD46146">
      <w:start w:val="1"/>
      <w:numFmt w:val="lowerRoman"/>
      <w:lvlText w:val="(%1)"/>
      <w:lvlJc w:val="left"/>
      <w:pPr>
        <w:ind w:left="2138" w:hanging="720"/>
      </w:pPr>
    </w:lvl>
    <w:lvl w:ilvl="1" w:tplc="20000019">
      <w:start w:val="1"/>
      <w:numFmt w:val="lowerLetter"/>
      <w:lvlText w:val="%2."/>
      <w:lvlJc w:val="left"/>
      <w:pPr>
        <w:ind w:left="2498" w:hanging="360"/>
      </w:pPr>
    </w:lvl>
    <w:lvl w:ilvl="2" w:tplc="2000001B">
      <w:start w:val="1"/>
      <w:numFmt w:val="lowerRoman"/>
      <w:lvlText w:val="%3."/>
      <w:lvlJc w:val="right"/>
      <w:pPr>
        <w:ind w:left="3218" w:hanging="180"/>
      </w:pPr>
    </w:lvl>
    <w:lvl w:ilvl="3" w:tplc="2000000F">
      <w:start w:val="1"/>
      <w:numFmt w:val="decimal"/>
      <w:lvlText w:val="%4."/>
      <w:lvlJc w:val="left"/>
      <w:pPr>
        <w:ind w:left="3938" w:hanging="360"/>
      </w:pPr>
    </w:lvl>
    <w:lvl w:ilvl="4" w:tplc="20000019">
      <w:start w:val="1"/>
      <w:numFmt w:val="lowerLetter"/>
      <w:lvlText w:val="%5."/>
      <w:lvlJc w:val="left"/>
      <w:pPr>
        <w:ind w:left="4658" w:hanging="360"/>
      </w:pPr>
    </w:lvl>
    <w:lvl w:ilvl="5" w:tplc="2000001B">
      <w:start w:val="1"/>
      <w:numFmt w:val="lowerRoman"/>
      <w:lvlText w:val="%6."/>
      <w:lvlJc w:val="right"/>
      <w:pPr>
        <w:ind w:left="5378" w:hanging="180"/>
      </w:pPr>
    </w:lvl>
    <w:lvl w:ilvl="6" w:tplc="2000000F">
      <w:start w:val="1"/>
      <w:numFmt w:val="decimal"/>
      <w:lvlText w:val="%7."/>
      <w:lvlJc w:val="left"/>
      <w:pPr>
        <w:ind w:left="6098" w:hanging="360"/>
      </w:pPr>
    </w:lvl>
    <w:lvl w:ilvl="7" w:tplc="20000019">
      <w:start w:val="1"/>
      <w:numFmt w:val="lowerLetter"/>
      <w:lvlText w:val="%8."/>
      <w:lvlJc w:val="left"/>
      <w:pPr>
        <w:ind w:left="6818" w:hanging="360"/>
      </w:pPr>
    </w:lvl>
    <w:lvl w:ilvl="8" w:tplc="2000001B">
      <w:start w:val="1"/>
      <w:numFmt w:val="lowerRoman"/>
      <w:lvlText w:val="%9."/>
      <w:lvlJc w:val="right"/>
      <w:pPr>
        <w:ind w:left="7538" w:hanging="180"/>
      </w:pPr>
    </w:lvl>
  </w:abstractNum>
  <w:abstractNum w:abstractNumId="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6B8"/>
    <w:rsid w:val="00034A63"/>
    <w:rsid w:val="000A35A8"/>
    <w:rsid w:val="000A7F0D"/>
    <w:rsid w:val="000B0D60"/>
    <w:rsid w:val="000B33EE"/>
    <w:rsid w:val="001648A3"/>
    <w:rsid w:val="002223BB"/>
    <w:rsid w:val="00237E5C"/>
    <w:rsid w:val="00393B92"/>
    <w:rsid w:val="003F1AD8"/>
    <w:rsid w:val="0043102F"/>
    <w:rsid w:val="00487D0A"/>
    <w:rsid w:val="005645C4"/>
    <w:rsid w:val="005D43E4"/>
    <w:rsid w:val="005F0639"/>
    <w:rsid w:val="007A1066"/>
    <w:rsid w:val="00844203"/>
    <w:rsid w:val="009573CA"/>
    <w:rsid w:val="00A048E3"/>
    <w:rsid w:val="00BD20F5"/>
    <w:rsid w:val="00C32FF1"/>
    <w:rsid w:val="00C54ACE"/>
    <w:rsid w:val="00D82C56"/>
    <w:rsid w:val="00E829C9"/>
    <w:rsid w:val="00EA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C54ACE"/>
  </w:style>
  <w:style w:type="paragraph" w:styleId="ListParagraph">
    <w:name w:val="List Paragraph"/>
    <w:basedOn w:val="Normal"/>
    <w:link w:val="ListParagraphChar"/>
    <w:uiPriority w:val="34"/>
    <w:qFormat/>
    <w:rsid w:val="00C54ACE"/>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FourthnumberingAChar">
    <w:name w:val="Fourth numbering A. Char"/>
    <w:basedOn w:val="DefaultParagraphFont"/>
    <w:link w:val="FourthnumberingA"/>
    <w:locked/>
    <w:rsid w:val="00C54ACE"/>
    <w:rPr>
      <w:lang w:val="fr-FR"/>
    </w:rPr>
  </w:style>
  <w:style w:type="paragraph" w:customStyle="1" w:styleId="FourthnumberingA">
    <w:name w:val="Fourth numbering A."/>
    <w:basedOn w:val="Normal"/>
    <w:link w:val="FourthnumberingAChar"/>
    <w:qFormat/>
    <w:rsid w:val="00C54ACE"/>
    <w:pPr>
      <w:widowControl/>
      <w:numPr>
        <w:numId w:val="1"/>
      </w:numPr>
      <w:suppressAutoHyphens w:val="0"/>
      <w:autoSpaceDE/>
      <w:autoSpaceDN/>
      <w:ind w:left="2268" w:hanging="283"/>
      <w:contextualSpacing/>
      <w:jc w:val="both"/>
      <w:textAlignment w:val="auto"/>
    </w:pPr>
    <w:rPr>
      <w:rFonts w:ascii="Arial" w:eastAsia="Calibri" w:hAnsi="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924">
      <w:bodyDiv w:val="1"/>
      <w:marLeft w:val="0"/>
      <w:marRight w:val="0"/>
      <w:marTop w:val="0"/>
      <w:marBottom w:val="0"/>
      <w:divBdr>
        <w:top w:val="none" w:sz="0" w:space="0" w:color="auto"/>
        <w:left w:val="none" w:sz="0" w:space="0" w:color="auto"/>
        <w:bottom w:val="none" w:sz="0" w:space="0" w:color="auto"/>
        <w:right w:val="none" w:sz="0" w:space="0" w:color="auto"/>
      </w:divBdr>
    </w:div>
    <w:div w:id="199140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2020-02-21T16:17:00Z</dcterms:created>
  <dcterms:modified xsi:type="dcterms:W3CDTF">2020-02-21T16:17:00Z</dcterms:modified>
</cp:coreProperties>
</file>