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09D21" w14:textId="77777777" w:rsidR="006618C2" w:rsidRDefault="006618C2" w:rsidP="00E66410">
      <w:pPr>
        <w:jc w:val="center"/>
        <w:rPr>
          <w:rFonts w:ascii="Arial" w:hAnsi="Arial" w:cs="Arial"/>
          <w:b/>
          <w:bCs/>
        </w:rPr>
      </w:pPr>
    </w:p>
    <w:p w14:paraId="7A5CEC88" w14:textId="77777777" w:rsidR="006618C2" w:rsidRDefault="006618C2" w:rsidP="00E66410">
      <w:pPr>
        <w:jc w:val="center"/>
        <w:rPr>
          <w:rFonts w:ascii="Arial" w:hAnsi="Arial" w:cs="Arial"/>
          <w:b/>
          <w:bCs/>
        </w:rPr>
      </w:pPr>
    </w:p>
    <w:p w14:paraId="5C488031" w14:textId="4558CA7D" w:rsidR="00462B6B" w:rsidRDefault="00E66410" w:rsidP="00E66410">
      <w:pPr>
        <w:jc w:val="center"/>
        <w:rPr>
          <w:rFonts w:ascii="Arial" w:hAnsi="Arial" w:cs="Arial"/>
          <w:b/>
          <w:bCs/>
        </w:rPr>
      </w:pPr>
      <w:r>
        <w:rPr>
          <w:rFonts w:ascii="Arial" w:hAnsi="Arial"/>
          <w:b/>
          <w:bCs/>
        </w:rPr>
        <w:t xml:space="preserve">APLICACIÓN DEL ARTÍCULO III DE LA CONVENCIÓN </w:t>
      </w:r>
    </w:p>
    <w:p w14:paraId="29BCD6EB" w14:textId="41A2CB09" w:rsidR="00E66410" w:rsidRDefault="00E66410" w:rsidP="00E66410">
      <w:pPr>
        <w:jc w:val="center"/>
        <w:rPr>
          <w:rFonts w:ascii="Arial" w:hAnsi="Arial" w:cs="Arial"/>
          <w:b/>
          <w:bCs/>
        </w:rPr>
      </w:pPr>
      <w:r>
        <w:rPr>
          <w:rFonts w:ascii="Arial" w:hAnsi="Arial"/>
          <w:b/>
          <w:bCs/>
        </w:rPr>
        <w:t>RESPECTO AL COMERCIO INTERNACIONAL DE ESPECIES QUE FIGURAN EN EL APÉNDICE I</w:t>
      </w:r>
    </w:p>
    <w:p w14:paraId="1D53F6E8" w14:textId="7055FE29" w:rsidR="008133DC" w:rsidRPr="008133DC" w:rsidRDefault="008133DC" w:rsidP="00E66410">
      <w:pPr>
        <w:jc w:val="center"/>
        <w:rPr>
          <w:rFonts w:ascii="Arial" w:hAnsi="Arial" w:cs="Arial"/>
        </w:rPr>
      </w:pPr>
      <w:r>
        <w:rPr>
          <w:rFonts w:ascii="Arial" w:hAnsi="Arial"/>
        </w:rPr>
        <w:t>UNEP/CMS/COP13/Doc.21</w:t>
      </w:r>
    </w:p>
    <w:p w14:paraId="22552C23" w14:textId="15E11D10" w:rsidR="00E66410" w:rsidRPr="00225584" w:rsidRDefault="00E66410" w:rsidP="00462B6B">
      <w:pPr>
        <w:rPr>
          <w:rFonts w:ascii="Arial" w:eastAsia="Calibri" w:hAnsi="Arial" w:cs="Arial"/>
        </w:rPr>
      </w:pPr>
    </w:p>
    <w:p w14:paraId="78249C37" w14:textId="5501D059" w:rsidR="008133DC" w:rsidRPr="008133DC" w:rsidRDefault="008133DC" w:rsidP="008133DC">
      <w:pPr>
        <w:jc w:val="center"/>
        <w:rPr>
          <w:rFonts w:ascii="Arial" w:eastAsia="Calibri" w:hAnsi="Arial" w:cs="Arial"/>
          <w:i/>
          <w:iCs/>
        </w:rPr>
      </w:pPr>
      <w:r>
        <w:rPr>
          <w:rFonts w:ascii="Arial" w:hAnsi="Arial"/>
          <w:i/>
          <w:iCs/>
        </w:rPr>
        <w:t>(Preparado por el Grupo de Contacto sobre el Artículo III)</w:t>
      </w:r>
    </w:p>
    <w:p w14:paraId="388B10F5" w14:textId="77777777" w:rsidR="00E66410" w:rsidRPr="00225584" w:rsidRDefault="00E66410" w:rsidP="00AF03E5">
      <w:pPr>
        <w:jc w:val="center"/>
        <w:rPr>
          <w:rFonts w:ascii="Arial" w:eastAsia="Calibri" w:hAnsi="Arial" w:cs="Arial"/>
        </w:rPr>
      </w:pPr>
    </w:p>
    <w:p w14:paraId="5FD1E4DD" w14:textId="77777777" w:rsidR="00AF03E5" w:rsidRDefault="00AF03E5" w:rsidP="00AF03E5">
      <w:pPr>
        <w:jc w:val="center"/>
        <w:rPr>
          <w:rFonts w:ascii="Arial" w:eastAsia="Calibri" w:hAnsi="Arial" w:cs="Arial"/>
          <w:b/>
          <w:bCs/>
        </w:rPr>
      </w:pPr>
      <w:r>
        <w:rPr>
          <w:rFonts w:ascii="Arial" w:hAnsi="Arial"/>
        </w:rPr>
        <w:t>PROYECTOS DE DECISIÓN</w:t>
      </w:r>
    </w:p>
    <w:p w14:paraId="1245DF9C" w14:textId="77777777" w:rsidR="00AF03E5" w:rsidRPr="00225584" w:rsidRDefault="00AF03E5" w:rsidP="00AF03E5">
      <w:pPr>
        <w:rPr>
          <w:rFonts w:ascii="Arial" w:eastAsia="Calibri" w:hAnsi="Arial" w:cs="Arial"/>
          <w:b/>
          <w:bCs/>
        </w:rPr>
      </w:pPr>
    </w:p>
    <w:p w14:paraId="1DA017AD" w14:textId="77777777" w:rsidR="00AF03E5" w:rsidRPr="00225584" w:rsidRDefault="00AF03E5" w:rsidP="00AF03E5">
      <w:pPr>
        <w:ind w:firstLine="720"/>
        <w:jc w:val="center"/>
        <w:rPr>
          <w:rFonts w:ascii="Arial" w:eastAsia="Calibri" w:hAnsi="Arial" w:cs="Arial"/>
          <w:b/>
          <w:bCs/>
          <w:i/>
        </w:rPr>
      </w:pPr>
    </w:p>
    <w:p w14:paraId="21B8FD93" w14:textId="77777777" w:rsidR="00AF03E5" w:rsidRDefault="00AF03E5" w:rsidP="00AF03E5">
      <w:pPr>
        <w:jc w:val="both"/>
        <w:rPr>
          <w:rFonts w:ascii="Arial" w:eastAsia="Calibri" w:hAnsi="Arial" w:cs="Arial"/>
          <w:b/>
          <w:bCs/>
          <w:i/>
        </w:rPr>
      </w:pPr>
      <w:r>
        <w:rPr>
          <w:rFonts w:ascii="Arial" w:hAnsi="Arial"/>
          <w:b/>
          <w:bCs/>
          <w:i/>
        </w:rPr>
        <w:t>Dirigido a la Secretaría:</w:t>
      </w:r>
    </w:p>
    <w:p w14:paraId="50E4ACF2" w14:textId="77777777" w:rsidR="00AF03E5" w:rsidRPr="00225584" w:rsidRDefault="00AF03E5" w:rsidP="00AF03E5">
      <w:pPr>
        <w:jc w:val="both"/>
        <w:rPr>
          <w:rFonts w:ascii="Arial" w:eastAsia="Calibri" w:hAnsi="Arial" w:cs="Arial"/>
          <w:b/>
          <w:i/>
        </w:rPr>
      </w:pPr>
    </w:p>
    <w:p w14:paraId="6FCB90C2" w14:textId="4E839F1D" w:rsidR="00380989" w:rsidRDefault="00517F76" w:rsidP="00AF03E5">
      <w:pPr>
        <w:jc w:val="both"/>
        <w:rPr>
          <w:rFonts w:ascii="Arial" w:eastAsia="Calibri" w:hAnsi="Arial" w:cs="Arial"/>
        </w:rPr>
      </w:pPr>
      <w:r>
        <w:rPr>
          <w:rFonts w:ascii="Arial" w:hAnsi="Arial"/>
        </w:rPr>
        <w:t>13.AA</w:t>
      </w:r>
      <w:r>
        <w:rPr>
          <w:rFonts w:ascii="Arial" w:hAnsi="Arial"/>
        </w:rPr>
        <w:tab/>
        <w:t xml:space="preserve">La Secretaría deberá, sujeta a la disponibilidad de recursos: </w:t>
      </w:r>
    </w:p>
    <w:p w14:paraId="6F7D624D" w14:textId="77777777" w:rsidR="00380989" w:rsidRPr="00225584" w:rsidRDefault="00380989" w:rsidP="00AF03E5">
      <w:pPr>
        <w:jc w:val="both"/>
        <w:rPr>
          <w:rFonts w:ascii="Arial" w:eastAsia="Calibri" w:hAnsi="Arial" w:cs="Arial"/>
        </w:rPr>
      </w:pPr>
    </w:p>
    <w:p w14:paraId="495BAF9F" w14:textId="382E514E" w:rsidR="00517F76" w:rsidRPr="00F573F5" w:rsidRDefault="00AF03E5" w:rsidP="00032F48">
      <w:pPr>
        <w:pStyle w:val="ListParagraph"/>
        <w:numPr>
          <w:ilvl w:val="0"/>
          <w:numId w:val="5"/>
        </w:numPr>
        <w:ind w:left="1134" w:hanging="425"/>
        <w:jc w:val="both"/>
        <w:rPr>
          <w:rFonts w:ascii="Arial" w:eastAsia="Calibri" w:hAnsi="Arial" w:cs="Arial"/>
          <w:sz w:val="22"/>
          <w:szCs w:val="28"/>
        </w:rPr>
      </w:pPr>
      <w:r>
        <w:rPr>
          <w:rFonts w:ascii="Arial" w:hAnsi="Arial"/>
          <w:sz w:val="22"/>
          <w:szCs w:val="28"/>
        </w:rPr>
        <w:t>en colaboración con la Secretaría de la CITES, elaborar una lista de especies incluidas en el Apéndice I, anotando si también figuran en los Apéndices de la CITES y, en caso afirmativo, en qué Apéndice de la CITES están incluidas. En esta lista se deben tener en cuenta las posibles diferencias en la nomenclatura utilizada en las dos Convenciones;</w:t>
      </w:r>
    </w:p>
    <w:p w14:paraId="2B6CFE13" w14:textId="77777777" w:rsidR="00F573F5" w:rsidRPr="00225584" w:rsidRDefault="00F573F5" w:rsidP="00271246">
      <w:pPr>
        <w:pStyle w:val="ListParagraph"/>
        <w:ind w:left="450"/>
        <w:jc w:val="both"/>
        <w:rPr>
          <w:rFonts w:ascii="Arial" w:eastAsia="Calibri" w:hAnsi="Arial" w:cs="Arial"/>
          <w:sz w:val="22"/>
          <w:szCs w:val="28"/>
        </w:rPr>
      </w:pPr>
    </w:p>
    <w:p w14:paraId="38311FAE" w14:textId="075B01AB" w:rsidR="00AF03E5" w:rsidRPr="00517F76" w:rsidRDefault="00AF03E5" w:rsidP="00032F48">
      <w:pPr>
        <w:pStyle w:val="ListParagraph"/>
        <w:numPr>
          <w:ilvl w:val="0"/>
          <w:numId w:val="5"/>
        </w:numPr>
        <w:ind w:left="1134" w:hanging="425"/>
        <w:jc w:val="both"/>
        <w:rPr>
          <w:rFonts w:ascii="Arial" w:eastAsia="Calibri" w:hAnsi="Arial" w:cs="Arial"/>
          <w:sz w:val="22"/>
          <w:szCs w:val="28"/>
        </w:rPr>
      </w:pPr>
      <w:r>
        <w:rPr>
          <w:rFonts w:ascii="Arial" w:hAnsi="Arial"/>
          <w:sz w:val="22"/>
          <w:szCs w:val="28"/>
        </w:rPr>
        <w:t xml:space="preserve">publicar esta lista en el sitio web de la CMS, y revisarla según sea necesario.  </w:t>
      </w:r>
    </w:p>
    <w:p w14:paraId="4F992BDA" w14:textId="77777777" w:rsidR="00AF03E5" w:rsidRPr="00225584" w:rsidRDefault="00AF03E5" w:rsidP="00AF03E5">
      <w:pPr>
        <w:jc w:val="both"/>
        <w:rPr>
          <w:rFonts w:ascii="Arial" w:eastAsia="Calibri" w:hAnsi="Arial" w:cs="Arial"/>
          <w:b/>
          <w:bCs/>
          <w:i/>
        </w:rPr>
      </w:pPr>
    </w:p>
    <w:p w14:paraId="42343BA3" w14:textId="0DA2D7BA" w:rsidR="00AF03E5" w:rsidRDefault="00AF03E5" w:rsidP="00032F48">
      <w:pPr>
        <w:ind w:left="709" w:hanging="709"/>
        <w:jc w:val="both"/>
        <w:rPr>
          <w:rFonts w:ascii="Arial" w:eastAsia="Calibri" w:hAnsi="Arial" w:cs="Arial"/>
        </w:rPr>
      </w:pPr>
      <w:r>
        <w:rPr>
          <w:rFonts w:ascii="Arial" w:hAnsi="Arial"/>
        </w:rPr>
        <w:t>13.BB</w:t>
      </w:r>
      <w:r>
        <w:rPr>
          <w:rFonts w:ascii="Arial" w:hAnsi="Arial"/>
        </w:rPr>
        <w:tab/>
        <w:t>La Secretaría deberá, sujeta a la disponibilidad de recursos, con el apoyo del Consejo Científico y dentro del ámbito del Informe sobre el estado de conservación (Decisión 24.xxx):</w:t>
      </w:r>
    </w:p>
    <w:p w14:paraId="68E0B634" w14:textId="77777777" w:rsidR="00AF03E5" w:rsidRPr="00225584" w:rsidRDefault="00AF03E5" w:rsidP="00AF03E5">
      <w:pPr>
        <w:jc w:val="both"/>
        <w:rPr>
          <w:rFonts w:ascii="Arial" w:eastAsia="Calibri" w:hAnsi="Arial" w:cs="Arial"/>
        </w:rPr>
      </w:pPr>
    </w:p>
    <w:p w14:paraId="0FBAC881" w14:textId="2AF75519" w:rsidR="00AF03E5" w:rsidRDefault="00AF03E5" w:rsidP="00032F48">
      <w:pPr>
        <w:pStyle w:val="ListParagraph"/>
        <w:widowControl/>
        <w:numPr>
          <w:ilvl w:val="0"/>
          <w:numId w:val="1"/>
        </w:numPr>
        <w:suppressAutoHyphens w:val="0"/>
        <w:autoSpaceDE/>
        <w:ind w:left="1134" w:hanging="425"/>
        <w:jc w:val="both"/>
        <w:rPr>
          <w:rFonts w:ascii="Arial" w:eastAsia="Calibri" w:hAnsi="Arial" w:cs="Arial"/>
          <w:sz w:val="22"/>
          <w:szCs w:val="22"/>
        </w:rPr>
      </w:pPr>
      <w:r>
        <w:rPr>
          <w:rFonts w:ascii="Arial" w:hAnsi="Arial"/>
          <w:sz w:val="22"/>
          <w:szCs w:val="22"/>
        </w:rPr>
        <w:t xml:space="preserve">elaborar criterios, en colaboración con la Secretaría de la CITES, para determinar el alcance y la viabilidad de una evaluación del impacto del comercio internacional de las especies que figuran en el Apéndice I en su estado de conservación; y </w:t>
      </w:r>
    </w:p>
    <w:p w14:paraId="4C3179F9" w14:textId="77777777" w:rsidR="00A427E9" w:rsidRPr="00225584" w:rsidRDefault="00A427E9" w:rsidP="00271246">
      <w:pPr>
        <w:ind w:left="360"/>
        <w:jc w:val="both"/>
        <w:rPr>
          <w:rFonts w:ascii="Arial" w:eastAsia="Calibri" w:hAnsi="Arial" w:cs="Arial"/>
        </w:rPr>
      </w:pPr>
    </w:p>
    <w:p w14:paraId="0BAAA7A7" w14:textId="48B727D6" w:rsidR="00AF03E5" w:rsidRPr="00515EA6" w:rsidRDefault="00D36490" w:rsidP="00032F48">
      <w:pPr>
        <w:ind w:left="1134" w:hanging="425"/>
        <w:jc w:val="both"/>
        <w:rPr>
          <w:rFonts w:ascii="Arial" w:eastAsia="Calibri" w:hAnsi="Arial" w:cs="Arial"/>
        </w:rPr>
      </w:pPr>
      <w:r>
        <w:rPr>
          <w:rFonts w:ascii="Arial" w:hAnsi="Arial"/>
        </w:rPr>
        <w:t>b)</w:t>
      </w:r>
      <w:r>
        <w:rPr>
          <w:rFonts w:ascii="Arial" w:hAnsi="Arial"/>
        </w:rPr>
        <w:tab/>
        <w:t xml:space="preserve">sobre la base de esos criterios, evaluar el impacto del comercio internacional en el estado de conservación de las especies que figuran en el Apéndice I pertinentes, incluido, entre otras cosas, el comercio internacional regulado por la CITES. </w:t>
      </w:r>
    </w:p>
    <w:p w14:paraId="2CEE5A48" w14:textId="77777777" w:rsidR="00380989" w:rsidRPr="00225584" w:rsidRDefault="00380989" w:rsidP="00380989">
      <w:pPr>
        <w:autoSpaceDN w:val="0"/>
        <w:spacing w:after="160" w:line="252" w:lineRule="auto"/>
        <w:contextualSpacing/>
        <w:jc w:val="both"/>
        <w:rPr>
          <w:rFonts w:ascii="Arial" w:eastAsia="Calibri" w:hAnsi="Arial" w:cs="Arial"/>
        </w:rPr>
      </w:pPr>
    </w:p>
    <w:p w14:paraId="4F0A40DD" w14:textId="5502F63B" w:rsidR="00AF03E5" w:rsidRDefault="00380989" w:rsidP="00032F48">
      <w:pPr>
        <w:autoSpaceDN w:val="0"/>
        <w:spacing w:after="160" w:line="252" w:lineRule="auto"/>
        <w:ind w:left="709" w:hanging="709"/>
        <w:contextualSpacing/>
        <w:jc w:val="both"/>
        <w:rPr>
          <w:rFonts w:ascii="Arial" w:eastAsia="Arial" w:hAnsi="Arial" w:cs="Arial"/>
        </w:rPr>
      </w:pPr>
      <w:r>
        <w:rPr>
          <w:rFonts w:ascii="Arial" w:hAnsi="Arial"/>
        </w:rPr>
        <w:t>13.CC</w:t>
      </w:r>
      <w:r>
        <w:rPr>
          <w:rFonts w:ascii="Arial" w:hAnsi="Arial"/>
        </w:rPr>
        <w:tab/>
        <w:t>La Secretaría informará a la Conferencia de las Partes en su 14ª reunión y formulará las recomendaciones pertinentes para que las Partes las examinen.</w:t>
      </w:r>
    </w:p>
    <w:p w14:paraId="56790571" w14:textId="2BDC0405" w:rsidR="00EF1BF9" w:rsidRDefault="00EF1BF9" w:rsidP="00EF1BF9"/>
    <w:p w14:paraId="311FAFEC" w14:textId="5BBFD901" w:rsidR="00AF03E5" w:rsidRDefault="00AF03E5" w:rsidP="00AF03E5">
      <w:pPr>
        <w:jc w:val="both"/>
        <w:rPr>
          <w:rFonts w:ascii="Arial" w:eastAsia="Calibri" w:hAnsi="Arial" w:cs="Arial"/>
          <w:b/>
          <w:bCs/>
        </w:rPr>
      </w:pPr>
      <w:r>
        <w:rPr>
          <w:rFonts w:ascii="Arial" w:hAnsi="Arial"/>
          <w:b/>
          <w:bCs/>
          <w:i/>
          <w:iCs/>
        </w:rPr>
        <w:t>Dirigido a las Partes</w:t>
      </w:r>
      <w:r>
        <w:rPr>
          <w:rFonts w:ascii="Arial" w:hAnsi="Arial"/>
          <w:b/>
          <w:bCs/>
        </w:rPr>
        <w:t>:</w:t>
      </w:r>
      <w:bookmarkStart w:id="0" w:name="_GoBack"/>
      <w:bookmarkEnd w:id="0"/>
    </w:p>
    <w:p w14:paraId="27ACC867" w14:textId="77777777" w:rsidR="00AF03E5" w:rsidRPr="00225584" w:rsidRDefault="00AF03E5" w:rsidP="00AF03E5">
      <w:pPr>
        <w:jc w:val="both"/>
        <w:rPr>
          <w:rFonts w:ascii="Arial" w:eastAsia="Calibri" w:hAnsi="Arial" w:cs="Arial"/>
          <w:b/>
          <w:bCs/>
        </w:rPr>
      </w:pPr>
    </w:p>
    <w:p w14:paraId="1762A568" w14:textId="22F36D7B" w:rsidR="00517F76" w:rsidRDefault="00AF03E5" w:rsidP="001933E0">
      <w:pPr>
        <w:ind w:left="720" w:hanging="720"/>
        <w:jc w:val="both"/>
        <w:rPr>
          <w:rFonts w:ascii="Arial" w:eastAsia="Calibri" w:hAnsi="Arial" w:cs="Arial"/>
        </w:rPr>
      </w:pPr>
      <w:r>
        <w:rPr>
          <w:rFonts w:ascii="Arial" w:hAnsi="Arial"/>
          <w:bCs/>
        </w:rPr>
        <w:t>13.DD</w:t>
      </w:r>
      <w:r>
        <w:rPr>
          <w:rFonts w:ascii="Arial" w:hAnsi="Arial"/>
          <w:bCs/>
        </w:rPr>
        <w:tab/>
      </w:r>
      <w:r>
        <w:rPr>
          <w:rFonts w:ascii="Arial" w:hAnsi="Arial"/>
        </w:rPr>
        <w:t xml:space="preserve">Se solicita a las Partes: </w:t>
      </w:r>
    </w:p>
    <w:p w14:paraId="74A84E6D" w14:textId="77777777" w:rsidR="00517F76" w:rsidRPr="00225584" w:rsidRDefault="00517F76" w:rsidP="001933E0">
      <w:pPr>
        <w:ind w:left="720" w:hanging="720"/>
        <w:jc w:val="both"/>
        <w:rPr>
          <w:rFonts w:ascii="Arial" w:eastAsia="Calibri" w:hAnsi="Arial" w:cs="Arial"/>
        </w:rPr>
      </w:pPr>
    </w:p>
    <w:p w14:paraId="53182896" w14:textId="1232AC9C" w:rsidR="00F573F5" w:rsidRPr="00F573F5" w:rsidRDefault="00AF03E5" w:rsidP="00032F48">
      <w:pPr>
        <w:pStyle w:val="ListParagraph"/>
        <w:numPr>
          <w:ilvl w:val="0"/>
          <w:numId w:val="3"/>
        </w:numPr>
        <w:ind w:left="1080"/>
        <w:jc w:val="both"/>
        <w:rPr>
          <w:rFonts w:ascii="Arial" w:eastAsia="Calibri" w:hAnsi="Arial" w:cs="Arial"/>
          <w:sz w:val="22"/>
          <w:szCs w:val="22"/>
        </w:rPr>
      </w:pPr>
      <w:r>
        <w:rPr>
          <w:rFonts w:ascii="Arial" w:hAnsi="Arial"/>
          <w:sz w:val="22"/>
          <w:szCs w:val="22"/>
        </w:rPr>
        <w:t xml:space="preserve">compartir la información que se menciona en </w:t>
      </w:r>
      <w:proofErr w:type="gramStart"/>
      <w:r>
        <w:rPr>
          <w:rFonts w:ascii="Arial" w:hAnsi="Arial"/>
          <w:sz w:val="22"/>
          <w:szCs w:val="22"/>
        </w:rPr>
        <w:t>13.AA</w:t>
      </w:r>
      <w:proofErr w:type="gramEnd"/>
      <w:r>
        <w:rPr>
          <w:rFonts w:ascii="Arial" w:hAnsi="Arial"/>
          <w:sz w:val="22"/>
          <w:szCs w:val="22"/>
        </w:rPr>
        <w:t xml:space="preserve"> con sus respectivas Autoridades Administrativas y Científicas de la CITES para facilitar el debate sobre cualquier cuestión relativa a una especie en particular, según sea necesario;</w:t>
      </w:r>
    </w:p>
    <w:p w14:paraId="742401DB" w14:textId="0D368AAF" w:rsidR="00517F76" w:rsidRPr="00225584" w:rsidRDefault="00517F76" w:rsidP="00032F48">
      <w:pPr>
        <w:pStyle w:val="ListParagraph"/>
        <w:ind w:left="1080"/>
        <w:jc w:val="both"/>
        <w:rPr>
          <w:rFonts w:ascii="Arial" w:eastAsia="Calibri" w:hAnsi="Arial" w:cs="Arial"/>
          <w:sz w:val="22"/>
          <w:szCs w:val="22"/>
        </w:rPr>
      </w:pPr>
    </w:p>
    <w:p w14:paraId="2D8E7003" w14:textId="5F2D9E6F" w:rsidR="00212981" w:rsidRPr="00517F76" w:rsidRDefault="000C7FA9" w:rsidP="00032F48">
      <w:pPr>
        <w:pStyle w:val="ListParagraph"/>
        <w:numPr>
          <w:ilvl w:val="0"/>
          <w:numId w:val="3"/>
        </w:numPr>
        <w:ind w:left="1080"/>
        <w:jc w:val="both"/>
        <w:rPr>
          <w:rFonts w:ascii="Arial" w:eastAsia="Calibri" w:hAnsi="Arial" w:cs="Arial"/>
          <w:sz w:val="22"/>
          <w:szCs w:val="22"/>
        </w:rPr>
      </w:pPr>
      <w:r>
        <w:rPr>
          <w:rFonts w:ascii="Arial" w:hAnsi="Arial"/>
          <w:sz w:val="22"/>
          <w:szCs w:val="22"/>
        </w:rPr>
        <w:t>informar a la Secretaría, en el marco del Programa de Legislación Nacional, sobre cualquier necesidad de apoyo para la revisión o la elaboración de legislación relativa a la aplicación del Artículo III.</w:t>
      </w:r>
    </w:p>
    <w:sectPr w:rsidR="00212981" w:rsidRPr="00517F76" w:rsidSect="006618C2">
      <w:headerReference w:type="default" r:id="rId12"/>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31B53" w14:textId="77777777" w:rsidR="00CB77CE" w:rsidRDefault="00CB77CE" w:rsidP="006618C2">
      <w:r>
        <w:separator/>
      </w:r>
    </w:p>
  </w:endnote>
  <w:endnote w:type="continuationSeparator" w:id="0">
    <w:p w14:paraId="5D9591B9" w14:textId="77777777" w:rsidR="00CB77CE" w:rsidRDefault="00CB77CE" w:rsidP="0066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51057" w14:textId="77777777" w:rsidR="00CB77CE" w:rsidRDefault="00CB77CE" w:rsidP="006618C2">
      <w:r>
        <w:separator/>
      </w:r>
    </w:p>
  </w:footnote>
  <w:footnote w:type="continuationSeparator" w:id="0">
    <w:p w14:paraId="78B8D994" w14:textId="77777777" w:rsidR="00CB77CE" w:rsidRDefault="00CB77CE" w:rsidP="0066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9EF48" w14:textId="77777777" w:rsidR="006618C2" w:rsidRPr="006618C2" w:rsidRDefault="006618C2" w:rsidP="006618C2">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20"/>
        <w:szCs w:val="18"/>
      </w:rPr>
    </w:pPr>
    <w:r>
      <w:rPr>
        <w:rFonts w:ascii="Arial" w:hAnsi="Arial"/>
        <w:bCs/>
        <w:i/>
        <w:iCs/>
        <w:sz w:val="20"/>
        <w:szCs w:val="18"/>
      </w:rPr>
      <w:t>UNEP/CMS/COP13/CRP21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612A"/>
    <w:multiLevelType w:val="hybridMultilevel"/>
    <w:tmpl w:val="B394AC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2B59D0"/>
    <w:multiLevelType w:val="hybridMultilevel"/>
    <w:tmpl w:val="558E9B52"/>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5A292FAD"/>
    <w:multiLevelType w:val="hybridMultilevel"/>
    <w:tmpl w:val="A98623B0"/>
    <w:lvl w:ilvl="0" w:tplc="FDA44782">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FF206C"/>
    <w:multiLevelType w:val="hybridMultilevel"/>
    <w:tmpl w:val="B6EC07E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F7C7E5B"/>
    <w:multiLevelType w:val="hybridMultilevel"/>
    <w:tmpl w:val="38B83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E5"/>
    <w:rsid w:val="00032F48"/>
    <w:rsid w:val="000A6616"/>
    <w:rsid w:val="000C7FA9"/>
    <w:rsid w:val="000E0F30"/>
    <w:rsid w:val="00157FF2"/>
    <w:rsid w:val="001933E0"/>
    <w:rsid w:val="00196A54"/>
    <w:rsid w:val="00212981"/>
    <w:rsid w:val="00225584"/>
    <w:rsid w:val="00246A70"/>
    <w:rsid w:val="00271246"/>
    <w:rsid w:val="00280D87"/>
    <w:rsid w:val="0028767D"/>
    <w:rsid w:val="00380989"/>
    <w:rsid w:val="004069FB"/>
    <w:rsid w:val="00462B6B"/>
    <w:rsid w:val="00515EA6"/>
    <w:rsid w:val="00517F76"/>
    <w:rsid w:val="005B220A"/>
    <w:rsid w:val="006407DA"/>
    <w:rsid w:val="006618C2"/>
    <w:rsid w:val="00705CCF"/>
    <w:rsid w:val="00783DA8"/>
    <w:rsid w:val="007C77F0"/>
    <w:rsid w:val="008133DC"/>
    <w:rsid w:val="00837854"/>
    <w:rsid w:val="008C397F"/>
    <w:rsid w:val="00943FDE"/>
    <w:rsid w:val="00A427E9"/>
    <w:rsid w:val="00A64E3E"/>
    <w:rsid w:val="00AC6213"/>
    <w:rsid w:val="00AF03E5"/>
    <w:rsid w:val="00B47927"/>
    <w:rsid w:val="00BC545F"/>
    <w:rsid w:val="00CB434B"/>
    <w:rsid w:val="00CB77CE"/>
    <w:rsid w:val="00D36490"/>
    <w:rsid w:val="00DB21F1"/>
    <w:rsid w:val="00E66410"/>
    <w:rsid w:val="00EF1BF9"/>
    <w:rsid w:val="00F16F19"/>
    <w:rsid w:val="00F43E49"/>
    <w:rsid w:val="00F573F5"/>
    <w:rsid w:val="00FD7E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7C1F"/>
  <w15:chartTrackingRefBased/>
  <w15:docId w15:val="{2D9225BB-EE8E-4D13-B0FD-8DA7E53D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03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3E5"/>
    <w:pPr>
      <w:widowControl w:val="0"/>
      <w:suppressAutoHyphens/>
      <w:autoSpaceDE w:val="0"/>
      <w:autoSpaceDN w:val="0"/>
      <w:ind w:left="720"/>
      <w:contextualSpacing/>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5B22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0A"/>
    <w:rPr>
      <w:rFonts w:ascii="Segoe UI" w:hAnsi="Segoe UI" w:cs="Segoe UI"/>
      <w:sz w:val="18"/>
      <w:szCs w:val="18"/>
    </w:rPr>
  </w:style>
  <w:style w:type="character" w:styleId="CommentReference">
    <w:name w:val="annotation reference"/>
    <w:basedOn w:val="DefaultParagraphFont"/>
    <w:uiPriority w:val="99"/>
    <w:semiHidden/>
    <w:unhideWhenUsed/>
    <w:rsid w:val="00157FF2"/>
    <w:rPr>
      <w:sz w:val="16"/>
      <w:szCs w:val="16"/>
    </w:rPr>
  </w:style>
  <w:style w:type="paragraph" w:styleId="CommentText">
    <w:name w:val="annotation text"/>
    <w:basedOn w:val="Normal"/>
    <w:link w:val="CommentTextChar"/>
    <w:uiPriority w:val="99"/>
    <w:semiHidden/>
    <w:unhideWhenUsed/>
    <w:rsid w:val="00157FF2"/>
    <w:rPr>
      <w:sz w:val="20"/>
      <w:szCs w:val="20"/>
    </w:rPr>
  </w:style>
  <w:style w:type="character" w:customStyle="1" w:styleId="CommentTextChar">
    <w:name w:val="Comment Text Char"/>
    <w:basedOn w:val="DefaultParagraphFont"/>
    <w:link w:val="CommentText"/>
    <w:uiPriority w:val="99"/>
    <w:semiHidden/>
    <w:rsid w:val="00157FF2"/>
    <w:rPr>
      <w:sz w:val="20"/>
      <w:szCs w:val="20"/>
    </w:rPr>
  </w:style>
  <w:style w:type="paragraph" w:styleId="CommentSubject">
    <w:name w:val="annotation subject"/>
    <w:basedOn w:val="CommentText"/>
    <w:next w:val="CommentText"/>
    <w:link w:val="CommentSubjectChar"/>
    <w:uiPriority w:val="99"/>
    <w:semiHidden/>
    <w:unhideWhenUsed/>
    <w:rsid w:val="00157FF2"/>
    <w:rPr>
      <w:b/>
      <w:bCs/>
    </w:rPr>
  </w:style>
  <w:style w:type="character" w:customStyle="1" w:styleId="CommentSubjectChar">
    <w:name w:val="Comment Subject Char"/>
    <w:basedOn w:val="CommentTextChar"/>
    <w:link w:val="CommentSubject"/>
    <w:uiPriority w:val="99"/>
    <w:semiHidden/>
    <w:rsid w:val="00157FF2"/>
    <w:rPr>
      <w:b/>
      <w:bCs/>
      <w:sz w:val="20"/>
      <w:szCs w:val="20"/>
    </w:rPr>
  </w:style>
  <w:style w:type="paragraph" w:styleId="Header">
    <w:name w:val="header"/>
    <w:basedOn w:val="Normal"/>
    <w:link w:val="HeaderChar"/>
    <w:uiPriority w:val="99"/>
    <w:unhideWhenUsed/>
    <w:rsid w:val="006618C2"/>
    <w:pPr>
      <w:tabs>
        <w:tab w:val="center" w:pos="4513"/>
        <w:tab w:val="right" w:pos="9026"/>
      </w:tabs>
    </w:pPr>
  </w:style>
  <w:style w:type="character" w:customStyle="1" w:styleId="HeaderChar">
    <w:name w:val="Header Char"/>
    <w:basedOn w:val="DefaultParagraphFont"/>
    <w:link w:val="Header"/>
    <w:uiPriority w:val="99"/>
    <w:rsid w:val="006618C2"/>
  </w:style>
  <w:style w:type="paragraph" w:styleId="Footer">
    <w:name w:val="footer"/>
    <w:basedOn w:val="Normal"/>
    <w:link w:val="FooterChar"/>
    <w:uiPriority w:val="99"/>
    <w:unhideWhenUsed/>
    <w:rsid w:val="006618C2"/>
    <w:pPr>
      <w:tabs>
        <w:tab w:val="center" w:pos="4513"/>
        <w:tab w:val="right" w:pos="9026"/>
      </w:tabs>
    </w:pPr>
  </w:style>
  <w:style w:type="character" w:customStyle="1" w:styleId="FooterChar">
    <w:name w:val="Footer Char"/>
    <w:basedOn w:val="DefaultParagraphFont"/>
    <w:link w:val="Footer"/>
    <w:uiPriority w:val="99"/>
    <w:rsid w:val="0066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07619">
      <w:bodyDiv w:val="1"/>
      <w:marLeft w:val="0"/>
      <w:marRight w:val="0"/>
      <w:marTop w:val="0"/>
      <w:marBottom w:val="0"/>
      <w:divBdr>
        <w:top w:val="none" w:sz="0" w:space="0" w:color="auto"/>
        <w:left w:val="none" w:sz="0" w:space="0" w:color="auto"/>
        <w:bottom w:val="none" w:sz="0" w:space="0" w:color="auto"/>
        <w:right w:val="none" w:sz="0" w:space="0" w:color="auto"/>
      </w:divBdr>
    </w:div>
    <w:div w:id="841357702">
      <w:bodyDiv w:val="1"/>
      <w:marLeft w:val="0"/>
      <w:marRight w:val="0"/>
      <w:marTop w:val="0"/>
      <w:marBottom w:val="0"/>
      <w:divBdr>
        <w:top w:val="none" w:sz="0" w:space="0" w:color="auto"/>
        <w:left w:val="none" w:sz="0" w:space="0" w:color="auto"/>
        <w:bottom w:val="none" w:sz="0" w:space="0" w:color="auto"/>
        <w:right w:val="none" w:sz="0" w:space="0" w:color="auto"/>
      </w:divBdr>
    </w:div>
    <w:div w:id="1455444228">
      <w:bodyDiv w:val="1"/>
      <w:marLeft w:val="0"/>
      <w:marRight w:val="0"/>
      <w:marTop w:val="0"/>
      <w:marBottom w:val="0"/>
      <w:divBdr>
        <w:top w:val="none" w:sz="0" w:space="0" w:color="auto"/>
        <w:left w:val="none" w:sz="0" w:space="0" w:color="auto"/>
        <w:bottom w:val="none" w:sz="0" w:space="0" w:color="auto"/>
        <w:right w:val="none" w:sz="0" w:space="0" w:color="auto"/>
      </w:divBdr>
    </w:div>
    <w:div w:id="1827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 xsi:nil="true"/>
    <IconOverlay xmlns="http://schemas.microsoft.com/sharepoint/v4" xsi:nil="true"/>
    <DocumentDescription xmlns="344c6e69-c594-4ca4-b341-09ae9dfc1422" xsi:nil="true"/>
    <RecordNumber xmlns="344c6e69-c594-4ca4-b341-09ae9dfc14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7" ma:contentTypeDescription="SPIRE Document" ma:contentTypeScope="" ma:versionID="274eec3245934be83b6f98148a46a8b3">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e9ef3341a588f3176d79ae6d1cfbddc5"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3E0D7DE-1771-4EC6-B903-00E7FA25A42A}">
  <ds:schemaRefs>
    <ds:schemaRef ds:uri="http://schemas.microsoft.com/sharepoint/v3/contenttype/forms"/>
  </ds:schemaRefs>
</ds:datastoreItem>
</file>

<file path=customXml/itemProps2.xml><?xml version="1.0" encoding="utf-8"?>
<ds:datastoreItem xmlns:ds="http://schemas.openxmlformats.org/officeDocument/2006/customXml" ds:itemID="{39525782-EFFB-4254-871F-EE0CBD63CA5F}">
  <ds:schemaRefs>
    <ds:schemaRef ds:uri="http://purl.org/dc/terms/"/>
    <ds:schemaRef ds:uri="http://schemas.microsoft.com/sharepoint/v4"/>
    <ds:schemaRef ds:uri="http://schemas.microsoft.com/office/2006/documentManagement/types"/>
    <ds:schemaRef ds:uri="http://purl.org/dc/elements/1.1/"/>
    <ds:schemaRef ds:uri="344c6e69-c594-4ca4-b341-09ae9dfc1422"/>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055302E-97AE-4CEB-B334-562AF345D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A613B2-B418-42E3-883B-48B8928D09BD}">
  <ds:schemaRefs>
    <ds:schemaRef ds:uri="http://schemas.microsoft.com/office/2006/metadata/customXsn"/>
  </ds:schemaRefs>
</ds:datastoreItem>
</file>

<file path=customXml/itemProps5.xml><?xml version="1.0" encoding="utf-8"?>
<ds:datastoreItem xmlns:ds="http://schemas.openxmlformats.org/officeDocument/2006/customXml" ds:itemID="{942FDCD3-805B-4E4C-9079-FBD1F26E3E5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Ortiz</dc:creator>
  <cp:keywords/>
  <dc:description/>
  <cp:lastModifiedBy>Ximena Victoria Cancino Ordenes</cp:lastModifiedBy>
  <cp:revision>2</cp:revision>
  <dcterms:created xsi:type="dcterms:W3CDTF">2020-02-21T06:30:00Z</dcterms:created>
  <dcterms:modified xsi:type="dcterms:W3CDTF">2020-02-21T06:30:00Z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0x0101009DB8618430E8D149BA674DA7B0E0C3F0004D899029B784274F859DC8A8DA40389D</vt:lpwstr>
  </property>
</Properties>
</file>