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BF42FC" w:rsidRPr="00C60B63" w:rsidRDefault="00BF42FC" w:rsidP="00BF42FC">
      <w:pPr>
        <w:jc w:val="right"/>
        <w:rPr>
          <w:sz w:val="22"/>
          <w:szCs w:val="22"/>
          <w:lang w:val="en-GB"/>
        </w:rPr>
      </w:pPr>
    </w:p>
    <w:p w:rsidR="00BF42FC" w:rsidRPr="00C60B63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C60B63"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C60B63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0C60B63"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C60B63" w:rsidRDefault="00BF42FC" w:rsidP="00BF42FC">
      <w:pPr>
        <w:rPr>
          <w:sz w:val="22"/>
          <w:szCs w:val="22"/>
          <w:lang w:val="en-GB"/>
        </w:rPr>
      </w:pPr>
    </w:p>
    <w:p w:rsidR="00BF42FC" w:rsidRPr="00C60B63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5B68C7" w:rsidRPr="00C60B63" w:rsidRDefault="005B68C7" w:rsidP="005B68C7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C60B63">
        <w:rPr>
          <w:rFonts w:cs="Arial"/>
          <w:sz w:val="22"/>
          <w:szCs w:val="22"/>
          <w:lang w:val="en-GB"/>
        </w:rPr>
        <w:t xml:space="preserve">PROPOSAL FOR THE INCLUSION OF </w:t>
      </w:r>
    </w:p>
    <w:p w:rsidR="005B68C7" w:rsidRPr="00C60B63" w:rsidRDefault="005B68C7" w:rsidP="005B68C7">
      <w:pPr>
        <w:pStyle w:val="Heading2"/>
        <w:keepNext w:val="0"/>
        <w:ind w:left="-90" w:right="-367"/>
        <w:jc w:val="center"/>
        <w:rPr>
          <w:rFonts w:cs="Arial"/>
          <w:caps/>
          <w:sz w:val="22"/>
          <w:szCs w:val="22"/>
          <w:lang w:val="en-GB"/>
        </w:rPr>
      </w:pPr>
      <w:r w:rsidRPr="00C60B63">
        <w:rPr>
          <w:rFonts w:cs="Arial"/>
          <w:sz w:val="22"/>
          <w:szCs w:val="22"/>
          <w:lang w:val="en-GB"/>
        </w:rPr>
        <w:t xml:space="preserve">THE COMMON GUITARFISH </w:t>
      </w:r>
      <w:r w:rsidRPr="00C60B63">
        <w:rPr>
          <w:rFonts w:cs="Arial"/>
          <w:i/>
          <w:sz w:val="22"/>
          <w:szCs w:val="22"/>
          <w:lang w:val="en-GB"/>
        </w:rPr>
        <w:t>(</w:t>
      </w:r>
      <w:proofErr w:type="spellStart"/>
      <w:r w:rsidRPr="00C60B63">
        <w:rPr>
          <w:rFonts w:cs="Arial"/>
          <w:i/>
          <w:sz w:val="22"/>
          <w:szCs w:val="22"/>
          <w:lang w:val="en-GB"/>
        </w:rPr>
        <w:t>Rhinobatos</w:t>
      </w:r>
      <w:proofErr w:type="spellEnd"/>
      <w:r w:rsidRPr="00C60B63">
        <w:rPr>
          <w:rFonts w:cs="Arial"/>
          <w:i/>
          <w:sz w:val="22"/>
          <w:szCs w:val="22"/>
          <w:lang w:val="en-GB"/>
        </w:rPr>
        <w:t xml:space="preserve"> </w:t>
      </w:r>
      <w:proofErr w:type="spellStart"/>
      <w:r w:rsidRPr="00C60B63">
        <w:rPr>
          <w:rFonts w:cs="Arial"/>
          <w:i/>
          <w:sz w:val="22"/>
          <w:szCs w:val="22"/>
          <w:lang w:val="en-GB"/>
        </w:rPr>
        <w:t>rhinobatos</w:t>
      </w:r>
      <w:proofErr w:type="spellEnd"/>
      <w:r w:rsidRPr="00C60B63">
        <w:rPr>
          <w:rFonts w:cs="Arial"/>
          <w:i/>
          <w:sz w:val="22"/>
          <w:szCs w:val="22"/>
          <w:lang w:val="en-GB"/>
        </w:rPr>
        <w:t>)</w:t>
      </w:r>
      <w:r w:rsidRPr="00C60B63">
        <w:rPr>
          <w:rFonts w:cs="Arial"/>
          <w:sz w:val="22"/>
          <w:szCs w:val="22"/>
          <w:lang w:val="en-GB"/>
        </w:rPr>
        <w:t xml:space="preserve"> </w:t>
      </w:r>
      <w:r w:rsidRPr="00C60B63">
        <w:rPr>
          <w:rFonts w:cs="Arial"/>
          <w:caps/>
          <w:sz w:val="22"/>
          <w:szCs w:val="22"/>
          <w:lang w:val="en-GB"/>
        </w:rPr>
        <w:t xml:space="preserve">on Appendix II </w:t>
      </w:r>
    </w:p>
    <w:p w:rsidR="005B68C7" w:rsidRPr="00C60B63" w:rsidRDefault="005B68C7" w:rsidP="005B68C7">
      <w:pPr>
        <w:pStyle w:val="Heading2"/>
        <w:keepNext w:val="0"/>
        <w:ind w:left="-90" w:right="-367"/>
        <w:jc w:val="center"/>
        <w:rPr>
          <w:rFonts w:cs="Arial"/>
          <w:caps/>
          <w:sz w:val="22"/>
          <w:szCs w:val="22"/>
          <w:lang w:val="en-GB"/>
        </w:rPr>
      </w:pPr>
      <w:r w:rsidRPr="00C60B63">
        <w:rPr>
          <w:rFonts w:cs="Arial"/>
          <w:caps/>
          <w:sz w:val="22"/>
          <w:szCs w:val="22"/>
          <w:lang w:val="en-GB"/>
        </w:rPr>
        <w:t xml:space="preserve">and the mediterranian Sea Population of the same taxon </w:t>
      </w:r>
    </w:p>
    <w:p w:rsidR="005B68C7" w:rsidRPr="00C60B63" w:rsidRDefault="005B68C7" w:rsidP="005B68C7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C60B63">
        <w:rPr>
          <w:rFonts w:cs="Arial"/>
          <w:caps/>
          <w:sz w:val="22"/>
          <w:szCs w:val="22"/>
          <w:lang w:val="en-GB"/>
        </w:rPr>
        <w:t>on Appendix I of the Convention</w:t>
      </w:r>
      <w:r w:rsidRPr="00C60B63">
        <w:rPr>
          <w:rFonts w:cs="Arial"/>
          <w:sz w:val="22"/>
          <w:szCs w:val="22"/>
          <w:lang w:val="en-GB"/>
        </w:rPr>
        <w:t xml:space="preserve"> </w:t>
      </w:r>
    </w:p>
    <w:p w:rsidR="000F1354" w:rsidRPr="00C60B63" w:rsidRDefault="003E24AC" w:rsidP="005B68C7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C60B63">
        <w:rPr>
          <w:rFonts w:cs="Arial"/>
          <w:sz w:val="22"/>
          <w:szCs w:val="22"/>
          <w:lang w:val="en-GB"/>
        </w:rPr>
        <w:t>UNEP/CMS/COP12/</w:t>
      </w:r>
      <w:r w:rsidR="00302A2F" w:rsidRPr="00C60B63">
        <w:rPr>
          <w:rFonts w:cs="Arial"/>
          <w:sz w:val="22"/>
          <w:szCs w:val="22"/>
          <w:lang w:val="en-GB"/>
        </w:rPr>
        <w:t>DOC</w:t>
      </w:r>
      <w:r w:rsidR="00090154" w:rsidRPr="00C60B63">
        <w:rPr>
          <w:rFonts w:cs="Arial"/>
          <w:sz w:val="22"/>
          <w:szCs w:val="22"/>
          <w:lang w:val="en-GB"/>
        </w:rPr>
        <w:t>.</w:t>
      </w:r>
      <w:r w:rsidR="005B68C7" w:rsidRPr="00C60B63">
        <w:rPr>
          <w:rFonts w:cs="Arial"/>
          <w:sz w:val="22"/>
          <w:szCs w:val="22"/>
          <w:lang w:val="en-GB"/>
        </w:rPr>
        <w:t>25.1.24</w:t>
      </w:r>
      <w:r w:rsidR="00C60B63" w:rsidRPr="00C60B63">
        <w:rPr>
          <w:rFonts w:cs="Arial"/>
          <w:sz w:val="22"/>
          <w:szCs w:val="22"/>
          <w:lang w:val="en-GB"/>
        </w:rPr>
        <w:t>(</w:t>
      </w:r>
      <w:r w:rsidR="005B68C7" w:rsidRPr="00C60B63">
        <w:rPr>
          <w:rFonts w:cs="Arial"/>
          <w:sz w:val="22"/>
          <w:szCs w:val="22"/>
          <w:lang w:val="en-GB"/>
        </w:rPr>
        <w:t>a</w:t>
      </w:r>
      <w:r w:rsidR="00C60B63" w:rsidRPr="00C60B63">
        <w:rPr>
          <w:rFonts w:cs="Arial"/>
          <w:sz w:val="22"/>
          <w:szCs w:val="22"/>
          <w:lang w:val="en-GB"/>
        </w:rPr>
        <w:t>)</w:t>
      </w:r>
    </w:p>
    <w:p w:rsidR="00DF4423" w:rsidRDefault="00DF4423" w:rsidP="000F1354">
      <w:pPr>
        <w:tabs>
          <w:tab w:val="left" w:pos="1020"/>
        </w:tabs>
        <w:rPr>
          <w:b/>
          <w:sz w:val="22"/>
          <w:szCs w:val="22"/>
          <w:lang w:val="en-GB"/>
        </w:rPr>
      </w:pPr>
    </w:p>
    <w:p w:rsidR="00C60B63" w:rsidRPr="00C60B63" w:rsidRDefault="00C60B6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Pr="00C60B63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C60B6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C60B63">
        <w:rPr>
          <w:rFonts w:cs="Arial"/>
          <w:b/>
          <w:sz w:val="22"/>
          <w:szCs w:val="22"/>
        </w:rPr>
        <w:t>GENERAL COMMENTS ON THE DOCUMENT</w:t>
      </w:r>
    </w:p>
    <w:p w:rsidR="004517E2" w:rsidRPr="00C60B63" w:rsidRDefault="004517E2" w:rsidP="00DF4423">
      <w:pPr>
        <w:tabs>
          <w:tab w:val="left" w:pos="1020"/>
        </w:tabs>
        <w:rPr>
          <w:rFonts w:cs="Arial"/>
          <w:sz w:val="22"/>
          <w:szCs w:val="22"/>
        </w:rPr>
      </w:pPr>
    </w:p>
    <w:p w:rsidR="005221F1" w:rsidRPr="00C60B63" w:rsidRDefault="005B68C7" w:rsidP="00C60B63">
      <w:pPr>
        <w:pStyle w:val="ListParagraph"/>
        <w:numPr>
          <w:ilvl w:val="0"/>
          <w:numId w:val="46"/>
        </w:numPr>
        <w:tabs>
          <w:tab w:val="left" w:pos="1020"/>
        </w:tabs>
        <w:ind w:left="426"/>
        <w:rPr>
          <w:rFonts w:cs="Arial"/>
          <w:sz w:val="22"/>
          <w:szCs w:val="22"/>
        </w:rPr>
      </w:pPr>
      <w:r w:rsidRPr="00C60B63">
        <w:rPr>
          <w:rFonts w:cs="Arial"/>
          <w:sz w:val="22"/>
          <w:szCs w:val="22"/>
        </w:rPr>
        <w:t xml:space="preserve">The Mediterranean </w:t>
      </w:r>
      <w:r w:rsidR="005221F1" w:rsidRPr="00C60B63">
        <w:rPr>
          <w:rFonts w:cs="Arial"/>
          <w:sz w:val="22"/>
          <w:szCs w:val="22"/>
        </w:rPr>
        <w:t xml:space="preserve">population </w:t>
      </w:r>
      <w:r w:rsidRPr="00C60B63">
        <w:rPr>
          <w:rFonts w:cs="Arial"/>
          <w:sz w:val="22"/>
          <w:szCs w:val="22"/>
        </w:rPr>
        <w:t>m</w:t>
      </w:r>
      <w:r w:rsidR="005221F1" w:rsidRPr="00C60B63">
        <w:rPr>
          <w:rFonts w:cs="Arial"/>
          <w:sz w:val="22"/>
          <w:szCs w:val="22"/>
        </w:rPr>
        <w:t xml:space="preserve">eets the criteria for </w:t>
      </w:r>
      <w:r w:rsidRPr="00C60B63">
        <w:rPr>
          <w:rFonts w:cs="Arial"/>
          <w:sz w:val="22"/>
          <w:szCs w:val="22"/>
        </w:rPr>
        <w:t xml:space="preserve">inclusion in </w:t>
      </w:r>
      <w:r w:rsidR="005221F1" w:rsidRPr="00C60B63">
        <w:rPr>
          <w:rFonts w:cs="Arial"/>
          <w:sz w:val="22"/>
          <w:szCs w:val="22"/>
        </w:rPr>
        <w:t>App</w:t>
      </w:r>
      <w:r w:rsidRPr="00C60B63">
        <w:rPr>
          <w:rFonts w:cs="Arial"/>
          <w:sz w:val="22"/>
          <w:szCs w:val="22"/>
        </w:rPr>
        <w:t xml:space="preserve">endix </w:t>
      </w:r>
      <w:r w:rsidR="005221F1" w:rsidRPr="00C60B63">
        <w:rPr>
          <w:rFonts w:cs="Arial"/>
          <w:sz w:val="22"/>
          <w:szCs w:val="22"/>
        </w:rPr>
        <w:t>I</w:t>
      </w:r>
      <w:r w:rsidRPr="00C60B63">
        <w:rPr>
          <w:rFonts w:cs="Arial"/>
          <w:sz w:val="22"/>
          <w:szCs w:val="22"/>
        </w:rPr>
        <w:t xml:space="preserve"> of the Convention</w:t>
      </w:r>
      <w:r w:rsidR="00090154" w:rsidRPr="00C60B63">
        <w:rPr>
          <w:rFonts w:cs="Arial"/>
          <w:sz w:val="22"/>
          <w:szCs w:val="22"/>
        </w:rPr>
        <w:t>.</w:t>
      </w:r>
    </w:p>
    <w:p w:rsidR="005221F1" w:rsidRPr="00C60B63" w:rsidRDefault="00090154" w:rsidP="00C60B63">
      <w:pPr>
        <w:pStyle w:val="ListParagraph"/>
        <w:numPr>
          <w:ilvl w:val="0"/>
          <w:numId w:val="46"/>
        </w:numPr>
        <w:tabs>
          <w:tab w:val="left" w:pos="1020"/>
        </w:tabs>
        <w:ind w:left="426"/>
        <w:rPr>
          <w:rFonts w:cs="Arial"/>
          <w:sz w:val="22"/>
          <w:szCs w:val="22"/>
        </w:rPr>
      </w:pPr>
      <w:r w:rsidRPr="00C60B63">
        <w:rPr>
          <w:rFonts w:cs="Arial"/>
          <w:sz w:val="22"/>
          <w:szCs w:val="22"/>
        </w:rPr>
        <w:t>M</w:t>
      </w:r>
      <w:r w:rsidR="005221F1" w:rsidRPr="00C60B63">
        <w:rPr>
          <w:rFonts w:cs="Arial"/>
          <w:sz w:val="22"/>
          <w:szCs w:val="22"/>
        </w:rPr>
        <w:t xml:space="preserve">ore information on the migration behavior on species or </w:t>
      </w:r>
      <w:r w:rsidR="00CF4D97" w:rsidRPr="00C60B63">
        <w:rPr>
          <w:rFonts w:cs="Arial"/>
          <w:sz w:val="22"/>
          <w:szCs w:val="22"/>
        </w:rPr>
        <w:t>wider family</w:t>
      </w:r>
      <w:r w:rsidR="005221F1" w:rsidRPr="00C60B63">
        <w:rPr>
          <w:rFonts w:cs="Arial"/>
          <w:sz w:val="22"/>
          <w:szCs w:val="22"/>
        </w:rPr>
        <w:t xml:space="preserve"> level would strengthen the proposal</w:t>
      </w:r>
      <w:r w:rsidRPr="00C60B63">
        <w:rPr>
          <w:rFonts w:cs="Arial"/>
          <w:sz w:val="22"/>
          <w:szCs w:val="22"/>
        </w:rPr>
        <w:t>.</w:t>
      </w:r>
    </w:p>
    <w:p w:rsidR="005221F1" w:rsidRPr="00C60B63" w:rsidRDefault="006C788A" w:rsidP="00C60B63">
      <w:pPr>
        <w:pStyle w:val="ListParagraph"/>
        <w:numPr>
          <w:ilvl w:val="0"/>
          <w:numId w:val="46"/>
        </w:numPr>
        <w:tabs>
          <w:tab w:val="left" w:pos="1020"/>
        </w:tabs>
        <w:ind w:left="426"/>
        <w:rPr>
          <w:rFonts w:cs="Arial"/>
          <w:sz w:val="22"/>
          <w:szCs w:val="22"/>
        </w:rPr>
      </w:pPr>
      <w:r w:rsidRPr="00C60B63">
        <w:rPr>
          <w:rFonts w:cs="Arial"/>
          <w:sz w:val="22"/>
          <w:szCs w:val="22"/>
        </w:rPr>
        <w:t xml:space="preserve">It is noted that the </w:t>
      </w:r>
      <w:r w:rsidR="005B68C7" w:rsidRPr="00C60B63">
        <w:rPr>
          <w:rFonts w:cs="Arial"/>
          <w:sz w:val="22"/>
          <w:szCs w:val="22"/>
        </w:rPr>
        <w:t>species was included in the US Endangered Species A</w:t>
      </w:r>
      <w:r w:rsidR="005221F1" w:rsidRPr="00C60B63">
        <w:rPr>
          <w:rFonts w:cs="Arial"/>
          <w:sz w:val="22"/>
          <w:szCs w:val="22"/>
        </w:rPr>
        <w:t xml:space="preserve">ct </w:t>
      </w:r>
      <w:r w:rsidR="005B68C7" w:rsidRPr="00C60B63">
        <w:rPr>
          <w:rFonts w:cs="Arial"/>
          <w:sz w:val="22"/>
          <w:szCs w:val="22"/>
        </w:rPr>
        <w:t xml:space="preserve">in </w:t>
      </w:r>
      <w:r w:rsidR="005221F1" w:rsidRPr="00C60B63">
        <w:rPr>
          <w:rFonts w:cs="Arial"/>
          <w:sz w:val="22"/>
          <w:szCs w:val="22"/>
        </w:rPr>
        <w:t>2017</w:t>
      </w:r>
      <w:r w:rsidR="00090154" w:rsidRPr="00C60B63">
        <w:rPr>
          <w:rFonts w:cs="Arial"/>
          <w:sz w:val="22"/>
          <w:szCs w:val="22"/>
        </w:rPr>
        <w:t>.</w:t>
      </w: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C60B63" w:rsidRPr="00C60B63" w:rsidRDefault="00C60B6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C60B63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C60B63">
        <w:rPr>
          <w:rFonts w:cs="Arial"/>
          <w:b/>
          <w:sz w:val="22"/>
          <w:szCs w:val="22"/>
        </w:rPr>
        <w:t>COMMENTS ON SPECIFIC SECTIONS</w:t>
      </w:r>
      <w:r w:rsidR="008F20D3" w:rsidRPr="00C60B63">
        <w:rPr>
          <w:rFonts w:cs="Arial"/>
          <w:b/>
          <w:sz w:val="22"/>
          <w:szCs w:val="22"/>
        </w:rPr>
        <w:t xml:space="preserve">/ </w:t>
      </w:r>
      <w:r w:rsidR="00DF4423" w:rsidRPr="00C60B63">
        <w:rPr>
          <w:rFonts w:cs="Arial"/>
          <w:b/>
          <w:sz w:val="22"/>
          <w:szCs w:val="22"/>
        </w:rPr>
        <w:t>INCLUDING POSSI</w:t>
      </w:r>
      <w:r w:rsidR="008F20D3" w:rsidRPr="00C60B63">
        <w:rPr>
          <w:rFonts w:cs="Arial"/>
          <w:b/>
          <w:sz w:val="22"/>
          <w:szCs w:val="22"/>
        </w:rPr>
        <w:t>BLE PROPOSALS FOR TEXT REVISION</w:t>
      </w:r>
    </w:p>
    <w:p w:rsidR="008F20D3" w:rsidRPr="00C60B63" w:rsidRDefault="008F20D3" w:rsidP="008F20D3">
      <w:pPr>
        <w:tabs>
          <w:tab w:val="left" w:pos="1020"/>
        </w:tabs>
        <w:rPr>
          <w:rFonts w:cs="Arial"/>
          <w:sz w:val="22"/>
          <w:szCs w:val="22"/>
        </w:rPr>
      </w:pPr>
    </w:p>
    <w:p w:rsidR="008F20D3" w:rsidRPr="00C60B63" w:rsidRDefault="005B68C7" w:rsidP="008F20D3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 w:rsidRPr="00C60B63">
        <w:rPr>
          <w:rFonts w:cs="Arial"/>
          <w:sz w:val="22"/>
          <w:szCs w:val="22"/>
        </w:rPr>
        <w:t>Section 3.1</w:t>
      </w:r>
    </w:p>
    <w:p w:rsidR="005B68C7" w:rsidRPr="00C60B63" w:rsidRDefault="005B68C7" w:rsidP="005B68C7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C60B63">
        <w:rPr>
          <w:rFonts w:cs="Arial"/>
          <w:sz w:val="22"/>
          <w:szCs w:val="22"/>
        </w:rPr>
        <w:t>The proposal should include the information on migration behavior as contained in UNEP/CMS/COP12/DOC25.1.24b-d for the same species</w:t>
      </w:r>
      <w:r w:rsidR="00090154" w:rsidRPr="00C60B63">
        <w:rPr>
          <w:rFonts w:cs="Arial"/>
          <w:sz w:val="22"/>
          <w:szCs w:val="22"/>
        </w:rPr>
        <w:t>.</w:t>
      </w:r>
    </w:p>
    <w:p w:rsidR="006356C5" w:rsidRPr="00C60B63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C60B63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C60B6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C60B63">
        <w:rPr>
          <w:rFonts w:cs="Arial"/>
          <w:b/>
          <w:sz w:val="22"/>
          <w:szCs w:val="22"/>
        </w:rPr>
        <w:t>RECOMMENDATIONS TO COP12</w:t>
      </w:r>
    </w:p>
    <w:p w:rsidR="000F1354" w:rsidRPr="00C60B63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5B68C7" w:rsidRPr="00C60B63" w:rsidRDefault="005B68C7" w:rsidP="00C60B63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C60B63">
        <w:rPr>
          <w:rFonts w:cs="Arial"/>
          <w:sz w:val="22"/>
          <w:szCs w:val="22"/>
        </w:rPr>
        <w:t>The Mediterranean Sea population is recommended for inclusion in Appendix I of the Convention</w:t>
      </w:r>
    </w:p>
    <w:p w:rsidR="00AE05BC" w:rsidRPr="00C60B63" w:rsidRDefault="005B68C7" w:rsidP="00C60B63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C60B63">
        <w:rPr>
          <w:rFonts w:cs="Arial"/>
          <w:sz w:val="22"/>
          <w:szCs w:val="22"/>
        </w:rPr>
        <w:t xml:space="preserve">The global population is recommended for inclusion in Appendix II of the Convention, </w:t>
      </w:r>
      <w:r w:rsidR="00090154" w:rsidRPr="00C60B63">
        <w:rPr>
          <w:rFonts w:cs="Arial"/>
          <w:sz w:val="22"/>
          <w:szCs w:val="22"/>
        </w:rPr>
        <w:t xml:space="preserve">if additional </w:t>
      </w:r>
      <w:r w:rsidR="00AE05BC" w:rsidRPr="00C60B63">
        <w:rPr>
          <w:rFonts w:cs="Arial"/>
          <w:sz w:val="22"/>
          <w:szCs w:val="22"/>
        </w:rPr>
        <w:t>information on the migrat</w:t>
      </w:r>
      <w:r w:rsidR="00090154" w:rsidRPr="00C60B63">
        <w:rPr>
          <w:rFonts w:cs="Arial"/>
          <w:sz w:val="22"/>
          <w:szCs w:val="22"/>
        </w:rPr>
        <w:t>ory</w:t>
      </w:r>
      <w:r w:rsidR="00AE05BC" w:rsidRPr="00C60B63">
        <w:rPr>
          <w:rFonts w:cs="Arial"/>
          <w:sz w:val="22"/>
          <w:szCs w:val="22"/>
        </w:rPr>
        <w:t xml:space="preserve"> behavior of the species</w:t>
      </w:r>
      <w:r w:rsidR="00090154" w:rsidRPr="00C60B63">
        <w:rPr>
          <w:rFonts w:cs="Arial"/>
          <w:sz w:val="22"/>
          <w:szCs w:val="22"/>
        </w:rPr>
        <w:t xml:space="preserve"> is provided, noting that there is additional information provided in the listing proposals of Togo, Mauritania, and Senegal</w:t>
      </w:r>
      <w:r w:rsidR="00C60B63">
        <w:rPr>
          <w:rFonts w:cs="Arial"/>
          <w:sz w:val="22"/>
          <w:szCs w:val="22"/>
        </w:rPr>
        <w:t>.</w:t>
      </w:r>
      <w:bookmarkStart w:id="0" w:name="_GoBack"/>
      <w:bookmarkEnd w:id="0"/>
    </w:p>
    <w:p w:rsidR="00397D2C" w:rsidRPr="00397D2C" w:rsidRDefault="00397D2C" w:rsidP="00397D2C">
      <w:pPr>
        <w:rPr>
          <w:rFonts w:cs="Arial"/>
          <w:sz w:val="22"/>
          <w:szCs w:val="22"/>
        </w:rPr>
      </w:pPr>
    </w:p>
    <w:sectPr w:rsidR="00397D2C" w:rsidRPr="00397D2C" w:rsidSect="0052082F">
      <w:headerReference w:type="first" r:id="rId7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804" w:rsidRDefault="00AC1804">
      <w:r>
        <w:separator/>
      </w:r>
    </w:p>
  </w:endnote>
  <w:endnote w:type="continuationSeparator" w:id="0">
    <w:p w:rsidR="00AC1804" w:rsidRDefault="00AC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804" w:rsidRDefault="00AC1804">
      <w:r>
        <w:separator/>
      </w:r>
    </w:p>
  </w:footnote>
  <w:footnote w:type="continuationSeparator" w:id="0">
    <w:p w:rsidR="00AC1804" w:rsidRDefault="00AC1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C" w:rsidRPr="008648EB" w:rsidRDefault="00BF42FC" w:rsidP="00C60B63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C60B63">
      <w:rPr>
        <w:rFonts w:cs="Arial"/>
        <w:i/>
        <w:szCs w:val="18"/>
      </w:rPr>
      <w:t>UNEP/CMS/COP12/Doc.</w:t>
    </w:r>
    <w:r w:rsidR="00C60B63" w:rsidRPr="00C60B63">
      <w:rPr>
        <w:rFonts w:cs="Arial"/>
        <w:i/>
        <w:szCs w:val="18"/>
      </w:rPr>
      <w:t>25.1.24(a)/</w:t>
    </w:r>
    <w:r w:rsidRPr="00C60B63">
      <w:rPr>
        <w:rFonts w:cs="Arial"/>
        <w:i/>
        <w:szCs w:val="18"/>
      </w:rPr>
      <w:t>Add.In-S.1</w:t>
    </w:r>
    <w:r w:rsidR="00C60B63">
      <w:rPr>
        <w:rFonts w:cs="Arial"/>
        <w:i/>
        <w:szCs w:val="18"/>
      </w:rPr>
      <w:t>/F</w:t>
    </w:r>
  </w:p>
  <w:p w:rsidR="00D605A4" w:rsidRPr="00BF42FC" w:rsidRDefault="00D605A4" w:rsidP="000F1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2CBC756F"/>
    <w:multiLevelType w:val="hybridMultilevel"/>
    <w:tmpl w:val="DD32488C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9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2" w15:restartNumberingAfterBreak="0">
    <w:nsid w:val="5734245A"/>
    <w:multiLevelType w:val="hybridMultilevel"/>
    <w:tmpl w:val="8B20C7F8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5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9" w15:restartNumberingAfterBreak="0">
    <w:nsid w:val="6DE24E02"/>
    <w:multiLevelType w:val="hybridMultilevel"/>
    <w:tmpl w:val="F3EC690E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3"/>
  </w:num>
  <w:num w:numId="3">
    <w:abstractNumId w:val="11"/>
  </w:num>
  <w:num w:numId="4">
    <w:abstractNumId w:val="24"/>
  </w:num>
  <w:num w:numId="5">
    <w:abstractNumId w:val="12"/>
  </w:num>
  <w:num w:numId="6">
    <w:abstractNumId w:val="34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3"/>
  </w:num>
  <w:num w:numId="9">
    <w:abstractNumId w:val="7"/>
  </w:num>
  <w:num w:numId="10">
    <w:abstractNumId w:val="23"/>
  </w:num>
  <w:num w:numId="11">
    <w:abstractNumId w:val="38"/>
  </w:num>
  <w:num w:numId="12">
    <w:abstractNumId w:val="3"/>
  </w:num>
  <w:num w:numId="13">
    <w:abstractNumId w:val="20"/>
  </w:num>
  <w:num w:numId="14">
    <w:abstractNumId w:val="36"/>
  </w:num>
  <w:num w:numId="15">
    <w:abstractNumId w:val="2"/>
  </w:num>
  <w:num w:numId="16">
    <w:abstractNumId w:val="10"/>
  </w:num>
  <w:num w:numId="17">
    <w:abstractNumId w:val="40"/>
  </w:num>
  <w:num w:numId="18">
    <w:abstractNumId w:val="22"/>
  </w:num>
  <w:num w:numId="19">
    <w:abstractNumId w:val="37"/>
  </w:num>
  <w:num w:numId="20">
    <w:abstractNumId w:val="44"/>
  </w:num>
  <w:num w:numId="21">
    <w:abstractNumId w:val="4"/>
  </w:num>
  <w:num w:numId="22">
    <w:abstractNumId w:val="18"/>
  </w:num>
  <w:num w:numId="23">
    <w:abstractNumId w:val="26"/>
  </w:num>
  <w:num w:numId="24">
    <w:abstractNumId w:val="16"/>
  </w:num>
  <w:num w:numId="25">
    <w:abstractNumId w:val="30"/>
  </w:num>
  <w:num w:numId="26">
    <w:abstractNumId w:val="0"/>
  </w:num>
  <w:num w:numId="27">
    <w:abstractNumId w:val="41"/>
  </w:num>
  <w:num w:numId="28">
    <w:abstractNumId w:val="6"/>
  </w:num>
  <w:num w:numId="29">
    <w:abstractNumId w:val="21"/>
  </w:num>
  <w:num w:numId="30">
    <w:abstractNumId w:val="13"/>
  </w:num>
  <w:num w:numId="31">
    <w:abstractNumId w:val="28"/>
  </w:num>
  <w:num w:numId="32">
    <w:abstractNumId w:val="27"/>
  </w:num>
  <w:num w:numId="33">
    <w:abstractNumId w:val="5"/>
  </w:num>
  <w:num w:numId="34">
    <w:abstractNumId w:val="19"/>
  </w:num>
  <w:num w:numId="35">
    <w:abstractNumId w:val="15"/>
  </w:num>
  <w:num w:numId="36">
    <w:abstractNumId w:val="31"/>
  </w:num>
  <w:num w:numId="37">
    <w:abstractNumId w:val="35"/>
  </w:num>
  <w:num w:numId="38">
    <w:abstractNumId w:val="9"/>
  </w:num>
  <w:num w:numId="39">
    <w:abstractNumId w:val="29"/>
  </w:num>
  <w:num w:numId="40">
    <w:abstractNumId w:val="42"/>
  </w:num>
  <w:num w:numId="41">
    <w:abstractNumId w:val="25"/>
  </w:num>
  <w:num w:numId="42">
    <w:abstractNumId w:val="8"/>
  </w:num>
  <w:num w:numId="43">
    <w:abstractNumId w:val="14"/>
  </w:num>
  <w:num w:numId="44">
    <w:abstractNumId w:val="39"/>
  </w:num>
  <w:num w:numId="45">
    <w:abstractNumId w:val="1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418C"/>
    <w:rsid w:val="00036C53"/>
    <w:rsid w:val="000518C2"/>
    <w:rsid w:val="00056DC1"/>
    <w:rsid w:val="00060156"/>
    <w:rsid w:val="00070BBC"/>
    <w:rsid w:val="00073C92"/>
    <w:rsid w:val="00080F03"/>
    <w:rsid w:val="000900E1"/>
    <w:rsid w:val="00090154"/>
    <w:rsid w:val="0009076A"/>
    <w:rsid w:val="000A1B74"/>
    <w:rsid w:val="000B6220"/>
    <w:rsid w:val="000C21B1"/>
    <w:rsid w:val="000C3C87"/>
    <w:rsid w:val="000C7460"/>
    <w:rsid w:val="000C7DBF"/>
    <w:rsid w:val="000E01C1"/>
    <w:rsid w:val="000F1156"/>
    <w:rsid w:val="000F1354"/>
    <w:rsid w:val="000F52BA"/>
    <w:rsid w:val="00103ED2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E07BC"/>
    <w:rsid w:val="001F60A1"/>
    <w:rsid w:val="00200A67"/>
    <w:rsid w:val="00201F88"/>
    <w:rsid w:val="00202332"/>
    <w:rsid w:val="00217747"/>
    <w:rsid w:val="002210F4"/>
    <w:rsid w:val="00234857"/>
    <w:rsid w:val="00254721"/>
    <w:rsid w:val="00260772"/>
    <w:rsid w:val="00262FEB"/>
    <w:rsid w:val="00263159"/>
    <w:rsid w:val="0026610D"/>
    <w:rsid w:val="002779F7"/>
    <w:rsid w:val="002C187A"/>
    <w:rsid w:val="002C20F1"/>
    <w:rsid w:val="002D2863"/>
    <w:rsid w:val="002D5EC0"/>
    <w:rsid w:val="002E3DEA"/>
    <w:rsid w:val="002E7CC2"/>
    <w:rsid w:val="002F6F9B"/>
    <w:rsid w:val="00302A2F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11E65"/>
    <w:rsid w:val="00420040"/>
    <w:rsid w:val="00423388"/>
    <w:rsid w:val="00426D73"/>
    <w:rsid w:val="00436CD2"/>
    <w:rsid w:val="0044349F"/>
    <w:rsid w:val="004517E2"/>
    <w:rsid w:val="00454913"/>
    <w:rsid w:val="00457441"/>
    <w:rsid w:val="004579F6"/>
    <w:rsid w:val="004656D0"/>
    <w:rsid w:val="00470429"/>
    <w:rsid w:val="00473ABD"/>
    <w:rsid w:val="00482DCA"/>
    <w:rsid w:val="004A3306"/>
    <w:rsid w:val="004A349B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221F1"/>
    <w:rsid w:val="00542FCC"/>
    <w:rsid w:val="00553795"/>
    <w:rsid w:val="00554CE5"/>
    <w:rsid w:val="0055762E"/>
    <w:rsid w:val="00565445"/>
    <w:rsid w:val="00575334"/>
    <w:rsid w:val="00593736"/>
    <w:rsid w:val="00597E51"/>
    <w:rsid w:val="005B0F06"/>
    <w:rsid w:val="005B6141"/>
    <w:rsid w:val="005B68C7"/>
    <w:rsid w:val="005C3F15"/>
    <w:rsid w:val="005F3989"/>
    <w:rsid w:val="005F4303"/>
    <w:rsid w:val="005F5517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815B2"/>
    <w:rsid w:val="00682B31"/>
    <w:rsid w:val="006864E1"/>
    <w:rsid w:val="006B1037"/>
    <w:rsid w:val="006B45F1"/>
    <w:rsid w:val="006C0FC6"/>
    <w:rsid w:val="006C788A"/>
    <w:rsid w:val="006D3EC1"/>
    <w:rsid w:val="006E2225"/>
    <w:rsid w:val="006E56AD"/>
    <w:rsid w:val="006E5763"/>
    <w:rsid w:val="006F450A"/>
    <w:rsid w:val="006F6A33"/>
    <w:rsid w:val="006F6E76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93346"/>
    <w:rsid w:val="008A0D8D"/>
    <w:rsid w:val="008B1A69"/>
    <w:rsid w:val="008C1A39"/>
    <w:rsid w:val="008E7DFB"/>
    <w:rsid w:val="008F20D3"/>
    <w:rsid w:val="008F2E05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1509"/>
    <w:rsid w:val="00A0582A"/>
    <w:rsid w:val="00A06984"/>
    <w:rsid w:val="00A1324E"/>
    <w:rsid w:val="00A27BE3"/>
    <w:rsid w:val="00A339B9"/>
    <w:rsid w:val="00A40EDF"/>
    <w:rsid w:val="00A50F92"/>
    <w:rsid w:val="00A568DF"/>
    <w:rsid w:val="00A73A79"/>
    <w:rsid w:val="00A854E8"/>
    <w:rsid w:val="00A91596"/>
    <w:rsid w:val="00A93C52"/>
    <w:rsid w:val="00AA7368"/>
    <w:rsid w:val="00AA7A90"/>
    <w:rsid w:val="00AB4FF9"/>
    <w:rsid w:val="00AC1804"/>
    <w:rsid w:val="00AD277E"/>
    <w:rsid w:val="00AE05BC"/>
    <w:rsid w:val="00AE45FB"/>
    <w:rsid w:val="00AE7B21"/>
    <w:rsid w:val="00AF1980"/>
    <w:rsid w:val="00AF2021"/>
    <w:rsid w:val="00B471BD"/>
    <w:rsid w:val="00B50C2D"/>
    <w:rsid w:val="00B64904"/>
    <w:rsid w:val="00B802EE"/>
    <w:rsid w:val="00BA60CE"/>
    <w:rsid w:val="00BB5E37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0B63"/>
    <w:rsid w:val="00C618F2"/>
    <w:rsid w:val="00C73207"/>
    <w:rsid w:val="00C7602A"/>
    <w:rsid w:val="00C82ED9"/>
    <w:rsid w:val="00C87D68"/>
    <w:rsid w:val="00C9281B"/>
    <w:rsid w:val="00CA367A"/>
    <w:rsid w:val="00CA767A"/>
    <w:rsid w:val="00CB1D26"/>
    <w:rsid w:val="00CC4C21"/>
    <w:rsid w:val="00CC57AD"/>
    <w:rsid w:val="00CE5B83"/>
    <w:rsid w:val="00CF4D97"/>
    <w:rsid w:val="00CF6EDD"/>
    <w:rsid w:val="00D05922"/>
    <w:rsid w:val="00D24EF1"/>
    <w:rsid w:val="00D27159"/>
    <w:rsid w:val="00D42AE1"/>
    <w:rsid w:val="00D47986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C373B"/>
    <w:rsid w:val="00DC5F40"/>
    <w:rsid w:val="00DD6A9E"/>
    <w:rsid w:val="00DF38F9"/>
    <w:rsid w:val="00DF4423"/>
    <w:rsid w:val="00E23367"/>
    <w:rsid w:val="00E30B00"/>
    <w:rsid w:val="00E31B92"/>
    <w:rsid w:val="00E475D4"/>
    <w:rsid w:val="00E74D1C"/>
    <w:rsid w:val="00E82D82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154793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paragraph" w:customStyle="1" w:styleId="BodyText1">
    <w:name w:val="Body Text1"/>
    <w:basedOn w:val="Normal"/>
    <w:qFormat/>
    <w:rsid w:val="005221F1"/>
    <w:pPr>
      <w:widowControl/>
      <w:autoSpaceDE/>
      <w:autoSpaceDN/>
      <w:adjustRightInd/>
      <w:spacing w:after="200" w:line="276" w:lineRule="auto"/>
      <w:ind w:right="-19"/>
    </w:pPr>
    <w:rPr>
      <w:rFonts w:ascii="Times New Roman" w:eastAsia="Calibri" w:hAnsi="Times New Roman"/>
      <w:color w:val="000000"/>
      <w:sz w:val="24"/>
      <w:shd w:val="clear" w:color="auto" w:fill="FFFF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1</Pages>
  <Words>183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2</cp:revision>
  <cp:lastPrinted>2017-07-07T11:51:00Z</cp:lastPrinted>
  <dcterms:created xsi:type="dcterms:W3CDTF">2017-07-12T08:47:00Z</dcterms:created>
  <dcterms:modified xsi:type="dcterms:W3CDTF">2017-07-12T08:47:00Z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