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9A" w:rsidRPr="00682B31" w:rsidRDefault="0071509A" w:rsidP="00682B31">
      <w:pPr>
        <w:tabs>
          <w:tab w:val="left" w:pos="-1057"/>
          <w:tab w:val="left" w:pos="-720"/>
        </w:tabs>
        <w:ind w:left="-90"/>
        <w:rPr>
          <w:rFonts w:ascii="Arial" w:hAnsi="Arial" w:cs="Arial"/>
          <w:spacing w:val="-8"/>
          <w:sz w:val="12"/>
          <w:szCs w:val="12"/>
        </w:rPr>
      </w:pPr>
    </w:p>
    <w:p w:rsidR="0071509A" w:rsidRPr="00317E70" w:rsidRDefault="0071509A" w:rsidP="00682B31">
      <w:pPr>
        <w:tabs>
          <w:tab w:val="left" w:pos="-1057"/>
          <w:tab w:val="left" w:pos="-720"/>
        </w:tabs>
        <w:ind w:left="-90"/>
        <w:rPr>
          <w:rFonts w:ascii="Arial" w:hAnsi="Arial" w:cs="Arial"/>
          <w:sz w:val="22"/>
          <w:szCs w:val="22"/>
        </w:rPr>
      </w:pPr>
      <w:r w:rsidRPr="00317E70">
        <w:rPr>
          <w:rFonts w:ascii="Arial" w:hAnsi="Arial"/>
          <w:sz w:val="22"/>
        </w:rPr>
        <w:t>12ª REUNIÓN DE LA CONFERENCIA DE LAS PARTES</w:t>
      </w:r>
    </w:p>
    <w:p w:rsidR="0071509A" w:rsidRPr="00317E70" w:rsidRDefault="0071509A" w:rsidP="00682B31">
      <w:pPr>
        <w:pStyle w:val="Heading2"/>
        <w:keepNext w:val="0"/>
        <w:spacing w:line="228" w:lineRule="auto"/>
        <w:ind w:left="-90"/>
        <w:rPr>
          <w:rFonts w:ascii="Arial" w:hAnsi="Arial" w:cs="Arial"/>
          <w:b w:val="0"/>
          <w:bCs w:val="0"/>
          <w:sz w:val="22"/>
          <w:szCs w:val="22"/>
        </w:rPr>
      </w:pPr>
      <w:r w:rsidRPr="00317E70">
        <w:rPr>
          <w:rFonts w:ascii="Arial" w:hAnsi="Arial"/>
          <w:b w:val="0"/>
          <w:sz w:val="22"/>
        </w:rPr>
        <w:t>Manila (Filipinas), 23 - 28 de octubre de 2017</w:t>
      </w:r>
    </w:p>
    <w:p w:rsidR="0071509A" w:rsidRPr="00317E70" w:rsidRDefault="0071509A" w:rsidP="00682B31">
      <w:pPr>
        <w:spacing w:line="228" w:lineRule="auto"/>
        <w:ind w:left="-90"/>
        <w:rPr>
          <w:rFonts w:ascii="Arial" w:hAnsi="Arial" w:cs="Arial"/>
          <w:iCs/>
          <w:sz w:val="22"/>
          <w:szCs w:val="22"/>
        </w:rPr>
      </w:pPr>
      <w:r w:rsidRPr="00317E70">
        <w:rPr>
          <w:rFonts w:ascii="Arial" w:hAnsi="Arial"/>
          <w:sz w:val="22"/>
        </w:rPr>
        <w:t>Punto 16.2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1509A" w:rsidRPr="00317E70"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1509A" w:rsidRPr="00317E70" w:rsidRDefault="0071509A"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rsidRPr="00317E70">
              <w:tab/>
            </w:r>
            <w:r w:rsidRPr="00317E70">
              <w:tab/>
            </w:r>
            <w:r w:rsidRPr="00317E70">
              <w:tab/>
            </w:r>
            <w:r w:rsidRPr="00317E70">
              <w:tab/>
            </w:r>
            <w:r w:rsidRPr="00317E70">
              <w:rPr>
                <w:rFonts w:ascii="Arial" w:hAnsi="Arial"/>
                <w:b/>
                <w:sz w:val="28"/>
              </w:rPr>
              <w:t>CMS</w:t>
            </w:r>
          </w:p>
          <w:p w:rsidR="0071509A" w:rsidRPr="00317E70" w:rsidRDefault="0071509A" w:rsidP="00972D36">
            <w:pPr>
              <w:tabs>
                <w:tab w:val="left" w:pos="-1057"/>
                <w:tab w:val="left" w:pos="-720"/>
                <w:tab w:val="left" w:pos="0"/>
                <w:tab w:val="left" w:pos="141"/>
                <w:tab w:val="left" w:pos="720"/>
                <w:tab w:val="right" w:pos="9072"/>
              </w:tabs>
              <w:rPr>
                <w:rFonts w:ascii="Arial" w:hAnsi="Arial" w:cs="Arial"/>
                <w:sz w:val="22"/>
              </w:rPr>
            </w:pPr>
          </w:p>
        </w:tc>
      </w:tr>
      <w:tr w:rsidR="0071509A" w:rsidRPr="00317E7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71509A" w:rsidRPr="00317E70" w:rsidRDefault="00AB5349">
            <w:pPr>
              <w:rPr>
                <w:rFonts w:ascii="Arial" w:hAnsi="Arial" w:cs="Arial"/>
                <w:sz w:val="22"/>
              </w:rPr>
            </w:pPr>
            <w:r w:rsidRPr="00317E70">
              <w:rPr>
                <w:rFonts w:ascii="Arial" w:hAnsi="Arial"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71509A" w:rsidRPr="00317E70" w:rsidRDefault="0071509A">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71509A" w:rsidRPr="00317E70" w:rsidRDefault="0071509A"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71509A" w:rsidRPr="00317E70" w:rsidRDefault="0071509A"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317E70">
              <w:rPr>
                <w:rFonts w:ascii="Arial" w:hAnsi="Arial"/>
                <w:sz w:val="32"/>
              </w:rPr>
              <w:t>CONVENCIÓN SOBRE</w:t>
            </w:r>
          </w:p>
          <w:p w:rsidR="0071509A" w:rsidRPr="00317E70" w:rsidRDefault="0071509A"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317E70">
              <w:rPr>
                <w:rFonts w:ascii="Arial" w:hAnsi="Arial"/>
                <w:sz w:val="32"/>
              </w:rPr>
              <w:t>LAS ESPECIES</w:t>
            </w:r>
          </w:p>
          <w:p w:rsidR="0071509A" w:rsidRPr="00317E70" w:rsidRDefault="0071509A"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sidRPr="00317E70">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71509A" w:rsidRPr="00317E70" w:rsidRDefault="0071509A"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71509A" w:rsidRPr="00317E70" w:rsidRDefault="0071509A" w:rsidP="000C21B1">
            <w:pPr>
              <w:tabs>
                <w:tab w:val="left" w:pos="5040"/>
                <w:tab w:val="left" w:pos="5760"/>
                <w:tab w:val="left" w:pos="6008"/>
                <w:tab w:val="left" w:pos="6480"/>
                <w:tab w:val="left" w:pos="7200"/>
                <w:tab w:val="left" w:pos="7920"/>
                <w:tab w:val="left" w:pos="8640"/>
              </w:tabs>
              <w:rPr>
                <w:rFonts w:ascii="Arial" w:hAnsi="Arial" w:cs="Arial"/>
                <w:sz w:val="22"/>
              </w:rPr>
            </w:pPr>
            <w:r w:rsidRPr="00317E70">
              <w:rPr>
                <w:rFonts w:ascii="Arial" w:hAnsi="Arial"/>
                <w:sz w:val="22"/>
              </w:rPr>
              <w:t>Distribución: General</w:t>
            </w:r>
          </w:p>
          <w:p w:rsidR="0071509A" w:rsidRPr="00317E70" w:rsidRDefault="0071509A"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71509A" w:rsidRPr="00317E70" w:rsidRDefault="0071509A" w:rsidP="000C21B1">
            <w:pPr>
              <w:tabs>
                <w:tab w:val="left" w:pos="5040"/>
                <w:tab w:val="left" w:pos="5760"/>
                <w:tab w:val="left" w:pos="6008"/>
                <w:tab w:val="left" w:pos="6480"/>
                <w:tab w:val="left" w:pos="7200"/>
                <w:tab w:val="left" w:pos="7920"/>
                <w:tab w:val="left" w:pos="8640"/>
              </w:tabs>
              <w:rPr>
                <w:rFonts w:ascii="Arial" w:hAnsi="Arial" w:cs="Arial"/>
                <w:sz w:val="22"/>
              </w:rPr>
            </w:pPr>
            <w:r w:rsidRPr="00317E70">
              <w:rPr>
                <w:rFonts w:ascii="Arial" w:hAnsi="Arial"/>
                <w:sz w:val="22"/>
              </w:rPr>
              <w:t>UNEP/CMS/COP12/Doc.16.2</w:t>
            </w:r>
          </w:p>
          <w:p w:rsidR="0071509A" w:rsidRPr="00317E70" w:rsidRDefault="006661B0" w:rsidP="000C21B1">
            <w:pPr>
              <w:tabs>
                <w:tab w:val="left" w:pos="5040"/>
                <w:tab w:val="left" w:pos="5760"/>
                <w:tab w:val="left" w:pos="6008"/>
                <w:tab w:val="left" w:pos="6480"/>
                <w:tab w:val="left" w:pos="7200"/>
                <w:tab w:val="left" w:pos="7920"/>
                <w:tab w:val="left" w:pos="8640"/>
              </w:tabs>
              <w:rPr>
                <w:rFonts w:ascii="Arial" w:hAnsi="Arial" w:cs="Arial"/>
                <w:sz w:val="22"/>
              </w:rPr>
            </w:pPr>
            <w:r w:rsidRPr="00317E70">
              <w:rPr>
                <w:rFonts w:ascii="Arial" w:hAnsi="Arial"/>
                <w:sz w:val="22"/>
              </w:rPr>
              <w:t xml:space="preserve">8 </w:t>
            </w:r>
            <w:r w:rsidR="0071509A" w:rsidRPr="00317E70">
              <w:rPr>
                <w:rFonts w:ascii="Arial" w:hAnsi="Arial"/>
                <w:sz w:val="22"/>
              </w:rPr>
              <w:t>de agosto de 2017</w:t>
            </w:r>
          </w:p>
          <w:p w:rsidR="0071509A" w:rsidRPr="00317E70" w:rsidRDefault="0071509A" w:rsidP="000C21B1">
            <w:pPr>
              <w:rPr>
                <w:rFonts w:ascii="Arial" w:hAnsi="Arial" w:cs="Arial"/>
                <w:sz w:val="12"/>
                <w:szCs w:val="12"/>
              </w:rPr>
            </w:pPr>
          </w:p>
          <w:p w:rsidR="0071509A" w:rsidRPr="00317E70" w:rsidRDefault="0071509A" w:rsidP="000C21B1">
            <w:pPr>
              <w:rPr>
                <w:rFonts w:ascii="Arial" w:hAnsi="Arial"/>
                <w:sz w:val="22"/>
                <w:lang w:val="es-ES_tradnl"/>
              </w:rPr>
            </w:pPr>
            <w:r w:rsidRPr="00317E70">
              <w:rPr>
                <w:rFonts w:ascii="Arial" w:hAnsi="Arial"/>
                <w:sz w:val="22"/>
              </w:rPr>
              <w:t>Espa</w:t>
            </w:r>
            <w:r w:rsidRPr="00317E70">
              <w:rPr>
                <w:rFonts w:ascii="Arial" w:hAnsi="Arial"/>
                <w:sz w:val="22"/>
                <w:lang w:val="es-ES_tradnl"/>
              </w:rPr>
              <w:t>ñol</w:t>
            </w:r>
          </w:p>
          <w:p w:rsidR="0071509A" w:rsidRPr="00317E70" w:rsidRDefault="0071509A" w:rsidP="000C21B1">
            <w:pPr>
              <w:rPr>
                <w:rFonts w:ascii="Arial" w:hAnsi="Arial" w:cs="Arial"/>
                <w:sz w:val="22"/>
              </w:rPr>
            </w:pPr>
            <w:r w:rsidRPr="00317E70">
              <w:rPr>
                <w:rFonts w:ascii="Arial" w:hAnsi="Arial"/>
                <w:sz w:val="22"/>
              </w:rPr>
              <w:t>Original: Inglés</w:t>
            </w:r>
          </w:p>
          <w:p w:rsidR="0071509A" w:rsidRPr="00317E70" w:rsidRDefault="0071509A" w:rsidP="000C21B1">
            <w:pPr>
              <w:rPr>
                <w:rFonts w:ascii="Arial" w:hAnsi="Arial" w:cs="Arial"/>
                <w:sz w:val="12"/>
                <w:szCs w:val="12"/>
              </w:rPr>
            </w:pPr>
          </w:p>
        </w:tc>
      </w:tr>
    </w:tbl>
    <w:p w:rsidR="0071509A" w:rsidRPr="00317E70" w:rsidRDefault="0071509A" w:rsidP="00922791">
      <w:pPr>
        <w:tabs>
          <w:tab w:val="left" w:pos="7020"/>
        </w:tabs>
        <w:rPr>
          <w:rFonts w:ascii="Arial" w:hAnsi="Arial" w:cs="Arial"/>
          <w:sz w:val="22"/>
          <w:szCs w:val="22"/>
        </w:rPr>
      </w:pPr>
    </w:p>
    <w:p w:rsidR="0071509A" w:rsidRPr="00317E70" w:rsidRDefault="0071509A" w:rsidP="00354A9C">
      <w:pPr>
        <w:rPr>
          <w:rFonts w:ascii="Arial" w:hAnsi="Arial" w:cs="Arial"/>
          <w:sz w:val="22"/>
          <w:szCs w:val="22"/>
        </w:rPr>
      </w:pPr>
    </w:p>
    <w:p w:rsidR="0071509A" w:rsidRPr="00317E70" w:rsidRDefault="0071509A" w:rsidP="00056DC1">
      <w:pPr>
        <w:pStyle w:val="Heading2"/>
        <w:keepNext w:val="0"/>
        <w:ind w:left="-90" w:right="-367"/>
        <w:jc w:val="center"/>
        <w:rPr>
          <w:rFonts w:ascii="Arial" w:hAnsi="Arial" w:cs="Arial"/>
          <w:caps/>
          <w:sz w:val="22"/>
          <w:szCs w:val="22"/>
        </w:rPr>
      </w:pPr>
      <w:r w:rsidRPr="00317E70">
        <w:rPr>
          <w:rFonts w:ascii="Arial" w:hAnsi="Arial"/>
          <w:caps/>
          <w:sz w:val="22"/>
        </w:rPr>
        <w:t xml:space="preserve">PROGRESOS REALIZADOS EN LA APLICACIÓN DE LA RESOLUCIÓN 11.4 </w:t>
      </w:r>
    </w:p>
    <w:p w:rsidR="0071509A" w:rsidRPr="00317E70" w:rsidRDefault="0071509A" w:rsidP="00056DC1">
      <w:pPr>
        <w:pStyle w:val="Heading2"/>
        <w:keepNext w:val="0"/>
        <w:ind w:left="-90" w:right="-367"/>
        <w:jc w:val="center"/>
        <w:rPr>
          <w:rFonts w:ascii="Arial" w:hAnsi="Arial" w:cs="Arial"/>
          <w:i/>
          <w:caps/>
          <w:sz w:val="22"/>
          <w:szCs w:val="22"/>
        </w:rPr>
      </w:pPr>
      <w:r w:rsidRPr="00317E70">
        <w:rPr>
          <w:rFonts w:ascii="Arial" w:hAnsi="Arial"/>
          <w:i/>
          <w:caps/>
          <w:sz w:val="22"/>
        </w:rPr>
        <w:t xml:space="preserve">REESTRUCTURACIÓN DEL CONSEJO CIENTÍFICO </w:t>
      </w:r>
    </w:p>
    <w:p w:rsidR="0071509A" w:rsidRPr="00317E70" w:rsidRDefault="0071509A" w:rsidP="00593736">
      <w:pPr>
        <w:rPr>
          <w:sz w:val="8"/>
          <w:szCs w:val="8"/>
        </w:rPr>
      </w:pPr>
    </w:p>
    <w:p w:rsidR="0071509A" w:rsidRPr="00317E70" w:rsidRDefault="0071509A" w:rsidP="00B64904">
      <w:pPr>
        <w:jc w:val="center"/>
        <w:rPr>
          <w:rFonts w:ascii="Arial" w:hAnsi="Arial" w:cs="Arial"/>
          <w:i/>
          <w:sz w:val="22"/>
          <w:szCs w:val="22"/>
        </w:rPr>
      </w:pPr>
      <w:r w:rsidRPr="00317E70">
        <w:rPr>
          <w:rFonts w:ascii="Arial" w:hAnsi="Arial"/>
          <w:i/>
          <w:sz w:val="22"/>
        </w:rPr>
        <w:t>(Preparado por la Secretaría)</w:t>
      </w:r>
    </w:p>
    <w:p w:rsidR="0071509A" w:rsidRPr="00317E70" w:rsidRDefault="0071509A" w:rsidP="00870FB9">
      <w:pPr>
        <w:rPr>
          <w:sz w:val="8"/>
          <w:szCs w:val="8"/>
        </w:rPr>
      </w:pPr>
    </w:p>
    <w:p w:rsidR="0071509A" w:rsidRPr="00317E70" w:rsidRDefault="0071509A" w:rsidP="00870FB9">
      <w:pPr>
        <w:jc w:val="center"/>
        <w:rPr>
          <w:rFonts w:ascii="Arial" w:hAnsi="Arial" w:cs="Arial"/>
          <w:i/>
          <w:sz w:val="22"/>
          <w:szCs w:val="22"/>
        </w:rPr>
      </w:pPr>
    </w:p>
    <w:p w:rsidR="0071509A" w:rsidRPr="00317E70" w:rsidRDefault="0071509A" w:rsidP="00B64904">
      <w:pPr>
        <w:jc w:val="center"/>
        <w:rPr>
          <w:rFonts w:ascii="Arial" w:hAnsi="Arial" w:cs="Arial"/>
          <w:i/>
          <w:sz w:val="22"/>
          <w:szCs w:val="22"/>
        </w:rPr>
      </w:pPr>
    </w:p>
    <w:p w:rsidR="0071509A" w:rsidRPr="00317E70" w:rsidRDefault="0071509A" w:rsidP="001764E6">
      <w:pPr>
        <w:jc w:val="both"/>
        <w:rPr>
          <w:rFonts w:ascii="Arial" w:hAnsi="Arial" w:cs="Arial"/>
          <w:sz w:val="21"/>
          <w:szCs w:val="21"/>
        </w:rPr>
      </w:pPr>
    </w:p>
    <w:p w:rsidR="0071509A" w:rsidRPr="00317E70" w:rsidRDefault="00AB5349" w:rsidP="00D605A4">
      <w:pPr>
        <w:tabs>
          <w:tab w:val="left" w:pos="8295"/>
        </w:tabs>
        <w:jc w:val="both"/>
        <w:rPr>
          <w:rFonts w:ascii="Arial" w:hAnsi="Arial" w:cs="Arial"/>
          <w:sz w:val="21"/>
          <w:szCs w:val="21"/>
        </w:rPr>
      </w:pPr>
      <w:r w:rsidRPr="00317E70">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808990</wp:posOffset>
                </wp:positionH>
                <wp:positionV relativeFrom="paragraph">
                  <wp:posOffset>115570</wp:posOffset>
                </wp:positionV>
                <wp:extent cx="4305300" cy="2518410"/>
                <wp:effectExtent l="9525" t="825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18410"/>
                        </a:xfrm>
                        <a:prstGeom prst="rect">
                          <a:avLst/>
                        </a:prstGeom>
                        <a:solidFill>
                          <a:srgbClr val="FFFFFF"/>
                        </a:solidFill>
                        <a:ln w="3175">
                          <a:solidFill>
                            <a:srgbClr val="000000"/>
                          </a:solidFill>
                          <a:miter lim="800000"/>
                          <a:headEnd/>
                          <a:tailEnd/>
                        </a:ln>
                      </wps:spPr>
                      <wps:txbx>
                        <w:txbxContent>
                          <w:p w:rsidR="0071509A" w:rsidRPr="00D044DD" w:rsidRDefault="0071509A" w:rsidP="00E475D4">
                            <w:pPr>
                              <w:rPr>
                                <w:rFonts w:ascii="Arial" w:hAnsi="Arial" w:cs="Arial"/>
                                <w:sz w:val="22"/>
                                <w:szCs w:val="22"/>
                              </w:rPr>
                            </w:pPr>
                            <w:r>
                              <w:rPr>
                                <w:rFonts w:ascii="Arial" w:hAnsi="Arial"/>
                                <w:sz w:val="22"/>
                              </w:rPr>
                              <w:t>Resumen:</w:t>
                            </w:r>
                          </w:p>
                          <w:p w:rsidR="0071509A" w:rsidRPr="00D044DD" w:rsidRDefault="0071509A" w:rsidP="00E8776E">
                            <w:pPr>
                              <w:rPr>
                                <w:rFonts w:ascii="Arial" w:hAnsi="Arial" w:cs="Arial"/>
                                <w:i/>
                                <w:sz w:val="22"/>
                                <w:szCs w:val="22"/>
                              </w:rPr>
                            </w:pPr>
                          </w:p>
                          <w:p w:rsidR="0071509A" w:rsidRDefault="0071509A" w:rsidP="00317E70">
                            <w:pPr>
                              <w:jc w:val="both"/>
                              <w:rPr>
                                <w:rFonts w:ascii="Arial" w:hAnsi="Arial" w:cs="Arial"/>
                                <w:sz w:val="22"/>
                                <w:szCs w:val="22"/>
                              </w:rPr>
                            </w:pPr>
                            <w:r>
                              <w:rPr>
                                <w:rFonts w:ascii="Arial" w:hAnsi="Arial"/>
                                <w:sz w:val="22"/>
                              </w:rPr>
                              <w:t xml:space="preserve">El presente documento tiene por objeto informar sobre los progresos realizados en la aplicación de los </w:t>
                            </w:r>
                            <w:r w:rsidR="00E9651B">
                              <w:rPr>
                                <w:rFonts w:ascii="Arial" w:hAnsi="Arial"/>
                                <w:sz w:val="22"/>
                              </w:rPr>
                              <w:t>m</w:t>
                            </w:r>
                            <w:r>
                              <w:rPr>
                                <w:rFonts w:ascii="Arial" w:hAnsi="Arial"/>
                                <w:sz w:val="22"/>
                              </w:rPr>
                              <w:t>andatos otorgados a los órganos de la CMS de aplicar y poner en práctica los cambios organizativos del Consejo Científico establecidos por la Resolución 11.4, y solicitar la aprobación de</w:t>
                            </w:r>
                            <w:r w:rsidR="00361D79">
                              <w:rPr>
                                <w:rFonts w:ascii="Arial" w:hAnsi="Arial"/>
                                <w:sz w:val="22"/>
                              </w:rPr>
                              <w:t xml:space="preserve"> </w:t>
                            </w:r>
                            <w:r>
                              <w:rPr>
                                <w:rFonts w:ascii="Arial" w:hAnsi="Arial"/>
                                <w:sz w:val="22"/>
                              </w:rPr>
                              <w:t>l</w:t>
                            </w:r>
                            <w:r w:rsidR="00361D79">
                              <w:rPr>
                                <w:rFonts w:ascii="Arial" w:hAnsi="Arial"/>
                                <w:sz w:val="22"/>
                              </w:rPr>
                              <w:t>os Términos de Referencia</w:t>
                            </w:r>
                            <w:r>
                              <w:rPr>
                                <w:rFonts w:ascii="Arial" w:hAnsi="Arial"/>
                                <w:sz w:val="22"/>
                              </w:rPr>
                              <w:t xml:space="preserve"> del Consejo Científico por la Conferencia de las Partes.</w:t>
                            </w:r>
                          </w:p>
                          <w:p w:rsidR="0071509A" w:rsidRDefault="0071509A" w:rsidP="00317E70">
                            <w:pPr>
                              <w:jc w:val="both"/>
                              <w:rPr>
                                <w:rFonts w:ascii="Arial" w:hAnsi="Arial" w:cs="Arial"/>
                                <w:sz w:val="22"/>
                                <w:szCs w:val="22"/>
                              </w:rPr>
                            </w:pPr>
                          </w:p>
                          <w:p w:rsidR="0071509A" w:rsidRDefault="0071509A" w:rsidP="00317E70">
                            <w:pPr>
                              <w:jc w:val="both"/>
                              <w:rPr>
                                <w:rFonts w:ascii="Arial" w:hAnsi="Arial" w:cs="Arial"/>
                                <w:sz w:val="22"/>
                                <w:szCs w:val="22"/>
                              </w:rPr>
                            </w:pPr>
                            <w:r>
                              <w:rPr>
                                <w:rFonts w:ascii="Arial" w:hAnsi="Arial"/>
                                <w:sz w:val="22"/>
                              </w:rPr>
                              <w:t xml:space="preserve">En el presente informe se destaca el estado de las actividades realizadas hasta </w:t>
                            </w:r>
                            <w:r w:rsidR="00E9651B">
                              <w:rPr>
                                <w:rFonts w:ascii="Arial" w:hAnsi="Arial"/>
                                <w:sz w:val="22"/>
                              </w:rPr>
                              <w:t>julio</w:t>
                            </w:r>
                            <w:r>
                              <w:rPr>
                                <w:rFonts w:ascii="Arial" w:hAnsi="Arial"/>
                                <w:sz w:val="22"/>
                              </w:rPr>
                              <w:t xml:space="preserve"> de 2017.</w:t>
                            </w:r>
                          </w:p>
                          <w:p w:rsidR="0071509A" w:rsidRDefault="0071509A" w:rsidP="00317E70">
                            <w:pPr>
                              <w:jc w:val="both"/>
                              <w:rPr>
                                <w:rFonts w:ascii="Arial" w:hAnsi="Arial" w:cs="Arial"/>
                                <w:sz w:val="22"/>
                                <w:szCs w:val="22"/>
                              </w:rPr>
                            </w:pPr>
                          </w:p>
                          <w:p w:rsidR="0071509A" w:rsidRPr="00D044DD" w:rsidRDefault="0071509A" w:rsidP="00317E70">
                            <w:pPr>
                              <w:jc w:val="both"/>
                              <w:rPr>
                                <w:rFonts w:ascii="Arial" w:hAnsi="Arial" w:cs="Arial"/>
                                <w:sz w:val="22"/>
                                <w:szCs w:val="22"/>
                              </w:rPr>
                            </w:pPr>
                            <w:r>
                              <w:rPr>
                                <w:rFonts w:ascii="Arial" w:hAnsi="Arial"/>
                                <w:sz w:val="22"/>
                              </w:rPr>
                              <w:t>Este documento debería leerse conjuntamente con los documentos UNEP/CMS/COP12/Doc.21.2.6 y UNEP/CMS/COP12/Doc.17.2.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pt;margin-top:9.1pt;width:339pt;height:19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" strokeweight=".25pt">
                <v:textbox>
                  <w:txbxContent>
                    <w:p w:rsidR="0071509A" w:rsidRPr="00D044DD" w:rsidRDefault="0071509A" w:rsidP="00E475D4">
                      <w:pPr>
                        <w:rPr>
                          <w:rFonts w:ascii="Arial" w:hAnsi="Arial" w:cs="Arial"/>
                          <w:sz w:val="22"/>
                          <w:szCs w:val="22"/>
                        </w:rPr>
                      </w:pPr>
                      <w:r>
                        <w:rPr>
                          <w:rFonts w:ascii="Arial" w:hAnsi="Arial"/>
                          <w:sz w:val="22"/>
                        </w:rPr>
                        <w:t>Resumen:</w:t>
                      </w:r>
                    </w:p>
                    <w:p w:rsidR="0071509A" w:rsidRPr="00D044DD" w:rsidRDefault="0071509A" w:rsidP="00E8776E">
                      <w:pPr>
                        <w:rPr>
                          <w:rFonts w:ascii="Arial" w:hAnsi="Arial" w:cs="Arial"/>
                          <w:i/>
                          <w:sz w:val="22"/>
                          <w:szCs w:val="22"/>
                        </w:rPr>
                      </w:pPr>
                    </w:p>
                    <w:p w:rsidR="0071509A" w:rsidRDefault="0071509A" w:rsidP="00317E70">
                      <w:pPr>
                        <w:jc w:val="both"/>
                        <w:rPr>
                          <w:rFonts w:ascii="Arial" w:hAnsi="Arial" w:cs="Arial"/>
                          <w:sz w:val="22"/>
                          <w:szCs w:val="22"/>
                        </w:rPr>
                      </w:pPr>
                      <w:r>
                        <w:rPr>
                          <w:rFonts w:ascii="Arial" w:hAnsi="Arial"/>
                          <w:sz w:val="22"/>
                        </w:rPr>
                        <w:t xml:space="preserve">El presente documento tiene por objeto informar sobre los progresos realizados en la aplicación de los </w:t>
                      </w:r>
                      <w:r w:rsidR="00E9651B">
                        <w:rPr>
                          <w:rFonts w:ascii="Arial" w:hAnsi="Arial"/>
                          <w:sz w:val="22"/>
                        </w:rPr>
                        <w:t>m</w:t>
                      </w:r>
                      <w:r>
                        <w:rPr>
                          <w:rFonts w:ascii="Arial" w:hAnsi="Arial"/>
                          <w:sz w:val="22"/>
                        </w:rPr>
                        <w:t>andatos otorgados a los órganos de la CMS de aplicar y poner en práctica los cambios organizativos del Consejo Científico establecidos por la Resolución 11.4, y solicitar la aprobación de</w:t>
                      </w:r>
                      <w:r w:rsidR="00361D79">
                        <w:rPr>
                          <w:rFonts w:ascii="Arial" w:hAnsi="Arial"/>
                          <w:sz w:val="22"/>
                        </w:rPr>
                        <w:t xml:space="preserve"> </w:t>
                      </w:r>
                      <w:r>
                        <w:rPr>
                          <w:rFonts w:ascii="Arial" w:hAnsi="Arial"/>
                          <w:sz w:val="22"/>
                        </w:rPr>
                        <w:t>l</w:t>
                      </w:r>
                      <w:r w:rsidR="00361D79">
                        <w:rPr>
                          <w:rFonts w:ascii="Arial" w:hAnsi="Arial"/>
                          <w:sz w:val="22"/>
                        </w:rPr>
                        <w:t>os Términos de Referencia</w:t>
                      </w:r>
                      <w:r>
                        <w:rPr>
                          <w:rFonts w:ascii="Arial" w:hAnsi="Arial"/>
                          <w:sz w:val="22"/>
                        </w:rPr>
                        <w:t xml:space="preserve"> del Consejo Científico por la Conferencia de las Partes.</w:t>
                      </w:r>
                    </w:p>
                    <w:p w:rsidR="0071509A" w:rsidRDefault="0071509A" w:rsidP="00317E70">
                      <w:pPr>
                        <w:jc w:val="both"/>
                        <w:rPr>
                          <w:rFonts w:ascii="Arial" w:hAnsi="Arial" w:cs="Arial"/>
                          <w:sz w:val="22"/>
                          <w:szCs w:val="22"/>
                        </w:rPr>
                      </w:pPr>
                    </w:p>
                    <w:p w:rsidR="0071509A" w:rsidRDefault="0071509A" w:rsidP="00317E70">
                      <w:pPr>
                        <w:jc w:val="both"/>
                        <w:rPr>
                          <w:rFonts w:ascii="Arial" w:hAnsi="Arial" w:cs="Arial"/>
                          <w:sz w:val="22"/>
                          <w:szCs w:val="22"/>
                        </w:rPr>
                      </w:pPr>
                      <w:r>
                        <w:rPr>
                          <w:rFonts w:ascii="Arial" w:hAnsi="Arial"/>
                          <w:sz w:val="22"/>
                        </w:rPr>
                        <w:t xml:space="preserve">En el presente informe se destaca el estado de las actividades realizadas hasta </w:t>
                      </w:r>
                      <w:r w:rsidR="00E9651B">
                        <w:rPr>
                          <w:rFonts w:ascii="Arial" w:hAnsi="Arial"/>
                          <w:sz w:val="22"/>
                        </w:rPr>
                        <w:t>julio</w:t>
                      </w:r>
                      <w:r>
                        <w:rPr>
                          <w:rFonts w:ascii="Arial" w:hAnsi="Arial"/>
                          <w:sz w:val="22"/>
                        </w:rPr>
                        <w:t xml:space="preserve"> de 2017.</w:t>
                      </w:r>
                    </w:p>
                    <w:p w:rsidR="0071509A" w:rsidRDefault="0071509A" w:rsidP="00317E70">
                      <w:pPr>
                        <w:jc w:val="both"/>
                        <w:rPr>
                          <w:rFonts w:ascii="Arial" w:hAnsi="Arial" w:cs="Arial"/>
                          <w:sz w:val="22"/>
                          <w:szCs w:val="22"/>
                        </w:rPr>
                      </w:pPr>
                    </w:p>
                    <w:p w:rsidR="0071509A" w:rsidRPr="00D044DD" w:rsidRDefault="0071509A" w:rsidP="00317E70">
                      <w:pPr>
                        <w:jc w:val="both"/>
                        <w:rPr>
                          <w:rFonts w:ascii="Arial" w:hAnsi="Arial" w:cs="Arial"/>
                          <w:sz w:val="22"/>
                          <w:szCs w:val="22"/>
                        </w:rPr>
                      </w:pPr>
                      <w:r>
                        <w:rPr>
                          <w:rFonts w:ascii="Arial" w:hAnsi="Arial"/>
                          <w:sz w:val="22"/>
                        </w:rPr>
                        <w:t>Este documento debería leerse conjuntamente con los documentos UNEP/CMS/COP12/Doc.21.2.6 y UNEP/CMS/COP12/Doc.17.2.</w:t>
                      </w:r>
                    </w:p>
                  </w:txbxContent>
                </v:textbox>
              </v:shape>
            </w:pict>
          </mc:Fallback>
        </mc:AlternateContent>
      </w: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1"/>
          <w:szCs w:val="21"/>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rPr>
          <w:rFonts w:ascii="Arial" w:hAnsi="Arial" w:cs="Arial"/>
          <w:sz w:val="22"/>
          <w:szCs w:val="22"/>
        </w:rPr>
      </w:pPr>
    </w:p>
    <w:p w:rsidR="0071509A" w:rsidRPr="00317E70" w:rsidRDefault="0071509A" w:rsidP="00D605A4">
      <w:pPr>
        <w:tabs>
          <w:tab w:val="left" w:pos="1020"/>
        </w:tabs>
        <w:rPr>
          <w:rFonts w:ascii="Arial" w:hAnsi="Arial" w:cs="Arial"/>
          <w:sz w:val="22"/>
          <w:szCs w:val="22"/>
        </w:rPr>
        <w:sectPr w:rsidR="0071509A" w:rsidRPr="00317E70" w:rsidSect="00227BD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008" w:right="1411" w:bottom="1152" w:left="1411" w:header="432" w:footer="432" w:gutter="0"/>
          <w:cols w:space="720"/>
          <w:noEndnote/>
          <w:titlePg/>
          <w:docGrid w:linePitch="272"/>
        </w:sectPr>
      </w:pPr>
    </w:p>
    <w:p w:rsidR="0071509A" w:rsidRPr="00317E70" w:rsidRDefault="0071509A" w:rsidP="00EF598E">
      <w:pPr>
        <w:pStyle w:val="Heading2"/>
        <w:keepNext w:val="0"/>
        <w:ind w:left="-90" w:right="-367"/>
        <w:jc w:val="center"/>
        <w:rPr>
          <w:rFonts w:ascii="Arial" w:hAnsi="Arial" w:cs="Arial"/>
          <w:caps/>
          <w:sz w:val="22"/>
          <w:szCs w:val="22"/>
        </w:rPr>
      </w:pPr>
      <w:r w:rsidRPr="00317E70">
        <w:rPr>
          <w:rFonts w:ascii="Arial" w:hAnsi="Arial"/>
          <w:caps/>
          <w:sz w:val="22"/>
        </w:rPr>
        <w:lastRenderedPageBreak/>
        <w:t xml:space="preserve">PROGRESOS REALIZADOS EN LA APLICACIÓN DE LA RESOLUCIÓN 11.4 </w:t>
      </w:r>
    </w:p>
    <w:p w:rsidR="0071509A" w:rsidRPr="00317E70" w:rsidRDefault="0071509A" w:rsidP="00EF598E">
      <w:pPr>
        <w:pStyle w:val="Heading2"/>
        <w:keepNext w:val="0"/>
        <w:ind w:left="-90" w:right="-367"/>
        <w:jc w:val="center"/>
        <w:rPr>
          <w:rFonts w:ascii="Arial" w:hAnsi="Arial" w:cs="Arial"/>
          <w:i/>
          <w:caps/>
          <w:sz w:val="22"/>
          <w:szCs w:val="22"/>
        </w:rPr>
      </w:pPr>
      <w:r w:rsidRPr="00317E70">
        <w:rPr>
          <w:rFonts w:ascii="Arial" w:hAnsi="Arial"/>
          <w:i/>
          <w:caps/>
          <w:sz w:val="22"/>
        </w:rPr>
        <w:t>REESTRUCTURACIÓN DEL CONSEJO CIENTÍFICO</w:t>
      </w:r>
    </w:p>
    <w:p w:rsidR="0071509A" w:rsidRPr="00317E70" w:rsidRDefault="0071509A" w:rsidP="007910DD">
      <w:pPr>
        <w:jc w:val="both"/>
        <w:rPr>
          <w:rFonts w:ascii="Arial" w:hAnsi="Arial" w:cs="Arial"/>
          <w:sz w:val="22"/>
          <w:szCs w:val="22"/>
        </w:rPr>
      </w:pPr>
    </w:p>
    <w:p w:rsidR="0071509A" w:rsidRPr="00317E70" w:rsidRDefault="0071509A" w:rsidP="007910DD">
      <w:pPr>
        <w:jc w:val="both"/>
        <w:rPr>
          <w:rFonts w:ascii="Arial" w:hAnsi="Arial" w:cs="Arial"/>
          <w:sz w:val="22"/>
          <w:szCs w:val="22"/>
        </w:rPr>
      </w:pPr>
    </w:p>
    <w:p w:rsidR="0071509A" w:rsidRPr="00317E70" w:rsidRDefault="0071509A" w:rsidP="007910DD">
      <w:pPr>
        <w:jc w:val="both"/>
        <w:rPr>
          <w:rFonts w:ascii="Arial" w:hAnsi="Arial" w:cs="Arial"/>
          <w:sz w:val="22"/>
          <w:szCs w:val="22"/>
          <w:u w:val="single"/>
        </w:rPr>
      </w:pPr>
      <w:r w:rsidRPr="00317E70">
        <w:rPr>
          <w:rFonts w:ascii="Arial" w:hAnsi="Arial"/>
          <w:sz w:val="22"/>
          <w:u w:val="single"/>
        </w:rPr>
        <w:t>Antecedentes</w:t>
      </w:r>
    </w:p>
    <w:p w:rsidR="0071509A" w:rsidRPr="00317E70" w:rsidRDefault="0071509A" w:rsidP="00E238F5">
      <w:pPr>
        <w:ind w:left="360"/>
        <w:contextualSpacing/>
        <w:jc w:val="both"/>
        <w:rPr>
          <w:rFonts w:ascii="Arial" w:hAnsi="Arial" w:cs="Arial"/>
          <w:sz w:val="22"/>
          <w:szCs w:val="22"/>
        </w:rPr>
      </w:pPr>
    </w:p>
    <w:p w:rsidR="0071509A" w:rsidRPr="00317E70" w:rsidRDefault="0071509A" w:rsidP="00084452">
      <w:pPr>
        <w:numPr>
          <w:ilvl w:val="0"/>
          <w:numId w:val="2"/>
        </w:numPr>
        <w:contextualSpacing/>
        <w:jc w:val="both"/>
        <w:rPr>
          <w:rFonts w:ascii="Arial" w:hAnsi="Arial" w:cs="Arial"/>
          <w:sz w:val="22"/>
          <w:szCs w:val="22"/>
        </w:rPr>
      </w:pPr>
      <w:r w:rsidRPr="00317E70">
        <w:rPr>
          <w:rFonts w:ascii="Arial" w:hAnsi="Arial"/>
          <w:sz w:val="22"/>
        </w:rPr>
        <w:t xml:space="preserve">En la </w:t>
      </w:r>
      <w:hyperlink r:id="rId14" w:history="1">
        <w:r w:rsidRPr="00317E70">
          <w:rPr>
            <w:rStyle w:val="Hyperlink"/>
            <w:rFonts w:ascii="Arial" w:hAnsi="Arial"/>
            <w:sz w:val="22"/>
          </w:rPr>
          <w:t>Resolución 11.4</w:t>
        </w:r>
      </w:hyperlink>
      <w:r w:rsidRPr="00317E70">
        <w:rPr>
          <w:rFonts w:ascii="Arial" w:hAnsi="Arial"/>
          <w:sz w:val="22"/>
        </w:rPr>
        <w:t>, adoptada por la Conferencia de las Partes en su 11ª reunión (COP11) se establecen varios cambios organizativos del Comité Científico y se encarga a los órganos de la Convención que apliquen y pongan en práctica dichos cambios. En particular, en la Resolución 11.4:</w:t>
      </w:r>
    </w:p>
    <w:p w:rsidR="0071509A" w:rsidRPr="00317E70" w:rsidRDefault="0071509A" w:rsidP="00E929D7">
      <w:pPr>
        <w:contextualSpacing/>
        <w:jc w:val="both"/>
        <w:rPr>
          <w:rFonts w:ascii="Arial" w:hAnsi="Arial" w:cs="Arial"/>
          <w:sz w:val="22"/>
          <w:szCs w:val="22"/>
        </w:rPr>
      </w:pPr>
    </w:p>
    <w:p w:rsidR="0071509A" w:rsidRPr="00317E70" w:rsidRDefault="0071509A" w:rsidP="00E929D7">
      <w:pPr>
        <w:widowControl/>
        <w:numPr>
          <w:ilvl w:val="0"/>
          <w:numId w:val="9"/>
        </w:numPr>
        <w:autoSpaceDE/>
        <w:autoSpaceDN/>
        <w:adjustRightInd/>
        <w:ind w:left="720" w:hanging="360"/>
        <w:contextualSpacing/>
        <w:jc w:val="both"/>
        <w:rPr>
          <w:rFonts w:ascii="Arial" w:hAnsi="Arial" w:cs="Arial"/>
          <w:sz w:val="22"/>
          <w:szCs w:val="22"/>
        </w:rPr>
      </w:pPr>
      <w:r w:rsidRPr="00317E70">
        <w:rPr>
          <w:rFonts w:ascii="Arial" w:hAnsi="Arial"/>
          <w:sz w:val="22"/>
        </w:rPr>
        <w:t>Se solicita al Comité Permanente en su 44ª reunión que en el período entre reuniones seleccione y nombre a los miembros del Comité del período de sesiones del Consejo Científico para el trienio 2015-2017;</w:t>
      </w:r>
    </w:p>
    <w:p w:rsidR="0071509A" w:rsidRPr="00317E70" w:rsidRDefault="0071509A" w:rsidP="00084452">
      <w:pPr>
        <w:widowControl/>
        <w:autoSpaceDE/>
        <w:autoSpaceDN/>
        <w:adjustRightInd/>
        <w:ind w:left="720"/>
        <w:contextualSpacing/>
        <w:jc w:val="both"/>
        <w:rPr>
          <w:rFonts w:ascii="Arial" w:hAnsi="Arial" w:cs="Arial"/>
          <w:sz w:val="22"/>
          <w:szCs w:val="22"/>
        </w:rPr>
      </w:pPr>
    </w:p>
    <w:p w:rsidR="0071509A" w:rsidRPr="00317E70" w:rsidRDefault="0071509A" w:rsidP="00E929D7">
      <w:pPr>
        <w:widowControl/>
        <w:numPr>
          <w:ilvl w:val="0"/>
          <w:numId w:val="9"/>
        </w:numPr>
        <w:autoSpaceDE/>
        <w:autoSpaceDN/>
        <w:adjustRightInd/>
        <w:ind w:left="720" w:hanging="360"/>
        <w:contextualSpacing/>
        <w:jc w:val="both"/>
        <w:rPr>
          <w:rFonts w:ascii="Arial" w:hAnsi="Arial" w:cs="Arial"/>
          <w:sz w:val="22"/>
          <w:szCs w:val="22"/>
        </w:rPr>
      </w:pPr>
      <w:r w:rsidRPr="00317E70">
        <w:rPr>
          <w:rFonts w:ascii="Arial" w:hAnsi="Arial"/>
          <w:sz w:val="22"/>
        </w:rPr>
        <w:t>Se solicita a la Secretaría que proporcione un proceso de consulta a fin de elaborar, en consulta con el Comité Permanente, su recomendación a la Conferencia de las Partes sobre la composición del Comité del período de sesiones</w:t>
      </w:r>
      <w:r w:rsidR="00435955" w:rsidRPr="00317E70">
        <w:rPr>
          <w:rFonts w:ascii="Arial" w:hAnsi="Arial"/>
          <w:sz w:val="22"/>
        </w:rPr>
        <w:t>;</w:t>
      </w:r>
    </w:p>
    <w:p w:rsidR="0071509A" w:rsidRPr="00317E70" w:rsidRDefault="0071509A" w:rsidP="00E929D7">
      <w:pPr>
        <w:ind w:left="720"/>
        <w:contextualSpacing/>
        <w:jc w:val="both"/>
        <w:rPr>
          <w:rFonts w:ascii="Arial" w:hAnsi="Arial" w:cs="Arial"/>
          <w:sz w:val="22"/>
          <w:szCs w:val="22"/>
        </w:rPr>
      </w:pPr>
    </w:p>
    <w:p w:rsidR="0071509A" w:rsidRPr="00317E70" w:rsidRDefault="0071509A" w:rsidP="00E929D7">
      <w:pPr>
        <w:widowControl/>
        <w:numPr>
          <w:ilvl w:val="0"/>
          <w:numId w:val="9"/>
        </w:numPr>
        <w:autoSpaceDE/>
        <w:autoSpaceDN/>
        <w:adjustRightInd/>
        <w:ind w:left="720" w:hanging="360"/>
        <w:contextualSpacing/>
        <w:jc w:val="both"/>
        <w:rPr>
          <w:rFonts w:ascii="Arial" w:hAnsi="Arial" w:cs="Arial"/>
          <w:sz w:val="22"/>
          <w:szCs w:val="22"/>
        </w:rPr>
      </w:pPr>
      <w:r w:rsidRPr="00317E70">
        <w:rPr>
          <w:rFonts w:ascii="Arial" w:hAnsi="Arial"/>
          <w:sz w:val="22"/>
        </w:rPr>
        <w:t>Encarg</w:t>
      </w:r>
      <w:r w:rsidR="008F79B7">
        <w:rPr>
          <w:rFonts w:ascii="Arial" w:hAnsi="Arial"/>
          <w:sz w:val="22"/>
        </w:rPr>
        <w:t>a a la Secretaría que elabore los Términos de Referencia</w:t>
      </w:r>
      <w:r w:rsidRPr="00317E70">
        <w:rPr>
          <w:rFonts w:ascii="Arial" w:hAnsi="Arial"/>
          <w:sz w:val="22"/>
        </w:rPr>
        <w:t xml:space="preserve"> para el Consejo Científico, en consulta con el propio Consejo, con vistas a presentarlo al Comité Permanente en su 44</w:t>
      </w:r>
      <w:r w:rsidRPr="00317E70">
        <w:rPr>
          <w:rFonts w:ascii="Arial" w:hAnsi="Arial"/>
          <w:sz w:val="22"/>
          <w:vertAlign w:val="superscript"/>
        </w:rPr>
        <w:t>a</w:t>
      </w:r>
      <w:r w:rsidRPr="00317E70">
        <w:rPr>
          <w:rFonts w:ascii="Arial" w:hAnsi="Arial"/>
          <w:sz w:val="22"/>
        </w:rPr>
        <w:t xml:space="preserve"> reunión para su examen y aprobación provisional, en espera de su aprobación definitiva por la COP 12</w:t>
      </w:r>
      <w:r w:rsidR="00435955" w:rsidRPr="00317E70">
        <w:rPr>
          <w:rFonts w:ascii="Arial" w:hAnsi="Arial"/>
          <w:sz w:val="22"/>
        </w:rPr>
        <w:t>;</w:t>
      </w:r>
    </w:p>
    <w:p w:rsidR="0071509A" w:rsidRPr="00317E70" w:rsidRDefault="0071509A" w:rsidP="00084452">
      <w:pPr>
        <w:pStyle w:val="ListParagraph"/>
        <w:rPr>
          <w:rFonts w:ascii="Arial" w:hAnsi="Arial" w:cs="Arial"/>
          <w:sz w:val="22"/>
          <w:szCs w:val="22"/>
        </w:rPr>
      </w:pPr>
    </w:p>
    <w:p w:rsidR="0071509A" w:rsidRPr="00317E70" w:rsidRDefault="0071509A" w:rsidP="00A721F2">
      <w:pPr>
        <w:widowControl/>
        <w:numPr>
          <w:ilvl w:val="0"/>
          <w:numId w:val="9"/>
        </w:numPr>
        <w:autoSpaceDE/>
        <w:autoSpaceDN/>
        <w:adjustRightInd/>
        <w:ind w:left="720" w:hanging="360"/>
        <w:contextualSpacing/>
        <w:jc w:val="both"/>
        <w:rPr>
          <w:rFonts w:ascii="Arial" w:hAnsi="Arial" w:cs="Arial"/>
          <w:sz w:val="22"/>
          <w:szCs w:val="22"/>
        </w:rPr>
      </w:pPr>
      <w:r w:rsidRPr="00317E70">
        <w:rPr>
          <w:rFonts w:ascii="Arial" w:hAnsi="Arial"/>
          <w:color w:val="000000"/>
          <w:sz w:val="22"/>
        </w:rPr>
        <w:t>Solicita al Consejo Científico que, con el asesoramiento de la Secretaría, elabore y apruebe una revisión de su</w:t>
      </w:r>
      <w:r w:rsidR="00554803">
        <w:rPr>
          <w:rFonts w:ascii="Arial" w:hAnsi="Arial"/>
          <w:color w:val="000000"/>
          <w:sz w:val="22"/>
        </w:rPr>
        <w:t>s</w:t>
      </w:r>
      <w:r w:rsidR="00D24AFF" w:rsidRPr="00317E70">
        <w:rPr>
          <w:rFonts w:ascii="Arial" w:hAnsi="Arial"/>
          <w:color w:val="000000"/>
          <w:sz w:val="22"/>
        </w:rPr>
        <w:t xml:space="preserve"> </w:t>
      </w:r>
      <w:r w:rsidRPr="00317E70">
        <w:rPr>
          <w:rFonts w:ascii="Arial" w:hAnsi="Arial"/>
          <w:color w:val="000000"/>
          <w:sz w:val="22"/>
        </w:rPr>
        <w:t>Reglas de Procedimiento</w:t>
      </w:r>
      <w:r w:rsidR="00317E70">
        <w:rPr>
          <w:rFonts w:ascii="Arial" w:hAnsi="Arial"/>
          <w:color w:val="000000"/>
          <w:sz w:val="22"/>
        </w:rPr>
        <w:t>,</w:t>
      </w:r>
      <w:r w:rsidRPr="00317E70">
        <w:rPr>
          <w:rFonts w:ascii="Arial" w:hAnsi="Arial"/>
          <w:color w:val="000000"/>
          <w:sz w:val="22"/>
        </w:rPr>
        <w:t xml:space="preserve"> así como los elementos de su </w:t>
      </w:r>
      <w:r w:rsidRPr="00317E70">
        <w:rPr>
          <w:rFonts w:ascii="Arial" w:hAnsi="Arial"/>
          <w:i/>
          <w:color w:val="000000"/>
          <w:sz w:val="22"/>
        </w:rPr>
        <w:t>modus operandi</w:t>
      </w:r>
      <w:r w:rsidRPr="00317E70">
        <w:rPr>
          <w:rFonts w:ascii="Arial" w:hAnsi="Arial"/>
          <w:color w:val="000000"/>
          <w:sz w:val="22"/>
        </w:rPr>
        <w:t xml:space="preserve">, de acuerdo con la presente Resolución, y encarga al Comité Permanente que apruebe </w:t>
      </w:r>
      <w:r w:rsidR="00554803">
        <w:rPr>
          <w:rFonts w:ascii="Arial" w:hAnsi="Arial"/>
          <w:color w:val="000000"/>
          <w:sz w:val="22"/>
        </w:rPr>
        <w:t>l</w:t>
      </w:r>
      <w:r w:rsidRPr="00317E70">
        <w:rPr>
          <w:rFonts w:ascii="Arial" w:hAnsi="Arial"/>
          <w:color w:val="000000"/>
          <w:sz w:val="22"/>
        </w:rPr>
        <w:t>as Reglas de Procedimiento revisadas del Consejo Científico.</w:t>
      </w:r>
    </w:p>
    <w:p w:rsidR="0071509A" w:rsidRPr="00317E70" w:rsidRDefault="0071509A" w:rsidP="00E929D7">
      <w:pPr>
        <w:ind w:left="720"/>
        <w:contextualSpacing/>
        <w:jc w:val="both"/>
        <w:rPr>
          <w:rFonts w:ascii="Arial" w:hAnsi="Arial" w:cs="Arial"/>
          <w:sz w:val="22"/>
          <w:szCs w:val="22"/>
        </w:rPr>
      </w:pPr>
    </w:p>
    <w:p w:rsidR="0071509A" w:rsidRPr="00317E70" w:rsidRDefault="0071509A" w:rsidP="005D026E">
      <w:pPr>
        <w:numPr>
          <w:ilvl w:val="0"/>
          <w:numId w:val="2"/>
        </w:numPr>
        <w:contextualSpacing/>
        <w:jc w:val="both"/>
        <w:rPr>
          <w:rFonts w:ascii="Arial" w:hAnsi="Arial" w:cs="Arial"/>
          <w:sz w:val="22"/>
          <w:szCs w:val="22"/>
        </w:rPr>
      </w:pPr>
      <w:r w:rsidRPr="00317E70">
        <w:rPr>
          <w:rFonts w:ascii="Arial" w:hAnsi="Arial"/>
          <w:sz w:val="22"/>
        </w:rPr>
        <w:t xml:space="preserve">El presente documento tiene por objeto informar sobre los progresos realizados en la aplicación de esos mandatos, y solicitar a la Conferencia de las Partes la aprobación de algunos resultados. Se espera que la información proporcionada en este documento se complemente con el informe que el Presidente del Consejo Científico presenta a la COP12, y </w:t>
      </w:r>
      <w:r w:rsidR="00A92C9A" w:rsidRPr="00317E70">
        <w:rPr>
          <w:rFonts w:ascii="Arial" w:hAnsi="Arial"/>
          <w:sz w:val="22"/>
        </w:rPr>
        <w:t xml:space="preserve">hay </w:t>
      </w:r>
      <w:r w:rsidRPr="00317E70">
        <w:rPr>
          <w:rFonts w:ascii="Arial" w:hAnsi="Arial"/>
          <w:sz w:val="22"/>
        </w:rPr>
        <w:t>referencia</w:t>
      </w:r>
      <w:r w:rsidR="00A92C9A" w:rsidRPr="00317E70">
        <w:rPr>
          <w:rFonts w:ascii="Arial" w:hAnsi="Arial"/>
          <w:sz w:val="22"/>
        </w:rPr>
        <w:t>s</w:t>
      </w:r>
      <w:r w:rsidRPr="00317E70">
        <w:rPr>
          <w:rFonts w:ascii="Arial" w:hAnsi="Arial"/>
          <w:sz w:val="22"/>
        </w:rPr>
        <w:t xml:space="preserve"> </w:t>
      </w:r>
      <w:r w:rsidR="00A92C9A" w:rsidRPr="00317E70">
        <w:rPr>
          <w:rFonts w:ascii="Arial" w:hAnsi="Arial"/>
          <w:sz w:val="22"/>
        </w:rPr>
        <w:t>cruzadas</w:t>
      </w:r>
      <w:r w:rsidRPr="00317E70">
        <w:rPr>
          <w:rFonts w:ascii="Arial" w:hAnsi="Arial"/>
          <w:sz w:val="22"/>
        </w:rPr>
        <w:t xml:space="preserve"> en los documentos UNEP/CMS/COP12/Doc.17.2 y UNEP/CMS/COP12/Doc.21.2.6.</w:t>
      </w:r>
    </w:p>
    <w:p w:rsidR="0071509A" w:rsidRPr="00317E70" w:rsidRDefault="0071509A" w:rsidP="00721954">
      <w:pPr>
        <w:ind w:left="360"/>
        <w:contextualSpacing/>
        <w:jc w:val="both"/>
        <w:rPr>
          <w:rFonts w:ascii="Arial" w:hAnsi="Arial" w:cs="Arial"/>
          <w:sz w:val="22"/>
          <w:szCs w:val="22"/>
        </w:rPr>
      </w:pPr>
    </w:p>
    <w:p w:rsidR="0071509A" w:rsidRPr="00317E70" w:rsidRDefault="0071509A" w:rsidP="008F79B7">
      <w:pPr>
        <w:spacing w:after="80"/>
        <w:jc w:val="both"/>
        <w:rPr>
          <w:rFonts w:ascii="Arial" w:hAnsi="Arial" w:cs="Arial"/>
          <w:sz w:val="22"/>
          <w:szCs w:val="22"/>
          <w:u w:val="single"/>
        </w:rPr>
      </w:pPr>
      <w:r w:rsidRPr="00317E70">
        <w:rPr>
          <w:rFonts w:ascii="Arial" w:hAnsi="Arial"/>
          <w:sz w:val="22"/>
          <w:u w:val="single"/>
        </w:rPr>
        <w:t>Selección y nombramiento de los miembros del Comité del período de sesiones del Consejo Científico para el período intersesional comprendido entre la COP11 y la COP12</w:t>
      </w:r>
    </w:p>
    <w:p w:rsidR="0071509A" w:rsidRPr="00317E70" w:rsidRDefault="0071509A" w:rsidP="00F06833">
      <w:pPr>
        <w:numPr>
          <w:ilvl w:val="0"/>
          <w:numId w:val="2"/>
        </w:numPr>
        <w:contextualSpacing/>
        <w:jc w:val="both"/>
        <w:rPr>
          <w:rFonts w:ascii="Arial" w:hAnsi="Arial" w:cs="Arial"/>
          <w:sz w:val="22"/>
          <w:szCs w:val="22"/>
        </w:rPr>
      </w:pPr>
      <w:r w:rsidRPr="00317E70">
        <w:rPr>
          <w:rFonts w:ascii="Arial" w:hAnsi="Arial"/>
          <w:sz w:val="22"/>
        </w:rPr>
        <w:t>Mediante la Resolución 11.4, la Conferencia de las Partes en la CMS decidió que, para cada período entre dos reuniones consecutivas de la Conferencia de las Partes, deberá identificarse una selección representativa de los miembros del Consejo Científico integrada por Consejeros designados por la COP y Consejeros designados por las Partes en el ámbito regional, que habrán de ser nombrados en cada reunión ordinaria de la COP sobre la base de la recomendación que formule la Secretaría en consulta con el Comité Permanente.</w:t>
      </w:r>
    </w:p>
    <w:p w:rsidR="0071509A" w:rsidRPr="00317E70" w:rsidRDefault="0071509A" w:rsidP="00F06833">
      <w:pPr>
        <w:contextualSpacing/>
        <w:jc w:val="both"/>
      </w:pPr>
    </w:p>
    <w:p w:rsidR="0071509A" w:rsidRPr="00317E70" w:rsidRDefault="0071509A" w:rsidP="00F06833">
      <w:pPr>
        <w:numPr>
          <w:ilvl w:val="0"/>
          <w:numId w:val="2"/>
        </w:numPr>
        <w:contextualSpacing/>
        <w:jc w:val="both"/>
        <w:rPr>
          <w:rFonts w:ascii="Arial" w:hAnsi="Arial" w:cs="Arial"/>
          <w:sz w:val="22"/>
          <w:szCs w:val="22"/>
        </w:rPr>
      </w:pPr>
      <w:r w:rsidRPr="00317E70">
        <w:rPr>
          <w:rFonts w:ascii="Arial" w:hAnsi="Arial"/>
          <w:sz w:val="22"/>
        </w:rPr>
        <w:t>Como medida transitoria a efectos de aplicar este cambio organizativo en el período entre la COP11 y la COP12, en la Resolución 11.4 se solicita al Comité Permanente en su 44ª reunión que en el período entre reuniones seleccione y nombre a los miembros del Comité del período de sesiones del Consejo Científico para el trienio 2015-2017.</w:t>
      </w:r>
    </w:p>
    <w:p w:rsidR="0071509A" w:rsidRPr="00317E70" w:rsidRDefault="0071509A" w:rsidP="00721954">
      <w:pPr>
        <w:pStyle w:val="ListParagraph"/>
        <w:widowControl/>
        <w:autoSpaceDE/>
        <w:autoSpaceDN/>
        <w:adjustRightInd/>
        <w:ind w:left="0"/>
        <w:contextualSpacing w:val="0"/>
        <w:jc w:val="both"/>
        <w:rPr>
          <w:rFonts w:ascii="Arial" w:hAnsi="Arial" w:cs="Arial"/>
          <w:sz w:val="22"/>
          <w:szCs w:val="22"/>
        </w:rPr>
      </w:pPr>
    </w:p>
    <w:p w:rsidR="0071509A" w:rsidRPr="00317E70" w:rsidRDefault="0071509A" w:rsidP="002D01E0">
      <w:pPr>
        <w:numPr>
          <w:ilvl w:val="0"/>
          <w:numId w:val="2"/>
        </w:numPr>
        <w:contextualSpacing/>
        <w:jc w:val="both"/>
        <w:rPr>
          <w:rFonts w:ascii="Arial" w:hAnsi="Arial" w:cs="Arial"/>
          <w:sz w:val="22"/>
          <w:szCs w:val="22"/>
        </w:rPr>
      </w:pPr>
      <w:r w:rsidRPr="00317E70">
        <w:rPr>
          <w:rFonts w:ascii="Arial" w:hAnsi="Arial"/>
          <w:color w:val="000000"/>
          <w:sz w:val="22"/>
        </w:rPr>
        <w:t xml:space="preserve">Se identificaron candidatos para el cargo de miembros del Comité del período de sesiones a través de un proceso de autodesignación por los miembros del Consejo Científico, emprendido antes de la 44ª reunión del Comité Permanente (StC44). La selección y el nombramiento de los miembros tuvo lugar en la StC44. Se puede obtener más información en los documentos </w:t>
      </w:r>
      <w:hyperlink r:id="rId15">
        <w:r w:rsidRPr="00317E70">
          <w:rPr>
            <w:rStyle w:val="Hyperlink"/>
            <w:rFonts w:ascii="Arial" w:hAnsi="Arial"/>
            <w:sz w:val="22"/>
          </w:rPr>
          <w:t>UNEP/CMS/StC44/14</w:t>
        </w:r>
      </w:hyperlink>
      <w:r w:rsidRPr="00317E70">
        <w:t xml:space="preserve"> </w:t>
      </w:r>
      <w:r w:rsidRPr="00E63686">
        <w:rPr>
          <w:rFonts w:ascii="Arial" w:hAnsi="Arial" w:cs="Arial"/>
          <w:sz w:val="22"/>
          <w:szCs w:val="22"/>
        </w:rPr>
        <w:t>y</w:t>
      </w:r>
      <w:r w:rsidRPr="00317E70">
        <w:t xml:space="preserve"> </w:t>
      </w:r>
      <w:hyperlink r:id="rId16">
        <w:r w:rsidRPr="00317E70">
          <w:rPr>
            <w:rStyle w:val="Hyperlink"/>
            <w:rFonts w:ascii="Arial" w:hAnsi="Arial"/>
            <w:sz w:val="22"/>
          </w:rPr>
          <w:t>StC44 informe</w:t>
        </w:r>
      </w:hyperlink>
      <w:r w:rsidRPr="00317E70">
        <w:t>.</w:t>
      </w:r>
      <w:r w:rsidRPr="00317E70">
        <w:rPr>
          <w:rFonts w:ascii="Arial" w:hAnsi="Arial"/>
          <w:color w:val="000000"/>
          <w:sz w:val="22"/>
        </w:rPr>
        <w:t xml:space="preserve"> La composición del Comité del </w:t>
      </w:r>
      <w:r w:rsidRPr="00317E70">
        <w:rPr>
          <w:rFonts w:ascii="Arial" w:hAnsi="Arial"/>
          <w:color w:val="000000"/>
          <w:sz w:val="22"/>
        </w:rPr>
        <w:lastRenderedPageBreak/>
        <w:t xml:space="preserve">período de sesiones para el periodo intersesional comprendido entre la COP11 y COP12 puede consultarse en el sitio de la CMS en la dirección </w:t>
      </w:r>
      <w:hyperlink r:id="rId17">
        <w:r w:rsidRPr="00317E70">
          <w:rPr>
            <w:rStyle w:val="Hyperlink"/>
            <w:rFonts w:ascii="Arial" w:hAnsi="Arial"/>
            <w:sz w:val="22"/>
          </w:rPr>
          <w:t>http://www.cms.int/en/page/scientific-council-members</w:t>
        </w:r>
      </w:hyperlink>
      <w:r w:rsidRPr="00317E70">
        <w:rPr>
          <w:rFonts w:ascii="Arial" w:hAnsi="Arial"/>
          <w:color w:val="000000"/>
          <w:sz w:val="22"/>
        </w:rPr>
        <w:t xml:space="preserve"> .</w:t>
      </w:r>
    </w:p>
    <w:p w:rsidR="0071509A" w:rsidRPr="00317E70" w:rsidRDefault="0071509A" w:rsidP="00BB2D89">
      <w:pPr>
        <w:pStyle w:val="ListParagraph"/>
        <w:rPr>
          <w:rFonts w:ascii="Arial" w:hAnsi="Arial" w:cs="Arial"/>
          <w:color w:val="000000"/>
          <w:sz w:val="22"/>
          <w:szCs w:val="22"/>
        </w:rPr>
      </w:pPr>
    </w:p>
    <w:p w:rsidR="0071509A" w:rsidRPr="00317E70" w:rsidRDefault="0071509A" w:rsidP="00BB2D89">
      <w:pPr>
        <w:numPr>
          <w:ilvl w:val="0"/>
          <w:numId w:val="2"/>
        </w:numPr>
        <w:contextualSpacing/>
        <w:jc w:val="both"/>
        <w:rPr>
          <w:rFonts w:ascii="Arial" w:hAnsi="Arial" w:cs="Arial"/>
          <w:sz w:val="22"/>
          <w:szCs w:val="22"/>
        </w:rPr>
      </w:pPr>
      <w:r w:rsidRPr="00317E70">
        <w:rPr>
          <w:rFonts w:ascii="Arial" w:hAnsi="Arial"/>
          <w:color w:val="000000"/>
          <w:sz w:val="22"/>
        </w:rPr>
        <w:t xml:space="preserve">Desde su nombramiento, el Comité del período de sesiones del Consejo Científico se ha reunido dos veces.  Puede obtenerse información sobre las reuniones en el sitio web de la CMS.  </w:t>
      </w:r>
    </w:p>
    <w:p w:rsidR="0071509A" w:rsidRPr="00317E70" w:rsidRDefault="0071509A" w:rsidP="00BB2D89">
      <w:pPr>
        <w:contextualSpacing/>
        <w:jc w:val="both"/>
        <w:rPr>
          <w:rFonts w:ascii="Arial" w:hAnsi="Arial" w:cs="Arial"/>
          <w:sz w:val="22"/>
          <w:szCs w:val="22"/>
        </w:rPr>
      </w:pPr>
    </w:p>
    <w:p w:rsidR="0071509A" w:rsidRPr="00317E70" w:rsidRDefault="0071509A" w:rsidP="008F79B7">
      <w:pPr>
        <w:pStyle w:val="ListParagraph"/>
        <w:spacing w:after="80"/>
        <w:ind w:left="0"/>
        <w:contextualSpacing w:val="0"/>
        <w:jc w:val="both"/>
        <w:rPr>
          <w:rFonts w:ascii="Arial" w:hAnsi="Arial" w:cs="Arial"/>
          <w:sz w:val="22"/>
          <w:szCs w:val="22"/>
          <w:u w:val="single"/>
        </w:rPr>
      </w:pPr>
      <w:r w:rsidRPr="00317E70">
        <w:rPr>
          <w:rFonts w:ascii="Arial" w:hAnsi="Arial"/>
          <w:sz w:val="22"/>
          <w:u w:val="single"/>
        </w:rPr>
        <w:t>Definición de un proceso consultivo para la selección de los miembros del Comité del período de sesiones del Consejo Científico</w:t>
      </w:r>
    </w:p>
    <w:p w:rsidR="0071509A" w:rsidRPr="00317E70" w:rsidRDefault="0071509A" w:rsidP="002810B1">
      <w:pPr>
        <w:numPr>
          <w:ilvl w:val="0"/>
          <w:numId w:val="2"/>
        </w:numPr>
        <w:contextualSpacing/>
        <w:jc w:val="both"/>
        <w:rPr>
          <w:rFonts w:ascii="Arial" w:hAnsi="Arial" w:cs="Arial"/>
          <w:sz w:val="22"/>
          <w:szCs w:val="22"/>
        </w:rPr>
      </w:pPr>
      <w:r w:rsidRPr="00317E70">
        <w:rPr>
          <w:rFonts w:ascii="Arial" w:hAnsi="Arial"/>
          <w:sz w:val="22"/>
        </w:rPr>
        <w:t>La labor realizada por la Secretaría en consulta con el Comité Permanente para establecer un proceso consultivo con miras a elaborar recomendaciones para las reuniones de la Conferencia de las Partes sobre la composición del Comité del período de sesiones del Consejo Científico para el siguiente período intersesional, se resume en el documento UNEP/CMS/COP12/Doc.17.2, ya que es directamente pertinente para la designación del Comité del período de sesiones para el periodo intersesional comprendido entre la COP12 y la COP13.</w:t>
      </w:r>
    </w:p>
    <w:p w:rsidR="0071509A" w:rsidRPr="00317E70" w:rsidRDefault="0071509A" w:rsidP="0029028F">
      <w:pPr>
        <w:ind w:left="360"/>
        <w:contextualSpacing/>
        <w:jc w:val="both"/>
        <w:rPr>
          <w:rFonts w:ascii="Arial" w:hAnsi="Arial" w:cs="Arial"/>
          <w:sz w:val="22"/>
          <w:szCs w:val="22"/>
        </w:rPr>
      </w:pPr>
    </w:p>
    <w:p w:rsidR="0071509A" w:rsidRPr="00317E70" w:rsidRDefault="0071509A" w:rsidP="008F79B7">
      <w:pPr>
        <w:spacing w:after="80"/>
        <w:jc w:val="both"/>
        <w:rPr>
          <w:rFonts w:ascii="Arial" w:hAnsi="Arial" w:cs="Arial"/>
          <w:sz w:val="22"/>
          <w:szCs w:val="22"/>
          <w:u w:val="single"/>
        </w:rPr>
      </w:pPr>
      <w:r w:rsidRPr="00317E70">
        <w:rPr>
          <w:rFonts w:ascii="Arial" w:hAnsi="Arial"/>
          <w:sz w:val="22"/>
          <w:u w:val="single"/>
        </w:rPr>
        <w:t>Elaboración de</w:t>
      </w:r>
      <w:r w:rsidR="008F79B7">
        <w:rPr>
          <w:rFonts w:ascii="Arial" w:hAnsi="Arial"/>
          <w:sz w:val="22"/>
          <w:u w:val="single"/>
        </w:rPr>
        <w:t xml:space="preserve"> </w:t>
      </w:r>
      <w:r w:rsidRPr="00317E70">
        <w:rPr>
          <w:rFonts w:ascii="Arial" w:hAnsi="Arial"/>
          <w:sz w:val="22"/>
          <w:u w:val="single"/>
        </w:rPr>
        <w:t>l</w:t>
      </w:r>
      <w:r w:rsidR="008F79B7">
        <w:rPr>
          <w:rFonts w:ascii="Arial" w:hAnsi="Arial"/>
          <w:sz w:val="22"/>
          <w:u w:val="single"/>
        </w:rPr>
        <w:t xml:space="preserve">os Términos de Referencia para </w:t>
      </w:r>
      <w:r w:rsidRPr="00317E70">
        <w:rPr>
          <w:rFonts w:ascii="Arial" w:hAnsi="Arial"/>
          <w:sz w:val="22"/>
          <w:u w:val="single"/>
        </w:rPr>
        <w:t>el Consejo Científico</w:t>
      </w:r>
    </w:p>
    <w:p w:rsidR="0071509A" w:rsidRPr="00317E70" w:rsidRDefault="0071509A" w:rsidP="008154C8">
      <w:pPr>
        <w:numPr>
          <w:ilvl w:val="0"/>
          <w:numId w:val="2"/>
        </w:numPr>
        <w:contextualSpacing/>
        <w:jc w:val="both"/>
        <w:rPr>
          <w:rFonts w:ascii="Arial" w:hAnsi="Arial" w:cs="Arial"/>
          <w:sz w:val="22"/>
          <w:szCs w:val="22"/>
        </w:rPr>
      </w:pPr>
      <w:r w:rsidRPr="00317E70">
        <w:rPr>
          <w:rFonts w:ascii="Arial" w:hAnsi="Arial"/>
          <w:sz w:val="22"/>
        </w:rPr>
        <w:t xml:space="preserve">Conforme a las instrucciones dadas por la Conferencia de las Partes mediante la Resolución 11.4, la Secretaría elaboró un proyecto de </w:t>
      </w:r>
      <w:r w:rsidR="008F79B7">
        <w:rPr>
          <w:rFonts w:ascii="Arial" w:hAnsi="Arial"/>
          <w:sz w:val="22"/>
        </w:rPr>
        <w:t>Términos de Referencia</w:t>
      </w:r>
      <w:r w:rsidRPr="00317E70">
        <w:rPr>
          <w:rFonts w:ascii="Arial" w:hAnsi="Arial"/>
          <w:sz w:val="22"/>
        </w:rPr>
        <w:t xml:space="preserve"> para el Consejo Científico en consulta con el propio Consejo y</w:t>
      </w:r>
      <w:r w:rsidR="00AA6BE9" w:rsidRPr="00317E70">
        <w:rPr>
          <w:rFonts w:ascii="Arial" w:hAnsi="Arial"/>
          <w:sz w:val="22"/>
        </w:rPr>
        <w:t xml:space="preserve"> lo</w:t>
      </w:r>
      <w:r w:rsidRPr="00317E70">
        <w:rPr>
          <w:rFonts w:ascii="Arial" w:hAnsi="Arial"/>
          <w:sz w:val="22"/>
        </w:rPr>
        <w:t xml:space="preserve"> present</w:t>
      </w:r>
      <w:r w:rsidR="00AA6BE9" w:rsidRPr="00317E70">
        <w:rPr>
          <w:rFonts w:ascii="Arial" w:hAnsi="Arial" w:cs="Arial"/>
          <w:sz w:val="22"/>
        </w:rPr>
        <w:t>ó</w:t>
      </w:r>
      <w:r w:rsidRPr="00317E70">
        <w:rPr>
          <w:rFonts w:ascii="Arial" w:hAnsi="Arial"/>
          <w:sz w:val="22"/>
        </w:rPr>
        <w:t xml:space="preserve"> a la 44ª reunión del Comité Permanente (StC44) para su examen y aprobación provisional (documento </w:t>
      </w:r>
      <w:hyperlink r:id="rId18">
        <w:r w:rsidRPr="00317E70">
          <w:rPr>
            <w:rStyle w:val="Hyperlink"/>
            <w:rFonts w:ascii="Arial" w:hAnsi="Arial"/>
            <w:sz w:val="22"/>
          </w:rPr>
          <w:t>UNEP/CMS/StC44/14</w:t>
        </w:r>
      </w:hyperlink>
      <w:r w:rsidRPr="00317E70">
        <w:t>).</w:t>
      </w:r>
      <w:r w:rsidRPr="00317E70">
        <w:rPr>
          <w:rFonts w:ascii="Arial" w:hAnsi="Arial"/>
          <w:sz w:val="22"/>
        </w:rPr>
        <w:t xml:space="preserve"> </w:t>
      </w:r>
    </w:p>
    <w:p w:rsidR="0071509A" w:rsidRPr="00317E70" w:rsidRDefault="0071509A" w:rsidP="00BE0C7F">
      <w:pPr>
        <w:ind w:left="360"/>
        <w:contextualSpacing/>
        <w:jc w:val="both"/>
        <w:rPr>
          <w:rFonts w:ascii="Arial" w:hAnsi="Arial" w:cs="Arial"/>
          <w:sz w:val="22"/>
          <w:szCs w:val="22"/>
        </w:rPr>
      </w:pPr>
    </w:p>
    <w:p w:rsidR="0071509A" w:rsidRPr="00317E70" w:rsidRDefault="0071509A" w:rsidP="008154C8">
      <w:pPr>
        <w:numPr>
          <w:ilvl w:val="0"/>
          <w:numId w:val="2"/>
        </w:numPr>
        <w:contextualSpacing/>
        <w:jc w:val="both"/>
        <w:rPr>
          <w:rFonts w:ascii="Arial" w:hAnsi="Arial" w:cs="Arial"/>
          <w:sz w:val="22"/>
          <w:szCs w:val="22"/>
        </w:rPr>
      </w:pPr>
      <w:r w:rsidRPr="00317E70">
        <w:rPr>
          <w:rFonts w:ascii="Arial" w:hAnsi="Arial"/>
          <w:sz w:val="22"/>
        </w:rPr>
        <w:t xml:space="preserve">La StC44 examinó y aprobó provisionalmente </w:t>
      </w:r>
      <w:r w:rsidR="008F79B7">
        <w:rPr>
          <w:rFonts w:ascii="Arial" w:hAnsi="Arial"/>
          <w:sz w:val="22"/>
        </w:rPr>
        <w:t>los Términos de Referencia</w:t>
      </w:r>
      <w:r w:rsidRPr="00317E70">
        <w:rPr>
          <w:rFonts w:ascii="Arial" w:hAnsi="Arial"/>
          <w:sz w:val="22"/>
        </w:rPr>
        <w:t xml:space="preserve">, con miras a su presentación a la COP12 para su ulterior examen y aprobación final. </w:t>
      </w:r>
      <w:r w:rsidR="008F79B7">
        <w:rPr>
          <w:rFonts w:ascii="Arial" w:hAnsi="Arial"/>
          <w:sz w:val="22"/>
        </w:rPr>
        <w:t>Los Términos de Referencia</w:t>
      </w:r>
      <w:r w:rsidRPr="00317E70">
        <w:rPr>
          <w:rFonts w:ascii="Arial" w:hAnsi="Arial"/>
          <w:sz w:val="22"/>
        </w:rPr>
        <w:t xml:space="preserve"> provisionalmente aprobado</w:t>
      </w:r>
      <w:r w:rsidR="008F79B7">
        <w:rPr>
          <w:rFonts w:ascii="Arial" w:hAnsi="Arial"/>
          <w:sz w:val="22"/>
        </w:rPr>
        <w:t>s</w:t>
      </w:r>
      <w:r w:rsidRPr="00317E70">
        <w:rPr>
          <w:rFonts w:ascii="Arial" w:hAnsi="Arial"/>
          <w:sz w:val="22"/>
        </w:rPr>
        <w:t xml:space="preserve"> por la StC44 se adjunta</w:t>
      </w:r>
      <w:r w:rsidR="008F79B7">
        <w:rPr>
          <w:rFonts w:ascii="Arial" w:hAnsi="Arial"/>
          <w:sz w:val="22"/>
        </w:rPr>
        <w:t>n</w:t>
      </w:r>
      <w:r w:rsidRPr="00317E70">
        <w:rPr>
          <w:rFonts w:ascii="Arial" w:hAnsi="Arial"/>
          <w:sz w:val="22"/>
        </w:rPr>
        <w:t xml:space="preserve"> al presente documento como Anexo 1.</w:t>
      </w:r>
    </w:p>
    <w:p w:rsidR="0071509A" w:rsidRPr="00317E70" w:rsidRDefault="0071509A" w:rsidP="008D5D15">
      <w:pPr>
        <w:pStyle w:val="ListParagraph"/>
        <w:rPr>
          <w:rFonts w:ascii="Arial" w:hAnsi="Arial" w:cs="Arial"/>
          <w:sz w:val="22"/>
          <w:szCs w:val="22"/>
        </w:rPr>
      </w:pPr>
    </w:p>
    <w:p w:rsidR="0071509A" w:rsidRPr="00317E70" w:rsidRDefault="008F79B7" w:rsidP="008D5D15">
      <w:pPr>
        <w:numPr>
          <w:ilvl w:val="0"/>
          <w:numId w:val="2"/>
        </w:numPr>
        <w:contextualSpacing/>
        <w:jc w:val="both"/>
        <w:rPr>
          <w:rFonts w:ascii="Arial" w:hAnsi="Arial" w:cs="Arial"/>
          <w:sz w:val="22"/>
          <w:szCs w:val="22"/>
        </w:rPr>
      </w:pPr>
      <w:r>
        <w:rPr>
          <w:rFonts w:ascii="Arial" w:hAnsi="Arial"/>
          <w:sz w:val="22"/>
        </w:rPr>
        <w:t>Al elaborar los Términos de Referencia</w:t>
      </w:r>
      <w:r w:rsidR="0071509A" w:rsidRPr="00317E70">
        <w:rPr>
          <w:rFonts w:ascii="Arial" w:hAnsi="Arial"/>
          <w:sz w:val="22"/>
        </w:rPr>
        <w:t xml:space="preserve"> para el Consejo Científico, la Secretaría examinó su complementariedad con </w:t>
      </w:r>
      <w:r w:rsidR="00554803">
        <w:rPr>
          <w:rFonts w:ascii="Arial" w:hAnsi="Arial"/>
          <w:sz w:val="22"/>
        </w:rPr>
        <w:t>las Reglas de Procedimiento</w:t>
      </w:r>
      <w:r w:rsidR="0071509A" w:rsidRPr="00317E70">
        <w:rPr>
          <w:rFonts w:ascii="Arial" w:hAnsi="Arial"/>
          <w:sz w:val="22"/>
        </w:rPr>
        <w:t xml:space="preserve"> del Consejo Científico, que actualmente está</w:t>
      </w:r>
      <w:r w:rsidR="00554803">
        <w:rPr>
          <w:rFonts w:ascii="Arial" w:hAnsi="Arial"/>
          <w:sz w:val="22"/>
        </w:rPr>
        <w:t>n siendo revisadas</w:t>
      </w:r>
      <w:r w:rsidR="0071509A" w:rsidRPr="00317E70">
        <w:rPr>
          <w:rFonts w:ascii="Arial" w:hAnsi="Arial"/>
          <w:sz w:val="22"/>
        </w:rPr>
        <w:t xml:space="preserve"> por el Comité del período de sesiones con el apoyo de la Secretaría (véase a continuación). Al determinar el ámbito de</w:t>
      </w:r>
      <w:r w:rsidR="00554803">
        <w:rPr>
          <w:rFonts w:ascii="Arial" w:hAnsi="Arial"/>
          <w:sz w:val="22"/>
        </w:rPr>
        <w:t xml:space="preserve"> </w:t>
      </w:r>
      <w:r w:rsidR="0071509A" w:rsidRPr="00317E70">
        <w:rPr>
          <w:rFonts w:ascii="Arial" w:hAnsi="Arial"/>
          <w:sz w:val="22"/>
        </w:rPr>
        <w:t>l</w:t>
      </w:r>
      <w:r w:rsidR="00554803">
        <w:rPr>
          <w:rFonts w:ascii="Arial" w:hAnsi="Arial"/>
          <w:sz w:val="22"/>
        </w:rPr>
        <w:t>os Términos de Referencia</w:t>
      </w:r>
      <w:r w:rsidR="0071509A" w:rsidRPr="00317E70">
        <w:rPr>
          <w:rFonts w:ascii="Arial" w:hAnsi="Arial"/>
          <w:sz w:val="22"/>
        </w:rPr>
        <w:t xml:space="preserve"> frente al ámbito de</w:t>
      </w:r>
      <w:r w:rsidR="00554803">
        <w:rPr>
          <w:rFonts w:ascii="Arial" w:hAnsi="Arial"/>
          <w:sz w:val="22"/>
        </w:rPr>
        <w:t xml:space="preserve"> </w:t>
      </w:r>
      <w:r w:rsidR="0071509A" w:rsidRPr="00317E70">
        <w:rPr>
          <w:rFonts w:ascii="Arial" w:hAnsi="Arial"/>
          <w:sz w:val="22"/>
        </w:rPr>
        <w:t>l</w:t>
      </w:r>
      <w:r w:rsidR="00554803">
        <w:rPr>
          <w:rFonts w:ascii="Arial" w:hAnsi="Arial"/>
          <w:sz w:val="22"/>
        </w:rPr>
        <w:t>as Reglas de Procedimiento</w:t>
      </w:r>
      <w:r w:rsidR="0071509A" w:rsidRPr="00317E70">
        <w:rPr>
          <w:rFonts w:ascii="Arial" w:hAnsi="Arial"/>
          <w:sz w:val="22"/>
        </w:rPr>
        <w:t>, la Secretaría examinó el ámbito actual de</w:t>
      </w:r>
      <w:r w:rsidR="00554803">
        <w:rPr>
          <w:rFonts w:ascii="Arial" w:hAnsi="Arial"/>
          <w:sz w:val="22"/>
        </w:rPr>
        <w:t xml:space="preserve"> </w:t>
      </w:r>
      <w:r w:rsidR="0071509A" w:rsidRPr="00317E70">
        <w:rPr>
          <w:rFonts w:ascii="Arial" w:hAnsi="Arial"/>
          <w:sz w:val="22"/>
        </w:rPr>
        <w:t>l</w:t>
      </w:r>
      <w:r w:rsidR="00554803">
        <w:rPr>
          <w:rFonts w:ascii="Arial" w:hAnsi="Arial"/>
          <w:sz w:val="22"/>
        </w:rPr>
        <w:t>as Reglas de Procedimiento</w:t>
      </w:r>
      <w:r w:rsidR="0071509A" w:rsidRPr="00317E70">
        <w:rPr>
          <w:rFonts w:ascii="Arial" w:hAnsi="Arial"/>
          <w:sz w:val="22"/>
        </w:rPr>
        <w:t xml:space="preserve"> junto con los documentos comparables relativos a los órganos consultivos establecidos en el marco de otros 11 AAM, tanto pertenecientes a la familia de la CMS como ajenas a la misma.</w:t>
      </w:r>
      <w:r w:rsidR="00554803">
        <w:rPr>
          <w:rFonts w:ascii="Arial" w:hAnsi="Arial"/>
          <w:sz w:val="22"/>
        </w:rPr>
        <w:t xml:space="preserve"> Finalmente se decidió centrar </w:t>
      </w:r>
      <w:r w:rsidR="0071509A" w:rsidRPr="00317E70">
        <w:rPr>
          <w:rFonts w:ascii="Arial" w:hAnsi="Arial"/>
          <w:sz w:val="22"/>
        </w:rPr>
        <w:t>l</w:t>
      </w:r>
      <w:r w:rsidR="00554803">
        <w:rPr>
          <w:rFonts w:ascii="Arial" w:hAnsi="Arial"/>
          <w:sz w:val="22"/>
        </w:rPr>
        <w:t>os Términos de Referencia</w:t>
      </w:r>
      <w:r w:rsidR="0071509A" w:rsidRPr="00317E70">
        <w:rPr>
          <w:rFonts w:ascii="Arial" w:hAnsi="Arial"/>
          <w:sz w:val="22"/>
        </w:rPr>
        <w:t xml:space="preserve"> en i) las funciones del Consejo Científico y del Comité del período de sesiones; ii) el nombramiento de sus miembros; iii) el papel desempeñado por los distintos miembros; iv) la interacción del Consejo Científico con otros marcos/organizaciones. Se espera que </w:t>
      </w:r>
      <w:r w:rsidR="00554803">
        <w:rPr>
          <w:rFonts w:ascii="Arial" w:hAnsi="Arial"/>
          <w:sz w:val="22"/>
        </w:rPr>
        <w:t>las Reglas de Procedimien</w:t>
      </w:r>
      <w:r w:rsidR="000A5DE1">
        <w:rPr>
          <w:rFonts w:ascii="Arial" w:hAnsi="Arial"/>
          <w:sz w:val="22"/>
        </w:rPr>
        <w:t>t</w:t>
      </w:r>
      <w:r w:rsidR="00554803">
        <w:rPr>
          <w:rFonts w:ascii="Arial" w:hAnsi="Arial"/>
          <w:sz w:val="22"/>
        </w:rPr>
        <w:t>o</w:t>
      </w:r>
      <w:r w:rsidR="0071509A" w:rsidRPr="00317E70">
        <w:rPr>
          <w:rFonts w:ascii="Arial" w:hAnsi="Arial"/>
          <w:sz w:val="22"/>
        </w:rPr>
        <w:t xml:space="preserve"> se ocupe</w:t>
      </w:r>
      <w:r w:rsidR="00554803">
        <w:rPr>
          <w:rFonts w:ascii="Arial" w:hAnsi="Arial"/>
          <w:sz w:val="22"/>
        </w:rPr>
        <w:t>n</w:t>
      </w:r>
      <w:r w:rsidR="0071509A" w:rsidRPr="00317E70">
        <w:rPr>
          <w:rFonts w:ascii="Arial" w:hAnsi="Arial"/>
          <w:sz w:val="22"/>
        </w:rPr>
        <w:t xml:space="preserve"> de las cuestiones de procedimiento, como sucede ya actualmente en gran parte.</w:t>
      </w:r>
    </w:p>
    <w:p w:rsidR="0071509A" w:rsidRPr="00317E70" w:rsidRDefault="0071509A" w:rsidP="008D5D15">
      <w:pPr>
        <w:pStyle w:val="ListParagraph"/>
        <w:rPr>
          <w:rFonts w:ascii="Arial" w:hAnsi="Arial" w:cs="Arial"/>
          <w:sz w:val="22"/>
          <w:szCs w:val="22"/>
        </w:rPr>
      </w:pPr>
    </w:p>
    <w:p w:rsidR="0071509A" w:rsidRPr="00317E70" w:rsidRDefault="0071509A" w:rsidP="008D5D15">
      <w:pPr>
        <w:numPr>
          <w:ilvl w:val="0"/>
          <w:numId w:val="2"/>
        </w:numPr>
        <w:contextualSpacing/>
        <w:jc w:val="both"/>
        <w:rPr>
          <w:rFonts w:ascii="Arial" w:hAnsi="Arial" w:cs="Arial"/>
          <w:sz w:val="22"/>
          <w:szCs w:val="22"/>
        </w:rPr>
      </w:pPr>
      <w:r w:rsidRPr="00317E70">
        <w:rPr>
          <w:rFonts w:ascii="Arial" w:hAnsi="Arial"/>
          <w:sz w:val="22"/>
        </w:rPr>
        <w:t xml:space="preserve">La sustancia principal del proyecto de </w:t>
      </w:r>
      <w:r w:rsidR="00554803">
        <w:rPr>
          <w:rFonts w:ascii="Arial" w:hAnsi="Arial"/>
          <w:sz w:val="22"/>
        </w:rPr>
        <w:t>los Términos de Referencia</w:t>
      </w:r>
      <w:r w:rsidRPr="00317E70">
        <w:rPr>
          <w:rFonts w:ascii="Arial" w:hAnsi="Arial"/>
          <w:sz w:val="22"/>
        </w:rPr>
        <w:t xml:space="preserve"> se ha tomado del texto de la Convención y las diversas resoluciones pertinentes de la COP. Se ha procurado mantener la mayor fidelidad posible a los textos originales. Sin embargo, se han realizado algunos ajustes al consolidar fragmentos de textos relativos a la misma cuestión o cuando se ha observado que las disposiciones diferían claramente de la práctica establecida. Se han utilizado y adaptado también, según procediera, algunos textos de documentos pertinentes del CDB y de la CITES, p. ej., para las secciones sobre los principios operativos y los deberes de los miembros.</w:t>
      </w:r>
    </w:p>
    <w:p w:rsidR="0071509A" w:rsidRPr="00317E70" w:rsidRDefault="0071509A" w:rsidP="008D5D15">
      <w:pPr>
        <w:widowControl/>
        <w:autoSpaceDE/>
        <w:autoSpaceDN/>
        <w:adjustRightInd/>
        <w:ind w:left="360"/>
        <w:contextualSpacing/>
        <w:jc w:val="both"/>
        <w:rPr>
          <w:rFonts w:ascii="Arial" w:hAnsi="Arial" w:cs="Arial"/>
          <w:sz w:val="22"/>
          <w:szCs w:val="22"/>
        </w:rPr>
      </w:pPr>
    </w:p>
    <w:p w:rsidR="0071509A" w:rsidRPr="00317E70" w:rsidRDefault="0071509A" w:rsidP="007313D2">
      <w:pPr>
        <w:widowControl/>
        <w:numPr>
          <w:ilvl w:val="0"/>
          <w:numId w:val="2"/>
        </w:numPr>
        <w:autoSpaceDE/>
        <w:autoSpaceDN/>
        <w:adjustRightInd/>
        <w:contextualSpacing/>
        <w:jc w:val="both"/>
        <w:rPr>
          <w:rFonts w:ascii="Arial" w:hAnsi="Arial" w:cs="Arial"/>
          <w:sz w:val="22"/>
          <w:szCs w:val="22"/>
        </w:rPr>
      </w:pPr>
      <w:r w:rsidRPr="00317E70">
        <w:rPr>
          <w:rFonts w:ascii="Arial" w:hAnsi="Arial"/>
          <w:sz w:val="22"/>
        </w:rPr>
        <w:t xml:space="preserve">La Secretaría señala que en el documento UNEP/CMS/COP12/Doc.17.2 se invita a la COP12 a que examine la posibilidad de identificar miembros  suplentes para la composición regional del Comité del período de sesiones del Consejo Científico. En caso </w:t>
      </w:r>
      <w:r w:rsidRPr="00317E70">
        <w:rPr>
          <w:rFonts w:ascii="Arial" w:hAnsi="Arial"/>
          <w:sz w:val="22"/>
        </w:rPr>
        <w:lastRenderedPageBreak/>
        <w:t xml:space="preserve">de aceptación, el nombramiento de miembros suplentes podría reflejarse en </w:t>
      </w:r>
      <w:r w:rsidR="000A5DE1">
        <w:rPr>
          <w:rFonts w:ascii="Arial" w:hAnsi="Arial"/>
          <w:sz w:val="22"/>
        </w:rPr>
        <w:t>los Términos de Referencia</w:t>
      </w:r>
      <w:r w:rsidRPr="00317E70">
        <w:rPr>
          <w:rFonts w:ascii="Arial" w:hAnsi="Arial"/>
          <w:sz w:val="22"/>
        </w:rPr>
        <w:t xml:space="preserve"> del Consejo Científico. </w:t>
      </w:r>
    </w:p>
    <w:p w:rsidR="0071509A" w:rsidRPr="00317E70" w:rsidRDefault="0071509A" w:rsidP="00A62BBE">
      <w:pPr>
        <w:pStyle w:val="ListParagraph"/>
        <w:rPr>
          <w:rFonts w:ascii="Arial" w:hAnsi="Arial" w:cs="Arial"/>
          <w:sz w:val="22"/>
          <w:szCs w:val="22"/>
        </w:rPr>
      </w:pPr>
    </w:p>
    <w:p w:rsidR="0071509A" w:rsidRPr="00317E70" w:rsidRDefault="0071509A" w:rsidP="00A62BBE">
      <w:pPr>
        <w:widowControl/>
        <w:numPr>
          <w:ilvl w:val="0"/>
          <w:numId w:val="2"/>
        </w:numPr>
        <w:autoSpaceDE/>
        <w:autoSpaceDN/>
        <w:adjustRightInd/>
        <w:contextualSpacing/>
        <w:jc w:val="both"/>
        <w:rPr>
          <w:rFonts w:ascii="Arial" w:hAnsi="Arial" w:cs="Arial"/>
          <w:sz w:val="22"/>
          <w:szCs w:val="22"/>
        </w:rPr>
      </w:pPr>
      <w:r w:rsidRPr="00317E70">
        <w:rPr>
          <w:rFonts w:ascii="Arial" w:hAnsi="Arial"/>
          <w:sz w:val="22"/>
        </w:rPr>
        <w:t xml:space="preserve">A reserva de su aprobación final por la Conferencia de las Partes, la Secretaría recomienda que </w:t>
      </w:r>
      <w:r w:rsidR="002272A7">
        <w:rPr>
          <w:rFonts w:ascii="Arial" w:hAnsi="Arial"/>
          <w:sz w:val="22"/>
        </w:rPr>
        <w:t>los Términos de Referencia</w:t>
      </w:r>
      <w:r w:rsidRPr="00317E70">
        <w:rPr>
          <w:rFonts w:ascii="Arial" w:hAnsi="Arial"/>
          <w:sz w:val="22"/>
        </w:rPr>
        <w:t xml:space="preserve"> sea</w:t>
      </w:r>
      <w:r w:rsidR="002272A7">
        <w:rPr>
          <w:rFonts w:ascii="Arial" w:hAnsi="Arial"/>
          <w:sz w:val="22"/>
        </w:rPr>
        <w:t>n</w:t>
      </w:r>
      <w:r w:rsidRPr="00317E70">
        <w:rPr>
          <w:rFonts w:ascii="Arial" w:hAnsi="Arial"/>
          <w:sz w:val="22"/>
        </w:rPr>
        <w:t xml:space="preserve"> incorporado</w:t>
      </w:r>
      <w:r w:rsidR="002272A7">
        <w:rPr>
          <w:rFonts w:ascii="Arial" w:hAnsi="Arial"/>
          <w:sz w:val="22"/>
        </w:rPr>
        <w:t>s</w:t>
      </w:r>
      <w:r w:rsidRPr="00317E70">
        <w:rPr>
          <w:rFonts w:ascii="Arial" w:hAnsi="Arial"/>
          <w:sz w:val="22"/>
        </w:rPr>
        <w:t xml:space="preserve"> como anexo en la resolución consolidada sobre el Consejo Científico, un proyecto del cual se presentará a la COP12 en el documento UNEP/CMS/COP12/Doc.21.2.6 como parte del proceso de examen descrito en el documento UNEP/CMS/COP12/Doc.21. Se invita, por tanto, a las Partes a que consulten el documento UNEP/CMS/COP12/Doc.21.2.6 conjuntamente con este documento.</w:t>
      </w:r>
    </w:p>
    <w:p w:rsidR="0071509A" w:rsidRPr="00317E70" w:rsidRDefault="0071509A" w:rsidP="009638C1">
      <w:pPr>
        <w:pStyle w:val="ListParagraph"/>
        <w:rPr>
          <w:rFonts w:ascii="Arial" w:hAnsi="Arial" w:cs="Arial"/>
          <w:sz w:val="22"/>
          <w:szCs w:val="22"/>
        </w:rPr>
      </w:pPr>
    </w:p>
    <w:p w:rsidR="0071509A" w:rsidRDefault="0071509A" w:rsidP="00227BDF">
      <w:pPr>
        <w:widowControl/>
        <w:autoSpaceDE/>
        <w:autoSpaceDN/>
        <w:adjustRightInd/>
        <w:jc w:val="both"/>
        <w:rPr>
          <w:rFonts w:ascii="Arial" w:hAnsi="Arial"/>
          <w:sz w:val="22"/>
          <w:u w:val="single"/>
        </w:rPr>
      </w:pPr>
      <w:r w:rsidRPr="00317E70">
        <w:rPr>
          <w:rFonts w:ascii="Arial" w:hAnsi="Arial"/>
          <w:sz w:val="22"/>
          <w:u w:val="single"/>
        </w:rPr>
        <w:t>Revisión de</w:t>
      </w:r>
      <w:r w:rsidR="00554803">
        <w:rPr>
          <w:rFonts w:ascii="Arial" w:hAnsi="Arial"/>
          <w:sz w:val="22"/>
          <w:u w:val="single"/>
        </w:rPr>
        <w:t xml:space="preserve"> </w:t>
      </w:r>
      <w:r w:rsidRPr="00317E70">
        <w:rPr>
          <w:rFonts w:ascii="Arial" w:hAnsi="Arial"/>
          <w:sz w:val="22"/>
          <w:u w:val="single"/>
        </w:rPr>
        <w:t>l</w:t>
      </w:r>
      <w:r w:rsidR="00554803">
        <w:rPr>
          <w:rFonts w:ascii="Arial" w:hAnsi="Arial"/>
          <w:sz w:val="22"/>
          <w:u w:val="single"/>
        </w:rPr>
        <w:t>as Reglas de Procedimiento</w:t>
      </w:r>
      <w:r w:rsidRPr="00317E70">
        <w:rPr>
          <w:rFonts w:ascii="Arial" w:hAnsi="Arial"/>
          <w:sz w:val="22"/>
          <w:u w:val="single"/>
        </w:rPr>
        <w:t xml:space="preserve"> del Consejo Científico</w:t>
      </w:r>
    </w:p>
    <w:p w:rsidR="00227BDF" w:rsidRPr="00317E70" w:rsidRDefault="00227BDF" w:rsidP="00227BDF">
      <w:pPr>
        <w:widowControl/>
        <w:autoSpaceDE/>
        <w:autoSpaceDN/>
        <w:adjustRightInd/>
        <w:jc w:val="both"/>
        <w:rPr>
          <w:rFonts w:ascii="Arial" w:hAnsi="Arial" w:cs="Arial"/>
          <w:sz w:val="22"/>
          <w:szCs w:val="22"/>
          <w:u w:val="single"/>
        </w:rPr>
      </w:pPr>
    </w:p>
    <w:p w:rsidR="0071509A" w:rsidRPr="00317E70" w:rsidRDefault="0071509A" w:rsidP="007D1D3A">
      <w:pPr>
        <w:widowControl/>
        <w:numPr>
          <w:ilvl w:val="0"/>
          <w:numId w:val="2"/>
        </w:numPr>
        <w:autoSpaceDE/>
        <w:autoSpaceDN/>
        <w:adjustRightInd/>
        <w:contextualSpacing/>
        <w:jc w:val="both"/>
        <w:rPr>
          <w:rFonts w:ascii="Arial" w:hAnsi="Arial" w:cs="Arial"/>
          <w:sz w:val="22"/>
          <w:szCs w:val="22"/>
        </w:rPr>
      </w:pPr>
      <w:r w:rsidRPr="00317E70">
        <w:rPr>
          <w:rFonts w:ascii="Arial" w:hAnsi="Arial"/>
          <w:sz w:val="22"/>
        </w:rPr>
        <w:t>La cuestión de la revisión de</w:t>
      </w:r>
      <w:r w:rsidR="00554803">
        <w:rPr>
          <w:rFonts w:ascii="Arial" w:hAnsi="Arial"/>
          <w:sz w:val="22"/>
        </w:rPr>
        <w:t xml:space="preserve"> </w:t>
      </w:r>
      <w:r w:rsidRPr="00317E70">
        <w:rPr>
          <w:rFonts w:ascii="Arial" w:hAnsi="Arial"/>
          <w:sz w:val="22"/>
        </w:rPr>
        <w:t>l</w:t>
      </w:r>
      <w:r w:rsidR="00554803">
        <w:rPr>
          <w:rFonts w:ascii="Arial" w:hAnsi="Arial"/>
          <w:sz w:val="22"/>
        </w:rPr>
        <w:t>as Reglas de Procedimiento</w:t>
      </w:r>
      <w:r w:rsidRPr="00317E70">
        <w:rPr>
          <w:rFonts w:ascii="Arial" w:hAnsi="Arial"/>
          <w:sz w:val="22"/>
        </w:rPr>
        <w:t xml:space="preserve"> del Consejo Científico fue examinada por el Comité del período de sesiones en su primera reunión (Bonn, 18-21 de abril de 2016), sobre la base de un análisis preliminar de las secciones de</w:t>
      </w:r>
      <w:r w:rsidR="00554803">
        <w:rPr>
          <w:rFonts w:ascii="Arial" w:hAnsi="Arial"/>
          <w:sz w:val="22"/>
        </w:rPr>
        <w:t xml:space="preserve"> las Reglas de Procedimiento</w:t>
      </w:r>
      <w:r w:rsidRPr="00317E70">
        <w:rPr>
          <w:rFonts w:ascii="Arial" w:hAnsi="Arial"/>
          <w:sz w:val="22"/>
        </w:rPr>
        <w:t xml:space="preserve"> vigente</w:t>
      </w:r>
      <w:r w:rsidR="00554803">
        <w:rPr>
          <w:rFonts w:ascii="Arial" w:hAnsi="Arial"/>
          <w:sz w:val="22"/>
        </w:rPr>
        <w:t xml:space="preserve">s </w:t>
      </w:r>
      <w:r w:rsidRPr="00317E70">
        <w:rPr>
          <w:rFonts w:ascii="Arial" w:hAnsi="Arial"/>
          <w:sz w:val="22"/>
        </w:rPr>
        <w:t xml:space="preserve">en espera de revisión, preparado por la Secretaría (documento </w:t>
      </w:r>
      <w:hyperlink r:id="rId19">
        <w:r w:rsidRPr="00317E70">
          <w:rPr>
            <w:rStyle w:val="Hyperlink"/>
            <w:rFonts w:ascii="Arial" w:hAnsi="Arial"/>
            <w:sz w:val="22"/>
          </w:rPr>
          <w:t>UNEP/CMS/ScC-SC1/Doc.3.2</w:t>
        </w:r>
      </w:hyperlink>
      <w:r w:rsidRPr="00317E70">
        <w:t>).</w:t>
      </w:r>
    </w:p>
    <w:p w:rsidR="0071509A" w:rsidRPr="00317E70" w:rsidRDefault="0071509A" w:rsidP="00C8752B">
      <w:pPr>
        <w:widowControl/>
        <w:autoSpaceDE/>
        <w:autoSpaceDN/>
        <w:adjustRightInd/>
        <w:ind w:left="360"/>
        <w:contextualSpacing/>
        <w:jc w:val="both"/>
        <w:rPr>
          <w:rFonts w:ascii="Arial" w:hAnsi="Arial" w:cs="Arial"/>
          <w:sz w:val="22"/>
          <w:szCs w:val="22"/>
        </w:rPr>
      </w:pPr>
    </w:p>
    <w:p w:rsidR="0071509A" w:rsidRPr="00317E70" w:rsidRDefault="0071509A" w:rsidP="00C8752B">
      <w:pPr>
        <w:widowControl/>
        <w:numPr>
          <w:ilvl w:val="0"/>
          <w:numId w:val="2"/>
        </w:numPr>
        <w:autoSpaceDE/>
        <w:autoSpaceDN/>
        <w:adjustRightInd/>
        <w:contextualSpacing/>
        <w:jc w:val="both"/>
        <w:rPr>
          <w:rFonts w:ascii="Arial" w:hAnsi="Arial" w:cs="Arial"/>
          <w:sz w:val="22"/>
          <w:szCs w:val="22"/>
        </w:rPr>
      </w:pPr>
      <w:r w:rsidRPr="00317E70">
        <w:rPr>
          <w:rFonts w:ascii="Arial" w:hAnsi="Arial"/>
          <w:sz w:val="22"/>
        </w:rPr>
        <w:t>La producción de una versión revisada de</w:t>
      </w:r>
      <w:r w:rsidR="000A5DE1">
        <w:rPr>
          <w:rFonts w:ascii="Arial" w:hAnsi="Arial"/>
          <w:sz w:val="22"/>
        </w:rPr>
        <w:t xml:space="preserve"> las Reglas de Procedimiento</w:t>
      </w:r>
      <w:r w:rsidRPr="00317E70">
        <w:rPr>
          <w:rFonts w:ascii="Arial" w:hAnsi="Arial"/>
          <w:sz w:val="22"/>
        </w:rPr>
        <w:t xml:space="preserve"> se incluyó en el Programa de trabajo del Comité del período de sesiones bajo la responsabilidad de un Grupo de trabajo sobre asuntos institucionales y jurídicos. La programación de la activi</w:t>
      </w:r>
      <w:r w:rsidR="000A5DE1">
        <w:rPr>
          <w:rFonts w:ascii="Arial" w:hAnsi="Arial"/>
          <w:sz w:val="22"/>
        </w:rPr>
        <w:t>dad preveía la presentación de los Términos de Referencia</w:t>
      </w:r>
      <w:r w:rsidRPr="00317E70">
        <w:rPr>
          <w:rFonts w:ascii="Arial" w:hAnsi="Arial"/>
          <w:sz w:val="22"/>
        </w:rPr>
        <w:t xml:space="preserve"> revisado</w:t>
      </w:r>
      <w:r w:rsidR="000A5DE1">
        <w:rPr>
          <w:rFonts w:ascii="Arial" w:hAnsi="Arial"/>
          <w:sz w:val="22"/>
        </w:rPr>
        <w:t>s</w:t>
      </w:r>
      <w:r w:rsidRPr="00317E70">
        <w:rPr>
          <w:rFonts w:ascii="Arial" w:hAnsi="Arial"/>
          <w:sz w:val="22"/>
        </w:rPr>
        <w:t xml:space="preserve"> a la 45ª reunión del Comité Permanente (StC45).  Sin embargo, las limitaciones de tiempo y las restricciones de capacidad en el ámbito de la Secretaría impidieron ajustarse a los plazos para la presentación de los documentos a la</w:t>
      </w:r>
      <w:r w:rsidR="001E07AD" w:rsidRPr="00317E70">
        <w:rPr>
          <w:rFonts w:ascii="Arial" w:hAnsi="Arial"/>
          <w:sz w:val="22"/>
        </w:rPr>
        <w:t xml:space="preserve"> </w:t>
      </w:r>
      <w:r w:rsidRPr="00317E70">
        <w:rPr>
          <w:rFonts w:ascii="Arial" w:hAnsi="Arial"/>
          <w:sz w:val="22"/>
        </w:rPr>
        <w:t xml:space="preserve">StC45. </w:t>
      </w:r>
    </w:p>
    <w:p w:rsidR="0071509A" w:rsidRPr="00317E70" w:rsidRDefault="0071509A" w:rsidP="00C8752B">
      <w:pPr>
        <w:pStyle w:val="ListParagraph"/>
        <w:widowControl/>
        <w:autoSpaceDE/>
        <w:autoSpaceDN/>
        <w:adjustRightInd/>
        <w:ind w:left="360"/>
        <w:jc w:val="both"/>
        <w:rPr>
          <w:rFonts w:ascii="Arial" w:hAnsi="Arial" w:cs="Arial"/>
          <w:sz w:val="22"/>
          <w:szCs w:val="22"/>
        </w:rPr>
      </w:pPr>
    </w:p>
    <w:p w:rsidR="0071509A" w:rsidRPr="00317E70" w:rsidRDefault="0071509A" w:rsidP="00C8752B">
      <w:pPr>
        <w:pStyle w:val="ListParagraph"/>
        <w:widowControl/>
        <w:numPr>
          <w:ilvl w:val="0"/>
          <w:numId w:val="2"/>
        </w:numPr>
        <w:autoSpaceDE/>
        <w:autoSpaceDN/>
        <w:adjustRightInd/>
        <w:jc w:val="both"/>
        <w:rPr>
          <w:rFonts w:ascii="Arial" w:hAnsi="Arial" w:cs="Arial"/>
          <w:sz w:val="22"/>
          <w:szCs w:val="22"/>
        </w:rPr>
      </w:pPr>
      <w:r w:rsidRPr="00317E70">
        <w:rPr>
          <w:rFonts w:ascii="Arial" w:hAnsi="Arial"/>
          <w:sz w:val="22"/>
        </w:rPr>
        <w:t>El Grupo de trabajo se reunió dos veces durante la segunda reunión del Comité del período de sesiones (Bonn, 10-13 de julio de 2017), para examinar un documento de opciones sobre las enmiendas propuestas a</w:t>
      </w:r>
      <w:r w:rsidR="000A5DE1">
        <w:rPr>
          <w:rFonts w:ascii="Arial" w:hAnsi="Arial"/>
          <w:sz w:val="22"/>
        </w:rPr>
        <w:t xml:space="preserve"> </w:t>
      </w:r>
      <w:r w:rsidRPr="00317E70">
        <w:rPr>
          <w:rFonts w:ascii="Arial" w:hAnsi="Arial"/>
          <w:sz w:val="22"/>
        </w:rPr>
        <w:t>l</w:t>
      </w:r>
      <w:r w:rsidR="000A5DE1">
        <w:rPr>
          <w:rFonts w:ascii="Arial" w:hAnsi="Arial"/>
          <w:sz w:val="22"/>
        </w:rPr>
        <w:t>as Reglas de Procedimiento</w:t>
      </w:r>
      <w:r w:rsidRPr="00317E70">
        <w:rPr>
          <w:rFonts w:ascii="Arial" w:hAnsi="Arial"/>
          <w:sz w:val="22"/>
        </w:rPr>
        <w:t xml:space="preserve"> preparado por la Secretaría. Reconociend</w:t>
      </w:r>
      <w:r w:rsidR="000A5DE1">
        <w:rPr>
          <w:rFonts w:ascii="Arial" w:hAnsi="Arial"/>
          <w:sz w:val="22"/>
        </w:rPr>
        <w:t>o la complejidad de codificar nuevas Reglas de Procedimiento,</w:t>
      </w:r>
      <w:r w:rsidRPr="00317E70">
        <w:rPr>
          <w:rFonts w:ascii="Arial" w:hAnsi="Arial"/>
          <w:sz w:val="22"/>
        </w:rPr>
        <w:t xml:space="preserve"> y la necesidad de contar con </w:t>
      </w:r>
      <w:r w:rsidR="000A5DE1">
        <w:rPr>
          <w:rFonts w:ascii="Arial" w:hAnsi="Arial"/>
          <w:sz w:val="22"/>
        </w:rPr>
        <w:t>Reglas de Procedimiento sólidas</w:t>
      </w:r>
      <w:r w:rsidRPr="00317E70">
        <w:rPr>
          <w:rFonts w:ascii="Arial" w:hAnsi="Arial"/>
          <w:sz w:val="22"/>
        </w:rPr>
        <w:t xml:space="preserve"> que pudiera</w:t>
      </w:r>
      <w:r w:rsidR="000A5DE1">
        <w:rPr>
          <w:rFonts w:ascii="Arial" w:hAnsi="Arial"/>
          <w:sz w:val="22"/>
        </w:rPr>
        <w:t>n</w:t>
      </w:r>
      <w:r w:rsidRPr="00317E70">
        <w:rPr>
          <w:rFonts w:ascii="Arial" w:hAnsi="Arial"/>
          <w:sz w:val="22"/>
        </w:rPr>
        <w:t xml:space="preserve"> superar la prueba del tiempo, el Grupo de trabajo recomendó una revisión del calendario para la realización de la actividad, que preveía la producción de un proyecto de Regla</w:t>
      </w:r>
      <w:r w:rsidR="000A5DE1">
        <w:rPr>
          <w:rFonts w:ascii="Arial" w:hAnsi="Arial"/>
          <w:sz w:val="22"/>
        </w:rPr>
        <w:t>s de Procedimiento revisadas</w:t>
      </w:r>
      <w:r w:rsidRPr="00317E70">
        <w:rPr>
          <w:rFonts w:ascii="Arial" w:hAnsi="Arial"/>
          <w:sz w:val="22"/>
        </w:rPr>
        <w:t xml:space="preserve"> para principios de 2018, para que fuera consultado con el Consejo Científico en pleno y se presentara un documento para la próxima reunión del Comité del período de sesiones. </w:t>
      </w:r>
    </w:p>
    <w:p w:rsidR="0071509A" w:rsidRPr="00317E70" w:rsidRDefault="0071509A" w:rsidP="007F3C67">
      <w:pPr>
        <w:ind w:left="360"/>
        <w:rPr>
          <w:rFonts w:ascii="Arial" w:hAnsi="Arial" w:cs="Arial"/>
          <w:i/>
          <w:iCs/>
          <w:sz w:val="24"/>
        </w:rPr>
      </w:pPr>
      <w:r w:rsidRPr="00317E70">
        <w:rPr>
          <w:rFonts w:ascii="Arial" w:hAnsi="Arial"/>
          <w:sz w:val="22"/>
        </w:rPr>
        <w:t xml:space="preserve">  </w:t>
      </w:r>
    </w:p>
    <w:p w:rsidR="0071509A" w:rsidRPr="00317E70" w:rsidRDefault="0071509A" w:rsidP="007910DD">
      <w:pPr>
        <w:jc w:val="both"/>
        <w:rPr>
          <w:rFonts w:ascii="Arial" w:hAnsi="Arial" w:cs="Arial"/>
          <w:sz w:val="22"/>
          <w:szCs w:val="22"/>
        </w:rPr>
      </w:pPr>
    </w:p>
    <w:p w:rsidR="0071509A" w:rsidRPr="00317E70" w:rsidRDefault="0071509A" w:rsidP="007910DD">
      <w:pPr>
        <w:rPr>
          <w:rFonts w:ascii="Arial" w:hAnsi="Arial" w:cs="Arial"/>
          <w:sz w:val="22"/>
          <w:szCs w:val="22"/>
        </w:rPr>
      </w:pPr>
      <w:r w:rsidRPr="00317E70">
        <w:rPr>
          <w:rFonts w:ascii="Arial" w:hAnsi="Arial"/>
          <w:sz w:val="22"/>
          <w:u w:val="single"/>
        </w:rPr>
        <w:t>Medidas que se recomiendan</w:t>
      </w:r>
    </w:p>
    <w:p w:rsidR="0071509A" w:rsidRPr="00317E70" w:rsidRDefault="0071509A" w:rsidP="007910DD">
      <w:pPr>
        <w:rPr>
          <w:rFonts w:ascii="Arial" w:hAnsi="Arial" w:cs="Arial"/>
          <w:sz w:val="22"/>
          <w:szCs w:val="22"/>
        </w:rPr>
      </w:pPr>
    </w:p>
    <w:p w:rsidR="0071509A" w:rsidRPr="00317E70" w:rsidRDefault="0071509A" w:rsidP="005D026E">
      <w:pPr>
        <w:numPr>
          <w:ilvl w:val="0"/>
          <w:numId w:val="2"/>
        </w:numPr>
        <w:jc w:val="both"/>
        <w:rPr>
          <w:rFonts w:ascii="Arial" w:hAnsi="Arial" w:cs="Arial"/>
          <w:sz w:val="22"/>
          <w:szCs w:val="22"/>
        </w:rPr>
      </w:pPr>
      <w:r w:rsidRPr="00317E70">
        <w:rPr>
          <w:rFonts w:ascii="Arial" w:hAnsi="Arial"/>
          <w:sz w:val="22"/>
        </w:rPr>
        <w:t>Se recomienda a la Conferencia de las Partes que:</w:t>
      </w:r>
    </w:p>
    <w:p w:rsidR="0071509A" w:rsidRPr="00317E70" w:rsidRDefault="0071509A" w:rsidP="007910DD">
      <w:pPr>
        <w:jc w:val="both"/>
        <w:rPr>
          <w:rFonts w:ascii="Arial" w:hAnsi="Arial" w:cs="Arial"/>
          <w:sz w:val="22"/>
          <w:szCs w:val="22"/>
        </w:rPr>
      </w:pPr>
    </w:p>
    <w:p w:rsidR="0071509A" w:rsidRPr="00317E70" w:rsidRDefault="0071509A" w:rsidP="008154C8">
      <w:pPr>
        <w:widowControl/>
        <w:numPr>
          <w:ilvl w:val="0"/>
          <w:numId w:val="3"/>
        </w:numPr>
        <w:autoSpaceDE/>
        <w:adjustRightInd/>
        <w:contextualSpacing/>
        <w:jc w:val="both"/>
        <w:rPr>
          <w:rFonts w:ascii="Arial" w:hAnsi="Arial" w:cs="Arial"/>
          <w:sz w:val="22"/>
          <w:szCs w:val="22"/>
        </w:rPr>
      </w:pPr>
      <w:r w:rsidRPr="00317E70">
        <w:rPr>
          <w:rFonts w:ascii="Arial" w:hAnsi="Arial"/>
          <w:sz w:val="22"/>
        </w:rPr>
        <w:t>tome nota de los progresos realizados en la aplicación de la Resolución 11.4</w:t>
      </w:r>
      <w:r w:rsidR="001E07AD" w:rsidRPr="00317E70">
        <w:rPr>
          <w:rFonts w:ascii="Arial" w:hAnsi="Arial"/>
          <w:sz w:val="22"/>
        </w:rPr>
        <w:t>;</w:t>
      </w:r>
    </w:p>
    <w:p w:rsidR="0071509A" w:rsidRPr="00317E70" w:rsidRDefault="0071509A" w:rsidP="000945BB">
      <w:pPr>
        <w:widowControl/>
        <w:autoSpaceDE/>
        <w:adjustRightInd/>
        <w:ind w:left="1440"/>
        <w:contextualSpacing/>
        <w:jc w:val="both"/>
        <w:rPr>
          <w:rFonts w:ascii="Arial" w:hAnsi="Arial" w:cs="Arial"/>
          <w:sz w:val="22"/>
          <w:szCs w:val="22"/>
        </w:rPr>
      </w:pPr>
    </w:p>
    <w:p w:rsidR="0071509A" w:rsidRPr="00317E70" w:rsidRDefault="0071509A" w:rsidP="005D026E">
      <w:pPr>
        <w:widowControl/>
        <w:numPr>
          <w:ilvl w:val="0"/>
          <w:numId w:val="3"/>
        </w:numPr>
        <w:autoSpaceDE/>
        <w:adjustRightInd/>
        <w:contextualSpacing/>
        <w:jc w:val="both"/>
        <w:rPr>
          <w:rFonts w:ascii="Arial" w:hAnsi="Arial" w:cs="Arial"/>
          <w:sz w:val="22"/>
          <w:szCs w:val="22"/>
        </w:rPr>
      </w:pPr>
      <w:r w:rsidRPr="00317E70">
        <w:rPr>
          <w:rFonts w:ascii="Arial" w:hAnsi="Arial"/>
          <w:sz w:val="22"/>
        </w:rPr>
        <w:t xml:space="preserve">examine y apruebe </w:t>
      </w:r>
      <w:r w:rsidR="002272A7">
        <w:rPr>
          <w:rFonts w:ascii="Arial" w:hAnsi="Arial"/>
          <w:sz w:val="22"/>
        </w:rPr>
        <w:t>los Términos de Referencia</w:t>
      </w:r>
      <w:r w:rsidRPr="00317E70">
        <w:rPr>
          <w:rFonts w:ascii="Arial" w:hAnsi="Arial"/>
          <w:sz w:val="22"/>
        </w:rPr>
        <w:t xml:space="preserve"> para el Consejo Científico de la CMS, que figura</w:t>
      </w:r>
      <w:r w:rsidR="00A96941">
        <w:rPr>
          <w:rFonts w:ascii="Arial" w:hAnsi="Arial"/>
          <w:sz w:val="22"/>
        </w:rPr>
        <w:t>n</w:t>
      </w:r>
      <w:r w:rsidRPr="00317E70">
        <w:rPr>
          <w:rFonts w:ascii="Arial" w:hAnsi="Arial"/>
          <w:sz w:val="22"/>
        </w:rPr>
        <w:t xml:space="preserve"> en el Anexo 1 del presente documento</w:t>
      </w:r>
      <w:r w:rsidR="001E07AD" w:rsidRPr="00317E70">
        <w:rPr>
          <w:rFonts w:ascii="Arial" w:hAnsi="Arial"/>
          <w:sz w:val="22"/>
        </w:rPr>
        <w:t>;</w:t>
      </w:r>
    </w:p>
    <w:p w:rsidR="0071509A" w:rsidRPr="00317E70" w:rsidRDefault="0071509A" w:rsidP="007910DD">
      <w:pPr>
        <w:widowControl/>
        <w:autoSpaceDE/>
        <w:adjustRightInd/>
        <w:ind w:left="1440"/>
        <w:contextualSpacing/>
        <w:jc w:val="both"/>
        <w:rPr>
          <w:rFonts w:ascii="Arial" w:hAnsi="Arial" w:cs="Arial"/>
          <w:sz w:val="22"/>
          <w:szCs w:val="22"/>
        </w:rPr>
      </w:pPr>
    </w:p>
    <w:p w:rsidR="0071509A" w:rsidRPr="00317E70" w:rsidRDefault="0071509A" w:rsidP="003446CF">
      <w:pPr>
        <w:widowControl/>
        <w:numPr>
          <w:ilvl w:val="0"/>
          <w:numId w:val="3"/>
        </w:numPr>
        <w:autoSpaceDE/>
        <w:adjustRightInd/>
        <w:contextualSpacing/>
        <w:jc w:val="both"/>
        <w:rPr>
          <w:rFonts w:ascii="Arial" w:hAnsi="Arial" w:cs="Arial"/>
          <w:sz w:val="22"/>
          <w:szCs w:val="22"/>
        </w:rPr>
      </w:pPr>
      <w:r w:rsidRPr="00317E70">
        <w:rPr>
          <w:rFonts w:ascii="Arial" w:hAnsi="Arial"/>
          <w:sz w:val="22"/>
        </w:rPr>
        <w:t>apruebe la incorporación de</w:t>
      </w:r>
      <w:r w:rsidR="002272A7">
        <w:rPr>
          <w:rFonts w:ascii="Arial" w:hAnsi="Arial"/>
          <w:sz w:val="22"/>
        </w:rPr>
        <w:t xml:space="preserve"> </w:t>
      </w:r>
      <w:r w:rsidRPr="00317E70">
        <w:rPr>
          <w:rFonts w:ascii="Arial" w:hAnsi="Arial"/>
          <w:sz w:val="22"/>
        </w:rPr>
        <w:t>l</w:t>
      </w:r>
      <w:r w:rsidR="002272A7">
        <w:rPr>
          <w:rFonts w:ascii="Arial" w:hAnsi="Arial"/>
          <w:sz w:val="22"/>
        </w:rPr>
        <w:t>os Términos de Referencia</w:t>
      </w:r>
      <w:r w:rsidRPr="00317E70">
        <w:rPr>
          <w:rFonts w:ascii="Arial" w:hAnsi="Arial"/>
          <w:sz w:val="22"/>
        </w:rPr>
        <w:t xml:space="preserve"> en la resolución consolidada sobre el Consejo Científico como un anexo. </w:t>
      </w:r>
    </w:p>
    <w:p w:rsidR="0071509A" w:rsidRPr="00317E70" w:rsidRDefault="0071509A" w:rsidP="003446CF">
      <w:pPr>
        <w:widowControl/>
        <w:autoSpaceDE/>
        <w:adjustRightInd/>
        <w:ind w:left="1440"/>
        <w:contextualSpacing/>
        <w:jc w:val="both"/>
        <w:rPr>
          <w:rFonts w:ascii="Arial" w:hAnsi="Arial" w:cs="Arial"/>
          <w:sz w:val="22"/>
          <w:szCs w:val="22"/>
        </w:rPr>
        <w:sectPr w:rsidR="0071509A" w:rsidRPr="00317E70" w:rsidSect="00227BDF">
          <w:headerReference w:type="first" r:id="rId20"/>
          <w:footerReference w:type="first" r:id="rId21"/>
          <w:endnotePr>
            <w:numFmt w:val="decimal"/>
          </w:endnotePr>
          <w:pgSz w:w="11907" w:h="16840" w:code="9"/>
          <w:pgMar w:top="1008" w:right="1411" w:bottom="1152" w:left="1411" w:header="432" w:footer="432" w:gutter="0"/>
          <w:cols w:space="720"/>
          <w:noEndnote/>
          <w:titlePg/>
          <w:docGrid w:linePitch="272"/>
        </w:sectPr>
      </w:pPr>
    </w:p>
    <w:p w:rsidR="00227BDF" w:rsidRDefault="00227BDF" w:rsidP="005318CB">
      <w:pPr>
        <w:jc w:val="right"/>
        <w:rPr>
          <w:rFonts w:ascii="Arial" w:hAnsi="Arial"/>
          <w:b/>
          <w:sz w:val="22"/>
        </w:rPr>
      </w:pPr>
    </w:p>
    <w:p w:rsidR="0071509A" w:rsidRPr="00317E70" w:rsidRDefault="0071509A" w:rsidP="005318CB">
      <w:pPr>
        <w:jc w:val="right"/>
        <w:rPr>
          <w:rFonts w:ascii="Arial" w:hAnsi="Arial" w:cs="Arial"/>
          <w:b/>
          <w:sz w:val="22"/>
          <w:szCs w:val="22"/>
        </w:rPr>
      </w:pPr>
      <w:r w:rsidRPr="00317E70">
        <w:rPr>
          <w:rFonts w:ascii="Arial" w:hAnsi="Arial"/>
          <w:b/>
          <w:sz w:val="22"/>
        </w:rPr>
        <w:t>ANEXO 1</w:t>
      </w:r>
    </w:p>
    <w:p w:rsidR="0071509A" w:rsidRPr="00317E70" w:rsidRDefault="0071509A" w:rsidP="005318CB">
      <w:pPr>
        <w:jc w:val="center"/>
        <w:rPr>
          <w:rFonts w:ascii="Arial" w:hAnsi="Arial" w:cs="Arial"/>
          <w:b/>
          <w:sz w:val="22"/>
          <w:szCs w:val="22"/>
        </w:rPr>
      </w:pPr>
    </w:p>
    <w:p w:rsidR="0071509A" w:rsidRPr="00317E70" w:rsidRDefault="0071509A" w:rsidP="005318CB">
      <w:pPr>
        <w:jc w:val="center"/>
        <w:rPr>
          <w:rFonts w:ascii="Arial" w:hAnsi="Arial" w:cs="Arial"/>
          <w:b/>
          <w:sz w:val="22"/>
          <w:szCs w:val="22"/>
        </w:rPr>
      </w:pPr>
    </w:p>
    <w:p w:rsidR="0071509A" w:rsidRPr="00317E70" w:rsidRDefault="002272A7" w:rsidP="005318CB">
      <w:pPr>
        <w:jc w:val="center"/>
        <w:rPr>
          <w:rFonts w:ascii="Arial" w:hAnsi="Arial" w:cs="Arial"/>
          <w:b/>
          <w:sz w:val="22"/>
          <w:szCs w:val="22"/>
        </w:rPr>
      </w:pPr>
      <w:r>
        <w:rPr>
          <w:rFonts w:ascii="Arial" w:hAnsi="Arial"/>
          <w:b/>
          <w:sz w:val="22"/>
        </w:rPr>
        <w:t xml:space="preserve">TÉRMINOS DE REFERENCIA PARA </w:t>
      </w:r>
      <w:r w:rsidR="0071509A" w:rsidRPr="00317E70">
        <w:rPr>
          <w:rFonts w:ascii="Arial" w:hAnsi="Arial"/>
          <w:b/>
          <w:sz w:val="22"/>
        </w:rPr>
        <w:t>EL CONSEJO CIENTÍFICO DE LA CMS</w:t>
      </w:r>
    </w:p>
    <w:p w:rsidR="0071509A" w:rsidRPr="00317E70" w:rsidRDefault="0071509A" w:rsidP="005318CB">
      <w:pPr>
        <w:jc w:val="center"/>
        <w:rPr>
          <w:rFonts w:ascii="Arial" w:hAnsi="Arial" w:cs="Arial"/>
          <w:b/>
          <w:sz w:val="22"/>
          <w:szCs w:val="22"/>
        </w:rPr>
      </w:pPr>
    </w:p>
    <w:p w:rsidR="0071509A" w:rsidRPr="00317E70" w:rsidRDefault="0071509A" w:rsidP="005318CB">
      <w:pPr>
        <w:jc w:val="center"/>
        <w:rPr>
          <w:rFonts w:ascii="Arial" w:hAnsi="Arial" w:cs="Arial"/>
          <w:sz w:val="22"/>
          <w:szCs w:val="22"/>
        </w:rPr>
      </w:pPr>
      <w:r w:rsidRPr="00317E70">
        <w:rPr>
          <w:rFonts w:ascii="Arial" w:hAnsi="Arial"/>
          <w:sz w:val="22"/>
        </w:rPr>
        <w:t>(</w:t>
      </w:r>
      <w:r w:rsidRPr="00317E70">
        <w:rPr>
          <w:rFonts w:ascii="Arial" w:hAnsi="Arial"/>
          <w:i/>
          <w:sz w:val="22"/>
        </w:rPr>
        <w:t>Aprobado provisionalmente por el Comité Permanente de la CMS en su 44ª reunión</w:t>
      </w:r>
      <w:r w:rsidRPr="00317E70">
        <w:rPr>
          <w:rFonts w:ascii="Arial" w:hAnsi="Arial"/>
          <w:sz w:val="22"/>
        </w:rPr>
        <w:t>)</w:t>
      </w:r>
    </w:p>
    <w:p w:rsidR="0071509A" w:rsidRPr="00317E70" w:rsidRDefault="0071509A" w:rsidP="005318CB">
      <w:pPr>
        <w:jc w:val="center"/>
        <w:rPr>
          <w:rFonts w:ascii="Arial" w:hAnsi="Arial" w:cs="Arial"/>
          <w:b/>
          <w:sz w:val="22"/>
          <w:szCs w:val="22"/>
        </w:rPr>
      </w:pPr>
    </w:p>
    <w:p w:rsidR="0071509A" w:rsidRPr="00317E70" w:rsidRDefault="0071509A" w:rsidP="005318CB">
      <w:pPr>
        <w:rPr>
          <w:rFonts w:ascii="Arial" w:hAnsi="Arial" w:cs="Arial"/>
          <w:b/>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Ámbito de aplicación de</w:t>
      </w:r>
      <w:r w:rsidR="002272A7">
        <w:rPr>
          <w:rFonts w:ascii="Arial" w:hAnsi="Arial"/>
          <w:b/>
          <w:sz w:val="22"/>
        </w:rPr>
        <w:t xml:space="preserve"> </w:t>
      </w:r>
      <w:r w:rsidRPr="00317E70">
        <w:rPr>
          <w:rFonts w:ascii="Arial" w:hAnsi="Arial"/>
          <w:b/>
          <w:sz w:val="22"/>
        </w:rPr>
        <w:t>l</w:t>
      </w:r>
      <w:r w:rsidR="002272A7">
        <w:rPr>
          <w:rFonts w:ascii="Arial" w:hAnsi="Arial"/>
          <w:b/>
          <w:sz w:val="22"/>
        </w:rPr>
        <w:t>os Términos de Referencia</w:t>
      </w:r>
    </w:p>
    <w:p w:rsidR="0071509A" w:rsidRPr="00317E70" w:rsidRDefault="000F3B63" w:rsidP="00F04BB5">
      <w:pPr>
        <w:widowControl/>
        <w:numPr>
          <w:ilvl w:val="0"/>
          <w:numId w:val="12"/>
        </w:numPr>
        <w:tabs>
          <w:tab w:val="left" w:pos="360"/>
          <w:tab w:val="left" w:pos="851"/>
        </w:tabs>
        <w:autoSpaceDE/>
        <w:autoSpaceDN/>
        <w:adjustRightInd/>
        <w:ind w:left="360"/>
        <w:jc w:val="both"/>
        <w:rPr>
          <w:rFonts w:ascii="Arial" w:hAnsi="Arial" w:cs="Arial"/>
          <w:sz w:val="22"/>
          <w:szCs w:val="22"/>
        </w:rPr>
      </w:pPr>
      <w:r>
        <w:rPr>
          <w:rFonts w:ascii="Arial" w:hAnsi="Arial"/>
          <w:color w:val="000000"/>
          <w:sz w:val="22"/>
        </w:rPr>
        <w:t xml:space="preserve">Los </w:t>
      </w:r>
      <w:r w:rsidRPr="000F3B63">
        <w:rPr>
          <w:rFonts w:ascii="Arial" w:hAnsi="Arial"/>
          <w:sz w:val="22"/>
        </w:rPr>
        <w:t>Términos de Referencia</w:t>
      </w:r>
      <w:r w:rsidR="0071509A" w:rsidRPr="00317E70">
        <w:rPr>
          <w:rFonts w:ascii="Arial" w:hAnsi="Arial"/>
          <w:color w:val="000000"/>
          <w:sz w:val="22"/>
        </w:rPr>
        <w:t xml:space="preserve"> se aplica</w:t>
      </w:r>
      <w:r>
        <w:rPr>
          <w:rFonts w:ascii="Arial" w:hAnsi="Arial"/>
          <w:color w:val="000000"/>
          <w:sz w:val="22"/>
        </w:rPr>
        <w:t>n</w:t>
      </w:r>
      <w:r w:rsidR="0071509A" w:rsidRPr="00317E70">
        <w:rPr>
          <w:rFonts w:ascii="Arial" w:hAnsi="Arial"/>
          <w:color w:val="000000"/>
          <w:sz w:val="22"/>
        </w:rPr>
        <w:t xml:space="preserve"> al Consejo Científico de la CMS y, </w:t>
      </w:r>
      <w:r w:rsidR="0071509A" w:rsidRPr="00317E70">
        <w:rPr>
          <w:rFonts w:ascii="Arial" w:hAnsi="Arial"/>
          <w:i/>
          <w:color w:val="000000"/>
          <w:sz w:val="22"/>
        </w:rPr>
        <w:t>mutatis mutandis</w:t>
      </w:r>
      <w:r w:rsidR="0071509A" w:rsidRPr="00317E70">
        <w:rPr>
          <w:rFonts w:ascii="Arial" w:hAnsi="Arial"/>
          <w:color w:val="000000"/>
          <w:sz w:val="22"/>
        </w:rPr>
        <w:t xml:space="preserve">, al Comité del período de sesiones del Consejo Científico, salvo que se indique otra cosa en </w:t>
      </w:r>
      <w:r w:rsidR="002272A7">
        <w:rPr>
          <w:rFonts w:ascii="Arial" w:hAnsi="Arial"/>
          <w:color w:val="000000"/>
          <w:sz w:val="22"/>
        </w:rPr>
        <w:t>los Términos de Referencia</w:t>
      </w:r>
      <w:r w:rsidR="0071509A" w:rsidRPr="00317E70">
        <w:rPr>
          <w:rFonts w:ascii="Arial" w:hAnsi="Arial"/>
          <w:color w:val="000000"/>
          <w:sz w:val="22"/>
        </w:rPr>
        <w:t>.</w:t>
      </w:r>
    </w:p>
    <w:p w:rsidR="0071509A" w:rsidRPr="00317E70" w:rsidRDefault="0071509A" w:rsidP="005318CB">
      <w:pPr>
        <w:rPr>
          <w:rFonts w:ascii="Arial" w:hAnsi="Arial" w:cs="Arial"/>
          <w:b/>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Funciones generales del Consejo Científico</w:t>
      </w:r>
    </w:p>
    <w:p w:rsidR="0071509A" w:rsidRPr="00317E70" w:rsidRDefault="0071509A" w:rsidP="00F04BB5">
      <w:pPr>
        <w:widowControl/>
        <w:numPr>
          <w:ilvl w:val="0"/>
          <w:numId w:val="12"/>
        </w:numPr>
        <w:tabs>
          <w:tab w:val="left" w:pos="360"/>
          <w:tab w:val="left" w:pos="851"/>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El Consejo Científico, establecido de conformidad con el artículo VIII de la Convención, proporciona asesoramiento científico y técnico, entre otros, a la Conferencia de las Partes, a la Secretaría, a cualquier otro órgano establecido en el marco de la Convención o a cualquiera de las Partes.</w:t>
      </w:r>
    </w:p>
    <w:p w:rsidR="0071509A" w:rsidRPr="00317E70" w:rsidRDefault="0071509A" w:rsidP="005318CB">
      <w:pPr>
        <w:contextualSpacing/>
        <w:rPr>
          <w:rFonts w:ascii="Arial" w:hAnsi="Arial" w:cs="Arial"/>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Funciones generales del Comité del período de sesiones</w:t>
      </w:r>
    </w:p>
    <w:p w:rsidR="0071509A" w:rsidRPr="00317E70" w:rsidRDefault="0071509A" w:rsidP="00F04BB5">
      <w:pPr>
        <w:widowControl/>
        <w:numPr>
          <w:ilvl w:val="0"/>
          <w:numId w:val="12"/>
        </w:numPr>
        <w:tabs>
          <w:tab w:val="left" w:pos="360"/>
          <w:tab w:val="left" w:pos="851"/>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De conformidad con la Resolución 11.4 de la Conferencia de las Partes, en el intervalo entre las reuniones ordinarias consecutivas de la Conferencia de las Partes, deberá identificarse una selección representativa de los miembros del Consejo Científico, denominada el Comité del período de sesiones del Consejo Científico. El Comité del período de sesiones se encargará principalmente de cumplir el </w:t>
      </w:r>
      <w:r w:rsidR="000F3B63">
        <w:rPr>
          <w:rFonts w:ascii="Arial" w:hAnsi="Arial"/>
          <w:color w:val="000000"/>
          <w:sz w:val="22"/>
        </w:rPr>
        <w:t>m</w:t>
      </w:r>
      <w:r w:rsidRPr="00317E70">
        <w:rPr>
          <w:rFonts w:ascii="Arial" w:hAnsi="Arial"/>
          <w:color w:val="000000"/>
          <w:sz w:val="22"/>
        </w:rPr>
        <w:t>andato que la Conferencia de las Partes haya asignado al Consejo Científico para el período entre reuniones. Todas las realizaciones del Comité del período de sesiones se consideran realizaciones del Consejo Científico.</w:t>
      </w:r>
    </w:p>
    <w:p w:rsidR="0071509A" w:rsidRPr="00317E70" w:rsidRDefault="0071509A" w:rsidP="005318CB">
      <w:pPr>
        <w:contextualSpacing/>
        <w:rPr>
          <w:rFonts w:ascii="Arial" w:hAnsi="Arial" w:cs="Arial"/>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 xml:space="preserve">Principios operativos </w:t>
      </w:r>
    </w:p>
    <w:p w:rsidR="0071509A" w:rsidRPr="00317E70" w:rsidRDefault="0071509A" w:rsidP="00F04BB5">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El Consejo Científico, en el desempeño de sus funciones, debería </w:t>
      </w:r>
      <w:r w:rsidR="001E07AD" w:rsidRPr="00317E70">
        <w:rPr>
          <w:rFonts w:ascii="Arial" w:hAnsi="Arial"/>
          <w:color w:val="000000"/>
          <w:sz w:val="22"/>
        </w:rPr>
        <w:t>prestar su apoyo a</w:t>
      </w:r>
      <w:r w:rsidRPr="00317E70">
        <w:rPr>
          <w:rFonts w:ascii="Arial" w:hAnsi="Arial"/>
          <w:color w:val="000000"/>
          <w:sz w:val="22"/>
        </w:rPr>
        <w:t xml:space="preserve"> la aplicación de la Convención </w:t>
      </w:r>
      <w:r w:rsidR="001E07AD" w:rsidRPr="00317E70">
        <w:rPr>
          <w:rFonts w:ascii="Arial" w:hAnsi="Arial"/>
          <w:color w:val="000000"/>
          <w:sz w:val="22"/>
        </w:rPr>
        <w:t>de</w:t>
      </w:r>
      <w:r w:rsidRPr="00317E70">
        <w:rPr>
          <w:rFonts w:ascii="Arial" w:hAnsi="Arial"/>
          <w:color w:val="000000"/>
          <w:sz w:val="22"/>
        </w:rPr>
        <w:t xml:space="preserve"> forma coherente con otros objetivos </w:t>
      </w:r>
      <w:r w:rsidR="001E07AD" w:rsidRPr="00317E70">
        <w:rPr>
          <w:rFonts w:ascii="Arial" w:hAnsi="Arial"/>
          <w:color w:val="000000"/>
          <w:sz w:val="22"/>
        </w:rPr>
        <w:t>acordados a nivel</w:t>
      </w:r>
      <w:r w:rsidRPr="00317E70">
        <w:rPr>
          <w:rFonts w:ascii="Arial" w:hAnsi="Arial"/>
          <w:color w:val="000000"/>
          <w:sz w:val="22"/>
        </w:rPr>
        <w:t xml:space="preserve"> internacional que son pertinentes para los objetivos de la Convención.</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9B3D3C">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El Consejo Científico </w:t>
      </w:r>
      <w:r w:rsidR="002D2088" w:rsidRPr="00317E70">
        <w:rPr>
          <w:rFonts w:ascii="Arial" w:hAnsi="Arial"/>
          <w:color w:val="000000"/>
          <w:sz w:val="22"/>
        </w:rPr>
        <w:t>debería</w:t>
      </w:r>
      <w:r w:rsidRPr="00317E70">
        <w:rPr>
          <w:rFonts w:ascii="Arial" w:hAnsi="Arial"/>
          <w:color w:val="000000"/>
          <w:sz w:val="22"/>
        </w:rPr>
        <w:t xml:space="preserve"> esforzarse constantemente por mejorar la calidad de su asesoramiento científico tratando de mejorar a tal fin las aportaciones científicas que presenta para el debate y el trabajo en sus reuniones y en las reuniones del Comité del período de sesiones.</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9B3D3C">
      <w:pPr>
        <w:widowControl/>
        <w:numPr>
          <w:ilvl w:val="0"/>
          <w:numId w:val="12"/>
        </w:numPr>
        <w:tabs>
          <w:tab w:val="left" w:pos="360"/>
        </w:tabs>
        <w:autoSpaceDE/>
        <w:autoSpaceDN/>
        <w:adjustRightInd/>
        <w:ind w:left="360"/>
        <w:jc w:val="both"/>
        <w:rPr>
          <w:rFonts w:ascii="Arial" w:hAnsi="Arial" w:cs="Arial"/>
          <w:color w:val="000000"/>
          <w:sz w:val="22"/>
          <w:szCs w:val="22"/>
        </w:rPr>
      </w:pPr>
      <w:r w:rsidRPr="00317E70">
        <w:rPr>
          <w:rFonts w:ascii="Arial" w:hAnsi="Arial"/>
          <w:color w:val="000000"/>
          <w:sz w:val="22"/>
        </w:rPr>
        <w:t xml:space="preserve">El Consejo Científico podrá formular su asesoramiento o recomendaciones en forma de opciones o alternativas, según convenga. </w:t>
      </w:r>
    </w:p>
    <w:p w:rsidR="0071509A" w:rsidRPr="00317E70" w:rsidRDefault="0071509A" w:rsidP="005318CB">
      <w:pPr>
        <w:rPr>
          <w:rFonts w:ascii="Arial" w:hAnsi="Arial" w:cs="Arial"/>
          <w:b/>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Funciones</w:t>
      </w:r>
    </w:p>
    <w:p w:rsidR="0071509A" w:rsidRPr="00317E70" w:rsidRDefault="0071509A" w:rsidP="009B3D3C">
      <w:pPr>
        <w:widowControl/>
        <w:numPr>
          <w:ilvl w:val="0"/>
          <w:numId w:val="12"/>
        </w:numPr>
        <w:tabs>
          <w:tab w:val="left" w:pos="360"/>
        </w:tabs>
        <w:autoSpaceDE/>
        <w:autoSpaceDN/>
        <w:adjustRightInd/>
        <w:spacing w:after="120"/>
        <w:ind w:left="360"/>
        <w:jc w:val="both"/>
        <w:rPr>
          <w:rFonts w:ascii="Arial" w:hAnsi="Arial" w:cs="Arial"/>
          <w:color w:val="000000"/>
          <w:sz w:val="22"/>
          <w:szCs w:val="22"/>
        </w:rPr>
      </w:pPr>
      <w:r w:rsidRPr="00317E70">
        <w:rPr>
          <w:rFonts w:ascii="Arial" w:hAnsi="Arial"/>
          <w:color w:val="000000"/>
          <w:sz w:val="22"/>
        </w:rPr>
        <w:t xml:space="preserve">El Consejo Científico </w:t>
      </w:r>
      <w:r w:rsidR="002D2088" w:rsidRPr="00317E70">
        <w:rPr>
          <w:rFonts w:ascii="Arial" w:hAnsi="Arial"/>
          <w:color w:val="000000"/>
          <w:sz w:val="22"/>
        </w:rPr>
        <w:t>debería</w:t>
      </w:r>
      <w:r w:rsidRPr="00317E70">
        <w:rPr>
          <w:rFonts w:ascii="Arial" w:hAnsi="Arial"/>
          <w:color w:val="000000"/>
          <w:sz w:val="22"/>
        </w:rPr>
        <w:t xml:space="preserve"> cumplir las funciones asignadas en el Artículo VIII de la Convención y sucesivamente asignadas a él por la Conferencia de las Partes. Estas funciones son:</w:t>
      </w: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prestar asesoramiento, en el intervalo entre las reuniones de la Conferencia de las Partes, sobre la elaboración y aplicación del programa de trabajo de la Convención desde el punto de vista científico y técnico;</w:t>
      </w:r>
    </w:p>
    <w:p w:rsidR="0071509A" w:rsidRPr="00317E70" w:rsidRDefault="0071509A" w:rsidP="005318CB">
      <w:pPr>
        <w:ind w:left="720"/>
        <w:contextualSpacing/>
        <w:jc w:val="both"/>
        <w:rPr>
          <w:rFonts w:ascii="Arial" w:hAnsi="Arial" w:cs="Arial"/>
          <w:sz w:val="22"/>
          <w:szCs w:val="22"/>
        </w:rPr>
      </w:pPr>
    </w:p>
    <w:p w:rsidR="0071509A" w:rsidRPr="00227BDF"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formular recomendaciones a la Conferencia de las Partes sobre las especies migratorias que han de incluirse en los Apéndices I y II, junto con la indicación del área de distribución de tales especies migratorias y mantener en examen la composición de estos apéndices;</w:t>
      </w: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lastRenderedPageBreak/>
        <w:t xml:space="preserve">evaluar las propuestas de enmienda de los Apéndices I y II desde un punto de vista científico y técnico, y proporcionar asesoramiento a la Conferencia de las Partes en relación con las enmiendas propuestas; </w:t>
      </w:r>
    </w:p>
    <w:p w:rsidR="0071509A" w:rsidRPr="00317E70" w:rsidRDefault="0071509A" w:rsidP="005318CB">
      <w:pPr>
        <w:ind w:left="720"/>
        <w:contextualSpacing/>
        <w:jc w:val="both"/>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determinar, recomendar y coordinar investigaciones sobre las especies migratorias, evaluar los resultados de tales investigaciones, a fin de verificar el estado de conservación de las especies migratorias, especialmente de las que están incluidas en los Apéndices o figuran entre los candidatos para dicha inclusión, y presentar informes a la Conferencia de las Partes sobre el estado de tal conservación, así como sobre las medidas para mejorarlo;</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formular recomendaciones a la Conferencia de las Partes respecto de las especies migratorias que habrán de incluirse en la lista de especies designadas para acciones concertadas</w:t>
      </w:r>
      <w:r w:rsidRPr="00317E70">
        <w:rPr>
          <w:rFonts w:ascii="Arial" w:hAnsi="Arial"/>
          <w:sz w:val="22"/>
          <w:vertAlign w:val="superscript"/>
        </w:rPr>
        <w:footnoteReference w:id="1"/>
      </w:r>
      <w:r w:rsidRPr="00317E70">
        <w:rPr>
          <w:rFonts w:ascii="Arial" w:hAnsi="Arial"/>
          <w:sz w:val="22"/>
        </w:rPr>
        <w:t>, y mantener en examen dicha lista;</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asesorar sobre posibles medidas de conservación y gestión específicas para la conservación de las especies incluidas en los Apéndices I y II y sus prioridades, que habrán de incluirse en las acciones concertadas u otros mecanismos para la conservación de las especies migratorias que se emprendan en el marco de la Convención;</w:t>
      </w:r>
    </w:p>
    <w:p w:rsidR="0071509A" w:rsidRPr="00317E70" w:rsidRDefault="0071509A" w:rsidP="005318CB">
      <w:pPr>
        <w:ind w:left="720" w:hanging="360"/>
        <w:contextualSpacing/>
        <w:jc w:val="both"/>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señalar a la atención de la Conferencia de las Partes cualesquiera cuestiones nuevas y emergentes relacionadas con la conservación y la gestión de las especies migratorias;</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asesorar sobre las prioridades para la realización de nuevos acuerdos mediante la evaluación de las propuestas de nuevos acuerdos con arreglo a los criterios establecidos por la Conferencia de las Partes, incluidos los que se indican en la Resolución 11.12;</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formular recomendaciones respecto de las medidas específicas de conservación y gestión que habrán de incluirse en los Acuerdos sobre las especies migratorias que se están negociando en el marco de la Convención;</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asesorar sobre las prioridades para el patrocinio de las actividades de conservación relativas a las especies migratorias, y sobre la selección, seguimiento y evaluación de los proyectos piloto de pequeña escala que promuevan la aplicación de la Convención;</w:t>
      </w:r>
    </w:p>
    <w:p w:rsidR="0071509A" w:rsidRPr="00317E70" w:rsidRDefault="0071509A" w:rsidP="005318CB">
      <w:pPr>
        <w:ind w:left="720" w:hanging="360"/>
        <w:contextualSpacing/>
        <w:jc w:val="both"/>
        <w:rPr>
          <w:rFonts w:ascii="Arial" w:hAnsi="Arial" w:cs="Arial"/>
          <w:sz w:val="22"/>
          <w:szCs w:val="22"/>
        </w:rPr>
      </w:pPr>
    </w:p>
    <w:p w:rsidR="0071509A" w:rsidRPr="00317E70" w:rsidRDefault="0071509A" w:rsidP="005318CB">
      <w:pPr>
        <w:widowControl/>
        <w:numPr>
          <w:ilvl w:val="1"/>
          <w:numId w:val="10"/>
        </w:numPr>
        <w:autoSpaceDE/>
        <w:autoSpaceDN/>
        <w:adjustRightInd/>
        <w:ind w:left="720"/>
        <w:contextualSpacing/>
        <w:jc w:val="both"/>
        <w:rPr>
          <w:rFonts w:ascii="Arial" w:hAnsi="Arial" w:cs="Arial"/>
          <w:sz w:val="22"/>
          <w:szCs w:val="22"/>
        </w:rPr>
      </w:pPr>
      <w:r w:rsidRPr="00317E70">
        <w:rPr>
          <w:rFonts w:ascii="Arial" w:hAnsi="Arial"/>
          <w:sz w:val="22"/>
        </w:rPr>
        <w:t>recomendar a la Conferencia de las Partes las soluciones a los problemas que se plantean en relación con los aspectos científicos de la aplicación de la Convención, en particular por lo que respecta a los hábitats de las especies migratorias;</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1"/>
          <w:numId w:val="10"/>
        </w:numPr>
        <w:autoSpaceDE/>
        <w:autoSpaceDN/>
        <w:adjustRightInd/>
        <w:ind w:left="720"/>
        <w:jc w:val="both"/>
        <w:rPr>
          <w:rFonts w:ascii="Arial" w:hAnsi="Arial" w:cs="Arial"/>
          <w:sz w:val="22"/>
          <w:szCs w:val="22"/>
        </w:rPr>
      </w:pPr>
      <w:r w:rsidRPr="00317E70">
        <w:rPr>
          <w:rFonts w:ascii="Arial" w:hAnsi="Arial"/>
          <w:sz w:val="22"/>
        </w:rPr>
        <w:t>proporcionar información canalizada a través de la Secretaría, a todos los Estados del área de distribución de determinadas especies, con el fin de alentar a los Estados del área de distribución que no son Partes a hacerse Partes en la Convención y a participar en su aplicación.</w:t>
      </w:r>
    </w:p>
    <w:p w:rsidR="0071509A" w:rsidRPr="00317E70" w:rsidRDefault="0071509A" w:rsidP="005318CB">
      <w:pPr>
        <w:rPr>
          <w:rFonts w:ascii="Arial" w:hAnsi="Arial" w:cs="Arial"/>
          <w:b/>
          <w:sz w:val="22"/>
          <w:szCs w:val="22"/>
        </w:rPr>
      </w:pPr>
    </w:p>
    <w:p w:rsidR="00227BDF" w:rsidRDefault="00227BDF">
      <w:pPr>
        <w:widowControl/>
        <w:autoSpaceDE/>
        <w:autoSpaceDN/>
        <w:adjustRightInd/>
        <w:rPr>
          <w:rFonts w:ascii="Arial" w:hAnsi="Arial"/>
          <w:b/>
          <w:sz w:val="22"/>
        </w:rPr>
      </w:pPr>
      <w:r>
        <w:rPr>
          <w:rFonts w:ascii="Arial" w:hAnsi="Arial"/>
          <w:b/>
          <w:sz w:val="22"/>
        </w:rPr>
        <w:br w:type="page"/>
      </w:r>
    </w:p>
    <w:p w:rsidR="0071509A" w:rsidRPr="00317E70" w:rsidRDefault="0071509A" w:rsidP="005318CB">
      <w:pPr>
        <w:spacing w:after="120"/>
        <w:jc w:val="both"/>
        <w:rPr>
          <w:rFonts w:ascii="Arial" w:hAnsi="Arial" w:cs="Arial"/>
          <w:b/>
          <w:sz w:val="22"/>
          <w:szCs w:val="22"/>
        </w:rPr>
      </w:pPr>
      <w:r w:rsidRPr="00317E70">
        <w:rPr>
          <w:rFonts w:ascii="Arial" w:hAnsi="Arial"/>
          <w:b/>
          <w:sz w:val="22"/>
        </w:rPr>
        <w:lastRenderedPageBreak/>
        <w:t>Nombramiento de los miembros</w:t>
      </w:r>
    </w:p>
    <w:p w:rsidR="0071509A" w:rsidRPr="00317E70" w:rsidRDefault="0071509A" w:rsidP="00017A9A">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El Consejo Científico está integrado por miembros designados por las distintas Partes (Consejeros designados por las Partes) y miembros designados por la Conferencia de las Partes (Consejeros designados por la COP). </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017A9A">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Cualquiera de las Partes puede nombrar un experto cualificado como miembro del Consejo Científico. Los Consejeros designados por las Partes permanecen en funciones hasta que dimitan o sean reemplazados por la Parte que los nombró. </w:t>
      </w:r>
    </w:p>
    <w:p w:rsidR="0071509A" w:rsidRPr="00317E70" w:rsidRDefault="0071509A" w:rsidP="00017A9A">
      <w:pPr>
        <w:widowControl/>
        <w:tabs>
          <w:tab w:val="left" w:pos="360"/>
        </w:tabs>
        <w:autoSpaceDE/>
        <w:autoSpaceDN/>
        <w:adjustRightInd/>
        <w:contextualSpacing/>
        <w:jc w:val="both"/>
        <w:rPr>
          <w:rFonts w:ascii="Arial" w:hAnsi="Arial" w:cs="Arial"/>
          <w:color w:val="000000"/>
          <w:sz w:val="22"/>
          <w:szCs w:val="22"/>
        </w:rPr>
      </w:pPr>
    </w:p>
    <w:p w:rsidR="0071509A" w:rsidRPr="00317E70" w:rsidRDefault="0071509A" w:rsidP="00017A9A">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Los Consejeros designados por las Partes no representan a la Parte que los nombró, sino que contribuyen a los trabajos del Consejo Científico en su calidad de expertos.</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017A9A">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Los Consejeros nombrados por la COP son designados por cada reunión ordinaria de la Conferencia de las Partes para el período entre reuniones subsiguiente.</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017A9A">
      <w:pPr>
        <w:widowControl/>
        <w:numPr>
          <w:ilvl w:val="0"/>
          <w:numId w:val="12"/>
        </w:numPr>
        <w:tabs>
          <w:tab w:val="left" w:pos="360"/>
        </w:tabs>
        <w:autoSpaceDE/>
        <w:autoSpaceDN/>
        <w:adjustRightInd/>
        <w:spacing w:after="120"/>
        <w:ind w:left="360"/>
        <w:jc w:val="both"/>
        <w:rPr>
          <w:rFonts w:ascii="Arial" w:hAnsi="Arial" w:cs="Arial"/>
          <w:color w:val="000000"/>
          <w:sz w:val="22"/>
          <w:szCs w:val="22"/>
        </w:rPr>
      </w:pPr>
      <w:r w:rsidRPr="00317E70">
        <w:rPr>
          <w:rFonts w:ascii="Arial" w:hAnsi="Arial"/>
          <w:color w:val="000000"/>
          <w:sz w:val="22"/>
        </w:rPr>
        <w:t>Los miembros del Comité del período de sesiones son seleccionados de entre los Consejeros designados por la COP y por las Partes. La composición del Comité del período de sesiones es la siguiente:</w:t>
      </w:r>
    </w:p>
    <w:p w:rsidR="0071509A" w:rsidRPr="00317E70" w:rsidRDefault="0071509A" w:rsidP="005318CB">
      <w:pPr>
        <w:widowControl/>
        <w:numPr>
          <w:ilvl w:val="0"/>
          <w:numId w:val="11"/>
        </w:numPr>
        <w:autoSpaceDE/>
        <w:autoSpaceDN/>
        <w:adjustRightInd/>
        <w:ind w:left="720"/>
        <w:contextualSpacing/>
        <w:rPr>
          <w:rFonts w:ascii="Arial" w:hAnsi="Arial" w:cs="Arial"/>
          <w:sz w:val="22"/>
          <w:szCs w:val="22"/>
        </w:rPr>
      </w:pPr>
      <w:r w:rsidRPr="00317E70">
        <w:rPr>
          <w:rFonts w:ascii="Arial" w:hAnsi="Arial"/>
          <w:sz w:val="22"/>
        </w:rPr>
        <w:t>Nueve Consejeros designados por la COP con conocimientos especializados en cuestiones taxonómicas y temáticas; y</w:t>
      </w:r>
    </w:p>
    <w:p w:rsidR="0071509A" w:rsidRPr="00317E70" w:rsidRDefault="0071509A" w:rsidP="005318CB">
      <w:pPr>
        <w:ind w:left="720" w:hanging="360"/>
        <w:contextualSpacing/>
        <w:rPr>
          <w:rFonts w:ascii="Arial" w:hAnsi="Arial" w:cs="Arial"/>
          <w:sz w:val="22"/>
          <w:szCs w:val="22"/>
        </w:rPr>
      </w:pPr>
    </w:p>
    <w:p w:rsidR="0071509A" w:rsidRPr="00317E70" w:rsidRDefault="0071509A" w:rsidP="005318CB">
      <w:pPr>
        <w:widowControl/>
        <w:numPr>
          <w:ilvl w:val="0"/>
          <w:numId w:val="11"/>
        </w:numPr>
        <w:autoSpaceDE/>
        <w:autoSpaceDN/>
        <w:adjustRightInd/>
        <w:ind w:left="720"/>
        <w:jc w:val="both"/>
        <w:rPr>
          <w:rFonts w:ascii="Arial" w:hAnsi="Arial" w:cs="Arial"/>
          <w:sz w:val="22"/>
          <w:szCs w:val="22"/>
        </w:rPr>
      </w:pPr>
      <w:r w:rsidRPr="00317E70">
        <w:rPr>
          <w:rFonts w:ascii="Arial" w:hAnsi="Arial"/>
          <w:sz w:val="22"/>
        </w:rPr>
        <w:t>Quince Consejeros designados por las Partes, seleccionados en el ámbito de las regiones geográficas del Comité Permanente, como sigue: tres de África; tres de Asia; tres de Europa; tres de Oceanía; tres de América del Sur y Central y el Caribe.</w:t>
      </w:r>
    </w:p>
    <w:p w:rsidR="0071509A" w:rsidRPr="00317E70" w:rsidRDefault="0071509A" w:rsidP="005318CB">
      <w:pPr>
        <w:rPr>
          <w:rFonts w:ascii="Arial" w:hAnsi="Arial" w:cs="Arial"/>
          <w:b/>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 xml:space="preserve">Responsabilidades de los miembros del Consejo Científico </w:t>
      </w:r>
    </w:p>
    <w:p w:rsidR="0071509A" w:rsidRPr="00317E70" w:rsidRDefault="0071509A" w:rsidP="007B52D3">
      <w:pPr>
        <w:widowControl/>
        <w:numPr>
          <w:ilvl w:val="0"/>
          <w:numId w:val="12"/>
        </w:numPr>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Los Consejeros Científicos deberían actuar, en el uso de sus mejores capacidades, con la máxima imparcialidad posible y tratar de basar sus juicios y opiniones sobre una evaluación científica objetiva de los mejores datos científicos disponibles. </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7B52D3">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Los miembros del Comité del período de sesiones, que son Consejeros designados por las Partes, </w:t>
      </w:r>
      <w:r w:rsidR="00DE321C" w:rsidRPr="00317E70">
        <w:rPr>
          <w:rFonts w:ascii="Arial" w:hAnsi="Arial"/>
          <w:color w:val="000000"/>
          <w:sz w:val="22"/>
        </w:rPr>
        <w:t>deberían</w:t>
      </w:r>
      <w:r w:rsidRPr="00317E70">
        <w:rPr>
          <w:rFonts w:ascii="Arial" w:hAnsi="Arial"/>
          <w:color w:val="000000"/>
          <w:sz w:val="22"/>
        </w:rPr>
        <w:t xml:space="preserve"> mantener una comunicación regular con los demás miembros de su región.</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7B52D3">
      <w:pPr>
        <w:widowControl/>
        <w:numPr>
          <w:ilvl w:val="0"/>
          <w:numId w:val="12"/>
        </w:numPr>
        <w:tabs>
          <w:tab w:val="left" w:pos="360"/>
        </w:tabs>
        <w:autoSpaceDE/>
        <w:autoSpaceDN/>
        <w:adjustRightInd/>
        <w:ind w:left="360"/>
        <w:jc w:val="both"/>
        <w:rPr>
          <w:rFonts w:ascii="Arial" w:hAnsi="Arial" w:cs="Arial"/>
          <w:color w:val="000000"/>
          <w:sz w:val="22"/>
          <w:szCs w:val="22"/>
        </w:rPr>
      </w:pPr>
      <w:r w:rsidRPr="00317E70">
        <w:rPr>
          <w:rFonts w:ascii="Arial" w:hAnsi="Arial"/>
          <w:color w:val="000000"/>
          <w:sz w:val="22"/>
        </w:rPr>
        <w:t>Se alienta a los Consejeros Científicos que no son miembros del Comité del período de sesiones a contribuir a la labor del Consejo Científico, a mantener la coordinación con los miembros del Comité del período de sesiones y a participar en los grupos de trabajo, incluso a través de sus reuniones y la utilización de las herramientas interactivas de que dispone el Consejo Científico, así como a promover actividades a nivel nacional.</w:t>
      </w:r>
    </w:p>
    <w:p w:rsidR="0071509A" w:rsidRPr="00317E70" w:rsidRDefault="0071509A" w:rsidP="005318CB">
      <w:pPr>
        <w:rPr>
          <w:rFonts w:ascii="Arial" w:hAnsi="Arial" w:cs="Arial"/>
          <w:b/>
          <w:sz w:val="22"/>
          <w:szCs w:val="22"/>
        </w:rPr>
      </w:pPr>
    </w:p>
    <w:p w:rsidR="0071509A" w:rsidRPr="00317E70" w:rsidRDefault="0071509A" w:rsidP="005318CB">
      <w:pPr>
        <w:spacing w:after="120"/>
        <w:jc w:val="both"/>
        <w:rPr>
          <w:rFonts w:ascii="Arial" w:hAnsi="Arial" w:cs="Arial"/>
          <w:b/>
          <w:sz w:val="22"/>
          <w:szCs w:val="22"/>
        </w:rPr>
      </w:pPr>
      <w:r w:rsidRPr="00317E70">
        <w:rPr>
          <w:rFonts w:ascii="Arial" w:hAnsi="Arial"/>
          <w:b/>
          <w:sz w:val="22"/>
        </w:rPr>
        <w:t>Cooperación con otros órganos intergubernamentales pertinentes</w:t>
      </w:r>
    </w:p>
    <w:p w:rsidR="0071509A" w:rsidRPr="00317E70" w:rsidRDefault="0071509A" w:rsidP="007B52D3">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 xml:space="preserve">El Consejo Científico </w:t>
      </w:r>
      <w:r w:rsidR="00DE321C" w:rsidRPr="00317E70">
        <w:rPr>
          <w:rFonts w:ascii="Arial" w:hAnsi="Arial"/>
          <w:color w:val="000000"/>
          <w:sz w:val="22"/>
        </w:rPr>
        <w:t>debería</w:t>
      </w:r>
      <w:r w:rsidRPr="00317E70">
        <w:rPr>
          <w:rFonts w:ascii="Arial" w:hAnsi="Arial"/>
          <w:color w:val="000000"/>
          <w:sz w:val="22"/>
        </w:rPr>
        <w:t xml:space="preserve"> cooperar con otros órganos asesores establecidos por los Acuerdos y los MdE en el marco de la Convención, entre otras formas, invitándoles a participar como observadores en las reuniones del Consejo Científico y del Comité del período de sesiones. </w:t>
      </w:r>
    </w:p>
    <w:p w:rsidR="0071509A" w:rsidRPr="00317E70" w:rsidRDefault="0071509A" w:rsidP="005318CB">
      <w:pPr>
        <w:contextualSpacing/>
        <w:jc w:val="both"/>
        <w:rPr>
          <w:rFonts w:ascii="Arial" w:hAnsi="Arial" w:cs="Arial"/>
          <w:color w:val="000000"/>
          <w:sz w:val="22"/>
          <w:szCs w:val="22"/>
        </w:rPr>
      </w:pPr>
    </w:p>
    <w:p w:rsidR="0071509A" w:rsidRPr="00317E70" w:rsidRDefault="0071509A" w:rsidP="007B52D3">
      <w:pPr>
        <w:widowControl/>
        <w:numPr>
          <w:ilvl w:val="0"/>
          <w:numId w:val="12"/>
        </w:numPr>
        <w:autoSpaceDE/>
        <w:autoSpaceDN/>
        <w:adjustRightInd/>
        <w:ind w:left="360"/>
        <w:jc w:val="both"/>
        <w:rPr>
          <w:rFonts w:ascii="Arial" w:hAnsi="Arial" w:cs="Arial"/>
          <w:color w:val="000000"/>
          <w:sz w:val="22"/>
          <w:szCs w:val="22"/>
        </w:rPr>
      </w:pPr>
      <w:r w:rsidRPr="00317E70">
        <w:rPr>
          <w:rFonts w:ascii="Arial" w:hAnsi="Arial"/>
          <w:color w:val="000000"/>
          <w:sz w:val="22"/>
        </w:rPr>
        <w:t xml:space="preserve">El Consejo Científico </w:t>
      </w:r>
      <w:r w:rsidR="00D24AFF" w:rsidRPr="00317E70">
        <w:rPr>
          <w:rFonts w:ascii="Arial" w:hAnsi="Arial"/>
          <w:color w:val="000000"/>
          <w:sz w:val="22"/>
        </w:rPr>
        <w:t>deberían</w:t>
      </w:r>
      <w:r w:rsidRPr="00317E70">
        <w:rPr>
          <w:rFonts w:ascii="Arial" w:hAnsi="Arial"/>
          <w:color w:val="000000"/>
          <w:sz w:val="22"/>
        </w:rPr>
        <w:t xml:space="preserve"> mantener el enlace, a través de su Presidente o su representante designado, con órganos comparables establecidos en el marco de otras entidades pertinentes, tales como, entre otros, los que se indican en la Resolución 6.7. Esta labor incluye, cuando sea apropiado y los recursos lo permitan, la asistencia del Presidente del Consejo Científico, o su representante designado, a las reuniones de estos órganos.</w:t>
      </w:r>
    </w:p>
    <w:p w:rsidR="0071509A" w:rsidRDefault="0071509A" w:rsidP="005318CB">
      <w:pPr>
        <w:ind w:left="360"/>
        <w:rPr>
          <w:rFonts w:ascii="Arial" w:hAnsi="Arial" w:cs="Arial"/>
          <w:sz w:val="22"/>
          <w:szCs w:val="22"/>
        </w:rPr>
      </w:pPr>
    </w:p>
    <w:p w:rsidR="00227BDF" w:rsidRDefault="00227BDF" w:rsidP="005318CB">
      <w:pPr>
        <w:ind w:left="360"/>
        <w:rPr>
          <w:rFonts w:ascii="Arial" w:hAnsi="Arial" w:cs="Arial"/>
          <w:sz w:val="22"/>
          <w:szCs w:val="22"/>
        </w:rPr>
      </w:pPr>
    </w:p>
    <w:p w:rsidR="00227BDF" w:rsidRPr="00317E70" w:rsidRDefault="00227BDF" w:rsidP="005318CB">
      <w:pPr>
        <w:ind w:left="360"/>
        <w:rPr>
          <w:rFonts w:ascii="Arial" w:hAnsi="Arial" w:cs="Arial"/>
          <w:sz w:val="22"/>
          <w:szCs w:val="22"/>
        </w:rPr>
      </w:pPr>
      <w:bookmarkStart w:id="0" w:name="_GoBack"/>
      <w:bookmarkEnd w:id="0"/>
    </w:p>
    <w:p w:rsidR="0071509A" w:rsidRPr="00317E70" w:rsidRDefault="0071509A" w:rsidP="005318CB">
      <w:pPr>
        <w:spacing w:after="120"/>
        <w:jc w:val="both"/>
        <w:rPr>
          <w:rFonts w:ascii="Arial" w:hAnsi="Arial" w:cs="Arial"/>
          <w:b/>
          <w:sz w:val="22"/>
          <w:szCs w:val="22"/>
        </w:rPr>
      </w:pPr>
      <w:r w:rsidRPr="00317E70">
        <w:rPr>
          <w:rFonts w:ascii="Arial" w:hAnsi="Arial"/>
          <w:b/>
          <w:sz w:val="22"/>
        </w:rPr>
        <w:lastRenderedPageBreak/>
        <w:t>Contribución de las organizaciones no gubernamentales</w:t>
      </w:r>
    </w:p>
    <w:p w:rsidR="0071509A" w:rsidRPr="00317E70" w:rsidRDefault="0071509A" w:rsidP="007B52D3">
      <w:pPr>
        <w:widowControl/>
        <w:numPr>
          <w:ilvl w:val="0"/>
          <w:numId w:val="12"/>
        </w:numPr>
        <w:autoSpaceDE/>
        <w:autoSpaceDN/>
        <w:adjustRightInd/>
        <w:ind w:left="360"/>
        <w:contextualSpacing/>
        <w:jc w:val="both"/>
        <w:rPr>
          <w:rFonts w:ascii="Arial" w:hAnsi="Arial" w:cs="Arial"/>
          <w:b/>
          <w:sz w:val="22"/>
          <w:szCs w:val="22"/>
        </w:rPr>
      </w:pPr>
      <w:r w:rsidRPr="00317E70">
        <w:rPr>
          <w:rFonts w:ascii="Arial" w:hAnsi="Arial"/>
          <w:color w:val="000000"/>
          <w:sz w:val="22"/>
        </w:rPr>
        <w:t xml:space="preserve">La contribución científica de las organizaciones no gubernamentales al cumplimiento de la función del Consejo Científico constituye una iniciativa que se recomienda encarecidamente de acuerdo con las disposiciones pertinentes de la Convención, las decisiones de la Conferencia de las Partes y </w:t>
      </w:r>
      <w:r w:rsidR="00317E70" w:rsidRPr="00317E70">
        <w:rPr>
          <w:rFonts w:ascii="Arial" w:hAnsi="Arial"/>
          <w:color w:val="000000"/>
          <w:sz w:val="22"/>
        </w:rPr>
        <w:t>las Reglas de Procedimiento</w:t>
      </w:r>
      <w:r w:rsidRPr="00317E70">
        <w:rPr>
          <w:rFonts w:ascii="Arial" w:hAnsi="Arial"/>
          <w:color w:val="000000"/>
          <w:sz w:val="22"/>
        </w:rPr>
        <w:t xml:space="preserve"> del Consejo Científico. Esta iniciativa incluye que se les invite a participar como observadores en las reuniones del Consejo Científico y del Comité del período de sesiones, y se establezca y mantenga una cooperación en los trabajos sobre asuntos de interés común con organizaciones tales como, entre otras, las que se indican en la Resolución 6.7.</w:t>
      </w:r>
    </w:p>
    <w:p w:rsidR="0071509A" w:rsidRPr="00317E70" w:rsidRDefault="0071509A" w:rsidP="007B52D3">
      <w:pPr>
        <w:widowControl/>
        <w:autoSpaceDE/>
        <w:autoSpaceDN/>
        <w:adjustRightInd/>
        <w:ind w:left="360"/>
        <w:contextualSpacing/>
        <w:jc w:val="both"/>
        <w:rPr>
          <w:rFonts w:ascii="Arial" w:hAnsi="Arial" w:cs="Arial"/>
          <w:b/>
          <w:sz w:val="22"/>
          <w:szCs w:val="22"/>
        </w:rPr>
      </w:pPr>
    </w:p>
    <w:p w:rsidR="0071509A" w:rsidRPr="00317E70" w:rsidRDefault="0071509A" w:rsidP="00F619F2">
      <w:pPr>
        <w:widowControl/>
        <w:autoSpaceDE/>
        <w:autoSpaceDN/>
        <w:adjustRightInd/>
        <w:contextualSpacing/>
        <w:jc w:val="both"/>
        <w:rPr>
          <w:rFonts w:ascii="Arial" w:hAnsi="Arial" w:cs="Arial"/>
          <w:b/>
          <w:sz w:val="22"/>
          <w:szCs w:val="22"/>
        </w:rPr>
      </w:pPr>
      <w:r w:rsidRPr="00317E70">
        <w:rPr>
          <w:rFonts w:ascii="Arial" w:hAnsi="Arial"/>
          <w:b/>
          <w:sz w:val="22"/>
        </w:rPr>
        <w:t>Regla</w:t>
      </w:r>
      <w:r w:rsidR="000A5DE1">
        <w:rPr>
          <w:rFonts w:ascii="Arial" w:hAnsi="Arial"/>
          <w:b/>
          <w:sz w:val="22"/>
        </w:rPr>
        <w:t>s de Procedimiento</w:t>
      </w:r>
    </w:p>
    <w:p w:rsidR="0071509A" w:rsidRPr="00317E70" w:rsidRDefault="0071509A" w:rsidP="007B52D3">
      <w:pPr>
        <w:widowControl/>
        <w:autoSpaceDE/>
        <w:autoSpaceDN/>
        <w:adjustRightInd/>
        <w:ind w:left="360"/>
        <w:contextualSpacing/>
        <w:jc w:val="both"/>
        <w:rPr>
          <w:rFonts w:ascii="Arial" w:hAnsi="Arial" w:cs="Arial"/>
          <w:b/>
          <w:sz w:val="22"/>
          <w:szCs w:val="22"/>
        </w:rPr>
      </w:pPr>
    </w:p>
    <w:p w:rsidR="0071509A" w:rsidRPr="00317E70" w:rsidRDefault="0071509A" w:rsidP="007B52D3">
      <w:pPr>
        <w:widowControl/>
        <w:numPr>
          <w:ilvl w:val="0"/>
          <w:numId w:val="12"/>
        </w:numPr>
        <w:tabs>
          <w:tab w:val="left" w:pos="360"/>
        </w:tabs>
        <w:autoSpaceDE/>
        <w:autoSpaceDN/>
        <w:adjustRightInd/>
        <w:ind w:left="360"/>
        <w:contextualSpacing/>
        <w:jc w:val="both"/>
        <w:rPr>
          <w:rFonts w:ascii="Arial" w:hAnsi="Arial" w:cs="Arial"/>
          <w:color w:val="000000"/>
          <w:sz w:val="22"/>
          <w:szCs w:val="22"/>
        </w:rPr>
      </w:pPr>
      <w:r w:rsidRPr="00317E70">
        <w:rPr>
          <w:rFonts w:ascii="Arial" w:hAnsi="Arial"/>
          <w:color w:val="000000"/>
          <w:sz w:val="22"/>
        </w:rPr>
        <w:t>El Consejo Científico establecerá su</w:t>
      </w:r>
      <w:r w:rsidR="00317E70" w:rsidRPr="00317E70">
        <w:rPr>
          <w:rFonts w:ascii="Arial" w:hAnsi="Arial"/>
          <w:color w:val="000000"/>
          <w:sz w:val="22"/>
        </w:rPr>
        <w:t>s propias Reglas de Procedimiento</w:t>
      </w:r>
      <w:r w:rsidRPr="00317E70">
        <w:rPr>
          <w:rFonts w:ascii="Arial" w:hAnsi="Arial"/>
          <w:color w:val="000000"/>
          <w:sz w:val="22"/>
        </w:rPr>
        <w:t>, que se someterá</w:t>
      </w:r>
      <w:r w:rsidR="000F3B63">
        <w:rPr>
          <w:rFonts w:ascii="Arial" w:hAnsi="Arial"/>
          <w:color w:val="000000"/>
          <w:sz w:val="22"/>
        </w:rPr>
        <w:t>n</w:t>
      </w:r>
      <w:r w:rsidRPr="00317E70">
        <w:rPr>
          <w:rFonts w:ascii="Arial" w:hAnsi="Arial"/>
          <w:color w:val="000000"/>
          <w:sz w:val="22"/>
        </w:rPr>
        <w:t xml:space="preserve"> a la aprobación de la Conferencia de las Partes.</w:t>
      </w:r>
    </w:p>
    <w:p w:rsidR="0071509A" w:rsidRPr="00F04BB5" w:rsidRDefault="0071509A" w:rsidP="005318CB">
      <w:pPr>
        <w:widowControl/>
        <w:autoSpaceDE/>
        <w:adjustRightInd/>
        <w:ind w:left="1440"/>
        <w:contextualSpacing/>
        <w:jc w:val="both"/>
        <w:rPr>
          <w:rFonts w:ascii="Arial" w:hAnsi="Arial" w:cs="Arial"/>
          <w:sz w:val="22"/>
          <w:szCs w:val="22"/>
        </w:rPr>
      </w:pPr>
    </w:p>
    <w:sectPr w:rsidR="0071509A" w:rsidRPr="00F04BB5" w:rsidSect="00227BDF">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009" w:right="1412" w:bottom="1151" w:left="1412"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5C" w:rsidRDefault="00D2705C">
      <w:r>
        <w:separator/>
      </w:r>
    </w:p>
  </w:endnote>
  <w:endnote w:type="continuationSeparator" w:id="0">
    <w:p w:rsidR="00D2705C" w:rsidRDefault="00D2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922791" w:rsidRDefault="0071509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27BDF">
      <w:rPr>
        <w:rFonts w:ascii="Arial" w:hAnsi="Arial" w:cs="Arial"/>
        <w:noProof/>
        <w:sz w:val="18"/>
        <w:szCs w:val="18"/>
      </w:rPr>
      <w:t>4</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922791" w:rsidRDefault="0071509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27BDF">
      <w:rPr>
        <w:rFonts w:ascii="Arial" w:hAnsi="Arial" w:cs="Arial"/>
        <w:noProof/>
        <w:sz w:val="18"/>
        <w:szCs w:val="18"/>
      </w:rPr>
      <w:t>3</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CD7355" w:rsidRDefault="0071509A"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D605A4" w:rsidRDefault="0071509A" w:rsidP="00015E07">
    <w:pPr>
      <w:pStyle w:val="Footer"/>
      <w:tabs>
        <w:tab w:val="clear" w:pos="8640"/>
        <w:tab w:val="right" w:pos="9083"/>
      </w:tabs>
      <w:jc w:val="center"/>
      <w:rPr>
        <w:rFonts w:ascii="Arial" w:hAnsi="Arial" w:cs="Arial"/>
        <w:sz w:val="18"/>
        <w:szCs w:val="18"/>
      </w:rPr>
    </w:pPr>
    <w:r>
      <w:tab/>
    </w: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227BDF">
      <w:rPr>
        <w:rFonts w:ascii="Arial" w:hAnsi="Arial" w:cs="Arial"/>
        <w:noProof/>
        <w:sz w:val="18"/>
        <w:szCs w:val="18"/>
      </w:rPr>
      <w:t>2</w:t>
    </w:r>
    <w:r w:rsidRPr="00D605A4">
      <w:rPr>
        <w:rFonts w:ascii="Arial" w:hAnsi="Arial" w:cs="Arial"/>
        <w:sz w:val="18"/>
        <w:szCs w:val="18"/>
      </w:rPr>
      <w:fldChar w:fldCharType="end"/>
    </w:r>
    <w:r>
      <w:tab/>
    </w:r>
  </w:p>
  <w:p w:rsidR="0071509A" w:rsidRPr="00D605A4" w:rsidRDefault="0071509A" w:rsidP="00D605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227BDF" w:rsidRDefault="0071509A">
    <w:pPr>
      <w:pStyle w:val="Footer"/>
      <w:jc w:val="center"/>
      <w:rPr>
        <w:rFonts w:ascii="Arial" w:hAnsi="Arial" w:cs="Arial"/>
        <w:sz w:val="18"/>
        <w:szCs w:val="18"/>
      </w:rPr>
    </w:pPr>
    <w:r w:rsidRPr="00227BDF">
      <w:rPr>
        <w:rFonts w:ascii="Arial" w:hAnsi="Arial" w:cs="Arial"/>
        <w:sz w:val="18"/>
        <w:szCs w:val="18"/>
      </w:rPr>
      <w:fldChar w:fldCharType="begin"/>
    </w:r>
    <w:r w:rsidRPr="00227BDF">
      <w:rPr>
        <w:rFonts w:ascii="Arial" w:hAnsi="Arial" w:cs="Arial"/>
        <w:sz w:val="18"/>
        <w:szCs w:val="18"/>
      </w:rPr>
      <w:instrText xml:space="preserve"> PAGE   \* MERGEFORMAT </w:instrText>
    </w:r>
    <w:r w:rsidRPr="00227BDF">
      <w:rPr>
        <w:rFonts w:ascii="Arial" w:hAnsi="Arial" w:cs="Arial"/>
        <w:sz w:val="18"/>
        <w:szCs w:val="18"/>
      </w:rPr>
      <w:fldChar w:fldCharType="separate"/>
    </w:r>
    <w:r w:rsidR="00227BDF">
      <w:rPr>
        <w:rFonts w:ascii="Arial" w:hAnsi="Arial" w:cs="Arial"/>
        <w:noProof/>
        <w:sz w:val="18"/>
        <w:szCs w:val="18"/>
      </w:rPr>
      <w:t>8</w:t>
    </w:r>
    <w:r w:rsidRPr="00227BDF">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227BDF" w:rsidRDefault="0071509A">
    <w:pPr>
      <w:pStyle w:val="Footer"/>
      <w:jc w:val="center"/>
      <w:rPr>
        <w:rFonts w:ascii="Arial" w:hAnsi="Arial" w:cs="Arial"/>
        <w:sz w:val="18"/>
        <w:szCs w:val="18"/>
      </w:rPr>
    </w:pPr>
    <w:r w:rsidRPr="00227BDF">
      <w:rPr>
        <w:rFonts w:ascii="Arial" w:hAnsi="Arial" w:cs="Arial"/>
        <w:sz w:val="18"/>
        <w:szCs w:val="18"/>
      </w:rPr>
      <w:fldChar w:fldCharType="begin"/>
    </w:r>
    <w:r w:rsidRPr="00227BDF">
      <w:rPr>
        <w:rFonts w:ascii="Arial" w:hAnsi="Arial" w:cs="Arial"/>
        <w:sz w:val="18"/>
        <w:szCs w:val="18"/>
      </w:rPr>
      <w:instrText xml:space="preserve"> PAGE   \* MERGEFORMAT </w:instrText>
    </w:r>
    <w:r w:rsidRPr="00227BDF">
      <w:rPr>
        <w:rFonts w:ascii="Arial" w:hAnsi="Arial" w:cs="Arial"/>
        <w:sz w:val="18"/>
        <w:szCs w:val="18"/>
      </w:rPr>
      <w:fldChar w:fldCharType="separate"/>
    </w:r>
    <w:r w:rsidR="00227BDF">
      <w:rPr>
        <w:rFonts w:ascii="Arial" w:hAnsi="Arial" w:cs="Arial"/>
        <w:noProof/>
        <w:sz w:val="18"/>
        <w:szCs w:val="18"/>
      </w:rPr>
      <w:t>7</w:t>
    </w:r>
    <w:r w:rsidRPr="00227BDF">
      <w:rP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227BDF" w:rsidRDefault="0071509A" w:rsidP="008154C8">
    <w:pPr>
      <w:pStyle w:val="Footer"/>
      <w:jc w:val="center"/>
      <w:rPr>
        <w:rFonts w:ascii="Arial" w:hAnsi="Arial" w:cs="Arial"/>
        <w:sz w:val="18"/>
        <w:szCs w:val="18"/>
      </w:rPr>
    </w:pPr>
    <w:r w:rsidRPr="00227BDF">
      <w:rPr>
        <w:rFonts w:ascii="Arial" w:hAnsi="Arial" w:cs="Arial"/>
        <w:sz w:val="18"/>
        <w:szCs w:val="18"/>
      </w:rPr>
      <w:fldChar w:fldCharType="begin"/>
    </w:r>
    <w:r w:rsidRPr="00227BDF">
      <w:rPr>
        <w:rFonts w:ascii="Arial" w:hAnsi="Arial" w:cs="Arial"/>
        <w:sz w:val="18"/>
        <w:szCs w:val="18"/>
      </w:rPr>
      <w:instrText xml:space="preserve"> PAGE   \* MERGEFORMAT </w:instrText>
    </w:r>
    <w:r w:rsidRPr="00227BDF">
      <w:rPr>
        <w:rFonts w:ascii="Arial" w:hAnsi="Arial" w:cs="Arial"/>
        <w:sz w:val="18"/>
        <w:szCs w:val="18"/>
      </w:rPr>
      <w:fldChar w:fldCharType="separate"/>
    </w:r>
    <w:r w:rsidR="00227BDF">
      <w:rPr>
        <w:rFonts w:ascii="Arial" w:hAnsi="Arial" w:cs="Arial"/>
        <w:noProof/>
        <w:sz w:val="18"/>
        <w:szCs w:val="18"/>
      </w:rPr>
      <w:t>5</w:t>
    </w:r>
    <w:r w:rsidRPr="00227BD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5C" w:rsidRDefault="00D2705C">
      <w:r>
        <w:separator/>
      </w:r>
    </w:p>
  </w:footnote>
  <w:footnote w:type="continuationSeparator" w:id="0">
    <w:p w:rsidR="00D2705C" w:rsidRDefault="00D2705C">
      <w:r>
        <w:continuationSeparator/>
      </w:r>
    </w:p>
  </w:footnote>
  <w:footnote w:id="1">
    <w:p w:rsidR="0071509A" w:rsidRPr="00227BDF" w:rsidRDefault="0071509A" w:rsidP="005318CB">
      <w:pPr>
        <w:tabs>
          <w:tab w:val="left" w:pos="284"/>
        </w:tabs>
        <w:jc w:val="both"/>
        <w:rPr>
          <w:rFonts w:ascii="Arial" w:hAnsi="Arial" w:cs="Arial"/>
          <w:sz w:val="18"/>
          <w:szCs w:val="18"/>
        </w:rPr>
      </w:pPr>
      <w:r w:rsidRPr="00227BDF">
        <w:rPr>
          <w:rStyle w:val="FootnoteReference"/>
          <w:rFonts w:ascii="Arial" w:hAnsi="Arial" w:cs="Arial"/>
          <w:sz w:val="18"/>
          <w:szCs w:val="18"/>
        </w:rPr>
        <w:footnoteRef/>
      </w:r>
      <w:r w:rsidRPr="00227BDF">
        <w:rPr>
          <w:rFonts w:ascii="Arial" w:hAnsi="Arial" w:cs="Arial"/>
          <w:sz w:val="18"/>
          <w:szCs w:val="18"/>
        </w:rPr>
        <w:t xml:space="preserve"> </w:t>
      </w:r>
      <w:r w:rsidRPr="00227BDF">
        <w:rPr>
          <w:rFonts w:ascii="Arial" w:hAnsi="Arial" w:cs="Arial"/>
          <w:sz w:val="18"/>
          <w:szCs w:val="18"/>
        </w:rPr>
        <w:tab/>
        <w:t>Hasta la celebración de la COP12, esta disposición debe referirse también a las especies designadas para las acciones cooperativas. De conformidad con la Resolución 11.13, de la COP12 en adelante, deberían consolidarse los mecanismos relativos a las acciones concertadas y las acciones cooperativas, y todas las designaciones futuras deberían hacerse para acciones concertadas solamente. El mecanismo de acciones concertadas sería aplicable tanto a las especies del Apéndice I como del Apéndice II, y su alcance se ampliaría para incluir todos los tipos de actividades que antes se emprendían a través de las acciones cooperativas, junto con las que normalmente se emprenden a través de las acciones concertadas. En consecuencia, el mecanismo de acciones cooperativas como tal dejaría de existir.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922791" w:rsidRDefault="0071509A" w:rsidP="00922791">
    <w:pPr>
      <w:pStyle w:val="Heading1"/>
      <w:keepNext w:val="0"/>
      <w:pBdr>
        <w:bottom w:val="single" w:sz="4" w:space="1" w:color="auto"/>
      </w:pBdr>
      <w:tabs>
        <w:tab w:val="clear" w:pos="-720"/>
      </w:tabs>
      <w:ind w:left="261" w:right="-277" w:hanging="261"/>
      <w:rPr>
        <w:rFonts w:ascii="Arial" w:hAnsi="Arial" w:cs="Arial"/>
        <w:b w:val="0"/>
        <w:i/>
        <w:sz w:val="18"/>
        <w:szCs w:val="18"/>
      </w:rPr>
    </w:pPr>
    <w:r>
      <w:rPr>
        <w:rFonts w:ascii="Arial" w:hAnsi="Arial"/>
        <w:b w:val="0"/>
        <w:i/>
        <w:sz w:val="18"/>
      </w:rPr>
      <w:t>UNEP/CMS/COP12/Doc.16.2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922791" w:rsidRDefault="0071509A" w:rsidP="00B237D1">
    <w:pPr>
      <w:pStyle w:val="Heading1"/>
      <w:keepNext w:val="0"/>
      <w:pBdr>
        <w:bottom w:val="single" w:sz="4" w:space="1" w:color="auto"/>
      </w:pBdr>
      <w:tabs>
        <w:tab w:val="clear" w:pos="-720"/>
      </w:tabs>
      <w:ind w:left="261" w:right="11" w:hanging="261"/>
      <w:jc w:val="right"/>
      <w:rPr>
        <w:rFonts w:ascii="Arial" w:hAnsi="Arial" w:cs="Arial"/>
        <w:b w:val="0"/>
        <w:i/>
        <w:sz w:val="18"/>
        <w:szCs w:val="18"/>
      </w:rPr>
    </w:pPr>
    <w:r>
      <w:rPr>
        <w:rFonts w:ascii="Arial" w:hAnsi="Arial"/>
        <w:b w:val="0"/>
        <w:i/>
        <w:sz w:val="18"/>
      </w:rPr>
      <w:t>UNEP/CMS/COP12/Doc.16.2</w:t>
    </w:r>
  </w:p>
  <w:p w:rsidR="0071509A" w:rsidRPr="00354A9C" w:rsidRDefault="0071509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Default="00AB5349" w:rsidP="00894D19">
    <w:pPr>
      <w:pStyle w:val="Header"/>
    </w:pPr>
    <w:r>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71509A" w:rsidRDefault="00AB5349">
    <w:pPr>
      <w:pStyle w:val="Header"/>
    </w:pPr>
    <w:r>
      <w:rPr>
        <w:noProof/>
        <w:lang w:val="en-US" w:eastAsia="en-US"/>
      </w:rPr>
      <w:drawing>
        <wp:anchor distT="0" distB="0" distL="114300" distR="114300" simplePos="0" relativeHeight="251660288" behindDoc="1" locked="0" layoutInCell="1" allowOverlap="1">
          <wp:simplePos x="0" y="0"/>
          <wp:positionH relativeFrom="column">
            <wp:posOffset>-175260</wp:posOffset>
          </wp:positionH>
          <wp:positionV relativeFrom="paragraph">
            <wp:posOffset>-210820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2"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D605A4" w:rsidRDefault="0071509A" w:rsidP="00D605A4">
    <w:pPr>
      <w:pStyle w:val="Header"/>
      <w:pBdr>
        <w:bottom w:val="single" w:sz="4" w:space="1" w:color="auto"/>
      </w:pBdr>
      <w:rPr>
        <w:rFonts w:ascii="Arial" w:hAnsi="Arial" w:cs="Arial"/>
        <w:i/>
        <w:sz w:val="18"/>
        <w:szCs w:val="18"/>
      </w:rPr>
    </w:pPr>
    <w:r>
      <w:rPr>
        <w:rFonts w:ascii="Arial" w:hAnsi="Arial"/>
        <w:i/>
        <w:sz w:val="18"/>
      </w:rPr>
      <w:t>UNEP/CMS/COP12/Doc.16.2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317E70" w:rsidRDefault="0071509A" w:rsidP="008154C8">
    <w:pPr>
      <w:pBdr>
        <w:bottom w:val="single" w:sz="4" w:space="1" w:color="auto"/>
      </w:pBdr>
      <w:rPr>
        <w:rFonts w:ascii="Arial" w:hAnsi="Arial" w:cs="Arial"/>
        <w:i/>
        <w:sz w:val="18"/>
        <w:szCs w:val="18"/>
        <w:lang w:val="en-US"/>
      </w:rPr>
    </w:pPr>
    <w:r w:rsidRPr="00317E70">
      <w:rPr>
        <w:rFonts w:ascii="Arial" w:hAnsi="Arial"/>
        <w:i/>
        <w:sz w:val="18"/>
        <w:lang w:val="en-US"/>
      </w:rPr>
      <w:t>UNEP/CMS/COP12/Doc.16.2/Anexo 1</w:t>
    </w:r>
  </w:p>
  <w:p w:rsidR="0071509A" w:rsidRPr="00317E70" w:rsidRDefault="0071509A" w:rsidP="008154C8">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317E70" w:rsidRDefault="0071509A" w:rsidP="008154C8">
    <w:pPr>
      <w:pBdr>
        <w:bottom w:val="single" w:sz="4" w:space="1" w:color="auto"/>
      </w:pBdr>
      <w:jc w:val="right"/>
      <w:rPr>
        <w:rFonts w:ascii="Arial" w:hAnsi="Arial" w:cs="Arial"/>
        <w:i/>
        <w:sz w:val="18"/>
        <w:szCs w:val="18"/>
        <w:lang w:val="en-US"/>
      </w:rPr>
    </w:pPr>
    <w:r w:rsidRPr="00317E70">
      <w:rPr>
        <w:rFonts w:ascii="Arial" w:hAnsi="Arial"/>
        <w:i/>
        <w:sz w:val="18"/>
        <w:lang w:val="en-US"/>
      </w:rPr>
      <w:t>UNEP/CMS/COP12//Doc.16.2/Anexo 1</w:t>
    </w:r>
  </w:p>
  <w:p w:rsidR="0071509A" w:rsidRPr="00317E70" w:rsidRDefault="0071509A" w:rsidP="008154C8">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09A" w:rsidRPr="00317E70" w:rsidRDefault="0071509A" w:rsidP="002272A7">
    <w:pPr>
      <w:pBdr>
        <w:bottom w:val="single" w:sz="4" w:space="1" w:color="auto"/>
      </w:pBdr>
      <w:jc w:val="right"/>
      <w:rPr>
        <w:rFonts w:ascii="Arial" w:hAnsi="Arial" w:cs="Arial"/>
        <w:i/>
        <w:sz w:val="18"/>
        <w:szCs w:val="18"/>
        <w:lang w:val="en-US"/>
      </w:rPr>
    </w:pPr>
    <w:r w:rsidRPr="00317E70">
      <w:rPr>
        <w:rFonts w:ascii="Arial" w:hAnsi="Arial"/>
        <w:i/>
        <w:sz w:val="18"/>
        <w:lang w:val="en-US"/>
      </w:rPr>
      <w:t>UNEP/CMS/COP12/Doc.16.2/Anexo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27B1C33"/>
    <w:multiLevelType w:val="hybridMultilevel"/>
    <w:tmpl w:val="EAAE938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B9313A"/>
    <w:multiLevelType w:val="hybridMultilevel"/>
    <w:tmpl w:val="8AB26956"/>
    <w:lvl w:ilvl="0" w:tplc="80163E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7B1017"/>
    <w:multiLevelType w:val="hybridMultilevel"/>
    <w:tmpl w:val="C5FAA60E"/>
    <w:lvl w:ilvl="0" w:tplc="05F6FE7E">
      <w:start w:val="1"/>
      <w:numFmt w:val="decimal"/>
      <w:lvlText w:val="%1."/>
      <w:lvlJc w:val="left"/>
      <w:pPr>
        <w:ind w:left="360" w:hanging="360"/>
      </w:pPr>
      <w:rPr>
        <w:rFonts w:cs="Times New Roman" w:hint="default"/>
        <w:b w:val="0"/>
      </w:rPr>
    </w:lvl>
    <w:lvl w:ilvl="1" w:tplc="80163E9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7F619D7"/>
    <w:multiLevelType w:val="hybridMultilevel"/>
    <w:tmpl w:val="EE7466EE"/>
    <w:lvl w:ilvl="0" w:tplc="F9B415E6">
      <w:start w:val="1"/>
      <w:numFmt w:val="lowerRoman"/>
      <w:lvlText w:val="%1)"/>
      <w:lvlJc w:val="left"/>
      <w:pPr>
        <w:ind w:left="1080" w:hanging="720"/>
      </w:pPr>
      <w:rPr>
        <w:rFonts w:cs="Times New Roman" w:hint="default"/>
      </w:rPr>
    </w:lvl>
    <w:lvl w:ilvl="1" w:tplc="20F0188E">
      <w:start w:val="1"/>
      <w:numFmt w:val="decimal"/>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43652F"/>
    <w:multiLevelType w:val="hybridMultilevel"/>
    <w:tmpl w:val="F3FE06C2"/>
    <w:lvl w:ilvl="0" w:tplc="4C88504A">
      <w:start w:val="1"/>
      <w:numFmt w:val="lowerRoman"/>
      <w:lvlText w:val="(%1)"/>
      <w:lvlJc w:val="left"/>
      <w:pPr>
        <w:ind w:left="1080" w:hanging="720"/>
      </w:pPr>
      <w:rPr>
        <w:rFonts w:cs="Times New Roman" w:hint="default"/>
      </w:rPr>
    </w:lvl>
    <w:lvl w:ilvl="1" w:tplc="4F106F44">
      <w:start w:val="1"/>
      <w:numFmt w:val="lowerLetter"/>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59461612"/>
    <w:multiLevelType w:val="hybridMultilevel"/>
    <w:tmpl w:val="4268FCF0"/>
    <w:lvl w:ilvl="0" w:tplc="0409000F">
      <w:start w:val="1"/>
      <w:numFmt w:val="decimal"/>
      <w:lvlText w:val="%1."/>
      <w:lvlJc w:val="left"/>
      <w:pPr>
        <w:ind w:left="1080" w:hanging="360"/>
      </w:pPr>
      <w:rPr>
        <w:rFonts w:cs="Times New Roman" w:hint="default"/>
        <w:b w:val="0"/>
      </w:rPr>
    </w:lvl>
    <w:lvl w:ilvl="1" w:tplc="80163E96">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6C6E770C"/>
    <w:multiLevelType w:val="hybridMultilevel"/>
    <w:tmpl w:val="8E9A0DA4"/>
    <w:lvl w:ilvl="0" w:tplc="2B8AAB78">
      <w:start w:val="1"/>
      <w:numFmt w:val="lowerRoman"/>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0CB6165"/>
    <w:multiLevelType w:val="hybridMultilevel"/>
    <w:tmpl w:val="F2F2BFDA"/>
    <w:lvl w:ilvl="0" w:tplc="E05CCA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7D201878"/>
    <w:multiLevelType w:val="hybridMultilevel"/>
    <w:tmpl w:val="EDA6A38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11"/>
  </w:num>
  <w:num w:numId="8">
    <w:abstractNumId w:val="8"/>
  </w:num>
  <w:num w:numId="9">
    <w:abstractNumId w:val="4"/>
  </w:num>
  <w:num w:numId="10">
    <w:abstractNumId w:val="3"/>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65C"/>
    <w:rsid w:val="00003D87"/>
    <w:rsid w:val="00007296"/>
    <w:rsid w:val="00015E07"/>
    <w:rsid w:val="00017A9A"/>
    <w:rsid w:val="00021B68"/>
    <w:rsid w:val="000254DF"/>
    <w:rsid w:val="00031A88"/>
    <w:rsid w:val="0003449E"/>
    <w:rsid w:val="00036C53"/>
    <w:rsid w:val="0004366E"/>
    <w:rsid w:val="00046F1C"/>
    <w:rsid w:val="00051417"/>
    <w:rsid w:val="000518C2"/>
    <w:rsid w:val="00056DC1"/>
    <w:rsid w:val="00060156"/>
    <w:rsid w:val="000607FC"/>
    <w:rsid w:val="000648B4"/>
    <w:rsid w:val="00070BBC"/>
    <w:rsid w:val="00073C92"/>
    <w:rsid w:val="00080F03"/>
    <w:rsid w:val="00084452"/>
    <w:rsid w:val="000900E1"/>
    <w:rsid w:val="0009076A"/>
    <w:rsid w:val="000945BB"/>
    <w:rsid w:val="000A5DE1"/>
    <w:rsid w:val="000B6220"/>
    <w:rsid w:val="000C21B1"/>
    <w:rsid w:val="000C3C87"/>
    <w:rsid w:val="000C7460"/>
    <w:rsid w:val="000E01C1"/>
    <w:rsid w:val="000E5343"/>
    <w:rsid w:val="000F0B93"/>
    <w:rsid w:val="000F1156"/>
    <w:rsid w:val="000F3B63"/>
    <w:rsid w:val="000F52BA"/>
    <w:rsid w:val="000F6DE7"/>
    <w:rsid w:val="001111A9"/>
    <w:rsid w:val="001151A3"/>
    <w:rsid w:val="001245DF"/>
    <w:rsid w:val="00130BFD"/>
    <w:rsid w:val="00131208"/>
    <w:rsid w:val="001419C7"/>
    <w:rsid w:val="00147A97"/>
    <w:rsid w:val="00150AC4"/>
    <w:rsid w:val="00150C30"/>
    <w:rsid w:val="00162D88"/>
    <w:rsid w:val="00166ABA"/>
    <w:rsid w:val="001743FD"/>
    <w:rsid w:val="001764E6"/>
    <w:rsid w:val="001808F1"/>
    <w:rsid w:val="001812C3"/>
    <w:rsid w:val="00181FA9"/>
    <w:rsid w:val="00190C1F"/>
    <w:rsid w:val="001933EA"/>
    <w:rsid w:val="001A33B6"/>
    <w:rsid w:val="001B0DD5"/>
    <w:rsid w:val="001B2AC0"/>
    <w:rsid w:val="001C6038"/>
    <w:rsid w:val="001E07AD"/>
    <w:rsid w:val="001F2605"/>
    <w:rsid w:val="001F60A1"/>
    <w:rsid w:val="00200A67"/>
    <w:rsid w:val="00201F88"/>
    <w:rsid w:val="00202332"/>
    <w:rsid w:val="002210F4"/>
    <w:rsid w:val="002272A7"/>
    <w:rsid w:val="00227BDF"/>
    <w:rsid w:val="0023527C"/>
    <w:rsid w:val="002375F6"/>
    <w:rsid w:val="00254721"/>
    <w:rsid w:val="00257709"/>
    <w:rsid w:val="00263159"/>
    <w:rsid w:val="00263FB0"/>
    <w:rsid w:val="002711DD"/>
    <w:rsid w:val="002779F7"/>
    <w:rsid w:val="002810B1"/>
    <w:rsid w:val="00284617"/>
    <w:rsid w:val="00287939"/>
    <w:rsid w:val="0029028F"/>
    <w:rsid w:val="00294F92"/>
    <w:rsid w:val="002A380C"/>
    <w:rsid w:val="002B7045"/>
    <w:rsid w:val="002C187A"/>
    <w:rsid w:val="002C20F1"/>
    <w:rsid w:val="002C3FD0"/>
    <w:rsid w:val="002D01E0"/>
    <w:rsid w:val="002D2088"/>
    <w:rsid w:val="002D2863"/>
    <w:rsid w:val="002D5EC0"/>
    <w:rsid w:val="002E3DEA"/>
    <w:rsid w:val="002E7CC2"/>
    <w:rsid w:val="002F6F9B"/>
    <w:rsid w:val="00317E70"/>
    <w:rsid w:val="003331C6"/>
    <w:rsid w:val="003446CF"/>
    <w:rsid w:val="00345044"/>
    <w:rsid w:val="00351095"/>
    <w:rsid w:val="00354A9C"/>
    <w:rsid w:val="00361D79"/>
    <w:rsid w:val="00364973"/>
    <w:rsid w:val="00364C8C"/>
    <w:rsid w:val="00372347"/>
    <w:rsid w:val="003779D4"/>
    <w:rsid w:val="00382398"/>
    <w:rsid w:val="00387C4C"/>
    <w:rsid w:val="003909E4"/>
    <w:rsid w:val="0039696C"/>
    <w:rsid w:val="00397F94"/>
    <w:rsid w:val="003A3358"/>
    <w:rsid w:val="003A3E30"/>
    <w:rsid w:val="003A70FE"/>
    <w:rsid w:val="003B0B71"/>
    <w:rsid w:val="003B0C35"/>
    <w:rsid w:val="003B219E"/>
    <w:rsid w:val="003D3028"/>
    <w:rsid w:val="003D72EC"/>
    <w:rsid w:val="003E21B3"/>
    <w:rsid w:val="003E3F96"/>
    <w:rsid w:val="003F3EFA"/>
    <w:rsid w:val="00411E65"/>
    <w:rsid w:val="004169D2"/>
    <w:rsid w:val="00420040"/>
    <w:rsid w:val="00423388"/>
    <w:rsid w:val="00426D73"/>
    <w:rsid w:val="00435955"/>
    <w:rsid w:val="0045025E"/>
    <w:rsid w:val="004541DC"/>
    <w:rsid w:val="00454913"/>
    <w:rsid w:val="00456434"/>
    <w:rsid w:val="00457441"/>
    <w:rsid w:val="004579F6"/>
    <w:rsid w:val="004656D0"/>
    <w:rsid w:val="00465B53"/>
    <w:rsid w:val="00467600"/>
    <w:rsid w:val="00473ABD"/>
    <w:rsid w:val="00476FC2"/>
    <w:rsid w:val="00482DCA"/>
    <w:rsid w:val="00495A4F"/>
    <w:rsid w:val="004962A8"/>
    <w:rsid w:val="004B6CFD"/>
    <w:rsid w:val="004C0506"/>
    <w:rsid w:val="004C204D"/>
    <w:rsid w:val="004C35EA"/>
    <w:rsid w:val="004D0436"/>
    <w:rsid w:val="004D0936"/>
    <w:rsid w:val="004D4437"/>
    <w:rsid w:val="004D7283"/>
    <w:rsid w:val="004E6A3F"/>
    <w:rsid w:val="004E7ED7"/>
    <w:rsid w:val="004F243D"/>
    <w:rsid w:val="004F3D8D"/>
    <w:rsid w:val="004F460B"/>
    <w:rsid w:val="00500FBE"/>
    <w:rsid w:val="005076F1"/>
    <w:rsid w:val="00512B91"/>
    <w:rsid w:val="005158EB"/>
    <w:rsid w:val="0052082F"/>
    <w:rsid w:val="005318CB"/>
    <w:rsid w:val="00542FCC"/>
    <w:rsid w:val="00554803"/>
    <w:rsid w:val="0055762E"/>
    <w:rsid w:val="00565445"/>
    <w:rsid w:val="00567986"/>
    <w:rsid w:val="00575334"/>
    <w:rsid w:val="00593736"/>
    <w:rsid w:val="005A3181"/>
    <w:rsid w:val="005A4342"/>
    <w:rsid w:val="005B0F06"/>
    <w:rsid w:val="005B6141"/>
    <w:rsid w:val="005B70F6"/>
    <w:rsid w:val="005C22BD"/>
    <w:rsid w:val="005C3F15"/>
    <w:rsid w:val="005D026E"/>
    <w:rsid w:val="005F3989"/>
    <w:rsid w:val="005F4303"/>
    <w:rsid w:val="00601B52"/>
    <w:rsid w:val="0060280B"/>
    <w:rsid w:val="00604422"/>
    <w:rsid w:val="00616D92"/>
    <w:rsid w:val="00617710"/>
    <w:rsid w:val="00651341"/>
    <w:rsid w:val="00653483"/>
    <w:rsid w:val="0065686D"/>
    <w:rsid w:val="006661B0"/>
    <w:rsid w:val="00666F8B"/>
    <w:rsid w:val="006815B2"/>
    <w:rsid w:val="00682B31"/>
    <w:rsid w:val="006864E1"/>
    <w:rsid w:val="00691001"/>
    <w:rsid w:val="006A5E29"/>
    <w:rsid w:val="006A7759"/>
    <w:rsid w:val="006B1037"/>
    <w:rsid w:val="006B35C0"/>
    <w:rsid w:val="006D01E1"/>
    <w:rsid w:val="006E1146"/>
    <w:rsid w:val="006E56AD"/>
    <w:rsid w:val="006E5763"/>
    <w:rsid w:val="00700956"/>
    <w:rsid w:val="00706A0B"/>
    <w:rsid w:val="007101BB"/>
    <w:rsid w:val="00713308"/>
    <w:rsid w:val="0071509A"/>
    <w:rsid w:val="00721954"/>
    <w:rsid w:val="0072195B"/>
    <w:rsid w:val="00727E01"/>
    <w:rsid w:val="007313D2"/>
    <w:rsid w:val="00735BC3"/>
    <w:rsid w:val="00746195"/>
    <w:rsid w:val="00752E19"/>
    <w:rsid w:val="00757614"/>
    <w:rsid w:val="007728B4"/>
    <w:rsid w:val="0077622E"/>
    <w:rsid w:val="00777FE4"/>
    <w:rsid w:val="0079075D"/>
    <w:rsid w:val="007910DD"/>
    <w:rsid w:val="007B52D3"/>
    <w:rsid w:val="007C1468"/>
    <w:rsid w:val="007C41D7"/>
    <w:rsid w:val="007D1D3A"/>
    <w:rsid w:val="007F16FB"/>
    <w:rsid w:val="007F1BBA"/>
    <w:rsid w:val="007F3C67"/>
    <w:rsid w:val="008154C8"/>
    <w:rsid w:val="0081600F"/>
    <w:rsid w:val="00823054"/>
    <w:rsid w:val="00826078"/>
    <w:rsid w:val="0082722D"/>
    <w:rsid w:val="008274F7"/>
    <w:rsid w:val="008357CE"/>
    <w:rsid w:val="008441F9"/>
    <w:rsid w:val="00846A99"/>
    <w:rsid w:val="00847590"/>
    <w:rsid w:val="00857739"/>
    <w:rsid w:val="008641D1"/>
    <w:rsid w:val="00870FB9"/>
    <w:rsid w:val="00872F67"/>
    <w:rsid w:val="008879E9"/>
    <w:rsid w:val="00893346"/>
    <w:rsid w:val="00894D19"/>
    <w:rsid w:val="008A0D8D"/>
    <w:rsid w:val="008B0046"/>
    <w:rsid w:val="008B1A69"/>
    <w:rsid w:val="008C1A39"/>
    <w:rsid w:val="008D1B43"/>
    <w:rsid w:val="008D5D15"/>
    <w:rsid w:val="008E7DFB"/>
    <w:rsid w:val="008F7327"/>
    <w:rsid w:val="008F79B7"/>
    <w:rsid w:val="0090059C"/>
    <w:rsid w:val="009076C8"/>
    <w:rsid w:val="00915BBE"/>
    <w:rsid w:val="00915F41"/>
    <w:rsid w:val="00921D62"/>
    <w:rsid w:val="00922791"/>
    <w:rsid w:val="00927275"/>
    <w:rsid w:val="00927CD6"/>
    <w:rsid w:val="00933572"/>
    <w:rsid w:val="009363C7"/>
    <w:rsid w:val="00940E67"/>
    <w:rsid w:val="00960CDE"/>
    <w:rsid w:val="009638C1"/>
    <w:rsid w:val="00972D36"/>
    <w:rsid w:val="00980406"/>
    <w:rsid w:val="00994621"/>
    <w:rsid w:val="009A2C8F"/>
    <w:rsid w:val="009A7B65"/>
    <w:rsid w:val="009B3D3C"/>
    <w:rsid w:val="009D236C"/>
    <w:rsid w:val="009D2AD6"/>
    <w:rsid w:val="009D3A07"/>
    <w:rsid w:val="009D4711"/>
    <w:rsid w:val="009D5DA6"/>
    <w:rsid w:val="009E3A84"/>
    <w:rsid w:val="009E7ACC"/>
    <w:rsid w:val="009F12D2"/>
    <w:rsid w:val="009F450E"/>
    <w:rsid w:val="009F54DA"/>
    <w:rsid w:val="009F65F0"/>
    <w:rsid w:val="00A06984"/>
    <w:rsid w:val="00A1324E"/>
    <w:rsid w:val="00A1572F"/>
    <w:rsid w:val="00A17B42"/>
    <w:rsid w:val="00A220C2"/>
    <w:rsid w:val="00A27BE3"/>
    <w:rsid w:val="00A339B9"/>
    <w:rsid w:val="00A40EDF"/>
    <w:rsid w:val="00A545AC"/>
    <w:rsid w:val="00A568DF"/>
    <w:rsid w:val="00A62BBE"/>
    <w:rsid w:val="00A721F2"/>
    <w:rsid w:val="00A73A79"/>
    <w:rsid w:val="00A92C9A"/>
    <w:rsid w:val="00A93C52"/>
    <w:rsid w:val="00A96941"/>
    <w:rsid w:val="00AA6BE9"/>
    <w:rsid w:val="00AA7368"/>
    <w:rsid w:val="00AB4FF9"/>
    <w:rsid w:val="00AB5349"/>
    <w:rsid w:val="00AC1655"/>
    <w:rsid w:val="00AD2D20"/>
    <w:rsid w:val="00AE1660"/>
    <w:rsid w:val="00AE7B21"/>
    <w:rsid w:val="00AF1980"/>
    <w:rsid w:val="00AF2021"/>
    <w:rsid w:val="00B025B7"/>
    <w:rsid w:val="00B139C2"/>
    <w:rsid w:val="00B2109E"/>
    <w:rsid w:val="00B237D1"/>
    <w:rsid w:val="00B43C29"/>
    <w:rsid w:val="00B471BD"/>
    <w:rsid w:val="00B50C2D"/>
    <w:rsid w:val="00B64904"/>
    <w:rsid w:val="00B70C37"/>
    <w:rsid w:val="00B75777"/>
    <w:rsid w:val="00B808A8"/>
    <w:rsid w:val="00B93918"/>
    <w:rsid w:val="00BA2206"/>
    <w:rsid w:val="00BA60CE"/>
    <w:rsid w:val="00BB2578"/>
    <w:rsid w:val="00BB2D89"/>
    <w:rsid w:val="00BB7AB8"/>
    <w:rsid w:val="00BC5607"/>
    <w:rsid w:val="00BE0C7F"/>
    <w:rsid w:val="00BE0D1D"/>
    <w:rsid w:val="00BE2448"/>
    <w:rsid w:val="00BE24D4"/>
    <w:rsid w:val="00BF2BE7"/>
    <w:rsid w:val="00BF2CC6"/>
    <w:rsid w:val="00BF4B26"/>
    <w:rsid w:val="00BF6766"/>
    <w:rsid w:val="00C05102"/>
    <w:rsid w:val="00C061FF"/>
    <w:rsid w:val="00C10539"/>
    <w:rsid w:val="00C10A66"/>
    <w:rsid w:val="00C13FA6"/>
    <w:rsid w:val="00C169ED"/>
    <w:rsid w:val="00C340D2"/>
    <w:rsid w:val="00C3509B"/>
    <w:rsid w:val="00C44645"/>
    <w:rsid w:val="00C5484D"/>
    <w:rsid w:val="00C618F2"/>
    <w:rsid w:val="00C73207"/>
    <w:rsid w:val="00C7602A"/>
    <w:rsid w:val="00C82160"/>
    <w:rsid w:val="00C82ED9"/>
    <w:rsid w:val="00C8752B"/>
    <w:rsid w:val="00C87D68"/>
    <w:rsid w:val="00C9281B"/>
    <w:rsid w:val="00C94064"/>
    <w:rsid w:val="00CA367A"/>
    <w:rsid w:val="00CB1D26"/>
    <w:rsid w:val="00CB36D2"/>
    <w:rsid w:val="00CC4C21"/>
    <w:rsid w:val="00CC55BA"/>
    <w:rsid w:val="00CC57AD"/>
    <w:rsid w:val="00CD0FE9"/>
    <w:rsid w:val="00CD1EA5"/>
    <w:rsid w:val="00CD7355"/>
    <w:rsid w:val="00CE0545"/>
    <w:rsid w:val="00CE5B83"/>
    <w:rsid w:val="00CE66CF"/>
    <w:rsid w:val="00CF6EDD"/>
    <w:rsid w:val="00D044DD"/>
    <w:rsid w:val="00D05922"/>
    <w:rsid w:val="00D21383"/>
    <w:rsid w:val="00D24AFF"/>
    <w:rsid w:val="00D2705C"/>
    <w:rsid w:val="00D348A6"/>
    <w:rsid w:val="00D42AE1"/>
    <w:rsid w:val="00D47080"/>
    <w:rsid w:val="00D51D7F"/>
    <w:rsid w:val="00D605A4"/>
    <w:rsid w:val="00D61B13"/>
    <w:rsid w:val="00D7746A"/>
    <w:rsid w:val="00D82DEE"/>
    <w:rsid w:val="00D838FE"/>
    <w:rsid w:val="00D8406F"/>
    <w:rsid w:val="00D859C7"/>
    <w:rsid w:val="00D9021F"/>
    <w:rsid w:val="00D966A0"/>
    <w:rsid w:val="00DA1080"/>
    <w:rsid w:val="00DA12C2"/>
    <w:rsid w:val="00DB30A6"/>
    <w:rsid w:val="00DC225F"/>
    <w:rsid w:val="00DD6A9E"/>
    <w:rsid w:val="00DE321C"/>
    <w:rsid w:val="00DF150D"/>
    <w:rsid w:val="00E23367"/>
    <w:rsid w:val="00E238F5"/>
    <w:rsid w:val="00E31B92"/>
    <w:rsid w:val="00E36140"/>
    <w:rsid w:val="00E475D4"/>
    <w:rsid w:val="00E513E0"/>
    <w:rsid w:val="00E60014"/>
    <w:rsid w:val="00E63686"/>
    <w:rsid w:val="00E65055"/>
    <w:rsid w:val="00E74D1C"/>
    <w:rsid w:val="00E76B43"/>
    <w:rsid w:val="00E8776E"/>
    <w:rsid w:val="00E9237A"/>
    <w:rsid w:val="00E929D7"/>
    <w:rsid w:val="00E9651B"/>
    <w:rsid w:val="00EA0B88"/>
    <w:rsid w:val="00EB2285"/>
    <w:rsid w:val="00EC1B48"/>
    <w:rsid w:val="00EC4294"/>
    <w:rsid w:val="00EC542E"/>
    <w:rsid w:val="00EC681E"/>
    <w:rsid w:val="00ED02D3"/>
    <w:rsid w:val="00ED5E31"/>
    <w:rsid w:val="00EE4815"/>
    <w:rsid w:val="00EE64C1"/>
    <w:rsid w:val="00EF3080"/>
    <w:rsid w:val="00EF598E"/>
    <w:rsid w:val="00F04BB5"/>
    <w:rsid w:val="00F05AA0"/>
    <w:rsid w:val="00F061CB"/>
    <w:rsid w:val="00F06833"/>
    <w:rsid w:val="00F11793"/>
    <w:rsid w:val="00F14316"/>
    <w:rsid w:val="00F14F3B"/>
    <w:rsid w:val="00F24050"/>
    <w:rsid w:val="00F248AA"/>
    <w:rsid w:val="00F25B51"/>
    <w:rsid w:val="00F31539"/>
    <w:rsid w:val="00F444EC"/>
    <w:rsid w:val="00F45FE3"/>
    <w:rsid w:val="00F52D22"/>
    <w:rsid w:val="00F5375F"/>
    <w:rsid w:val="00F54D03"/>
    <w:rsid w:val="00F619F2"/>
    <w:rsid w:val="00F6347A"/>
    <w:rsid w:val="00F7503A"/>
    <w:rsid w:val="00F81FEF"/>
    <w:rsid w:val="00F978B9"/>
    <w:rsid w:val="00FA61AF"/>
    <w:rsid w:val="00FB2C17"/>
    <w:rsid w:val="00FB50C0"/>
    <w:rsid w:val="00FC5A90"/>
    <w:rsid w:val="00FC7A7B"/>
    <w:rsid w:val="00FD3A06"/>
    <w:rsid w:val="00FD7D14"/>
    <w:rsid w:val="00FE59FB"/>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E3183A"/>
  <w14:defaultImageDpi w14:val="0"/>
  <w15:docId w15:val="{841CE650-5D4C-4C5C-8A9B-4CDBC5BF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1"/>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1"/>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1"/>
    <w:uiPriority w:val="99"/>
    <w:qFormat/>
    <w:rsid w:val="002779F7"/>
    <w:pPr>
      <w:keepNext/>
      <w:outlineLvl w:val="3"/>
    </w:pPr>
    <w:rPr>
      <w:b/>
      <w:bCs/>
      <w:szCs w:val="20"/>
    </w:rPr>
  </w:style>
  <w:style w:type="paragraph" w:styleId="Heading5">
    <w:name w:val="heading 5"/>
    <w:basedOn w:val="Normal"/>
    <w:next w:val="Normal"/>
    <w:link w:val="Heading5Char1"/>
    <w:uiPriority w:val="99"/>
    <w:qFormat/>
    <w:rsid w:val="002779F7"/>
    <w:pPr>
      <w:keepNext/>
      <w:jc w:val="both"/>
      <w:outlineLvl w:val="4"/>
    </w:pPr>
    <w:rPr>
      <w:b/>
      <w:i/>
      <w:iCs/>
      <w:sz w:val="22"/>
      <w:u w:val="single"/>
    </w:rPr>
  </w:style>
  <w:style w:type="paragraph" w:styleId="Heading6">
    <w:name w:val="heading 6"/>
    <w:basedOn w:val="Normal"/>
    <w:next w:val="Normal"/>
    <w:link w:val="Heading6Char1"/>
    <w:uiPriority w:val="99"/>
    <w:qFormat/>
    <w:rsid w:val="002779F7"/>
    <w:pPr>
      <w:keepNext/>
      <w:outlineLvl w:val="5"/>
    </w:pPr>
    <w:rPr>
      <w:i/>
      <w:iCs/>
      <w:sz w:val="23"/>
      <w:szCs w:val="23"/>
    </w:rPr>
  </w:style>
  <w:style w:type="paragraph" w:styleId="Heading7">
    <w:name w:val="heading 7"/>
    <w:basedOn w:val="Normal"/>
    <w:next w:val="Normal"/>
    <w:link w:val="Heading7Char1"/>
    <w:uiPriority w:val="99"/>
    <w:qFormat/>
    <w:rsid w:val="002779F7"/>
    <w:pPr>
      <w:keepNext/>
      <w:jc w:val="center"/>
      <w:outlineLvl w:val="6"/>
    </w:pPr>
    <w:rPr>
      <w:b/>
      <w:bCs/>
      <w:sz w:val="26"/>
      <w:szCs w:val="26"/>
    </w:rPr>
  </w:style>
  <w:style w:type="paragraph" w:styleId="Heading8">
    <w:name w:val="heading 8"/>
    <w:basedOn w:val="Normal"/>
    <w:next w:val="Normal"/>
    <w:link w:val="Heading8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uiPriority w:val="99"/>
    <w:semiHidden/>
    <w:rPr>
      <w:rFonts w:ascii="Cambria" w:hAnsi="Cambria"/>
      <w:b/>
      <w:sz w:val="26"/>
      <w:lang w:val="es-ES" w:eastAsia="es-ES"/>
    </w:rPr>
  </w:style>
  <w:style w:type="character" w:customStyle="1" w:styleId="Heading4Char">
    <w:name w:val="Heading 4 Char"/>
    <w:basedOn w:val="DefaultParagraphFont"/>
    <w:uiPriority w:val="99"/>
    <w:semiHidden/>
    <w:rPr>
      <w:rFonts w:ascii="Calibri" w:hAnsi="Calibri"/>
      <w:b/>
      <w:sz w:val="28"/>
      <w:lang w:val="es-ES" w:eastAsia="es-ES"/>
    </w:rPr>
  </w:style>
  <w:style w:type="character" w:customStyle="1" w:styleId="Heading5Char">
    <w:name w:val="Heading 5 Char"/>
    <w:basedOn w:val="DefaultParagraphFont"/>
    <w:uiPriority w:val="99"/>
    <w:semiHidden/>
    <w:rPr>
      <w:rFonts w:ascii="Calibri" w:hAnsi="Calibri"/>
      <w:b/>
      <w:i/>
      <w:sz w:val="26"/>
      <w:lang w:val="es-ES" w:eastAsia="es-ES"/>
    </w:rPr>
  </w:style>
  <w:style w:type="character" w:customStyle="1" w:styleId="Heading6Char">
    <w:name w:val="Heading 6 Char"/>
    <w:basedOn w:val="DefaultParagraphFont"/>
    <w:uiPriority w:val="99"/>
    <w:semiHidden/>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uiPriority w:val="99"/>
    <w:semiHidden/>
    <w:rPr>
      <w:rFonts w:ascii="Calibri" w:hAnsi="Calibri"/>
      <w:i/>
      <w:sz w:val="24"/>
      <w:lang w:val="es-ES" w:eastAsia="es-ES"/>
    </w:rPr>
  </w:style>
  <w:style w:type="character" w:customStyle="1" w:styleId="Heading9Char">
    <w:name w:val="Heading 9 Char"/>
    <w:basedOn w:val="DefaultParagraphFont"/>
    <w:uiPriority w:val="99"/>
    <w:semiHidden/>
    <w:rPr>
      <w:rFonts w:ascii="Cambria" w:hAnsi="Cambria"/>
      <w:lang w:val="es-ES" w:eastAsia="es-ES"/>
    </w:rPr>
  </w:style>
  <w:style w:type="character" w:customStyle="1" w:styleId="Heading1Char1">
    <w:name w:val="Heading 1 Char1"/>
    <w:link w:val="Heading1"/>
    <w:uiPriority w:val="99"/>
    <w:locked/>
    <w:rPr>
      <w:rFonts w:ascii="Cambria" w:hAnsi="Cambria"/>
      <w:b/>
      <w:kern w:val="32"/>
      <w:sz w:val="32"/>
      <w:lang w:val="es-ES" w:eastAsia="es-ES"/>
    </w:rPr>
  </w:style>
  <w:style w:type="character" w:customStyle="1" w:styleId="Heading2Char1">
    <w:name w:val="Heading 2 Char1"/>
    <w:link w:val="Heading2"/>
    <w:uiPriority w:val="99"/>
    <w:semiHidden/>
    <w:locked/>
    <w:rPr>
      <w:rFonts w:ascii="Cambria" w:hAnsi="Cambria"/>
      <w:b/>
      <w:i/>
      <w:sz w:val="28"/>
      <w:lang w:val="es-ES" w:eastAsia="es-ES"/>
    </w:rPr>
  </w:style>
  <w:style w:type="character" w:customStyle="1" w:styleId="Heading3Char1">
    <w:name w:val="Heading 3 Char1"/>
    <w:link w:val="Heading3"/>
    <w:uiPriority w:val="99"/>
    <w:semiHidden/>
    <w:locked/>
    <w:rPr>
      <w:rFonts w:ascii="Cambria" w:hAnsi="Cambria"/>
      <w:b/>
      <w:sz w:val="26"/>
      <w:lang w:val="es-ES" w:eastAsia="es-ES"/>
    </w:rPr>
  </w:style>
  <w:style w:type="character" w:customStyle="1" w:styleId="Heading4Char1">
    <w:name w:val="Heading 4 Char1"/>
    <w:link w:val="Heading4"/>
    <w:uiPriority w:val="99"/>
    <w:semiHidden/>
    <w:locked/>
    <w:rPr>
      <w:rFonts w:ascii="Calibri" w:hAnsi="Calibri"/>
      <w:b/>
      <w:sz w:val="28"/>
      <w:lang w:val="es-ES" w:eastAsia="es-ES"/>
    </w:rPr>
  </w:style>
  <w:style w:type="character" w:customStyle="1" w:styleId="Heading5Char1">
    <w:name w:val="Heading 5 Char1"/>
    <w:link w:val="Heading5"/>
    <w:uiPriority w:val="99"/>
    <w:semiHidden/>
    <w:locked/>
    <w:rPr>
      <w:rFonts w:ascii="Calibri" w:hAnsi="Calibri"/>
      <w:b/>
      <w:i/>
      <w:sz w:val="26"/>
      <w:lang w:val="es-ES" w:eastAsia="es-ES"/>
    </w:rPr>
  </w:style>
  <w:style w:type="character" w:customStyle="1" w:styleId="Heading6Char1">
    <w:name w:val="Heading 6 Char1"/>
    <w:link w:val="Heading6"/>
    <w:uiPriority w:val="99"/>
    <w:semiHidden/>
    <w:locked/>
    <w:rPr>
      <w:rFonts w:ascii="Calibri" w:hAnsi="Calibri"/>
      <w:b/>
      <w:lang w:val="es-ES" w:eastAsia="es-ES"/>
    </w:rPr>
  </w:style>
  <w:style w:type="character" w:customStyle="1" w:styleId="Heading7Char1">
    <w:name w:val="Heading 7 Char1"/>
    <w:link w:val="Heading7"/>
    <w:uiPriority w:val="99"/>
    <w:semiHidden/>
    <w:locked/>
    <w:rPr>
      <w:rFonts w:ascii="Calibri" w:hAnsi="Calibri"/>
      <w:sz w:val="24"/>
      <w:lang w:val="es-ES" w:eastAsia="es-ES"/>
    </w:rPr>
  </w:style>
  <w:style w:type="character" w:customStyle="1" w:styleId="Heading8Char1">
    <w:name w:val="Heading 8 Char1"/>
    <w:link w:val="Heading8"/>
    <w:uiPriority w:val="99"/>
    <w:semiHidden/>
    <w:locked/>
    <w:rPr>
      <w:rFonts w:ascii="Calibri" w:hAnsi="Calibri"/>
      <w:i/>
      <w:sz w:val="24"/>
      <w:lang w:val="es-ES" w:eastAsia="es-ES"/>
    </w:rPr>
  </w:style>
  <w:style w:type="character" w:customStyle="1" w:styleId="Heading9Char1">
    <w:name w:val="Heading 9 Char1"/>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1"/>
    <w:uiPriority w:val="99"/>
    <w:rsid w:val="002779F7"/>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character" w:customStyle="1" w:styleId="HeaderChar1">
    <w:name w:val="Header Char1"/>
    <w:link w:val="Header"/>
    <w:uiPriority w:val="99"/>
    <w:locked/>
    <w:rsid w:val="003B0C35"/>
    <w:rPr>
      <w:lang w:val="es-ES" w:eastAsia="es-ES"/>
    </w:rPr>
  </w:style>
  <w:style w:type="paragraph" w:styleId="Footer">
    <w:name w:val="footer"/>
    <w:basedOn w:val="Normal"/>
    <w:link w:val="FooterChar1"/>
    <w:uiPriority w:val="99"/>
    <w:rsid w:val="002779F7"/>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character" w:customStyle="1" w:styleId="FooterChar1">
    <w:name w:val="Footer Char1"/>
    <w:link w:val="Footer"/>
    <w:uiPriority w:val="99"/>
    <w:locked/>
    <w:rPr>
      <w:sz w:val="24"/>
      <w:lang w:val="es-ES" w:eastAsia="es-ES"/>
    </w:rPr>
  </w:style>
  <w:style w:type="paragraph" w:styleId="BodyTextIndent">
    <w:name w:val="Body Text Indent"/>
    <w:basedOn w:val="Normal"/>
    <w:link w:val="BodyTextIndentChar1"/>
    <w:uiPriority w:val="99"/>
    <w:rsid w:val="002779F7"/>
    <w:pPr>
      <w:ind w:left="720" w:hanging="720"/>
      <w:jc w:val="both"/>
    </w:pPr>
    <w:rPr>
      <w:sz w:val="22"/>
    </w:rPr>
  </w:style>
  <w:style w:type="character" w:customStyle="1" w:styleId="BodyTextIndentChar">
    <w:name w:val="Body Text Indent Char"/>
    <w:basedOn w:val="DefaultParagraphFont"/>
    <w:uiPriority w:val="99"/>
    <w:semiHidden/>
    <w:rPr>
      <w:sz w:val="24"/>
      <w:lang w:val="es-ES" w:eastAsia="es-ES"/>
    </w:rPr>
  </w:style>
  <w:style w:type="character" w:customStyle="1" w:styleId="BodyTextIndentChar1">
    <w:name w:val="Body Text Indent Char1"/>
    <w:link w:val="BodyTextIndent"/>
    <w:uiPriority w:val="99"/>
    <w:semiHidden/>
    <w:locked/>
    <w:rPr>
      <w:sz w:val="24"/>
      <w:lang w:val="es-ES" w:eastAsia="es-ES"/>
    </w:rPr>
  </w:style>
  <w:style w:type="paragraph" w:styleId="BodyText">
    <w:name w:val="Body Text"/>
    <w:basedOn w:val="Normal"/>
    <w:link w:val="BodyTextChar1"/>
    <w:uiPriority w:val="99"/>
    <w:rsid w:val="002779F7"/>
    <w:pPr>
      <w:jc w:val="both"/>
    </w:pPr>
    <w:rPr>
      <w:sz w:val="22"/>
    </w:rPr>
  </w:style>
  <w:style w:type="character" w:customStyle="1" w:styleId="BodyTextChar">
    <w:name w:val="Body Text Char"/>
    <w:basedOn w:val="DefaultParagraphFont"/>
    <w:uiPriority w:val="99"/>
    <w:semiHidden/>
    <w:rPr>
      <w:sz w:val="24"/>
      <w:lang w:val="es-ES" w:eastAsia="es-ES"/>
    </w:rPr>
  </w:style>
  <w:style w:type="character" w:customStyle="1" w:styleId="BodyTextChar1">
    <w:name w:val="Body Text Char1"/>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1"/>
    <w:uiPriority w:val="99"/>
    <w:semiHidden/>
    <w:rsid w:val="002779F7"/>
    <w:rPr>
      <w:szCs w:val="20"/>
    </w:rPr>
  </w:style>
  <w:style w:type="character" w:customStyle="1" w:styleId="FootnoteTextChar">
    <w:name w:val="Footnote Text Char"/>
    <w:basedOn w:val="DefaultParagraphFont"/>
    <w:uiPriority w:val="99"/>
    <w:semiHidden/>
    <w:rPr>
      <w:sz w:val="20"/>
      <w:lang w:val="es-ES" w:eastAsia="es-ES"/>
    </w:rPr>
  </w:style>
  <w:style w:type="character" w:customStyle="1" w:styleId="FootnoteTextChar1">
    <w:name w:val="Footnote Text Char1"/>
    <w:link w:val="FootnoteText"/>
    <w:uiPriority w:val="99"/>
    <w:semiHidden/>
    <w:locked/>
    <w:rPr>
      <w:sz w:val="20"/>
      <w:lang w:val="es-ES" w:eastAsia="es-ES"/>
    </w:rPr>
  </w:style>
  <w:style w:type="paragraph" w:styleId="BodyText2">
    <w:name w:val="Body Text 2"/>
    <w:basedOn w:val="Normal"/>
    <w:link w:val="BodyText2Char1"/>
    <w:uiPriority w:val="99"/>
    <w:rsid w:val="002779F7"/>
    <w:rPr>
      <w:sz w:val="22"/>
    </w:rPr>
  </w:style>
  <w:style w:type="character" w:customStyle="1" w:styleId="BodyText2Char">
    <w:name w:val="Body Text 2 Char"/>
    <w:basedOn w:val="DefaultParagraphFont"/>
    <w:uiPriority w:val="99"/>
    <w:semiHidden/>
    <w:rPr>
      <w:sz w:val="24"/>
      <w:lang w:val="es-ES" w:eastAsia="es-ES"/>
    </w:rPr>
  </w:style>
  <w:style w:type="character" w:customStyle="1" w:styleId="BodyText2Char1">
    <w:name w:val="Body Text 2 Char1"/>
    <w:link w:val="BodyText2"/>
    <w:uiPriority w:val="99"/>
    <w:semiHidden/>
    <w:locked/>
    <w:rPr>
      <w:sz w:val="24"/>
      <w:lang w:val="es-ES" w:eastAsia="es-ES"/>
    </w:rPr>
  </w:style>
  <w:style w:type="paragraph" w:styleId="BalloonText">
    <w:name w:val="Balloon Text"/>
    <w:basedOn w:val="Normal"/>
    <w:link w:val="BalloonTextChar1"/>
    <w:uiPriority w:val="99"/>
    <w:semiHidden/>
    <w:rsid w:val="002779F7"/>
    <w:rPr>
      <w:rFonts w:ascii="Tahoma" w:hAnsi="Tahoma" w:cs="Tahoma"/>
      <w:sz w:val="16"/>
      <w:szCs w:val="16"/>
    </w:rPr>
  </w:style>
  <w:style w:type="character" w:customStyle="1" w:styleId="BalloonTextChar">
    <w:name w:val="Balloon Text Char"/>
    <w:basedOn w:val="DefaultParagraphFont"/>
    <w:uiPriority w:val="99"/>
    <w:semiHidden/>
    <w:rPr>
      <w:sz w:val="2"/>
      <w:lang w:val="es-ES" w:eastAsia="es-ES"/>
    </w:rPr>
  </w:style>
  <w:style w:type="character" w:customStyle="1" w:styleId="BalloonTextChar1">
    <w:name w:val="Balloon Text Char1"/>
    <w:link w:val="BalloonText"/>
    <w:uiPriority w:val="99"/>
    <w:semiHidden/>
    <w:locked/>
    <w:rPr>
      <w:sz w:val="2"/>
      <w:lang w:val="es-ES" w:eastAsia="es-ES"/>
    </w:rPr>
  </w:style>
  <w:style w:type="paragraph" w:styleId="BodyText3">
    <w:name w:val="Body Text 3"/>
    <w:basedOn w:val="Normal"/>
    <w:link w:val="BodyText3Char1"/>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uiPriority w:val="99"/>
    <w:semiHidden/>
    <w:rPr>
      <w:sz w:val="16"/>
      <w:lang w:val="es-ES" w:eastAsia="es-ES"/>
    </w:rPr>
  </w:style>
  <w:style w:type="character" w:customStyle="1" w:styleId="BodyText3Char1">
    <w:name w:val="Body Text 3 Char1"/>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1"/>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uiPriority w:val="99"/>
    <w:rPr>
      <w:rFonts w:ascii="Cambria" w:hAnsi="Cambria"/>
      <w:b/>
      <w:kern w:val="28"/>
      <w:sz w:val="32"/>
      <w:lang w:val="es-ES" w:eastAsia="es-ES"/>
    </w:rPr>
  </w:style>
  <w:style w:type="character" w:customStyle="1" w:styleId="TitleChar1">
    <w:name w:val="Title Char1"/>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1"/>
    <w:uiPriority w:val="99"/>
    <w:semiHidden/>
    <w:rsid w:val="00DA1080"/>
    <w:rPr>
      <w:sz w:val="24"/>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1"/>
    <w:uiPriority w:val="99"/>
    <w:semiHidden/>
    <w:rsid w:val="00DA1080"/>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table" w:styleId="TableGrid">
    <w:name w:val="Table Grid"/>
    <w:basedOn w:val="TableNormal"/>
    <w:uiPriority w:val="99"/>
    <w:locked/>
    <w:rsid w:val="004D7283"/>
    <w:rPr>
      <w:rFonts w:ascii="Calibri" w:hAnsi="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rsid w:val="00BB2D89"/>
    <w:rPr>
      <w:color w:val="2B579A"/>
      <w:shd w:val="clear" w:color="auto" w:fill="E6E6E6"/>
    </w:rPr>
  </w:style>
  <w:style w:type="character" w:styleId="Mention">
    <w:name w:val="Mention"/>
    <w:basedOn w:val="DefaultParagraphFont"/>
    <w:uiPriority w:val="99"/>
    <w:semiHidden/>
    <w:unhideWhenUsed/>
    <w:rsid w:val="00317E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9254">
      <w:marLeft w:val="0"/>
      <w:marRight w:val="0"/>
      <w:marTop w:val="0"/>
      <w:marBottom w:val="0"/>
      <w:divBdr>
        <w:top w:val="none" w:sz="0" w:space="0" w:color="auto"/>
        <w:left w:val="none" w:sz="0" w:space="0" w:color="auto"/>
        <w:bottom w:val="none" w:sz="0" w:space="0" w:color="auto"/>
        <w:right w:val="none" w:sz="0" w:space="0" w:color="auto"/>
      </w:divBdr>
    </w:div>
    <w:div w:id="684329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ms.int/sites/default/files/document/Doc_14_ScC_Cambio_organizacional_s.pdf"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en/page/scientific-council-members"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cms.int/sites/default/files/document/stC44_report_approved_nov2016_s.pdf"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cms.int/sites/default/files/document/Doc_14_ScC_Cambio_organizacional_s.pdf"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ms.int/sites/default/files/document/cms_scc-sc1_doc-3-2_revisi%C3%B3n-reglamento_s.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Res_11_04_Reestructuraci%C3%B3n_del_Consejo_Cient%C3%ADficos_S.pdf" TargetMode="External"/><Relationship Id="rId22" Type="http://schemas.openxmlformats.org/officeDocument/2006/relationships/header" Target="header5.xm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8</Pages>
  <Words>3084</Words>
  <Characters>17300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Linette Eitz Lamare</dc:creator>
  <cp:keywords/>
  <dc:description/>
  <cp:lastModifiedBy>CMS Secretariat</cp:lastModifiedBy>
  <cp:revision>2</cp:revision>
  <cp:lastPrinted>2017-08-17T11:12:00Z</cp:lastPrinted>
  <dcterms:created xsi:type="dcterms:W3CDTF">2017-08-18T07:20:00Z</dcterms:created>
  <dcterms:modified xsi:type="dcterms:W3CDTF">2017-08-18T07:20:00Z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