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4536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F20775">
              <w:rPr>
                <w:rFonts w:ascii="Arial" w:hAnsi="Arial" w:cs="Arial"/>
                <w:sz w:val="22"/>
                <w:szCs w:val="22"/>
                <w:lang w:val="es-ES"/>
              </w:rPr>
              <w:t>8</w:t>
            </w:r>
          </w:p>
          <w:p w:rsidR="00992727" w:rsidRPr="00BA7075" w:rsidRDefault="00D25B64"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F20775">
      <w:pPr>
        <w:tabs>
          <w:tab w:val="left" w:pos="7020"/>
        </w:tabs>
        <w:rPr>
          <w:rFonts w:ascii="Arial" w:hAnsi="Arial" w:cs="Arial"/>
          <w:sz w:val="22"/>
          <w:szCs w:val="22"/>
          <w:lang w:val="es-ES"/>
        </w:rPr>
      </w:pPr>
    </w:p>
    <w:p w:rsidR="00F20775" w:rsidRPr="00F20775" w:rsidRDefault="00F20775" w:rsidP="00F20775">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F20775">
        <w:rPr>
          <w:rFonts w:ascii="Arial" w:hAnsi="Arial" w:cs="Arial"/>
          <w:b/>
          <w:bCs/>
          <w:caps/>
          <w:sz w:val="22"/>
          <w:szCs w:val="22"/>
          <w:lang w:val="es-ES"/>
        </w:rPr>
        <w:t>ÁREAS IMPORTANTES DE MAMÍFEROS MARINOS (AIMM)</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6A709B">
        <w:rPr>
          <w:rFonts w:ascii="Arial" w:hAnsi="Arial" w:cs="Arial"/>
          <w:b/>
          <w:bCs/>
          <w:caps/>
          <w:sz w:val="22"/>
          <w:szCs w:val="22"/>
          <w:lang w:val="es-ES"/>
        </w:rPr>
        <w:cr/>
      </w: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00F20775">
        <w:rPr>
          <w:rFonts w:ascii="Arial" w:hAnsi="Arial" w:cs="Arial"/>
          <w:caps/>
          <w:sz w:val="22"/>
          <w:szCs w:val="22"/>
          <w:lang w:val="fr-FR"/>
        </w:rPr>
        <w:t>.24.2.1</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F20775" w:rsidRPr="00453677" w:rsidRDefault="00F20775" w:rsidP="00F20775">
      <w:pPr>
        <w:jc w:val="center"/>
        <w:rPr>
          <w:rFonts w:ascii="Arial" w:hAnsi="Arial" w:cs="Arial"/>
          <w:bCs/>
          <w:i/>
          <w:iCs/>
          <w:sz w:val="22"/>
          <w:szCs w:val="22"/>
          <w:lang w:val="es-ES"/>
        </w:rPr>
      </w:pPr>
      <w:r w:rsidRPr="00453677">
        <w:rPr>
          <w:rFonts w:ascii="Arial" w:hAnsi="Arial" w:cs="Arial"/>
          <w:bCs/>
          <w:i/>
          <w:iCs/>
          <w:sz w:val="22"/>
          <w:szCs w:val="22"/>
          <w:lang w:val="es-ES"/>
        </w:rPr>
        <w:t>(Prepar</w:t>
      </w:r>
      <w:r w:rsidR="00453677" w:rsidRPr="00453677">
        <w:rPr>
          <w:rFonts w:ascii="Arial" w:hAnsi="Arial" w:cs="Arial"/>
          <w:bCs/>
          <w:i/>
          <w:iCs/>
          <w:sz w:val="22"/>
          <w:szCs w:val="22"/>
          <w:lang w:val="es-ES"/>
        </w:rPr>
        <w:t xml:space="preserve">ada por el Grupo de Trabajo </w:t>
      </w:r>
      <w:r w:rsidRPr="00453677">
        <w:rPr>
          <w:rFonts w:ascii="Arial" w:hAnsi="Arial" w:cs="Arial"/>
          <w:bCs/>
          <w:i/>
          <w:iCs/>
          <w:sz w:val="22"/>
          <w:szCs w:val="22"/>
          <w:lang w:val="es-ES"/>
        </w:rPr>
        <w:t>A</w:t>
      </w:r>
      <w:r w:rsidR="00453677" w:rsidRPr="00453677">
        <w:rPr>
          <w:rFonts w:ascii="Arial" w:hAnsi="Arial" w:cs="Arial"/>
          <w:bCs/>
          <w:i/>
          <w:iCs/>
          <w:sz w:val="22"/>
          <w:szCs w:val="22"/>
          <w:lang w:val="es-ES"/>
        </w:rPr>
        <w:t>c</w:t>
      </w:r>
      <w:r w:rsidRPr="00453677">
        <w:rPr>
          <w:rFonts w:ascii="Arial" w:hAnsi="Arial" w:cs="Arial"/>
          <w:bCs/>
          <w:i/>
          <w:iCs/>
          <w:sz w:val="22"/>
          <w:szCs w:val="22"/>
          <w:lang w:val="es-ES"/>
        </w:rPr>
        <w:t>u</w:t>
      </w:r>
      <w:r w:rsidR="00453677" w:rsidRPr="00453677">
        <w:rPr>
          <w:rFonts w:ascii="Arial" w:hAnsi="Arial" w:cs="Arial"/>
          <w:bCs/>
          <w:i/>
          <w:iCs/>
          <w:sz w:val="22"/>
          <w:szCs w:val="22"/>
          <w:lang w:val="es-ES"/>
        </w:rPr>
        <w:t>á</w:t>
      </w:r>
      <w:r w:rsidRPr="00453677">
        <w:rPr>
          <w:rFonts w:ascii="Arial" w:hAnsi="Arial" w:cs="Arial"/>
          <w:bCs/>
          <w:i/>
          <w:iCs/>
          <w:sz w:val="22"/>
          <w:szCs w:val="22"/>
          <w:lang w:val="es-ES"/>
        </w:rPr>
        <w:t>tic</w:t>
      </w:r>
      <w:r w:rsidR="00453677" w:rsidRPr="00453677">
        <w:rPr>
          <w:rFonts w:ascii="Arial" w:hAnsi="Arial" w:cs="Arial"/>
          <w:bCs/>
          <w:i/>
          <w:iCs/>
          <w:sz w:val="22"/>
          <w:szCs w:val="22"/>
          <w:lang w:val="es-ES"/>
        </w:rPr>
        <w:t>o</w:t>
      </w:r>
      <w:r w:rsidRPr="00453677">
        <w:rPr>
          <w:rFonts w:ascii="Arial" w:hAnsi="Arial" w:cs="Arial"/>
          <w:bCs/>
          <w:i/>
          <w:iCs/>
          <w:sz w:val="22"/>
          <w:szCs w:val="22"/>
          <w:lang w:val="es-ES"/>
        </w:rPr>
        <w:t>)</w:t>
      </w:r>
    </w:p>
    <w:p w:rsidR="00F20775" w:rsidRPr="00453677" w:rsidRDefault="00F20775" w:rsidP="00F20775">
      <w:pPr>
        <w:jc w:val="center"/>
        <w:rPr>
          <w:rFonts w:ascii="Arial" w:hAnsi="Arial" w:cs="Arial"/>
          <w:bCs/>
          <w:i/>
          <w:iCs/>
          <w:sz w:val="22"/>
          <w:szCs w:val="22"/>
          <w:lang w:val="es-ES"/>
        </w:rPr>
      </w:pP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F20775" w:rsidRPr="006D11F6" w:rsidRDefault="00F20775" w:rsidP="00F20775">
      <w:pPr>
        <w:jc w:val="both"/>
        <w:rPr>
          <w:rFonts w:ascii="Arial" w:hAnsi="Arial" w:cs="Arial"/>
          <w:sz w:val="22"/>
          <w:szCs w:val="22"/>
          <w:lang w:val="es-ES" w:eastAsia="es-ES"/>
        </w:rPr>
      </w:pPr>
      <w:r w:rsidRPr="006D11F6">
        <w:rPr>
          <w:rFonts w:ascii="Arial" w:hAnsi="Arial"/>
          <w:i/>
          <w:sz w:val="22"/>
          <w:lang w:val="es-ES" w:eastAsia="es-ES"/>
        </w:rPr>
        <w:t>Reconociendo</w:t>
      </w:r>
      <w:r w:rsidRPr="006D11F6">
        <w:rPr>
          <w:rFonts w:ascii="Arial" w:hAnsi="Arial"/>
          <w:sz w:val="22"/>
          <w:lang w:val="es-ES" w:eastAsia="es-ES"/>
        </w:rPr>
        <w:t xml:space="preserve"> que los hábitats críticos para las especies de pinnípedos, sirenios, nutrias, osos polares y cetáceos incluidos en las listas de la CMS se extienden desde los trópicos hasta los polos, desde las áreas de aguas superficiales de estuarios y zonas ribereñas, y el litoral costero a la alta mar (zonas marinas más allá de los límites de la jurisdicción nacional);</w:t>
      </w:r>
    </w:p>
    <w:p w:rsidR="00F20775" w:rsidRPr="006D11F6" w:rsidRDefault="00F20775" w:rsidP="00F20775">
      <w:pPr>
        <w:jc w:val="both"/>
        <w:rPr>
          <w:rFonts w:ascii="Arial" w:hAnsi="Arial" w:cs="Arial"/>
          <w:sz w:val="22"/>
          <w:szCs w:val="22"/>
          <w:lang w:val="es-ES" w:eastAsia="es-ES"/>
        </w:rPr>
      </w:pPr>
    </w:p>
    <w:p w:rsidR="00F20775" w:rsidRPr="006D11F6" w:rsidRDefault="00F20775" w:rsidP="00F20775">
      <w:pPr>
        <w:jc w:val="both"/>
        <w:rPr>
          <w:rFonts w:ascii="Arial" w:hAnsi="Arial" w:cs="Arial"/>
          <w:sz w:val="22"/>
          <w:szCs w:val="22"/>
          <w:lang w:val="es-ES" w:eastAsia="es-ES"/>
        </w:rPr>
      </w:pPr>
      <w:r w:rsidRPr="006D11F6">
        <w:rPr>
          <w:rFonts w:ascii="Arial" w:hAnsi="Arial"/>
          <w:i/>
          <w:sz w:val="22"/>
          <w:lang w:val="es-ES" w:eastAsia="es-ES"/>
        </w:rPr>
        <w:t>Reconociendo</w:t>
      </w:r>
      <w:r w:rsidRPr="006D11F6">
        <w:rPr>
          <w:rFonts w:ascii="Arial" w:hAnsi="Arial"/>
          <w:sz w:val="22"/>
          <w:lang w:val="es-ES" w:eastAsia="es-ES"/>
        </w:rPr>
        <w:t xml:space="preserve"> que las Áreas importantes de mamíferos marinos (AIMM) representan una clasificación basada en el asesoramiento de expertos, aplicada a los océanos del mundo, las aguas costeras y las costas, y las masas de aguas continentales, y están constituidas por porciones discretas de hábitat, que son importantes para las especies de mamíferos marinos y pueden delimitarse y administrarse para fines de</w:t>
      </w:r>
      <w:r w:rsidR="009D4F5A">
        <w:rPr>
          <w:rFonts w:ascii="Arial" w:hAnsi="Arial"/>
          <w:sz w:val="22"/>
          <w:lang w:val="es-ES" w:eastAsia="es-ES"/>
        </w:rPr>
        <w:t xml:space="preserve"> conservación;</w:t>
      </w:r>
    </w:p>
    <w:p w:rsidR="00F20775" w:rsidRPr="006D11F6" w:rsidRDefault="00F20775" w:rsidP="00F20775">
      <w:pPr>
        <w:jc w:val="both"/>
        <w:rPr>
          <w:rFonts w:ascii="Arial" w:hAnsi="Arial" w:cs="Arial"/>
          <w:sz w:val="22"/>
          <w:szCs w:val="22"/>
          <w:lang w:val="es-ES" w:eastAsia="es-ES"/>
        </w:rPr>
      </w:pPr>
    </w:p>
    <w:p w:rsidR="00F20775" w:rsidRPr="006D11F6" w:rsidRDefault="00F20775" w:rsidP="00F20775">
      <w:pPr>
        <w:jc w:val="both"/>
        <w:rPr>
          <w:rFonts w:ascii="Arial" w:hAnsi="Arial" w:cs="Arial"/>
          <w:sz w:val="22"/>
          <w:szCs w:val="22"/>
          <w:lang w:val="es-ES" w:eastAsia="es-ES"/>
        </w:rPr>
      </w:pPr>
      <w:r w:rsidRPr="006D11F6">
        <w:rPr>
          <w:rFonts w:ascii="Arial" w:hAnsi="Arial"/>
          <w:i/>
          <w:sz w:val="22"/>
          <w:lang w:val="es-ES" w:eastAsia="es-ES"/>
        </w:rPr>
        <w:t xml:space="preserve">Consciente </w:t>
      </w:r>
      <w:r w:rsidRPr="006D11F6">
        <w:rPr>
          <w:rFonts w:ascii="Arial" w:hAnsi="Arial"/>
          <w:sz w:val="22"/>
          <w:lang w:val="es-ES" w:eastAsia="es-ES"/>
        </w:rPr>
        <w:t xml:space="preserve">de que los mamíferos acuáticos son indicadores útiles y especies paraguas para apoyar la labor de identificación y diseño de las medidas de conservación basadas en el área, y preocupada por el hecho de que estas especies son ignoradas en muchos de los esfuerzos nacionales e internacionales de elaboración y aplicación de medidas de conservación y gestión marinas basadas en el área, tales como la creación de áreas marinas protegidas y otras formas de protección del hábitat; </w:t>
      </w:r>
    </w:p>
    <w:p w:rsidR="00F20775" w:rsidRPr="006D11F6" w:rsidRDefault="00F20775" w:rsidP="00F20775">
      <w:pPr>
        <w:jc w:val="both"/>
        <w:rPr>
          <w:rFonts w:ascii="Arial" w:hAnsi="Arial" w:cs="Arial"/>
          <w:sz w:val="22"/>
          <w:szCs w:val="22"/>
          <w:lang w:val="es-ES" w:eastAsia="es-ES"/>
        </w:rPr>
      </w:pPr>
    </w:p>
    <w:p w:rsidR="00F20775" w:rsidRPr="006D11F6" w:rsidRDefault="00F20775" w:rsidP="00F20775">
      <w:pPr>
        <w:jc w:val="both"/>
        <w:rPr>
          <w:rFonts w:ascii="Arial" w:hAnsi="Arial" w:cs="Arial"/>
          <w:sz w:val="22"/>
          <w:szCs w:val="22"/>
          <w:lang w:val="es-ES" w:eastAsia="es-ES"/>
        </w:rPr>
      </w:pPr>
      <w:r w:rsidRPr="006D11F6">
        <w:rPr>
          <w:rFonts w:ascii="Arial" w:hAnsi="Arial"/>
          <w:i/>
          <w:sz w:val="22"/>
          <w:lang w:val="es-ES" w:eastAsia="es-ES"/>
        </w:rPr>
        <w:t>Consciente también de</w:t>
      </w:r>
      <w:r w:rsidRPr="006D11F6">
        <w:rPr>
          <w:rFonts w:ascii="Arial" w:hAnsi="Arial"/>
          <w:sz w:val="22"/>
          <w:lang w:val="es-ES" w:eastAsia="es-ES"/>
        </w:rPr>
        <w:t xml:space="preserve"> que la aplicación de medidas de conservación y ordenación marinas basadas en el área como instrumentos para la conservación de los mamíferos marinos se ha demostrado eficaz en varias áreas. El proceso para identificar las AIMM proporciona la orientación necesaria para desarrollar ta</w:t>
      </w:r>
      <w:r w:rsidR="009D4F5A">
        <w:rPr>
          <w:rFonts w:ascii="Arial" w:hAnsi="Arial"/>
          <w:sz w:val="22"/>
          <w:lang w:val="es-ES" w:eastAsia="es-ES"/>
        </w:rPr>
        <w:t>les iniciativas de conservación;</w:t>
      </w:r>
    </w:p>
    <w:p w:rsidR="00F20775" w:rsidRPr="006D11F6" w:rsidRDefault="00F20775" w:rsidP="00F20775">
      <w:pPr>
        <w:jc w:val="both"/>
        <w:rPr>
          <w:rFonts w:ascii="Arial" w:hAnsi="Arial" w:cs="Arial"/>
          <w:sz w:val="22"/>
          <w:szCs w:val="22"/>
          <w:lang w:val="es-ES" w:eastAsia="es-ES"/>
        </w:rPr>
      </w:pPr>
    </w:p>
    <w:p w:rsidR="00F20775" w:rsidRPr="006D11F6" w:rsidRDefault="00F20775" w:rsidP="00F20775">
      <w:pPr>
        <w:jc w:val="both"/>
        <w:rPr>
          <w:rFonts w:ascii="Arial" w:hAnsi="Arial" w:cs="Arial"/>
          <w:sz w:val="22"/>
          <w:szCs w:val="22"/>
          <w:lang w:val="es-ES" w:eastAsia="es-ES"/>
        </w:rPr>
      </w:pPr>
      <w:r w:rsidRPr="006D11F6">
        <w:rPr>
          <w:rFonts w:ascii="Arial" w:hAnsi="Arial"/>
          <w:i/>
          <w:sz w:val="22"/>
          <w:lang w:val="es-ES" w:eastAsia="es-ES"/>
        </w:rPr>
        <w:t>Acogiendo con beneplácito</w:t>
      </w:r>
      <w:r w:rsidRPr="006D11F6">
        <w:rPr>
          <w:rFonts w:ascii="Arial" w:hAnsi="Arial"/>
          <w:sz w:val="22"/>
          <w:lang w:val="es-ES" w:eastAsia="es-ES"/>
        </w:rPr>
        <w:t xml:space="preserve"> los progresos realizados por el </w:t>
      </w:r>
      <w:bookmarkStart w:id="0" w:name="_Hlk496769327"/>
      <w:r w:rsidRPr="006D11F6">
        <w:rPr>
          <w:rFonts w:ascii="Arial" w:hAnsi="Arial"/>
          <w:sz w:val="22"/>
          <w:lang w:val="es-ES" w:eastAsia="es-ES"/>
        </w:rPr>
        <w:t>Grupo de acción mixto SSC/WCPA sobre áreas protegidas de mamíferos marinos (WCPA) de la Unión Internacional para la Conservación de la Naturaleza (UICN)</w:t>
      </w:r>
      <w:bookmarkEnd w:id="0"/>
      <w:r w:rsidRPr="006D11F6">
        <w:rPr>
          <w:rFonts w:ascii="Arial" w:hAnsi="Arial"/>
          <w:sz w:val="22"/>
          <w:lang w:val="es-ES" w:eastAsia="es-ES"/>
        </w:rPr>
        <w:t xml:space="preserve"> en relación con la elaboración de criterios sólidos de selección y examen para identificar Áreas importantes de mamíferos marinos (AIMM) que complementan y contribuyen a la labor relativa a las Áreas de importancia ecológica o biológica (AIEB) del Convenio sobre la Diversidad Biológica (CDB), la Organización Marítima Internacional (OMI), las zonas marinas especialmente sensibles (ZMES) y las áreas de biodiversidad</w:t>
      </w:r>
      <w:r w:rsidR="009D4F5A">
        <w:rPr>
          <w:rFonts w:ascii="Arial" w:hAnsi="Arial"/>
          <w:sz w:val="22"/>
          <w:lang w:val="es-ES" w:eastAsia="es-ES"/>
        </w:rPr>
        <w:t xml:space="preserve"> fundamentales (ABF) de la UICN;</w:t>
      </w:r>
    </w:p>
    <w:p w:rsidR="00F20775" w:rsidRPr="006D11F6" w:rsidRDefault="00F20775" w:rsidP="00F20775">
      <w:pPr>
        <w:jc w:val="both"/>
        <w:rPr>
          <w:rFonts w:ascii="Arial" w:hAnsi="Arial" w:cs="Arial"/>
          <w:sz w:val="22"/>
          <w:szCs w:val="22"/>
          <w:lang w:val="es-ES" w:eastAsia="es-ES"/>
        </w:rPr>
      </w:pPr>
    </w:p>
    <w:p w:rsidR="00F20775" w:rsidRPr="006D11F6" w:rsidRDefault="00F20775" w:rsidP="00F20775">
      <w:pPr>
        <w:jc w:val="both"/>
        <w:rPr>
          <w:rFonts w:ascii="Arial" w:hAnsi="Arial" w:cs="Arial"/>
          <w:sz w:val="22"/>
          <w:szCs w:val="22"/>
          <w:lang w:val="es-ES" w:eastAsia="es-ES"/>
        </w:rPr>
      </w:pPr>
      <w:r w:rsidRPr="006D11F6">
        <w:rPr>
          <w:rFonts w:ascii="Arial" w:hAnsi="Arial"/>
          <w:i/>
          <w:sz w:val="22"/>
          <w:lang w:val="es-ES" w:eastAsia="es-ES"/>
        </w:rPr>
        <w:t>Recordando la</w:t>
      </w:r>
      <w:r w:rsidRPr="006D11F6">
        <w:rPr>
          <w:rFonts w:ascii="Arial" w:hAnsi="Arial"/>
          <w:sz w:val="22"/>
          <w:lang w:val="es-ES" w:eastAsia="es-ES"/>
        </w:rPr>
        <w:t xml:space="preserve"> Resolución 11.25 sobre Promoción de las redes ecológicas para responder a las necesidades de las especies migratorias, destacando el potencial de las AIMM para contribuir a la conservación de las especies migratorias y promover redes ecológicas y la conec</w:t>
      </w:r>
      <w:r w:rsidR="009D4F5A">
        <w:rPr>
          <w:rFonts w:ascii="Arial" w:hAnsi="Arial"/>
          <w:sz w:val="22"/>
          <w:lang w:val="es-ES" w:eastAsia="es-ES"/>
        </w:rPr>
        <w:t>tividad;</w:t>
      </w:r>
    </w:p>
    <w:p w:rsidR="00F20775" w:rsidRPr="006D11F6" w:rsidRDefault="00F20775" w:rsidP="00F20775">
      <w:pPr>
        <w:jc w:val="both"/>
        <w:rPr>
          <w:rFonts w:ascii="Arial" w:hAnsi="Arial" w:cs="Arial"/>
          <w:sz w:val="22"/>
          <w:szCs w:val="22"/>
          <w:lang w:val="es-ES" w:eastAsia="es-ES"/>
        </w:rPr>
      </w:pPr>
    </w:p>
    <w:p w:rsidR="00F20775" w:rsidRDefault="00F20775" w:rsidP="00F20775">
      <w:pPr>
        <w:jc w:val="both"/>
        <w:rPr>
          <w:rFonts w:ascii="Arial" w:hAnsi="Arial"/>
          <w:sz w:val="22"/>
          <w:lang w:val="es-ES" w:eastAsia="es-ES"/>
        </w:rPr>
      </w:pPr>
      <w:r w:rsidRPr="006D11F6">
        <w:rPr>
          <w:rFonts w:ascii="Arial" w:hAnsi="Arial"/>
          <w:i/>
          <w:sz w:val="22"/>
          <w:lang w:val="es-ES" w:eastAsia="es-ES"/>
        </w:rPr>
        <w:lastRenderedPageBreak/>
        <w:t xml:space="preserve">Reconociendo </w:t>
      </w:r>
      <w:r w:rsidRPr="006D11F6">
        <w:rPr>
          <w:rFonts w:ascii="Arial" w:hAnsi="Arial"/>
          <w:sz w:val="22"/>
          <w:lang w:val="es-ES" w:eastAsia="es-ES"/>
        </w:rPr>
        <w:t xml:space="preserve">la Resolución </w:t>
      </w:r>
      <w:proofErr w:type="gramStart"/>
      <w:r w:rsidRPr="006D11F6">
        <w:rPr>
          <w:rFonts w:ascii="Arial" w:hAnsi="Arial"/>
          <w:sz w:val="22"/>
          <w:lang w:val="es-ES" w:eastAsia="es-ES"/>
        </w:rPr>
        <w:t>12.[</w:t>
      </w:r>
      <w:proofErr w:type="gramEnd"/>
      <w:r w:rsidRPr="006D11F6">
        <w:rPr>
          <w:rFonts w:ascii="Arial" w:hAnsi="Arial"/>
          <w:sz w:val="22"/>
          <w:lang w:val="es-ES" w:eastAsia="es-ES"/>
        </w:rPr>
        <w:t xml:space="preserve">XX] sobre </w:t>
      </w:r>
      <w:r w:rsidRPr="006D11F6">
        <w:rPr>
          <w:rFonts w:ascii="Arial" w:hAnsi="Arial"/>
          <w:i/>
          <w:sz w:val="22"/>
          <w:lang w:val="es-ES" w:eastAsia="es-ES"/>
        </w:rPr>
        <w:t>Mejoramiento de las formas de abordar la conectividad en la conservación de las especies migratorias</w:t>
      </w:r>
      <w:r w:rsidRPr="006D11F6">
        <w:rPr>
          <w:rFonts w:ascii="Arial" w:hAnsi="Arial"/>
          <w:sz w:val="22"/>
          <w:lang w:val="es-ES" w:eastAsia="es-ES"/>
        </w:rPr>
        <w:t>, subrayando la importancia de asegurar todos los aspectos de la conectividad en la elaboración de las me</w:t>
      </w:r>
      <w:r w:rsidR="00010D48">
        <w:rPr>
          <w:rFonts w:ascii="Arial" w:hAnsi="Arial"/>
          <w:sz w:val="22"/>
          <w:lang w:val="es-ES" w:eastAsia="es-ES"/>
        </w:rPr>
        <w:t>didas de conservación;</w:t>
      </w:r>
    </w:p>
    <w:p w:rsidR="00010D48" w:rsidRDefault="00010D48" w:rsidP="00F20775">
      <w:pPr>
        <w:jc w:val="both"/>
        <w:rPr>
          <w:rFonts w:ascii="Arial" w:hAnsi="Arial"/>
          <w:sz w:val="22"/>
          <w:lang w:val="es-ES" w:eastAsia="es-ES"/>
        </w:rPr>
      </w:pPr>
    </w:p>
    <w:p w:rsidR="0051465E" w:rsidRDefault="0051465E" w:rsidP="00F20775">
      <w:pPr>
        <w:jc w:val="both"/>
        <w:rPr>
          <w:rFonts w:ascii="Arial" w:hAnsi="Arial" w:cs="Arial"/>
          <w:sz w:val="22"/>
          <w:szCs w:val="22"/>
          <w:lang w:val="es-ES" w:eastAsia="es-ES"/>
        </w:rPr>
      </w:pPr>
      <w:r w:rsidRPr="0051465E">
        <w:rPr>
          <w:rFonts w:ascii="Arial" w:hAnsi="Arial" w:cs="Arial"/>
          <w:i/>
          <w:sz w:val="22"/>
          <w:szCs w:val="22"/>
          <w:lang w:val="es-ES" w:eastAsia="es-ES"/>
        </w:rPr>
        <w:t>A</w:t>
      </w:r>
      <w:r>
        <w:rPr>
          <w:rFonts w:ascii="Arial" w:hAnsi="Arial" w:cs="Arial"/>
          <w:i/>
          <w:sz w:val="22"/>
          <w:szCs w:val="22"/>
          <w:lang w:val="es-ES" w:eastAsia="es-ES"/>
        </w:rPr>
        <w:t>cog</w:t>
      </w:r>
      <w:r w:rsidRPr="0051465E">
        <w:rPr>
          <w:rFonts w:ascii="Arial" w:hAnsi="Arial" w:cs="Arial"/>
          <w:i/>
          <w:sz w:val="22"/>
          <w:szCs w:val="22"/>
          <w:lang w:val="es-ES" w:eastAsia="es-ES"/>
        </w:rPr>
        <w:t>iendo</w:t>
      </w:r>
      <w:r>
        <w:rPr>
          <w:rFonts w:ascii="Arial" w:hAnsi="Arial" w:cs="Arial"/>
          <w:i/>
          <w:sz w:val="22"/>
          <w:szCs w:val="22"/>
          <w:lang w:val="es-ES" w:eastAsia="es-ES"/>
        </w:rPr>
        <w:t xml:space="preserve"> con beneplácito </w:t>
      </w:r>
      <w:r w:rsidRPr="0051465E">
        <w:rPr>
          <w:rFonts w:ascii="Arial" w:hAnsi="Arial" w:cs="Arial"/>
          <w:sz w:val="22"/>
          <w:szCs w:val="22"/>
          <w:lang w:val="es-ES" w:eastAsia="es-ES"/>
        </w:rPr>
        <w:t>los esfuerzos actuales</w:t>
      </w:r>
      <w:r>
        <w:rPr>
          <w:rFonts w:ascii="Arial" w:hAnsi="Arial" w:cs="Arial"/>
          <w:sz w:val="22"/>
          <w:szCs w:val="22"/>
          <w:lang w:val="es-ES" w:eastAsia="es-ES"/>
        </w:rPr>
        <w:t xml:space="preserve"> de ACCOBAMS relativos a los Hábitats Críticos de cetáceos (CCH) tal como refleja la Resolución 6.24 del ACCOBAMS sobre nuevas áreas de conservación de hábitats de cetáceos, que aplica un enfoque basado en las amenazas para identificar áreas importantes para los cetáceos;</w:t>
      </w:r>
    </w:p>
    <w:p w:rsidR="0051465E" w:rsidRDefault="0051465E" w:rsidP="00F20775">
      <w:pPr>
        <w:jc w:val="both"/>
        <w:rPr>
          <w:rFonts w:ascii="Arial" w:hAnsi="Arial" w:cs="Arial"/>
          <w:sz w:val="22"/>
          <w:szCs w:val="22"/>
          <w:lang w:val="es-ES" w:eastAsia="es-ES"/>
        </w:rPr>
      </w:pPr>
    </w:p>
    <w:p w:rsidR="00010D48" w:rsidRDefault="00391412" w:rsidP="00F20775">
      <w:pPr>
        <w:jc w:val="both"/>
        <w:rPr>
          <w:rFonts w:ascii="Arial" w:hAnsi="Arial" w:cs="Arial"/>
          <w:sz w:val="22"/>
          <w:szCs w:val="22"/>
          <w:lang w:val="es-ES" w:eastAsia="es-ES"/>
        </w:rPr>
      </w:pPr>
      <w:r>
        <w:rPr>
          <w:rFonts w:ascii="Arial" w:hAnsi="Arial" w:cs="Arial"/>
          <w:i/>
          <w:sz w:val="22"/>
          <w:szCs w:val="22"/>
          <w:lang w:val="es-ES" w:eastAsia="es-ES"/>
        </w:rPr>
        <w:t>Al</w:t>
      </w:r>
      <w:r w:rsidR="0051465E" w:rsidRPr="0051465E">
        <w:rPr>
          <w:rFonts w:ascii="Arial" w:hAnsi="Arial" w:cs="Arial"/>
          <w:i/>
          <w:sz w:val="22"/>
          <w:szCs w:val="22"/>
          <w:lang w:val="es-ES" w:eastAsia="es-ES"/>
        </w:rPr>
        <w:t>enta</w:t>
      </w:r>
      <w:r>
        <w:rPr>
          <w:rFonts w:ascii="Arial" w:hAnsi="Arial" w:cs="Arial"/>
          <w:i/>
          <w:sz w:val="22"/>
          <w:szCs w:val="22"/>
          <w:lang w:val="es-ES" w:eastAsia="es-ES"/>
        </w:rPr>
        <w:t>ndo</w:t>
      </w:r>
      <w:r w:rsidR="0051465E" w:rsidRPr="0051465E">
        <w:rPr>
          <w:rFonts w:ascii="Arial" w:hAnsi="Arial" w:cs="Arial"/>
          <w:i/>
          <w:sz w:val="22"/>
          <w:szCs w:val="22"/>
          <w:lang w:val="es-ES" w:eastAsia="es-ES"/>
        </w:rPr>
        <w:t xml:space="preserve"> </w:t>
      </w:r>
      <w:r>
        <w:rPr>
          <w:rFonts w:ascii="Arial" w:hAnsi="Arial" w:cs="Arial"/>
          <w:sz w:val="22"/>
          <w:szCs w:val="22"/>
          <w:lang w:val="es-ES" w:eastAsia="es-ES"/>
        </w:rPr>
        <w:t>la relación continuada</w:t>
      </w:r>
      <w:r w:rsidR="0051465E">
        <w:rPr>
          <w:rFonts w:ascii="Arial" w:hAnsi="Arial" w:cs="Arial"/>
          <w:i/>
          <w:sz w:val="22"/>
          <w:szCs w:val="22"/>
          <w:lang w:val="es-ES" w:eastAsia="es-ES"/>
        </w:rPr>
        <w:t xml:space="preserve"> </w:t>
      </w:r>
      <w:r w:rsidR="0051465E" w:rsidRPr="0051465E">
        <w:rPr>
          <w:rFonts w:ascii="Arial" w:hAnsi="Arial" w:cs="Arial"/>
          <w:sz w:val="22"/>
          <w:szCs w:val="22"/>
          <w:lang w:val="es-ES" w:eastAsia="es-ES"/>
        </w:rPr>
        <w:t>con la Comisión Ballenera Internacional</w:t>
      </w:r>
      <w:r w:rsidR="0051465E">
        <w:rPr>
          <w:rFonts w:ascii="Arial" w:hAnsi="Arial" w:cs="Arial"/>
          <w:sz w:val="22"/>
          <w:szCs w:val="22"/>
          <w:lang w:val="es-ES" w:eastAsia="es-ES"/>
        </w:rPr>
        <w:t xml:space="preserve"> (CBI) para la utilización de las AIMM </w:t>
      </w:r>
      <w:r w:rsidR="001205E4">
        <w:rPr>
          <w:rFonts w:ascii="Arial" w:hAnsi="Arial" w:cs="Arial"/>
          <w:sz w:val="22"/>
          <w:szCs w:val="22"/>
          <w:lang w:val="es-ES" w:eastAsia="es-ES"/>
        </w:rPr>
        <w:t>a</w:t>
      </w:r>
      <w:r w:rsidR="0051465E">
        <w:rPr>
          <w:rFonts w:ascii="Arial" w:hAnsi="Arial" w:cs="Arial"/>
          <w:sz w:val="22"/>
          <w:szCs w:val="22"/>
          <w:lang w:val="es-ES" w:eastAsia="es-ES"/>
        </w:rPr>
        <w:t xml:space="preserve"> fin de mitigar las amenazas, como las colisiones con buques, </w:t>
      </w:r>
      <w:r w:rsidR="001205E4">
        <w:rPr>
          <w:rFonts w:ascii="Arial" w:hAnsi="Arial" w:cs="Arial"/>
          <w:sz w:val="22"/>
          <w:szCs w:val="22"/>
          <w:lang w:val="es-ES" w:eastAsia="es-ES"/>
        </w:rPr>
        <w:t>a través de la presentación conjunta a la</w:t>
      </w:r>
      <w:r w:rsidR="0051465E">
        <w:rPr>
          <w:rFonts w:ascii="Arial" w:hAnsi="Arial" w:cs="Arial"/>
          <w:sz w:val="22"/>
          <w:szCs w:val="22"/>
          <w:lang w:val="es-ES" w:eastAsia="es-ES"/>
        </w:rPr>
        <w:t xml:space="preserve"> Organización Marítima Internacional</w:t>
      </w:r>
      <w:r w:rsidR="001205E4">
        <w:rPr>
          <w:rFonts w:ascii="Arial" w:hAnsi="Arial" w:cs="Arial"/>
          <w:sz w:val="22"/>
          <w:szCs w:val="22"/>
          <w:lang w:val="es-ES" w:eastAsia="es-ES"/>
        </w:rPr>
        <w:t xml:space="preserve"> de áreas AIMM seleccionadas como IWC/67/Rep01(2017) Anexo J;</w:t>
      </w:r>
    </w:p>
    <w:p w:rsidR="001205E4" w:rsidRDefault="001205E4" w:rsidP="00F20775">
      <w:pPr>
        <w:jc w:val="both"/>
        <w:rPr>
          <w:rFonts w:ascii="Arial" w:hAnsi="Arial" w:cs="Arial"/>
          <w:sz w:val="22"/>
          <w:szCs w:val="22"/>
          <w:lang w:val="es-ES" w:eastAsia="es-ES"/>
        </w:rPr>
      </w:pPr>
    </w:p>
    <w:p w:rsidR="001205E4" w:rsidRPr="001205E4" w:rsidRDefault="001205E4" w:rsidP="00F20775">
      <w:pPr>
        <w:jc w:val="both"/>
        <w:rPr>
          <w:rFonts w:ascii="Arial" w:hAnsi="Arial" w:cs="Arial"/>
          <w:i/>
          <w:sz w:val="22"/>
          <w:szCs w:val="22"/>
          <w:lang w:val="es-ES" w:eastAsia="es-ES"/>
        </w:rPr>
      </w:pPr>
      <w:r w:rsidRPr="001205E4">
        <w:rPr>
          <w:rFonts w:ascii="Arial" w:hAnsi="Arial" w:cs="Arial"/>
          <w:i/>
          <w:sz w:val="22"/>
          <w:szCs w:val="22"/>
          <w:lang w:val="es-ES" w:eastAsia="es-ES"/>
        </w:rPr>
        <w:t>Recordando</w:t>
      </w:r>
      <w:r>
        <w:rPr>
          <w:rFonts w:ascii="Arial" w:hAnsi="Arial" w:cs="Arial"/>
          <w:i/>
          <w:sz w:val="22"/>
          <w:szCs w:val="22"/>
          <w:lang w:val="es-ES" w:eastAsia="es-ES"/>
        </w:rPr>
        <w:t xml:space="preserve"> </w:t>
      </w:r>
      <w:r w:rsidR="00386CB4">
        <w:rPr>
          <w:rFonts w:ascii="Arial" w:hAnsi="Arial" w:cs="Arial"/>
          <w:sz w:val="22"/>
          <w:szCs w:val="22"/>
          <w:lang w:val="es-ES" w:eastAsia="es-ES"/>
        </w:rPr>
        <w:t xml:space="preserve">la decisión </w:t>
      </w:r>
      <w:r w:rsidRPr="001205E4">
        <w:rPr>
          <w:rFonts w:ascii="Arial" w:hAnsi="Arial" w:cs="Arial"/>
          <w:sz w:val="22"/>
          <w:szCs w:val="22"/>
          <w:lang w:val="es-ES" w:eastAsia="es-ES"/>
        </w:rPr>
        <w:t>CBD/COP/DEC/XIII/2</w:t>
      </w:r>
      <w:r w:rsidR="00386CB4" w:rsidRPr="00386CB4">
        <w:rPr>
          <w:lang w:val="es-ES"/>
        </w:rPr>
        <w:t xml:space="preserve"> </w:t>
      </w:r>
      <w:r w:rsidR="00386CB4">
        <w:rPr>
          <w:rFonts w:ascii="Arial" w:hAnsi="Arial" w:cs="Arial"/>
          <w:sz w:val="22"/>
          <w:szCs w:val="22"/>
          <w:lang w:val="es-ES" w:eastAsia="es-ES"/>
        </w:rPr>
        <w:t>sobre progreso</w:t>
      </w:r>
      <w:r w:rsidR="00386CB4" w:rsidRPr="00386CB4">
        <w:rPr>
          <w:rFonts w:ascii="Arial" w:hAnsi="Arial" w:cs="Arial"/>
          <w:sz w:val="22"/>
          <w:szCs w:val="22"/>
          <w:lang w:val="es-ES" w:eastAsia="es-ES"/>
        </w:rPr>
        <w:t xml:space="preserve"> hacia </w:t>
      </w:r>
      <w:r w:rsidR="00386CB4">
        <w:rPr>
          <w:rFonts w:ascii="Arial" w:hAnsi="Arial" w:cs="Arial"/>
          <w:sz w:val="22"/>
          <w:szCs w:val="22"/>
          <w:lang w:val="es-ES" w:eastAsia="es-ES"/>
        </w:rPr>
        <w:t>el logro</w:t>
      </w:r>
      <w:r w:rsidR="00386CB4" w:rsidRPr="00386CB4">
        <w:rPr>
          <w:rFonts w:ascii="Arial" w:hAnsi="Arial" w:cs="Arial"/>
          <w:sz w:val="22"/>
          <w:szCs w:val="22"/>
          <w:lang w:val="es-ES" w:eastAsia="es-ES"/>
        </w:rPr>
        <w:t xml:space="preserve"> de las Metas</w:t>
      </w:r>
      <w:r w:rsidR="009158BE">
        <w:rPr>
          <w:rFonts w:ascii="Arial" w:hAnsi="Arial" w:cs="Arial"/>
          <w:sz w:val="22"/>
          <w:szCs w:val="22"/>
          <w:lang w:val="es-ES" w:eastAsia="es-ES"/>
        </w:rPr>
        <w:t xml:space="preserve"> 11 y 12 de Aichi para la D</w:t>
      </w:r>
      <w:r w:rsidR="00386CB4" w:rsidRPr="00386CB4">
        <w:rPr>
          <w:rFonts w:ascii="Arial" w:hAnsi="Arial" w:cs="Arial"/>
          <w:sz w:val="22"/>
          <w:szCs w:val="22"/>
          <w:lang w:val="es-ES" w:eastAsia="es-ES"/>
        </w:rPr>
        <w:t>iversidad</w:t>
      </w:r>
      <w:r w:rsidR="009158BE">
        <w:rPr>
          <w:rFonts w:ascii="Arial" w:hAnsi="Arial" w:cs="Arial"/>
          <w:sz w:val="22"/>
          <w:szCs w:val="22"/>
          <w:lang w:val="es-ES" w:eastAsia="es-ES"/>
        </w:rPr>
        <w:t xml:space="preserve"> Biológica</w:t>
      </w:r>
      <w:r w:rsidR="00386CB4">
        <w:rPr>
          <w:rFonts w:ascii="Arial" w:hAnsi="Arial" w:cs="Arial"/>
          <w:sz w:val="22"/>
          <w:szCs w:val="22"/>
          <w:lang w:val="es-ES" w:eastAsia="es-ES"/>
        </w:rPr>
        <w:t>, que en su apartado 5 b)</w:t>
      </w:r>
      <w:r w:rsidR="009158BE">
        <w:rPr>
          <w:rFonts w:ascii="Arial" w:hAnsi="Arial" w:cs="Arial"/>
          <w:sz w:val="22"/>
          <w:szCs w:val="22"/>
          <w:lang w:val="es-ES" w:eastAsia="es-ES"/>
        </w:rPr>
        <w:t xml:space="preserve"> invita</w:t>
      </w:r>
      <w:r w:rsidR="009D4F5A">
        <w:rPr>
          <w:rFonts w:ascii="Arial" w:hAnsi="Arial" w:cs="Arial"/>
          <w:sz w:val="22"/>
          <w:szCs w:val="22"/>
          <w:lang w:val="es-ES" w:eastAsia="es-ES"/>
        </w:rPr>
        <w:t>,</w:t>
      </w:r>
      <w:r w:rsidR="009158BE">
        <w:rPr>
          <w:rFonts w:ascii="Arial" w:hAnsi="Arial" w:cs="Arial"/>
          <w:sz w:val="22"/>
          <w:szCs w:val="22"/>
          <w:lang w:val="es-ES" w:eastAsia="es-ES"/>
        </w:rPr>
        <w:t xml:space="preserve"> </w:t>
      </w:r>
      <w:r w:rsidR="00391412">
        <w:rPr>
          <w:rFonts w:ascii="Arial" w:hAnsi="Arial" w:cs="Arial"/>
          <w:sz w:val="22"/>
          <w:szCs w:val="22"/>
          <w:lang w:val="es-ES" w:eastAsia="es-ES"/>
        </w:rPr>
        <w:t>entre otros</w:t>
      </w:r>
      <w:r w:rsidR="009D4F5A">
        <w:rPr>
          <w:rFonts w:ascii="Arial" w:hAnsi="Arial" w:cs="Arial"/>
          <w:sz w:val="22"/>
          <w:szCs w:val="22"/>
          <w:lang w:val="es-ES" w:eastAsia="es-ES"/>
        </w:rPr>
        <w:t>,</w:t>
      </w:r>
      <w:r w:rsidR="00391412">
        <w:rPr>
          <w:rFonts w:ascii="Arial" w:hAnsi="Arial" w:cs="Arial"/>
          <w:sz w:val="22"/>
          <w:szCs w:val="22"/>
          <w:lang w:val="es-ES" w:eastAsia="es-ES"/>
        </w:rPr>
        <w:t xml:space="preserve"> </w:t>
      </w:r>
      <w:r w:rsidR="009158BE">
        <w:rPr>
          <w:rFonts w:ascii="Arial" w:hAnsi="Arial" w:cs="Arial"/>
          <w:sz w:val="22"/>
          <w:szCs w:val="22"/>
          <w:lang w:val="es-ES" w:eastAsia="es-ES"/>
        </w:rPr>
        <w:t>a las Partes a que,</w:t>
      </w:r>
      <w:r w:rsidR="00386CB4">
        <w:rPr>
          <w:rFonts w:ascii="Arial" w:hAnsi="Arial" w:cs="Arial"/>
          <w:sz w:val="22"/>
          <w:szCs w:val="22"/>
          <w:lang w:val="es-ES" w:eastAsia="es-ES"/>
        </w:rPr>
        <w:t xml:space="preserve"> </w:t>
      </w:r>
      <w:r w:rsidR="009158BE" w:rsidRPr="009158BE">
        <w:rPr>
          <w:rFonts w:ascii="Arial" w:hAnsi="Arial" w:cs="Arial"/>
          <w:sz w:val="22"/>
          <w:szCs w:val="22"/>
          <w:lang w:val="es-ES" w:eastAsia="es-ES"/>
        </w:rPr>
        <w:t>al establecer nuevas áreas protegidas o ampliar las existentes, o al tomar otras medidas de conservación eficaces basadas en áreas, den la debida consideración a la</w:t>
      </w:r>
      <w:r w:rsidR="009158BE">
        <w:rPr>
          <w:rFonts w:ascii="Arial" w:hAnsi="Arial" w:cs="Arial"/>
          <w:sz w:val="22"/>
          <w:szCs w:val="22"/>
          <w:lang w:val="es-ES" w:eastAsia="es-ES"/>
        </w:rPr>
        <w:t>s áreas que</w:t>
      </w:r>
      <w:r w:rsidR="009158BE" w:rsidRPr="009158BE">
        <w:rPr>
          <w:rFonts w:ascii="Arial" w:hAnsi="Arial" w:cs="Arial"/>
          <w:sz w:val="22"/>
          <w:szCs w:val="22"/>
          <w:lang w:val="es-ES" w:eastAsia="es-ES"/>
        </w:rPr>
        <w:t xml:space="preserve"> protejan los hábitats de especies, en especial las especies amenazadas, endémicas y migratorias, por ejemplo a través de mecanismos como áreas de importancia para las aves o los mamíferos marinos;</w:t>
      </w:r>
    </w:p>
    <w:p w:rsidR="00F20775" w:rsidRPr="006D11F6" w:rsidRDefault="00F20775" w:rsidP="00F20775">
      <w:pPr>
        <w:jc w:val="both"/>
        <w:rPr>
          <w:rFonts w:ascii="Arial" w:hAnsi="Arial" w:cs="Arial"/>
          <w:i/>
          <w:sz w:val="22"/>
          <w:szCs w:val="22"/>
          <w:lang w:val="es-ES" w:eastAsia="es-ES"/>
        </w:rPr>
      </w:pPr>
    </w:p>
    <w:p w:rsidR="00F20775" w:rsidRPr="006D11F6" w:rsidRDefault="00F20775" w:rsidP="00F20775">
      <w:pPr>
        <w:jc w:val="both"/>
        <w:rPr>
          <w:rFonts w:ascii="Arial" w:hAnsi="Arial" w:cs="Arial"/>
          <w:i/>
          <w:sz w:val="22"/>
          <w:szCs w:val="22"/>
          <w:lang w:val="es-ES" w:eastAsia="es-ES"/>
        </w:rPr>
      </w:pPr>
    </w:p>
    <w:p w:rsidR="00F20775" w:rsidRPr="006D11F6" w:rsidRDefault="00F20775" w:rsidP="00F20775">
      <w:pPr>
        <w:jc w:val="center"/>
        <w:rPr>
          <w:rFonts w:ascii="Arial" w:hAnsi="Arial" w:cs="Arial"/>
          <w:i/>
          <w:sz w:val="22"/>
          <w:szCs w:val="22"/>
          <w:lang w:val="es-ES" w:eastAsia="es-ES"/>
        </w:rPr>
      </w:pPr>
      <w:r w:rsidRPr="006D11F6">
        <w:rPr>
          <w:rFonts w:ascii="Arial" w:hAnsi="Arial"/>
          <w:i/>
          <w:sz w:val="22"/>
          <w:lang w:val="es-ES" w:eastAsia="es-ES"/>
        </w:rPr>
        <w:t>La Conferencia de las Partes en la</w:t>
      </w:r>
    </w:p>
    <w:p w:rsidR="00F20775" w:rsidRPr="006D11F6" w:rsidRDefault="00F20775" w:rsidP="00F20775">
      <w:pPr>
        <w:jc w:val="center"/>
        <w:rPr>
          <w:rFonts w:ascii="Arial" w:hAnsi="Arial" w:cs="Arial"/>
          <w:i/>
          <w:sz w:val="22"/>
          <w:szCs w:val="22"/>
          <w:lang w:val="es-ES" w:eastAsia="es-ES"/>
        </w:rPr>
      </w:pPr>
      <w:r w:rsidRPr="006D11F6">
        <w:rPr>
          <w:rFonts w:ascii="Arial" w:hAnsi="Arial"/>
          <w:i/>
          <w:sz w:val="22"/>
          <w:lang w:val="es-ES" w:eastAsia="es-ES"/>
        </w:rPr>
        <w:t>Convención sobre la Conservación de las Especies Migratorias de Animales Silvestres</w:t>
      </w:r>
    </w:p>
    <w:p w:rsidR="00F20775" w:rsidRPr="006D11F6" w:rsidRDefault="00F20775" w:rsidP="00F20775">
      <w:pPr>
        <w:jc w:val="both"/>
        <w:rPr>
          <w:rFonts w:ascii="Arial" w:hAnsi="Arial" w:cs="Arial"/>
          <w:sz w:val="22"/>
          <w:szCs w:val="22"/>
          <w:lang w:val="es-ES" w:eastAsia="es-ES"/>
        </w:rPr>
      </w:pPr>
    </w:p>
    <w:p w:rsidR="00F20775" w:rsidRPr="006D11F6" w:rsidRDefault="009158BE" w:rsidP="00F20775">
      <w:pPr>
        <w:numPr>
          <w:ilvl w:val="0"/>
          <w:numId w:val="46"/>
        </w:numPr>
        <w:jc w:val="both"/>
        <w:rPr>
          <w:rFonts w:ascii="Arial" w:hAnsi="Arial" w:cs="Arial"/>
          <w:sz w:val="22"/>
          <w:szCs w:val="22"/>
          <w:lang w:val="es-ES" w:eastAsia="es-ES"/>
        </w:rPr>
      </w:pPr>
      <w:r>
        <w:rPr>
          <w:rFonts w:ascii="Arial" w:hAnsi="Arial"/>
          <w:i/>
          <w:sz w:val="22"/>
          <w:lang w:val="es-ES" w:eastAsia="es-ES"/>
        </w:rPr>
        <w:t>Reconoce</w:t>
      </w:r>
      <w:r w:rsidR="00F20775" w:rsidRPr="006D11F6">
        <w:rPr>
          <w:rFonts w:ascii="Arial" w:hAnsi="Arial"/>
          <w:sz w:val="22"/>
          <w:lang w:val="es-ES" w:eastAsia="es-ES"/>
        </w:rPr>
        <w:t xml:space="preserve"> los criterios y el proceso de identificación de las Áreas importantes de mamíferos marinos (AIMM) </w:t>
      </w:r>
      <w:r>
        <w:rPr>
          <w:rFonts w:ascii="Arial" w:hAnsi="Arial"/>
          <w:sz w:val="22"/>
          <w:lang w:val="es-ES" w:eastAsia="es-ES"/>
        </w:rPr>
        <w:t xml:space="preserve">descritos en el documento de orientaciones AIMM </w:t>
      </w:r>
      <w:r w:rsidR="008B5AED">
        <w:rPr>
          <w:rFonts w:ascii="Arial" w:hAnsi="Arial"/>
          <w:sz w:val="22"/>
          <w:lang w:val="es-ES" w:eastAsia="es-ES"/>
        </w:rPr>
        <w:t xml:space="preserve">del </w:t>
      </w:r>
      <w:r w:rsidR="008B5AED" w:rsidRPr="006D11F6">
        <w:rPr>
          <w:rFonts w:ascii="Arial" w:hAnsi="Arial"/>
          <w:sz w:val="22"/>
          <w:lang w:val="es-ES" w:eastAsia="es-ES"/>
        </w:rPr>
        <w:t>Grupo de acción mixto SSC/WCPA sobre áreas protegidas de mamíferos marinos (WCPA) de la Unión Internacional para la Conservación de la Naturaleza (UICN)</w:t>
      </w:r>
      <w:r w:rsidR="008B5AED">
        <w:rPr>
          <w:rFonts w:ascii="Arial" w:hAnsi="Arial"/>
          <w:sz w:val="22"/>
          <w:lang w:val="es-ES" w:eastAsia="es-ES"/>
        </w:rPr>
        <w:t xml:space="preserve"> </w:t>
      </w:r>
      <w:r w:rsidR="009D4F5A">
        <w:rPr>
          <w:rFonts w:ascii="Arial" w:hAnsi="Arial"/>
          <w:sz w:val="22"/>
          <w:lang w:val="es-ES" w:eastAsia="es-ES"/>
        </w:rPr>
        <w:t>incluidos en</w:t>
      </w:r>
      <w:r>
        <w:rPr>
          <w:rFonts w:ascii="Arial" w:hAnsi="Arial"/>
          <w:sz w:val="22"/>
          <w:lang w:val="es-ES" w:eastAsia="es-ES"/>
        </w:rPr>
        <w:t xml:space="preserve"> la página web de la UICN</w:t>
      </w:r>
      <w:r w:rsidR="009D4F5A">
        <w:rPr>
          <w:rFonts w:ascii="Arial" w:hAnsi="Arial"/>
          <w:sz w:val="22"/>
          <w:lang w:val="es-ES" w:eastAsia="es-ES"/>
        </w:rPr>
        <w:t>,</w:t>
      </w:r>
      <w:r w:rsidR="008B5AED">
        <w:rPr>
          <w:rFonts w:ascii="Arial" w:hAnsi="Arial"/>
          <w:sz w:val="22"/>
          <w:lang w:val="es-ES" w:eastAsia="es-ES"/>
        </w:rPr>
        <w:t xml:space="preserve"> </w:t>
      </w:r>
      <w:r w:rsidR="00F20775" w:rsidRPr="006D11F6">
        <w:rPr>
          <w:rFonts w:ascii="Arial" w:hAnsi="Arial"/>
          <w:sz w:val="22"/>
          <w:lang w:val="es-ES" w:eastAsia="es-ES"/>
        </w:rPr>
        <w:t>para las especies de pinnípedos, sirenios, nutrias, osos polares y cetáceos incluidos en las listas de la CMS</w:t>
      </w:r>
      <w:r w:rsidR="009D4F5A">
        <w:rPr>
          <w:rFonts w:ascii="Arial" w:hAnsi="Arial"/>
          <w:sz w:val="22"/>
          <w:lang w:val="es-ES" w:eastAsia="es-ES"/>
        </w:rPr>
        <w:t>;</w:t>
      </w:r>
    </w:p>
    <w:p w:rsidR="00F20775" w:rsidRPr="006D11F6" w:rsidRDefault="00F20775" w:rsidP="00F20775">
      <w:pPr>
        <w:ind w:left="360"/>
        <w:jc w:val="both"/>
        <w:rPr>
          <w:rFonts w:ascii="Arial" w:hAnsi="Arial" w:cs="Arial"/>
          <w:sz w:val="22"/>
          <w:szCs w:val="22"/>
          <w:lang w:val="es-ES" w:eastAsia="es-ES"/>
        </w:rPr>
      </w:pPr>
    </w:p>
    <w:p w:rsidR="00F20775" w:rsidRPr="008B5AED" w:rsidRDefault="00F20775" w:rsidP="00F20775">
      <w:pPr>
        <w:numPr>
          <w:ilvl w:val="0"/>
          <w:numId w:val="46"/>
        </w:numPr>
        <w:jc w:val="both"/>
        <w:rPr>
          <w:rFonts w:ascii="Arial" w:hAnsi="Arial" w:cs="Arial"/>
          <w:sz w:val="22"/>
          <w:szCs w:val="22"/>
          <w:lang w:val="es-ES" w:eastAsia="es-ES"/>
        </w:rPr>
      </w:pPr>
      <w:r w:rsidRPr="006D11F6">
        <w:rPr>
          <w:rFonts w:ascii="Arial" w:hAnsi="Arial"/>
          <w:i/>
          <w:sz w:val="22"/>
          <w:lang w:val="es-ES" w:eastAsia="es-ES"/>
        </w:rPr>
        <w:t xml:space="preserve">Pide </w:t>
      </w:r>
      <w:r w:rsidRPr="006D11F6">
        <w:rPr>
          <w:rFonts w:ascii="Arial" w:hAnsi="Arial"/>
          <w:sz w:val="22"/>
          <w:lang w:val="es-ES" w:eastAsia="es-ES"/>
        </w:rPr>
        <w:t xml:space="preserve">a las Partes e </w:t>
      </w:r>
      <w:r w:rsidRPr="006D11F6">
        <w:rPr>
          <w:rFonts w:ascii="Arial" w:hAnsi="Arial"/>
          <w:i/>
          <w:sz w:val="22"/>
          <w:lang w:val="es-ES" w:eastAsia="es-ES"/>
        </w:rPr>
        <w:t xml:space="preserve">invita </w:t>
      </w:r>
      <w:r w:rsidRPr="006D11F6">
        <w:rPr>
          <w:rFonts w:ascii="Arial" w:hAnsi="Arial"/>
          <w:sz w:val="22"/>
          <w:lang w:val="es-ES" w:eastAsia="es-ES"/>
        </w:rPr>
        <w:t>a todos los Estados del área de distribución, las organizaciones intergubernamentales y los asociados que identifiquen posibles áreas específicas en las que la identificación de AIMM podría resultar particularmente beneficiosa, por ejemplo, promoviendo el diseño y la conectividad de la red de áreas protegidas, o haciendo frente en modo más completo a las amenazas contra los mamíferos acuáticos</w:t>
      </w:r>
      <w:r w:rsidR="009D4F5A">
        <w:rPr>
          <w:rFonts w:ascii="Arial" w:hAnsi="Arial"/>
          <w:sz w:val="22"/>
          <w:lang w:val="es-ES" w:eastAsia="es-ES"/>
        </w:rPr>
        <w:t>;</w:t>
      </w:r>
      <w:r w:rsidRPr="006D11F6">
        <w:rPr>
          <w:rFonts w:ascii="Arial" w:hAnsi="Arial"/>
          <w:sz w:val="22"/>
          <w:lang w:val="es-ES" w:eastAsia="es-ES"/>
        </w:rPr>
        <w:t xml:space="preserve"> </w:t>
      </w:r>
    </w:p>
    <w:p w:rsidR="008B5AED" w:rsidRPr="009D4F5A" w:rsidRDefault="008B5AED" w:rsidP="008B5AED">
      <w:pPr>
        <w:pStyle w:val="ListParagraph"/>
        <w:rPr>
          <w:lang w:val="es-ES"/>
        </w:rPr>
      </w:pPr>
    </w:p>
    <w:p w:rsidR="008B5AED" w:rsidRPr="006D11F6" w:rsidRDefault="008B5AED" w:rsidP="008B5AED">
      <w:pPr>
        <w:ind w:left="360" w:hanging="360"/>
        <w:jc w:val="both"/>
        <w:rPr>
          <w:rFonts w:ascii="Arial" w:hAnsi="Arial" w:cs="Arial"/>
          <w:sz w:val="22"/>
          <w:szCs w:val="22"/>
          <w:lang w:val="es-ES" w:eastAsia="es-ES"/>
        </w:rPr>
      </w:pPr>
      <w:r>
        <w:rPr>
          <w:rFonts w:ascii="Arial" w:hAnsi="Arial" w:cs="Arial"/>
          <w:sz w:val="22"/>
          <w:szCs w:val="22"/>
          <w:lang w:val="es-ES" w:eastAsia="es-ES"/>
        </w:rPr>
        <w:t>2.bis</w:t>
      </w:r>
      <w:r>
        <w:rPr>
          <w:rFonts w:ascii="Arial" w:hAnsi="Arial" w:cs="Arial"/>
          <w:sz w:val="22"/>
          <w:szCs w:val="22"/>
          <w:lang w:val="es-ES" w:eastAsia="es-ES"/>
        </w:rPr>
        <w:tab/>
      </w:r>
      <w:r w:rsidRPr="008B5AED">
        <w:rPr>
          <w:rFonts w:ascii="Arial" w:hAnsi="Arial" w:cs="Arial"/>
          <w:i/>
          <w:sz w:val="22"/>
          <w:szCs w:val="22"/>
          <w:lang w:val="es-ES" w:eastAsia="es-ES"/>
        </w:rPr>
        <w:t>Recomienda</w:t>
      </w:r>
      <w:r>
        <w:rPr>
          <w:rFonts w:ascii="Arial" w:hAnsi="Arial" w:cs="Arial"/>
          <w:i/>
          <w:sz w:val="22"/>
          <w:szCs w:val="22"/>
          <w:lang w:val="es-ES" w:eastAsia="es-ES"/>
        </w:rPr>
        <w:t xml:space="preserve"> que </w:t>
      </w:r>
      <w:r>
        <w:rPr>
          <w:rFonts w:ascii="Arial" w:hAnsi="Arial" w:cs="Arial"/>
          <w:sz w:val="22"/>
          <w:szCs w:val="22"/>
          <w:lang w:val="es-ES" w:eastAsia="es-ES"/>
        </w:rPr>
        <w:t>las autoridades de las Partes se impliquen en este</w:t>
      </w:r>
      <w:r w:rsidRPr="008B5AED">
        <w:rPr>
          <w:rFonts w:ascii="Arial" w:hAnsi="Arial" w:cs="Arial"/>
          <w:sz w:val="22"/>
          <w:szCs w:val="22"/>
          <w:lang w:val="es-ES" w:eastAsia="es-ES"/>
        </w:rPr>
        <w:t xml:space="preserve"> trabajo</w:t>
      </w:r>
      <w:r>
        <w:rPr>
          <w:rFonts w:ascii="Arial" w:hAnsi="Arial" w:cs="Arial"/>
          <w:sz w:val="22"/>
          <w:szCs w:val="22"/>
          <w:lang w:val="es-ES" w:eastAsia="es-ES"/>
        </w:rPr>
        <w:t xml:space="preserve"> específico</w:t>
      </w:r>
      <w:r w:rsidRPr="008B5AED">
        <w:rPr>
          <w:rFonts w:ascii="Arial" w:hAnsi="Arial" w:cs="Arial"/>
          <w:sz w:val="22"/>
          <w:szCs w:val="22"/>
          <w:lang w:val="es-ES" w:eastAsia="es-ES"/>
        </w:rPr>
        <w:t xml:space="preserve"> de identificación de áreas </w:t>
      </w:r>
      <w:r>
        <w:rPr>
          <w:rFonts w:ascii="Arial" w:hAnsi="Arial" w:cs="Arial"/>
          <w:sz w:val="22"/>
          <w:szCs w:val="22"/>
          <w:lang w:val="es-ES" w:eastAsia="es-ES"/>
        </w:rPr>
        <w:t>en un espíritu de transparencia y desde sus inicios;</w:t>
      </w:r>
    </w:p>
    <w:p w:rsidR="00F20775" w:rsidRPr="006D11F6" w:rsidRDefault="00F20775" w:rsidP="00F20775">
      <w:pPr>
        <w:ind w:left="720"/>
        <w:contextualSpacing/>
        <w:rPr>
          <w:rFonts w:ascii="Arial" w:hAnsi="Arial" w:cs="Arial"/>
          <w:sz w:val="22"/>
          <w:szCs w:val="22"/>
          <w:lang w:val="es-ES" w:eastAsia="es-ES"/>
        </w:rPr>
      </w:pPr>
    </w:p>
    <w:p w:rsidR="00F20775" w:rsidRPr="006D11F6" w:rsidRDefault="00F20775" w:rsidP="00F20775">
      <w:pPr>
        <w:numPr>
          <w:ilvl w:val="0"/>
          <w:numId w:val="46"/>
        </w:numPr>
        <w:jc w:val="both"/>
        <w:rPr>
          <w:rFonts w:ascii="Arial" w:hAnsi="Arial" w:cs="Arial"/>
          <w:sz w:val="22"/>
          <w:szCs w:val="22"/>
          <w:lang w:val="es-ES" w:eastAsia="es-ES"/>
        </w:rPr>
      </w:pPr>
      <w:r w:rsidRPr="006D11F6">
        <w:rPr>
          <w:rFonts w:ascii="Arial" w:hAnsi="Arial"/>
          <w:i/>
          <w:sz w:val="22"/>
          <w:lang w:val="es-ES" w:eastAsia="es-ES"/>
        </w:rPr>
        <w:t>Invita a</w:t>
      </w:r>
      <w:r w:rsidRPr="006D11F6">
        <w:rPr>
          <w:rFonts w:ascii="Arial" w:hAnsi="Arial"/>
          <w:sz w:val="22"/>
          <w:lang w:val="es-ES" w:eastAsia="es-ES"/>
        </w:rPr>
        <w:t xml:space="preserve"> las Partes, los Estados del área de distribución, las organizaciones intergubernamentales y los asociados a solicitar el apoyo del Grupo de acción mixto SSC/WCPA sobre áreas protegidas de mamíferos marinos para promover estos enfoques; y</w:t>
      </w:r>
    </w:p>
    <w:p w:rsidR="00F20775" w:rsidRPr="006D11F6" w:rsidRDefault="00F20775" w:rsidP="00F20775">
      <w:pPr>
        <w:numPr>
          <w:ilvl w:val="0"/>
          <w:numId w:val="46"/>
        </w:numPr>
        <w:jc w:val="both"/>
        <w:rPr>
          <w:rFonts w:ascii="Arial" w:hAnsi="Arial" w:cs="Arial"/>
          <w:sz w:val="22"/>
          <w:szCs w:val="22"/>
          <w:lang w:val="es-ES" w:eastAsia="es-ES"/>
        </w:rPr>
      </w:pPr>
      <w:r w:rsidRPr="006D11F6">
        <w:rPr>
          <w:rFonts w:ascii="Arial" w:hAnsi="Arial"/>
          <w:i/>
          <w:sz w:val="22"/>
          <w:lang w:val="es-ES" w:eastAsia="es-ES"/>
        </w:rPr>
        <w:t xml:space="preserve">Invita también </w:t>
      </w:r>
      <w:r w:rsidRPr="006D11F6">
        <w:rPr>
          <w:rFonts w:ascii="Arial" w:hAnsi="Arial"/>
          <w:sz w:val="22"/>
          <w:lang w:val="es-ES" w:eastAsia="es-ES"/>
        </w:rPr>
        <w:t>al Convenio sobre la Diversidad Biológica, la Organización Marítima Internacional y la Unión Internacional para la Conservación de la Naturaleza a considerar las AIMM como contribuciones útiles para la determinación de las Áreas de importancia ecológica o biológica (AIEB), las Zonas marinas especialmente sensibles (ZMES), y las Áreas de biodiversidad fundamentales (ABF).</w:t>
      </w:r>
    </w:p>
    <w:p w:rsidR="00F20775" w:rsidRPr="006D11F6" w:rsidRDefault="00F20775" w:rsidP="00F20775">
      <w:pPr>
        <w:ind w:right="720"/>
        <w:jc w:val="both"/>
        <w:rPr>
          <w:rFonts w:ascii="Arial" w:hAnsi="Arial" w:cs="Arial"/>
          <w:sz w:val="22"/>
          <w:szCs w:val="22"/>
          <w:lang w:val="es-ES" w:eastAsia="es-ES"/>
        </w:rPr>
      </w:pPr>
    </w:p>
    <w:p w:rsidR="00F20775" w:rsidRDefault="00F20775" w:rsidP="006A709B">
      <w:pPr>
        <w:jc w:val="both"/>
        <w:rPr>
          <w:rFonts w:ascii="Arial" w:hAnsi="Arial" w:cs="Arial"/>
          <w:sz w:val="22"/>
          <w:szCs w:val="22"/>
          <w:lang w:val="es-ES"/>
        </w:rPr>
      </w:pPr>
      <w:r>
        <w:rPr>
          <w:rFonts w:ascii="Arial" w:hAnsi="Arial" w:cs="Arial"/>
          <w:sz w:val="22"/>
          <w:szCs w:val="22"/>
          <w:lang w:val="es-ES"/>
        </w:rPr>
        <w:br w:type="page"/>
      </w:r>
    </w:p>
    <w:p w:rsidR="00BA3A74" w:rsidRDefault="00BA3A74" w:rsidP="006A709B">
      <w:pPr>
        <w:jc w:val="both"/>
        <w:rPr>
          <w:rFonts w:ascii="Arial" w:hAnsi="Arial" w:cs="Arial"/>
          <w:sz w:val="22"/>
          <w:szCs w:val="22"/>
          <w:lang w:val="es-ES"/>
        </w:rPr>
      </w:pPr>
    </w:p>
    <w:p w:rsidR="00F20775" w:rsidRPr="006D11F6" w:rsidRDefault="00F20775" w:rsidP="00F20775">
      <w:pPr>
        <w:ind w:right="11"/>
        <w:jc w:val="both"/>
        <w:rPr>
          <w:rFonts w:ascii="Arial" w:hAnsi="Arial" w:cs="Arial"/>
          <w:sz w:val="22"/>
          <w:szCs w:val="22"/>
          <w:lang w:val="es-ES" w:eastAsia="es-ES"/>
        </w:rPr>
      </w:pPr>
    </w:p>
    <w:p w:rsidR="00BA3A74" w:rsidRDefault="00BA3A74" w:rsidP="005A2235">
      <w:pPr>
        <w:jc w:val="center"/>
        <w:rPr>
          <w:rFonts w:ascii="Arial" w:hAnsi="Arial" w:cs="Arial"/>
          <w:sz w:val="22"/>
          <w:szCs w:val="22"/>
          <w:lang w:val="es-ES"/>
        </w:rPr>
      </w:pPr>
      <w:r w:rsidRPr="00BA3A74">
        <w:rPr>
          <w:rFonts w:ascii="Arial" w:hAnsi="Arial" w:cs="Arial"/>
          <w:sz w:val="22"/>
          <w:szCs w:val="22"/>
          <w:lang w:val="es-ES"/>
        </w:rPr>
        <w:t>PROPUESTAS DE DECISIONES</w:t>
      </w:r>
    </w:p>
    <w:p w:rsidR="005A2235" w:rsidRDefault="005A2235" w:rsidP="005A2235">
      <w:pPr>
        <w:jc w:val="center"/>
        <w:rPr>
          <w:rFonts w:ascii="Arial" w:hAnsi="Arial" w:cs="Arial"/>
          <w:sz w:val="22"/>
          <w:szCs w:val="22"/>
          <w:lang w:val="es-ES"/>
        </w:rPr>
      </w:pPr>
    </w:p>
    <w:p w:rsidR="00F20775" w:rsidRPr="006D11F6" w:rsidRDefault="00F20775" w:rsidP="00F20775">
      <w:pPr>
        <w:widowControl/>
        <w:autoSpaceDE/>
        <w:autoSpaceDN/>
        <w:adjustRightInd/>
        <w:jc w:val="both"/>
        <w:rPr>
          <w:rFonts w:ascii="Arial" w:hAnsi="Arial" w:cs="Arial"/>
          <w:b/>
          <w:iCs/>
          <w:sz w:val="22"/>
          <w:szCs w:val="22"/>
          <w:lang w:val="es-ES" w:eastAsia="es-ES"/>
        </w:rPr>
      </w:pPr>
      <w:r w:rsidRPr="006D11F6">
        <w:rPr>
          <w:rFonts w:ascii="Arial" w:hAnsi="Arial"/>
          <w:b/>
          <w:sz w:val="22"/>
          <w:lang w:val="es-ES" w:eastAsia="es-ES"/>
        </w:rPr>
        <w:t xml:space="preserve">Dirigidas al Consejo Científico </w:t>
      </w:r>
    </w:p>
    <w:p w:rsidR="00F20775" w:rsidRPr="006D11F6" w:rsidRDefault="00F20775" w:rsidP="00F20775">
      <w:pPr>
        <w:widowControl/>
        <w:autoSpaceDE/>
        <w:autoSpaceDN/>
        <w:adjustRightInd/>
        <w:jc w:val="both"/>
        <w:rPr>
          <w:rFonts w:ascii="Arial" w:hAnsi="Arial" w:cs="Arial"/>
          <w:i/>
          <w:iCs/>
          <w:sz w:val="22"/>
          <w:szCs w:val="22"/>
          <w:lang w:val="es-ES" w:eastAsia="es-ES"/>
        </w:rPr>
      </w:pPr>
    </w:p>
    <w:p w:rsidR="00F20775" w:rsidRPr="006D11F6" w:rsidRDefault="00F20775" w:rsidP="00F20775">
      <w:pPr>
        <w:ind w:left="720" w:hanging="720"/>
        <w:jc w:val="both"/>
        <w:rPr>
          <w:rFonts w:ascii="Arial" w:hAnsi="Arial" w:cs="Arial"/>
          <w:iCs/>
          <w:sz w:val="22"/>
          <w:szCs w:val="22"/>
          <w:lang w:val="es-ES" w:eastAsia="es-ES"/>
        </w:rPr>
      </w:pPr>
      <w:r w:rsidRPr="006D11F6">
        <w:rPr>
          <w:rFonts w:ascii="Arial" w:hAnsi="Arial"/>
          <w:sz w:val="22"/>
          <w:lang w:val="es-ES" w:eastAsia="es-ES"/>
        </w:rPr>
        <w:t>12.AA</w:t>
      </w:r>
      <w:r w:rsidRPr="006D11F6">
        <w:rPr>
          <w:lang w:val="es-ES" w:eastAsia="es-ES"/>
        </w:rPr>
        <w:tab/>
      </w:r>
      <w:r w:rsidR="005A2235">
        <w:rPr>
          <w:rFonts w:ascii="Arial" w:hAnsi="Arial"/>
          <w:sz w:val="22"/>
          <w:lang w:val="es-ES" w:eastAsia="es-ES"/>
        </w:rPr>
        <w:t>El Consejo Científico debería</w:t>
      </w:r>
      <w:r w:rsidRPr="006D11F6">
        <w:rPr>
          <w:rFonts w:ascii="Arial" w:hAnsi="Arial"/>
          <w:sz w:val="22"/>
          <w:lang w:val="es-ES" w:eastAsia="es-ES"/>
        </w:rPr>
        <w:t>:</w:t>
      </w:r>
    </w:p>
    <w:p w:rsidR="00F20775" w:rsidRPr="006D11F6" w:rsidRDefault="00F20775" w:rsidP="00F20775">
      <w:pPr>
        <w:ind w:left="720" w:hanging="720"/>
        <w:jc w:val="both"/>
        <w:rPr>
          <w:rFonts w:ascii="Arial" w:hAnsi="Arial" w:cs="Arial"/>
          <w:iCs/>
          <w:sz w:val="22"/>
          <w:szCs w:val="22"/>
          <w:lang w:val="es-ES" w:eastAsia="es-ES"/>
        </w:rPr>
      </w:pPr>
    </w:p>
    <w:p w:rsidR="00F20775" w:rsidRPr="00B54408" w:rsidRDefault="00F20775" w:rsidP="00F20775">
      <w:pPr>
        <w:numPr>
          <w:ilvl w:val="0"/>
          <w:numId w:val="47"/>
        </w:numPr>
        <w:jc w:val="both"/>
        <w:rPr>
          <w:rFonts w:ascii="Arial" w:hAnsi="Arial" w:cs="Arial"/>
          <w:iCs/>
          <w:sz w:val="22"/>
          <w:szCs w:val="22"/>
          <w:lang w:val="es-ES" w:eastAsia="es-ES"/>
        </w:rPr>
      </w:pPr>
      <w:r w:rsidRPr="006D11F6">
        <w:rPr>
          <w:rFonts w:ascii="Arial" w:hAnsi="Arial"/>
          <w:sz w:val="22"/>
          <w:lang w:val="es-ES" w:eastAsia="es-ES"/>
        </w:rPr>
        <w:t xml:space="preserve"> colaborar con el </w:t>
      </w:r>
      <w:bookmarkStart w:id="1" w:name="_Hlk496770166"/>
      <w:r w:rsidRPr="006D11F6">
        <w:rPr>
          <w:rFonts w:ascii="Arial" w:hAnsi="Arial"/>
          <w:sz w:val="22"/>
          <w:lang w:val="es-ES" w:eastAsia="es-ES"/>
        </w:rPr>
        <w:t xml:space="preserve">Grupo de acción mixto SSC/WCPA sobre áreas protegidas de mamíferos marinos </w:t>
      </w:r>
      <w:r w:rsidR="005A2235">
        <w:rPr>
          <w:rFonts w:ascii="Arial" w:hAnsi="Arial"/>
          <w:sz w:val="22"/>
          <w:lang w:val="es-ES" w:eastAsia="es-ES"/>
        </w:rPr>
        <w:t xml:space="preserve">de la UICN </w:t>
      </w:r>
      <w:bookmarkEnd w:id="1"/>
      <w:r w:rsidRPr="006D11F6">
        <w:rPr>
          <w:rFonts w:ascii="Arial" w:hAnsi="Arial"/>
          <w:sz w:val="22"/>
          <w:lang w:val="es-ES" w:eastAsia="es-ES"/>
        </w:rPr>
        <w:t xml:space="preserve">para </w:t>
      </w:r>
      <w:r w:rsidR="009D4F5A">
        <w:rPr>
          <w:rFonts w:ascii="Arial" w:hAnsi="Arial"/>
          <w:sz w:val="22"/>
          <w:lang w:val="es-ES" w:eastAsia="es-ES"/>
        </w:rPr>
        <w:t>la inclusión de</w:t>
      </w:r>
      <w:r w:rsidRPr="006D11F6">
        <w:rPr>
          <w:rFonts w:ascii="Arial" w:hAnsi="Arial"/>
          <w:sz w:val="22"/>
          <w:lang w:val="es-ES" w:eastAsia="es-ES"/>
        </w:rPr>
        <w:t xml:space="preserve"> datos de las especies de pinnípedos, sirenios, nutrias, osos polares y cetáceos </w:t>
      </w:r>
      <w:r w:rsidR="009D4F5A">
        <w:rPr>
          <w:rFonts w:ascii="Arial" w:hAnsi="Arial"/>
          <w:sz w:val="22"/>
          <w:lang w:val="es-ES" w:eastAsia="es-ES"/>
        </w:rPr>
        <w:t>incluidos en las listas de la CMS</w:t>
      </w:r>
      <w:r w:rsidR="009D4F5A" w:rsidRPr="006D11F6">
        <w:rPr>
          <w:rFonts w:ascii="Arial" w:hAnsi="Arial"/>
          <w:sz w:val="22"/>
          <w:lang w:val="es-ES" w:eastAsia="es-ES"/>
        </w:rPr>
        <w:t xml:space="preserve"> </w:t>
      </w:r>
      <w:r w:rsidR="009D4F5A">
        <w:rPr>
          <w:rFonts w:ascii="Arial" w:hAnsi="Arial"/>
          <w:sz w:val="22"/>
          <w:lang w:val="es-ES" w:eastAsia="es-ES"/>
        </w:rPr>
        <w:t>durante</w:t>
      </w:r>
      <w:r w:rsidRPr="006D11F6">
        <w:rPr>
          <w:rFonts w:ascii="Arial" w:hAnsi="Arial"/>
          <w:sz w:val="22"/>
          <w:lang w:val="es-ES" w:eastAsia="es-ES"/>
        </w:rPr>
        <w:t xml:space="preserve"> la identificación de AIMM;</w:t>
      </w:r>
    </w:p>
    <w:p w:rsidR="00B54408" w:rsidRPr="005A2235" w:rsidRDefault="00B54408" w:rsidP="00B54408">
      <w:pPr>
        <w:ind w:left="720"/>
        <w:jc w:val="both"/>
        <w:rPr>
          <w:rFonts w:ascii="Arial" w:hAnsi="Arial" w:cs="Arial"/>
          <w:iCs/>
          <w:sz w:val="22"/>
          <w:szCs w:val="22"/>
          <w:lang w:val="es-ES" w:eastAsia="es-ES"/>
        </w:rPr>
      </w:pPr>
    </w:p>
    <w:p w:rsidR="005A2235" w:rsidRPr="006D11F6" w:rsidRDefault="00B54408" w:rsidP="00F20775">
      <w:pPr>
        <w:numPr>
          <w:ilvl w:val="0"/>
          <w:numId w:val="47"/>
        </w:numPr>
        <w:jc w:val="both"/>
        <w:rPr>
          <w:rFonts w:ascii="Arial" w:hAnsi="Arial" w:cs="Arial"/>
          <w:iCs/>
          <w:sz w:val="22"/>
          <w:szCs w:val="22"/>
          <w:lang w:val="es-ES" w:eastAsia="es-ES"/>
        </w:rPr>
      </w:pPr>
      <w:r>
        <w:rPr>
          <w:rFonts w:ascii="Arial" w:hAnsi="Arial"/>
          <w:sz w:val="22"/>
          <w:lang w:val="es-ES" w:eastAsia="es-ES"/>
        </w:rPr>
        <w:t xml:space="preserve">Luego de recibir información del </w:t>
      </w:r>
      <w:bookmarkStart w:id="2" w:name="_Hlk496770736"/>
      <w:r w:rsidRPr="006D11F6">
        <w:rPr>
          <w:rFonts w:ascii="Arial" w:hAnsi="Arial"/>
          <w:sz w:val="22"/>
          <w:lang w:val="es-ES" w:eastAsia="es-ES"/>
        </w:rPr>
        <w:t xml:space="preserve">Grupo de acción mixto SSC/WCPA sobre áreas protegidas de mamíferos marinos </w:t>
      </w:r>
      <w:r>
        <w:rPr>
          <w:rFonts w:ascii="Arial" w:hAnsi="Arial"/>
          <w:sz w:val="22"/>
          <w:lang w:val="es-ES" w:eastAsia="es-ES"/>
        </w:rPr>
        <w:t>de la UICN</w:t>
      </w:r>
      <w:bookmarkEnd w:id="2"/>
      <w:r w:rsidR="00964938">
        <w:rPr>
          <w:rFonts w:ascii="Arial" w:hAnsi="Arial"/>
          <w:sz w:val="22"/>
          <w:lang w:val="es-ES" w:eastAsia="es-ES"/>
        </w:rPr>
        <w:t>,</w:t>
      </w:r>
      <w:r>
        <w:rPr>
          <w:rFonts w:ascii="Arial" w:hAnsi="Arial"/>
          <w:sz w:val="22"/>
          <w:lang w:val="es-ES" w:eastAsia="es-ES"/>
        </w:rPr>
        <w:t xml:space="preserve"> relativa a las AIMM de nueva identificación, revisar su pertinencia para las especies incluidas en las listas de la CMS, considerar toda aportación que reciban de las Partes y proporcionar asesoramiento relativo a las medidas de </w:t>
      </w:r>
      <w:r w:rsidR="00964938">
        <w:rPr>
          <w:rFonts w:ascii="Arial" w:hAnsi="Arial"/>
          <w:sz w:val="22"/>
          <w:lang w:val="es-ES" w:eastAsia="es-ES"/>
        </w:rPr>
        <w:t>conservación;</w:t>
      </w:r>
    </w:p>
    <w:p w:rsidR="00F20775" w:rsidRPr="006D11F6" w:rsidRDefault="00F20775" w:rsidP="00F20775">
      <w:pPr>
        <w:widowControl/>
        <w:autoSpaceDE/>
        <w:adjustRightInd/>
        <w:rPr>
          <w:rFonts w:ascii="Arial" w:hAnsi="Arial" w:cs="Arial"/>
          <w:sz w:val="22"/>
          <w:szCs w:val="22"/>
          <w:lang w:val="es-ES" w:eastAsia="es-ES"/>
        </w:rPr>
      </w:pPr>
    </w:p>
    <w:p w:rsidR="00F20775" w:rsidRPr="006D11F6" w:rsidRDefault="00F20775" w:rsidP="00F20775">
      <w:pPr>
        <w:widowControl/>
        <w:autoSpaceDE/>
        <w:adjustRightInd/>
        <w:rPr>
          <w:rFonts w:ascii="Arial" w:hAnsi="Arial" w:cs="Arial"/>
          <w:sz w:val="22"/>
          <w:szCs w:val="22"/>
          <w:lang w:val="es-ES" w:eastAsia="es-ES"/>
        </w:rPr>
      </w:pPr>
    </w:p>
    <w:p w:rsidR="00F20775" w:rsidRPr="006D11F6" w:rsidRDefault="00F20775" w:rsidP="00F20775">
      <w:pPr>
        <w:widowControl/>
        <w:autoSpaceDE/>
        <w:autoSpaceDN/>
        <w:adjustRightInd/>
        <w:jc w:val="both"/>
        <w:rPr>
          <w:rFonts w:ascii="Arial" w:hAnsi="Arial" w:cs="Arial"/>
          <w:b/>
          <w:iCs/>
          <w:sz w:val="22"/>
          <w:szCs w:val="22"/>
          <w:lang w:val="es-ES" w:eastAsia="es-ES"/>
        </w:rPr>
      </w:pPr>
      <w:r w:rsidRPr="006D11F6">
        <w:rPr>
          <w:rFonts w:ascii="Arial" w:hAnsi="Arial"/>
          <w:b/>
          <w:sz w:val="22"/>
          <w:lang w:val="es-ES" w:eastAsia="es-ES"/>
        </w:rPr>
        <w:t xml:space="preserve">Dirigidas a la Secretaría </w:t>
      </w:r>
    </w:p>
    <w:p w:rsidR="00F20775" w:rsidRPr="006D11F6" w:rsidRDefault="00F20775" w:rsidP="00F20775">
      <w:pPr>
        <w:widowControl/>
        <w:autoSpaceDE/>
        <w:autoSpaceDN/>
        <w:adjustRightInd/>
        <w:jc w:val="both"/>
        <w:rPr>
          <w:rFonts w:ascii="Arial" w:hAnsi="Arial" w:cs="Arial"/>
          <w:i/>
          <w:iCs/>
          <w:sz w:val="22"/>
          <w:szCs w:val="22"/>
          <w:lang w:val="es-ES" w:eastAsia="es-ES"/>
        </w:rPr>
      </w:pPr>
    </w:p>
    <w:p w:rsidR="00F20775" w:rsidRPr="006D11F6" w:rsidRDefault="00F20775" w:rsidP="00F20775">
      <w:pPr>
        <w:ind w:left="720" w:hanging="720"/>
        <w:jc w:val="both"/>
        <w:rPr>
          <w:rFonts w:ascii="Arial" w:hAnsi="Arial" w:cs="Arial"/>
          <w:iCs/>
          <w:sz w:val="22"/>
          <w:szCs w:val="22"/>
          <w:lang w:val="es-ES" w:eastAsia="es-ES"/>
        </w:rPr>
      </w:pPr>
      <w:r w:rsidRPr="006D11F6">
        <w:rPr>
          <w:rFonts w:ascii="Arial" w:hAnsi="Arial"/>
          <w:sz w:val="22"/>
          <w:lang w:val="es-ES" w:eastAsia="es-ES"/>
        </w:rPr>
        <w:t>12.BB</w:t>
      </w:r>
      <w:r w:rsidRPr="006D11F6">
        <w:rPr>
          <w:lang w:val="es-ES" w:eastAsia="es-ES"/>
        </w:rPr>
        <w:tab/>
      </w:r>
      <w:r w:rsidR="00964938">
        <w:rPr>
          <w:rFonts w:ascii="Arial" w:hAnsi="Arial"/>
          <w:sz w:val="22"/>
          <w:lang w:val="es-ES" w:eastAsia="es-ES"/>
        </w:rPr>
        <w:t>La Secretaría debería</w:t>
      </w:r>
      <w:r w:rsidRPr="006D11F6">
        <w:rPr>
          <w:rFonts w:ascii="Arial" w:hAnsi="Arial"/>
          <w:sz w:val="22"/>
          <w:lang w:val="es-ES" w:eastAsia="es-ES"/>
        </w:rPr>
        <w:t>:</w:t>
      </w:r>
    </w:p>
    <w:p w:rsidR="00F20775" w:rsidRPr="006D11F6" w:rsidRDefault="00F20775" w:rsidP="00F20775">
      <w:pPr>
        <w:ind w:left="720" w:hanging="720"/>
        <w:jc w:val="both"/>
        <w:rPr>
          <w:rFonts w:ascii="Arial" w:hAnsi="Arial" w:cs="Arial"/>
          <w:iCs/>
          <w:sz w:val="22"/>
          <w:szCs w:val="22"/>
          <w:lang w:val="es-ES" w:eastAsia="es-ES"/>
        </w:rPr>
      </w:pPr>
    </w:p>
    <w:p w:rsidR="00F20775" w:rsidRPr="00964938" w:rsidRDefault="00F20775" w:rsidP="00F20775">
      <w:pPr>
        <w:numPr>
          <w:ilvl w:val="0"/>
          <w:numId w:val="48"/>
        </w:numPr>
        <w:jc w:val="both"/>
        <w:rPr>
          <w:rFonts w:ascii="Arial" w:hAnsi="Arial" w:cs="Arial"/>
          <w:iCs/>
          <w:sz w:val="22"/>
          <w:szCs w:val="22"/>
          <w:lang w:val="es-ES" w:eastAsia="es-ES"/>
        </w:rPr>
      </w:pPr>
      <w:r w:rsidRPr="006D11F6">
        <w:rPr>
          <w:rFonts w:ascii="Arial" w:hAnsi="Arial"/>
          <w:sz w:val="22"/>
          <w:lang w:val="es-ES" w:eastAsia="es-ES"/>
        </w:rPr>
        <w:t xml:space="preserve"> colaborar con el Grupo de acción mixto SSC/WCPA sobre áreas protegidas de mamíferos marinos a fin de promover el valor de las AIMM para la conservación de los mamíferos acuáticos incluidos en las listas de la CMS;</w:t>
      </w:r>
    </w:p>
    <w:p w:rsidR="00964938" w:rsidRPr="00964938" w:rsidRDefault="00964938" w:rsidP="00964938">
      <w:pPr>
        <w:ind w:left="720"/>
        <w:jc w:val="both"/>
        <w:rPr>
          <w:rFonts w:ascii="Arial" w:hAnsi="Arial" w:cs="Arial"/>
          <w:iCs/>
          <w:sz w:val="22"/>
          <w:szCs w:val="22"/>
          <w:lang w:val="es-ES" w:eastAsia="es-ES"/>
        </w:rPr>
      </w:pPr>
    </w:p>
    <w:p w:rsidR="00964938" w:rsidRPr="006D11F6" w:rsidRDefault="00964938" w:rsidP="00F20775">
      <w:pPr>
        <w:numPr>
          <w:ilvl w:val="0"/>
          <w:numId w:val="48"/>
        </w:numPr>
        <w:jc w:val="both"/>
        <w:rPr>
          <w:rFonts w:ascii="Arial" w:hAnsi="Arial" w:cs="Arial"/>
          <w:iCs/>
          <w:sz w:val="22"/>
          <w:szCs w:val="22"/>
          <w:lang w:val="es-ES" w:eastAsia="es-ES"/>
        </w:rPr>
      </w:pPr>
      <w:r>
        <w:rPr>
          <w:rFonts w:ascii="Arial" w:hAnsi="Arial"/>
          <w:sz w:val="22"/>
          <w:lang w:val="es-ES" w:eastAsia="es-ES"/>
        </w:rPr>
        <w:t xml:space="preserve">Trasladar información sobre las AIMM recientemente identificadas </w:t>
      </w:r>
      <w:r w:rsidR="009D4F5A">
        <w:rPr>
          <w:rFonts w:ascii="Arial" w:hAnsi="Arial"/>
          <w:sz w:val="22"/>
          <w:lang w:val="es-ES" w:eastAsia="es-ES"/>
        </w:rPr>
        <w:t xml:space="preserve">que se </w:t>
      </w:r>
      <w:r>
        <w:rPr>
          <w:rFonts w:ascii="Arial" w:hAnsi="Arial"/>
          <w:sz w:val="22"/>
          <w:lang w:val="es-ES" w:eastAsia="es-ES"/>
        </w:rPr>
        <w:t xml:space="preserve">reciba del </w:t>
      </w:r>
      <w:r w:rsidRPr="006D11F6">
        <w:rPr>
          <w:rFonts w:ascii="Arial" w:hAnsi="Arial"/>
          <w:sz w:val="22"/>
          <w:lang w:val="es-ES" w:eastAsia="es-ES"/>
        </w:rPr>
        <w:t xml:space="preserve">Grupo de acción mixto SSC/WCPA sobre áreas protegidas de mamíferos marinos </w:t>
      </w:r>
      <w:r>
        <w:rPr>
          <w:rFonts w:ascii="Arial" w:hAnsi="Arial"/>
          <w:sz w:val="22"/>
          <w:lang w:val="es-ES" w:eastAsia="es-ES"/>
        </w:rPr>
        <w:t>de la UICN</w:t>
      </w:r>
      <w:r w:rsidR="009D4F5A">
        <w:rPr>
          <w:rFonts w:ascii="Arial" w:hAnsi="Arial"/>
          <w:sz w:val="22"/>
          <w:lang w:val="es-ES" w:eastAsia="es-ES"/>
        </w:rPr>
        <w:t>,</w:t>
      </w:r>
      <w:r>
        <w:rPr>
          <w:rFonts w:ascii="Arial" w:hAnsi="Arial"/>
          <w:sz w:val="22"/>
          <w:lang w:val="es-ES" w:eastAsia="es-ES"/>
        </w:rPr>
        <w:t xml:space="preserve"> al Comité Científico y a las Partes</w:t>
      </w:r>
      <w:bookmarkStart w:id="3" w:name="_GoBack"/>
      <w:bookmarkEnd w:id="3"/>
      <w:r>
        <w:rPr>
          <w:rFonts w:ascii="Arial" w:hAnsi="Arial"/>
          <w:sz w:val="22"/>
          <w:lang w:val="es-ES" w:eastAsia="es-ES"/>
        </w:rPr>
        <w:t xml:space="preserve"> e invitar a las Partes y estados del área de distribución a realizar aportaciones;</w:t>
      </w:r>
    </w:p>
    <w:p w:rsidR="00F20775" w:rsidRPr="006D11F6" w:rsidRDefault="00F20775" w:rsidP="00F20775">
      <w:pPr>
        <w:ind w:left="720"/>
        <w:jc w:val="both"/>
        <w:rPr>
          <w:rFonts w:ascii="Arial" w:hAnsi="Arial" w:cs="Arial"/>
          <w:iCs/>
          <w:sz w:val="22"/>
          <w:szCs w:val="22"/>
          <w:lang w:val="es-ES" w:eastAsia="es-ES"/>
        </w:rPr>
      </w:pPr>
    </w:p>
    <w:p w:rsidR="00F20775" w:rsidRPr="006D11F6" w:rsidRDefault="00F20775" w:rsidP="00F20775">
      <w:pPr>
        <w:numPr>
          <w:ilvl w:val="0"/>
          <w:numId w:val="48"/>
        </w:numPr>
        <w:jc w:val="both"/>
        <w:rPr>
          <w:rFonts w:ascii="Arial" w:hAnsi="Arial" w:cs="Arial"/>
          <w:iCs/>
          <w:sz w:val="22"/>
          <w:szCs w:val="22"/>
          <w:lang w:val="es-ES" w:eastAsia="es-ES"/>
        </w:rPr>
      </w:pPr>
      <w:r w:rsidRPr="006D11F6">
        <w:rPr>
          <w:rFonts w:ascii="Arial" w:hAnsi="Arial"/>
          <w:sz w:val="22"/>
          <w:lang w:val="es-ES" w:eastAsia="es-ES"/>
        </w:rPr>
        <w:t xml:space="preserve"> presentar informe al Comité Permanente en su 48ª y 49ª reuniones acerca de los progresos realizados en la aplicación de esta decisión.</w:t>
      </w:r>
    </w:p>
    <w:p w:rsidR="00F20775" w:rsidRPr="006D11F6" w:rsidRDefault="00F20775" w:rsidP="00F20775">
      <w:pPr>
        <w:widowControl/>
        <w:autoSpaceDE/>
        <w:adjustRightInd/>
        <w:rPr>
          <w:rFonts w:ascii="Arial" w:hAnsi="Arial" w:cs="Arial"/>
          <w:sz w:val="22"/>
          <w:szCs w:val="22"/>
          <w:lang w:val="es-ES" w:eastAsia="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F20775">
      <w:rPr>
        <w:rFonts w:ascii="Arial" w:hAnsi="Arial" w:cs="Arial"/>
        <w:noProof/>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DE65FD"/>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5"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3"/>
  </w:num>
  <w:num w:numId="4">
    <w:abstractNumId w:val="28"/>
  </w:num>
  <w:num w:numId="5">
    <w:abstractNumId w:val="15"/>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9"/>
  </w:num>
  <w:num w:numId="10">
    <w:abstractNumId w:val="27"/>
  </w:num>
  <w:num w:numId="11">
    <w:abstractNumId w:val="41"/>
  </w:num>
  <w:num w:numId="12">
    <w:abstractNumId w:val="4"/>
  </w:num>
  <w:num w:numId="13">
    <w:abstractNumId w:val="23"/>
  </w:num>
  <w:num w:numId="14">
    <w:abstractNumId w:val="39"/>
  </w:num>
  <w:num w:numId="15">
    <w:abstractNumId w:val="2"/>
  </w:num>
  <w:num w:numId="16">
    <w:abstractNumId w:val="12"/>
  </w:num>
  <w:num w:numId="17">
    <w:abstractNumId w:val="42"/>
  </w:num>
  <w:num w:numId="18">
    <w:abstractNumId w:val="26"/>
  </w:num>
  <w:num w:numId="19">
    <w:abstractNumId w:val="40"/>
  </w:num>
  <w:num w:numId="20">
    <w:abstractNumId w:val="46"/>
  </w:num>
  <w:num w:numId="21">
    <w:abstractNumId w:val="5"/>
  </w:num>
  <w:num w:numId="22">
    <w:abstractNumId w:val="21"/>
  </w:num>
  <w:num w:numId="23">
    <w:abstractNumId w:val="30"/>
  </w:num>
  <w:num w:numId="24">
    <w:abstractNumId w:val="19"/>
  </w:num>
  <w:num w:numId="25">
    <w:abstractNumId w:val="34"/>
  </w:num>
  <w:num w:numId="26">
    <w:abstractNumId w:val="0"/>
  </w:num>
  <w:num w:numId="27">
    <w:abstractNumId w:val="43"/>
  </w:num>
  <w:num w:numId="28">
    <w:abstractNumId w:val="8"/>
  </w:num>
  <w:num w:numId="29">
    <w:abstractNumId w:val="25"/>
  </w:num>
  <w:num w:numId="30">
    <w:abstractNumId w:val="17"/>
  </w:num>
  <w:num w:numId="31">
    <w:abstractNumId w:val="32"/>
  </w:num>
  <w:num w:numId="32">
    <w:abstractNumId w:val="31"/>
  </w:num>
  <w:num w:numId="33">
    <w:abstractNumId w:val="7"/>
  </w:num>
  <w:num w:numId="34">
    <w:abstractNumId w:val="22"/>
  </w:num>
  <w:num w:numId="35">
    <w:abstractNumId w:val="18"/>
  </w:num>
  <w:num w:numId="36">
    <w:abstractNumId w:val="35"/>
  </w:num>
  <w:num w:numId="37">
    <w:abstractNumId w:val="38"/>
  </w:num>
  <w:num w:numId="38">
    <w:abstractNumId w:val="11"/>
  </w:num>
  <w:num w:numId="39">
    <w:abstractNumId w:val="33"/>
  </w:num>
  <w:num w:numId="40">
    <w:abstractNumId w:val="44"/>
  </w:num>
  <w:num w:numId="41">
    <w:abstractNumId w:val="29"/>
  </w:num>
  <w:num w:numId="42">
    <w:abstractNumId w:val="20"/>
  </w:num>
  <w:num w:numId="43">
    <w:abstractNumId w:val="10"/>
  </w:num>
  <w:num w:numId="44">
    <w:abstractNumId w:val="3"/>
  </w:num>
  <w:num w:numId="45">
    <w:abstractNumId w:val="6"/>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0D48"/>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05E4"/>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86CB4"/>
    <w:rsid w:val="003909E4"/>
    <w:rsid w:val="00391412"/>
    <w:rsid w:val="003A3E30"/>
    <w:rsid w:val="003A70FE"/>
    <w:rsid w:val="003B0C35"/>
    <w:rsid w:val="003B219E"/>
    <w:rsid w:val="003E21B3"/>
    <w:rsid w:val="003F496A"/>
    <w:rsid w:val="00411E65"/>
    <w:rsid w:val="00420040"/>
    <w:rsid w:val="00423388"/>
    <w:rsid w:val="00426D73"/>
    <w:rsid w:val="00442B6C"/>
    <w:rsid w:val="00453677"/>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465E"/>
    <w:rsid w:val="005158EB"/>
    <w:rsid w:val="0052082F"/>
    <w:rsid w:val="0052320C"/>
    <w:rsid w:val="00542FCC"/>
    <w:rsid w:val="0055762E"/>
    <w:rsid w:val="00564D08"/>
    <w:rsid w:val="00565445"/>
    <w:rsid w:val="00575334"/>
    <w:rsid w:val="00593736"/>
    <w:rsid w:val="005A2235"/>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B5AED"/>
    <w:rsid w:val="008C1A39"/>
    <w:rsid w:val="008E7DFB"/>
    <w:rsid w:val="008F7327"/>
    <w:rsid w:val="00904FCE"/>
    <w:rsid w:val="009076C8"/>
    <w:rsid w:val="009158BE"/>
    <w:rsid w:val="00915BBE"/>
    <w:rsid w:val="00921D62"/>
    <w:rsid w:val="00922791"/>
    <w:rsid w:val="00927CD6"/>
    <w:rsid w:val="00932037"/>
    <w:rsid w:val="00933572"/>
    <w:rsid w:val="009363C7"/>
    <w:rsid w:val="00945FFB"/>
    <w:rsid w:val="00964938"/>
    <w:rsid w:val="00972D36"/>
    <w:rsid w:val="00980406"/>
    <w:rsid w:val="00992727"/>
    <w:rsid w:val="009A2C8F"/>
    <w:rsid w:val="009A7B65"/>
    <w:rsid w:val="009D2AD6"/>
    <w:rsid w:val="009D3A07"/>
    <w:rsid w:val="009D4711"/>
    <w:rsid w:val="009D4F5A"/>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54408"/>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25B64"/>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0775"/>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64951D"/>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8749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1149</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2017-10-26T00:55:00Z</dcterms:created>
  <dcterms:modified xsi:type="dcterms:W3CDTF">2017-10-26T00:55:00Z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