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Borders>
          <w:insideV w:val="single" w:sz="12" w:space="0" w:color="auto"/>
        </w:tblBorders>
        <w:tblLayout w:type="fixed"/>
        <w:tblCellMar>
          <w:top w:w="198" w:type="dxa"/>
        </w:tblCellMar>
        <w:tblLook w:val="0000" w:firstRow="0" w:lastRow="0" w:firstColumn="0" w:lastColumn="0" w:noHBand="0" w:noVBand="0"/>
      </w:tblPr>
      <w:tblGrid>
        <w:gridCol w:w="1526"/>
        <w:gridCol w:w="4394"/>
        <w:gridCol w:w="3402"/>
      </w:tblGrid>
      <w:tr w:rsidR="00CC2968" w:rsidRPr="00B23D51" w:rsidTr="004556F3">
        <w:trPr>
          <w:cantSplit/>
          <w:trHeight w:val="397"/>
        </w:trPr>
        <w:tc>
          <w:tcPr>
            <w:tcW w:w="9322" w:type="dxa"/>
            <w:gridSpan w:val="3"/>
            <w:tcBorders>
              <w:bottom w:val="single" w:sz="12" w:space="0" w:color="auto"/>
            </w:tcBorders>
          </w:tcPr>
          <w:p w:rsidR="00CC2968" w:rsidRPr="00B23D51" w:rsidRDefault="00DE7B90" w:rsidP="004556F3">
            <w:pPr>
              <w:tabs>
                <w:tab w:val="right" w:pos="9106"/>
              </w:tabs>
              <w:rPr>
                <w:lang w:val="fr-FR"/>
              </w:rPr>
            </w:pPr>
            <w:r>
              <w:object w:dxaOrig="1036" w:dyaOrig="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30pt" o:ole="">
                  <v:imagedata r:id="rId9" o:title=""/>
                </v:shape>
                <o:OLEObject Type="Embed" ProgID="Word.Picture.8" ShapeID="_x0000_i1025" DrawAspect="Content" ObjectID="_1472976237" r:id="rId10"/>
              </w:object>
            </w:r>
            <w:r w:rsidR="00466AFD">
              <w:rPr>
                <w:noProof/>
                <w:szCs w:val="24"/>
              </w:rPr>
              <w:drawing>
                <wp:inline distT="0" distB="0" distL="0" distR="0">
                  <wp:extent cx="355600" cy="368300"/>
                  <wp:effectExtent l="0" t="0" r="635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2734" t="-1288" r="60135" b="48734"/>
                          <a:stretch>
                            <a:fillRect/>
                          </a:stretch>
                        </pic:blipFill>
                        <pic:spPr bwMode="auto">
                          <a:xfrm>
                            <a:off x="0" y="0"/>
                            <a:ext cx="355600" cy="368300"/>
                          </a:xfrm>
                          <a:prstGeom prst="rect">
                            <a:avLst/>
                          </a:prstGeom>
                          <a:noFill/>
                          <a:ln>
                            <a:noFill/>
                          </a:ln>
                        </pic:spPr>
                      </pic:pic>
                    </a:graphicData>
                  </a:graphic>
                </wp:inline>
              </w:drawing>
            </w:r>
            <w:r w:rsidR="00CC2968" w:rsidRPr="00B23D51">
              <w:rPr>
                <w:lang w:val="fr-FR"/>
              </w:rPr>
              <w:tab/>
            </w:r>
            <w:r w:rsidR="00CC2968" w:rsidRPr="00B23D51">
              <w:rPr>
                <w:rFonts w:ascii="Arial" w:hAnsi="Arial" w:cs="Arial"/>
                <w:b/>
                <w:sz w:val="36"/>
                <w:szCs w:val="36"/>
                <w:lang w:val="fr-FR"/>
              </w:rPr>
              <w:t>CMS</w:t>
            </w:r>
          </w:p>
        </w:tc>
      </w:tr>
      <w:tr w:rsidR="00CC2968" w:rsidRPr="00DE7B90" w:rsidTr="00D20955">
        <w:trPr>
          <w:trHeight w:val="1860"/>
        </w:trPr>
        <w:tc>
          <w:tcPr>
            <w:tcW w:w="1526" w:type="dxa"/>
            <w:tcBorders>
              <w:top w:val="single" w:sz="12" w:space="0" w:color="auto"/>
              <w:bottom w:val="single" w:sz="12" w:space="0" w:color="auto"/>
              <w:right w:val="nil"/>
            </w:tcBorders>
          </w:tcPr>
          <w:p w:rsidR="00CC2968" w:rsidRPr="00B23D51" w:rsidRDefault="00466AFD" w:rsidP="00EB4FAC">
            <w:pPr>
              <w:rPr>
                <w:lang w:val="fr-FR"/>
              </w:rPr>
            </w:pPr>
            <w:r>
              <w:rPr>
                <w:noProof/>
                <w:szCs w:val="24"/>
              </w:rPr>
              <w:drawing>
                <wp:inline distT="0" distB="0" distL="0" distR="0">
                  <wp:extent cx="749300" cy="774700"/>
                  <wp:effectExtent l="0" t="0" r="0" b="635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l="-2507" t="-700" r="-2507" b="-700"/>
                          <a:stretch>
                            <a:fillRect/>
                          </a:stretch>
                        </pic:blipFill>
                        <pic:spPr bwMode="auto">
                          <a:xfrm>
                            <a:off x="0" y="0"/>
                            <a:ext cx="749300" cy="774700"/>
                          </a:xfrm>
                          <a:prstGeom prst="rect">
                            <a:avLst/>
                          </a:prstGeom>
                          <a:noFill/>
                          <a:ln>
                            <a:noFill/>
                          </a:ln>
                        </pic:spPr>
                      </pic:pic>
                    </a:graphicData>
                  </a:graphic>
                </wp:inline>
              </w:drawing>
            </w:r>
          </w:p>
          <w:p w:rsidR="00CC2968" w:rsidRPr="00B23D51" w:rsidRDefault="00CC2968" w:rsidP="00EB4FAC">
            <w:pPr>
              <w:rPr>
                <w:lang w:val="fr-FR"/>
              </w:rPr>
            </w:pPr>
          </w:p>
        </w:tc>
        <w:tc>
          <w:tcPr>
            <w:tcW w:w="4394" w:type="dxa"/>
            <w:tcBorders>
              <w:top w:val="single" w:sz="12" w:space="0" w:color="auto"/>
              <w:left w:val="nil"/>
              <w:bottom w:val="single" w:sz="12" w:space="0" w:color="auto"/>
              <w:right w:val="nil"/>
            </w:tcBorders>
          </w:tcPr>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29"/>
              <w:rPr>
                <w:rFonts w:ascii="Arial" w:hAnsi="Arial" w:cs="Arial"/>
                <w:bCs w:val="0"/>
                <w:sz w:val="24"/>
                <w:lang w:val="fr-FR"/>
              </w:rPr>
            </w:pPr>
            <w:r w:rsidRPr="004556F3">
              <w:rPr>
                <w:rFonts w:ascii="Arial" w:hAnsi="Arial" w:cs="Arial"/>
                <w:bCs w:val="0"/>
                <w:sz w:val="44"/>
                <w:szCs w:val="44"/>
                <w:lang w:val="fr-FR"/>
              </w:rPr>
              <w:t>CONVENTION SUR</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rFonts w:ascii="Arial" w:hAnsi="Arial" w:cs="Arial"/>
                <w:bCs w:val="0"/>
                <w:sz w:val="24"/>
                <w:lang w:val="fr-FR"/>
              </w:rPr>
            </w:pPr>
            <w:r w:rsidRPr="004556F3">
              <w:rPr>
                <w:rFonts w:ascii="Arial" w:hAnsi="Arial" w:cs="Arial"/>
                <w:bCs w:val="0"/>
                <w:sz w:val="44"/>
                <w:szCs w:val="44"/>
                <w:lang w:val="fr-FR"/>
              </w:rPr>
              <w:t>LES ESP</w:t>
            </w:r>
            <w:r w:rsidR="009E75A4">
              <w:rPr>
                <w:rFonts w:ascii="Arial" w:hAnsi="Arial" w:cs="Arial"/>
                <w:bCs w:val="0"/>
                <w:sz w:val="44"/>
                <w:szCs w:val="44"/>
                <w:lang w:val="fr-FR"/>
              </w:rPr>
              <w:t>È</w:t>
            </w:r>
            <w:r w:rsidRPr="004556F3">
              <w:rPr>
                <w:rFonts w:ascii="Arial" w:hAnsi="Arial" w:cs="Arial"/>
                <w:bCs w:val="0"/>
                <w:sz w:val="44"/>
                <w:szCs w:val="44"/>
                <w:lang w:val="fr-FR"/>
              </w:rPr>
              <w:t>CES</w:t>
            </w:r>
          </w:p>
          <w:p w:rsidR="00CC2968" w:rsidRPr="004556F3" w:rsidRDefault="00CC2968" w:rsidP="00EB4FAC">
            <w:pPr>
              <w:pStyle w:val="Heading2"/>
              <w:keepNext w:val="0"/>
              <w:pBdr>
                <w:top w:val="none" w:sz="0" w:space="0" w:color="auto"/>
                <w:left w:val="none" w:sz="0" w:space="0" w:color="auto"/>
                <w:bottom w:val="none" w:sz="0" w:space="0" w:color="auto"/>
                <w:right w:val="none" w:sz="0" w:space="0" w:color="auto"/>
              </w:pBdr>
              <w:ind w:left="34"/>
              <w:rPr>
                <w:sz w:val="44"/>
                <w:szCs w:val="44"/>
                <w:lang w:val="fr-FR"/>
              </w:rPr>
            </w:pPr>
            <w:r w:rsidRPr="004556F3">
              <w:rPr>
                <w:rFonts w:ascii="Arial" w:hAnsi="Arial" w:cs="Arial"/>
                <w:bCs w:val="0"/>
                <w:sz w:val="44"/>
                <w:szCs w:val="44"/>
                <w:lang w:val="fr-FR"/>
              </w:rPr>
              <w:t>MIGRATRICES</w:t>
            </w:r>
          </w:p>
        </w:tc>
        <w:tc>
          <w:tcPr>
            <w:tcW w:w="3402" w:type="dxa"/>
            <w:tcBorders>
              <w:top w:val="single" w:sz="12" w:space="0" w:color="auto"/>
              <w:left w:val="nil"/>
              <w:bottom w:val="single" w:sz="12" w:space="0" w:color="auto"/>
            </w:tcBorders>
          </w:tcPr>
          <w:p w:rsidR="00CC2968" w:rsidRPr="00B23D51" w:rsidRDefault="00CC2968" w:rsidP="00D52B1D">
            <w:pPr>
              <w:rPr>
                <w:rFonts w:ascii="Arial" w:hAnsi="Arial" w:cs="Arial"/>
                <w:sz w:val="22"/>
                <w:lang w:val="fr-FR"/>
              </w:rPr>
            </w:pPr>
            <w:r w:rsidRPr="00B23D51">
              <w:rPr>
                <w:rFonts w:ascii="Arial" w:hAnsi="Arial" w:cs="Arial"/>
                <w:sz w:val="22"/>
                <w:lang w:val="fr-FR"/>
              </w:rPr>
              <w:t>Distribution: Générale</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PNUE/CMS/</w:t>
            </w:r>
            <w:r w:rsidR="00D20955">
              <w:rPr>
                <w:rFonts w:ascii="Arial" w:hAnsi="Arial" w:cs="Arial"/>
                <w:sz w:val="22"/>
                <w:lang w:val="fr-FR"/>
              </w:rPr>
              <w:t>COP11/</w:t>
            </w:r>
            <w:r w:rsidR="00466AFD">
              <w:rPr>
                <w:rFonts w:ascii="Arial" w:hAnsi="Arial" w:cs="Arial"/>
                <w:sz w:val="22"/>
                <w:lang w:val="fr-FR"/>
              </w:rPr>
              <w:t>21.2</w:t>
            </w:r>
          </w:p>
          <w:p w:rsidR="00CC2968" w:rsidRPr="00B23D51" w:rsidRDefault="005E6E75" w:rsidP="00D52B1D">
            <w:pPr>
              <w:rPr>
                <w:rFonts w:ascii="Arial" w:hAnsi="Arial" w:cs="Arial"/>
                <w:sz w:val="22"/>
                <w:lang w:val="fr-FR"/>
              </w:rPr>
            </w:pPr>
            <w:r>
              <w:rPr>
                <w:rFonts w:ascii="Arial" w:hAnsi="Arial" w:cs="Arial"/>
                <w:sz w:val="22"/>
                <w:lang w:val="fr-FR"/>
              </w:rPr>
              <w:t>19</w:t>
            </w:r>
            <w:bookmarkStart w:id="0" w:name="_GoBack"/>
            <w:bookmarkEnd w:id="0"/>
            <w:r w:rsidR="00466AFD">
              <w:rPr>
                <w:rFonts w:ascii="Arial" w:hAnsi="Arial" w:cs="Arial"/>
                <w:sz w:val="22"/>
                <w:lang w:val="fr-FR"/>
              </w:rPr>
              <w:t xml:space="preserve"> septembre</w:t>
            </w:r>
            <w:r w:rsidR="00105EA7">
              <w:rPr>
                <w:rFonts w:ascii="Arial" w:hAnsi="Arial" w:cs="Arial"/>
                <w:sz w:val="22"/>
                <w:lang w:val="fr-FR"/>
              </w:rPr>
              <w:t xml:space="preserve"> </w:t>
            </w:r>
            <w:r w:rsidR="00CC2968" w:rsidRPr="00B23D51">
              <w:rPr>
                <w:rFonts w:ascii="Arial" w:hAnsi="Arial" w:cs="Arial"/>
                <w:sz w:val="22"/>
                <w:lang w:val="fr-FR"/>
              </w:rPr>
              <w:t>201</w:t>
            </w:r>
            <w:r w:rsidR="00A83B6F">
              <w:rPr>
                <w:rFonts w:ascii="Arial" w:hAnsi="Arial" w:cs="Arial"/>
                <w:sz w:val="22"/>
                <w:lang w:val="fr-FR"/>
              </w:rPr>
              <w:t>4</w:t>
            </w:r>
          </w:p>
          <w:p w:rsidR="00CC2968" w:rsidRPr="00B23D51" w:rsidRDefault="00CC2968" w:rsidP="00D52B1D">
            <w:pPr>
              <w:rPr>
                <w:rFonts w:ascii="Arial" w:hAnsi="Arial" w:cs="Arial"/>
                <w:sz w:val="22"/>
                <w:lang w:val="fr-FR"/>
              </w:rPr>
            </w:pPr>
          </w:p>
          <w:p w:rsidR="00CC2968" w:rsidRPr="00B23D51" w:rsidRDefault="00CC2968" w:rsidP="00D52B1D">
            <w:pPr>
              <w:rPr>
                <w:rFonts w:ascii="Arial" w:hAnsi="Arial" w:cs="Arial"/>
                <w:sz w:val="22"/>
                <w:lang w:val="fr-FR"/>
              </w:rPr>
            </w:pPr>
            <w:r w:rsidRPr="00B23D51">
              <w:rPr>
                <w:rFonts w:ascii="Arial" w:hAnsi="Arial" w:cs="Arial"/>
                <w:sz w:val="22"/>
                <w:lang w:val="fr-FR"/>
              </w:rPr>
              <w:t>Français</w:t>
            </w:r>
          </w:p>
          <w:p w:rsidR="00CC2968" w:rsidRPr="00B23D51" w:rsidRDefault="00CC2968" w:rsidP="00D52B1D">
            <w:pPr>
              <w:rPr>
                <w:lang w:val="fr-FR"/>
              </w:rPr>
            </w:pPr>
            <w:r w:rsidRPr="00B23D51">
              <w:rPr>
                <w:rFonts w:ascii="Arial" w:hAnsi="Arial" w:cs="Arial"/>
                <w:sz w:val="22"/>
                <w:lang w:val="fr-FR"/>
              </w:rPr>
              <w:t>Original: Anglais</w:t>
            </w:r>
          </w:p>
        </w:tc>
      </w:tr>
    </w:tbl>
    <w:p w:rsidR="009704CA" w:rsidRPr="00B607B3" w:rsidRDefault="009704CA" w:rsidP="009704CA">
      <w:pPr>
        <w:rPr>
          <w:sz w:val="22"/>
          <w:lang w:val="fr-FR"/>
        </w:rPr>
      </w:pPr>
      <w:r w:rsidRPr="00B607B3">
        <w:rPr>
          <w:rStyle w:val="hps"/>
          <w:color w:val="222222"/>
          <w:sz w:val="22"/>
          <w:lang w:val="fr-FR"/>
        </w:rPr>
        <w:t>11</w:t>
      </w:r>
      <w:r>
        <w:rPr>
          <w:rStyle w:val="hps"/>
          <w:color w:val="222222"/>
          <w:sz w:val="22"/>
          <w:vertAlign w:val="superscript"/>
          <w:lang w:val="fr-FR"/>
        </w:rPr>
        <w:t>e</w:t>
      </w:r>
      <w:r w:rsidRPr="00B607B3">
        <w:rPr>
          <w:rStyle w:val="hps"/>
          <w:color w:val="222222"/>
          <w:sz w:val="22"/>
          <w:lang w:val="fr-FR"/>
        </w:rPr>
        <w:t xml:space="preserve"> </w:t>
      </w:r>
      <w:r w:rsidRPr="00B607B3">
        <w:rPr>
          <w:sz w:val="22"/>
          <w:lang w:val="fr-FR"/>
        </w:rPr>
        <w:t>SESSION DE LA</w:t>
      </w:r>
      <w:r>
        <w:rPr>
          <w:sz w:val="22"/>
          <w:lang w:val="fr-FR"/>
        </w:rPr>
        <w:t xml:space="preserve"> </w:t>
      </w:r>
      <w:r w:rsidR="009E75A4">
        <w:rPr>
          <w:sz w:val="22"/>
          <w:lang w:val="fr-FR"/>
        </w:rPr>
        <w:t>CONFÉ</w:t>
      </w:r>
      <w:r w:rsidRPr="00B607B3">
        <w:rPr>
          <w:sz w:val="22"/>
          <w:lang w:val="fr-FR"/>
        </w:rPr>
        <w:t>RENCE DES PARTIES</w:t>
      </w:r>
    </w:p>
    <w:p w:rsidR="009704CA" w:rsidRPr="00B607B3" w:rsidRDefault="009704CA" w:rsidP="009704CA">
      <w:pPr>
        <w:rPr>
          <w:sz w:val="22"/>
          <w:lang w:val="fr-FR"/>
        </w:rPr>
      </w:pPr>
      <w:r w:rsidRPr="00B607B3">
        <w:rPr>
          <w:sz w:val="22"/>
          <w:lang w:val="fr-FR"/>
        </w:rPr>
        <w:t xml:space="preserve">Quito, </w:t>
      </w:r>
      <w:r w:rsidRPr="00B607B3">
        <w:rPr>
          <w:rStyle w:val="hps"/>
          <w:color w:val="222222"/>
          <w:sz w:val="22"/>
          <w:lang w:val="fr-FR"/>
        </w:rPr>
        <w:t>Équateur,</w:t>
      </w:r>
      <w:r>
        <w:rPr>
          <w:rStyle w:val="hps"/>
          <w:color w:val="222222"/>
          <w:sz w:val="22"/>
          <w:lang w:val="fr-FR"/>
        </w:rPr>
        <w:t xml:space="preserve"> </w:t>
      </w:r>
      <w:r w:rsidRPr="00B607B3">
        <w:rPr>
          <w:rStyle w:val="hps"/>
          <w:color w:val="222222"/>
          <w:sz w:val="22"/>
          <w:lang w:val="fr-FR"/>
        </w:rPr>
        <w:t>4</w:t>
      </w:r>
      <w:r w:rsidRPr="00B607B3">
        <w:rPr>
          <w:sz w:val="22"/>
          <w:lang w:val="fr-FR"/>
        </w:rPr>
        <w:t>-9 novembre 2014</w:t>
      </w:r>
    </w:p>
    <w:p w:rsidR="009704CA" w:rsidRPr="00B607B3" w:rsidRDefault="009704CA" w:rsidP="009704CA">
      <w:pPr>
        <w:rPr>
          <w:sz w:val="22"/>
          <w:lang w:val="fr-FR"/>
        </w:rPr>
      </w:pPr>
      <w:r w:rsidRPr="00B607B3">
        <w:rPr>
          <w:noProof/>
          <w:sz w:val="22"/>
          <w:lang w:val="fr-FR"/>
        </w:rPr>
        <w:t xml:space="preserve">Point </w:t>
      </w:r>
      <w:r w:rsidR="00466AFD">
        <w:rPr>
          <w:noProof/>
          <w:sz w:val="22"/>
          <w:lang w:val="fr-FR"/>
        </w:rPr>
        <w:t>21.2</w:t>
      </w:r>
      <w:r w:rsidRPr="00B607B3">
        <w:rPr>
          <w:noProof/>
          <w:sz w:val="22"/>
          <w:lang w:val="fr-FR"/>
        </w:rPr>
        <w:t xml:space="preserve"> de l’ordre du jour</w:t>
      </w:r>
    </w:p>
    <w:p w:rsidR="00C87CFD" w:rsidRPr="00B23D51" w:rsidRDefault="00C87CFD" w:rsidP="00C87CFD">
      <w:pPr>
        <w:snapToGrid w:val="0"/>
        <w:rPr>
          <w:lang w:val="fr-FR"/>
        </w:rPr>
      </w:pPr>
    </w:p>
    <w:p w:rsidR="00CC2968" w:rsidRPr="00D52B1D" w:rsidRDefault="00CC2968" w:rsidP="00D52B1D">
      <w:pPr>
        <w:rPr>
          <w:szCs w:val="24"/>
          <w:lang w:val="fr-FR"/>
        </w:rPr>
      </w:pPr>
    </w:p>
    <w:p w:rsidR="00466AFD" w:rsidRPr="005E66AB" w:rsidRDefault="00466AFD" w:rsidP="00466AFD">
      <w:pPr>
        <w:jc w:val="center"/>
        <w:rPr>
          <w:b/>
          <w:lang w:val="fr-FR"/>
        </w:rPr>
      </w:pPr>
      <w:r w:rsidRPr="005E66AB">
        <w:rPr>
          <w:b/>
          <w:lang w:val="fr-FR"/>
        </w:rPr>
        <w:t>PROJET DE RÉSOLUTION</w:t>
      </w:r>
      <w:r>
        <w:rPr>
          <w:b/>
          <w:lang w:val="fr-FR"/>
        </w:rPr>
        <w:t xml:space="preserve"> SUR</w:t>
      </w:r>
    </w:p>
    <w:p w:rsidR="00466AFD" w:rsidRPr="005E66AB" w:rsidRDefault="00466AFD" w:rsidP="00466AFD">
      <w:pPr>
        <w:jc w:val="center"/>
        <w:rPr>
          <w:b/>
          <w:lang w:val="fr-FR"/>
        </w:rPr>
      </w:pPr>
      <w:r>
        <w:rPr>
          <w:b/>
          <w:lang w:val="fr-FR"/>
        </w:rPr>
        <w:t xml:space="preserve">LES </w:t>
      </w:r>
      <w:r w:rsidRPr="005E66AB">
        <w:rPr>
          <w:b/>
          <w:lang w:val="fr-FR"/>
        </w:rPr>
        <w:t>SYNERGIES ET PARTENARIATS</w:t>
      </w:r>
    </w:p>
    <w:p w:rsidR="00466AFD" w:rsidRPr="005E66AB" w:rsidRDefault="00466AFD" w:rsidP="00466AFD">
      <w:pPr>
        <w:pStyle w:val="Default"/>
        <w:jc w:val="center"/>
        <w:rPr>
          <w:bCs/>
          <w:lang w:val="fr-FR"/>
        </w:rPr>
      </w:pPr>
    </w:p>
    <w:p w:rsidR="00466AFD" w:rsidRPr="005E66AB" w:rsidRDefault="00466AFD" w:rsidP="00466AFD">
      <w:pPr>
        <w:pStyle w:val="Default"/>
        <w:jc w:val="center"/>
        <w:rPr>
          <w:bCs/>
          <w:lang w:val="fr-FR"/>
        </w:rPr>
      </w:pPr>
      <w:r w:rsidRPr="005E66AB">
        <w:rPr>
          <w:bCs/>
          <w:lang w:val="fr-FR"/>
        </w:rPr>
        <w:t>(</w:t>
      </w:r>
      <w:r w:rsidRPr="005E66AB">
        <w:rPr>
          <w:bCs/>
          <w:i/>
          <w:lang w:val="fr-FR"/>
        </w:rPr>
        <w:t>Soumis par la Suisse</w:t>
      </w:r>
      <w:r w:rsidRPr="005E66AB">
        <w:rPr>
          <w:bCs/>
          <w:lang w:val="fr-FR"/>
        </w:rPr>
        <w:t>)</w:t>
      </w:r>
    </w:p>
    <w:p w:rsidR="00466AFD" w:rsidRDefault="00466AFD" w:rsidP="00466AFD">
      <w:pPr>
        <w:pStyle w:val="Default"/>
        <w:jc w:val="both"/>
        <w:rPr>
          <w:lang w:val="fr-FR"/>
        </w:rPr>
      </w:pPr>
    </w:p>
    <w:p w:rsidR="00466AFD" w:rsidRPr="005E66AB" w:rsidRDefault="00466AFD" w:rsidP="00466AFD">
      <w:pPr>
        <w:pStyle w:val="Default"/>
        <w:jc w:val="both"/>
        <w:rPr>
          <w:lang w:val="fr-FR"/>
        </w:rPr>
      </w:pPr>
    </w:p>
    <w:p w:rsidR="00466AFD" w:rsidRPr="008C3DBC" w:rsidRDefault="00466AFD" w:rsidP="00466AFD">
      <w:pPr>
        <w:tabs>
          <w:tab w:val="left" w:pos="1170"/>
        </w:tabs>
        <w:jc w:val="both"/>
        <w:rPr>
          <w:lang w:val="fr-FR"/>
        </w:rPr>
      </w:pPr>
      <w:r w:rsidRPr="008F182C">
        <w:rPr>
          <w:lang w:val="fr-FR"/>
        </w:rPr>
        <w:t>1.</w:t>
      </w:r>
      <w:r>
        <w:rPr>
          <w:b/>
          <w:lang w:val="fr-FR"/>
        </w:rPr>
        <w:tab/>
      </w:r>
      <w:r w:rsidRPr="008C3DBC">
        <w:rPr>
          <w:b/>
          <w:lang w:val="fr-FR"/>
        </w:rPr>
        <w:t xml:space="preserve">Note </w:t>
      </w:r>
      <w:r>
        <w:rPr>
          <w:b/>
          <w:lang w:val="fr-FR"/>
        </w:rPr>
        <w:t>liminaire</w:t>
      </w:r>
      <w:r w:rsidRPr="008C3DBC">
        <w:rPr>
          <w:b/>
          <w:lang w:val="fr-FR"/>
        </w:rPr>
        <w:t>:</w:t>
      </w:r>
      <w:r w:rsidRPr="008C3DBC">
        <w:rPr>
          <w:lang w:val="fr-FR"/>
        </w:rPr>
        <w:t xml:space="preserve"> Les Résolutions 7.9, 8.11, 9.6 et 10.21 portent actuellement sur les synergies, les partenariats et la coopération ave</w:t>
      </w:r>
      <w:r>
        <w:rPr>
          <w:lang w:val="fr-FR"/>
        </w:rPr>
        <w:t>c</w:t>
      </w:r>
      <w:r w:rsidRPr="008C3DBC">
        <w:rPr>
          <w:lang w:val="fr-FR"/>
        </w:rPr>
        <w:t xml:space="preserve"> d’autres organism</w:t>
      </w:r>
      <w:r>
        <w:rPr>
          <w:lang w:val="fr-FR"/>
        </w:rPr>
        <w:t>e</w:t>
      </w:r>
      <w:r w:rsidRPr="008C3DBC">
        <w:rPr>
          <w:lang w:val="fr-FR"/>
        </w:rPr>
        <w:t>s. Le p</w:t>
      </w:r>
      <w:r>
        <w:rPr>
          <w:lang w:val="fr-FR"/>
        </w:rPr>
        <w:t>r</w:t>
      </w:r>
      <w:r w:rsidRPr="008C3DBC">
        <w:rPr>
          <w:lang w:val="fr-FR"/>
        </w:rPr>
        <w:t>ésent projet</w:t>
      </w:r>
      <w:r>
        <w:rPr>
          <w:lang w:val="fr-FR"/>
        </w:rPr>
        <w:t xml:space="preserve"> </w:t>
      </w:r>
      <w:r w:rsidRPr="008C3DBC">
        <w:rPr>
          <w:lang w:val="fr-FR"/>
        </w:rPr>
        <w:t>de r</w:t>
      </w:r>
      <w:r>
        <w:rPr>
          <w:lang w:val="fr-FR"/>
        </w:rPr>
        <w:t>é</w:t>
      </w:r>
      <w:r w:rsidRPr="008C3DBC">
        <w:rPr>
          <w:lang w:val="fr-FR"/>
        </w:rPr>
        <w:t xml:space="preserve">solution </w:t>
      </w:r>
      <w:r>
        <w:rPr>
          <w:lang w:val="fr-FR"/>
        </w:rPr>
        <w:t>regroupe</w:t>
      </w:r>
      <w:r w:rsidRPr="008C3DBC">
        <w:rPr>
          <w:lang w:val="fr-FR"/>
        </w:rPr>
        <w:t xml:space="preserve"> ces résolutions et </w:t>
      </w:r>
      <w:r>
        <w:rPr>
          <w:lang w:val="fr-FR"/>
        </w:rPr>
        <w:t xml:space="preserve">y </w:t>
      </w:r>
      <w:r w:rsidRPr="008C3DBC">
        <w:rPr>
          <w:lang w:val="fr-FR"/>
        </w:rPr>
        <w:t xml:space="preserve">ajoute de nouveaux éléments. </w:t>
      </w:r>
    </w:p>
    <w:p w:rsidR="00466AFD" w:rsidRPr="008C3DBC" w:rsidRDefault="00466AFD" w:rsidP="00466AFD">
      <w:pPr>
        <w:tabs>
          <w:tab w:val="left" w:pos="1170"/>
        </w:tabs>
        <w:jc w:val="both"/>
        <w:rPr>
          <w:lang w:val="fr-FR"/>
        </w:rPr>
      </w:pPr>
    </w:p>
    <w:p w:rsidR="00466AFD" w:rsidRPr="008C3DBC" w:rsidRDefault="00466AFD" w:rsidP="00466AFD">
      <w:pPr>
        <w:tabs>
          <w:tab w:val="left" w:pos="1170"/>
        </w:tabs>
        <w:jc w:val="both"/>
        <w:rPr>
          <w:lang w:val="fr-FR"/>
        </w:rPr>
      </w:pPr>
      <w:r>
        <w:rPr>
          <w:lang w:val="fr-FR"/>
        </w:rPr>
        <w:t>2.</w:t>
      </w:r>
      <w:r>
        <w:rPr>
          <w:lang w:val="fr-FR"/>
        </w:rPr>
        <w:tab/>
      </w:r>
      <w:r w:rsidRPr="008C3DBC">
        <w:rPr>
          <w:lang w:val="fr-FR"/>
        </w:rPr>
        <w:t>La version du projet de résolution pr</w:t>
      </w:r>
      <w:r>
        <w:rPr>
          <w:lang w:val="fr-FR"/>
        </w:rPr>
        <w:t>é</w:t>
      </w:r>
      <w:r w:rsidRPr="008C3DBC">
        <w:rPr>
          <w:lang w:val="fr-FR"/>
        </w:rPr>
        <w:t>senté</w:t>
      </w:r>
      <w:r>
        <w:rPr>
          <w:lang w:val="fr-FR"/>
        </w:rPr>
        <w:t>e</w:t>
      </w:r>
      <w:r w:rsidRPr="008C3DBC">
        <w:rPr>
          <w:lang w:val="fr-FR"/>
        </w:rPr>
        <w:t xml:space="preserve"> sous forme de tab</w:t>
      </w:r>
      <w:r>
        <w:rPr>
          <w:lang w:val="fr-FR"/>
        </w:rPr>
        <w:t>l</w:t>
      </w:r>
      <w:r w:rsidRPr="008C3DBC">
        <w:rPr>
          <w:lang w:val="fr-FR"/>
        </w:rPr>
        <w:t xml:space="preserve">eau montre le texte du projet de résolution </w:t>
      </w:r>
      <w:r>
        <w:rPr>
          <w:lang w:val="fr-FR"/>
        </w:rPr>
        <w:t>ainsi</w:t>
      </w:r>
      <w:r w:rsidRPr="008C3DBC">
        <w:rPr>
          <w:lang w:val="fr-FR"/>
        </w:rPr>
        <w:t xml:space="preserve"> qu’un</w:t>
      </w:r>
      <w:r>
        <w:rPr>
          <w:lang w:val="fr-FR"/>
        </w:rPr>
        <w:t>e</w:t>
      </w:r>
      <w:r w:rsidRPr="008C3DBC">
        <w:rPr>
          <w:lang w:val="fr-FR"/>
        </w:rPr>
        <w:t xml:space="preserve"> ex</w:t>
      </w:r>
      <w:r>
        <w:rPr>
          <w:lang w:val="fr-FR"/>
        </w:rPr>
        <w:t>p</w:t>
      </w:r>
      <w:r w:rsidRPr="008C3DBC">
        <w:rPr>
          <w:lang w:val="fr-FR"/>
        </w:rPr>
        <w:t>licatio</w:t>
      </w:r>
      <w:r>
        <w:rPr>
          <w:lang w:val="fr-FR"/>
        </w:rPr>
        <w:t xml:space="preserve">n </w:t>
      </w:r>
      <w:r w:rsidRPr="008C3DBC">
        <w:rPr>
          <w:lang w:val="fr-FR"/>
        </w:rPr>
        <w:t xml:space="preserve">de </w:t>
      </w:r>
      <w:r>
        <w:rPr>
          <w:lang w:val="fr-FR"/>
        </w:rPr>
        <w:t>la source</w:t>
      </w:r>
      <w:r w:rsidRPr="008C3DBC">
        <w:rPr>
          <w:lang w:val="fr-FR"/>
        </w:rPr>
        <w:t xml:space="preserve"> des disposit</w:t>
      </w:r>
      <w:r>
        <w:rPr>
          <w:lang w:val="fr-FR"/>
        </w:rPr>
        <w:t>ions et, dans certains cas, indique les raisons pour lesquelles la disposition a été supprimée ou révisée. La deuxième version du projet de résolution montre le texte qui sera soumis à la Conférence des Parties pour adoption</w:t>
      </w:r>
      <w:r w:rsidRPr="008C3DBC">
        <w:rPr>
          <w:lang w:val="fr-FR"/>
        </w:rPr>
        <w:t>.</w:t>
      </w:r>
    </w:p>
    <w:p w:rsidR="00466AFD" w:rsidRPr="008C3DBC" w:rsidRDefault="00466AFD" w:rsidP="00466AFD">
      <w:pPr>
        <w:tabs>
          <w:tab w:val="left" w:pos="1170"/>
        </w:tabs>
        <w:jc w:val="both"/>
        <w:rPr>
          <w:lang w:val="fr-FR"/>
        </w:rPr>
      </w:pPr>
    </w:p>
    <w:p w:rsidR="00466AFD" w:rsidRPr="00803F74" w:rsidRDefault="00466AFD" w:rsidP="00466AFD">
      <w:pPr>
        <w:tabs>
          <w:tab w:val="left" w:pos="1170"/>
        </w:tabs>
        <w:jc w:val="both"/>
        <w:rPr>
          <w:color w:val="000000"/>
          <w:lang w:val="fr-FR"/>
        </w:rPr>
      </w:pPr>
      <w:r>
        <w:rPr>
          <w:lang w:val="fr-FR"/>
        </w:rPr>
        <w:t>3.</w:t>
      </w:r>
      <w:r>
        <w:rPr>
          <w:lang w:val="fr-FR"/>
        </w:rPr>
        <w:tab/>
        <w:t>On notera</w:t>
      </w:r>
      <w:r w:rsidRPr="00803F74">
        <w:rPr>
          <w:lang w:val="fr-FR"/>
        </w:rPr>
        <w:t xml:space="preserve"> également que les Résolutions se réfèrent </w:t>
      </w:r>
      <w:r>
        <w:rPr>
          <w:lang w:val="fr-FR"/>
        </w:rPr>
        <w:t>tantôt au</w:t>
      </w:r>
      <w:r w:rsidRPr="00803F74">
        <w:rPr>
          <w:color w:val="000000"/>
          <w:lang w:val="fr-FR"/>
        </w:rPr>
        <w:t xml:space="preserve"> Secrétariat </w:t>
      </w:r>
      <w:r>
        <w:rPr>
          <w:color w:val="000000"/>
          <w:lang w:val="fr-FR"/>
        </w:rPr>
        <w:t>tantôt au</w:t>
      </w:r>
      <w:r w:rsidRPr="00803F74">
        <w:rPr>
          <w:color w:val="000000"/>
          <w:lang w:val="fr-FR"/>
        </w:rPr>
        <w:t xml:space="preserve"> Secréta</w:t>
      </w:r>
      <w:r>
        <w:rPr>
          <w:color w:val="000000"/>
          <w:lang w:val="fr-FR"/>
        </w:rPr>
        <w:t>i</w:t>
      </w:r>
      <w:r w:rsidRPr="00803F74">
        <w:rPr>
          <w:color w:val="000000"/>
          <w:lang w:val="fr-FR"/>
        </w:rPr>
        <w:t xml:space="preserve">re exécutif. </w:t>
      </w:r>
      <w:r>
        <w:rPr>
          <w:color w:val="000000"/>
          <w:lang w:val="fr-FR"/>
        </w:rPr>
        <w:t>Pour plus de cohérence, toutes les références sont faites au Secrétariat</w:t>
      </w:r>
      <w:r w:rsidRPr="00803F74">
        <w:rPr>
          <w:color w:val="000000"/>
          <w:lang w:val="fr-FR"/>
        </w:rPr>
        <w:t>.</w:t>
      </w:r>
    </w:p>
    <w:p w:rsidR="00466AFD" w:rsidRPr="00803F74" w:rsidRDefault="00466AFD" w:rsidP="00466AFD">
      <w:pPr>
        <w:tabs>
          <w:tab w:val="left" w:pos="1170"/>
        </w:tabs>
        <w:jc w:val="both"/>
        <w:rPr>
          <w:color w:val="000000"/>
          <w:lang w:val="fr-FR"/>
        </w:rPr>
      </w:pPr>
    </w:p>
    <w:p w:rsidR="00466AFD" w:rsidRPr="00803F74" w:rsidRDefault="00466AFD" w:rsidP="00466AFD">
      <w:pPr>
        <w:tabs>
          <w:tab w:val="left" w:pos="1170"/>
        </w:tabs>
        <w:jc w:val="both"/>
        <w:rPr>
          <w:lang w:val="fr-FR"/>
        </w:rPr>
      </w:pPr>
      <w:r>
        <w:rPr>
          <w:color w:val="000000"/>
          <w:lang w:val="fr-FR"/>
        </w:rPr>
        <w:t>4.</w:t>
      </w:r>
      <w:r>
        <w:rPr>
          <w:color w:val="000000"/>
          <w:lang w:val="fr-FR"/>
        </w:rPr>
        <w:tab/>
      </w:r>
      <w:r w:rsidRPr="00803F74">
        <w:rPr>
          <w:color w:val="000000"/>
          <w:lang w:val="fr-FR"/>
        </w:rPr>
        <w:t>En outr</w:t>
      </w:r>
      <w:r>
        <w:rPr>
          <w:color w:val="000000"/>
          <w:lang w:val="fr-FR"/>
        </w:rPr>
        <w:t>e</w:t>
      </w:r>
      <w:r w:rsidRPr="00803F74">
        <w:rPr>
          <w:color w:val="000000"/>
          <w:lang w:val="fr-FR"/>
        </w:rPr>
        <w:t>, afin</w:t>
      </w:r>
      <w:r>
        <w:rPr>
          <w:color w:val="000000"/>
          <w:lang w:val="fr-FR"/>
        </w:rPr>
        <w:t xml:space="preserve"> </w:t>
      </w:r>
      <w:r w:rsidRPr="00803F74">
        <w:rPr>
          <w:color w:val="000000"/>
          <w:lang w:val="fr-FR"/>
        </w:rPr>
        <w:t xml:space="preserve">de rendre le document plus </w:t>
      </w:r>
      <w:r>
        <w:rPr>
          <w:color w:val="000000"/>
          <w:lang w:val="fr-FR"/>
        </w:rPr>
        <w:t>compréhensible</w:t>
      </w:r>
      <w:r w:rsidRPr="00803F74">
        <w:rPr>
          <w:color w:val="000000"/>
          <w:lang w:val="fr-FR"/>
        </w:rPr>
        <w:t>, les dispositions qui sont clairement obsolètes n’</w:t>
      </w:r>
      <w:r>
        <w:rPr>
          <w:color w:val="000000"/>
          <w:lang w:val="fr-FR"/>
        </w:rPr>
        <w:t xml:space="preserve">ont </w:t>
      </w:r>
      <w:r w:rsidRPr="00803F74">
        <w:rPr>
          <w:color w:val="000000"/>
          <w:lang w:val="fr-FR"/>
        </w:rPr>
        <w:t>p</w:t>
      </w:r>
      <w:r>
        <w:rPr>
          <w:color w:val="000000"/>
          <w:lang w:val="fr-FR"/>
        </w:rPr>
        <w:t>a</w:t>
      </w:r>
      <w:r w:rsidRPr="00803F74">
        <w:rPr>
          <w:color w:val="000000"/>
          <w:lang w:val="fr-FR"/>
        </w:rPr>
        <w:t xml:space="preserve">s été incluses. Par exemple, la Résolution 7.9, paragraphe 9, </w:t>
      </w:r>
      <w:r>
        <w:rPr>
          <w:color w:val="000000"/>
          <w:lang w:val="fr-FR"/>
        </w:rPr>
        <w:t xml:space="preserve">invite les Parties et d’autres instruments de la CMS à prendre une série de mesures concernant la </w:t>
      </w:r>
      <w:r w:rsidRPr="00803F74">
        <w:rPr>
          <w:color w:val="000000"/>
          <w:lang w:val="fr-FR"/>
        </w:rPr>
        <w:t xml:space="preserve">préparation de l’évaluation des écosystèmes du millénaire, </w:t>
      </w:r>
      <w:r>
        <w:rPr>
          <w:color w:val="000000"/>
          <w:lang w:val="fr-FR"/>
        </w:rPr>
        <w:t>or cette tâche a été achevée</w:t>
      </w:r>
      <w:r w:rsidRPr="00803F74">
        <w:rPr>
          <w:color w:val="000000"/>
          <w:lang w:val="fr-FR"/>
        </w:rPr>
        <w:t xml:space="preserve">. </w:t>
      </w:r>
    </w:p>
    <w:p w:rsidR="00105EA7" w:rsidRPr="00EA39ED" w:rsidRDefault="00105EA7" w:rsidP="00105EA7">
      <w:pPr>
        <w:pStyle w:val="BodyText3"/>
        <w:widowControl/>
        <w:spacing w:before="60"/>
        <w:outlineLvl w:val="0"/>
        <w:rPr>
          <w:caps/>
          <w:lang w:val="fr-FR"/>
        </w:rPr>
      </w:pPr>
    </w:p>
    <w:p w:rsidR="00761732" w:rsidRPr="00322215" w:rsidRDefault="00761732" w:rsidP="00761732">
      <w:pPr>
        <w:rPr>
          <w:sz w:val="2"/>
          <w:szCs w:val="2"/>
          <w:lang w:val="fr-FR"/>
        </w:rPr>
      </w:pPr>
    </w:p>
    <w:p w:rsidR="007F7154" w:rsidRDefault="007F7154" w:rsidP="00761732">
      <w:pPr>
        <w:rPr>
          <w:lang w:val="fr-FR"/>
        </w:rPr>
      </w:pPr>
    </w:p>
    <w:p w:rsidR="007F7154" w:rsidRDefault="007F7154" w:rsidP="00761732">
      <w:pPr>
        <w:rPr>
          <w:lang w:val="fr-FR"/>
        </w:rPr>
      </w:pPr>
    </w:p>
    <w:p w:rsidR="00A22EEC" w:rsidRDefault="00A22EEC"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4556F3" w:rsidRDefault="004556F3" w:rsidP="00761732">
      <w:pPr>
        <w:rPr>
          <w:lang w:val="fr-FR"/>
        </w:rPr>
      </w:pPr>
    </w:p>
    <w:p w:rsidR="00A22EEC" w:rsidRDefault="00A22EEC" w:rsidP="00761732">
      <w:pPr>
        <w:rPr>
          <w:lang w:val="fr-FR"/>
        </w:rPr>
      </w:pPr>
    </w:p>
    <w:p w:rsidR="00A22EEC" w:rsidRDefault="00A22EEC" w:rsidP="00761732">
      <w:pPr>
        <w:rPr>
          <w:lang w:val="fr-FR"/>
        </w:rPr>
        <w:sectPr w:rsidR="00A22EEC" w:rsidSect="006E6631">
          <w:headerReference w:type="even" r:id="rId13"/>
          <w:headerReference w:type="default" r:id="rId14"/>
          <w:footerReference w:type="even" r:id="rId15"/>
          <w:footerReference w:type="default" r:id="rId16"/>
          <w:footerReference w:type="first" r:id="rId17"/>
          <w:pgSz w:w="11907" w:h="16840" w:code="9"/>
          <w:pgMar w:top="1134" w:right="1418" w:bottom="1418" w:left="1418" w:header="510" w:footer="510" w:gutter="0"/>
          <w:cols w:space="720"/>
          <w:titlePg/>
          <w:docGrid w:linePitch="360"/>
        </w:sectPr>
      </w:pPr>
    </w:p>
    <w:p w:rsidR="00466AFD" w:rsidRPr="008C3DBC" w:rsidRDefault="00466AFD" w:rsidP="00466AFD">
      <w:pPr>
        <w:tabs>
          <w:tab w:val="left" w:pos="1170"/>
        </w:tabs>
        <w:jc w:val="both"/>
        <w:rPr>
          <w:u w:val="single"/>
          <w:lang w:val="fr-FR"/>
        </w:rPr>
      </w:pPr>
      <w:r w:rsidRPr="008C3DBC">
        <w:rPr>
          <w:lang w:val="fr-FR"/>
        </w:rPr>
        <w:lastRenderedPageBreak/>
        <w:t xml:space="preserve">Le nouveau </w:t>
      </w:r>
      <w:r>
        <w:rPr>
          <w:lang w:val="fr-FR"/>
        </w:rPr>
        <w:t>texte</w:t>
      </w:r>
      <w:r w:rsidRPr="008C3DBC">
        <w:rPr>
          <w:lang w:val="fr-FR"/>
        </w:rPr>
        <w:t xml:space="preserve"> proposé est </w:t>
      </w:r>
      <w:r w:rsidRPr="008C3DBC">
        <w:rPr>
          <w:u w:val="single"/>
          <w:lang w:val="fr-FR"/>
        </w:rPr>
        <w:t>souligné.</w:t>
      </w:r>
    </w:p>
    <w:p w:rsidR="00466AFD" w:rsidRPr="00803F74" w:rsidRDefault="00466AFD" w:rsidP="00466AFD">
      <w:pPr>
        <w:tabs>
          <w:tab w:val="left" w:pos="1170"/>
        </w:tabs>
        <w:jc w:val="both"/>
        <w:rPr>
          <w:strike/>
          <w:lang w:val="fr-FR"/>
        </w:rPr>
      </w:pPr>
      <w:r>
        <w:rPr>
          <w:lang w:val="fr-FR"/>
        </w:rPr>
        <w:t xml:space="preserve">Le texte dont on propose la suppression est </w:t>
      </w:r>
      <w:r w:rsidRPr="00803F74">
        <w:rPr>
          <w:strike/>
          <w:lang w:val="fr-FR"/>
        </w:rPr>
        <w:t>barr</w:t>
      </w:r>
      <w:r>
        <w:rPr>
          <w:strike/>
          <w:lang w:val="fr-FR"/>
        </w:rPr>
        <w:t>é</w:t>
      </w:r>
      <w:r w:rsidRPr="00803F74">
        <w:rPr>
          <w:strike/>
          <w:lang w:val="fr-FR"/>
        </w:rPr>
        <w:t>.</w:t>
      </w:r>
    </w:p>
    <w:p w:rsidR="00466AFD" w:rsidRPr="00803F74" w:rsidRDefault="00466AFD" w:rsidP="00466AFD">
      <w:pPr>
        <w:tabs>
          <w:tab w:val="left" w:pos="1170"/>
        </w:tabs>
        <w:jc w:val="both"/>
        <w:rPr>
          <w:lang w:val="fr-FR"/>
        </w:rPr>
      </w:pPr>
    </w:p>
    <w:tbl>
      <w:tblPr>
        <w:tblStyle w:val="HelleSchattierung1"/>
        <w:tblW w:w="9558" w:type="dxa"/>
        <w:tblLook w:val="04A0" w:firstRow="1" w:lastRow="0" w:firstColumn="1" w:lastColumn="0" w:noHBand="0" w:noVBand="1"/>
      </w:tblPr>
      <w:tblGrid>
        <w:gridCol w:w="6102"/>
        <w:gridCol w:w="3456"/>
      </w:tblGrid>
      <w:tr w:rsidR="00466AFD" w:rsidRPr="007D35ED" w:rsidTr="00174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7D35ED" w:rsidRDefault="00466AFD" w:rsidP="00174E8B">
            <w:pPr>
              <w:tabs>
                <w:tab w:val="left" w:pos="1170"/>
              </w:tabs>
              <w:jc w:val="both"/>
              <w:rPr>
                <w:bCs w:val="0"/>
              </w:rPr>
            </w:pPr>
            <w:proofErr w:type="spellStart"/>
            <w:r w:rsidRPr="007D35ED">
              <w:t>Text</w:t>
            </w:r>
            <w:r>
              <w:t>e</w:t>
            </w:r>
            <w:proofErr w:type="spellEnd"/>
          </w:p>
        </w:tc>
        <w:tc>
          <w:tcPr>
            <w:tcW w:w="3456" w:type="dxa"/>
          </w:tcPr>
          <w:p w:rsidR="00466AFD" w:rsidRPr="007D35ED" w:rsidRDefault="00466AFD" w:rsidP="00174E8B">
            <w:pPr>
              <w:tabs>
                <w:tab w:val="left" w:pos="1170"/>
              </w:tabs>
              <w:jc w:val="both"/>
              <w:cnfStyle w:val="100000000000" w:firstRow="1" w:lastRow="0" w:firstColumn="0" w:lastColumn="0" w:oddVBand="0" w:evenVBand="0" w:oddHBand="0" w:evenHBand="0" w:firstRowFirstColumn="0" w:firstRowLastColumn="0" w:lastRowFirstColumn="0" w:lastRowLastColumn="0"/>
              <w:rPr>
                <w:bCs w:val="0"/>
              </w:rPr>
            </w:pPr>
            <w:r w:rsidRPr="007D35ED">
              <w:t>Source</w:t>
            </w:r>
          </w:p>
        </w:tc>
      </w:tr>
      <w:tr w:rsidR="00466AFD" w:rsidRPr="007D35ED"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611350" w:rsidRDefault="00466AFD" w:rsidP="00174E8B">
            <w:pPr>
              <w:ind w:firstLine="720"/>
              <w:jc w:val="both"/>
              <w:rPr>
                <w:b w:val="0"/>
                <w:bCs w:val="0"/>
                <w:u w:val="single"/>
                <w:lang w:val="fr-FR"/>
              </w:rPr>
            </w:pPr>
            <w:r w:rsidRPr="00611350">
              <w:rPr>
                <w:b w:val="0"/>
                <w:i/>
                <w:u w:val="single"/>
                <w:lang w:val="fr-FR"/>
              </w:rPr>
              <w:t>Rappelant</w:t>
            </w:r>
            <w:r w:rsidRPr="00611350">
              <w:rPr>
                <w:b w:val="0"/>
                <w:u w:val="single"/>
                <w:lang w:val="fr-FR"/>
              </w:rPr>
              <w:t xml:space="preserve"> la Résolution 7.9 sur la </w:t>
            </w:r>
            <w:r>
              <w:rPr>
                <w:b w:val="0"/>
                <w:u w:val="single"/>
                <w:lang w:val="fr-FR"/>
              </w:rPr>
              <w:t>« </w:t>
            </w:r>
            <w:r w:rsidRPr="00611350">
              <w:rPr>
                <w:b w:val="0"/>
                <w:u w:val="single"/>
                <w:lang w:val="fr-FR"/>
              </w:rPr>
              <w:t>Coopération avec d’autres organisations et processus</w:t>
            </w:r>
            <w:r>
              <w:rPr>
                <w:b w:val="0"/>
                <w:u w:val="single"/>
                <w:lang w:val="fr-FR"/>
              </w:rPr>
              <w:t> »</w:t>
            </w:r>
            <w:r w:rsidRPr="00611350">
              <w:rPr>
                <w:b w:val="0"/>
                <w:u w:val="single"/>
                <w:lang w:val="fr-FR"/>
              </w:rPr>
              <w:t>, la Résolution 8.11 sur</w:t>
            </w:r>
            <w:r>
              <w:rPr>
                <w:b w:val="0"/>
                <w:u w:val="single"/>
                <w:lang w:val="fr-FR"/>
              </w:rPr>
              <w:t xml:space="preserve"> la</w:t>
            </w:r>
            <w:r w:rsidRPr="00611350">
              <w:rPr>
                <w:b w:val="0"/>
                <w:u w:val="single"/>
                <w:lang w:val="fr-FR"/>
              </w:rPr>
              <w:t xml:space="preserve"> </w:t>
            </w:r>
            <w:r>
              <w:rPr>
                <w:b w:val="0"/>
                <w:u w:val="single"/>
                <w:lang w:val="fr-FR"/>
              </w:rPr>
              <w:t>« </w:t>
            </w:r>
            <w:r w:rsidRPr="00611350">
              <w:rPr>
                <w:b w:val="0"/>
                <w:u w:val="single"/>
                <w:lang w:val="fr-FR"/>
              </w:rPr>
              <w:t>Coopération</w:t>
            </w:r>
            <w:r>
              <w:rPr>
                <w:b w:val="0"/>
                <w:u w:val="single"/>
                <w:lang w:val="fr-FR"/>
              </w:rPr>
              <w:t xml:space="preserve"> avec d’autres conventions »</w:t>
            </w:r>
            <w:r w:rsidRPr="00611350">
              <w:rPr>
                <w:b w:val="0"/>
                <w:u w:val="single"/>
                <w:lang w:val="fr-FR"/>
              </w:rPr>
              <w:t>, la Résolution 9.6 sur</w:t>
            </w:r>
            <w:r>
              <w:rPr>
                <w:b w:val="0"/>
                <w:u w:val="single"/>
                <w:lang w:val="fr-FR"/>
              </w:rPr>
              <w:t xml:space="preserve"> « </w:t>
            </w:r>
            <w:r w:rsidRPr="00611350">
              <w:rPr>
                <w:b w:val="0"/>
                <w:u w:val="single"/>
                <w:lang w:val="fr-FR"/>
              </w:rPr>
              <w:t>La coopération ave</w:t>
            </w:r>
            <w:r>
              <w:rPr>
                <w:b w:val="0"/>
                <w:u w:val="single"/>
                <w:lang w:val="fr-FR"/>
              </w:rPr>
              <w:t>c</w:t>
            </w:r>
            <w:r w:rsidRPr="00611350">
              <w:rPr>
                <w:b w:val="0"/>
                <w:u w:val="single"/>
                <w:lang w:val="fr-FR"/>
              </w:rPr>
              <w:t xml:space="preserve"> d’autres organism</w:t>
            </w:r>
            <w:r>
              <w:rPr>
                <w:b w:val="0"/>
                <w:u w:val="single"/>
                <w:lang w:val="fr-FR"/>
              </w:rPr>
              <w:t>e</w:t>
            </w:r>
            <w:r w:rsidRPr="00611350">
              <w:rPr>
                <w:b w:val="0"/>
                <w:u w:val="single"/>
                <w:lang w:val="fr-FR"/>
              </w:rPr>
              <w:t>s</w:t>
            </w:r>
            <w:r>
              <w:rPr>
                <w:b w:val="0"/>
                <w:u w:val="single"/>
                <w:lang w:val="fr-FR"/>
              </w:rPr>
              <w:t> »</w:t>
            </w:r>
            <w:r w:rsidRPr="00611350">
              <w:rPr>
                <w:b w:val="0"/>
                <w:u w:val="single"/>
                <w:lang w:val="fr-FR"/>
              </w:rPr>
              <w:t xml:space="preserve"> </w:t>
            </w:r>
            <w:r>
              <w:rPr>
                <w:b w:val="0"/>
                <w:u w:val="single"/>
                <w:lang w:val="fr-FR"/>
              </w:rPr>
              <w:t>et la Ré</w:t>
            </w:r>
            <w:r w:rsidRPr="00611350">
              <w:rPr>
                <w:b w:val="0"/>
                <w:u w:val="single"/>
                <w:lang w:val="fr-FR"/>
              </w:rPr>
              <w:t xml:space="preserve">solution 10.21 </w:t>
            </w:r>
            <w:r>
              <w:rPr>
                <w:b w:val="0"/>
                <w:u w:val="single"/>
                <w:lang w:val="fr-FR"/>
              </w:rPr>
              <w:t>sur les « Synergies et partenariats »</w:t>
            </w:r>
            <w:r w:rsidRPr="00611350">
              <w:rPr>
                <w:b w:val="0"/>
                <w:u w:val="single"/>
                <w:lang w:val="fr-FR"/>
              </w:rPr>
              <w:t>, a</w:t>
            </w:r>
            <w:r>
              <w:rPr>
                <w:b w:val="0"/>
                <w:u w:val="single"/>
                <w:lang w:val="fr-FR"/>
              </w:rPr>
              <w:t>insi que la Ré</w:t>
            </w:r>
            <w:r w:rsidRPr="00611350">
              <w:rPr>
                <w:b w:val="0"/>
                <w:u w:val="single"/>
                <w:lang w:val="fr-FR"/>
              </w:rPr>
              <w:t xml:space="preserve">solution 10.25 </w:t>
            </w:r>
            <w:r>
              <w:rPr>
                <w:b w:val="0"/>
                <w:u w:val="single"/>
                <w:lang w:val="fr-FR"/>
              </w:rPr>
              <w:t>sur le « Renforcement de l’engagement dans le Fonds pour l’Environnement Mondial »</w:t>
            </w:r>
            <w:r w:rsidRPr="00611350">
              <w:rPr>
                <w:b w:val="0"/>
                <w:u w:val="single"/>
                <w:lang w:val="fr-FR"/>
              </w:rPr>
              <w:t>;</w:t>
            </w:r>
          </w:p>
        </w:tc>
        <w:tc>
          <w:tcPr>
            <w:tcW w:w="3456" w:type="dxa"/>
          </w:tcPr>
          <w:p w:rsidR="00466AFD" w:rsidRPr="007D35E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pPr>
            <w:r w:rsidRPr="007D35ED">
              <w:t>N</w:t>
            </w:r>
            <w:r>
              <w:t xml:space="preserve">ouveau </w:t>
            </w:r>
            <w:proofErr w:type="spellStart"/>
            <w:r>
              <w:t>paragraphe</w:t>
            </w:r>
            <w:proofErr w:type="spellEnd"/>
            <w:r w:rsidRPr="007D35ED">
              <w:t>.</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174E8B">
            <w:pPr>
              <w:ind w:firstLine="720"/>
              <w:jc w:val="both"/>
              <w:rPr>
                <w:b w:val="0"/>
                <w:lang w:val="fr-FR"/>
              </w:rPr>
            </w:pPr>
            <w:r w:rsidRPr="005E66AB">
              <w:rPr>
                <w:b w:val="0"/>
                <w:i/>
                <w:lang w:val="fr-FR"/>
              </w:rPr>
              <w:t>Prenant en compte</w:t>
            </w:r>
            <w:r w:rsidRPr="005E66AB">
              <w:rPr>
                <w:b w:val="0"/>
                <w:lang w:val="fr-FR"/>
              </w:rPr>
              <w:t xml:space="preserve"> l’importance de la coopération et des synergies avec d’autres organismes, y compris les MEA et autres organisations gouvernementales et non gouvernementales</w:t>
            </w:r>
            <w:r w:rsidRPr="005E66AB">
              <w:rPr>
                <w:rFonts w:ascii="Times-Roman" w:hAnsi="Times-Roman" w:cs="Times-Roman"/>
                <w:sz w:val="23"/>
                <w:szCs w:val="23"/>
                <w:lang w:val="fr-FR" w:eastAsia="de-CH"/>
              </w:rPr>
              <w:t>;</w:t>
            </w:r>
          </w:p>
        </w:tc>
        <w:tc>
          <w:tcPr>
            <w:tcW w:w="3456" w:type="dxa"/>
          </w:tcPr>
          <w:p w:rsidR="00466AFD" w:rsidRPr="00B42BF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Cs/>
                <w:i/>
                <w:lang w:val="fr-FR"/>
              </w:rPr>
            </w:pPr>
            <w:r>
              <w:rPr>
                <w:bCs/>
                <w:lang w:val="fr-FR"/>
              </w:rPr>
              <w:t>Repris de</w:t>
            </w:r>
            <w:r w:rsidRPr="00B42BF1">
              <w:rPr>
                <w:bCs/>
                <w:lang w:val="fr-FR"/>
              </w:rPr>
              <w:t xml:space="preserve"> la Résolution 9.6, premier paragraphe du </w:t>
            </w:r>
            <w:r>
              <w:rPr>
                <w:bCs/>
                <w:lang w:val="fr-FR"/>
              </w:rPr>
              <w:t>p</w:t>
            </w:r>
            <w:r w:rsidRPr="00B42BF1">
              <w:rPr>
                <w:bCs/>
                <w:lang w:val="fr-FR"/>
              </w:rPr>
              <w:t>réambule.</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174E8B">
            <w:pPr>
              <w:ind w:firstLine="720"/>
              <w:jc w:val="both"/>
              <w:rPr>
                <w:b w:val="0"/>
                <w:lang w:val="fr-FR"/>
              </w:rPr>
            </w:pPr>
            <w:r w:rsidRPr="005E66AB">
              <w:rPr>
                <w:b w:val="0"/>
                <w:i/>
                <w:lang w:val="fr-FR"/>
              </w:rPr>
              <w:t>Reconnaissant</w:t>
            </w:r>
            <w:r w:rsidRPr="005E66AB">
              <w:rPr>
                <w:b w:val="0"/>
                <w:lang w:val="fr-FR"/>
              </w:rPr>
              <w:t xml:space="preserve"> le rôle déterminant des organisations partenaires dans le développement et la mise en œuvre de la CMS, de ses initiatives et de ses campagnes de sensibilisation, comme la négociation de la Convention elle-même</w:t>
            </w:r>
            <w:r w:rsidRPr="005E66AB">
              <w:rPr>
                <w:rFonts w:ascii="Times-Roman" w:hAnsi="Times-Roman" w:cs="Times-Roman"/>
                <w:sz w:val="23"/>
                <w:szCs w:val="23"/>
                <w:lang w:val="fr-FR" w:eastAsia="de-CH"/>
              </w:rPr>
              <w:t>;</w:t>
            </w:r>
          </w:p>
        </w:tc>
        <w:tc>
          <w:tcPr>
            <w:tcW w:w="3456" w:type="dxa"/>
          </w:tcPr>
          <w:p w:rsidR="00466AFD" w:rsidRPr="00B42BF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bCs/>
                <w:i/>
                <w:lang w:val="fr-FR"/>
              </w:rPr>
            </w:pPr>
            <w:r>
              <w:rPr>
                <w:bCs/>
                <w:lang w:val="fr-FR"/>
              </w:rPr>
              <w:t xml:space="preserve">Repris de la </w:t>
            </w:r>
            <w:r w:rsidRPr="00B42BF1">
              <w:rPr>
                <w:bCs/>
                <w:lang w:val="fr-FR"/>
              </w:rPr>
              <w:t>Résolution 9.6, deuxième paragraphe du préambule.</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174E8B">
            <w:pPr>
              <w:ind w:firstLine="720"/>
              <w:jc w:val="both"/>
              <w:rPr>
                <w:b w:val="0"/>
                <w:lang w:val="fr-FR"/>
              </w:rPr>
            </w:pPr>
            <w:r w:rsidRPr="005E66AB">
              <w:rPr>
                <w:b w:val="0"/>
                <w:i/>
                <w:lang w:val="fr-FR"/>
              </w:rPr>
              <w:t>Appréciant</w:t>
            </w:r>
            <w:r w:rsidRPr="005E66AB">
              <w:rPr>
                <w:b w:val="0"/>
                <w:lang w:val="fr-FR"/>
              </w:rPr>
              <w:t xml:space="preserve"> la valeur de ces partenariats permettant d’atteindre une audience plus vaste et d’améliorer la prise de conscience du grand public sur la Convention et sur l’importance de sauvegarder les espèces migratrices à l’échelle mondiale;</w:t>
            </w:r>
          </w:p>
        </w:tc>
        <w:tc>
          <w:tcPr>
            <w:tcW w:w="3456" w:type="dxa"/>
          </w:tcPr>
          <w:p w:rsidR="00466AFD" w:rsidRPr="00B42BF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Cs/>
                <w:i/>
                <w:lang w:val="fr-FR"/>
              </w:rPr>
            </w:pPr>
            <w:r>
              <w:rPr>
                <w:bCs/>
                <w:lang w:val="fr-FR"/>
              </w:rPr>
              <w:t>Repris de</w:t>
            </w:r>
            <w:r w:rsidRPr="00B42BF1">
              <w:rPr>
                <w:bCs/>
                <w:lang w:val="fr-FR"/>
              </w:rPr>
              <w:t xml:space="preserve"> la Résolution 9.6, trois</w:t>
            </w:r>
            <w:r>
              <w:rPr>
                <w:bCs/>
                <w:lang w:val="fr-FR"/>
              </w:rPr>
              <w:t>i</w:t>
            </w:r>
            <w:r w:rsidRPr="00B42BF1">
              <w:rPr>
                <w:bCs/>
                <w:lang w:val="fr-FR"/>
              </w:rPr>
              <w:t>ème paragraphe du Préambule</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8F182C" w:rsidRDefault="00466AFD" w:rsidP="00174E8B">
            <w:pPr>
              <w:ind w:firstLine="720"/>
              <w:rPr>
                <w:b w:val="0"/>
                <w:bCs w:val="0"/>
                <w:szCs w:val="24"/>
                <w:lang w:val="fr-FR"/>
              </w:rPr>
            </w:pPr>
            <w:r w:rsidRPr="008F182C">
              <w:rPr>
                <w:b w:val="0"/>
                <w:i/>
                <w:iCs/>
                <w:szCs w:val="24"/>
                <w:lang w:val="fr-FR"/>
              </w:rPr>
              <w:t xml:space="preserve">Exprimant sa gratitude </w:t>
            </w:r>
            <w:r w:rsidRPr="008F182C">
              <w:rPr>
                <w:b w:val="0"/>
                <w:szCs w:val="24"/>
                <w:lang w:val="fr-FR"/>
              </w:rPr>
              <w:t>à tous les individus et à toutes les organisations qui ont contribué aux succès de la campagne pour l’Année de la Tortue (2006),</w:t>
            </w:r>
            <w:r w:rsidRPr="008F182C">
              <w:rPr>
                <w:rFonts w:ascii="Times-Roman" w:hAnsi="Times-Roman" w:cs="Times-Roman"/>
                <w:b w:val="0"/>
                <w:szCs w:val="24"/>
                <w:lang w:val="fr-FR" w:eastAsia="de-CH"/>
              </w:rPr>
              <w:t xml:space="preserve"> </w:t>
            </w:r>
            <w:r w:rsidRPr="008F182C">
              <w:rPr>
                <w:b w:val="0"/>
                <w:szCs w:val="24"/>
                <w:lang w:val="fr-FR"/>
              </w:rPr>
              <w:t>l’Année du Dauphin (2007/8)</w:t>
            </w:r>
            <w:r w:rsidRPr="008F182C">
              <w:rPr>
                <w:rFonts w:ascii="Times-Roman" w:hAnsi="Times-Roman" w:cs="Times-Roman"/>
                <w:b w:val="0"/>
                <w:szCs w:val="24"/>
                <w:lang w:val="fr-FR" w:eastAsia="de-CH"/>
              </w:rPr>
              <w:t xml:space="preserve">, </w:t>
            </w:r>
            <w:r w:rsidRPr="008F182C">
              <w:rPr>
                <w:b w:val="0"/>
                <w:szCs w:val="24"/>
                <w:lang w:val="fr-FR"/>
              </w:rPr>
              <w:t xml:space="preserve">l’ «Année du Gorille » (2009) et de la campagne pour l’« Année de la Chauve-souris » (2011/12); </w:t>
            </w:r>
          </w:p>
          <w:p w:rsidR="00466AFD" w:rsidRPr="005E66AB" w:rsidRDefault="00466AFD" w:rsidP="00174E8B">
            <w:pPr>
              <w:ind w:firstLine="720"/>
              <w:jc w:val="both"/>
              <w:rPr>
                <w:b w:val="0"/>
                <w:lang w:val="fr-FR"/>
              </w:rPr>
            </w:pPr>
          </w:p>
        </w:tc>
        <w:tc>
          <w:tcPr>
            <w:tcW w:w="3456" w:type="dxa"/>
          </w:tcPr>
          <w:p w:rsidR="00466AFD" w:rsidRPr="00B42BF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bCs/>
                <w:i/>
                <w:lang w:val="fr-FR"/>
              </w:rPr>
            </w:pPr>
            <w:r w:rsidRPr="008F182C">
              <w:rPr>
                <w:bCs/>
                <w:sz w:val="22"/>
                <w:lang w:val="fr-FR"/>
              </w:rPr>
              <w:t>Modifié sur la base de la Résolution 9.6, paragraphe 17, et de la Résolution 10.21, quinzième paragraphe du préambule. Une phrase signalant la participation du Secrétariat à l’Année internationale de la biodiversité 2010 a été supprimée étant obsolète</w:t>
            </w:r>
            <w:r w:rsidRPr="00B42BF1">
              <w:rPr>
                <w:bCs/>
                <w:lang w:val="fr-FR"/>
              </w:rPr>
              <w:t>.</w:t>
            </w:r>
          </w:p>
        </w:tc>
      </w:tr>
      <w:tr w:rsidR="00466AFD" w:rsidRPr="008F182C"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174E8B">
            <w:pPr>
              <w:ind w:firstLine="720"/>
              <w:rPr>
                <w:b w:val="0"/>
                <w:lang w:val="fr-FR"/>
              </w:rPr>
            </w:pPr>
            <w:r w:rsidRPr="005E66AB">
              <w:rPr>
                <w:b w:val="0"/>
                <w:i/>
                <w:lang w:val="fr-FR"/>
              </w:rPr>
              <w:t>Exprimant</w:t>
            </w:r>
            <w:r w:rsidRPr="005E66AB">
              <w:rPr>
                <w:b w:val="0"/>
                <w:lang w:val="fr-FR"/>
              </w:rPr>
              <w:t xml:space="preserve"> sa gratitude aux nombreuses organisations partenaires qui aidé à promouvoir la CMS et son mandat, par exemple, en facilitant les négociations et la mise en œuvre des accords sur les espèces au titre de la Convention</w:t>
            </w:r>
          </w:p>
          <w:p w:rsidR="00466AFD" w:rsidRPr="005E66AB" w:rsidRDefault="00466AFD" w:rsidP="00174E8B">
            <w:pPr>
              <w:rPr>
                <w:rFonts w:ascii="Times-Roman" w:hAnsi="Times-Roman" w:cs="Times-Roman"/>
                <w:sz w:val="23"/>
                <w:szCs w:val="23"/>
                <w:lang w:val="fr-FR" w:eastAsia="de-CH"/>
              </w:rPr>
            </w:pPr>
          </w:p>
        </w:tc>
        <w:tc>
          <w:tcPr>
            <w:tcW w:w="3456" w:type="dxa"/>
          </w:tcPr>
          <w:p w:rsidR="00466AFD" w:rsidRPr="00B42BF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Cs/>
                <w:lang w:val="fr-FR"/>
              </w:rPr>
            </w:pPr>
            <w:r>
              <w:rPr>
                <w:bCs/>
                <w:lang w:val="fr-FR"/>
              </w:rPr>
              <w:t>Repris de l</w:t>
            </w:r>
            <w:r w:rsidRPr="00B42BF1">
              <w:rPr>
                <w:bCs/>
                <w:lang w:val="fr-FR"/>
              </w:rPr>
              <w:t>a Résolution 9.6, premier paragraphe, et de la R</w:t>
            </w:r>
            <w:r>
              <w:rPr>
                <w:bCs/>
                <w:lang w:val="fr-FR"/>
              </w:rPr>
              <w:t>ésolution</w:t>
            </w:r>
            <w:r w:rsidRPr="00B42BF1">
              <w:rPr>
                <w:bCs/>
                <w:lang w:val="fr-FR"/>
              </w:rPr>
              <w:t xml:space="preserve"> 10.21, t</w:t>
            </w:r>
            <w:r>
              <w:rPr>
                <w:bCs/>
                <w:lang w:val="fr-FR"/>
              </w:rPr>
              <w:t>reizième paragraphe du préambule</w:t>
            </w:r>
            <w:r w:rsidRPr="00B42BF1">
              <w:rPr>
                <w:bCs/>
                <w:lang w:val="fr-FR"/>
              </w:rPr>
              <w:t>.</w:t>
            </w:r>
          </w:p>
        </w:tc>
      </w:tr>
      <w:tr w:rsidR="00466AFD" w:rsidRPr="007D35ED"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bottom w:val="nil"/>
            </w:tcBorders>
          </w:tcPr>
          <w:p w:rsidR="00466AFD" w:rsidRPr="005E66AB" w:rsidRDefault="00466AFD" w:rsidP="00174E8B">
            <w:pPr>
              <w:ind w:firstLine="720"/>
              <w:jc w:val="both"/>
              <w:rPr>
                <w:b w:val="0"/>
                <w:bCs w:val="0"/>
                <w:lang w:val="fr-FR"/>
              </w:rPr>
            </w:pPr>
            <w:r w:rsidRPr="005E66AB">
              <w:rPr>
                <w:b w:val="0"/>
                <w:i/>
                <w:lang w:val="fr-FR"/>
              </w:rPr>
              <w:t xml:space="preserve">Se félicitant </w:t>
            </w:r>
            <w:r w:rsidRPr="005E66AB">
              <w:rPr>
                <w:b w:val="0"/>
                <w:lang w:val="fr-FR"/>
              </w:rPr>
              <w:t>du rapport sur les synergies et les partenariats (UNEP/CMS/COP11/Doc.21.1), établi par le Secrétariat PNUE/CMS et des progrès accomplis en matière de renforcement de la coopération, de la coordination et des synergies ainsi que des partenariats avec les Conventions relatives à la biodiversité et d’autres institutions compétentes</w:t>
            </w:r>
          </w:p>
        </w:tc>
        <w:tc>
          <w:tcPr>
            <w:tcW w:w="3456" w:type="dxa"/>
            <w:tcBorders>
              <w:bottom w:val="nil"/>
            </w:tcBorders>
          </w:tcPr>
          <w:p w:rsidR="00466AFD" w:rsidRPr="007D35E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Borders>
              <w:top w:val="nil"/>
              <w:bottom w:val="single" w:sz="4" w:space="0" w:color="auto"/>
            </w:tcBorders>
          </w:tcPr>
          <w:p w:rsidR="00466AFD" w:rsidRPr="008F182C" w:rsidRDefault="00466AFD" w:rsidP="00174E8B">
            <w:pPr>
              <w:ind w:firstLine="720"/>
              <w:jc w:val="both"/>
              <w:rPr>
                <w:b w:val="0"/>
                <w:bCs w:val="0"/>
                <w:szCs w:val="24"/>
                <w:lang w:val="fr-FR"/>
              </w:rPr>
            </w:pPr>
            <w:r w:rsidRPr="008F182C">
              <w:rPr>
                <w:b w:val="0"/>
                <w:i/>
                <w:iCs/>
                <w:szCs w:val="24"/>
                <w:lang w:val="fr-FR"/>
              </w:rPr>
              <w:t xml:space="preserve">Notant en l’appréciant </w:t>
            </w:r>
            <w:r w:rsidRPr="008F182C">
              <w:rPr>
                <w:b w:val="0"/>
                <w:szCs w:val="24"/>
                <w:lang w:val="fr-FR"/>
              </w:rPr>
              <w:t xml:space="preserve">l’appui donné par le PNUE qui a nommé des points focaux régionaux pour les Accords multilatéraux sur l’environnement relatifs à la biodiversité et aux écosystèmes et qui sont chargés d’assurer la liaison avec ces Accords, leur promotion et leur implantation dans les régions du PNUE et </w:t>
            </w:r>
            <w:r w:rsidRPr="008F182C">
              <w:rPr>
                <w:b w:val="0"/>
                <w:i/>
                <w:iCs/>
                <w:szCs w:val="24"/>
                <w:lang w:val="fr-FR"/>
              </w:rPr>
              <w:t xml:space="preserve">reconnaissant </w:t>
            </w:r>
            <w:r w:rsidRPr="008F182C">
              <w:rPr>
                <w:b w:val="0"/>
                <w:szCs w:val="24"/>
                <w:lang w:val="fr-FR"/>
              </w:rPr>
              <w:t>leur coopération avec le Secrétariat;</w:t>
            </w:r>
          </w:p>
        </w:tc>
        <w:tc>
          <w:tcPr>
            <w:tcW w:w="3456" w:type="dxa"/>
            <w:tcBorders>
              <w:top w:val="nil"/>
              <w:bottom w:val="single" w:sz="4" w:space="0" w:color="auto"/>
            </w:tcBorders>
          </w:tcPr>
          <w:p w:rsidR="00466AFD" w:rsidRPr="00B00040"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Repris de</w:t>
            </w:r>
            <w:r w:rsidRPr="00B00040">
              <w:rPr>
                <w:lang w:val="fr-FR"/>
              </w:rPr>
              <w:t xml:space="preserve"> la Résolution 10.21, seizième paragraphe du préambule.</w:t>
            </w:r>
          </w:p>
        </w:tc>
      </w:tr>
      <w:tr w:rsidR="00466AFD" w:rsidRPr="009C1556"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bottom w:val="single" w:sz="4" w:space="0" w:color="auto"/>
            </w:tcBorders>
            <w:shd w:val="clear" w:color="auto" w:fill="auto"/>
          </w:tcPr>
          <w:p w:rsidR="00466AFD" w:rsidRPr="009C1556" w:rsidRDefault="00466AFD" w:rsidP="00174E8B">
            <w:pPr>
              <w:jc w:val="both"/>
              <w:rPr>
                <w:lang w:val="fr-FR"/>
              </w:rPr>
            </w:pPr>
            <w:r w:rsidRPr="009C1556">
              <w:rPr>
                <w:lang w:val="fr-FR"/>
              </w:rPr>
              <w:lastRenderedPageBreak/>
              <w:t>Texte</w:t>
            </w:r>
          </w:p>
        </w:tc>
        <w:tc>
          <w:tcPr>
            <w:tcW w:w="3456" w:type="dxa"/>
            <w:tcBorders>
              <w:top w:val="single" w:sz="4" w:space="0" w:color="auto"/>
              <w:bottom w:val="single" w:sz="4" w:space="0" w:color="auto"/>
            </w:tcBorders>
            <w:shd w:val="clear" w:color="auto" w:fill="auto"/>
          </w:tcPr>
          <w:p w:rsidR="00466AFD" w:rsidRPr="009C1556"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b/>
              </w:rPr>
            </w:pPr>
            <w:r w:rsidRPr="009C1556">
              <w:rPr>
                <w:b/>
              </w:rPr>
              <w:t>Source</w:t>
            </w:r>
          </w:p>
        </w:tc>
      </w:tr>
      <w:tr w:rsidR="00466AFD" w:rsidRPr="007D35ED" w:rsidTr="00466AFD">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tcBorders>
            <w:shd w:val="clear" w:color="auto" w:fill="BFBFBF"/>
          </w:tcPr>
          <w:p w:rsidR="00466AFD" w:rsidRPr="00A6403A" w:rsidRDefault="00466AFD" w:rsidP="00174E8B">
            <w:pPr>
              <w:ind w:firstLine="720"/>
              <w:jc w:val="both"/>
              <w:rPr>
                <w:b w:val="0"/>
                <w:bCs w:val="0"/>
                <w:u w:val="single"/>
                <w:lang w:val="fr-FR"/>
              </w:rPr>
            </w:pPr>
            <w:r w:rsidRPr="00A6403A">
              <w:rPr>
                <w:b w:val="0"/>
                <w:i/>
                <w:u w:val="single"/>
                <w:lang w:val="fr-FR"/>
              </w:rPr>
              <w:t>Se félicitant</w:t>
            </w:r>
            <w:r w:rsidRPr="00A6403A">
              <w:rPr>
                <w:b w:val="0"/>
                <w:u w:val="single"/>
                <w:lang w:val="fr-FR"/>
              </w:rPr>
              <w:t xml:space="preserve"> des décisions prises par la Convention sur la diversité biologique (CDB) et la Convention sur </w:t>
            </w:r>
            <w:r>
              <w:rPr>
                <w:b w:val="0"/>
                <w:u w:val="single"/>
                <w:lang w:val="fr-FR"/>
              </w:rPr>
              <w:t>l</w:t>
            </w:r>
            <w:r w:rsidRPr="00A6403A">
              <w:rPr>
                <w:b w:val="0"/>
                <w:u w:val="single"/>
                <w:lang w:val="fr-FR"/>
              </w:rPr>
              <w:t>e commerce international des espè</w:t>
            </w:r>
            <w:r>
              <w:rPr>
                <w:b w:val="0"/>
                <w:u w:val="single"/>
                <w:lang w:val="fr-FR"/>
              </w:rPr>
              <w:t>c</w:t>
            </w:r>
            <w:r w:rsidRPr="00A6403A">
              <w:rPr>
                <w:b w:val="0"/>
                <w:u w:val="single"/>
                <w:lang w:val="fr-FR"/>
              </w:rPr>
              <w:t xml:space="preserve">es </w:t>
            </w:r>
            <w:r>
              <w:rPr>
                <w:b w:val="0"/>
                <w:u w:val="single"/>
                <w:lang w:val="fr-FR"/>
              </w:rPr>
              <w:t>de faune et de flore</w:t>
            </w:r>
            <w:r w:rsidRPr="00A6403A">
              <w:rPr>
                <w:b w:val="0"/>
                <w:u w:val="single"/>
                <w:lang w:val="fr-FR"/>
              </w:rPr>
              <w:t xml:space="preserve"> sauvages men</w:t>
            </w:r>
            <w:r>
              <w:rPr>
                <w:b w:val="0"/>
                <w:u w:val="single"/>
                <w:lang w:val="fr-FR"/>
              </w:rPr>
              <w:t xml:space="preserve">acées </w:t>
            </w:r>
            <w:r w:rsidRPr="00A6403A">
              <w:rPr>
                <w:b w:val="0"/>
                <w:u w:val="single"/>
                <w:lang w:val="fr-FR"/>
              </w:rPr>
              <w:t>d’ext</w:t>
            </w:r>
            <w:r>
              <w:rPr>
                <w:b w:val="0"/>
                <w:u w:val="single"/>
                <w:lang w:val="fr-FR"/>
              </w:rPr>
              <w:t>inc</w:t>
            </w:r>
            <w:r w:rsidRPr="00A6403A">
              <w:rPr>
                <w:b w:val="0"/>
                <w:u w:val="single"/>
                <w:lang w:val="fr-FR"/>
              </w:rPr>
              <w:t xml:space="preserve">tion (CITES) </w:t>
            </w:r>
            <w:r>
              <w:rPr>
                <w:b w:val="0"/>
                <w:u w:val="single"/>
                <w:lang w:val="fr-FR"/>
              </w:rPr>
              <w:t>sur la c</w:t>
            </w:r>
            <w:r w:rsidRPr="00A6403A">
              <w:rPr>
                <w:b w:val="0"/>
                <w:u w:val="single"/>
                <w:lang w:val="fr-FR"/>
              </w:rPr>
              <w:t>oop</w:t>
            </w:r>
            <w:r>
              <w:rPr>
                <w:b w:val="0"/>
                <w:u w:val="single"/>
                <w:lang w:val="fr-FR"/>
              </w:rPr>
              <w:t>é</w:t>
            </w:r>
            <w:r w:rsidRPr="00A6403A">
              <w:rPr>
                <w:b w:val="0"/>
                <w:u w:val="single"/>
                <w:lang w:val="fr-FR"/>
              </w:rPr>
              <w:t xml:space="preserve">ration, </w:t>
            </w:r>
            <w:r>
              <w:rPr>
                <w:b w:val="0"/>
                <w:u w:val="single"/>
                <w:lang w:val="fr-FR"/>
              </w:rPr>
              <w:t xml:space="preserve">la </w:t>
            </w:r>
            <w:r w:rsidRPr="00A6403A">
              <w:rPr>
                <w:b w:val="0"/>
                <w:u w:val="single"/>
                <w:lang w:val="fr-FR"/>
              </w:rPr>
              <w:t xml:space="preserve">coordination </w:t>
            </w:r>
            <w:r>
              <w:rPr>
                <w:b w:val="0"/>
                <w:u w:val="single"/>
                <w:lang w:val="fr-FR"/>
              </w:rPr>
              <w:t>et les s</w:t>
            </w:r>
            <w:r w:rsidRPr="00A6403A">
              <w:rPr>
                <w:b w:val="0"/>
                <w:u w:val="single"/>
                <w:lang w:val="fr-FR"/>
              </w:rPr>
              <w:t xml:space="preserve">ynergies </w:t>
            </w:r>
            <w:r>
              <w:rPr>
                <w:b w:val="0"/>
                <w:u w:val="single"/>
                <w:lang w:val="fr-FR"/>
              </w:rPr>
              <w:t>entre les conventions relatives à la biodiversité;</w:t>
            </w:r>
          </w:p>
        </w:tc>
        <w:tc>
          <w:tcPr>
            <w:tcW w:w="3456" w:type="dxa"/>
            <w:tcBorders>
              <w:top w:val="single" w:sz="4" w:space="0" w:color="auto"/>
            </w:tcBorders>
            <w:shd w:val="clear" w:color="auto" w:fill="BFBFBF"/>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t>paragraphe</w:t>
            </w:r>
            <w:proofErr w:type="spellEnd"/>
            <w:r w:rsidRPr="007D35ED">
              <w:t>.</w:t>
            </w:r>
          </w:p>
        </w:tc>
      </w:tr>
      <w:tr w:rsidR="00466AFD" w:rsidRPr="008F182C"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5E66AB" w:rsidRDefault="00466AFD" w:rsidP="00174E8B">
            <w:pPr>
              <w:ind w:firstLine="720"/>
              <w:jc w:val="both"/>
              <w:rPr>
                <w:b w:val="0"/>
                <w:bCs w:val="0"/>
                <w:lang w:val="fr-FR"/>
              </w:rPr>
            </w:pPr>
            <w:r w:rsidRPr="005E66AB">
              <w:rPr>
                <w:b w:val="0"/>
                <w:i/>
                <w:lang w:val="fr-FR"/>
              </w:rPr>
              <w:t>Se félicitant</w:t>
            </w:r>
            <w:r w:rsidRPr="005E66AB">
              <w:rPr>
                <w:b w:val="0"/>
                <w:lang w:val="fr-FR"/>
              </w:rPr>
              <w:t xml:space="preserve"> de la coopération constante et importante entre les secrétariats des conventions relatives à la biodiversité, y compris les Mémorandums d’entente entre le Secrétariat de la CMS et les Secrétariats de la Commission baleinière internationale, l’UNESCO, la Convention de </w:t>
            </w:r>
            <w:proofErr w:type="spellStart"/>
            <w:r w:rsidRPr="005E66AB">
              <w:rPr>
                <w:b w:val="0"/>
                <w:lang w:val="fr-FR"/>
              </w:rPr>
              <w:t>Ramsar</w:t>
            </w:r>
            <w:proofErr w:type="spellEnd"/>
            <w:r w:rsidRPr="005E66AB">
              <w:rPr>
                <w:b w:val="0"/>
                <w:lang w:val="fr-FR"/>
              </w:rPr>
              <w:t>, la Convention de Berne et la CITES;</w:t>
            </w:r>
          </w:p>
        </w:tc>
        <w:tc>
          <w:tcPr>
            <w:tcW w:w="3456" w:type="dxa"/>
            <w:shd w:val="clear" w:color="auto" w:fill="auto"/>
          </w:tcPr>
          <w:p w:rsidR="00466AFD" w:rsidRPr="00A6403A"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Pr>
                <w:sz w:val="24"/>
                <w:szCs w:val="24"/>
                <w:lang w:val="fr-FR"/>
              </w:rPr>
              <w:t>Avec ce texte ajouté,</w:t>
            </w:r>
            <w:r w:rsidRPr="00A6403A">
              <w:rPr>
                <w:sz w:val="24"/>
                <w:szCs w:val="24"/>
                <w:lang w:val="fr-FR"/>
              </w:rPr>
              <w:t xml:space="preserve"> </w:t>
            </w:r>
            <w:r>
              <w:rPr>
                <w:sz w:val="24"/>
                <w:szCs w:val="24"/>
                <w:lang w:val="fr-FR"/>
              </w:rPr>
              <w:t>le nouveau paragraphe reprend le contenu de la</w:t>
            </w:r>
            <w:r w:rsidRPr="00A6403A">
              <w:rPr>
                <w:sz w:val="24"/>
                <w:szCs w:val="24"/>
                <w:lang w:val="fr-FR"/>
              </w:rPr>
              <w:t xml:space="preserve"> R</w:t>
            </w:r>
            <w:r>
              <w:rPr>
                <w:sz w:val="24"/>
                <w:szCs w:val="24"/>
                <w:lang w:val="fr-FR"/>
              </w:rPr>
              <w:t>é</w:t>
            </w:r>
            <w:r w:rsidRPr="00A6403A">
              <w:rPr>
                <w:sz w:val="24"/>
                <w:szCs w:val="24"/>
                <w:lang w:val="fr-FR"/>
              </w:rPr>
              <w:t>solution 7.9</w:t>
            </w:r>
            <w:r>
              <w:rPr>
                <w:sz w:val="24"/>
                <w:szCs w:val="24"/>
                <w:lang w:val="fr-FR"/>
              </w:rPr>
              <w:t>, sauf les tâches déjà menées à bien.</w:t>
            </w:r>
            <w:r w:rsidRPr="00A6403A">
              <w:rPr>
                <w:sz w:val="24"/>
                <w:szCs w:val="24"/>
                <w:lang w:val="fr-FR"/>
              </w:rPr>
              <w:t xml:space="preserve"> La Résolution 7.9 peut donc être </w:t>
            </w:r>
            <w:r>
              <w:rPr>
                <w:sz w:val="24"/>
                <w:szCs w:val="24"/>
                <w:lang w:val="fr-FR"/>
              </w:rPr>
              <w:t>abrogée</w:t>
            </w:r>
            <w:r w:rsidRPr="00A6403A">
              <w:rPr>
                <w:sz w:val="24"/>
                <w:szCs w:val="24"/>
                <w:lang w:val="fr-FR"/>
              </w:rPr>
              <w:t>.</w:t>
            </w:r>
          </w:p>
          <w:p w:rsidR="00466AFD" w:rsidRPr="00A6403A"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p>
          <w:p w:rsidR="00466AFD" w:rsidRPr="005F6DCE"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sidRPr="005F6DCE">
              <w:rPr>
                <w:lang w:val="fr-FR"/>
              </w:rPr>
              <w:t xml:space="preserve">Le libellé original </w:t>
            </w:r>
            <w:r>
              <w:rPr>
                <w:lang w:val="fr-FR"/>
              </w:rPr>
              <w:t>concernant ces</w:t>
            </w:r>
            <w:r w:rsidRPr="005F6DCE">
              <w:rPr>
                <w:lang w:val="fr-FR"/>
              </w:rPr>
              <w:t xml:space="preserve"> </w:t>
            </w:r>
            <w:proofErr w:type="spellStart"/>
            <w:r w:rsidRPr="005F6DCE">
              <w:rPr>
                <w:lang w:val="fr-FR"/>
              </w:rPr>
              <w:t>MdE</w:t>
            </w:r>
            <w:proofErr w:type="spellEnd"/>
            <w:r w:rsidRPr="005F6DCE">
              <w:rPr>
                <w:lang w:val="fr-FR"/>
              </w:rPr>
              <w:t xml:space="preserve"> est inclus dans un paragraphe de la Résolution 7.9. </w:t>
            </w:r>
            <w:r>
              <w:rPr>
                <w:lang w:val="fr-FR"/>
              </w:rPr>
              <w:t xml:space="preserve">D’autres </w:t>
            </w:r>
            <w:proofErr w:type="spellStart"/>
            <w:r>
              <w:rPr>
                <w:lang w:val="fr-FR"/>
              </w:rPr>
              <w:t>MdE</w:t>
            </w:r>
            <w:proofErr w:type="spellEnd"/>
            <w:r>
              <w:rPr>
                <w:lang w:val="fr-FR"/>
              </w:rPr>
              <w:t xml:space="preserve"> sont mentionnés dans les paragraphes de la </w:t>
            </w:r>
            <w:r w:rsidRPr="005F6DCE">
              <w:rPr>
                <w:lang w:val="fr-FR"/>
              </w:rPr>
              <w:t>R</w:t>
            </w:r>
            <w:r>
              <w:rPr>
                <w:lang w:val="fr-FR"/>
              </w:rPr>
              <w:t>é</w:t>
            </w:r>
            <w:r w:rsidRPr="005F6DCE">
              <w:rPr>
                <w:lang w:val="fr-FR"/>
              </w:rPr>
              <w:t>solution 10.21 (paragraph</w:t>
            </w:r>
            <w:r>
              <w:rPr>
                <w:lang w:val="fr-FR"/>
              </w:rPr>
              <w:t>e</w:t>
            </w:r>
            <w:r w:rsidRPr="005F6DCE">
              <w:rPr>
                <w:lang w:val="fr-FR"/>
              </w:rPr>
              <w:t xml:space="preserve">s 2 </w:t>
            </w:r>
            <w:r>
              <w:rPr>
                <w:lang w:val="fr-FR"/>
              </w:rPr>
              <w:t>et</w:t>
            </w:r>
            <w:r w:rsidRPr="005F6DCE">
              <w:rPr>
                <w:lang w:val="fr-FR"/>
              </w:rPr>
              <w:t xml:space="preserve"> 3).</w:t>
            </w:r>
          </w:p>
        </w:tc>
      </w:tr>
      <w:tr w:rsidR="00466AFD" w:rsidRPr="005E66AB"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D65CB5" w:rsidRDefault="00466AFD" w:rsidP="00D65CB5">
            <w:pPr>
              <w:pStyle w:val="Default"/>
              <w:ind w:firstLine="720"/>
              <w:jc w:val="both"/>
              <w:rPr>
                <w:b w:val="0"/>
                <w:lang w:val="fr-FR"/>
              </w:rPr>
            </w:pPr>
            <w:r w:rsidRPr="005E66AB">
              <w:rPr>
                <w:b w:val="0"/>
                <w:i/>
                <w:lang w:val="fr-FR"/>
              </w:rPr>
              <w:t xml:space="preserve">Accueillant </w:t>
            </w:r>
            <w:r w:rsidRPr="00903484">
              <w:rPr>
                <w:b w:val="0"/>
                <w:i/>
                <w:lang w:val="fr-FR"/>
              </w:rPr>
              <w:t>en outre</w:t>
            </w:r>
            <w:r w:rsidRPr="005E66AB">
              <w:rPr>
                <w:b w:val="0"/>
                <w:lang w:val="fr-FR"/>
              </w:rPr>
              <w:t xml:space="preserve"> l'adoption de nouveaux mémorandums d’entente avec le réseau sur la faune sauvage migratrice et le Centre de droit de l'environnement de l’UICN</w:t>
            </w:r>
          </w:p>
        </w:tc>
        <w:tc>
          <w:tcPr>
            <w:tcW w:w="3456" w:type="dxa"/>
            <w:shd w:val="clear" w:color="auto" w:fill="BFBFBF"/>
          </w:tcPr>
          <w:p w:rsidR="00466AFD" w:rsidRPr="00DF0008"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Repris de </w:t>
            </w:r>
            <w:r w:rsidRPr="00DF0008">
              <w:rPr>
                <w:lang w:val="fr-FR"/>
              </w:rPr>
              <w:t>la Résolution 10.21, paragraphes 2 et 3.</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5E66AB" w:rsidRDefault="00466AFD" w:rsidP="00174E8B">
            <w:pPr>
              <w:ind w:firstLine="720"/>
              <w:jc w:val="both"/>
              <w:rPr>
                <w:b w:val="0"/>
                <w:bCs w:val="0"/>
                <w:lang w:val="fr-FR"/>
              </w:rPr>
            </w:pPr>
            <w:r w:rsidRPr="005E66AB">
              <w:rPr>
                <w:b w:val="0"/>
                <w:i/>
                <w:iCs/>
                <w:sz w:val="23"/>
                <w:szCs w:val="23"/>
                <w:lang w:val="fr-FR"/>
              </w:rPr>
              <w:t xml:space="preserve">Consciente </w:t>
            </w:r>
            <w:r w:rsidRPr="005E66AB">
              <w:rPr>
                <w:b w:val="0"/>
                <w:sz w:val="23"/>
                <w:szCs w:val="23"/>
                <w:lang w:val="fr-FR"/>
              </w:rPr>
              <w:t xml:space="preserve">des débats en cours avec l’Organisation des Nations Unies pour l’alimentation et l’agriculture (FAO) concernant la formalisation d’un Mémorandum de coopération et </w:t>
            </w:r>
            <w:r w:rsidRPr="005E66AB">
              <w:rPr>
                <w:b w:val="0"/>
                <w:i/>
                <w:iCs/>
                <w:sz w:val="23"/>
                <w:szCs w:val="23"/>
                <w:lang w:val="fr-FR"/>
              </w:rPr>
              <w:t xml:space="preserve">appréciant </w:t>
            </w:r>
            <w:r w:rsidRPr="005E66AB">
              <w:rPr>
                <w:b w:val="0"/>
                <w:sz w:val="23"/>
                <w:szCs w:val="23"/>
                <w:lang w:val="fr-FR"/>
              </w:rPr>
              <w:t xml:space="preserve">les efforts importants faits par la CMS afin d’améliorer la relation avec les organisations qui ont des mandats ou buts différents, telle que la FAO, qui fournit des solutions </w:t>
            </w:r>
            <w:proofErr w:type="spellStart"/>
            <w:r w:rsidRPr="005E66AB">
              <w:rPr>
                <w:b w:val="0"/>
                <w:sz w:val="23"/>
                <w:szCs w:val="23"/>
                <w:lang w:val="fr-FR"/>
              </w:rPr>
              <w:t>multi-disciplinaires</w:t>
            </w:r>
            <w:proofErr w:type="spellEnd"/>
            <w:r w:rsidRPr="005E66AB">
              <w:rPr>
                <w:b w:val="0"/>
                <w:sz w:val="23"/>
                <w:szCs w:val="23"/>
                <w:lang w:val="fr-FR"/>
              </w:rPr>
              <w:t xml:space="preserve"> visant à assurer simultanément la sécurité alimentaire, la conservation de la diversité biologique ainsi que la santé de la faune sauvage et de l’écosystème;</w:t>
            </w:r>
          </w:p>
        </w:tc>
        <w:tc>
          <w:tcPr>
            <w:tcW w:w="3456" w:type="dxa"/>
            <w:shd w:val="clear" w:color="auto" w:fill="auto"/>
          </w:tcPr>
          <w:p w:rsidR="00466AFD" w:rsidRPr="00DA5A9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Repris de</w:t>
            </w:r>
            <w:r w:rsidRPr="00DA5A9D">
              <w:rPr>
                <w:lang w:val="fr-FR"/>
              </w:rPr>
              <w:t xml:space="preserve"> la Résolution 10.21, douzième </w:t>
            </w:r>
            <w:r>
              <w:rPr>
                <w:lang w:val="fr-FR"/>
              </w:rPr>
              <w:t>paragraphe</w:t>
            </w:r>
            <w:r w:rsidRPr="00DA5A9D">
              <w:rPr>
                <w:lang w:val="fr-FR"/>
              </w:rPr>
              <w:t xml:space="preserve"> du préambule </w:t>
            </w:r>
          </w:p>
        </w:tc>
      </w:tr>
      <w:tr w:rsidR="00466AFD" w:rsidRPr="007D35ED"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DA5A9D" w:rsidRDefault="00466AFD" w:rsidP="00174E8B">
            <w:pPr>
              <w:ind w:firstLine="720"/>
              <w:jc w:val="both"/>
              <w:rPr>
                <w:b w:val="0"/>
                <w:u w:val="single"/>
                <w:lang w:val="fr-FR"/>
              </w:rPr>
            </w:pPr>
            <w:r w:rsidRPr="00DA5A9D">
              <w:rPr>
                <w:b w:val="0"/>
                <w:i/>
                <w:u w:val="single"/>
                <w:lang w:val="fr-FR"/>
              </w:rPr>
              <w:t>Se félicitant en outre</w:t>
            </w:r>
            <w:r w:rsidRPr="00DA5A9D">
              <w:rPr>
                <w:b w:val="0"/>
                <w:u w:val="single"/>
                <w:lang w:val="fr-FR"/>
              </w:rPr>
              <w:t xml:space="preserve"> de la décision de la CDB d’inviter les </w:t>
            </w:r>
            <w:r>
              <w:rPr>
                <w:b w:val="0"/>
                <w:u w:val="single"/>
                <w:lang w:val="fr-FR"/>
              </w:rPr>
              <w:t xml:space="preserve">organes </w:t>
            </w:r>
            <w:r w:rsidRPr="00DA5A9D">
              <w:rPr>
                <w:b w:val="0"/>
                <w:u w:val="single"/>
                <w:lang w:val="fr-FR"/>
              </w:rPr>
              <w:t>directeurs des diver</w:t>
            </w:r>
            <w:r>
              <w:rPr>
                <w:b w:val="0"/>
                <w:u w:val="single"/>
                <w:lang w:val="fr-FR"/>
              </w:rPr>
              <w:t>s</w:t>
            </w:r>
            <w:r w:rsidRPr="00DA5A9D">
              <w:rPr>
                <w:b w:val="0"/>
                <w:u w:val="single"/>
                <w:lang w:val="fr-FR"/>
              </w:rPr>
              <w:t>es conventions relatives à la biodiversité à fou</w:t>
            </w:r>
            <w:r>
              <w:rPr>
                <w:b w:val="0"/>
                <w:u w:val="single"/>
                <w:lang w:val="fr-FR"/>
              </w:rPr>
              <w:t>rnir</w:t>
            </w:r>
            <w:r w:rsidRPr="00DA5A9D">
              <w:rPr>
                <w:b w:val="0"/>
                <w:u w:val="single"/>
                <w:lang w:val="fr-FR"/>
              </w:rPr>
              <w:t xml:space="preserve"> des avis con</w:t>
            </w:r>
            <w:r>
              <w:rPr>
                <w:b w:val="0"/>
                <w:u w:val="single"/>
                <w:lang w:val="fr-FR"/>
              </w:rPr>
              <w:t>c</w:t>
            </w:r>
            <w:r w:rsidRPr="00DA5A9D">
              <w:rPr>
                <w:b w:val="0"/>
                <w:u w:val="single"/>
                <w:lang w:val="fr-FR"/>
              </w:rPr>
              <w:t>ern</w:t>
            </w:r>
            <w:r>
              <w:rPr>
                <w:b w:val="0"/>
                <w:u w:val="single"/>
                <w:lang w:val="fr-FR"/>
              </w:rPr>
              <w:t>a</w:t>
            </w:r>
            <w:r w:rsidRPr="00DA5A9D">
              <w:rPr>
                <w:b w:val="0"/>
                <w:u w:val="single"/>
                <w:lang w:val="fr-FR"/>
              </w:rPr>
              <w:t xml:space="preserve">nt le </w:t>
            </w:r>
            <w:r>
              <w:rPr>
                <w:b w:val="0"/>
                <w:u w:val="single"/>
                <w:lang w:val="fr-FR"/>
              </w:rPr>
              <w:t>f</w:t>
            </w:r>
            <w:r w:rsidRPr="00DA5A9D">
              <w:rPr>
                <w:b w:val="0"/>
                <w:u w:val="single"/>
                <w:lang w:val="fr-FR"/>
              </w:rPr>
              <w:t>inancem</w:t>
            </w:r>
            <w:r>
              <w:rPr>
                <w:b w:val="0"/>
                <w:u w:val="single"/>
                <w:lang w:val="fr-FR"/>
              </w:rPr>
              <w:t>e</w:t>
            </w:r>
            <w:r w:rsidRPr="00DA5A9D">
              <w:rPr>
                <w:b w:val="0"/>
                <w:u w:val="single"/>
                <w:lang w:val="fr-FR"/>
              </w:rPr>
              <w:t>nt des priorités national</w:t>
            </w:r>
            <w:r>
              <w:rPr>
                <w:b w:val="0"/>
                <w:u w:val="single"/>
                <w:lang w:val="fr-FR"/>
              </w:rPr>
              <w:t>e</w:t>
            </w:r>
            <w:r w:rsidRPr="00DA5A9D">
              <w:rPr>
                <w:b w:val="0"/>
                <w:u w:val="single"/>
                <w:lang w:val="fr-FR"/>
              </w:rPr>
              <w:t>s à l’appui de la mise</w:t>
            </w:r>
            <w:r>
              <w:rPr>
                <w:b w:val="0"/>
                <w:u w:val="single"/>
                <w:lang w:val="fr-FR"/>
              </w:rPr>
              <w:t xml:space="preserve"> œ</w:t>
            </w:r>
            <w:r w:rsidRPr="00DA5A9D">
              <w:rPr>
                <w:b w:val="0"/>
                <w:u w:val="single"/>
                <w:lang w:val="fr-FR"/>
              </w:rPr>
              <w:t>uvre</w:t>
            </w:r>
            <w:r>
              <w:rPr>
                <w:b w:val="0"/>
                <w:u w:val="single"/>
                <w:lang w:val="fr-FR"/>
              </w:rPr>
              <w:t xml:space="preserve"> des </w:t>
            </w:r>
            <w:r w:rsidRPr="00DA5A9D">
              <w:rPr>
                <w:b w:val="0"/>
                <w:u w:val="single"/>
                <w:lang w:val="fr-FR"/>
              </w:rPr>
              <w:t>c</w:t>
            </w:r>
            <w:r>
              <w:rPr>
                <w:b w:val="0"/>
                <w:u w:val="single"/>
                <w:lang w:val="fr-FR"/>
              </w:rPr>
              <w:t>o</w:t>
            </w:r>
            <w:r w:rsidRPr="00DA5A9D">
              <w:rPr>
                <w:b w:val="0"/>
                <w:u w:val="single"/>
                <w:lang w:val="fr-FR"/>
              </w:rPr>
              <w:t>nv</w:t>
            </w:r>
            <w:r>
              <w:rPr>
                <w:b w:val="0"/>
                <w:u w:val="single"/>
                <w:lang w:val="fr-FR"/>
              </w:rPr>
              <w:t>en</w:t>
            </w:r>
            <w:r w:rsidRPr="00DA5A9D">
              <w:rPr>
                <w:b w:val="0"/>
                <w:u w:val="single"/>
                <w:lang w:val="fr-FR"/>
              </w:rPr>
              <w:t>tion</w:t>
            </w:r>
            <w:r>
              <w:rPr>
                <w:b w:val="0"/>
                <w:u w:val="single"/>
                <w:lang w:val="fr-FR"/>
              </w:rPr>
              <w:t>s</w:t>
            </w:r>
            <w:r w:rsidRPr="00DA5A9D">
              <w:rPr>
                <w:b w:val="0"/>
                <w:u w:val="single"/>
                <w:lang w:val="fr-FR"/>
              </w:rPr>
              <w:t xml:space="preserve"> relatives à la biodiversité</w:t>
            </w:r>
            <w:r>
              <w:rPr>
                <w:b w:val="0"/>
                <w:u w:val="single"/>
                <w:lang w:val="fr-FR"/>
              </w:rPr>
              <w:t xml:space="preserve"> qui sont harmonisées avec le Plan stratégique 2011-2020 pour la diversité biologique, et à ajouter des avis, le cas échéant, aux orientations données au Fonds pour l’environnement mondial </w:t>
            </w:r>
            <w:r w:rsidRPr="00DA5A9D">
              <w:rPr>
                <w:b w:val="0"/>
                <w:u w:val="single"/>
                <w:lang w:val="fr-FR"/>
              </w:rPr>
              <w:t>(</w:t>
            </w:r>
            <w:r>
              <w:rPr>
                <w:b w:val="0"/>
                <w:u w:val="single"/>
                <w:lang w:val="fr-FR"/>
              </w:rPr>
              <w:t>FEM</w:t>
            </w:r>
            <w:r w:rsidRPr="00DA5A9D">
              <w:rPr>
                <w:b w:val="0"/>
                <w:u w:val="single"/>
                <w:lang w:val="fr-FR"/>
              </w:rPr>
              <w:t>);</w:t>
            </w:r>
          </w:p>
        </w:tc>
        <w:tc>
          <w:tcPr>
            <w:tcW w:w="3456" w:type="dxa"/>
            <w:tcBorders>
              <w:bottom w:val="nil"/>
            </w:tcBorders>
            <w:shd w:val="clear" w:color="auto" w:fill="BFBFBF"/>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rsidRPr="007D35ED">
              <w:t>paragraph</w:t>
            </w:r>
            <w:r>
              <w:t>e</w:t>
            </w:r>
            <w:proofErr w:type="spellEnd"/>
            <w:r>
              <w:t>.</w:t>
            </w:r>
          </w:p>
        </w:tc>
      </w:tr>
      <w:tr w:rsidR="00466AFD" w:rsidRPr="007D35ED"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nil"/>
              <w:bottom w:val="single" w:sz="4" w:space="0" w:color="auto"/>
            </w:tcBorders>
            <w:shd w:val="clear" w:color="auto" w:fill="auto"/>
          </w:tcPr>
          <w:p w:rsidR="00466AFD" w:rsidRDefault="00466AFD" w:rsidP="00174E8B">
            <w:pPr>
              <w:ind w:firstLine="720"/>
              <w:jc w:val="both"/>
              <w:rPr>
                <w:b w:val="0"/>
                <w:u w:val="single"/>
                <w:lang w:val="fr-FR"/>
              </w:rPr>
            </w:pPr>
            <w:r w:rsidRPr="00383C71">
              <w:rPr>
                <w:b w:val="0"/>
                <w:i/>
                <w:u w:val="single"/>
                <w:lang w:val="fr-FR"/>
              </w:rPr>
              <w:t xml:space="preserve">Reconnaissant </w:t>
            </w:r>
            <w:r w:rsidRPr="00383C71">
              <w:rPr>
                <w:b w:val="0"/>
                <w:u w:val="single"/>
                <w:lang w:val="fr-FR"/>
              </w:rPr>
              <w:t xml:space="preserve">l’importance de la coopération continue entre les secrétariats </w:t>
            </w:r>
            <w:r>
              <w:rPr>
                <w:b w:val="0"/>
                <w:u w:val="single"/>
                <w:lang w:val="fr-FR"/>
              </w:rPr>
              <w:t>d</w:t>
            </w:r>
            <w:r w:rsidRPr="00383C71">
              <w:rPr>
                <w:b w:val="0"/>
                <w:u w:val="single"/>
                <w:lang w:val="fr-FR"/>
              </w:rPr>
              <w:t>es conventions relatives à la biodiversité à travers l</w:t>
            </w:r>
            <w:r>
              <w:rPr>
                <w:b w:val="0"/>
                <w:u w:val="single"/>
                <w:lang w:val="fr-FR"/>
              </w:rPr>
              <w:t>e</w:t>
            </w:r>
            <w:r w:rsidRPr="00383C71">
              <w:rPr>
                <w:b w:val="0"/>
                <w:u w:val="single"/>
                <w:lang w:val="fr-FR"/>
              </w:rPr>
              <w:t xml:space="preserve"> Groupe de liaison sur la biodiversité pour mettre e</w:t>
            </w:r>
            <w:r>
              <w:rPr>
                <w:b w:val="0"/>
                <w:u w:val="single"/>
                <w:lang w:val="fr-FR"/>
              </w:rPr>
              <w:t>n</w:t>
            </w:r>
            <w:r w:rsidRPr="00383C71">
              <w:rPr>
                <w:b w:val="0"/>
                <w:u w:val="single"/>
                <w:lang w:val="fr-FR"/>
              </w:rPr>
              <w:t xml:space="preserve"> </w:t>
            </w:r>
            <w:r>
              <w:rPr>
                <w:b w:val="0"/>
                <w:u w:val="single"/>
                <w:lang w:val="fr-FR"/>
              </w:rPr>
              <w:t>œ</w:t>
            </w:r>
            <w:r w:rsidRPr="00383C71">
              <w:rPr>
                <w:b w:val="0"/>
                <w:u w:val="single"/>
                <w:lang w:val="fr-FR"/>
              </w:rPr>
              <w:t xml:space="preserve">uvre le Plan stratégique </w:t>
            </w:r>
            <w:r>
              <w:rPr>
                <w:b w:val="0"/>
                <w:u w:val="single"/>
                <w:lang w:val="fr-FR"/>
              </w:rPr>
              <w:t xml:space="preserve">2011-2020 pour la diversité biologique </w:t>
            </w:r>
            <w:r w:rsidRPr="00383C71">
              <w:rPr>
                <w:b w:val="0"/>
                <w:u w:val="single"/>
                <w:lang w:val="fr-FR"/>
              </w:rPr>
              <w:t xml:space="preserve">afin d’atteindre les objectifs d’Aichi pour la biodiversité (Décision X/2 </w:t>
            </w:r>
            <w:r>
              <w:rPr>
                <w:b w:val="0"/>
                <w:u w:val="single"/>
                <w:lang w:val="fr-FR"/>
              </w:rPr>
              <w:t>de la CDB)</w:t>
            </w:r>
            <w:r w:rsidRPr="00383C71">
              <w:rPr>
                <w:b w:val="0"/>
                <w:u w:val="single"/>
                <w:lang w:val="fr-FR"/>
              </w:rPr>
              <w:t>;</w:t>
            </w:r>
          </w:p>
          <w:p w:rsidR="00466AFD" w:rsidRDefault="00466AFD" w:rsidP="00174E8B">
            <w:pPr>
              <w:jc w:val="both"/>
              <w:rPr>
                <w:b w:val="0"/>
                <w:bCs w:val="0"/>
                <w:u w:val="single"/>
                <w:lang w:val="fr-FR"/>
              </w:rPr>
            </w:pPr>
          </w:p>
          <w:p w:rsidR="00D65CB5" w:rsidRPr="00383C71" w:rsidRDefault="00D65CB5" w:rsidP="00174E8B">
            <w:pPr>
              <w:jc w:val="both"/>
              <w:rPr>
                <w:b w:val="0"/>
                <w:bCs w:val="0"/>
                <w:u w:val="single"/>
                <w:lang w:val="fr-FR"/>
              </w:rPr>
            </w:pPr>
          </w:p>
        </w:tc>
        <w:tc>
          <w:tcPr>
            <w:tcW w:w="3456" w:type="dxa"/>
            <w:tcBorders>
              <w:top w:val="nil"/>
              <w:bottom w:val="single" w:sz="4" w:space="0" w:color="auto"/>
            </w:tcBorders>
            <w:shd w:val="clear" w:color="auto" w:fill="auto"/>
          </w:tcPr>
          <w:p w:rsidR="00466AFD" w:rsidRPr="007D35E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bottom w:val="single" w:sz="4" w:space="0" w:color="auto"/>
            </w:tcBorders>
          </w:tcPr>
          <w:p w:rsidR="00466AFD" w:rsidRPr="00903484" w:rsidRDefault="00466AFD" w:rsidP="00174E8B">
            <w:pPr>
              <w:jc w:val="both"/>
              <w:rPr>
                <w:lang w:val="fr-FR"/>
              </w:rPr>
            </w:pPr>
            <w:r>
              <w:rPr>
                <w:lang w:val="fr-FR"/>
              </w:rPr>
              <w:lastRenderedPageBreak/>
              <w:t>Texte</w:t>
            </w:r>
          </w:p>
        </w:tc>
        <w:tc>
          <w:tcPr>
            <w:tcW w:w="3456" w:type="dxa"/>
            <w:tcBorders>
              <w:top w:val="single" w:sz="4" w:space="0" w:color="auto"/>
              <w:bottom w:val="single" w:sz="4" w:space="0" w:color="auto"/>
            </w:tcBorders>
          </w:tcPr>
          <w:p w:rsidR="00466AFD" w:rsidRPr="00903484" w:rsidRDefault="00466AFD" w:rsidP="00174E8B">
            <w:pPr>
              <w:pStyle w:val="CommentText"/>
              <w:cnfStyle w:val="000000000000" w:firstRow="0" w:lastRow="0" w:firstColumn="0" w:lastColumn="0" w:oddVBand="0" w:evenVBand="0" w:oddHBand="0" w:evenHBand="0" w:firstRowFirstColumn="0" w:firstRowLastColumn="0" w:lastRowFirstColumn="0" w:lastRowLastColumn="0"/>
              <w:rPr>
                <w:b/>
                <w:sz w:val="24"/>
                <w:szCs w:val="24"/>
                <w:lang w:val="fr-FR"/>
              </w:rPr>
            </w:pPr>
            <w:r w:rsidRPr="00903484">
              <w:rPr>
                <w:b/>
                <w:sz w:val="24"/>
                <w:szCs w:val="24"/>
                <w:lang w:val="fr-FR"/>
              </w:rPr>
              <w:t>Source</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tcBorders>
          </w:tcPr>
          <w:p w:rsidR="00466AFD" w:rsidRPr="005E66AB" w:rsidRDefault="00466AFD" w:rsidP="00174E8B">
            <w:pPr>
              <w:ind w:firstLine="720"/>
              <w:jc w:val="both"/>
              <w:rPr>
                <w:rFonts w:ascii="Arial" w:hAnsi="Arial" w:cs="Arial"/>
                <w:sz w:val="19"/>
                <w:szCs w:val="19"/>
                <w:lang w:val="fr-FR" w:eastAsia="de-CH"/>
              </w:rPr>
            </w:pPr>
            <w:r w:rsidRPr="005E66AB">
              <w:rPr>
                <w:b w:val="0"/>
                <w:i/>
                <w:u w:val="single"/>
                <w:lang w:val="fr-FR"/>
              </w:rPr>
              <w:t>Tenant compte</w:t>
            </w:r>
            <w:r w:rsidRPr="005E66AB">
              <w:rPr>
                <w:b w:val="0"/>
                <w:u w:val="single"/>
                <w:lang w:val="fr-FR"/>
              </w:rPr>
              <w:t xml:space="preserve"> du document final de la Conférence des Nations Unies sur le développement durable, L'avenir que nous voulons, qui constate les contributions importantes que les accords multilatéraux sur l’environnement (AME) ont apportées au développement durable et encourage les parties aux AME à envisager de nouvelles mesures pour promouvoir la cohérence des politiques à tous les niveaux requis, agir plus efficacement, réduire les chevauchements et doublons inutiles et renforcer la coordination et la coopération entre les AME; et</w:t>
            </w:r>
          </w:p>
        </w:tc>
        <w:tc>
          <w:tcPr>
            <w:tcW w:w="3456" w:type="dxa"/>
            <w:tcBorders>
              <w:top w:val="single" w:sz="4" w:space="0" w:color="auto"/>
            </w:tcBorders>
          </w:tcPr>
          <w:p w:rsidR="00466AFD" w:rsidRPr="00383C71"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sidRPr="00383C71">
              <w:rPr>
                <w:sz w:val="24"/>
                <w:szCs w:val="24"/>
                <w:lang w:val="fr-FR"/>
              </w:rPr>
              <w:t>Ce paragraphe</w:t>
            </w:r>
            <w:r>
              <w:rPr>
                <w:sz w:val="24"/>
                <w:szCs w:val="24"/>
                <w:lang w:val="fr-FR"/>
              </w:rPr>
              <w:t xml:space="preserve"> </w:t>
            </w:r>
            <w:r w:rsidRPr="00383C71">
              <w:rPr>
                <w:sz w:val="24"/>
                <w:szCs w:val="24"/>
                <w:lang w:val="fr-FR"/>
              </w:rPr>
              <w:t>est</w:t>
            </w:r>
            <w:r>
              <w:rPr>
                <w:sz w:val="24"/>
                <w:szCs w:val="24"/>
                <w:lang w:val="fr-FR"/>
              </w:rPr>
              <w:t xml:space="preserve"> repris textuellement de l</w:t>
            </w:r>
            <w:r w:rsidRPr="00383C71">
              <w:rPr>
                <w:sz w:val="24"/>
                <w:szCs w:val="24"/>
                <w:lang w:val="fr-FR"/>
              </w:rPr>
              <w:t xml:space="preserve">a Résolution </w:t>
            </w:r>
            <w:r>
              <w:rPr>
                <w:sz w:val="24"/>
                <w:szCs w:val="24"/>
                <w:lang w:val="fr-FR"/>
              </w:rPr>
              <w:t>1</w:t>
            </w:r>
            <w:r w:rsidRPr="00383C71">
              <w:rPr>
                <w:sz w:val="24"/>
                <w:szCs w:val="24"/>
                <w:lang w:val="fr-FR"/>
              </w:rPr>
              <w:t xml:space="preserve">6.4 de la CITES. Il semble important car </w:t>
            </w:r>
            <w:r w:rsidRPr="00383C71">
              <w:rPr>
                <w:i/>
                <w:sz w:val="24"/>
                <w:szCs w:val="24"/>
                <w:lang w:val="fr-FR"/>
              </w:rPr>
              <w:t xml:space="preserve">L’avenir que nous voulons </w:t>
            </w:r>
            <w:r>
              <w:rPr>
                <w:sz w:val="24"/>
                <w:szCs w:val="24"/>
                <w:lang w:val="fr-FR"/>
              </w:rPr>
              <w:t>est la définition la plus récente par la communauté internationale des objectifs concernant la biodiversité</w:t>
            </w:r>
            <w:r w:rsidRPr="00383C71">
              <w:rPr>
                <w:sz w:val="24"/>
                <w:szCs w:val="24"/>
                <w:lang w:val="fr-FR"/>
              </w:rPr>
              <w:t>.</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174E8B">
            <w:pPr>
              <w:ind w:firstLine="720"/>
              <w:jc w:val="both"/>
              <w:rPr>
                <w:b w:val="0"/>
                <w:u w:val="single"/>
                <w:lang w:val="fr-FR"/>
              </w:rPr>
            </w:pPr>
            <w:r w:rsidRPr="005E66AB">
              <w:rPr>
                <w:b w:val="0"/>
                <w:i/>
                <w:u w:val="single"/>
                <w:lang w:val="fr-FR"/>
              </w:rPr>
              <w:t>Convaincue</w:t>
            </w:r>
            <w:r w:rsidRPr="005E66AB">
              <w:rPr>
                <w:b w:val="0"/>
                <w:u w:val="single"/>
                <w:lang w:val="fr-FR"/>
              </w:rPr>
              <w:t xml:space="preserve"> des énormes possibilités d'accroître la coopération, la coordination et les synergies entre les conventions relatives à la biodiversité pour améliorer la mise en </w:t>
            </w:r>
            <w:proofErr w:type="spellStart"/>
            <w:r w:rsidRPr="005E66AB">
              <w:rPr>
                <w:b w:val="0"/>
                <w:u w:val="single"/>
                <w:lang w:val="fr-FR"/>
              </w:rPr>
              <w:t>oeuvre</w:t>
            </w:r>
            <w:proofErr w:type="spellEnd"/>
            <w:r w:rsidRPr="005E66AB">
              <w:rPr>
                <w:b w:val="0"/>
                <w:u w:val="single"/>
                <w:lang w:val="fr-FR"/>
              </w:rPr>
              <w:t xml:space="preserve"> à l'échelle nationale de chacune de ces conventions;</w:t>
            </w:r>
          </w:p>
        </w:tc>
        <w:tc>
          <w:tcPr>
            <w:tcW w:w="3456" w:type="dxa"/>
          </w:tcPr>
          <w:p w:rsidR="00466AFD" w:rsidRPr="00910C28"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sidRPr="00910C28">
              <w:rPr>
                <w:lang w:val="fr-FR"/>
              </w:rPr>
              <w:t xml:space="preserve">Ce paragraphe, également </w:t>
            </w:r>
            <w:r>
              <w:rPr>
                <w:lang w:val="fr-FR"/>
              </w:rPr>
              <w:t>repris de</w:t>
            </w:r>
            <w:r w:rsidRPr="00910C28">
              <w:rPr>
                <w:lang w:val="fr-FR"/>
              </w:rPr>
              <w:t xml:space="preserve"> la Résolution 16.4 de la CITES, recon</w:t>
            </w:r>
            <w:r>
              <w:rPr>
                <w:lang w:val="fr-FR"/>
              </w:rPr>
              <w:t>n</w:t>
            </w:r>
            <w:r w:rsidRPr="00910C28">
              <w:rPr>
                <w:lang w:val="fr-FR"/>
              </w:rPr>
              <w:t>a</w:t>
            </w:r>
            <w:r>
              <w:rPr>
                <w:lang w:val="fr-FR"/>
              </w:rPr>
              <w:t>î</w:t>
            </w:r>
            <w:r w:rsidRPr="00910C28">
              <w:rPr>
                <w:lang w:val="fr-FR"/>
              </w:rPr>
              <w:t>t qu</w:t>
            </w:r>
            <w:r>
              <w:rPr>
                <w:lang w:val="fr-FR"/>
              </w:rPr>
              <w:t>’il</w:t>
            </w:r>
            <w:r w:rsidRPr="00910C28">
              <w:rPr>
                <w:lang w:val="fr-FR"/>
              </w:rPr>
              <w:t xml:space="preserve"> reste encore </w:t>
            </w:r>
            <w:r>
              <w:rPr>
                <w:lang w:val="fr-FR"/>
              </w:rPr>
              <w:t>beaucoup à  faire, et fournit ainsi la base de cette résolution</w:t>
            </w:r>
            <w:r w:rsidRPr="00910C28">
              <w:rPr>
                <w:lang w:val="fr-FR"/>
              </w:rPr>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2"/>
          </w:tcPr>
          <w:p w:rsidR="00466AFD" w:rsidRPr="00910C28" w:rsidRDefault="00466AFD" w:rsidP="00174E8B">
            <w:pPr>
              <w:jc w:val="center"/>
              <w:rPr>
                <w:b w:val="0"/>
                <w:bCs w:val="0"/>
                <w:lang w:val="fr-FR"/>
              </w:rPr>
            </w:pPr>
            <w:r w:rsidRPr="00910C28">
              <w:rPr>
                <w:b w:val="0"/>
                <w:i/>
                <w:iCs/>
                <w:lang w:val="fr-FR"/>
              </w:rPr>
              <w:t>La Conférence des Parties à la</w:t>
            </w:r>
          </w:p>
          <w:p w:rsidR="00466AFD" w:rsidRPr="00910C28" w:rsidRDefault="00466AFD" w:rsidP="00174E8B">
            <w:pPr>
              <w:tabs>
                <w:tab w:val="left" w:pos="1170"/>
              </w:tabs>
              <w:jc w:val="center"/>
              <w:rPr>
                <w:b w:val="0"/>
                <w:bCs w:val="0"/>
                <w:lang w:val="fr-FR"/>
              </w:rPr>
            </w:pPr>
            <w:r w:rsidRPr="00910C28">
              <w:rPr>
                <w:b w:val="0"/>
                <w:i/>
                <w:iCs/>
                <w:lang w:val="fr-FR"/>
              </w:rPr>
              <w:t>Convention sur la conservation des espèces migratrices appartenant à la faune sauv</w:t>
            </w:r>
            <w:r>
              <w:rPr>
                <w:b w:val="0"/>
                <w:i/>
                <w:iCs/>
                <w:lang w:val="fr-FR"/>
              </w:rPr>
              <w:t>a</w:t>
            </w:r>
            <w:r w:rsidRPr="00910C28">
              <w:rPr>
                <w:b w:val="0"/>
                <w:i/>
                <w:iCs/>
                <w:lang w:val="fr-FR"/>
              </w:rPr>
              <w:t>ge</w:t>
            </w:r>
          </w:p>
        </w:tc>
      </w:tr>
      <w:tr w:rsidR="00466AFD" w:rsidRPr="007D35ED"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B44EC1" w:rsidRDefault="00466AFD" w:rsidP="00466AFD">
            <w:pPr>
              <w:pStyle w:val="ListParagraph"/>
              <w:numPr>
                <w:ilvl w:val="0"/>
                <w:numId w:val="20"/>
              </w:numPr>
              <w:ind w:left="0" w:firstLine="3"/>
              <w:jc w:val="both"/>
              <w:rPr>
                <w:b w:val="0"/>
                <w:bCs w:val="0"/>
                <w:u w:val="single"/>
                <w:lang w:val="fr-FR"/>
              </w:rPr>
            </w:pPr>
            <w:r w:rsidRPr="00B44EC1">
              <w:rPr>
                <w:b w:val="0"/>
                <w:i/>
                <w:u w:val="single"/>
                <w:lang w:val="fr-FR"/>
              </w:rPr>
              <w:t>Souligne</w:t>
            </w:r>
            <w:r w:rsidRPr="00B44EC1">
              <w:rPr>
                <w:b w:val="0"/>
                <w:u w:val="single"/>
                <w:lang w:val="fr-FR"/>
              </w:rPr>
              <w:t xml:space="preserve"> l’importance d’</w:t>
            </w:r>
            <w:r>
              <w:rPr>
                <w:b w:val="0"/>
                <w:u w:val="single"/>
                <w:lang w:val="fr-FR"/>
              </w:rPr>
              <w:t>apporter un soutien aux</w:t>
            </w:r>
            <w:r w:rsidRPr="00B44EC1">
              <w:rPr>
                <w:b w:val="0"/>
                <w:u w:val="single"/>
                <w:lang w:val="fr-FR"/>
              </w:rPr>
              <w:t xml:space="preserve"> objectifs des accords  m</w:t>
            </w:r>
            <w:r>
              <w:rPr>
                <w:b w:val="0"/>
                <w:u w:val="single"/>
                <w:lang w:val="fr-FR"/>
              </w:rPr>
              <w:t>ultilatéraux sur</w:t>
            </w:r>
            <w:r w:rsidRPr="00B44EC1">
              <w:rPr>
                <w:b w:val="0"/>
                <w:u w:val="single"/>
                <w:lang w:val="fr-FR"/>
              </w:rPr>
              <w:t xml:space="preserve"> l’environnement  </w:t>
            </w:r>
            <w:r>
              <w:rPr>
                <w:b w:val="0"/>
                <w:u w:val="single"/>
                <w:lang w:val="fr-FR"/>
              </w:rPr>
              <w:t>relatifs à la</w:t>
            </w:r>
            <w:r w:rsidRPr="00B44EC1">
              <w:rPr>
                <w:b w:val="0"/>
                <w:u w:val="single"/>
                <w:lang w:val="fr-FR"/>
              </w:rPr>
              <w:t xml:space="preserve"> biodivers</w:t>
            </w:r>
            <w:r>
              <w:rPr>
                <w:b w:val="0"/>
                <w:u w:val="single"/>
                <w:lang w:val="fr-FR"/>
              </w:rPr>
              <w:t>i</w:t>
            </w:r>
            <w:r w:rsidRPr="00B44EC1">
              <w:rPr>
                <w:b w:val="0"/>
                <w:u w:val="single"/>
                <w:lang w:val="fr-FR"/>
              </w:rPr>
              <w:t>té pour améliorer la collaboration, la communi</w:t>
            </w:r>
            <w:r>
              <w:rPr>
                <w:b w:val="0"/>
                <w:u w:val="single"/>
                <w:lang w:val="fr-FR"/>
              </w:rPr>
              <w:t xml:space="preserve">cation </w:t>
            </w:r>
            <w:r w:rsidRPr="00B44EC1">
              <w:rPr>
                <w:b w:val="0"/>
                <w:u w:val="single"/>
                <w:lang w:val="fr-FR"/>
              </w:rPr>
              <w:t>et la coordination à l’échel</w:t>
            </w:r>
            <w:r>
              <w:rPr>
                <w:b w:val="0"/>
                <w:u w:val="single"/>
                <w:lang w:val="fr-FR"/>
              </w:rPr>
              <w:t>le</w:t>
            </w:r>
            <w:r w:rsidRPr="00B44EC1">
              <w:rPr>
                <w:b w:val="0"/>
                <w:u w:val="single"/>
                <w:lang w:val="fr-FR"/>
              </w:rPr>
              <w:t xml:space="preserve"> national</w:t>
            </w:r>
            <w:r>
              <w:rPr>
                <w:b w:val="0"/>
                <w:u w:val="single"/>
                <w:lang w:val="fr-FR"/>
              </w:rPr>
              <w:t>e</w:t>
            </w:r>
            <w:r w:rsidRPr="00B44EC1">
              <w:rPr>
                <w:b w:val="0"/>
                <w:u w:val="single"/>
                <w:lang w:val="fr-FR"/>
              </w:rPr>
              <w:t xml:space="preserve"> ave</w:t>
            </w:r>
            <w:r>
              <w:rPr>
                <w:b w:val="0"/>
                <w:u w:val="single"/>
                <w:lang w:val="fr-FR"/>
              </w:rPr>
              <w:t xml:space="preserve">c </w:t>
            </w:r>
            <w:r w:rsidRPr="00B44EC1">
              <w:rPr>
                <w:b w:val="0"/>
                <w:u w:val="single"/>
                <w:lang w:val="fr-FR"/>
              </w:rPr>
              <w:t>les organi</w:t>
            </w:r>
            <w:r>
              <w:rPr>
                <w:b w:val="0"/>
                <w:u w:val="single"/>
                <w:lang w:val="fr-FR"/>
              </w:rPr>
              <w:t>s</w:t>
            </w:r>
            <w:r w:rsidRPr="00B44EC1">
              <w:rPr>
                <w:b w:val="0"/>
                <w:u w:val="single"/>
                <w:lang w:val="fr-FR"/>
              </w:rPr>
              <w:t>ations et processus pertinents;</w:t>
            </w:r>
          </w:p>
        </w:tc>
        <w:tc>
          <w:tcPr>
            <w:tcW w:w="3456" w:type="dxa"/>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466AFD">
            <w:pPr>
              <w:pStyle w:val="ListParagraph"/>
              <w:numPr>
                <w:ilvl w:val="0"/>
                <w:numId w:val="20"/>
              </w:numPr>
              <w:tabs>
                <w:tab w:val="left" w:pos="720"/>
              </w:tabs>
              <w:ind w:left="0" w:firstLine="0"/>
              <w:jc w:val="both"/>
              <w:rPr>
                <w:b w:val="0"/>
                <w:sz w:val="23"/>
                <w:szCs w:val="23"/>
                <w:lang w:val="fr-FR" w:eastAsia="de-CH"/>
              </w:rPr>
            </w:pPr>
            <w:r w:rsidRPr="005E66AB">
              <w:rPr>
                <w:b w:val="0"/>
                <w:i/>
                <w:iCs/>
                <w:sz w:val="23"/>
                <w:szCs w:val="23"/>
                <w:lang w:val="fr-FR" w:eastAsia="de-CH"/>
              </w:rPr>
              <w:t xml:space="preserve">Prie </w:t>
            </w:r>
            <w:r w:rsidRPr="005E66AB">
              <w:rPr>
                <w:b w:val="0"/>
                <w:sz w:val="23"/>
                <w:szCs w:val="23"/>
                <w:lang w:val="fr-FR" w:eastAsia="de-CH"/>
              </w:rPr>
              <w:t xml:space="preserve">le Secrétariat de continuer à œuvrer pour une coopération efficace et pratique avec les acteurs compétents, notamment d’autres instruments et organisations internationales s’intéressant à la biodiversité; </w:t>
            </w:r>
          </w:p>
        </w:tc>
        <w:tc>
          <w:tcPr>
            <w:tcW w:w="3456" w:type="dxa"/>
          </w:tcPr>
          <w:p w:rsidR="00466AFD" w:rsidRPr="00910C28"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Repris de</w:t>
            </w:r>
            <w:r w:rsidRPr="00910C28">
              <w:rPr>
                <w:lang w:val="fr-FR"/>
              </w:rPr>
              <w:t xml:space="preserve"> la Résolution 10.21, paragraphe 1.</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466AFD">
            <w:pPr>
              <w:pStyle w:val="ListParagraph"/>
              <w:numPr>
                <w:ilvl w:val="0"/>
                <w:numId w:val="20"/>
              </w:numPr>
              <w:ind w:left="0" w:firstLine="3"/>
              <w:jc w:val="both"/>
              <w:rPr>
                <w:b w:val="0"/>
                <w:bCs w:val="0"/>
                <w:i/>
                <w:lang w:val="fr-FR"/>
              </w:rPr>
            </w:pPr>
            <w:r w:rsidRPr="005E66AB">
              <w:rPr>
                <w:b w:val="0"/>
                <w:i/>
                <w:iCs/>
                <w:sz w:val="23"/>
                <w:szCs w:val="23"/>
                <w:lang w:val="fr-FR" w:eastAsia="de-CH"/>
              </w:rPr>
              <w:t xml:space="preserve">Demande </w:t>
            </w:r>
            <w:r w:rsidRPr="005E66AB">
              <w:rPr>
                <w:b w:val="0"/>
                <w:sz w:val="23"/>
                <w:szCs w:val="23"/>
                <w:lang w:val="fr-FR" w:eastAsia="de-CH"/>
              </w:rPr>
              <w:t xml:space="preserve">au Secrétariat d’identifier d’éventuels partenaires stratégiques et de s’engager avec ceux-ci pour la mise en place de campagnes et d’autres activités de sensibilisation et </w:t>
            </w:r>
            <w:r w:rsidRPr="005E66AB">
              <w:rPr>
                <w:b w:val="0"/>
                <w:i/>
                <w:iCs/>
                <w:sz w:val="23"/>
                <w:szCs w:val="23"/>
                <w:lang w:val="fr-FR" w:eastAsia="de-CH"/>
              </w:rPr>
              <w:t xml:space="preserve">encourage </w:t>
            </w:r>
            <w:r w:rsidRPr="005E66AB">
              <w:rPr>
                <w:b w:val="0"/>
                <w:sz w:val="23"/>
                <w:szCs w:val="23"/>
                <w:lang w:val="fr-FR" w:eastAsia="de-CH"/>
              </w:rPr>
              <w:t xml:space="preserve">tous les acteurs à contribuer à ces initiatives; </w:t>
            </w:r>
          </w:p>
        </w:tc>
        <w:tc>
          <w:tcPr>
            <w:tcW w:w="3456" w:type="dxa"/>
          </w:tcPr>
          <w:p w:rsidR="00466AFD" w:rsidRPr="00B44EC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Cs/>
                <w:i/>
                <w:lang w:val="fr-FR"/>
              </w:rPr>
            </w:pPr>
            <w:r>
              <w:rPr>
                <w:lang w:val="fr-FR"/>
              </w:rPr>
              <w:t>Repris de</w:t>
            </w:r>
            <w:r w:rsidRPr="00B44EC1">
              <w:rPr>
                <w:lang w:val="fr-FR"/>
              </w:rPr>
              <w:t xml:space="preserve"> la Résolution 10.21, paragraphe 12.</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466AFD">
            <w:pPr>
              <w:pStyle w:val="ListParagraph"/>
              <w:numPr>
                <w:ilvl w:val="0"/>
                <w:numId w:val="20"/>
              </w:numPr>
              <w:ind w:left="0" w:firstLine="3"/>
              <w:jc w:val="both"/>
              <w:rPr>
                <w:b w:val="0"/>
                <w:sz w:val="23"/>
                <w:szCs w:val="23"/>
                <w:lang w:val="fr-FR" w:eastAsia="de-CH"/>
              </w:rPr>
            </w:pPr>
            <w:r w:rsidRPr="005E66AB">
              <w:rPr>
                <w:b w:val="0"/>
                <w:i/>
                <w:iCs/>
                <w:sz w:val="23"/>
                <w:szCs w:val="23"/>
                <w:lang w:val="fr-FR" w:eastAsia="de-CH"/>
              </w:rPr>
              <w:t xml:space="preserve">Prie instamment </w:t>
            </w:r>
            <w:r w:rsidRPr="005E66AB">
              <w:rPr>
                <w:b w:val="0"/>
                <w:iCs/>
                <w:sz w:val="23"/>
                <w:szCs w:val="23"/>
                <w:lang w:val="fr-FR" w:eastAsia="de-CH"/>
              </w:rPr>
              <w:t>le Secrétariat</w:t>
            </w:r>
            <w:r w:rsidRPr="005E66AB">
              <w:rPr>
                <w:b w:val="0"/>
                <w:i/>
                <w:iCs/>
                <w:sz w:val="23"/>
                <w:szCs w:val="23"/>
                <w:lang w:val="fr-FR" w:eastAsia="de-CH"/>
              </w:rPr>
              <w:t xml:space="preserve"> </w:t>
            </w:r>
            <w:r w:rsidRPr="005E66AB">
              <w:rPr>
                <w:b w:val="0"/>
                <w:sz w:val="23"/>
                <w:szCs w:val="23"/>
                <w:lang w:val="fr-FR" w:eastAsia="de-CH"/>
              </w:rPr>
              <w:t xml:space="preserve">de faciliter une collaboration informelle avec des partenaires tels que la FAO qui peuvent aider à étendre le champ d’approches coopératives à un niveau multidisciplinaire et transdisciplinaire; </w:t>
            </w:r>
          </w:p>
          <w:p w:rsidR="00466AFD" w:rsidRPr="005E66AB" w:rsidRDefault="00466AFD" w:rsidP="00174E8B">
            <w:pPr>
              <w:pStyle w:val="ListParagraph"/>
              <w:ind w:left="3"/>
              <w:jc w:val="both"/>
              <w:rPr>
                <w:b w:val="0"/>
                <w:bCs w:val="0"/>
                <w:i/>
                <w:lang w:val="fr-FR"/>
              </w:rPr>
            </w:pPr>
          </w:p>
        </w:tc>
        <w:tc>
          <w:tcPr>
            <w:tcW w:w="3456" w:type="dxa"/>
          </w:tcPr>
          <w:p w:rsidR="00466AFD" w:rsidRPr="00B44EC1" w:rsidRDefault="00466AFD" w:rsidP="00174E8B">
            <w:pPr>
              <w:pStyle w:val="ListParagraph"/>
              <w:ind w:left="3"/>
              <w:jc w:val="both"/>
              <w:cnfStyle w:val="000000100000" w:firstRow="0" w:lastRow="0" w:firstColumn="0" w:lastColumn="0" w:oddVBand="0" w:evenVBand="0" w:oddHBand="1" w:evenHBand="0" w:firstRowFirstColumn="0" w:firstRowLastColumn="0" w:lastRowFirstColumn="0" w:lastRowLastColumn="0"/>
              <w:rPr>
                <w:bCs/>
                <w:lang w:val="fr-FR"/>
              </w:rPr>
            </w:pPr>
            <w:r>
              <w:rPr>
                <w:bCs/>
                <w:lang w:val="fr-FR"/>
              </w:rPr>
              <w:t xml:space="preserve">Repris de </w:t>
            </w:r>
            <w:r w:rsidRPr="00B44EC1">
              <w:rPr>
                <w:bCs/>
                <w:lang w:val="fr-FR"/>
              </w:rPr>
              <w:t>la Résolution 10.21, paragraphe 8.</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Borders>
              <w:bottom w:val="nil"/>
            </w:tcBorders>
          </w:tcPr>
          <w:p w:rsidR="00466AFD" w:rsidRPr="00903484" w:rsidRDefault="00466AFD" w:rsidP="00466AFD">
            <w:pPr>
              <w:pStyle w:val="ListParagraph"/>
              <w:numPr>
                <w:ilvl w:val="0"/>
                <w:numId w:val="20"/>
              </w:numPr>
              <w:ind w:left="0" w:firstLine="0"/>
              <w:jc w:val="both"/>
              <w:rPr>
                <w:b w:val="0"/>
                <w:lang w:val="fr-FR" w:eastAsia="de-CH"/>
              </w:rPr>
            </w:pPr>
            <w:r w:rsidRPr="005E66AB">
              <w:rPr>
                <w:b w:val="0"/>
                <w:i/>
                <w:iCs/>
                <w:strike/>
                <w:sz w:val="23"/>
                <w:szCs w:val="23"/>
                <w:lang w:val="fr-FR" w:eastAsia="de-CH"/>
              </w:rPr>
              <w:t>Charge</w:t>
            </w:r>
            <w:r w:rsidRPr="005E66AB">
              <w:rPr>
                <w:b w:val="0"/>
                <w:i/>
                <w:iCs/>
                <w:sz w:val="23"/>
                <w:szCs w:val="23"/>
                <w:lang w:val="fr-FR" w:eastAsia="de-CH"/>
              </w:rPr>
              <w:t xml:space="preserve"> Prie en outre </w:t>
            </w:r>
            <w:r w:rsidRPr="005E66AB">
              <w:rPr>
                <w:b w:val="0"/>
                <w:sz w:val="23"/>
                <w:szCs w:val="23"/>
                <w:lang w:val="fr-FR" w:eastAsia="de-CH"/>
              </w:rPr>
              <w:t xml:space="preserve">le Secrétariat de continuer de renforcer les partenariats avec le secteur privé conformément au Code de conduite de la CMS; </w:t>
            </w:r>
          </w:p>
        </w:tc>
        <w:tc>
          <w:tcPr>
            <w:tcW w:w="3456" w:type="dxa"/>
            <w:tcBorders>
              <w:bottom w:val="nil"/>
            </w:tcBorders>
          </w:tcPr>
          <w:p w:rsidR="00466AFD" w:rsidRPr="00B44EC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Repris de</w:t>
            </w:r>
            <w:r w:rsidRPr="00B44EC1">
              <w:rPr>
                <w:lang w:val="fr-FR"/>
              </w:rPr>
              <w:t xml:space="preserve"> la Résolution 10.21, paragraphe 10. </w:t>
            </w:r>
            <w:r>
              <w:rPr>
                <w:lang w:val="fr-FR"/>
              </w:rPr>
              <w:t>Libellé harmonisé avec des paragraphes similaires</w:t>
            </w:r>
            <w:r w:rsidRPr="00B44EC1">
              <w:rPr>
                <w:lang w:val="fr-FR"/>
              </w:rPr>
              <w:t>.</w:t>
            </w:r>
          </w:p>
        </w:tc>
      </w:tr>
      <w:tr w:rsidR="00466AFD" w:rsidRPr="008F182C"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nil"/>
              <w:bottom w:val="single" w:sz="4" w:space="0" w:color="auto"/>
            </w:tcBorders>
          </w:tcPr>
          <w:p w:rsidR="00466AFD" w:rsidRPr="005E66AB" w:rsidRDefault="00466AFD" w:rsidP="00174E8B">
            <w:pPr>
              <w:jc w:val="both"/>
              <w:rPr>
                <w:b w:val="0"/>
                <w:strike/>
                <w:sz w:val="23"/>
                <w:szCs w:val="23"/>
                <w:lang w:val="fr-FR" w:eastAsia="de-CH"/>
              </w:rPr>
            </w:pPr>
            <w:r w:rsidRPr="005E66AB">
              <w:rPr>
                <w:b w:val="0"/>
                <w:i/>
                <w:iCs/>
                <w:strike/>
                <w:sz w:val="23"/>
                <w:szCs w:val="23"/>
                <w:lang w:val="fr-FR" w:eastAsia="de-CH"/>
              </w:rPr>
              <w:t xml:space="preserve">Prie en outre </w:t>
            </w:r>
            <w:r w:rsidRPr="005E66AB">
              <w:rPr>
                <w:b w:val="0"/>
                <w:strike/>
                <w:sz w:val="23"/>
                <w:szCs w:val="23"/>
                <w:lang w:val="fr-FR" w:eastAsia="de-CH"/>
              </w:rPr>
              <w:t xml:space="preserve">le Secrétariat de continuer à rationaliser ses activités au sein des Secrétariats de la famille CMS, chaque fois que cela est possible et pertinent et dans le cadre des mandats assignés par les Parties/Etats signataires, pour une action de conservation et de sensibilisation plus efficace; </w:t>
            </w:r>
          </w:p>
        </w:tc>
        <w:tc>
          <w:tcPr>
            <w:tcW w:w="3456" w:type="dxa"/>
            <w:tcBorders>
              <w:top w:val="nil"/>
              <w:bottom w:val="single" w:sz="4" w:space="0" w:color="auto"/>
            </w:tcBorders>
          </w:tcPr>
          <w:p w:rsidR="00466AFD" w:rsidRPr="00903484"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sz w:val="22"/>
                <w:lang w:val="fr-FR"/>
              </w:rPr>
            </w:pPr>
            <w:r w:rsidRPr="00903484">
              <w:rPr>
                <w:sz w:val="22"/>
                <w:lang w:val="fr-FR"/>
              </w:rPr>
              <w:t>Repris de la Résolution 10.21, paragraphe 6.</w:t>
            </w:r>
          </w:p>
          <w:p w:rsidR="00466AFD" w:rsidRPr="00903484"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sz w:val="22"/>
                <w:lang w:val="fr-FR"/>
              </w:rPr>
            </w:pPr>
          </w:p>
          <w:p w:rsidR="00466AFD" w:rsidRPr="00B44EC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sidRPr="00903484">
              <w:rPr>
                <w:sz w:val="22"/>
                <w:lang w:val="fr-FR"/>
              </w:rPr>
              <w:t>On propose de supprimer ce paragraphe car il ne se rapporte ni aux « synergies » ni à la « coopération ». Il devrait être couvert par le document du Secrétariat sur l’efficacité au sein de la CMS, UNEP/CMS/COP11/Doc.16.2.</w:t>
            </w:r>
          </w:p>
        </w:tc>
      </w:tr>
      <w:tr w:rsidR="00466AFD" w:rsidRPr="00903484" w:rsidTr="00174E8B">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bottom w:val="single" w:sz="4" w:space="0" w:color="auto"/>
            </w:tcBorders>
          </w:tcPr>
          <w:p w:rsidR="00466AFD" w:rsidRPr="00903484" w:rsidRDefault="00466AFD" w:rsidP="00174E8B">
            <w:pPr>
              <w:pStyle w:val="ListParagraph"/>
              <w:ind w:left="0"/>
              <w:jc w:val="both"/>
              <w:rPr>
                <w:iCs/>
                <w:szCs w:val="24"/>
                <w:lang w:val="fr-FR" w:eastAsia="de-CH"/>
              </w:rPr>
            </w:pPr>
            <w:r w:rsidRPr="00903484">
              <w:rPr>
                <w:iCs/>
                <w:szCs w:val="24"/>
                <w:lang w:val="fr-FR" w:eastAsia="de-CH"/>
              </w:rPr>
              <w:lastRenderedPageBreak/>
              <w:t>Texte</w:t>
            </w:r>
          </w:p>
        </w:tc>
        <w:tc>
          <w:tcPr>
            <w:tcW w:w="3456" w:type="dxa"/>
            <w:tcBorders>
              <w:top w:val="single" w:sz="4" w:space="0" w:color="auto"/>
              <w:bottom w:val="single" w:sz="4" w:space="0" w:color="auto"/>
            </w:tcBorders>
          </w:tcPr>
          <w:p w:rsidR="00466AFD" w:rsidRPr="00903484"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
                <w:szCs w:val="24"/>
                <w:lang w:val="fr-FR"/>
              </w:rPr>
            </w:pPr>
            <w:r w:rsidRPr="00903484">
              <w:rPr>
                <w:b/>
                <w:szCs w:val="24"/>
                <w:lang w:val="fr-FR"/>
              </w:rPr>
              <w:t>Source</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tcBorders>
            <w:shd w:val="clear" w:color="auto" w:fill="auto"/>
          </w:tcPr>
          <w:p w:rsidR="00466AFD" w:rsidRPr="00903484" w:rsidRDefault="00466AFD" w:rsidP="00466AFD">
            <w:pPr>
              <w:pStyle w:val="ListParagraph"/>
              <w:numPr>
                <w:ilvl w:val="0"/>
                <w:numId w:val="20"/>
              </w:numPr>
              <w:ind w:left="0" w:firstLine="0"/>
              <w:jc w:val="both"/>
              <w:rPr>
                <w:b w:val="0"/>
                <w:sz w:val="23"/>
                <w:szCs w:val="23"/>
                <w:lang w:val="fr-FR" w:eastAsia="de-CH"/>
              </w:rPr>
            </w:pPr>
            <w:r w:rsidRPr="005E66AB">
              <w:rPr>
                <w:b w:val="0"/>
                <w:i/>
                <w:iCs/>
                <w:sz w:val="23"/>
                <w:szCs w:val="23"/>
                <w:lang w:val="fr-FR" w:eastAsia="de-CH"/>
              </w:rPr>
              <w:t xml:space="preserve">Demande en outre </w:t>
            </w:r>
            <w:r w:rsidRPr="005E66AB">
              <w:rPr>
                <w:b w:val="0"/>
                <w:sz w:val="23"/>
                <w:szCs w:val="23"/>
                <w:lang w:val="fr-FR" w:eastAsia="de-CH"/>
              </w:rPr>
              <w:t xml:space="preserve">au Secrétariat, à ses Accords associés dans le cadre des mandats assignés par les Parties/États signataires, et au Conseil scientifique de renforcer leur engagement auprès des comités d’experts et des processus lancés par des partenaires, le cas échéant; </w:t>
            </w:r>
          </w:p>
        </w:tc>
        <w:tc>
          <w:tcPr>
            <w:tcW w:w="3456" w:type="dxa"/>
            <w:tcBorders>
              <w:top w:val="single" w:sz="4" w:space="0" w:color="auto"/>
            </w:tcBorders>
            <w:shd w:val="clear" w:color="auto" w:fill="auto"/>
          </w:tcPr>
          <w:p w:rsidR="00466AFD" w:rsidRPr="002B13C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Repris de</w:t>
            </w:r>
            <w:r w:rsidRPr="002B13C1">
              <w:rPr>
                <w:lang w:val="fr-FR"/>
              </w:rPr>
              <w:t xml:space="preserve"> la Résolution 10.21, paragraphe 7.</w:t>
            </w:r>
          </w:p>
        </w:tc>
      </w:tr>
      <w:tr w:rsidR="00466AFD" w:rsidRPr="005E66AB"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5E66AB" w:rsidRDefault="00466AFD" w:rsidP="00174E8B">
            <w:pPr>
              <w:jc w:val="both"/>
              <w:rPr>
                <w:b w:val="0"/>
                <w:strike/>
                <w:lang w:val="fr-FR"/>
              </w:rPr>
            </w:pPr>
            <w:r w:rsidRPr="005E66AB">
              <w:rPr>
                <w:b w:val="0"/>
                <w:i/>
                <w:strike/>
                <w:lang w:val="fr-FR"/>
              </w:rPr>
              <w:t>Reconnaît</w:t>
            </w:r>
            <w:r w:rsidRPr="005E66AB">
              <w:rPr>
                <w:b w:val="0"/>
                <w:strike/>
                <w:lang w:val="fr-FR"/>
              </w:rPr>
              <w:t xml:space="preserve"> que les instruments préférés pour une telle coopération sont les plans de travail communs renouvelables avec des objectifs atteignables convenus dans un calendrier clair, élaborés par la CMS et les organismes partenaires, ainsi que la nécessité de faire des rapports sur les progrès accomplis et d’évaluer régulièrement l’efficacité des résultats ; et</w:t>
            </w:r>
          </w:p>
        </w:tc>
        <w:tc>
          <w:tcPr>
            <w:tcW w:w="3456" w:type="dxa"/>
            <w:shd w:val="clear" w:color="auto" w:fill="BFBFBF"/>
          </w:tcPr>
          <w:p w:rsidR="00466AFD" w:rsidRPr="008026AC"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Repris de</w:t>
            </w:r>
            <w:r w:rsidRPr="002B13C1">
              <w:rPr>
                <w:lang w:val="fr-FR"/>
              </w:rPr>
              <w:t xml:space="preserve"> la Résolution 9.6, paragraphe 5. </w:t>
            </w:r>
            <w:r>
              <w:rPr>
                <w:lang w:val="fr-FR"/>
              </w:rPr>
              <w:t>On propose de supprimer ce paragraphe car jugé redondant, à la lumière du paragraphe suivant</w:t>
            </w:r>
            <w:r w:rsidRPr="008026AC">
              <w:rPr>
                <w:lang w:val="fr-FR"/>
              </w:rPr>
              <w:t>.</w:t>
            </w:r>
          </w:p>
        </w:tc>
      </w:tr>
      <w:tr w:rsidR="00466AFD" w:rsidRPr="008F182C"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F2491A" w:rsidRDefault="00466AFD" w:rsidP="00466AFD">
            <w:pPr>
              <w:pStyle w:val="ListParagraph"/>
              <w:numPr>
                <w:ilvl w:val="0"/>
                <w:numId w:val="20"/>
              </w:numPr>
              <w:ind w:left="0" w:firstLine="0"/>
              <w:jc w:val="both"/>
              <w:rPr>
                <w:b w:val="0"/>
                <w:bCs w:val="0"/>
                <w:u w:val="single"/>
                <w:lang w:val="fr-FR"/>
              </w:rPr>
            </w:pPr>
            <w:r>
              <w:rPr>
                <w:b w:val="0"/>
                <w:i/>
                <w:u w:val="single"/>
                <w:lang w:val="fr-FR"/>
              </w:rPr>
              <w:t>Prie</w:t>
            </w:r>
            <w:r w:rsidRPr="001E7576">
              <w:rPr>
                <w:b w:val="0"/>
                <w:i/>
                <w:u w:val="single"/>
                <w:lang w:val="fr-FR"/>
              </w:rPr>
              <w:t xml:space="preserve"> en outre </w:t>
            </w:r>
            <w:r>
              <w:rPr>
                <w:b w:val="0"/>
                <w:u w:val="single"/>
                <w:lang w:val="fr-FR"/>
              </w:rPr>
              <w:t>le</w:t>
            </w:r>
            <w:r w:rsidRPr="001E7576">
              <w:rPr>
                <w:b w:val="0"/>
                <w:u w:val="single"/>
                <w:lang w:val="fr-FR"/>
              </w:rPr>
              <w:t xml:space="preserve"> Secrétariat de préparer des propositions, y compris par le biais de plans de </w:t>
            </w:r>
            <w:r>
              <w:rPr>
                <w:b w:val="0"/>
                <w:u w:val="single"/>
                <w:lang w:val="fr-FR"/>
              </w:rPr>
              <w:t>travail</w:t>
            </w:r>
            <w:r w:rsidRPr="001E7576">
              <w:rPr>
                <w:b w:val="0"/>
                <w:u w:val="single"/>
                <w:lang w:val="fr-FR"/>
              </w:rPr>
              <w:t xml:space="preserve"> co</w:t>
            </w:r>
            <w:r>
              <w:rPr>
                <w:b w:val="0"/>
                <w:u w:val="single"/>
                <w:lang w:val="fr-FR"/>
              </w:rPr>
              <w:t>njoints</w:t>
            </w:r>
            <w:r w:rsidRPr="001E7576">
              <w:rPr>
                <w:b w:val="0"/>
                <w:u w:val="single"/>
                <w:lang w:val="fr-FR"/>
              </w:rPr>
              <w:t>, pour renforcer ul</w:t>
            </w:r>
            <w:r>
              <w:rPr>
                <w:b w:val="0"/>
                <w:u w:val="single"/>
                <w:lang w:val="fr-FR"/>
              </w:rPr>
              <w:t>t</w:t>
            </w:r>
            <w:r w:rsidRPr="001E7576">
              <w:rPr>
                <w:b w:val="0"/>
                <w:u w:val="single"/>
                <w:lang w:val="fr-FR"/>
              </w:rPr>
              <w:t>é</w:t>
            </w:r>
            <w:r>
              <w:rPr>
                <w:b w:val="0"/>
                <w:u w:val="single"/>
                <w:lang w:val="fr-FR"/>
              </w:rPr>
              <w:t>rieurement</w:t>
            </w:r>
            <w:r w:rsidRPr="001E7576">
              <w:rPr>
                <w:b w:val="0"/>
                <w:u w:val="single"/>
                <w:lang w:val="fr-FR"/>
              </w:rPr>
              <w:t xml:space="preserve"> la coopération, </w:t>
            </w:r>
            <w:r>
              <w:rPr>
                <w:b w:val="0"/>
                <w:u w:val="single"/>
                <w:lang w:val="fr-FR"/>
              </w:rPr>
              <w:t xml:space="preserve">la </w:t>
            </w:r>
            <w:r w:rsidRPr="001E7576">
              <w:rPr>
                <w:b w:val="0"/>
                <w:u w:val="single"/>
                <w:lang w:val="fr-FR"/>
              </w:rPr>
              <w:t xml:space="preserve">coordination </w:t>
            </w:r>
            <w:r>
              <w:rPr>
                <w:b w:val="0"/>
                <w:u w:val="single"/>
                <w:lang w:val="fr-FR"/>
              </w:rPr>
              <w:t>et les</w:t>
            </w:r>
            <w:r w:rsidRPr="001E7576">
              <w:rPr>
                <w:b w:val="0"/>
                <w:u w:val="single"/>
                <w:lang w:val="fr-FR"/>
              </w:rPr>
              <w:t xml:space="preserve"> synergies </w:t>
            </w:r>
            <w:r>
              <w:rPr>
                <w:b w:val="0"/>
                <w:u w:val="single"/>
                <w:lang w:val="fr-FR"/>
              </w:rPr>
              <w:t>avec d’autres conventions relatives à la b</w:t>
            </w:r>
            <w:r w:rsidRPr="001E7576">
              <w:rPr>
                <w:b w:val="0"/>
                <w:u w:val="single"/>
                <w:lang w:val="fr-FR"/>
              </w:rPr>
              <w:t>iodiversit</w:t>
            </w:r>
            <w:r>
              <w:rPr>
                <w:b w:val="0"/>
                <w:u w:val="single"/>
                <w:lang w:val="fr-FR"/>
              </w:rPr>
              <w:t>é pour examen par la prochaine</w:t>
            </w:r>
            <w:r w:rsidRPr="001E7576">
              <w:rPr>
                <w:b w:val="0"/>
                <w:u w:val="single"/>
                <w:lang w:val="fr-FR"/>
              </w:rPr>
              <w:t xml:space="preserve"> Conf</w:t>
            </w:r>
            <w:r>
              <w:rPr>
                <w:b w:val="0"/>
                <w:u w:val="single"/>
                <w:lang w:val="fr-FR"/>
              </w:rPr>
              <w:t>é</w:t>
            </w:r>
            <w:r w:rsidRPr="001E7576">
              <w:rPr>
                <w:b w:val="0"/>
                <w:u w:val="single"/>
                <w:lang w:val="fr-FR"/>
              </w:rPr>
              <w:t xml:space="preserve">rence </w:t>
            </w:r>
            <w:r>
              <w:rPr>
                <w:b w:val="0"/>
                <w:u w:val="single"/>
                <w:lang w:val="fr-FR"/>
              </w:rPr>
              <w:t>des Parties</w:t>
            </w:r>
            <w:r w:rsidRPr="001E7576">
              <w:rPr>
                <w:b w:val="0"/>
                <w:u w:val="single"/>
                <w:lang w:val="fr-FR"/>
              </w:rPr>
              <w:t>;</w:t>
            </w:r>
          </w:p>
        </w:tc>
        <w:tc>
          <w:tcPr>
            <w:tcW w:w="3456" w:type="dxa"/>
            <w:shd w:val="clear" w:color="auto" w:fill="auto"/>
          </w:tcPr>
          <w:p w:rsidR="00466AFD" w:rsidRPr="001E7576"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sidRPr="001E7576">
              <w:rPr>
                <w:lang w:val="fr-FR"/>
              </w:rPr>
              <w:t xml:space="preserve">Nouveau paragraphe qui reprend </w:t>
            </w:r>
            <w:r>
              <w:rPr>
                <w:lang w:val="fr-FR"/>
              </w:rPr>
              <w:t>d</w:t>
            </w:r>
            <w:r w:rsidRPr="001E7576">
              <w:rPr>
                <w:lang w:val="fr-FR"/>
              </w:rPr>
              <w:t xml:space="preserve">es </w:t>
            </w:r>
            <w:r>
              <w:rPr>
                <w:lang w:val="fr-FR"/>
              </w:rPr>
              <w:t>élé</w:t>
            </w:r>
            <w:r w:rsidRPr="001E7576">
              <w:rPr>
                <w:lang w:val="fr-FR"/>
              </w:rPr>
              <w:t xml:space="preserve">ments de </w:t>
            </w:r>
            <w:r>
              <w:rPr>
                <w:lang w:val="fr-FR"/>
              </w:rPr>
              <w:t>l</w:t>
            </w:r>
            <w:r w:rsidRPr="001E7576">
              <w:rPr>
                <w:lang w:val="fr-FR"/>
              </w:rPr>
              <w:t>a Résolution 10.21, paragraph</w:t>
            </w:r>
            <w:r>
              <w:rPr>
                <w:lang w:val="fr-FR"/>
              </w:rPr>
              <w:t>e</w:t>
            </w:r>
            <w:r w:rsidRPr="001E7576">
              <w:rPr>
                <w:lang w:val="fr-FR"/>
              </w:rPr>
              <w:t xml:space="preserve"> 5. </w:t>
            </w:r>
          </w:p>
        </w:tc>
      </w:tr>
      <w:tr w:rsidR="00466AFD" w:rsidRPr="005E66AB"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5E66AB" w:rsidRDefault="00466AFD" w:rsidP="00174E8B">
            <w:pPr>
              <w:rPr>
                <w:b w:val="0"/>
                <w:strike/>
                <w:sz w:val="23"/>
                <w:szCs w:val="23"/>
                <w:lang w:val="fr-FR" w:eastAsia="de-CH"/>
              </w:rPr>
            </w:pPr>
            <w:r w:rsidRPr="005E66AB">
              <w:rPr>
                <w:b w:val="0"/>
                <w:i/>
                <w:iCs/>
                <w:strike/>
                <w:sz w:val="23"/>
                <w:szCs w:val="23"/>
                <w:lang w:val="fr-FR" w:eastAsia="de-CH"/>
              </w:rPr>
              <w:t xml:space="preserve">Prie </w:t>
            </w:r>
            <w:r w:rsidRPr="005E66AB">
              <w:rPr>
                <w:b w:val="0"/>
                <w:strike/>
                <w:sz w:val="23"/>
                <w:szCs w:val="23"/>
                <w:lang w:val="fr-FR" w:eastAsia="de-CH"/>
              </w:rPr>
              <w:t xml:space="preserve">le Secrétariat de formaliser cette coopération moyennant des plans de travail conjoints renouvelables assortis de buts et de calendriers précis et suivant de près le Plan stratégique de la CMS, de faire rapport sur les progrès accomplis de concert et d’évaluer régulièrement l’efficacité des résultats; </w:t>
            </w:r>
          </w:p>
          <w:p w:rsidR="00466AFD" w:rsidRPr="005E66AB" w:rsidRDefault="00466AFD" w:rsidP="00174E8B">
            <w:pPr>
              <w:pStyle w:val="ListParagraph"/>
              <w:ind w:left="0"/>
              <w:jc w:val="both"/>
              <w:rPr>
                <w:b w:val="0"/>
                <w:lang w:val="fr-FR"/>
              </w:rPr>
            </w:pPr>
          </w:p>
        </w:tc>
        <w:tc>
          <w:tcPr>
            <w:tcW w:w="3456" w:type="dxa"/>
            <w:shd w:val="clear" w:color="auto" w:fill="BFBFBF"/>
          </w:tcPr>
          <w:p w:rsidR="00466AFD" w:rsidRPr="001E7576"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Repris </w:t>
            </w:r>
            <w:r w:rsidRPr="001E7576">
              <w:rPr>
                <w:lang w:val="fr-FR"/>
              </w:rPr>
              <w:t xml:space="preserve">de la Résolution 10.21, paragraphe 5. </w:t>
            </w:r>
            <w:r>
              <w:rPr>
                <w:lang w:val="fr-FR"/>
              </w:rPr>
              <w:t>Ce paragraphe est jugé redondant, à la lumière du nouveau paragraphe 8 ci-dessus</w:t>
            </w:r>
            <w:r w:rsidRPr="001E7576">
              <w:rPr>
                <w:lang w:val="fr-FR"/>
              </w:rPr>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Default="00466AFD" w:rsidP="00174E8B">
            <w:pPr>
              <w:jc w:val="both"/>
              <w:rPr>
                <w:b w:val="0"/>
                <w:strike/>
                <w:lang w:val="fr-FR"/>
              </w:rPr>
            </w:pPr>
            <w:r w:rsidRPr="005E66AB">
              <w:rPr>
                <w:b w:val="0"/>
                <w:i/>
                <w:strike/>
                <w:lang w:val="fr-FR"/>
              </w:rPr>
              <w:t>Demande</w:t>
            </w:r>
            <w:r w:rsidRPr="005E66AB">
              <w:rPr>
                <w:b w:val="0"/>
                <w:strike/>
                <w:lang w:val="fr-FR"/>
              </w:rPr>
              <w:t xml:space="preserve"> au Secrétariat de la CMS et aux partenaires d’élaborer des processus supplémentaires pour simplifier et coordonner leur relation, tels que:</w:t>
            </w:r>
          </w:p>
          <w:p w:rsidR="00466AFD" w:rsidRPr="005E66AB" w:rsidRDefault="00466AFD" w:rsidP="00174E8B">
            <w:pPr>
              <w:jc w:val="both"/>
              <w:rPr>
                <w:b w:val="0"/>
                <w:strike/>
                <w:lang w:val="fr-FR"/>
              </w:rPr>
            </w:pPr>
          </w:p>
          <w:p w:rsidR="00466AFD" w:rsidRPr="005E66AB" w:rsidRDefault="00466AFD" w:rsidP="00174E8B">
            <w:pPr>
              <w:tabs>
                <w:tab w:val="left" w:pos="540"/>
              </w:tabs>
              <w:jc w:val="both"/>
              <w:rPr>
                <w:b w:val="0"/>
                <w:strike/>
                <w:lang w:val="fr-FR"/>
              </w:rPr>
            </w:pPr>
            <w:r w:rsidRPr="005E66AB">
              <w:rPr>
                <w:b w:val="0"/>
                <w:strike/>
                <w:lang w:val="fr-FR"/>
              </w:rPr>
              <w:t xml:space="preserve">(i) </w:t>
            </w:r>
            <w:r w:rsidRPr="005E66AB">
              <w:rPr>
                <w:b w:val="0"/>
                <w:strike/>
                <w:lang w:val="fr-FR"/>
              </w:rPr>
              <w:tab/>
              <w:t>des programmes de travail convenus entre la CMS et les organisations partenaires étroitement conformes au Plan stratégique de la CMS qui sont régulièrement revus; et</w:t>
            </w:r>
          </w:p>
          <w:p w:rsidR="00466AFD" w:rsidRPr="005E66AB" w:rsidRDefault="00466AFD" w:rsidP="00174E8B">
            <w:pPr>
              <w:tabs>
                <w:tab w:val="left" w:pos="540"/>
              </w:tabs>
              <w:jc w:val="both"/>
              <w:rPr>
                <w:b w:val="0"/>
                <w:strike/>
                <w:lang w:val="fr-FR"/>
              </w:rPr>
            </w:pPr>
            <w:r w:rsidRPr="005E66AB">
              <w:rPr>
                <w:b w:val="0"/>
                <w:strike/>
                <w:lang w:val="fr-FR"/>
              </w:rPr>
              <w:t xml:space="preserve">(ii) </w:t>
            </w:r>
            <w:r w:rsidRPr="005E66AB">
              <w:rPr>
                <w:b w:val="0"/>
                <w:strike/>
                <w:lang w:val="fr-FR"/>
              </w:rPr>
              <w:tab/>
              <w:t>des rapports conjoints ou consolidés sur les contributions des partenaires (en liquide, en nature et d’ordre professionnel) à la CMS pour une soumission formelle dans les processus de la CMS;</w:t>
            </w:r>
          </w:p>
        </w:tc>
        <w:tc>
          <w:tcPr>
            <w:tcW w:w="3456" w:type="dxa"/>
            <w:shd w:val="clear" w:color="auto" w:fill="auto"/>
          </w:tcPr>
          <w:p w:rsidR="00466AFD" w:rsidRPr="00EF7B48"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Repris </w:t>
            </w:r>
            <w:r w:rsidRPr="001E7576">
              <w:rPr>
                <w:lang w:val="fr-FR"/>
              </w:rPr>
              <w:t xml:space="preserve">de la Résolution 9.6, paragraphe 13. </w:t>
            </w:r>
            <w:r>
              <w:rPr>
                <w:lang w:val="fr-FR"/>
              </w:rPr>
              <w:t>Ce paragraphe pourrait être redondant, à la lumière du nouveau</w:t>
            </w:r>
            <w:r w:rsidRPr="00EF7B48">
              <w:rPr>
                <w:lang w:val="fr-FR"/>
              </w:rPr>
              <w:t xml:space="preserve"> paragraph</w:t>
            </w:r>
            <w:r>
              <w:rPr>
                <w:lang w:val="fr-FR"/>
              </w:rPr>
              <w:t>e</w:t>
            </w:r>
            <w:r w:rsidRPr="00EF7B48">
              <w:rPr>
                <w:lang w:val="fr-FR"/>
              </w:rPr>
              <w:t xml:space="preserve"> 8 </w:t>
            </w:r>
            <w:r>
              <w:rPr>
                <w:lang w:val="fr-FR"/>
              </w:rPr>
              <w:t>ci-dessus</w:t>
            </w:r>
            <w:r w:rsidRPr="00EF7B48">
              <w:rPr>
                <w:lang w:val="fr-FR"/>
              </w:rPr>
              <w:t>.</w:t>
            </w:r>
          </w:p>
        </w:tc>
      </w:tr>
      <w:tr w:rsidR="00466AFD" w:rsidRPr="007D35ED"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E109F9" w:rsidRDefault="00466AFD" w:rsidP="00466AFD">
            <w:pPr>
              <w:pStyle w:val="ListParagraph"/>
              <w:numPr>
                <w:ilvl w:val="0"/>
                <w:numId w:val="20"/>
              </w:numPr>
              <w:ind w:left="0" w:firstLine="0"/>
              <w:jc w:val="both"/>
              <w:rPr>
                <w:b w:val="0"/>
                <w:bCs w:val="0"/>
                <w:u w:val="single"/>
                <w:lang w:val="fr-FR"/>
              </w:rPr>
            </w:pPr>
            <w:r w:rsidRPr="00E109F9">
              <w:rPr>
                <w:b w:val="0"/>
                <w:i/>
                <w:u w:val="single"/>
                <w:lang w:val="fr-FR"/>
              </w:rPr>
              <w:t xml:space="preserve">Prie en outre </w:t>
            </w:r>
            <w:r w:rsidRPr="00E109F9">
              <w:rPr>
                <w:b w:val="0"/>
                <w:u w:val="single"/>
                <w:lang w:val="fr-FR"/>
              </w:rPr>
              <w:t>le Secrétariat de prendre des mesures pour renforcer la mise en œuvre de la CMS moyenna</w:t>
            </w:r>
            <w:r>
              <w:rPr>
                <w:b w:val="0"/>
                <w:u w:val="single"/>
                <w:lang w:val="fr-FR"/>
              </w:rPr>
              <w:t>n</w:t>
            </w:r>
            <w:r w:rsidRPr="00E109F9">
              <w:rPr>
                <w:b w:val="0"/>
                <w:u w:val="single"/>
                <w:lang w:val="fr-FR"/>
              </w:rPr>
              <w:t>t de</w:t>
            </w:r>
            <w:r>
              <w:rPr>
                <w:b w:val="0"/>
                <w:u w:val="single"/>
                <w:lang w:val="fr-FR"/>
              </w:rPr>
              <w:t>s pro</w:t>
            </w:r>
            <w:r w:rsidRPr="00E109F9">
              <w:rPr>
                <w:b w:val="0"/>
                <w:u w:val="single"/>
                <w:lang w:val="fr-FR"/>
              </w:rPr>
              <w:t xml:space="preserve">cessus sur la révision des </w:t>
            </w:r>
            <w:r>
              <w:rPr>
                <w:b w:val="0"/>
                <w:u w:val="single"/>
                <w:lang w:val="fr-FR"/>
              </w:rPr>
              <w:t>Stratégies</w:t>
            </w:r>
            <w:r w:rsidRPr="00E109F9">
              <w:rPr>
                <w:b w:val="0"/>
                <w:u w:val="single"/>
                <w:lang w:val="fr-FR"/>
              </w:rPr>
              <w:t xml:space="preserve"> et </w:t>
            </w:r>
            <w:r>
              <w:rPr>
                <w:b w:val="0"/>
                <w:u w:val="single"/>
                <w:lang w:val="fr-FR"/>
              </w:rPr>
              <w:t>p</w:t>
            </w:r>
            <w:r w:rsidRPr="00E109F9">
              <w:rPr>
                <w:b w:val="0"/>
                <w:u w:val="single"/>
                <w:lang w:val="fr-FR"/>
              </w:rPr>
              <w:t>lans d’actio</w:t>
            </w:r>
            <w:r>
              <w:rPr>
                <w:b w:val="0"/>
                <w:u w:val="single"/>
                <w:lang w:val="fr-FR"/>
              </w:rPr>
              <w:t>n</w:t>
            </w:r>
            <w:r w:rsidRPr="00E109F9">
              <w:rPr>
                <w:b w:val="0"/>
                <w:u w:val="single"/>
                <w:lang w:val="fr-FR"/>
              </w:rPr>
              <w:t xml:space="preserve">  nationaux </w:t>
            </w:r>
            <w:r>
              <w:rPr>
                <w:b w:val="0"/>
                <w:u w:val="single"/>
                <w:lang w:val="fr-FR"/>
              </w:rPr>
              <w:t>relatifs à</w:t>
            </w:r>
            <w:r w:rsidRPr="00E109F9">
              <w:rPr>
                <w:b w:val="0"/>
                <w:u w:val="single"/>
                <w:lang w:val="fr-FR"/>
              </w:rPr>
              <w:t xml:space="preserve"> la biod</w:t>
            </w:r>
            <w:r>
              <w:rPr>
                <w:b w:val="0"/>
                <w:u w:val="single"/>
                <w:lang w:val="fr-FR"/>
              </w:rPr>
              <w:t>i</w:t>
            </w:r>
            <w:r w:rsidRPr="00E109F9">
              <w:rPr>
                <w:b w:val="0"/>
                <w:u w:val="single"/>
                <w:lang w:val="fr-FR"/>
              </w:rPr>
              <w:t>ve</w:t>
            </w:r>
            <w:r>
              <w:rPr>
                <w:b w:val="0"/>
                <w:u w:val="single"/>
                <w:lang w:val="fr-FR"/>
              </w:rPr>
              <w:t>r</w:t>
            </w:r>
            <w:r w:rsidRPr="00E109F9">
              <w:rPr>
                <w:b w:val="0"/>
                <w:u w:val="single"/>
                <w:lang w:val="fr-FR"/>
              </w:rPr>
              <w:t>sité (SPANB)</w:t>
            </w:r>
            <w:r>
              <w:rPr>
                <w:b w:val="0"/>
                <w:u w:val="single"/>
                <w:lang w:val="fr-FR"/>
              </w:rPr>
              <w:t>, y compris en coopérant</w:t>
            </w:r>
            <w:r w:rsidRPr="00E109F9">
              <w:rPr>
                <w:b w:val="0"/>
                <w:u w:val="single"/>
                <w:lang w:val="fr-FR"/>
              </w:rPr>
              <w:t xml:space="preserve"> </w:t>
            </w:r>
            <w:r>
              <w:rPr>
                <w:b w:val="0"/>
                <w:u w:val="single"/>
                <w:lang w:val="fr-FR"/>
              </w:rPr>
              <w:t>avec les bureaux régionaux du PNUE;</w:t>
            </w:r>
          </w:p>
        </w:tc>
        <w:tc>
          <w:tcPr>
            <w:tcW w:w="3456" w:type="dxa"/>
            <w:tcBorders>
              <w:bottom w:val="nil"/>
            </w:tcBorders>
            <w:shd w:val="clear" w:color="auto" w:fill="BFBFBF"/>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nil"/>
              <w:bottom w:val="single" w:sz="4" w:space="0" w:color="auto"/>
            </w:tcBorders>
            <w:shd w:val="clear" w:color="auto" w:fill="auto"/>
          </w:tcPr>
          <w:p w:rsidR="00466AFD" w:rsidRPr="005E66AB" w:rsidRDefault="00466AFD" w:rsidP="00466AFD">
            <w:pPr>
              <w:pStyle w:val="ListParagraph"/>
              <w:numPr>
                <w:ilvl w:val="0"/>
                <w:numId w:val="20"/>
              </w:numPr>
              <w:ind w:left="0" w:firstLine="0"/>
              <w:jc w:val="both"/>
              <w:rPr>
                <w:b w:val="0"/>
                <w:sz w:val="23"/>
                <w:szCs w:val="23"/>
                <w:lang w:val="fr-FR" w:eastAsia="de-CH"/>
              </w:rPr>
            </w:pPr>
            <w:r w:rsidRPr="005E66AB">
              <w:rPr>
                <w:b w:val="0"/>
                <w:i/>
                <w:iCs/>
                <w:sz w:val="23"/>
                <w:szCs w:val="23"/>
                <w:lang w:val="fr-FR" w:eastAsia="de-CH"/>
              </w:rPr>
              <w:t xml:space="preserve">Demande en outre </w:t>
            </w:r>
            <w:r w:rsidRPr="005E66AB">
              <w:rPr>
                <w:b w:val="0"/>
                <w:sz w:val="23"/>
                <w:szCs w:val="23"/>
                <w:lang w:val="fr-FR" w:eastAsia="de-CH"/>
              </w:rPr>
              <w:t xml:space="preserve">au Secrétariat et </w:t>
            </w:r>
            <w:r w:rsidRPr="005E66AB">
              <w:rPr>
                <w:b w:val="0"/>
                <w:i/>
                <w:iCs/>
                <w:sz w:val="23"/>
                <w:szCs w:val="23"/>
                <w:lang w:val="fr-FR" w:eastAsia="de-CH"/>
              </w:rPr>
              <w:t xml:space="preserve">invite </w:t>
            </w:r>
            <w:r w:rsidRPr="005E66AB">
              <w:rPr>
                <w:b w:val="0"/>
                <w:sz w:val="23"/>
                <w:szCs w:val="23"/>
                <w:lang w:val="fr-FR" w:eastAsia="de-CH"/>
              </w:rPr>
              <w:t xml:space="preserve">les Secrétariats d’autres conventions de continuer d’assurer la liaison avec les points focaux régionaux des Accords multilatéraux sur l’environnement du PNUE relatifs à la biodiversité et aux écosystèmes, et de faire tout leur possible pour contribuer à la mise en œuvre des Accords multilatéraux sur l’environnement relatifs à la biodiversité; </w:t>
            </w:r>
          </w:p>
          <w:p w:rsidR="00466AFD" w:rsidRDefault="00466AFD" w:rsidP="00174E8B">
            <w:pPr>
              <w:pStyle w:val="ListParagraph"/>
              <w:ind w:left="0"/>
              <w:jc w:val="both"/>
              <w:rPr>
                <w:b w:val="0"/>
                <w:bCs w:val="0"/>
                <w:lang w:val="fr-FR"/>
              </w:rPr>
            </w:pPr>
          </w:p>
          <w:p w:rsidR="00466AFD" w:rsidRDefault="00466AFD" w:rsidP="00174E8B">
            <w:pPr>
              <w:pStyle w:val="ListParagraph"/>
              <w:ind w:left="0"/>
              <w:jc w:val="both"/>
              <w:rPr>
                <w:b w:val="0"/>
                <w:bCs w:val="0"/>
                <w:lang w:val="fr-FR"/>
              </w:rPr>
            </w:pPr>
          </w:p>
          <w:p w:rsidR="00466AFD" w:rsidRDefault="00466AFD" w:rsidP="00174E8B">
            <w:pPr>
              <w:pStyle w:val="ListParagraph"/>
              <w:ind w:left="0"/>
              <w:jc w:val="both"/>
              <w:rPr>
                <w:b w:val="0"/>
                <w:bCs w:val="0"/>
                <w:lang w:val="fr-FR"/>
              </w:rPr>
            </w:pPr>
          </w:p>
          <w:p w:rsidR="00466AFD" w:rsidRPr="005E66AB" w:rsidRDefault="00466AFD" w:rsidP="00174E8B">
            <w:pPr>
              <w:pStyle w:val="ListParagraph"/>
              <w:ind w:left="0"/>
              <w:jc w:val="both"/>
              <w:rPr>
                <w:b w:val="0"/>
                <w:bCs w:val="0"/>
                <w:lang w:val="fr-FR"/>
              </w:rPr>
            </w:pPr>
          </w:p>
        </w:tc>
        <w:tc>
          <w:tcPr>
            <w:tcW w:w="3456" w:type="dxa"/>
            <w:tcBorders>
              <w:top w:val="nil"/>
              <w:bottom w:val="single" w:sz="4" w:space="0" w:color="auto"/>
            </w:tcBorders>
            <w:shd w:val="clear" w:color="auto" w:fill="auto"/>
          </w:tcPr>
          <w:p w:rsidR="00466AFD" w:rsidRPr="00E109F9"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Repris de</w:t>
            </w:r>
            <w:r w:rsidRPr="00E109F9">
              <w:rPr>
                <w:lang w:val="fr-FR"/>
              </w:rPr>
              <w:t xml:space="preserve"> la Résolution 10.21, paragraphe 13.</w:t>
            </w:r>
          </w:p>
        </w:tc>
      </w:tr>
      <w:tr w:rsidR="00466AFD" w:rsidRPr="00F2491A" w:rsidTr="00174E8B">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bottom w:val="single" w:sz="4" w:space="0" w:color="auto"/>
            </w:tcBorders>
            <w:shd w:val="clear" w:color="auto" w:fill="auto"/>
          </w:tcPr>
          <w:p w:rsidR="00466AFD" w:rsidRPr="00F2491A" w:rsidRDefault="00466AFD" w:rsidP="00174E8B">
            <w:pPr>
              <w:pStyle w:val="ListParagraph"/>
              <w:ind w:left="0"/>
              <w:jc w:val="both"/>
              <w:rPr>
                <w:iCs/>
                <w:szCs w:val="24"/>
                <w:lang w:val="fr-FR"/>
              </w:rPr>
            </w:pPr>
            <w:r w:rsidRPr="00F2491A">
              <w:rPr>
                <w:iCs/>
                <w:szCs w:val="24"/>
                <w:lang w:val="fr-FR"/>
              </w:rPr>
              <w:lastRenderedPageBreak/>
              <w:t>Texte</w:t>
            </w:r>
          </w:p>
        </w:tc>
        <w:tc>
          <w:tcPr>
            <w:tcW w:w="3456" w:type="dxa"/>
            <w:tcBorders>
              <w:top w:val="single" w:sz="4" w:space="0" w:color="auto"/>
              <w:bottom w:val="single" w:sz="4" w:space="0" w:color="auto"/>
            </w:tcBorders>
            <w:shd w:val="clear" w:color="auto" w:fill="auto"/>
          </w:tcPr>
          <w:p w:rsidR="00466AFD" w:rsidRPr="00F2491A"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b/>
                <w:szCs w:val="24"/>
                <w:lang w:val="fr-FR"/>
              </w:rPr>
            </w:pPr>
            <w:r>
              <w:rPr>
                <w:b/>
                <w:lang w:val="fr-FR"/>
              </w:rPr>
              <w:t>S</w:t>
            </w:r>
            <w:r w:rsidRPr="00F2491A">
              <w:rPr>
                <w:b/>
                <w:szCs w:val="24"/>
                <w:lang w:val="fr-FR"/>
              </w:rPr>
              <w:t>ource</w:t>
            </w:r>
          </w:p>
        </w:tc>
      </w:tr>
      <w:tr w:rsidR="00466AFD" w:rsidRPr="005E66AB" w:rsidTr="00466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tcBorders>
            <w:shd w:val="clear" w:color="auto" w:fill="BFBFBF"/>
          </w:tcPr>
          <w:p w:rsidR="00466AFD" w:rsidRPr="005E66AB" w:rsidRDefault="00466AFD" w:rsidP="00466AFD">
            <w:pPr>
              <w:pStyle w:val="ListParagraph"/>
              <w:numPr>
                <w:ilvl w:val="0"/>
                <w:numId w:val="20"/>
              </w:numPr>
              <w:ind w:left="0" w:firstLine="0"/>
              <w:jc w:val="both"/>
              <w:rPr>
                <w:b w:val="0"/>
                <w:bCs w:val="0"/>
                <w:strike/>
                <w:lang w:val="fr-FR"/>
              </w:rPr>
            </w:pPr>
            <w:r w:rsidRPr="005E66AB">
              <w:rPr>
                <w:b w:val="0"/>
                <w:i/>
                <w:iCs/>
                <w:sz w:val="23"/>
                <w:szCs w:val="23"/>
                <w:lang w:val="fr-FR"/>
              </w:rPr>
              <w:t xml:space="preserve">Prie </w:t>
            </w:r>
            <w:r w:rsidRPr="005E66AB">
              <w:rPr>
                <w:b w:val="0"/>
                <w:sz w:val="23"/>
                <w:szCs w:val="23"/>
                <w:lang w:val="fr-FR"/>
              </w:rPr>
              <w:t xml:space="preserve">le Secrétariat de la CMS et </w:t>
            </w:r>
            <w:r w:rsidRPr="005E66AB">
              <w:rPr>
                <w:b w:val="0"/>
                <w:i/>
                <w:sz w:val="23"/>
                <w:szCs w:val="23"/>
                <w:lang w:val="fr-FR"/>
              </w:rPr>
              <w:t>invite</w:t>
            </w:r>
            <w:r w:rsidRPr="005E66AB">
              <w:rPr>
                <w:b w:val="0"/>
                <w:sz w:val="23"/>
                <w:szCs w:val="23"/>
                <w:lang w:val="fr-FR"/>
              </w:rPr>
              <w:t xml:space="preserve"> 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œuvre des conventions relatives à la biodiversité du plan stratégique pour la biodiversité 2011-2020 et ses objectifs d'Aichi </w:t>
            </w:r>
            <w:r w:rsidRPr="005E66AB">
              <w:rPr>
                <w:b w:val="0"/>
                <w:strike/>
                <w:sz w:val="23"/>
                <w:szCs w:val="23"/>
                <w:lang w:val="fr-FR"/>
              </w:rPr>
              <w:t>adoptés par la COP10 de la CDB (décision X/2)</w:t>
            </w:r>
            <w:r w:rsidRPr="005E66AB">
              <w:rPr>
                <w:b w:val="0"/>
                <w:sz w:val="23"/>
                <w:szCs w:val="23"/>
                <w:lang w:val="fr-FR"/>
              </w:rPr>
              <w:t xml:space="preserve"> ; et </w:t>
            </w:r>
            <w:r w:rsidRPr="005E66AB">
              <w:rPr>
                <w:b w:val="0"/>
                <w:i/>
                <w:iCs/>
                <w:sz w:val="23"/>
                <w:szCs w:val="23"/>
                <w:lang w:val="fr-FR"/>
              </w:rPr>
              <w:t xml:space="preserve">prie en outre </w:t>
            </w:r>
            <w:r w:rsidRPr="005E66AB">
              <w:rPr>
                <w:b w:val="0"/>
                <w:sz w:val="23"/>
                <w:szCs w:val="23"/>
                <w:lang w:val="fr-FR"/>
              </w:rPr>
              <w:t>le Secrétariat de faire rapport sur les progrès réalisés au Conseil Scientifique et à la COP12 ;</w:t>
            </w:r>
          </w:p>
        </w:tc>
        <w:tc>
          <w:tcPr>
            <w:tcW w:w="3456" w:type="dxa"/>
            <w:tcBorders>
              <w:top w:val="single" w:sz="4" w:space="0" w:color="auto"/>
            </w:tcBorders>
            <w:shd w:val="clear" w:color="auto" w:fill="BFBFBF"/>
          </w:tcPr>
          <w:p w:rsidR="00466AFD" w:rsidRPr="00E109F9"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sidRPr="00E109F9">
              <w:rPr>
                <w:lang w:val="fr-FR"/>
              </w:rPr>
              <w:t xml:space="preserve">Modifié et actualisé </w:t>
            </w:r>
            <w:r>
              <w:rPr>
                <w:lang w:val="fr-FR"/>
              </w:rPr>
              <w:t>sur la base de</w:t>
            </w:r>
            <w:r w:rsidRPr="00E109F9">
              <w:rPr>
                <w:lang w:val="fr-FR"/>
              </w:rPr>
              <w:t xml:space="preserve"> la R</w:t>
            </w:r>
            <w:r>
              <w:rPr>
                <w:lang w:val="fr-FR"/>
              </w:rPr>
              <w:t>é</w:t>
            </w:r>
            <w:r w:rsidRPr="00E109F9">
              <w:rPr>
                <w:lang w:val="fr-FR"/>
              </w:rPr>
              <w:t>solution 10.21, paragraph</w:t>
            </w:r>
            <w:r>
              <w:rPr>
                <w:lang w:val="fr-FR"/>
              </w:rPr>
              <w:t>e</w:t>
            </w:r>
            <w:r w:rsidRPr="00E109F9">
              <w:rPr>
                <w:lang w:val="fr-FR"/>
              </w:rPr>
              <w:t xml:space="preserve"> 14. </w:t>
            </w:r>
            <w:r>
              <w:rPr>
                <w:lang w:val="fr-FR"/>
              </w:rPr>
              <w:t>Le Plan stratégique pour la diversité biologique a été adopté à l’échelle mondiale</w:t>
            </w:r>
            <w:r w:rsidRPr="00E109F9">
              <w:rPr>
                <w:lang w:val="fr-FR"/>
              </w:rPr>
              <w:t xml:space="preserve">. </w:t>
            </w:r>
          </w:p>
        </w:tc>
      </w:tr>
      <w:tr w:rsidR="00466AFD" w:rsidRPr="007D35ED" w:rsidTr="00174E8B">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A05B34" w:rsidRDefault="00466AFD" w:rsidP="00466AFD">
            <w:pPr>
              <w:pStyle w:val="ListParagraph"/>
              <w:numPr>
                <w:ilvl w:val="0"/>
                <w:numId w:val="20"/>
              </w:numPr>
              <w:ind w:left="0" w:firstLine="0"/>
              <w:jc w:val="both"/>
              <w:rPr>
                <w:b w:val="0"/>
                <w:bCs w:val="0"/>
                <w:u w:val="single"/>
                <w:lang w:val="fr-FR"/>
              </w:rPr>
            </w:pPr>
            <w:r>
              <w:rPr>
                <w:b w:val="0"/>
                <w:i/>
                <w:u w:val="single"/>
                <w:lang w:val="fr-FR"/>
              </w:rPr>
              <w:t xml:space="preserve">Prie </w:t>
            </w:r>
            <w:r w:rsidRPr="00A05B34">
              <w:rPr>
                <w:b w:val="0"/>
                <w:i/>
                <w:u w:val="single"/>
                <w:lang w:val="fr-FR"/>
              </w:rPr>
              <w:t xml:space="preserve">en outre </w:t>
            </w:r>
            <w:r>
              <w:rPr>
                <w:b w:val="0"/>
                <w:u w:val="single"/>
                <w:lang w:val="fr-FR"/>
              </w:rPr>
              <w:t>le</w:t>
            </w:r>
            <w:r w:rsidRPr="00A05B34">
              <w:rPr>
                <w:b w:val="0"/>
                <w:u w:val="single"/>
                <w:lang w:val="fr-FR"/>
              </w:rPr>
              <w:t xml:space="preserve"> Secrétariat d’</w:t>
            </w:r>
            <w:r>
              <w:rPr>
                <w:b w:val="0"/>
                <w:u w:val="single"/>
                <w:lang w:val="fr-FR"/>
              </w:rPr>
              <w:t>intensi</w:t>
            </w:r>
            <w:r w:rsidRPr="00A05B34">
              <w:rPr>
                <w:b w:val="0"/>
                <w:u w:val="single"/>
                <w:lang w:val="fr-FR"/>
              </w:rPr>
              <w:t>fier la coopération par le bi</w:t>
            </w:r>
            <w:r>
              <w:rPr>
                <w:b w:val="0"/>
                <w:u w:val="single"/>
                <w:lang w:val="fr-FR"/>
              </w:rPr>
              <w:t>a</w:t>
            </w:r>
            <w:r w:rsidRPr="00A05B34">
              <w:rPr>
                <w:b w:val="0"/>
                <w:u w:val="single"/>
                <w:lang w:val="fr-FR"/>
              </w:rPr>
              <w:t>is du Groupe de liaison sur la biodiversité et le Partena</w:t>
            </w:r>
            <w:r>
              <w:rPr>
                <w:b w:val="0"/>
                <w:u w:val="single"/>
                <w:lang w:val="fr-FR"/>
              </w:rPr>
              <w:t>r</w:t>
            </w:r>
            <w:r w:rsidRPr="00A05B34">
              <w:rPr>
                <w:b w:val="0"/>
                <w:u w:val="single"/>
                <w:lang w:val="fr-FR"/>
              </w:rPr>
              <w:t>iat sur l</w:t>
            </w:r>
            <w:r>
              <w:rPr>
                <w:b w:val="0"/>
                <w:u w:val="single"/>
                <w:lang w:val="fr-FR"/>
              </w:rPr>
              <w:t>e</w:t>
            </w:r>
            <w:r w:rsidRPr="00A05B34">
              <w:rPr>
                <w:b w:val="0"/>
                <w:u w:val="single"/>
                <w:lang w:val="fr-FR"/>
              </w:rPr>
              <w:t>s indi</w:t>
            </w:r>
            <w:r>
              <w:rPr>
                <w:b w:val="0"/>
                <w:u w:val="single"/>
                <w:lang w:val="fr-FR"/>
              </w:rPr>
              <w:t>cateurs de la</w:t>
            </w:r>
            <w:r w:rsidRPr="00A05B34">
              <w:rPr>
                <w:b w:val="0"/>
                <w:u w:val="single"/>
                <w:lang w:val="fr-FR"/>
              </w:rPr>
              <w:t xml:space="preserve"> biodiversité afin d</w:t>
            </w:r>
            <w:r>
              <w:rPr>
                <w:b w:val="0"/>
                <w:u w:val="single"/>
                <w:lang w:val="fr-FR"/>
              </w:rPr>
              <w:t>e disposer d’une meilleure série d’indicateurs</w:t>
            </w:r>
            <w:r w:rsidRPr="00A05B34">
              <w:rPr>
                <w:b w:val="0"/>
                <w:u w:val="single"/>
                <w:lang w:val="fr-FR"/>
              </w:rPr>
              <w:t xml:space="preserve"> de la biodiversité</w:t>
            </w:r>
            <w:r>
              <w:rPr>
                <w:b w:val="0"/>
                <w:u w:val="single"/>
                <w:lang w:val="fr-FR"/>
              </w:rPr>
              <w:t xml:space="preserve"> à l’échelle mondiale</w:t>
            </w:r>
            <w:r w:rsidRPr="00A05B34">
              <w:rPr>
                <w:b w:val="0"/>
                <w:u w:val="single"/>
                <w:lang w:val="fr-FR"/>
              </w:rPr>
              <w:t>;</w:t>
            </w:r>
          </w:p>
        </w:tc>
        <w:tc>
          <w:tcPr>
            <w:tcW w:w="3456" w:type="dxa"/>
            <w:shd w:val="clear" w:color="auto" w:fill="auto"/>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7D35ED" w:rsidTr="00466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A05B34" w:rsidRDefault="00466AFD" w:rsidP="00466AFD">
            <w:pPr>
              <w:pStyle w:val="ListParagraph"/>
              <w:numPr>
                <w:ilvl w:val="0"/>
                <w:numId w:val="20"/>
              </w:numPr>
              <w:ind w:left="0" w:firstLine="0"/>
              <w:jc w:val="both"/>
              <w:rPr>
                <w:b w:val="0"/>
                <w:bCs w:val="0"/>
                <w:u w:val="single"/>
                <w:lang w:val="fr-FR"/>
              </w:rPr>
            </w:pPr>
            <w:r w:rsidRPr="00A05B34">
              <w:rPr>
                <w:b w:val="0"/>
                <w:i/>
                <w:u w:val="single"/>
                <w:lang w:val="fr-FR"/>
              </w:rPr>
              <w:t xml:space="preserve">Prend note </w:t>
            </w:r>
            <w:r w:rsidRPr="00A05B34">
              <w:rPr>
                <w:b w:val="0"/>
                <w:u w:val="single"/>
                <w:lang w:val="fr-FR"/>
              </w:rPr>
              <w:t>du document final du Groupe de travail non limité sur les objectifs de développement durable, et</w:t>
            </w:r>
            <w:r w:rsidRPr="00A05B34">
              <w:rPr>
                <w:b w:val="0"/>
                <w:i/>
                <w:u w:val="single"/>
                <w:lang w:val="fr-FR"/>
              </w:rPr>
              <w:t xml:space="preserve"> prie</w:t>
            </w:r>
            <w:r w:rsidRPr="00A05B34">
              <w:rPr>
                <w:b w:val="0"/>
                <w:u w:val="single"/>
                <w:lang w:val="fr-FR"/>
              </w:rPr>
              <w:t xml:space="preserve"> le Secrétariat de continuer à s’engager avec le processus </w:t>
            </w:r>
            <w:r>
              <w:rPr>
                <w:b w:val="0"/>
                <w:u w:val="single"/>
                <w:lang w:val="fr-FR"/>
              </w:rPr>
              <w:t>d’</w:t>
            </w:r>
            <w:r w:rsidRPr="00A05B34">
              <w:rPr>
                <w:b w:val="0"/>
                <w:u w:val="single"/>
                <w:lang w:val="fr-FR"/>
              </w:rPr>
              <w:t>établiss</w:t>
            </w:r>
            <w:r>
              <w:rPr>
                <w:b w:val="0"/>
                <w:u w:val="single"/>
                <w:lang w:val="fr-FR"/>
              </w:rPr>
              <w:t>e</w:t>
            </w:r>
            <w:r w:rsidRPr="00A05B34">
              <w:rPr>
                <w:b w:val="0"/>
                <w:u w:val="single"/>
                <w:lang w:val="fr-FR"/>
              </w:rPr>
              <w:t>ment des objectifs</w:t>
            </w:r>
            <w:r>
              <w:rPr>
                <w:b w:val="0"/>
                <w:u w:val="single"/>
                <w:lang w:val="fr-FR"/>
              </w:rPr>
              <w:t xml:space="preserve"> </w:t>
            </w:r>
            <w:r w:rsidRPr="00A05B34">
              <w:rPr>
                <w:b w:val="0"/>
                <w:u w:val="single"/>
                <w:lang w:val="fr-FR"/>
              </w:rPr>
              <w:t>de développement d</w:t>
            </w:r>
            <w:r>
              <w:rPr>
                <w:b w:val="0"/>
                <w:u w:val="single"/>
                <w:lang w:val="fr-FR"/>
              </w:rPr>
              <w:t>u</w:t>
            </w:r>
            <w:r w:rsidRPr="00A05B34">
              <w:rPr>
                <w:b w:val="0"/>
                <w:u w:val="single"/>
                <w:lang w:val="fr-FR"/>
              </w:rPr>
              <w:t>rable en coop</w:t>
            </w:r>
            <w:r>
              <w:rPr>
                <w:b w:val="0"/>
                <w:u w:val="single"/>
                <w:lang w:val="fr-FR"/>
              </w:rPr>
              <w:t>ération avec le Groupe de liaison sur la biodiversité</w:t>
            </w:r>
            <w:r w:rsidRPr="00A05B34">
              <w:rPr>
                <w:b w:val="0"/>
                <w:u w:val="single"/>
                <w:lang w:val="fr-FR"/>
              </w:rPr>
              <w:t>;</w:t>
            </w:r>
          </w:p>
        </w:tc>
        <w:tc>
          <w:tcPr>
            <w:tcW w:w="3456" w:type="dxa"/>
            <w:shd w:val="clear" w:color="auto" w:fill="BFBFBF"/>
          </w:tcPr>
          <w:p w:rsidR="00466AFD" w:rsidRPr="007D35E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7D35ED" w:rsidTr="00174E8B">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A05B34" w:rsidRDefault="00466AFD" w:rsidP="00466AFD">
            <w:pPr>
              <w:pStyle w:val="ListParagraph"/>
              <w:numPr>
                <w:ilvl w:val="0"/>
                <w:numId w:val="20"/>
              </w:numPr>
              <w:ind w:left="0" w:firstLine="0"/>
              <w:jc w:val="both"/>
              <w:rPr>
                <w:b w:val="0"/>
                <w:bCs w:val="0"/>
                <w:u w:val="single"/>
                <w:lang w:val="fr-FR"/>
              </w:rPr>
            </w:pPr>
            <w:r w:rsidRPr="00A05B34">
              <w:rPr>
                <w:b w:val="0"/>
                <w:i/>
                <w:u w:val="single"/>
                <w:lang w:val="fr-FR"/>
              </w:rPr>
              <w:t xml:space="preserve">Invite </w:t>
            </w:r>
            <w:r w:rsidRPr="00A05B34">
              <w:rPr>
                <w:b w:val="0"/>
                <w:u w:val="single"/>
                <w:lang w:val="fr-FR"/>
              </w:rPr>
              <w:t xml:space="preserve">les membres du Groupe de liaison sur la biodiversité à </w:t>
            </w:r>
            <w:r>
              <w:rPr>
                <w:b w:val="0"/>
                <w:u w:val="single"/>
                <w:lang w:val="fr-FR"/>
              </w:rPr>
              <w:t>développer</w:t>
            </w:r>
            <w:r w:rsidRPr="00A05B34">
              <w:rPr>
                <w:b w:val="0"/>
                <w:u w:val="single"/>
                <w:lang w:val="fr-FR"/>
              </w:rPr>
              <w:t xml:space="preserve"> la coop</w:t>
            </w:r>
            <w:r>
              <w:rPr>
                <w:b w:val="0"/>
                <w:u w:val="single"/>
                <w:lang w:val="fr-FR"/>
              </w:rPr>
              <w:t>é</w:t>
            </w:r>
            <w:r w:rsidRPr="00A05B34">
              <w:rPr>
                <w:b w:val="0"/>
                <w:u w:val="single"/>
                <w:lang w:val="fr-FR"/>
              </w:rPr>
              <w:t xml:space="preserve">ration, la coordination et les synergies </w:t>
            </w:r>
            <w:r>
              <w:rPr>
                <w:b w:val="0"/>
                <w:u w:val="single"/>
                <w:lang w:val="fr-FR"/>
              </w:rPr>
              <w:t>concernant</w:t>
            </w:r>
            <w:r w:rsidRPr="00A05B34">
              <w:rPr>
                <w:b w:val="0"/>
                <w:u w:val="single"/>
                <w:lang w:val="fr-FR"/>
              </w:rPr>
              <w:t xml:space="preserve"> les progrès res</w:t>
            </w:r>
            <w:r>
              <w:rPr>
                <w:b w:val="0"/>
                <w:u w:val="single"/>
                <w:lang w:val="fr-FR"/>
              </w:rPr>
              <w:t xml:space="preserve">pectifs </w:t>
            </w:r>
            <w:r w:rsidRPr="00A05B34">
              <w:rPr>
                <w:b w:val="0"/>
                <w:u w:val="single"/>
                <w:lang w:val="fr-FR"/>
              </w:rPr>
              <w:t>de leurs systèmes</w:t>
            </w:r>
            <w:r>
              <w:rPr>
                <w:b w:val="0"/>
                <w:u w:val="single"/>
                <w:lang w:val="fr-FR"/>
              </w:rPr>
              <w:t xml:space="preserve"> </w:t>
            </w:r>
            <w:r w:rsidRPr="00A05B34">
              <w:rPr>
                <w:b w:val="0"/>
                <w:u w:val="single"/>
                <w:lang w:val="fr-FR"/>
              </w:rPr>
              <w:t>de rapport</w:t>
            </w:r>
            <w:r>
              <w:rPr>
                <w:b w:val="0"/>
                <w:u w:val="single"/>
                <w:lang w:val="fr-FR"/>
              </w:rPr>
              <w:t>s</w:t>
            </w:r>
            <w:r w:rsidRPr="00A05B34">
              <w:rPr>
                <w:b w:val="0"/>
                <w:u w:val="single"/>
                <w:lang w:val="fr-FR"/>
              </w:rPr>
              <w:t xml:space="preserve"> en ligne comme moyen d’augmenter les synergies sur les rapports nationaux au t</w:t>
            </w:r>
            <w:r>
              <w:rPr>
                <w:b w:val="0"/>
                <w:u w:val="single"/>
                <w:lang w:val="fr-FR"/>
              </w:rPr>
              <w:t>i</w:t>
            </w:r>
            <w:r w:rsidRPr="00A05B34">
              <w:rPr>
                <w:b w:val="0"/>
                <w:u w:val="single"/>
                <w:lang w:val="fr-FR"/>
              </w:rPr>
              <w:t>tre des diverses conventions relatives à la biodiversité;</w:t>
            </w:r>
          </w:p>
        </w:tc>
        <w:tc>
          <w:tcPr>
            <w:tcW w:w="3456" w:type="dxa"/>
            <w:shd w:val="clear" w:color="auto" w:fill="auto"/>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ouveau</w:t>
            </w:r>
            <w:r w:rsidRPr="007D35ED">
              <w:t xml:space="preserve"> </w:t>
            </w:r>
            <w:proofErr w:type="spellStart"/>
            <w:r w:rsidRPr="007D35ED">
              <w:t>paragraph</w:t>
            </w:r>
            <w:r>
              <w:t>e</w:t>
            </w:r>
            <w:proofErr w:type="spellEnd"/>
            <w:r w:rsidRPr="007D35ED">
              <w:t>.</w:t>
            </w:r>
          </w:p>
        </w:tc>
      </w:tr>
      <w:tr w:rsidR="00466AFD" w:rsidRPr="007D35ED" w:rsidTr="00466A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465DA1" w:rsidRDefault="00466AFD" w:rsidP="00466AFD">
            <w:pPr>
              <w:pStyle w:val="ListParagraph"/>
              <w:numPr>
                <w:ilvl w:val="0"/>
                <w:numId w:val="20"/>
              </w:numPr>
              <w:ind w:left="0" w:firstLine="0"/>
              <w:jc w:val="both"/>
              <w:rPr>
                <w:b w:val="0"/>
                <w:bCs w:val="0"/>
                <w:i/>
                <w:lang w:val="fr-FR"/>
              </w:rPr>
            </w:pPr>
            <w:r w:rsidRPr="00465DA1">
              <w:rPr>
                <w:b w:val="0"/>
                <w:i/>
                <w:u w:val="single"/>
                <w:lang w:val="fr-FR"/>
              </w:rPr>
              <w:t xml:space="preserve">Invite en outre </w:t>
            </w:r>
            <w:r w:rsidRPr="00465DA1">
              <w:rPr>
                <w:b w:val="0"/>
                <w:u w:val="single"/>
                <w:lang w:val="fr-FR"/>
              </w:rPr>
              <w:t>les membr</w:t>
            </w:r>
            <w:r>
              <w:rPr>
                <w:b w:val="0"/>
                <w:u w:val="single"/>
                <w:lang w:val="fr-FR"/>
              </w:rPr>
              <w:t>e</w:t>
            </w:r>
            <w:r w:rsidRPr="00465DA1">
              <w:rPr>
                <w:b w:val="0"/>
                <w:u w:val="single"/>
                <w:lang w:val="fr-FR"/>
              </w:rPr>
              <w:t>s du Groupe de liaison sur la biodiversité à étud</w:t>
            </w:r>
            <w:r>
              <w:rPr>
                <w:b w:val="0"/>
                <w:u w:val="single"/>
                <w:lang w:val="fr-FR"/>
              </w:rPr>
              <w:t>i</w:t>
            </w:r>
            <w:r w:rsidRPr="00465DA1">
              <w:rPr>
                <w:b w:val="0"/>
                <w:u w:val="single"/>
                <w:lang w:val="fr-FR"/>
              </w:rPr>
              <w:t>er des moyens d’accro</w:t>
            </w:r>
            <w:r>
              <w:rPr>
                <w:b w:val="0"/>
                <w:u w:val="single"/>
                <w:lang w:val="fr-FR"/>
              </w:rPr>
              <w:t>î</w:t>
            </w:r>
            <w:r w:rsidRPr="00465DA1">
              <w:rPr>
                <w:b w:val="0"/>
                <w:u w:val="single"/>
                <w:lang w:val="fr-FR"/>
              </w:rPr>
              <w:t>tre la coopération</w:t>
            </w:r>
            <w:r>
              <w:rPr>
                <w:b w:val="0"/>
                <w:u w:val="single"/>
                <w:lang w:val="fr-FR"/>
              </w:rPr>
              <w:t xml:space="preserve"> s’agissant de leurs stratégies de sensibilisation et de communication</w:t>
            </w:r>
            <w:r w:rsidRPr="00465DA1">
              <w:rPr>
                <w:b w:val="0"/>
                <w:lang w:val="fr-FR"/>
              </w:rPr>
              <w:t>;</w:t>
            </w:r>
          </w:p>
        </w:tc>
        <w:tc>
          <w:tcPr>
            <w:tcW w:w="3456" w:type="dxa"/>
            <w:shd w:val="clear" w:color="auto" w:fill="BFBFBF"/>
          </w:tcPr>
          <w:p w:rsidR="00466AFD" w:rsidRPr="007D35ED"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pPr>
            <w:r w:rsidRPr="007D35ED">
              <w:t>N</w:t>
            </w:r>
            <w:r>
              <w:t xml:space="preserve">ouveau </w:t>
            </w:r>
            <w:proofErr w:type="spellStart"/>
            <w:r w:rsidRPr="007D35ED">
              <w:t>paragraph</w:t>
            </w:r>
            <w:r>
              <w:t>e</w:t>
            </w:r>
            <w:proofErr w:type="spellEnd"/>
            <w:r w:rsidRPr="007D35ED">
              <w:t>.</w:t>
            </w:r>
          </w:p>
        </w:tc>
      </w:tr>
      <w:tr w:rsidR="00466AFD" w:rsidRPr="007D35ED" w:rsidTr="00174E8B">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465DA1" w:rsidRDefault="00466AFD" w:rsidP="00466AFD">
            <w:pPr>
              <w:pStyle w:val="ListParagraph"/>
              <w:numPr>
                <w:ilvl w:val="0"/>
                <w:numId w:val="20"/>
              </w:numPr>
              <w:ind w:left="0" w:firstLine="0"/>
              <w:jc w:val="both"/>
              <w:rPr>
                <w:b w:val="0"/>
                <w:bCs w:val="0"/>
                <w:u w:val="single"/>
                <w:lang w:val="fr-FR"/>
              </w:rPr>
            </w:pPr>
            <w:r w:rsidRPr="00465DA1">
              <w:rPr>
                <w:b w:val="0"/>
                <w:i/>
                <w:u w:val="single"/>
                <w:lang w:val="fr-FR"/>
              </w:rPr>
              <w:t xml:space="preserve">Invite en outre </w:t>
            </w:r>
            <w:r>
              <w:rPr>
                <w:b w:val="0"/>
                <w:u w:val="single"/>
                <w:lang w:val="fr-FR"/>
              </w:rPr>
              <w:t>le Gr</w:t>
            </w:r>
            <w:r w:rsidRPr="00465DA1">
              <w:rPr>
                <w:b w:val="0"/>
                <w:u w:val="single"/>
                <w:lang w:val="fr-FR"/>
              </w:rPr>
              <w:t>oupe de liaison sur la biod</w:t>
            </w:r>
            <w:r>
              <w:rPr>
                <w:b w:val="0"/>
                <w:u w:val="single"/>
                <w:lang w:val="fr-FR"/>
              </w:rPr>
              <w:t>i</w:t>
            </w:r>
            <w:r w:rsidRPr="00465DA1">
              <w:rPr>
                <w:b w:val="0"/>
                <w:u w:val="single"/>
                <w:lang w:val="fr-FR"/>
              </w:rPr>
              <w:t>versité à tenir d</w:t>
            </w:r>
            <w:r>
              <w:rPr>
                <w:b w:val="0"/>
                <w:u w:val="single"/>
                <w:lang w:val="fr-FR"/>
              </w:rPr>
              <w:t>û</w:t>
            </w:r>
            <w:r w:rsidRPr="00465DA1">
              <w:rPr>
                <w:b w:val="0"/>
                <w:u w:val="single"/>
                <w:lang w:val="fr-FR"/>
              </w:rPr>
              <w:t>ment compte de la nécessité d</w:t>
            </w:r>
            <w:r>
              <w:rPr>
                <w:b w:val="0"/>
                <w:u w:val="single"/>
                <w:lang w:val="fr-FR"/>
              </w:rPr>
              <w:t>’o</w:t>
            </w:r>
            <w:r w:rsidRPr="00465DA1">
              <w:rPr>
                <w:b w:val="0"/>
                <w:u w:val="single"/>
                <w:lang w:val="fr-FR"/>
              </w:rPr>
              <w:t>ptimiser les acti</w:t>
            </w:r>
            <w:r>
              <w:rPr>
                <w:b w:val="0"/>
                <w:u w:val="single"/>
                <w:lang w:val="fr-FR"/>
              </w:rPr>
              <w:t>vités de</w:t>
            </w:r>
            <w:r w:rsidRPr="00465DA1">
              <w:rPr>
                <w:b w:val="0"/>
                <w:u w:val="single"/>
                <w:lang w:val="fr-FR"/>
              </w:rPr>
              <w:t xml:space="preserve"> suivi et d</w:t>
            </w:r>
            <w:r>
              <w:rPr>
                <w:b w:val="0"/>
                <w:u w:val="single"/>
                <w:lang w:val="fr-FR"/>
              </w:rPr>
              <w:t>e renforcer</w:t>
            </w:r>
            <w:r w:rsidRPr="00465DA1">
              <w:rPr>
                <w:b w:val="0"/>
                <w:u w:val="single"/>
                <w:lang w:val="fr-FR"/>
              </w:rPr>
              <w:t xml:space="preserve"> l’efficacité en utilisant des cadres de suivi et des </w:t>
            </w:r>
            <w:r>
              <w:rPr>
                <w:b w:val="0"/>
                <w:u w:val="single"/>
                <w:lang w:val="fr-FR"/>
              </w:rPr>
              <w:t>s</w:t>
            </w:r>
            <w:r w:rsidRPr="00465DA1">
              <w:rPr>
                <w:b w:val="0"/>
                <w:u w:val="single"/>
                <w:lang w:val="fr-FR"/>
              </w:rPr>
              <w:t>ystèmes d’indicat</w:t>
            </w:r>
            <w:r>
              <w:rPr>
                <w:b w:val="0"/>
                <w:u w:val="single"/>
                <w:lang w:val="fr-FR"/>
              </w:rPr>
              <w:t>e</w:t>
            </w:r>
            <w:r w:rsidRPr="00465DA1">
              <w:rPr>
                <w:b w:val="0"/>
                <w:u w:val="single"/>
                <w:lang w:val="fr-FR"/>
              </w:rPr>
              <w:t>urs coh</w:t>
            </w:r>
            <w:r>
              <w:rPr>
                <w:b w:val="0"/>
                <w:u w:val="single"/>
                <w:lang w:val="fr-FR"/>
              </w:rPr>
              <w:t>é</w:t>
            </w:r>
            <w:r w:rsidRPr="00465DA1">
              <w:rPr>
                <w:b w:val="0"/>
                <w:u w:val="single"/>
                <w:lang w:val="fr-FR"/>
              </w:rPr>
              <w:t>rent</w:t>
            </w:r>
            <w:r>
              <w:rPr>
                <w:b w:val="0"/>
                <w:u w:val="single"/>
                <w:lang w:val="fr-FR"/>
              </w:rPr>
              <w:t>s</w:t>
            </w:r>
            <w:r w:rsidRPr="00465DA1">
              <w:rPr>
                <w:b w:val="0"/>
                <w:u w:val="single"/>
                <w:lang w:val="fr-FR"/>
              </w:rPr>
              <w:t>;</w:t>
            </w:r>
          </w:p>
        </w:tc>
        <w:tc>
          <w:tcPr>
            <w:tcW w:w="3456" w:type="dxa"/>
            <w:shd w:val="clear" w:color="auto" w:fill="auto"/>
          </w:tcPr>
          <w:p w:rsidR="00466AFD" w:rsidRPr="007D35ED"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pPr>
            <w:r w:rsidRPr="007D35ED">
              <w:t>N</w:t>
            </w:r>
            <w:r>
              <w:t xml:space="preserve">ouveau </w:t>
            </w:r>
            <w:proofErr w:type="spellStart"/>
            <w:r>
              <w:t>paragraphe</w:t>
            </w:r>
            <w:proofErr w:type="spellEnd"/>
            <w:r w:rsidRPr="007D35ED">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466AFD">
            <w:pPr>
              <w:pStyle w:val="ListParagraph"/>
              <w:numPr>
                <w:ilvl w:val="0"/>
                <w:numId w:val="20"/>
              </w:numPr>
              <w:ind w:left="0" w:firstLine="0"/>
              <w:jc w:val="both"/>
              <w:rPr>
                <w:b w:val="0"/>
                <w:bCs w:val="0"/>
                <w:lang w:val="fr-FR"/>
              </w:rPr>
            </w:pPr>
            <w:r w:rsidRPr="005E66AB">
              <w:rPr>
                <w:b w:val="0"/>
                <w:i/>
                <w:iCs/>
                <w:sz w:val="23"/>
                <w:szCs w:val="23"/>
                <w:lang w:val="fr-FR"/>
              </w:rPr>
              <w:t xml:space="preserve">Prie </w:t>
            </w:r>
            <w:r w:rsidRPr="005E66AB">
              <w:rPr>
                <w:b w:val="0"/>
                <w:sz w:val="23"/>
                <w:szCs w:val="23"/>
                <w:lang w:val="fr-FR"/>
              </w:rPr>
              <w:t xml:space="preserve">le Secrétariat, autant que possible, d'éviter la duplication des travaux sur les mêmes questions entre les AME qui se consacrent aux questions de protection de la nature, et </w:t>
            </w:r>
            <w:r w:rsidRPr="005E66AB">
              <w:rPr>
                <w:b w:val="0"/>
                <w:i/>
                <w:iCs/>
                <w:sz w:val="23"/>
                <w:szCs w:val="23"/>
                <w:lang w:val="fr-FR"/>
              </w:rPr>
              <w:t xml:space="preserve">invite </w:t>
            </w:r>
            <w:r w:rsidRPr="005E66AB">
              <w:rPr>
                <w:b w:val="0"/>
                <w:sz w:val="23"/>
                <w:szCs w:val="23"/>
                <w:lang w:val="fr-FR"/>
              </w:rPr>
              <w:t>le Groupe de liaison sur la biodiversité à aborder, au cours de ses prochaines réunions, les options pour une coopération renforcée en matière de travail sur des questions transversales, comme le changement climatique, la viande de brousse et les espèces exotiques envahissantes, notamment en envisageant la possibilité d'identifier les AME qui joueront un rôle central d'une manière conforme à leurs mandats, dispositions de gouvernance et programmes convenus.</w:t>
            </w:r>
          </w:p>
        </w:tc>
        <w:tc>
          <w:tcPr>
            <w:tcW w:w="3456" w:type="dxa"/>
          </w:tcPr>
          <w:p w:rsidR="00466AFD" w:rsidRPr="00465DA1"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Pr>
                <w:sz w:val="24"/>
                <w:szCs w:val="24"/>
                <w:lang w:val="fr-FR"/>
              </w:rPr>
              <w:t>Repris de</w:t>
            </w:r>
            <w:r w:rsidRPr="00465DA1">
              <w:rPr>
                <w:sz w:val="24"/>
                <w:szCs w:val="24"/>
                <w:lang w:val="fr-FR"/>
              </w:rPr>
              <w:t xml:space="preserve"> la Résolution 10.21, paragraphe 18.</w:t>
            </w:r>
          </w:p>
          <w:p w:rsidR="00466AFD" w:rsidRPr="00465DA1"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p>
          <w:p w:rsidR="00466AFD" w:rsidRPr="00465DA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Pour plus de cohérence, le terme original « Groupe de liaison des conventions relatives à la biodiversité » est devenu « Groupe de liaison sur la biodiversité ».</w:t>
            </w:r>
          </w:p>
        </w:tc>
      </w:tr>
    </w:tbl>
    <w:p w:rsidR="00466AFD" w:rsidRDefault="00466AFD" w:rsidP="00466AFD">
      <w:r>
        <w:rPr>
          <w:b/>
          <w:bCs/>
        </w:rPr>
        <w:br w:type="page"/>
      </w:r>
    </w:p>
    <w:tbl>
      <w:tblPr>
        <w:tblStyle w:val="HelleSchattierung1"/>
        <w:tblW w:w="9558" w:type="dxa"/>
        <w:tblLook w:val="04A0" w:firstRow="1" w:lastRow="0" w:firstColumn="1" w:lastColumn="0" w:noHBand="0" w:noVBand="1"/>
      </w:tblPr>
      <w:tblGrid>
        <w:gridCol w:w="6102"/>
        <w:gridCol w:w="3456"/>
      </w:tblGrid>
      <w:tr w:rsidR="00466AFD" w:rsidRPr="005E66AB" w:rsidTr="00174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F2491A" w:rsidRDefault="00466AFD" w:rsidP="00174E8B">
            <w:pPr>
              <w:rPr>
                <w:lang w:val="fr-FR"/>
              </w:rPr>
            </w:pPr>
            <w:r>
              <w:rPr>
                <w:lang w:val="fr-FR"/>
              </w:rPr>
              <w:lastRenderedPageBreak/>
              <w:t>Texte</w:t>
            </w:r>
          </w:p>
        </w:tc>
        <w:tc>
          <w:tcPr>
            <w:tcW w:w="3456" w:type="dxa"/>
          </w:tcPr>
          <w:p w:rsidR="00466AFD" w:rsidRDefault="00466AFD" w:rsidP="00174E8B">
            <w:pPr>
              <w:pStyle w:val="CommentText"/>
              <w:cnfStyle w:val="100000000000" w:firstRow="1" w:lastRow="0" w:firstColumn="0" w:lastColumn="0" w:oddVBand="0" w:evenVBand="0" w:oddHBand="0" w:evenHBand="0" w:firstRowFirstColumn="0" w:firstRowLastColumn="0" w:lastRowFirstColumn="0" w:lastRowLastColumn="0"/>
              <w:rPr>
                <w:sz w:val="24"/>
                <w:szCs w:val="24"/>
                <w:lang w:val="fr-FR"/>
              </w:rPr>
            </w:pPr>
            <w:r>
              <w:rPr>
                <w:sz w:val="24"/>
                <w:szCs w:val="24"/>
                <w:lang w:val="fr-FR"/>
              </w:rPr>
              <w:t>Source</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5E66AB" w:rsidRDefault="00466AFD" w:rsidP="00174E8B">
            <w:pPr>
              <w:rPr>
                <w:rFonts w:ascii="Times-Roman" w:hAnsi="Times-Roman" w:cs="Times-Roman"/>
                <w:sz w:val="23"/>
                <w:szCs w:val="23"/>
                <w:lang w:val="fr-FR" w:eastAsia="de-CH"/>
              </w:rPr>
            </w:pPr>
            <w:r w:rsidRPr="005E66AB">
              <w:rPr>
                <w:b w:val="0"/>
                <w:i/>
                <w:strike/>
                <w:lang w:val="fr-FR"/>
              </w:rPr>
              <w:t>Demande</w:t>
            </w:r>
            <w:r w:rsidRPr="005E66AB">
              <w:rPr>
                <w:b w:val="0"/>
                <w:strike/>
                <w:lang w:val="fr-FR"/>
              </w:rPr>
              <w:t xml:space="preserve"> au Secrétariat de la CMS, et aux Accords affiliés de la CMS et au Conseil scientifique d’accroître l’engagement avec les comités d’experts de l’UICN, les processus et comités de la CITES y compris la Commission de Survie des Espèces de l’UICN, le Secrétariat de la CITES et le Comité pour les animaux de la CITES et les réunions de la Conférence des Parties de la CITES, telles qu’appropriées;</w:t>
            </w:r>
          </w:p>
        </w:tc>
        <w:tc>
          <w:tcPr>
            <w:tcW w:w="3456" w:type="dxa"/>
            <w:shd w:val="clear" w:color="auto" w:fill="auto"/>
          </w:tcPr>
          <w:p w:rsidR="00466AFD" w:rsidRPr="00465DA1"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Pr>
                <w:sz w:val="24"/>
                <w:szCs w:val="24"/>
                <w:lang w:val="fr-FR"/>
              </w:rPr>
              <w:t>Repris de</w:t>
            </w:r>
            <w:r w:rsidRPr="00465DA1">
              <w:rPr>
                <w:sz w:val="24"/>
                <w:szCs w:val="24"/>
                <w:lang w:val="fr-FR"/>
              </w:rPr>
              <w:t xml:space="preserve"> la Résolution 9.6, paragraphe 12. Il est jugé red</w:t>
            </w:r>
            <w:r>
              <w:rPr>
                <w:sz w:val="24"/>
                <w:szCs w:val="24"/>
                <w:lang w:val="fr-FR"/>
              </w:rPr>
              <w:t>o</w:t>
            </w:r>
            <w:r w:rsidRPr="00465DA1">
              <w:rPr>
                <w:sz w:val="24"/>
                <w:szCs w:val="24"/>
                <w:lang w:val="fr-FR"/>
              </w:rPr>
              <w:t>ndant, à la lumi</w:t>
            </w:r>
            <w:r>
              <w:rPr>
                <w:sz w:val="24"/>
                <w:szCs w:val="24"/>
                <w:lang w:val="fr-FR"/>
              </w:rPr>
              <w:t>è</w:t>
            </w:r>
            <w:r w:rsidRPr="00465DA1">
              <w:rPr>
                <w:sz w:val="24"/>
                <w:szCs w:val="24"/>
                <w:lang w:val="fr-FR"/>
              </w:rPr>
              <w:t>re du paragraphe 10 ci-dessus.</w:t>
            </w:r>
          </w:p>
        </w:tc>
      </w:tr>
      <w:tr w:rsidR="00466AFD" w:rsidRPr="007D35ED"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5E66AB" w:rsidRDefault="00466AFD" w:rsidP="00466AFD">
            <w:pPr>
              <w:pStyle w:val="ListParagraph"/>
              <w:numPr>
                <w:ilvl w:val="0"/>
                <w:numId w:val="20"/>
              </w:numPr>
              <w:ind w:left="0" w:firstLine="0"/>
              <w:jc w:val="both"/>
              <w:rPr>
                <w:b w:val="0"/>
                <w:bCs w:val="0"/>
                <w:i/>
                <w:u w:val="single"/>
                <w:lang w:val="fr-FR"/>
              </w:rPr>
            </w:pPr>
            <w:r w:rsidRPr="005E66AB">
              <w:rPr>
                <w:b w:val="0"/>
                <w:i/>
                <w:u w:val="single"/>
                <w:lang w:val="fr-FR"/>
              </w:rPr>
              <w:t xml:space="preserve">Demande en outre </w:t>
            </w:r>
            <w:r w:rsidRPr="005E66AB">
              <w:rPr>
                <w:b w:val="0"/>
                <w:u w:val="single"/>
                <w:lang w:val="fr-FR"/>
              </w:rPr>
              <w:t xml:space="preserve">au Secrétariat de formuler des avis concernant le financement des priorités nationales en conformité avec le mandat du Fonds pour l’environnement mondial, de faire rapport au Comité permanent et de transmettre ces avis en temps utile  au Secrétaire exécutif de la CDB. </w:t>
            </w:r>
          </w:p>
        </w:tc>
        <w:tc>
          <w:tcPr>
            <w:tcW w:w="3456" w:type="dxa"/>
            <w:shd w:val="clear" w:color="auto" w:fill="BFBFBF"/>
          </w:tcPr>
          <w:p w:rsidR="00466AFD" w:rsidRPr="007D35ED" w:rsidRDefault="00466AFD" w:rsidP="00174E8B">
            <w:pPr>
              <w:pStyle w:val="CommentText"/>
              <w:cnfStyle w:val="000000000000" w:firstRow="0" w:lastRow="0" w:firstColumn="0" w:lastColumn="0" w:oddVBand="0" w:evenVBand="0" w:oddHBand="0" w:evenHBand="0" w:firstRowFirstColumn="0" w:firstRowLastColumn="0" w:lastRowFirstColumn="0" w:lastRowLastColumn="0"/>
              <w:rPr>
                <w:sz w:val="24"/>
                <w:szCs w:val="24"/>
              </w:rPr>
            </w:pPr>
            <w:r w:rsidRPr="007D35ED">
              <w:rPr>
                <w:sz w:val="24"/>
                <w:szCs w:val="24"/>
              </w:rPr>
              <w:t>N</w:t>
            </w:r>
            <w:r>
              <w:rPr>
                <w:sz w:val="24"/>
                <w:szCs w:val="24"/>
              </w:rPr>
              <w:t xml:space="preserve">ouveau </w:t>
            </w:r>
            <w:proofErr w:type="spellStart"/>
            <w:r>
              <w:rPr>
                <w:sz w:val="24"/>
                <w:szCs w:val="24"/>
              </w:rPr>
              <w:t>paragraphe</w:t>
            </w:r>
            <w:proofErr w:type="spellEnd"/>
            <w:r w:rsidRPr="007D35ED">
              <w:rPr>
                <w:sz w:val="24"/>
                <w:szCs w:val="24"/>
              </w:rPr>
              <w:t>.</w:t>
            </w:r>
          </w:p>
        </w:tc>
      </w:tr>
      <w:tr w:rsidR="00466AFD" w:rsidRPr="008F182C"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5E66AB" w:rsidRDefault="00466AFD" w:rsidP="00466AFD">
            <w:pPr>
              <w:pStyle w:val="ListParagraph"/>
              <w:numPr>
                <w:ilvl w:val="0"/>
                <w:numId w:val="20"/>
              </w:numPr>
              <w:ind w:left="0" w:firstLine="0"/>
              <w:jc w:val="both"/>
              <w:rPr>
                <w:b w:val="0"/>
                <w:lang w:val="fr-FR" w:eastAsia="de-CH"/>
              </w:rPr>
            </w:pPr>
            <w:r w:rsidRPr="005E66AB">
              <w:rPr>
                <w:b w:val="0"/>
                <w:i/>
                <w:iCs/>
                <w:sz w:val="23"/>
                <w:szCs w:val="23"/>
                <w:lang w:val="fr-FR" w:eastAsia="de-CH"/>
              </w:rPr>
              <w:t xml:space="preserve">Prie </w:t>
            </w:r>
            <w:r w:rsidRPr="005E66AB">
              <w:rPr>
                <w:b w:val="0"/>
                <w:sz w:val="23"/>
                <w:szCs w:val="23"/>
                <w:lang w:val="fr-FR" w:eastAsia="de-CH"/>
              </w:rPr>
              <w:t xml:space="preserve">le Secrétaire exécutif de continuer de faire rapport au Comité permanent sur les progrès accomplis, notamment sur les résultats d’activités communes tel que discuté et approuvé au sein du Groupe de liaison sur la biodiversité; </w:t>
            </w:r>
          </w:p>
          <w:p w:rsidR="00466AFD" w:rsidRPr="005E66AB" w:rsidRDefault="00466AFD" w:rsidP="00174E8B">
            <w:pPr>
              <w:tabs>
                <w:tab w:val="left" w:pos="1170"/>
              </w:tabs>
              <w:jc w:val="both"/>
              <w:rPr>
                <w:b w:val="0"/>
                <w:bCs w:val="0"/>
                <w:lang w:val="fr-FR"/>
              </w:rPr>
            </w:pPr>
          </w:p>
        </w:tc>
        <w:tc>
          <w:tcPr>
            <w:tcW w:w="3456" w:type="dxa"/>
            <w:shd w:val="clear" w:color="auto" w:fill="auto"/>
          </w:tcPr>
          <w:p w:rsidR="00466AFD" w:rsidRPr="00D65CB5" w:rsidRDefault="00466AFD" w:rsidP="00D65CB5">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sidRPr="00670C91">
              <w:rPr>
                <w:sz w:val="24"/>
                <w:szCs w:val="24"/>
                <w:lang w:val="fr-FR"/>
              </w:rPr>
              <w:t>Basé sur le paragraphe 6 de la Résolution 9.6 et sur le paragraphe 11 de la R</w:t>
            </w:r>
            <w:r>
              <w:rPr>
                <w:sz w:val="24"/>
                <w:szCs w:val="24"/>
                <w:lang w:val="fr-FR"/>
              </w:rPr>
              <w:t>é</w:t>
            </w:r>
            <w:r w:rsidRPr="00670C91">
              <w:rPr>
                <w:sz w:val="24"/>
                <w:szCs w:val="24"/>
                <w:lang w:val="fr-FR"/>
              </w:rPr>
              <w:t xml:space="preserve">solution 10.21. </w:t>
            </w:r>
            <w:r>
              <w:rPr>
                <w:sz w:val="24"/>
                <w:szCs w:val="24"/>
                <w:lang w:val="fr-FR"/>
              </w:rPr>
              <w:t>Le libellé est harmonisé avec des paragraphes similaires</w:t>
            </w:r>
            <w:r w:rsidRPr="008F182C">
              <w:rPr>
                <w:sz w:val="24"/>
                <w:lang w:val="fr-FR"/>
              </w:rPr>
              <w:t>.</w:t>
            </w:r>
            <w:r w:rsidRPr="008F182C" w:rsidDel="008970AB">
              <w:rPr>
                <w:sz w:val="24"/>
                <w:szCs w:val="24"/>
                <w:lang w:val="fr-FR"/>
              </w:rPr>
              <w:t xml:space="preserve"> </w:t>
            </w:r>
          </w:p>
        </w:tc>
      </w:tr>
      <w:tr w:rsidR="00466AFD" w:rsidRPr="005E66AB" w:rsidTr="00466AFD">
        <w:tc>
          <w:tcPr>
            <w:cnfStyle w:val="001000000000" w:firstRow="0" w:lastRow="0" w:firstColumn="1" w:lastColumn="0" w:oddVBand="0" w:evenVBand="0" w:oddHBand="0" w:evenHBand="0" w:firstRowFirstColumn="0" w:firstRowLastColumn="0" w:lastRowFirstColumn="0" w:lastRowLastColumn="0"/>
            <w:tcW w:w="6102" w:type="dxa"/>
            <w:shd w:val="clear" w:color="auto" w:fill="BFBFBF"/>
          </w:tcPr>
          <w:p w:rsidR="00466AFD" w:rsidRPr="005E66AB" w:rsidRDefault="00466AFD" w:rsidP="00466AFD">
            <w:pPr>
              <w:pStyle w:val="ListParagraph"/>
              <w:numPr>
                <w:ilvl w:val="0"/>
                <w:numId w:val="20"/>
              </w:numPr>
              <w:ind w:left="0" w:firstLine="0"/>
              <w:jc w:val="both"/>
              <w:rPr>
                <w:b w:val="0"/>
                <w:sz w:val="23"/>
                <w:szCs w:val="23"/>
                <w:lang w:val="fr-FR" w:eastAsia="de-CH"/>
              </w:rPr>
            </w:pPr>
            <w:r w:rsidRPr="005E66AB">
              <w:rPr>
                <w:b w:val="0"/>
                <w:i/>
                <w:sz w:val="23"/>
                <w:szCs w:val="23"/>
                <w:lang w:val="fr-FR" w:eastAsia="de-CH"/>
              </w:rPr>
              <w:t>Reconnaît</w:t>
            </w:r>
            <w:r w:rsidRPr="005E66AB">
              <w:rPr>
                <w:b w:val="0"/>
                <w:sz w:val="23"/>
                <w:szCs w:val="23"/>
                <w:lang w:val="fr-FR" w:eastAsia="de-CH"/>
              </w:rPr>
              <w:t xml:space="preserve"> que des ressources adéquates sont nécessaires pour permettre aux partenariats de se développer et que ces ressources pourraient être fournies en partie par les contributions volontaires des Parties, et </w:t>
            </w:r>
            <w:r w:rsidRPr="005E66AB">
              <w:rPr>
                <w:b w:val="0"/>
                <w:i/>
                <w:sz w:val="23"/>
                <w:szCs w:val="23"/>
                <w:lang w:val="fr-FR" w:eastAsia="de-CH"/>
              </w:rPr>
              <w:t>demande</w:t>
            </w:r>
            <w:r w:rsidRPr="005E66AB">
              <w:rPr>
                <w:b w:val="0"/>
                <w:sz w:val="23"/>
                <w:szCs w:val="23"/>
                <w:lang w:val="fr-FR" w:eastAsia="de-CH"/>
              </w:rPr>
              <w:t xml:space="preserve"> aux Parties de faire en sorte que des ressources suffisantes soient allouées au Secrétariat afin que des partenariats puissent être créés et renforcés; </w:t>
            </w:r>
          </w:p>
        </w:tc>
        <w:tc>
          <w:tcPr>
            <w:tcW w:w="3456" w:type="dxa"/>
            <w:shd w:val="clear" w:color="auto" w:fill="BFBFBF"/>
          </w:tcPr>
          <w:p w:rsidR="00466AFD" w:rsidRPr="005E66AB" w:rsidRDefault="00466AFD" w:rsidP="00174E8B">
            <w:pPr>
              <w:pStyle w:val="CommentText"/>
              <w:cnfStyle w:val="000000000000" w:firstRow="0" w:lastRow="0" w:firstColumn="0" w:lastColumn="0" w:oddVBand="0" w:evenVBand="0" w:oddHBand="0" w:evenHBand="0" w:firstRowFirstColumn="0" w:firstRowLastColumn="0" w:lastRowFirstColumn="0" w:lastRowLastColumn="0"/>
              <w:rPr>
                <w:sz w:val="24"/>
                <w:szCs w:val="24"/>
                <w:lang w:val="fr-FR"/>
              </w:rPr>
            </w:pPr>
            <w:r w:rsidRPr="005E66AB">
              <w:rPr>
                <w:sz w:val="24"/>
                <w:szCs w:val="24"/>
                <w:lang w:val="fr-FR"/>
              </w:rPr>
              <w:t>Amalgame entre la Résolution 9.6, paragraphe 18, et la Résolution 10.21, paragraphe 17</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shd w:val="clear" w:color="auto" w:fill="auto"/>
          </w:tcPr>
          <w:p w:rsidR="00466AFD" w:rsidRPr="005E66AB" w:rsidRDefault="00466AFD" w:rsidP="00466AFD">
            <w:pPr>
              <w:pStyle w:val="ListParagraph"/>
              <w:numPr>
                <w:ilvl w:val="0"/>
                <w:numId w:val="20"/>
              </w:numPr>
              <w:ind w:left="0" w:firstLine="0"/>
              <w:jc w:val="both"/>
              <w:rPr>
                <w:b w:val="0"/>
                <w:bCs w:val="0"/>
                <w:lang w:val="fr-FR"/>
              </w:rPr>
            </w:pPr>
            <w:r w:rsidRPr="005E66AB">
              <w:rPr>
                <w:b w:val="0"/>
                <w:i/>
                <w:iCs/>
                <w:sz w:val="23"/>
                <w:szCs w:val="23"/>
                <w:lang w:val="fr-FR"/>
              </w:rPr>
              <w:t xml:space="preserve">Prie instamment </w:t>
            </w:r>
            <w:r w:rsidRPr="005E66AB">
              <w:rPr>
                <w:b w:val="0"/>
                <w:sz w:val="23"/>
                <w:szCs w:val="23"/>
                <w:lang w:val="fr-FR"/>
              </w:rPr>
              <w:t xml:space="preserve">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 ; </w:t>
            </w:r>
          </w:p>
        </w:tc>
        <w:tc>
          <w:tcPr>
            <w:tcW w:w="3456" w:type="dxa"/>
            <w:shd w:val="clear" w:color="auto" w:fill="auto"/>
          </w:tcPr>
          <w:p w:rsidR="00466AFD" w:rsidRPr="005E66AB"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sidRPr="005E66AB">
              <w:rPr>
                <w:sz w:val="24"/>
                <w:szCs w:val="24"/>
                <w:lang w:val="fr-FR"/>
              </w:rPr>
              <w:t>Repris de la Résolution 10.21, paragraphe 15.</w:t>
            </w:r>
          </w:p>
          <w:p w:rsidR="00466AFD" w:rsidRPr="005E66AB"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p>
          <w:p w:rsidR="00466AFD" w:rsidRPr="005E66AB"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r w:rsidRPr="005E66AB">
              <w:rPr>
                <w:sz w:val="24"/>
                <w:szCs w:val="24"/>
                <w:lang w:val="fr-FR"/>
              </w:rPr>
              <w:t>La partie ci-après du paragraphe 15 a été éliminée étant obsolète:</w:t>
            </w:r>
          </w:p>
          <w:p w:rsidR="00466AFD" w:rsidRPr="005E66AB" w:rsidRDefault="00466AFD" w:rsidP="00174E8B">
            <w:pPr>
              <w:pStyle w:val="CommentText"/>
              <w:cnfStyle w:val="000000100000" w:firstRow="0" w:lastRow="0" w:firstColumn="0" w:lastColumn="0" w:oddVBand="0" w:evenVBand="0" w:oddHBand="1" w:evenHBand="0" w:firstRowFirstColumn="0" w:firstRowLastColumn="0" w:lastRowFirstColumn="0" w:lastRowLastColumn="0"/>
              <w:rPr>
                <w:sz w:val="24"/>
                <w:szCs w:val="24"/>
                <w:lang w:val="fr-FR"/>
              </w:rPr>
            </w:pPr>
          </w:p>
          <w:p w:rsidR="00466AFD" w:rsidRPr="005E66AB"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sidRPr="005E66AB">
              <w:rPr>
                <w:sz w:val="23"/>
                <w:szCs w:val="23"/>
                <w:lang w:val="fr-FR"/>
              </w:rPr>
              <w:t xml:space="preserve">et </w:t>
            </w:r>
            <w:r w:rsidRPr="005E66AB">
              <w:rPr>
                <w:i/>
                <w:iCs/>
                <w:sz w:val="23"/>
                <w:szCs w:val="23"/>
                <w:lang w:val="fr-FR"/>
              </w:rPr>
              <w:t xml:space="preserve">encourage </w:t>
            </w:r>
            <w:r w:rsidRPr="005E66AB">
              <w:rPr>
                <w:sz w:val="23"/>
                <w:szCs w:val="23"/>
                <w:lang w:val="fr-FR"/>
              </w:rPr>
              <w:t>les points focaux de la CMS à participer activement aux préparatifs nationaux pour les discussions lors de la 4</w:t>
            </w:r>
            <w:r w:rsidRPr="005E66AB">
              <w:rPr>
                <w:sz w:val="16"/>
                <w:szCs w:val="16"/>
                <w:lang w:val="fr-FR"/>
              </w:rPr>
              <w:t xml:space="preserve">ème </w:t>
            </w:r>
            <w:r w:rsidRPr="005E66AB">
              <w:rPr>
                <w:sz w:val="23"/>
                <w:szCs w:val="23"/>
                <w:lang w:val="fr-FR"/>
              </w:rPr>
              <w:t>réunion du Groupe de travail sur l'examen de la mise en œuvre de la CDB (mai 2012) pour déterminer la forme et le contenu d'un processus visant à renforcer la coordination, la cohérence et les synergies au niveau national parmi les conventions sur la biodiversité</w:t>
            </w:r>
          </w:p>
        </w:tc>
      </w:tr>
      <w:tr w:rsidR="00466AFD" w:rsidRPr="005E66AB" w:rsidTr="00466AFD">
        <w:tc>
          <w:tcPr>
            <w:cnfStyle w:val="001000000000" w:firstRow="0" w:lastRow="0" w:firstColumn="1" w:lastColumn="0" w:oddVBand="0" w:evenVBand="0" w:oddHBand="0" w:evenHBand="0" w:firstRowFirstColumn="0" w:firstRowLastColumn="0" w:lastRowFirstColumn="0" w:lastRowLastColumn="0"/>
            <w:tcW w:w="6102" w:type="dxa"/>
            <w:tcBorders>
              <w:bottom w:val="single" w:sz="4" w:space="0" w:color="auto"/>
            </w:tcBorders>
            <w:shd w:val="clear" w:color="auto" w:fill="BFBFBF"/>
          </w:tcPr>
          <w:p w:rsidR="00466AFD" w:rsidRPr="00D65CB5" w:rsidRDefault="00466AFD" w:rsidP="00466AFD">
            <w:pPr>
              <w:pStyle w:val="ListParagraph"/>
              <w:numPr>
                <w:ilvl w:val="0"/>
                <w:numId w:val="20"/>
              </w:numPr>
              <w:ind w:left="0" w:firstLine="0"/>
              <w:jc w:val="both"/>
              <w:rPr>
                <w:b w:val="0"/>
                <w:bCs w:val="0"/>
                <w:lang w:val="fr-FR"/>
              </w:rPr>
            </w:pPr>
            <w:r w:rsidRPr="005E66AB">
              <w:rPr>
                <w:b w:val="0"/>
                <w:i/>
                <w:iCs/>
                <w:sz w:val="23"/>
                <w:szCs w:val="23"/>
                <w:lang w:val="fr-FR"/>
              </w:rPr>
              <w:t xml:space="preserve">Exhorte en outre </w:t>
            </w:r>
            <w:r w:rsidRPr="005E66AB">
              <w:rPr>
                <w:b w:val="0"/>
                <w:sz w:val="23"/>
                <w:szCs w:val="23"/>
                <w:lang w:val="fr-FR"/>
              </w:rPr>
              <w:t>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w:t>
            </w:r>
          </w:p>
          <w:p w:rsidR="00D65CB5" w:rsidRPr="005E66AB" w:rsidRDefault="00D65CB5" w:rsidP="00D65CB5">
            <w:pPr>
              <w:pStyle w:val="ListParagraph"/>
              <w:ind w:left="0"/>
              <w:jc w:val="both"/>
              <w:rPr>
                <w:b w:val="0"/>
                <w:bCs w:val="0"/>
                <w:lang w:val="fr-FR"/>
              </w:rPr>
            </w:pPr>
          </w:p>
        </w:tc>
        <w:tc>
          <w:tcPr>
            <w:tcW w:w="3456" w:type="dxa"/>
            <w:tcBorders>
              <w:bottom w:val="single" w:sz="4" w:space="0" w:color="auto"/>
            </w:tcBorders>
            <w:shd w:val="clear" w:color="auto" w:fill="BFBFBF"/>
          </w:tcPr>
          <w:p w:rsidR="00466AFD" w:rsidRPr="00670C9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Repris de</w:t>
            </w:r>
            <w:r w:rsidRPr="00670C91">
              <w:rPr>
                <w:lang w:val="fr-FR"/>
              </w:rPr>
              <w:t xml:space="preserve"> la Résolution 8.11, paragraphe</w:t>
            </w:r>
            <w:r>
              <w:rPr>
                <w:lang w:val="fr-FR"/>
              </w:rPr>
              <w:t xml:space="preserve"> 1,</w:t>
            </w:r>
            <w:r w:rsidRPr="00670C91">
              <w:rPr>
                <w:lang w:val="fr-FR"/>
              </w:rPr>
              <w:t xml:space="preserve"> </w:t>
            </w:r>
            <w:r>
              <w:rPr>
                <w:lang w:val="fr-FR"/>
              </w:rPr>
              <w:t>et de la</w:t>
            </w:r>
            <w:r w:rsidRPr="00670C91">
              <w:rPr>
                <w:lang w:val="fr-FR"/>
              </w:rPr>
              <w:t xml:space="preserve"> R</w:t>
            </w:r>
            <w:r>
              <w:rPr>
                <w:lang w:val="fr-FR"/>
              </w:rPr>
              <w:t>é</w:t>
            </w:r>
            <w:r w:rsidRPr="00670C91">
              <w:rPr>
                <w:lang w:val="fr-FR"/>
              </w:rPr>
              <w:t>solution 10.21, paragraph</w:t>
            </w:r>
            <w:r>
              <w:rPr>
                <w:lang w:val="fr-FR"/>
              </w:rPr>
              <w:t>e</w:t>
            </w:r>
            <w:r w:rsidRPr="00670C91">
              <w:rPr>
                <w:lang w:val="fr-FR"/>
              </w:rPr>
              <w:t xml:space="preserve"> 16.</w:t>
            </w:r>
          </w:p>
        </w:tc>
      </w:tr>
      <w:tr w:rsidR="00466AFD" w:rsidRPr="00BA41E7"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bottom w:val="single" w:sz="4" w:space="0" w:color="auto"/>
            </w:tcBorders>
            <w:shd w:val="clear" w:color="auto" w:fill="auto"/>
          </w:tcPr>
          <w:p w:rsidR="00466AFD" w:rsidRPr="00BA41E7" w:rsidRDefault="00466AFD" w:rsidP="00174E8B">
            <w:pPr>
              <w:pStyle w:val="ListParagraph"/>
              <w:ind w:left="0"/>
              <w:jc w:val="both"/>
              <w:rPr>
                <w:iCs/>
                <w:sz w:val="23"/>
                <w:szCs w:val="23"/>
                <w:lang w:val="fr-FR" w:eastAsia="de-CH"/>
              </w:rPr>
            </w:pPr>
            <w:r w:rsidRPr="00BA41E7">
              <w:rPr>
                <w:iCs/>
                <w:sz w:val="23"/>
                <w:szCs w:val="23"/>
                <w:lang w:val="fr-FR" w:eastAsia="de-CH"/>
              </w:rPr>
              <w:lastRenderedPageBreak/>
              <w:t>Texte</w:t>
            </w:r>
          </w:p>
        </w:tc>
        <w:tc>
          <w:tcPr>
            <w:tcW w:w="3456" w:type="dxa"/>
            <w:tcBorders>
              <w:top w:val="single" w:sz="4" w:space="0" w:color="auto"/>
              <w:bottom w:val="single" w:sz="4" w:space="0" w:color="auto"/>
            </w:tcBorders>
            <w:shd w:val="clear" w:color="auto" w:fill="auto"/>
          </w:tcPr>
          <w:p w:rsidR="00466AFD" w:rsidRPr="00BA41E7"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b/>
                <w:lang w:val="fr-FR"/>
              </w:rPr>
            </w:pPr>
            <w:r w:rsidRPr="00BA41E7">
              <w:rPr>
                <w:b/>
                <w:lang w:val="fr-FR"/>
              </w:rPr>
              <w:t>Source</w:t>
            </w:r>
          </w:p>
        </w:tc>
      </w:tr>
      <w:tr w:rsidR="00466AFD" w:rsidRPr="005E66AB" w:rsidTr="00174E8B">
        <w:tc>
          <w:tcPr>
            <w:cnfStyle w:val="001000000000" w:firstRow="0" w:lastRow="0" w:firstColumn="1" w:lastColumn="0" w:oddVBand="0" w:evenVBand="0" w:oddHBand="0" w:evenHBand="0" w:firstRowFirstColumn="0" w:firstRowLastColumn="0" w:lastRowFirstColumn="0" w:lastRowLastColumn="0"/>
            <w:tcW w:w="6102" w:type="dxa"/>
            <w:tcBorders>
              <w:top w:val="single" w:sz="4" w:space="0" w:color="auto"/>
            </w:tcBorders>
            <w:shd w:val="clear" w:color="auto" w:fill="auto"/>
          </w:tcPr>
          <w:p w:rsidR="00466AFD" w:rsidRPr="005E66AB" w:rsidRDefault="00466AFD" w:rsidP="00466AFD">
            <w:pPr>
              <w:pStyle w:val="ListParagraph"/>
              <w:numPr>
                <w:ilvl w:val="0"/>
                <w:numId w:val="20"/>
              </w:numPr>
              <w:ind w:left="0" w:firstLine="0"/>
              <w:jc w:val="both"/>
              <w:rPr>
                <w:b w:val="0"/>
                <w:sz w:val="23"/>
                <w:szCs w:val="23"/>
                <w:lang w:val="fr-FR" w:eastAsia="de-CH"/>
              </w:rPr>
            </w:pPr>
            <w:r w:rsidRPr="005E66AB">
              <w:rPr>
                <w:b w:val="0"/>
                <w:i/>
                <w:iCs/>
                <w:sz w:val="23"/>
                <w:szCs w:val="23"/>
                <w:lang w:val="fr-FR" w:eastAsia="de-CH"/>
              </w:rPr>
              <w:t xml:space="preserve">Encourage </w:t>
            </w:r>
            <w:r w:rsidRPr="005E66AB">
              <w:rPr>
                <w:b w:val="0"/>
                <w:sz w:val="23"/>
                <w:szCs w:val="23"/>
                <w:lang w:val="fr-FR" w:eastAsia="de-CH"/>
              </w:rPr>
              <w:t xml:space="preserve">les Parties, autres gouvernements et organisations à faire usage des outils en ligne tels que </w:t>
            </w:r>
            <w:proofErr w:type="spellStart"/>
            <w:r w:rsidRPr="005E66AB">
              <w:rPr>
                <w:b w:val="0"/>
                <w:sz w:val="23"/>
                <w:szCs w:val="23"/>
                <w:lang w:val="fr-FR" w:eastAsia="de-CH"/>
              </w:rPr>
              <w:t>InforMEA</w:t>
            </w:r>
            <w:proofErr w:type="spellEnd"/>
            <w:r w:rsidRPr="005E66AB">
              <w:rPr>
                <w:b w:val="0"/>
                <w:sz w:val="23"/>
                <w:szCs w:val="23"/>
                <w:lang w:val="fr-FR" w:eastAsia="de-CH"/>
              </w:rPr>
              <w:t xml:space="preserve"> </w:t>
            </w:r>
            <w:r w:rsidRPr="005E66AB">
              <w:rPr>
                <w:b w:val="0"/>
                <w:strike/>
                <w:sz w:val="23"/>
                <w:szCs w:val="23"/>
                <w:lang w:val="fr-FR" w:eastAsia="de-CH"/>
              </w:rPr>
              <w:t xml:space="preserve">PNUE/UICN TEMATEA </w:t>
            </w:r>
            <w:r w:rsidRPr="005E66AB">
              <w:rPr>
                <w:b w:val="0"/>
                <w:sz w:val="23"/>
                <w:szCs w:val="23"/>
                <w:lang w:val="fr-FR" w:eastAsia="de-CH"/>
              </w:rPr>
              <w:t>lors</w:t>
            </w:r>
            <w:r w:rsidRPr="005E66AB">
              <w:rPr>
                <w:sz w:val="23"/>
                <w:szCs w:val="23"/>
                <w:lang w:val="fr-FR" w:eastAsia="de-CH"/>
              </w:rPr>
              <w:t xml:space="preserve"> </w:t>
            </w:r>
            <w:r w:rsidRPr="005E66AB">
              <w:rPr>
                <w:b w:val="0"/>
                <w:sz w:val="23"/>
                <w:szCs w:val="23"/>
                <w:lang w:val="fr-FR" w:eastAsia="de-CH"/>
              </w:rPr>
              <w:t>du développement et de la mise en œuvre d’activités de soutien mutuel parmi les Accords de la CMS et les conventions relatives à la biodiversité afin d’assurer la cohérence dans leur mise en œuvre;</w:t>
            </w:r>
          </w:p>
        </w:tc>
        <w:tc>
          <w:tcPr>
            <w:tcW w:w="3456" w:type="dxa"/>
            <w:tcBorders>
              <w:top w:val="single" w:sz="4" w:space="0" w:color="auto"/>
            </w:tcBorders>
            <w:shd w:val="clear" w:color="auto" w:fill="auto"/>
          </w:tcPr>
          <w:p w:rsidR="00466AFD" w:rsidRPr="00670C91" w:rsidRDefault="00466AFD" w:rsidP="00174E8B">
            <w:pPr>
              <w:tabs>
                <w:tab w:val="left" w:pos="1170"/>
              </w:tabs>
              <w:cnfStyle w:val="000000000000" w:firstRow="0" w:lastRow="0" w:firstColumn="0" w:lastColumn="0" w:oddVBand="0" w:evenVBand="0" w:oddHBand="0" w:evenHBand="0" w:firstRowFirstColumn="0" w:firstRowLastColumn="0" w:lastRowFirstColumn="0" w:lastRowLastColumn="0"/>
              <w:rPr>
                <w:lang w:val="fr-FR"/>
              </w:rPr>
            </w:pPr>
            <w:r>
              <w:rPr>
                <w:lang w:val="fr-FR"/>
              </w:rPr>
              <w:t>Repris de</w:t>
            </w:r>
            <w:r w:rsidRPr="00670C91">
              <w:rPr>
                <w:lang w:val="fr-FR"/>
              </w:rPr>
              <w:t xml:space="preserve"> la Résolution 9.6, paragraphe 3.</w:t>
            </w:r>
            <w:r>
              <w:rPr>
                <w:lang w:val="fr-FR"/>
              </w:rPr>
              <w:t xml:space="preserve"> Légèrement modifié pour rendre le libellé plus ouvert et actuel</w:t>
            </w:r>
            <w:r w:rsidRPr="00670C91">
              <w:rPr>
                <w:lang w:val="fr-FR"/>
              </w:rPr>
              <w:t>.</w:t>
            </w:r>
          </w:p>
        </w:tc>
      </w:tr>
      <w:tr w:rsidR="00466AFD" w:rsidRPr="005E66AB" w:rsidTr="00174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2" w:type="dxa"/>
          </w:tcPr>
          <w:p w:rsidR="00466AFD" w:rsidRPr="005E66AB" w:rsidRDefault="00466AFD" w:rsidP="00466AFD">
            <w:pPr>
              <w:pStyle w:val="ListParagraph"/>
              <w:numPr>
                <w:ilvl w:val="0"/>
                <w:numId w:val="20"/>
              </w:numPr>
              <w:ind w:left="0" w:firstLine="0"/>
              <w:jc w:val="both"/>
              <w:rPr>
                <w:b w:val="0"/>
                <w:sz w:val="23"/>
                <w:szCs w:val="23"/>
                <w:lang w:val="fr-FR" w:eastAsia="de-CH"/>
              </w:rPr>
            </w:pPr>
            <w:r w:rsidRPr="005E66AB">
              <w:rPr>
                <w:b w:val="0"/>
                <w:i/>
                <w:sz w:val="23"/>
                <w:szCs w:val="23"/>
                <w:lang w:val="fr-FR" w:eastAsia="de-CH"/>
              </w:rPr>
              <w:t>Prie</w:t>
            </w:r>
            <w:r w:rsidRPr="005E66AB">
              <w:rPr>
                <w:b w:val="0"/>
                <w:sz w:val="23"/>
                <w:szCs w:val="23"/>
                <w:lang w:val="fr-FR" w:eastAsia="de-CH"/>
              </w:rPr>
              <w:t xml:space="preserve"> les organisations partenaires de continuer de promouvoir et de publier les bénéfices qui leur reviennent ainsi qu’à la CMS et à la conservation provenant d’une collaboration effective ; </w:t>
            </w:r>
          </w:p>
          <w:p w:rsidR="00466AFD" w:rsidRPr="005E66AB" w:rsidRDefault="00466AFD" w:rsidP="00174E8B">
            <w:pPr>
              <w:pStyle w:val="ListParagraph"/>
              <w:ind w:left="0"/>
              <w:jc w:val="both"/>
              <w:rPr>
                <w:b w:val="0"/>
                <w:bCs w:val="0"/>
                <w:lang w:val="fr-FR"/>
              </w:rPr>
            </w:pPr>
          </w:p>
        </w:tc>
        <w:tc>
          <w:tcPr>
            <w:tcW w:w="3456" w:type="dxa"/>
          </w:tcPr>
          <w:p w:rsidR="00466AFD" w:rsidRPr="00670C91" w:rsidRDefault="00466AFD" w:rsidP="00174E8B">
            <w:pPr>
              <w:tabs>
                <w:tab w:val="left" w:pos="1170"/>
              </w:tabs>
              <w:cnfStyle w:val="000000100000" w:firstRow="0" w:lastRow="0" w:firstColumn="0" w:lastColumn="0" w:oddVBand="0" w:evenVBand="0" w:oddHBand="1" w:evenHBand="0" w:firstRowFirstColumn="0" w:firstRowLastColumn="0" w:lastRowFirstColumn="0" w:lastRowLastColumn="0"/>
              <w:rPr>
                <w:lang w:val="fr-FR"/>
              </w:rPr>
            </w:pPr>
            <w:r>
              <w:rPr>
                <w:lang w:val="fr-FR"/>
              </w:rPr>
              <w:t>Repris de</w:t>
            </w:r>
            <w:r w:rsidRPr="00670C91">
              <w:rPr>
                <w:lang w:val="fr-FR"/>
              </w:rPr>
              <w:t xml:space="preserve"> la Résolution 10.21, paragraphe 9.</w:t>
            </w:r>
          </w:p>
        </w:tc>
      </w:tr>
      <w:tr w:rsidR="00466AFD" w:rsidRPr="007D35ED" w:rsidTr="00174E8B">
        <w:tc>
          <w:tcPr>
            <w:cnfStyle w:val="001000000000" w:firstRow="0" w:lastRow="0" w:firstColumn="1" w:lastColumn="0" w:oddVBand="0" w:evenVBand="0" w:oddHBand="0" w:evenHBand="0" w:firstRowFirstColumn="0" w:firstRowLastColumn="0" w:lastRowFirstColumn="0" w:lastRowLastColumn="0"/>
            <w:tcW w:w="6102" w:type="dxa"/>
          </w:tcPr>
          <w:p w:rsidR="00466AFD" w:rsidRPr="00670C91" w:rsidRDefault="00466AFD" w:rsidP="00466AFD">
            <w:pPr>
              <w:pStyle w:val="ListParagraph"/>
              <w:numPr>
                <w:ilvl w:val="0"/>
                <w:numId w:val="20"/>
              </w:numPr>
              <w:ind w:left="0" w:firstLine="0"/>
              <w:jc w:val="both"/>
              <w:rPr>
                <w:b w:val="0"/>
                <w:bCs w:val="0"/>
                <w:i/>
                <w:u w:val="single"/>
                <w:lang w:val="fr-FR"/>
              </w:rPr>
            </w:pPr>
            <w:r w:rsidRPr="00670C91">
              <w:rPr>
                <w:b w:val="0"/>
                <w:i/>
                <w:u w:val="single"/>
                <w:lang w:val="fr-FR"/>
              </w:rPr>
              <w:t xml:space="preserve">Abroge </w:t>
            </w:r>
            <w:r w:rsidRPr="00670C91">
              <w:rPr>
                <w:b w:val="0"/>
                <w:u w:val="single"/>
                <w:lang w:val="fr-FR"/>
              </w:rPr>
              <w:t>la Résolution 7.9, la Résolution 8.11, la R</w:t>
            </w:r>
            <w:r>
              <w:rPr>
                <w:b w:val="0"/>
                <w:u w:val="single"/>
                <w:lang w:val="fr-FR"/>
              </w:rPr>
              <w:t>é</w:t>
            </w:r>
            <w:r w:rsidRPr="00670C91">
              <w:rPr>
                <w:b w:val="0"/>
                <w:u w:val="single"/>
                <w:lang w:val="fr-FR"/>
              </w:rPr>
              <w:t>solution 9.6</w:t>
            </w:r>
            <w:r>
              <w:rPr>
                <w:b w:val="0"/>
                <w:u w:val="single"/>
                <w:lang w:val="fr-FR"/>
              </w:rPr>
              <w:t xml:space="preserve"> et la Ré</w:t>
            </w:r>
            <w:r w:rsidRPr="00670C91">
              <w:rPr>
                <w:b w:val="0"/>
                <w:u w:val="single"/>
                <w:lang w:val="fr-FR"/>
              </w:rPr>
              <w:t>solution 10.21.</w:t>
            </w:r>
          </w:p>
        </w:tc>
        <w:tc>
          <w:tcPr>
            <w:tcW w:w="3456" w:type="dxa"/>
          </w:tcPr>
          <w:p w:rsidR="00466AFD" w:rsidRPr="007D35ED" w:rsidRDefault="00466AFD" w:rsidP="00174E8B">
            <w:pPr>
              <w:pStyle w:val="CommentText"/>
              <w:cnfStyle w:val="000000000000" w:firstRow="0" w:lastRow="0" w:firstColumn="0" w:lastColumn="0" w:oddVBand="0" w:evenVBand="0" w:oddHBand="0" w:evenHBand="0" w:firstRowFirstColumn="0" w:firstRowLastColumn="0" w:lastRowFirstColumn="0" w:lastRowLastColumn="0"/>
              <w:rPr>
                <w:sz w:val="24"/>
                <w:szCs w:val="24"/>
              </w:rPr>
            </w:pPr>
            <w:r w:rsidRPr="007D35ED">
              <w:rPr>
                <w:sz w:val="24"/>
                <w:szCs w:val="24"/>
              </w:rPr>
              <w:t>N</w:t>
            </w:r>
            <w:r>
              <w:rPr>
                <w:sz w:val="24"/>
                <w:szCs w:val="24"/>
              </w:rPr>
              <w:t xml:space="preserve">ouveau </w:t>
            </w:r>
            <w:proofErr w:type="spellStart"/>
            <w:r w:rsidRPr="007D35ED">
              <w:rPr>
                <w:sz w:val="24"/>
                <w:szCs w:val="24"/>
              </w:rPr>
              <w:t>paragraph</w:t>
            </w:r>
            <w:r>
              <w:rPr>
                <w:sz w:val="24"/>
                <w:szCs w:val="24"/>
              </w:rPr>
              <w:t>e</w:t>
            </w:r>
            <w:proofErr w:type="spellEnd"/>
            <w:r w:rsidRPr="007D35ED">
              <w:rPr>
                <w:sz w:val="24"/>
                <w:szCs w:val="24"/>
              </w:rPr>
              <w:t>.</w:t>
            </w:r>
          </w:p>
        </w:tc>
      </w:tr>
    </w:tbl>
    <w:p w:rsidR="00466AFD" w:rsidRPr="003D76DB" w:rsidRDefault="00466AFD" w:rsidP="00466AFD">
      <w:pPr>
        <w:pStyle w:val="ListParagraph"/>
        <w:ind w:left="0"/>
        <w:jc w:val="both"/>
      </w:pPr>
    </w:p>
    <w:p w:rsidR="00466AFD" w:rsidRPr="003D76DB" w:rsidRDefault="00466AFD" w:rsidP="00466AFD">
      <w:pPr>
        <w:pStyle w:val="ListParagraph"/>
        <w:ind w:left="0"/>
        <w:jc w:val="both"/>
        <w:rPr>
          <w:lang w:val="en-GB"/>
        </w:rPr>
      </w:pPr>
    </w:p>
    <w:p w:rsidR="00466AFD" w:rsidRDefault="00466AFD" w:rsidP="00466AFD">
      <w:pPr>
        <w:jc w:val="center"/>
        <w:rPr>
          <w:i/>
        </w:rPr>
      </w:pPr>
      <w:r>
        <w:rPr>
          <w:i/>
        </w:rPr>
        <w:br w:type="page"/>
      </w:r>
    </w:p>
    <w:p w:rsidR="00466AFD" w:rsidRDefault="00466AFD" w:rsidP="00466AFD">
      <w:pPr>
        <w:jc w:val="center"/>
        <w:rPr>
          <w:i/>
        </w:rPr>
      </w:pPr>
    </w:p>
    <w:p w:rsidR="00466AFD" w:rsidRPr="003D76DB" w:rsidRDefault="00466AFD" w:rsidP="00466AFD">
      <w:pPr>
        <w:jc w:val="center"/>
        <w:rPr>
          <w:b/>
        </w:rPr>
      </w:pPr>
      <w:r>
        <w:rPr>
          <w:b/>
        </w:rPr>
        <w:t>PROJET DE</w:t>
      </w:r>
      <w:r w:rsidRPr="003D76DB">
        <w:rPr>
          <w:b/>
        </w:rPr>
        <w:t xml:space="preserve"> R</w:t>
      </w:r>
      <w:r>
        <w:rPr>
          <w:b/>
        </w:rPr>
        <w:t>É</w:t>
      </w:r>
      <w:r w:rsidRPr="003D76DB">
        <w:rPr>
          <w:b/>
        </w:rPr>
        <w:t>SOLUTION</w:t>
      </w:r>
    </w:p>
    <w:p w:rsidR="00466AFD" w:rsidRPr="003D76DB" w:rsidRDefault="00466AFD" w:rsidP="00466AFD">
      <w:pPr>
        <w:tabs>
          <w:tab w:val="left" w:pos="1170"/>
        </w:tabs>
        <w:jc w:val="both"/>
        <w:rPr>
          <w:b/>
        </w:rPr>
      </w:pPr>
    </w:p>
    <w:p w:rsidR="00466AFD" w:rsidRPr="00465DA1" w:rsidRDefault="00466AFD" w:rsidP="00466AFD">
      <w:pPr>
        <w:jc w:val="center"/>
        <w:rPr>
          <w:b/>
          <w:lang w:val="fr-FR"/>
        </w:rPr>
      </w:pPr>
      <w:r w:rsidRPr="00465DA1">
        <w:rPr>
          <w:b/>
          <w:lang w:val="fr-FR"/>
        </w:rPr>
        <w:t>SYNERGIES ET PARTENARIATS</w:t>
      </w:r>
    </w:p>
    <w:p w:rsidR="00466AFD" w:rsidRPr="00465DA1" w:rsidRDefault="00466AFD" w:rsidP="00466AFD">
      <w:pPr>
        <w:pStyle w:val="Default"/>
        <w:jc w:val="center"/>
        <w:rPr>
          <w:bCs/>
          <w:lang w:val="fr-FR"/>
        </w:rPr>
      </w:pPr>
    </w:p>
    <w:p w:rsidR="00466AFD" w:rsidRPr="00465DA1" w:rsidRDefault="00466AFD" w:rsidP="00466AFD">
      <w:pPr>
        <w:pStyle w:val="Default"/>
        <w:jc w:val="center"/>
        <w:rPr>
          <w:bCs/>
          <w:lang w:val="fr-FR"/>
        </w:rPr>
      </w:pPr>
      <w:r w:rsidRPr="00465DA1">
        <w:rPr>
          <w:bCs/>
          <w:lang w:val="fr-FR"/>
        </w:rPr>
        <w:t>(</w:t>
      </w:r>
      <w:r w:rsidRPr="00465DA1">
        <w:rPr>
          <w:bCs/>
          <w:i/>
          <w:lang w:val="fr-FR"/>
        </w:rPr>
        <w:t>Soumis par la Suisse</w:t>
      </w:r>
      <w:r w:rsidRPr="00465DA1">
        <w:rPr>
          <w:bCs/>
          <w:lang w:val="fr-FR"/>
        </w:rPr>
        <w:t>)</w:t>
      </w:r>
    </w:p>
    <w:p w:rsidR="00466AFD" w:rsidRPr="00465DA1" w:rsidRDefault="00466AFD" w:rsidP="00466AFD">
      <w:pPr>
        <w:jc w:val="both"/>
        <w:rPr>
          <w:i/>
          <w:lang w:val="fr-FR"/>
        </w:rPr>
      </w:pPr>
    </w:p>
    <w:p w:rsidR="00466AFD" w:rsidRPr="00465DA1" w:rsidRDefault="00466AFD" w:rsidP="00466AFD">
      <w:pPr>
        <w:tabs>
          <w:tab w:val="left" w:pos="1170"/>
        </w:tabs>
        <w:jc w:val="both"/>
        <w:rPr>
          <w:lang w:val="fr-FR"/>
        </w:rPr>
      </w:pPr>
    </w:p>
    <w:p w:rsidR="00466AFD" w:rsidRPr="008A4B4A" w:rsidRDefault="00466AFD" w:rsidP="00466AFD">
      <w:pPr>
        <w:ind w:firstLine="720"/>
        <w:jc w:val="both"/>
        <w:rPr>
          <w:lang w:val="fr-FR"/>
        </w:rPr>
      </w:pPr>
      <w:r w:rsidRPr="008A4B4A">
        <w:rPr>
          <w:i/>
          <w:lang w:val="fr-FR"/>
        </w:rPr>
        <w:t>Rappelant</w:t>
      </w:r>
      <w:r w:rsidRPr="008A4B4A">
        <w:rPr>
          <w:lang w:val="fr-FR"/>
        </w:rPr>
        <w:t xml:space="preserve"> la Résolution 7.9 sur la « Coopération avec d’autres organisations et processus », la Résolution 8.11 sur la « Coopération avec d’autres conventions », la Résolution 9.6 sur « La coopération avec d’autres organismes » et la Résolution 10.21 sur les « Synergies et partenariats », ainsi que la Résolution 10.25 sur le « Renforcement de l’engagement dans le Fonds pour l’Environnement Mondial »;</w:t>
      </w:r>
    </w:p>
    <w:p w:rsidR="00466AFD" w:rsidRPr="008A4B4A" w:rsidRDefault="00466AFD" w:rsidP="00466AFD">
      <w:pPr>
        <w:ind w:firstLine="720"/>
        <w:jc w:val="both"/>
        <w:rPr>
          <w:lang w:val="fr-FR"/>
        </w:rPr>
      </w:pPr>
    </w:p>
    <w:p w:rsidR="00466AFD" w:rsidRPr="006A0148" w:rsidRDefault="00466AFD" w:rsidP="00466AFD">
      <w:pPr>
        <w:ind w:firstLine="720"/>
        <w:jc w:val="both"/>
        <w:rPr>
          <w:lang w:val="fr-FR"/>
        </w:rPr>
      </w:pPr>
      <w:r w:rsidRPr="006A0148">
        <w:rPr>
          <w:i/>
          <w:lang w:val="fr-FR"/>
        </w:rPr>
        <w:t>Prenant en compte</w:t>
      </w:r>
      <w:r w:rsidRPr="006A0148">
        <w:rPr>
          <w:lang w:val="fr-FR"/>
        </w:rPr>
        <w:t xml:space="preserve"> l’importance de la coopération et des synergies avec d’autres organismes, y compris les MEA et autres organisations gouvernementales et non gouvernementales</w:t>
      </w:r>
      <w:r>
        <w:rPr>
          <w:lang w:val="fr-FR"/>
        </w:rPr>
        <w:t>, ainsi que le secteur privé;</w:t>
      </w:r>
    </w:p>
    <w:p w:rsidR="00466AFD" w:rsidRPr="006A0148" w:rsidRDefault="00466AFD" w:rsidP="00466AFD">
      <w:pPr>
        <w:jc w:val="both"/>
        <w:rPr>
          <w:i/>
          <w:lang w:val="fr-FR"/>
        </w:rPr>
      </w:pPr>
    </w:p>
    <w:p w:rsidR="00466AFD" w:rsidRPr="006A0148" w:rsidRDefault="00466AFD" w:rsidP="00466AFD">
      <w:pPr>
        <w:ind w:firstLine="720"/>
        <w:jc w:val="both"/>
        <w:rPr>
          <w:lang w:val="fr-FR"/>
        </w:rPr>
      </w:pPr>
      <w:r w:rsidRPr="006A0148">
        <w:rPr>
          <w:i/>
          <w:lang w:val="fr-FR"/>
        </w:rPr>
        <w:t>Reconnaissant</w:t>
      </w:r>
      <w:r w:rsidRPr="006A0148">
        <w:rPr>
          <w:lang w:val="fr-FR"/>
        </w:rPr>
        <w:t xml:space="preserve"> le rôle déterminant des organisations partenaires dans le développement et la mise en œuvre de la CMS, de ses initiatives et de ses campagnes de sensibilisation, comme la négociation de la Convention elle-même;</w:t>
      </w:r>
    </w:p>
    <w:p w:rsidR="00466AFD" w:rsidRPr="006A0148" w:rsidRDefault="00466AFD" w:rsidP="00466AFD">
      <w:pPr>
        <w:jc w:val="both"/>
        <w:rPr>
          <w:lang w:val="fr-FR"/>
        </w:rPr>
      </w:pPr>
    </w:p>
    <w:p w:rsidR="00466AFD" w:rsidRPr="006A0148" w:rsidRDefault="00466AFD" w:rsidP="00466AFD">
      <w:pPr>
        <w:pStyle w:val="BodyText"/>
        <w:ind w:firstLine="720"/>
        <w:rPr>
          <w:sz w:val="24"/>
          <w:lang w:val="fr-FR"/>
        </w:rPr>
      </w:pPr>
      <w:r w:rsidRPr="006A0148">
        <w:rPr>
          <w:i/>
          <w:sz w:val="24"/>
          <w:lang w:val="fr-FR"/>
        </w:rPr>
        <w:t>Appréciant</w:t>
      </w:r>
      <w:r w:rsidRPr="006A0148">
        <w:rPr>
          <w:sz w:val="24"/>
          <w:lang w:val="fr-FR"/>
        </w:rPr>
        <w:t xml:space="preserve"> la valeur de ces partenariats permettant d’atteindre une audience plus vaste et d’améliorer la prise de conscience du grand public sur la Convention et sur l’importance de sauvegarder les espèces migratrices à l’échelle mondiale;</w:t>
      </w:r>
    </w:p>
    <w:p w:rsidR="00466AFD" w:rsidRPr="006A0148" w:rsidRDefault="00466AFD" w:rsidP="00466AFD">
      <w:pPr>
        <w:pStyle w:val="BodyText"/>
        <w:ind w:firstLine="720"/>
        <w:rPr>
          <w:sz w:val="24"/>
          <w:lang w:val="fr-FR"/>
        </w:rPr>
      </w:pPr>
    </w:p>
    <w:p w:rsidR="00466AFD" w:rsidRPr="006A0148" w:rsidRDefault="00466AFD" w:rsidP="00466AFD">
      <w:pPr>
        <w:ind w:firstLine="720"/>
        <w:rPr>
          <w:b/>
          <w:bCs/>
          <w:lang w:val="fr-FR"/>
        </w:rPr>
      </w:pPr>
      <w:r w:rsidRPr="006A0148">
        <w:rPr>
          <w:i/>
          <w:iCs/>
          <w:sz w:val="23"/>
          <w:szCs w:val="23"/>
          <w:lang w:val="fr-FR"/>
        </w:rPr>
        <w:t xml:space="preserve">Exprimant sa gratitude </w:t>
      </w:r>
      <w:r w:rsidRPr="006A0148">
        <w:rPr>
          <w:sz w:val="23"/>
          <w:szCs w:val="23"/>
          <w:lang w:val="fr-FR"/>
        </w:rPr>
        <w:t>à tous les individus et à toutes les organisations qui ont contribué aux succès de la campagne pour l’Année de la Tortue (2006),</w:t>
      </w:r>
      <w:r w:rsidRPr="006A0148">
        <w:rPr>
          <w:rFonts w:ascii="Times-Roman" w:hAnsi="Times-Roman" w:cs="Times-Roman"/>
          <w:sz w:val="23"/>
          <w:szCs w:val="23"/>
          <w:lang w:val="fr-FR" w:eastAsia="de-CH"/>
        </w:rPr>
        <w:t xml:space="preserve"> </w:t>
      </w:r>
      <w:r w:rsidRPr="006A0148">
        <w:rPr>
          <w:sz w:val="23"/>
          <w:szCs w:val="23"/>
          <w:lang w:val="fr-FR"/>
        </w:rPr>
        <w:t>l’Année du Dauphin (2007/8)</w:t>
      </w:r>
      <w:r w:rsidRPr="006A0148">
        <w:rPr>
          <w:rFonts w:ascii="Times-Roman" w:hAnsi="Times-Roman" w:cs="Times-Roman"/>
          <w:sz w:val="23"/>
          <w:szCs w:val="23"/>
          <w:lang w:val="fr-FR" w:eastAsia="de-CH"/>
        </w:rPr>
        <w:t xml:space="preserve">, </w:t>
      </w:r>
      <w:r w:rsidRPr="006A0148">
        <w:rPr>
          <w:sz w:val="23"/>
          <w:szCs w:val="23"/>
          <w:lang w:val="fr-FR"/>
        </w:rPr>
        <w:t xml:space="preserve">l’ «Année du Gorille » (2009) et de la campagne pour l’« Année de la Chauve-souris » (2011/12); </w:t>
      </w:r>
    </w:p>
    <w:p w:rsidR="00466AFD" w:rsidRPr="00BC2BE1" w:rsidRDefault="00466AFD" w:rsidP="00466AFD">
      <w:pPr>
        <w:pStyle w:val="ListParagraph"/>
        <w:ind w:left="3" w:firstLine="717"/>
        <w:jc w:val="both"/>
        <w:rPr>
          <w:i/>
          <w:lang w:val="fr-FR"/>
        </w:rPr>
      </w:pPr>
    </w:p>
    <w:p w:rsidR="00466AFD" w:rsidRPr="008C3DBC" w:rsidRDefault="00466AFD" w:rsidP="00466AFD">
      <w:pPr>
        <w:ind w:firstLine="720"/>
        <w:rPr>
          <w:b/>
          <w:lang w:val="fr-FR"/>
        </w:rPr>
      </w:pPr>
      <w:r w:rsidRPr="006A0148">
        <w:rPr>
          <w:i/>
          <w:lang w:val="fr-FR"/>
        </w:rPr>
        <w:t>Exprim</w:t>
      </w:r>
      <w:r>
        <w:rPr>
          <w:i/>
          <w:lang w:val="fr-FR"/>
        </w:rPr>
        <w:t>ant</w:t>
      </w:r>
      <w:r w:rsidRPr="006A0148">
        <w:rPr>
          <w:lang w:val="fr-FR"/>
        </w:rPr>
        <w:t xml:space="preserve"> sa gratitude aux nombreuses organisations partenaires qui </w:t>
      </w:r>
      <w:r>
        <w:rPr>
          <w:lang w:val="fr-FR"/>
        </w:rPr>
        <w:t>ont a</w:t>
      </w:r>
      <w:r w:rsidRPr="006A0148">
        <w:rPr>
          <w:lang w:val="fr-FR"/>
        </w:rPr>
        <w:t>idé à promouvoir la CMS et son mandat, par exemple, en facilitant les négociations et la mise en œuvre des accords sur les espèces au titre de la Convention</w:t>
      </w:r>
      <w:r>
        <w:rPr>
          <w:lang w:val="fr-FR"/>
        </w:rPr>
        <w:t>;</w:t>
      </w:r>
    </w:p>
    <w:p w:rsidR="00466AFD" w:rsidRPr="006A0148" w:rsidRDefault="00466AFD" w:rsidP="00466AFD">
      <w:pPr>
        <w:ind w:firstLine="720"/>
        <w:jc w:val="both"/>
        <w:rPr>
          <w:lang w:val="fr-FR"/>
        </w:rPr>
      </w:pPr>
    </w:p>
    <w:p w:rsidR="00466AFD" w:rsidRPr="006A0148" w:rsidRDefault="00466AFD" w:rsidP="00466AFD">
      <w:pPr>
        <w:ind w:firstLine="720"/>
        <w:jc w:val="both"/>
        <w:rPr>
          <w:lang w:val="fr-FR"/>
        </w:rPr>
      </w:pPr>
      <w:r w:rsidRPr="00B00040">
        <w:rPr>
          <w:i/>
          <w:lang w:val="fr-FR"/>
        </w:rPr>
        <w:t xml:space="preserve">Se félicitant </w:t>
      </w:r>
      <w:r w:rsidRPr="00B00040">
        <w:rPr>
          <w:lang w:val="fr-FR"/>
        </w:rPr>
        <w:t xml:space="preserve">du rapport sur les synergies et les partenariats (UNEP/CMS/COP11/Doc.21.1), établi par le Secrétariat PNUE/CMS et des </w:t>
      </w:r>
      <w:r>
        <w:rPr>
          <w:lang w:val="fr-FR"/>
        </w:rPr>
        <w:t>progrè</w:t>
      </w:r>
      <w:r w:rsidRPr="00B00040">
        <w:rPr>
          <w:lang w:val="fr-FR"/>
        </w:rPr>
        <w:t>s accomplis</w:t>
      </w:r>
      <w:r>
        <w:rPr>
          <w:lang w:val="fr-FR"/>
        </w:rPr>
        <w:t xml:space="preserve"> en matière de renforcement de la coopération, de la coordination et des synergies ainsi que des </w:t>
      </w:r>
      <w:r w:rsidRPr="00B00040">
        <w:rPr>
          <w:lang w:val="fr-FR"/>
        </w:rPr>
        <w:t>part</w:t>
      </w:r>
      <w:r>
        <w:rPr>
          <w:lang w:val="fr-FR"/>
        </w:rPr>
        <w:t>enariats avec les Conventions relatives à la biod</w:t>
      </w:r>
      <w:r w:rsidRPr="00B00040">
        <w:rPr>
          <w:lang w:val="fr-FR"/>
        </w:rPr>
        <w:t>iversit</w:t>
      </w:r>
      <w:r>
        <w:rPr>
          <w:lang w:val="fr-FR"/>
        </w:rPr>
        <w:t xml:space="preserve">é et d’autres </w:t>
      </w:r>
      <w:r w:rsidRPr="00B00040">
        <w:rPr>
          <w:lang w:val="fr-FR"/>
        </w:rPr>
        <w:t>institutions</w:t>
      </w:r>
      <w:r>
        <w:rPr>
          <w:lang w:val="fr-FR"/>
        </w:rPr>
        <w:t xml:space="preserve"> compétentes</w:t>
      </w:r>
      <w:r w:rsidRPr="006A0148">
        <w:rPr>
          <w:lang w:val="fr-FR"/>
        </w:rPr>
        <w:t>;</w:t>
      </w:r>
    </w:p>
    <w:p w:rsidR="00466AFD" w:rsidRPr="006A0148" w:rsidRDefault="00466AFD" w:rsidP="00466AFD">
      <w:pPr>
        <w:jc w:val="both"/>
        <w:rPr>
          <w:i/>
          <w:lang w:val="fr-FR"/>
        </w:rPr>
      </w:pPr>
    </w:p>
    <w:p w:rsidR="00466AFD" w:rsidRPr="005E66AB" w:rsidRDefault="00466AFD" w:rsidP="00466AFD">
      <w:pPr>
        <w:ind w:firstLine="720"/>
        <w:jc w:val="both"/>
        <w:rPr>
          <w:i/>
          <w:lang w:val="fr-FR"/>
        </w:rPr>
      </w:pPr>
      <w:r w:rsidRPr="00914912">
        <w:rPr>
          <w:i/>
          <w:iCs/>
          <w:sz w:val="23"/>
          <w:szCs w:val="23"/>
          <w:lang w:val="fr-FR"/>
        </w:rPr>
        <w:t xml:space="preserve">Notant en l’appréciant </w:t>
      </w:r>
      <w:r w:rsidRPr="00914912">
        <w:rPr>
          <w:sz w:val="23"/>
          <w:szCs w:val="23"/>
          <w:lang w:val="fr-FR"/>
        </w:rPr>
        <w:t xml:space="preserve">l’appui donné par le PNUE qui a nommé des points focaux régionaux pour les Accords multilatéraux sur l’environnement relatifs à la biodiversité et aux écosystèmes et qui sont chargés d’assurer la liaison avec ces Accords, leur promotion et leur implantation dans les régions du PNUE et </w:t>
      </w:r>
      <w:r w:rsidRPr="00914912">
        <w:rPr>
          <w:i/>
          <w:iCs/>
          <w:sz w:val="23"/>
          <w:szCs w:val="23"/>
          <w:lang w:val="fr-FR"/>
        </w:rPr>
        <w:t xml:space="preserve">reconnaissant </w:t>
      </w:r>
      <w:r w:rsidRPr="00914912">
        <w:rPr>
          <w:sz w:val="23"/>
          <w:szCs w:val="23"/>
          <w:lang w:val="fr-FR"/>
        </w:rPr>
        <w:t>leur coopération avec le Secrétariat</w:t>
      </w:r>
      <w:r w:rsidRPr="00914912">
        <w:rPr>
          <w:lang w:val="fr-FR"/>
        </w:rPr>
        <w:t>;</w:t>
      </w:r>
    </w:p>
    <w:p w:rsidR="00466AFD" w:rsidRPr="005E66AB" w:rsidRDefault="00466AFD" w:rsidP="00466AFD">
      <w:pPr>
        <w:ind w:firstLine="720"/>
        <w:jc w:val="both"/>
        <w:rPr>
          <w:i/>
          <w:lang w:val="fr-FR"/>
        </w:rPr>
      </w:pPr>
    </w:p>
    <w:p w:rsidR="00466AFD" w:rsidRPr="00BC2BE1" w:rsidRDefault="00466AFD" w:rsidP="00466AFD">
      <w:pPr>
        <w:ind w:firstLine="720"/>
        <w:jc w:val="both"/>
        <w:rPr>
          <w:i/>
          <w:lang w:val="fr-FR"/>
        </w:rPr>
      </w:pPr>
      <w:r w:rsidRPr="00BC2BE1">
        <w:rPr>
          <w:i/>
          <w:lang w:val="fr-FR"/>
        </w:rPr>
        <w:t>Se félicitant</w:t>
      </w:r>
      <w:r w:rsidRPr="00BC2BE1">
        <w:rPr>
          <w:lang w:val="fr-FR"/>
        </w:rPr>
        <w:t xml:space="preserve"> des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p>
    <w:p w:rsidR="00466AFD" w:rsidRDefault="00466AFD" w:rsidP="00466AFD">
      <w:pPr>
        <w:ind w:firstLine="720"/>
        <w:jc w:val="both"/>
        <w:rPr>
          <w:i/>
          <w:lang w:val="fr-FR"/>
        </w:rPr>
      </w:pPr>
    </w:p>
    <w:p w:rsidR="00466AFD" w:rsidRDefault="00466AFD" w:rsidP="00466AFD">
      <w:pPr>
        <w:ind w:firstLine="720"/>
        <w:jc w:val="both"/>
        <w:rPr>
          <w:i/>
          <w:lang w:val="fr-FR"/>
        </w:rPr>
      </w:pPr>
    </w:p>
    <w:p w:rsidR="00466AFD" w:rsidRPr="00914912" w:rsidRDefault="00466AFD" w:rsidP="00466AFD">
      <w:pPr>
        <w:ind w:firstLine="720"/>
        <w:jc w:val="both"/>
        <w:rPr>
          <w:lang w:val="fr-FR"/>
        </w:rPr>
      </w:pPr>
      <w:r w:rsidRPr="00914912">
        <w:rPr>
          <w:i/>
          <w:lang w:val="fr-FR"/>
        </w:rPr>
        <w:lastRenderedPageBreak/>
        <w:t>Se félicitant</w:t>
      </w:r>
      <w:r w:rsidRPr="00914912">
        <w:rPr>
          <w:lang w:val="fr-FR"/>
        </w:rPr>
        <w:t xml:space="preserve"> de la coopération constante et importante entre les secrétariats des conventions relatives à la biodiversité, y compris les Mémorandums d’entente entre le Secrétariat de la CMS et les Secrétariats de la Commission baleinière internationale, l’UNESCO, la Convention de </w:t>
      </w:r>
      <w:proofErr w:type="spellStart"/>
      <w:r w:rsidRPr="00914912">
        <w:rPr>
          <w:lang w:val="fr-FR"/>
        </w:rPr>
        <w:t>Ramsar</w:t>
      </w:r>
      <w:proofErr w:type="spellEnd"/>
      <w:r w:rsidRPr="00914912">
        <w:rPr>
          <w:lang w:val="fr-FR"/>
        </w:rPr>
        <w:t xml:space="preserve">, la Convention de Berne et la CITES; </w:t>
      </w:r>
    </w:p>
    <w:p w:rsidR="00466AFD" w:rsidRPr="00914912" w:rsidRDefault="00466AFD" w:rsidP="00466AFD">
      <w:pPr>
        <w:jc w:val="both"/>
        <w:rPr>
          <w:i/>
          <w:lang w:val="fr-FR"/>
        </w:rPr>
      </w:pPr>
    </w:p>
    <w:p w:rsidR="00466AFD" w:rsidRPr="00914912" w:rsidRDefault="00466AFD" w:rsidP="00466AFD">
      <w:pPr>
        <w:ind w:firstLine="720"/>
        <w:jc w:val="both"/>
        <w:rPr>
          <w:lang w:val="fr-FR"/>
        </w:rPr>
      </w:pPr>
      <w:r w:rsidRPr="00914912">
        <w:rPr>
          <w:i/>
          <w:lang w:val="fr-FR"/>
        </w:rPr>
        <w:t>Accueill</w:t>
      </w:r>
      <w:r>
        <w:rPr>
          <w:i/>
          <w:lang w:val="fr-FR"/>
        </w:rPr>
        <w:t>ant</w:t>
      </w:r>
      <w:r w:rsidRPr="00914912">
        <w:rPr>
          <w:i/>
          <w:lang w:val="fr-FR"/>
        </w:rPr>
        <w:t xml:space="preserve"> </w:t>
      </w:r>
      <w:r w:rsidRPr="00914912">
        <w:rPr>
          <w:lang w:val="fr-FR"/>
        </w:rPr>
        <w:t>en outre l'adoption de nouveaux mémorandums d’entente avec le réseau sur la faune sauvage migratrice et le Centre de droit de l'environnement de l’UICN;</w:t>
      </w:r>
    </w:p>
    <w:p w:rsidR="00466AFD" w:rsidRPr="00914912" w:rsidRDefault="00466AFD" w:rsidP="00466AFD">
      <w:pPr>
        <w:ind w:firstLine="720"/>
        <w:jc w:val="both"/>
        <w:rPr>
          <w:lang w:val="fr-FR"/>
        </w:rPr>
      </w:pPr>
    </w:p>
    <w:p w:rsidR="00466AFD" w:rsidRPr="00914912" w:rsidRDefault="00466AFD" w:rsidP="00466AFD">
      <w:pPr>
        <w:ind w:firstLine="720"/>
        <w:jc w:val="both"/>
        <w:rPr>
          <w:lang w:val="fr-FR"/>
        </w:rPr>
      </w:pPr>
      <w:r w:rsidRPr="00914912">
        <w:rPr>
          <w:i/>
          <w:iCs/>
          <w:sz w:val="23"/>
          <w:szCs w:val="23"/>
          <w:lang w:val="fr-FR"/>
        </w:rPr>
        <w:t xml:space="preserve">Consciente </w:t>
      </w:r>
      <w:r w:rsidRPr="00914912">
        <w:rPr>
          <w:sz w:val="23"/>
          <w:szCs w:val="23"/>
          <w:lang w:val="fr-FR"/>
        </w:rPr>
        <w:t xml:space="preserve">des débats en cours avec l’Organisation des Nations Unies pour l’alimentation et l’agriculture (FAO) concernant la formalisation d’un Mémorandum de coopération et </w:t>
      </w:r>
      <w:r w:rsidRPr="00914912">
        <w:rPr>
          <w:i/>
          <w:iCs/>
          <w:sz w:val="23"/>
          <w:szCs w:val="23"/>
          <w:lang w:val="fr-FR"/>
        </w:rPr>
        <w:t xml:space="preserve">appréciant </w:t>
      </w:r>
      <w:r w:rsidRPr="00914912">
        <w:rPr>
          <w:sz w:val="23"/>
          <w:szCs w:val="23"/>
          <w:lang w:val="fr-FR"/>
        </w:rPr>
        <w:t xml:space="preserve">les efforts importants faits par la CMS afin d’améliorer la relation avec les organisations qui ont des mandats ou buts différents, telle que la FAO, </w:t>
      </w:r>
      <w:r>
        <w:rPr>
          <w:sz w:val="23"/>
          <w:szCs w:val="23"/>
          <w:lang w:val="fr-FR"/>
        </w:rPr>
        <w:t>qui fournit des solutions multi</w:t>
      </w:r>
      <w:r w:rsidRPr="00914912">
        <w:rPr>
          <w:sz w:val="23"/>
          <w:szCs w:val="23"/>
          <w:lang w:val="fr-FR"/>
        </w:rPr>
        <w:t>disciplinaires visant à assurer simultanément la sécurité alimentaire, la conservation de la diversité biologique ainsi que la santé de la faune sauvage et de l’écosystème;</w:t>
      </w:r>
    </w:p>
    <w:p w:rsidR="00466AFD" w:rsidRPr="00914912" w:rsidRDefault="00466AFD" w:rsidP="00466AFD">
      <w:pPr>
        <w:ind w:firstLine="720"/>
        <w:jc w:val="both"/>
        <w:rPr>
          <w:lang w:val="fr-FR"/>
        </w:rPr>
      </w:pPr>
    </w:p>
    <w:p w:rsidR="00466AFD" w:rsidRPr="00914912" w:rsidRDefault="00466AFD" w:rsidP="00466AFD">
      <w:pPr>
        <w:ind w:firstLine="720"/>
        <w:jc w:val="both"/>
        <w:rPr>
          <w:lang w:val="fr-FR"/>
        </w:rPr>
      </w:pPr>
      <w:r w:rsidRPr="00914912">
        <w:rPr>
          <w:i/>
          <w:lang w:val="fr-FR"/>
        </w:rPr>
        <w:t>Se félicitant en outre</w:t>
      </w:r>
      <w:r w:rsidRPr="00914912">
        <w:rPr>
          <w:lang w:val="fr-FR"/>
        </w:rPr>
        <w:t xml:space="preserve"> de la décision de la CDB d’inviter les organes directeurs des diverses conventions relatives à la biodiversité à fournir des avis concernant le financement des priorités nationales à l’appui de la mise œuvre des conventions relatives à la biodiversité qui sont harmonisées avec le Plan stratégique 2011-2020 pour la diversité biologique, et à ajouter des avis, le cas échéant, aux orientations données au Fonds pour l’environnement mondial (FEM); </w:t>
      </w:r>
    </w:p>
    <w:p w:rsidR="00466AFD" w:rsidRPr="00914912" w:rsidRDefault="00466AFD" w:rsidP="00466AFD">
      <w:pPr>
        <w:jc w:val="both"/>
        <w:rPr>
          <w:lang w:val="fr-FR"/>
        </w:rPr>
      </w:pPr>
    </w:p>
    <w:p w:rsidR="00466AFD" w:rsidRPr="00914912" w:rsidRDefault="00466AFD" w:rsidP="00466AFD">
      <w:pPr>
        <w:ind w:firstLine="720"/>
        <w:jc w:val="both"/>
        <w:rPr>
          <w:lang w:val="fr-FR"/>
        </w:rPr>
      </w:pPr>
      <w:r w:rsidRPr="00914912">
        <w:rPr>
          <w:i/>
          <w:lang w:val="fr-FR"/>
        </w:rPr>
        <w:t xml:space="preserve">Reconnaissant </w:t>
      </w:r>
      <w:r w:rsidRPr="00914912">
        <w:rPr>
          <w:lang w:val="fr-FR"/>
        </w:rPr>
        <w:t>l’importance de la coopération continue entre les secrétariats des conventions relatives à la biodiversité à travers le Groupe de liaison sur la biodiversité pour mettre en œuvre le Plan stratégique 2011-2020 pour la diversité biologique afin d’atteindre les objectifs d’Aichi pour la biodiversité (Décision X/2 de la CDB</w:t>
      </w:r>
      <w:r>
        <w:rPr>
          <w:lang w:val="fr-FR"/>
        </w:rPr>
        <w:t>)</w:t>
      </w:r>
      <w:r w:rsidRPr="00914912">
        <w:rPr>
          <w:lang w:val="fr-FR"/>
        </w:rPr>
        <w:t>;</w:t>
      </w:r>
    </w:p>
    <w:p w:rsidR="00466AFD" w:rsidRPr="00914912" w:rsidRDefault="00466AFD" w:rsidP="00466AFD">
      <w:pPr>
        <w:jc w:val="both"/>
        <w:rPr>
          <w:i/>
          <w:lang w:val="fr-FR"/>
        </w:rPr>
      </w:pPr>
    </w:p>
    <w:p w:rsidR="00466AFD" w:rsidRPr="00437AB2" w:rsidRDefault="00466AFD" w:rsidP="00466AFD">
      <w:pPr>
        <w:ind w:firstLine="720"/>
        <w:jc w:val="both"/>
        <w:rPr>
          <w:lang w:val="fr-FR"/>
        </w:rPr>
      </w:pPr>
      <w:r w:rsidRPr="00437AB2">
        <w:rPr>
          <w:i/>
          <w:lang w:val="fr-FR"/>
        </w:rPr>
        <w:t>Tenant compte</w:t>
      </w:r>
      <w:r w:rsidRPr="00437AB2">
        <w:rPr>
          <w:lang w:val="fr-FR"/>
        </w:rPr>
        <w:t xml:space="preserve"> du document final de la Conférence des Nations Unies sur le développement durable, L'avenir que nous voulons, qui constate les contributions importantes que les accords multilatéraux sur l’environnement (AME) ont apportées au développement durable et encourage les parties aux AME à envisager de nouvelles mesures pour promouvoir la cohérence des politiques à tous les niveaux requis, agir plus efficacement, réduire les chevauchements et doublons inutiles et renforcer la coordination et la coopération entre les AME; et</w:t>
      </w:r>
    </w:p>
    <w:p w:rsidR="00466AFD" w:rsidRPr="00437AB2" w:rsidRDefault="00466AFD" w:rsidP="00466AFD">
      <w:pPr>
        <w:jc w:val="both"/>
        <w:rPr>
          <w:i/>
          <w:lang w:val="fr-FR"/>
        </w:rPr>
      </w:pPr>
    </w:p>
    <w:p w:rsidR="00466AFD" w:rsidRPr="00437AB2" w:rsidRDefault="00466AFD" w:rsidP="00466AFD">
      <w:pPr>
        <w:ind w:firstLine="720"/>
        <w:jc w:val="both"/>
        <w:rPr>
          <w:lang w:val="fr-FR"/>
        </w:rPr>
      </w:pPr>
      <w:r w:rsidRPr="00437AB2">
        <w:rPr>
          <w:i/>
          <w:lang w:val="fr-FR"/>
        </w:rPr>
        <w:t>Convaincue</w:t>
      </w:r>
      <w:r w:rsidRPr="00437AB2">
        <w:rPr>
          <w:lang w:val="fr-FR"/>
        </w:rPr>
        <w:t xml:space="preserve"> des énormes possibilités d'accroître la coopération, la coordination et les synergies entre les conventions relatives à la biodiversité pour améliorer la mise en </w:t>
      </w:r>
      <w:proofErr w:type="spellStart"/>
      <w:r w:rsidRPr="00437AB2">
        <w:rPr>
          <w:lang w:val="fr-FR"/>
        </w:rPr>
        <w:t>oeuvre</w:t>
      </w:r>
      <w:proofErr w:type="spellEnd"/>
      <w:r w:rsidRPr="00437AB2">
        <w:rPr>
          <w:lang w:val="fr-FR"/>
        </w:rPr>
        <w:t xml:space="preserve"> à l'échelle nationale de chacune de ces conventions;</w:t>
      </w:r>
    </w:p>
    <w:p w:rsidR="00466AFD" w:rsidRDefault="00466AFD" w:rsidP="00466AFD">
      <w:pPr>
        <w:rPr>
          <w:bCs/>
          <w:i/>
          <w:iCs/>
          <w:lang w:val="fr-FR"/>
        </w:rPr>
      </w:pPr>
    </w:p>
    <w:p w:rsidR="00466AFD" w:rsidRDefault="00466AFD" w:rsidP="00466AFD">
      <w:pPr>
        <w:jc w:val="center"/>
        <w:rPr>
          <w:bCs/>
          <w:i/>
          <w:iCs/>
          <w:lang w:val="fr-FR"/>
        </w:rPr>
      </w:pPr>
      <w:r>
        <w:rPr>
          <w:bCs/>
          <w:i/>
          <w:iCs/>
          <w:lang w:val="fr-FR"/>
        </w:rPr>
        <w:br w:type="page"/>
      </w:r>
    </w:p>
    <w:p w:rsidR="00466AFD" w:rsidRPr="00437AB2" w:rsidRDefault="00466AFD" w:rsidP="00466AFD">
      <w:pPr>
        <w:rPr>
          <w:bCs/>
          <w:i/>
          <w:iCs/>
          <w:lang w:val="fr-FR"/>
        </w:rPr>
      </w:pPr>
    </w:p>
    <w:p w:rsidR="00466AFD" w:rsidRPr="00437AB2" w:rsidRDefault="00466AFD" w:rsidP="00466AFD">
      <w:pPr>
        <w:jc w:val="center"/>
        <w:rPr>
          <w:bCs/>
          <w:lang w:val="fr-FR"/>
        </w:rPr>
      </w:pPr>
      <w:r w:rsidRPr="00437AB2">
        <w:rPr>
          <w:bCs/>
          <w:i/>
          <w:iCs/>
          <w:lang w:val="fr-FR"/>
        </w:rPr>
        <w:t>La Conférence des Parties à la</w:t>
      </w:r>
    </w:p>
    <w:p w:rsidR="00466AFD" w:rsidRPr="00437AB2" w:rsidRDefault="00466AFD" w:rsidP="00466AFD">
      <w:pPr>
        <w:jc w:val="center"/>
        <w:rPr>
          <w:bCs/>
          <w:iCs/>
          <w:lang w:val="fr-FR"/>
        </w:rPr>
      </w:pPr>
      <w:r w:rsidRPr="00437AB2">
        <w:rPr>
          <w:bCs/>
          <w:i/>
          <w:iCs/>
          <w:lang w:val="fr-FR"/>
        </w:rPr>
        <w:t>Convention sur la conservation des espèces migratrices apparten</w:t>
      </w:r>
      <w:r>
        <w:rPr>
          <w:bCs/>
          <w:i/>
          <w:iCs/>
          <w:lang w:val="fr-FR"/>
        </w:rPr>
        <w:t>a</w:t>
      </w:r>
      <w:r w:rsidRPr="00437AB2">
        <w:rPr>
          <w:bCs/>
          <w:i/>
          <w:iCs/>
          <w:lang w:val="fr-FR"/>
        </w:rPr>
        <w:t>nt à la faune sauvage</w:t>
      </w:r>
    </w:p>
    <w:p w:rsidR="00466AFD" w:rsidRPr="00437AB2" w:rsidRDefault="00466AFD" w:rsidP="00466AFD">
      <w:pPr>
        <w:pStyle w:val="ListParagraph"/>
        <w:ind w:left="3"/>
        <w:jc w:val="both"/>
        <w:rPr>
          <w:lang w:val="fr-FR"/>
        </w:rPr>
      </w:pPr>
    </w:p>
    <w:p w:rsidR="00466AFD" w:rsidRPr="00437AB2" w:rsidRDefault="00466AFD" w:rsidP="00466AFD">
      <w:pPr>
        <w:pStyle w:val="ListParagraph"/>
        <w:numPr>
          <w:ilvl w:val="0"/>
          <w:numId w:val="38"/>
        </w:numPr>
        <w:ind w:left="0" w:firstLine="0"/>
        <w:jc w:val="both"/>
        <w:rPr>
          <w:lang w:val="fr-FR"/>
        </w:rPr>
      </w:pPr>
      <w:r w:rsidRPr="00437AB2">
        <w:rPr>
          <w:i/>
          <w:lang w:val="fr-FR"/>
        </w:rPr>
        <w:t>Souligne</w:t>
      </w:r>
      <w:r w:rsidRPr="00437AB2">
        <w:rPr>
          <w:lang w:val="fr-FR"/>
        </w:rPr>
        <w:t xml:space="preserve"> l’importance d’apporter un soutien aux objectifs des accords  multilatéraux sur l’environnement  relatifs à la biodiversité pour améliorer la collaboration, la communication et la coordination à l’échel</w:t>
      </w:r>
      <w:r>
        <w:rPr>
          <w:lang w:val="fr-FR"/>
        </w:rPr>
        <w:t>le</w:t>
      </w:r>
      <w:r w:rsidRPr="00437AB2">
        <w:rPr>
          <w:lang w:val="fr-FR"/>
        </w:rPr>
        <w:t xml:space="preserve"> national</w:t>
      </w:r>
      <w:r>
        <w:rPr>
          <w:lang w:val="fr-FR"/>
        </w:rPr>
        <w:t>e</w:t>
      </w:r>
      <w:r w:rsidRPr="00437AB2">
        <w:rPr>
          <w:lang w:val="fr-FR"/>
        </w:rPr>
        <w:t xml:space="preserve"> avec les organisations et processus pertinents;</w:t>
      </w:r>
    </w:p>
    <w:p w:rsidR="00466AFD" w:rsidRPr="00437AB2" w:rsidRDefault="00466AFD" w:rsidP="00466AFD">
      <w:pPr>
        <w:pStyle w:val="ListParagraph"/>
        <w:ind w:left="3"/>
        <w:jc w:val="both"/>
        <w:rPr>
          <w:lang w:val="fr-FR"/>
        </w:rPr>
      </w:pPr>
    </w:p>
    <w:p w:rsidR="00466AFD" w:rsidRPr="00437AB2" w:rsidRDefault="00466AFD" w:rsidP="00466AFD">
      <w:pPr>
        <w:pStyle w:val="ListParagraph"/>
        <w:numPr>
          <w:ilvl w:val="0"/>
          <w:numId w:val="38"/>
        </w:numPr>
        <w:ind w:left="0" w:firstLine="3"/>
        <w:jc w:val="both"/>
        <w:rPr>
          <w:lang w:val="fr-FR"/>
        </w:rPr>
      </w:pPr>
      <w:r w:rsidRPr="00437AB2">
        <w:rPr>
          <w:i/>
          <w:iCs/>
          <w:sz w:val="23"/>
          <w:szCs w:val="23"/>
          <w:lang w:val="fr-FR" w:eastAsia="de-CH"/>
        </w:rPr>
        <w:t xml:space="preserve">Prie </w:t>
      </w:r>
      <w:r w:rsidRPr="00437AB2">
        <w:rPr>
          <w:sz w:val="23"/>
          <w:szCs w:val="23"/>
          <w:lang w:val="fr-FR" w:eastAsia="de-CH"/>
        </w:rPr>
        <w:t>le Secrétariat de continuer à œuvrer pour une coopération efficace et pratique avec les acteurs compétents, notamment d’autres instruments et organisations internationales s’intéressant à la biodiversité</w:t>
      </w:r>
      <w:r w:rsidRPr="00437AB2">
        <w:rPr>
          <w:lang w:val="fr-FR"/>
        </w:rPr>
        <w:t>;</w:t>
      </w:r>
    </w:p>
    <w:p w:rsidR="00466AFD" w:rsidRPr="00437AB2" w:rsidRDefault="00466AFD" w:rsidP="00466AFD">
      <w:pPr>
        <w:pStyle w:val="ListParagraph"/>
        <w:rPr>
          <w:u w:val="single"/>
          <w:lang w:val="fr-FR"/>
        </w:rPr>
      </w:pPr>
    </w:p>
    <w:p w:rsidR="00466AFD" w:rsidRPr="00BA41E7" w:rsidRDefault="00466AFD" w:rsidP="00466AFD">
      <w:pPr>
        <w:pStyle w:val="ListParagraph"/>
        <w:numPr>
          <w:ilvl w:val="0"/>
          <w:numId w:val="38"/>
        </w:numPr>
        <w:ind w:left="0" w:firstLine="3"/>
        <w:jc w:val="both"/>
        <w:rPr>
          <w:lang w:val="fr-FR"/>
        </w:rPr>
      </w:pPr>
      <w:r w:rsidRPr="00437AB2">
        <w:rPr>
          <w:i/>
          <w:iCs/>
          <w:sz w:val="23"/>
          <w:szCs w:val="23"/>
          <w:lang w:val="fr-FR" w:eastAsia="de-CH"/>
        </w:rPr>
        <w:t xml:space="preserve">Demande </w:t>
      </w:r>
      <w:r w:rsidRPr="00437AB2">
        <w:rPr>
          <w:sz w:val="23"/>
          <w:szCs w:val="23"/>
          <w:lang w:val="fr-FR" w:eastAsia="de-CH"/>
        </w:rPr>
        <w:t xml:space="preserve">au Secrétariat d’identifier d’éventuels partenaires stratégiques et de s’engager avec ceux-ci pour la mise en place de campagnes et d’autres activités de sensibilisation et </w:t>
      </w:r>
      <w:r w:rsidRPr="00437AB2">
        <w:rPr>
          <w:i/>
          <w:iCs/>
          <w:sz w:val="23"/>
          <w:szCs w:val="23"/>
          <w:lang w:val="fr-FR" w:eastAsia="de-CH"/>
        </w:rPr>
        <w:t xml:space="preserve">encourage </w:t>
      </w:r>
      <w:r w:rsidRPr="00437AB2">
        <w:rPr>
          <w:sz w:val="23"/>
          <w:szCs w:val="23"/>
          <w:lang w:val="fr-FR" w:eastAsia="de-CH"/>
        </w:rPr>
        <w:t>tous les acteurs à contribuer à ces initiatives</w:t>
      </w:r>
      <w:r w:rsidRPr="00437AB2">
        <w:rPr>
          <w:lang w:val="fr-FR"/>
        </w:rPr>
        <w:t>;</w:t>
      </w: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Prie instamment </w:t>
      </w:r>
      <w:r w:rsidRPr="00FC243A">
        <w:rPr>
          <w:iCs/>
          <w:sz w:val="23"/>
          <w:szCs w:val="23"/>
          <w:lang w:val="fr-FR" w:eastAsia="de-CH"/>
        </w:rPr>
        <w:t>le Secrétariat</w:t>
      </w:r>
      <w:r w:rsidRPr="00FC243A">
        <w:rPr>
          <w:i/>
          <w:iCs/>
          <w:sz w:val="23"/>
          <w:szCs w:val="23"/>
          <w:lang w:val="fr-FR" w:eastAsia="de-CH"/>
        </w:rPr>
        <w:t xml:space="preserve"> </w:t>
      </w:r>
      <w:r w:rsidRPr="00FC243A">
        <w:rPr>
          <w:sz w:val="23"/>
          <w:szCs w:val="23"/>
          <w:lang w:val="fr-FR" w:eastAsia="de-CH"/>
        </w:rPr>
        <w:t>de faciliter une collaboration informelle avec des partenaires tels que la FAO qui peuvent aider à étendre le champ d’approches coopératives à un niveau multidisciplinaire et transdisciplinaire</w:t>
      </w:r>
      <w:r w:rsidRPr="00FC243A">
        <w:rPr>
          <w:lang w:val="fr-FR"/>
        </w:rPr>
        <w:t>;</w:t>
      </w:r>
    </w:p>
    <w:p w:rsidR="00466AFD" w:rsidRPr="00FC243A" w:rsidRDefault="00466AFD" w:rsidP="00466AFD">
      <w:pPr>
        <w:pStyle w:val="ListParagraph"/>
        <w:ind w:left="0"/>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Prie en outre </w:t>
      </w:r>
      <w:r w:rsidRPr="00FC243A">
        <w:rPr>
          <w:sz w:val="23"/>
          <w:szCs w:val="23"/>
          <w:lang w:val="fr-FR" w:eastAsia="de-CH"/>
        </w:rPr>
        <w:t>le Secrétariat de continuer de renforcer les partenariats avec le secteur privé conformément au Code de conduite de la CMS</w:t>
      </w:r>
      <w:r w:rsidRPr="00FC243A">
        <w:rPr>
          <w:lang w:val="fr-FR"/>
        </w:rPr>
        <w:t>;</w:t>
      </w:r>
    </w:p>
    <w:p w:rsidR="00466AFD" w:rsidRPr="00FC243A" w:rsidRDefault="00466AFD" w:rsidP="00466AFD">
      <w:pPr>
        <w:pStyle w:val="ListParagraph"/>
        <w:ind w:left="0"/>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Demande en outre </w:t>
      </w:r>
      <w:r w:rsidRPr="00FC243A">
        <w:rPr>
          <w:sz w:val="23"/>
          <w:szCs w:val="23"/>
          <w:lang w:val="fr-FR" w:eastAsia="de-CH"/>
        </w:rPr>
        <w:t>au Secrétariat, à ses Accords associés dans le cadre des mandats assignés par les Parties/États signataires, et au Conseil scientifique de renforcer leur engagement auprès des comités d’experts et des processus lancés par des partenaires, le cas échéant</w:t>
      </w:r>
      <w:r w:rsidRPr="00FC243A">
        <w:rPr>
          <w:lang w:val="fr-FR"/>
        </w:rPr>
        <w:t>;</w:t>
      </w:r>
    </w:p>
    <w:p w:rsidR="00466AFD" w:rsidRPr="00FC243A" w:rsidRDefault="00466AFD" w:rsidP="00466AFD">
      <w:pPr>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lang w:val="fr-FR"/>
        </w:rPr>
        <w:t xml:space="preserve">Prie en outre </w:t>
      </w:r>
      <w:r w:rsidRPr="00FC243A">
        <w:rPr>
          <w:lang w:val="fr-FR"/>
        </w:rPr>
        <w:t>le Secrétariat de préparer des propositions, y compris par le biais de plans de travail conjoints, pour renforcer ultérieurement la coopération, la coordination et les synergies avec d’autres conventions relatives à la biodiversité</w:t>
      </w:r>
      <w:r>
        <w:rPr>
          <w:lang w:val="fr-FR"/>
        </w:rPr>
        <w:t>, moyennant des plans de travail conjoints</w:t>
      </w:r>
      <w:r w:rsidRPr="00FC243A">
        <w:rPr>
          <w:lang w:val="fr-FR"/>
        </w:rPr>
        <w:t xml:space="preserve"> </w:t>
      </w:r>
      <w:r>
        <w:rPr>
          <w:lang w:val="fr-FR"/>
        </w:rPr>
        <w:t xml:space="preserve">assortis de buts et de calendriers précis et suivant de près le Plan stratégique de la CMS, </w:t>
      </w:r>
      <w:r w:rsidRPr="00FC243A">
        <w:rPr>
          <w:lang w:val="fr-FR"/>
        </w:rPr>
        <w:t>pour examen par la prochaine Conférence des Parties.</w:t>
      </w:r>
    </w:p>
    <w:p w:rsidR="00466AFD" w:rsidRPr="00FC243A" w:rsidRDefault="00466AFD" w:rsidP="00466AFD">
      <w:pPr>
        <w:pStyle w:val="ListParagraph"/>
        <w:ind w:left="0"/>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lang w:val="fr-FR"/>
        </w:rPr>
        <w:t xml:space="preserve">Prie en outre </w:t>
      </w:r>
      <w:r w:rsidRPr="00FC243A">
        <w:rPr>
          <w:lang w:val="fr-FR"/>
        </w:rPr>
        <w:t>le Secrétariat de prendre des mesures pour renforcer la mise en œuvre de la CMS moyennant des processus sur la révision des Stratégies et plans d’action  nationaux relatifs à la biodiversité (SPANB), y compris en coopérant avec les bureaux régionaux du PNUE;</w:t>
      </w:r>
    </w:p>
    <w:p w:rsidR="00466AFD" w:rsidRPr="00FC243A" w:rsidRDefault="00466AFD" w:rsidP="00466AFD">
      <w:pPr>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Demande en outre </w:t>
      </w:r>
      <w:r w:rsidRPr="00FC243A">
        <w:rPr>
          <w:sz w:val="23"/>
          <w:szCs w:val="23"/>
          <w:lang w:val="fr-FR" w:eastAsia="de-CH"/>
        </w:rPr>
        <w:t xml:space="preserve">au Secrétariat et </w:t>
      </w:r>
      <w:r w:rsidRPr="00FC243A">
        <w:rPr>
          <w:i/>
          <w:iCs/>
          <w:sz w:val="23"/>
          <w:szCs w:val="23"/>
          <w:lang w:val="fr-FR" w:eastAsia="de-CH"/>
        </w:rPr>
        <w:t xml:space="preserve">invite </w:t>
      </w:r>
      <w:r w:rsidRPr="00FC243A">
        <w:rPr>
          <w:sz w:val="23"/>
          <w:szCs w:val="23"/>
          <w:lang w:val="fr-FR" w:eastAsia="de-CH"/>
        </w:rPr>
        <w:t>les Secrétariats d’autres conventions de continuer d’assurer la liaison avec les points focaux régionaux des Accords multilatéraux sur l’environnement du PNUE relatifs à la biodiversité et aux écosystèmes, et de faire tout leur possible pour contribuer à la mise en œuvre des Accords multilatéraux sur l’environnement relatifs à la biodiversité</w:t>
      </w:r>
      <w:r w:rsidRPr="00FC243A">
        <w:rPr>
          <w:lang w:val="fr-FR"/>
        </w:rPr>
        <w:t>;</w:t>
      </w:r>
    </w:p>
    <w:p w:rsidR="00466AFD" w:rsidRPr="00FC243A" w:rsidRDefault="00466AFD" w:rsidP="00466AFD">
      <w:pPr>
        <w:pStyle w:val="ListParagraph"/>
        <w:rPr>
          <w:lang w:val="fr-FR"/>
        </w:rPr>
      </w:pPr>
    </w:p>
    <w:p w:rsidR="00466AFD" w:rsidRPr="00CD1145" w:rsidRDefault="00466AFD" w:rsidP="00466AFD">
      <w:pPr>
        <w:pStyle w:val="ListParagraph"/>
        <w:numPr>
          <w:ilvl w:val="0"/>
          <w:numId w:val="38"/>
        </w:numPr>
        <w:ind w:left="0" w:firstLine="3"/>
        <w:jc w:val="both"/>
        <w:rPr>
          <w:lang w:val="fr-FR"/>
        </w:rPr>
      </w:pPr>
      <w:r w:rsidRPr="00CD1145">
        <w:rPr>
          <w:i/>
          <w:iCs/>
          <w:sz w:val="23"/>
          <w:szCs w:val="23"/>
          <w:lang w:val="fr-FR"/>
        </w:rPr>
        <w:t xml:space="preserve">Prie </w:t>
      </w:r>
      <w:r w:rsidRPr="00CD1145">
        <w:rPr>
          <w:sz w:val="23"/>
          <w:szCs w:val="23"/>
          <w:lang w:val="fr-FR"/>
        </w:rPr>
        <w:t xml:space="preserve">le Secrétariat de la CMS et </w:t>
      </w:r>
      <w:r w:rsidRPr="00CD1145">
        <w:rPr>
          <w:i/>
          <w:sz w:val="23"/>
          <w:szCs w:val="23"/>
          <w:lang w:val="fr-FR"/>
        </w:rPr>
        <w:t>invite</w:t>
      </w:r>
      <w:r w:rsidRPr="00CD1145">
        <w:rPr>
          <w:sz w:val="23"/>
          <w:szCs w:val="23"/>
          <w:lang w:val="fr-FR"/>
        </w:rPr>
        <w:t xml:space="preserve"> 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œuvre des conventions relatives à la biodiversité du plan stratégique pour la biodiversité 2011-2020 et ses objectifs d'Aichi; et </w:t>
      </w:r>
      <w:r w:rsidRPr="00CD1145">
        <w:rPr>
          <w:i/>
          <w:iCs/>
          <w:sz w:val="23"/>
          <w:szCs w:val="23"/>
          <w:lang w:val="fr-FR"/>
        </w:rPr>
        <w:t xml:space="preserve">prie en outre </w:t>
      </w:r>
      <w:r w:rsidRPr="00CD1145">
        <w:rPr>
          <w:sz w:val="23"/>
          <w:szCs w:val="23"/>
          <w:lang w:val="fr-FR"/>
        </w:rPr>
        <w:t>le Secrétariat de faire rapport sur les progrès réalisés au Conseil Scientifique et à la COP12</w:t>
      </w:r>
      <w:r w:rsidRPr="00CD1145">
        <w:rPr>
          <w:bCs/>
          <w:color w:val="000000"/>
          <w:lang w:val="fr-FR"/>
        </w:rPr>
        <w:t>;</w:t>
      </w:r>
    </w:p>
    <w:p w:rsidR="00466AFD" w:rsidRPr="00CD1145" w:rsidRDefault="00466AFD" w:rsidP="00466AFD">
      <w:pPr>
        <w:pStyle w:val="ListParagraph"/>
        <w:ind w:left="3"/>
        <w:jc w:val="both"/>
        <w:rPr>
          <w:lang w:val="fr-FR"/>
        </w:rPr>
      </w:pPr>
    </w:p>
    <w:p w:rsidR="00466AFD" w:rsidRPr="00CD1145" w:rsidRDefault="00466AFD" w:rsidP="00466AFD">
      <w:pPr>
        <w:pStyle w:val="ListParagraph"/>
        <w:numPr>
          <w:ilvl w:val="0"/>
          <w:numId w:val="38"/>
        </w:numPr>
        <w:ind w:left="0" w:firstLine="3"/>
        <w:jc w:val="both"/>
        <w:rPr>
          <w:i/>
          <w:lang w:val="fr-FR"/>
        </w:rPr>
      </w:pPr>
      <w:r w:rsidRPr="00CD1145">
        <w:rPr>
          <w:i/>
          <w:lang w:val="fr-FR"/>
        </w:rPr>
        <w:lastRenderedPageBreak/>
        <w:t xml:space="preserve">Prie en outre </w:t>
      </w:r>
      <w:r w:rsidRPr="00CD1145">
        <w:rPr>
          <w:lang w:val="fr-FR"/>
        </w:rPr>
        <w:t>le Secrétariat d’intensifier la coopération par le biais du Groupe de liaison sur la biodiversité et le Partenariat sur les indicateurs de la biodiversité afin d</w:t>
      </w:r>
      <w:r>
        <w:rPr>
          <w:lang w:val="fr-FR"/>
        </w:rPr>
        <w:t>e disposer d’une meilleure série d</w:t>
      </w:r>
      <w:r w:rsidRPr="00CD1145">
        <w:rPr>
          <w:lang w:val="fr-FR"/>
        </w:rPr>
        <w:t>’indicateurs de la biodiversité</w:t>
      </w:r>
      <w:r>
        <w:rPr>
          <w:lang w:val="fr-FR"/>
        </w:rPr>
        <w:t xml:space="preserve"> à l’échelle mondiale</w:t>
      </w:r>
      <w:r w:rsidRPr="00CD1145">
        <w:rPr>
          <w:lang w:val="fr-FR"/>
        </w:rPr>
        <w:t>;</w:t>
      </w:r>
    </w:p>
    <w:p w:rsidR="00466AFD" w:rsidRPr="00CD1145" w:rsidRDefault="00466AFD" w:rsidP="00466AFD">
      <w:pPr>
        <w:pStyle w:val="ListParagraph"/>
        <w:ind w:left="3"/>
        <w:jc w:val="both"/>
        <w:rPr>
          <w:lang w:val="fr-FR"/>
        </w:rPr>
      </w:pPr>
    </w:p>
    <w:p w:rsidR="00466AFD" w:rsidRPr="00CD1145" w:rsidRDefault="00466AFD" w:rsidP="00466AFD">
      <w:pPr>
        <w:pStyle w:val="ListParagraph"/>
        <w:numPr>
          <w:ilvl w:val="0"/>
          <w:numId w:val="38"/>
        </w:numPr>
        <w:ind w:left="0" w:firstLine="3"/>
        <w:jc w:val="both"/>
        <w:rPr>
          <w:lang w:val="fr-FR"/>
        </w:rPr>
      </w:pPr>
      <w:r w:rsidRPr="00CD1145">
        <w:rPr>
          <w:i/>
          <w:lang w:val="fr-FR"/>
        </w:rPr>
        <w:t xml:space="preserve">Prend note </w:t>
      </w:r>
      <w:r w:rsidRPr="00CD1145">
        <w:rPr>
          <w:lang w:val="fr-FR"/>
        </w:rPr>
        <w:t>du document final du Groupe de travail non limité sur les objectifs de développement durable, et</w:t>
      </w:r>
      <w:r w:rsidRPr="00CD1145">
        <w:rPr>
          <w:i/>
          <w:lang w:val="fr-FR"/>
        </w:rPr>
        <w:t xml:space="preserve"> prie</w:t>
      </w:r>
      <w:r w:rsidRPr="00CD1145">
        <w:rPr>
          <w:lang w:val="fr-FR"/>
        </w:rPr>
        <w:t xml:space="preserve"> le Secrétariat de continuer à s’engager avec le processus d’établissement des objectifs de développement durable en coopération avec le Groupe de liaison sur la biodiversité; </w:t>
      </w:r>
    </w:p>
    <w:p w:rsidR="00466AFD" w:rsidRPr="00CD1145" w:rsidRDefault="00466AFD" w:rsidP="00466AFD">
      <w:pPr>
        <w:pStyle w:val="ListParagraph"/>
        <w:ind w:left="0"/>
        <w:jc w:val="both"/>
        <w:rPr>
          <w:lang w:val="fr-FR"/>
        </w:rPr>
      </w:pPr>
    </w:p>
    <w:p w:rsidR="00466AFD" w:rsidRPr="00BA41E7" w:rsidRDefault="00466AFD" w:rsidP="00466AFD">
      <w:pPr>
        <w:pStyle w:val="ListParagraph"/>
        <w:numPr>
          <w:ilvl w:val="0"/>
          <w:numId w:val="38"/>
        </w:numPr>
        <w:ind w:left="0" w:firstLine="3"/>
        <w:jc w:val="both"/>
        <w:rPr>
          <w:i/>
          <w:lang w:val="fr-FR"/>
        </w:rPr>
      </w:pPr>
      <w:r w:rsidRPr="009B34D1">
        <w:rPr>
          <w:i/>
          <w:lang w:val="fr-FR"/>
        </w:rPr>
        <w:t xml:space="preserve">Invite </w:t>
      </w:r>
      <w:r w:rsidRPr="009B34D1">
        <w:rPr>
          <w:lang w:val="fr-FR"/>
        </w:rPr>
        <w:t>les membres du Groupe de liaison sur la biodiversité à développer la coopération, la coordination et les synergies concernant les progrès respectifs de leurs systèmes de rapports en ligne comme moyen d’augmenter les synergies sur les rapports nationaux au titre des diverses conventions relatives à la biodiversité;</w:t>
      </w:r>
    </w:p>
    <w:p w:rsidR="00466AFD" w:rsidRPr="009B34D1" w:rsidRDefault="00466AFD" w:rsidP="00466AFD">
      <w:pPr>
        <w:pStyle w:val="ListParagraph"/>
        <w:numPr>
          <w:ilvl w:val="0"/>
          <w:numId w:val="38"/>
        </w:numPr>
        <w:ind w:left="0" w:firstLine="3"/>
        <w:jc w:val="both"/>
        <w:rPr>
          <w:i/>
          <w:lang w:val="fr-FR"/>
        </w:rPr>
      </w:pPr>
      <w:r w:rsidRPr="009B34D1">
        <w:rPr>
          <w:i/>
          <w:lang w:val="fr-FR"/>
        </w:rPr>
        <w:t xml:space="preserve">Invite en outre </w:t>
      </w:r>
      <w:r w:rsidRPr="009B34D1">
        <w:rPr>
          <w:lang w:val="fr-FR"/>
        </w:rPr>
        <w:t>les membres du Groupe de liaison sur la biodiversité à étudier des moyens d’accroître la coopération s’agissant de leurs stratégies de sensibilisation et de communication;</w:t>
      </w:r>
    </w:p>
    <w:p w:rsidR="00466AFD" w:rsidRPr="00CD1145" w:rsidRDefault="00466AFD" w:rsidP="00466AFD">
      <w:pPr>
        <w:pStyle w:val="ListParagraph"/>
        <w:ind w:left="3"/>
        <w:jc w:val="both"/>
        <w:rPr>
          <w:i/>
          <w:lang w:val="fr-FR"/>
        </w:rPr>
      </w:pPr>
    </w:p>
    <w:p w:rsidR="00466AFD" w:rsidRPr="008007E3" w:rsidRDefault="00466AFD" w:rsidP="00466AFD">
      <w:pPr>
        <w:pStyle w:val="ListParagraph"/>
        <w:numPr>
          <w:ilvl w:val="0"/>
          <w:numId w:val="38"/>
        </w:numPr>
        <w:ind w:left="0" w:firstLine="3"/>
        <w:jc w:val="both"/>
        <w:rPr>
          <w:lang w:val="fr-FR"/>
        </w:rPr>
      </w:pPr>
      <w:r w:rsidRPr="008007E3">
        <w:rPr>
          <w:i/>
          <w:lang w:val="fr-FR"/>
        </w:rPr>
        <w:t xml:space="preserve">Invite en outre </w:t>
      </w:r>
      <w:r w:rsidRPr="008007E3">
        <w:rPr>
          <w:lang w:val="fr-FR"/>
        </w:rPr>
        <w:t>le Groupe de liaison sur la biodiversité à tenir dûment compte de la nécessité d’optimiser les activités de suivi et de renforcer l’efficacité en utilisant des cadres de suivi et des systèmes d’indicateurs cohérents;</w:t>
      </w:r>
    </w:p>
    <w:p w:rsidR="00466AFD" w:rsidRPr="008007E3" w:rsidRDefault="00466AFD" w:rsidP="00466AFD">
      <w:pPr>
        <w:pStyle w:val="ListParagraph"/>
        <w:ind w:left="0"/>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rPr>
        <w:t xml:space="preserve">Prie </w:t>
      </w:r>
      <w:r w:rsidRPr="008007E3">
        <w:rPr>
          <w:sz w:val="23"/>
          <w:szCs w:val="23"/>
          <w:lang w:val="fr-FR"/>
        </w:rPr>
        <w:t xml:space="preserve">le Secrétariat, autant que possible, d'éviter la duplication des travaux sur les mêmes questions entre les AME qui se consacrent aux questions de protection de la nature, et </w:t>
      </w:r>
      <w:r w:rsidRPr="008007E3">
        <w:rPr>
          <w:i/>
          <w:iCs/>
          <w:sz w:val="23"/>
          <w:szCs w:val="23"/>
          <w:lang w:val="fr-FR"/>
        </w:rPr>
        <w:t xml:space="preserve">invite </w:t>
      </w:r>
      <w:r w:rsidRPr="008007E3">
        <w:rPr>
          <w:sz w:val="23"/>
          <w:szCs w:val="23"/>
          <w:lang w:val="fr-FR"/>
        </w:rPr>
        <w:t xml:space="preserve">le Groupe de liaison sur la biodiversité à aborder, au cours de </w:t>
      </w:r>
      <w:r>
        <w:rPr>
          <w:sz w:val="23"/>
          <w:szCs w:val="23"/>
          <w:lang w:val="fr-FR"/>
        </w:rPr>
        <w:t>ses</w:t>
      </w:r>
      <w:r w:rsidRPr="008007E3">
        <w:rPr>
          <w:sz w:val="23"/>
          <w:szCs w:val="23"/>
          <w:lang w:val="fr-FR"/>
        </w:rPr>
        <w:t xml:space="preserve"> prochaines réunions, les options pour une coopération renforcée en matière de travail sur des questions transversales, comme le changement climatique, la viande de brousse et les espèces exotiques envahissantes, notamment en envisageant la possibilité d'identifier les AME qui joueront un rôle central d'une manière conforme à leurs mandats, dispositions de gouvernance et programmes convenus</w:t>
      </w:r>
      <w:r w:rsidRPr="008007E3">
        <w:rPr>
          <w:lang w:val="fr-FR"/>
        </w:rPr>
        <w:t>.</w:t>
      </w:r>
    </w:p>
    <w:p w:rsidR="00466AFD" w:rsidRPr="008007E3" w:rsidRDefault="00466AFD" w:rsidP="00466AFD">
      <w:pPr>
        <w:pStyle w:val="ListParagraph"/>
        <w:ind w:left="0"/>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lang w:val="fr-FR"/>
        </w:rPr>
        <w:t xml:space="preserve">Demande en outre </w:t>
      </w:r>
      <w:r w:rsidRPr="008007E3">
        <w:rPr>
          <w:lang w:val="fr-FR"/>
        </w:rPr>
        <w:t xml:space="preserve">au Secrétariat de formuler </w:t>
      </w:r>
      <w:r>
        <w:rPr>
          <w:lang w:val="fr-FR"/>
        </w:rPr>
        <w:t>des</w:t>
      </w:r>
      <w:r w:rsidRPr="008007E3">
        <w:rPr>
          <w:lang w:val="fr-FR"/>
        </w:rPr>
        <w:t xml:space="preserve"> avis concernant le financement des priorités nationales en conformité avec le mandat du Fonds pour l’environnement mondial, de faire rapport au Comité permanent et de transmettre ce</w:t>
      </w:r>
      <w:r>
        <w:rPr>
          <w:lang w:val="fr-FR"/>
        </w:rPr>
        <w:t>s</w:t>
      </w:r>
      <w:r w:rsidRPr="008007E3">
        <w:rPr>
          <w:lang w:val="fr-FR"/>
        </w:rPr>
        <w:t xml:space="preserve"> avis en temps utile  au Secrétaire exécutif de la CDB.  </w:t>
      </w:r>
    </w:p>
    <w:p w:rsidR="00466AFD" w:rsidRPr="008007E3" w:rsidRDefault="00466AFD" w:rsidP="00466AFD">
      <w:pPr>
        <w:pStyle w:val="ListParagraph"/>
        <w:rPr>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eastAsia="de-CH"/>
        </w:rPr>
        <w:t xml:space="preserve">Prie </w:t>
      </w:r>
      <w:r w:rsidRPr="008007E3">
        <w:rPr>
          <w:sz w:val="23"/>
          <w:szCs w:val="23"/>
          <w:lang w:val="fr-FR" w:eastAsia="de-CH"/>
        </w:rPr>
        <w:t>le Secrétariat de continuer de faire rapport au Comité permanent sur les progrès accomplis, notamment sur les résultats d’activités communes tel que discuté et approuvé au sein du Groupe de liaison sur la biodiversité</w:t>
      </w:r>
      <w:r w:rsidRPr="008007E3">
        <w:rPr>
          <w:lang w:val="fr-FR"/>
        </w:rPr>
        <w:t>;</w:t>
      </w:r>
    </w:p>
    <w:p w:rsidR="00466AFD" w:rsidRPr="008007E3" w:rsidRDefault="00466AFD" w:rsidP="00466AFD">
      <w:pPr>
        <w:pStyle w:val="ListParagraph"/>
        <w:ind w:left="3"/>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sz w:val="23"/>
          <w:szCs w:val="23"/>
          <w:lang w:val="fr-FR" w:eastAsia="de-CH"/>
        </w:rPr>
        <w:t>Reconnaît</w:t>
      </w:r>
      <w:r w:rsidRPr="008007E3">
        <w:rPr>
          <w:sz w:val="23"/>
          <w:szCs w:val="23"/>
          <w:lang w:val="fr-FR" w:eastAsia="de-CH"/>
        </w:rPr>
        <w:t xml:space="preserve"> que des ressources adéquates sont nécessaires pour permettre aux partenariats de se développer et que ces ressources pourraient être fournies en partie par les contributions volontaires des Parties, et </w:t>
      </w:r>
      <w:r w:rsidRPr="008007E3">
        <w:rPr>
          <w:i/>
          <w:sz w:val="23"/>
          <w:szCs w:val="23"/>
          <w:lang w:val="fr-FR" w:eastAsia="de-CH"/>
        </w:rPr>
        <w:t>demande</w:t>
      </w:r>
      <w:r w:rsidRPr="008007E3">
        <w:rPr>
          <w:sz w:val="23"/>
          <w:szCs w:val="23"/>
          <w:lang w:val="fr-FR" w:eastAsia="de-CH"/>
        </w:rPr>
        <w:t xml:space="preserve"> aux Parties de faire en sorte que des ressources suffisantes soient allouées au Secrétariat afin que des partenariats puissent être créés et renforcés</w:t>
      </w:r>
      <w:r w:rsidRPr="008007E3">
        <w:rPr>
          <w:bCs/>
          <w:color w:val="000000"/>
          <w:lang w:val="fr-FR"/>
        </w:rPr>
        <w:t>;</w:t>
      </w:r>
    </w:p>
    <w:p w:rsidR="00466AFD" w:rsidRPr="008007E3" w:rsidRDefault="00466AFD" w:rsidP="00466AFD">
      <w:pPr>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rPr>
        <w:t xml:space="preserve">Prie instamment </w:t>
      </w:r>
      <w:r w:rsidRPr="008007E3">
        <w:rPr>
          <w:sz w:val="23"/>
          <w:szCs w:val="23"/>
          <w:lang w:val="fr-FR"/>
        </w:rPr>
        <w:t>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w:t>
      </w:r>
      <w:r w:rsidRPr="008007E3">
        <w:rPr>
          <w:lang w:val="fr-FR"/>
        </w:rPr>
        <w:t>;</w:t>
      </w:r>
    </w:p>
    <w:p w:rsidR="00466AFD" w:rsidRPr="008007E3" w:rsidRDefault="00466AFD" w:rsidP="00466AFD">
      <w:pPr>
        <w:pStyle w:val="ListParagraph"/>
        <w:ind w:left="0"/>
        <w:jc w:val="both"/>
        <w:rPr>
          <w:i/>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rPr>
        <w:lastRenderedPageBreak/>
        <w:t xml:space="preserve">Exhorte en outre </w:t>
      </w:r>
      <w:r w:rsidRPr="008007E3">
        <w:rPr>
          <w:sz w:val="23"/>
          <w:szCs w:val="23"/>
          <w:lang w:val="fr-FR"/>
        </w:rPr>
        <w:t>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w:t>
      </w:r>
      <w:r w:rsidRPr="008007E3">
        <w:rPr>
          <w:lang w:val="fr-FR"/>
        </w:rPr>
        <w:t>;</w:t>
      </w:r>
    </w:p>
    <w:p w:rsidR="00466AFD" w:rsidRPr="008007E3" w:rsidRDefault="00466AFD" w:rsidP="00466AFD">
      <w:pPr>
        <w:pStyle w:val="ListParagraph"/>
        <w:rPr>
          <w:lang w:val="fr-FR"/>
        </w:rPr>
      </w:pPr>
    </w:p>
    <w:p w:rsidR="00466AFD" w:rsidRPr="00C41804" w:rsidRDefault="00466AFD" w:rsidP="00466AFD">
      <w:pPr>
        <w:pStyle w:val="ListParagraph"/>
        <w:numPr>
          <w:ilvl w:val="0"/>
          <w:numId w:val="38"/>
        </w:numPr>
        <w:ind w:left="0" w:firstLine="3"/>
        <w:jc w:val="both"/>
        <w:rPr>
          <w:lang w:val="fr-FR"/>
        </w:rPr>
      </w:pPr>
      <w:r w:rsidRPr="00C41804">
        <w:rPr>
          <w:i/>
          <w:iCs/>
          <w:sz w:val="23"/>
          <w:szCs w:val="23"/>
          <w:lang w:val="fr-FR" w:eastAsia="de-CH"/>
        </w:rPr>
        <w:t xml:space="preserve">Encourage </w:t>
      </w:r>
      <w:r w:rsidRPr="00C41804">
        <w:rPr>
          <w:sz w:val="23"/>
          <w:szCs w:val="23"/>
          <w:lang w:val="fr-FR" w:eastAsia="de-CH"/>
        </w:rPr>
        <w:t xml:space="preserve">les Parties, autres gouvernements et organisations à faire usage des outils en ligne tels que </w:t>
      </w:r>
      <w:proofErr w:type="spellStart"/>
      <w:r w:rsidRPr="00C41804">
        <w:rPr>
          <w:sz w:val="23"/>
          <w:szCs w:val="23"/>
          <w:lang w:val="fr-FR" w:eastAsia="de-CH"/>
        </w:rPr>
        <w:t>InforMEA</w:t>
      </w:r>
      <w:proofErr w:type="spellEnd"/>
      <w:r w:rsidRPr="00C41804">
        <w:rPr>
          <w:sz w:val="23"/>
          <w:szCs w:val="23"/>
          <w:lang w:val="fr-FR" w:eastAsia="de-CH"/>
        </w:rPr>
        <w:t xml:space="preserve"> lors</w:t>
      </w:r>
      <w:r>
        <w:rPr>
          <w:sz w:val="23"/>
          <w:szCs w:val="23"/>
          <w:lang w:val="fr-FR" w:eastAsia="de-CH"/>
        </w:rPr>
        <w:t xml:space="preserve"> du développement et de la mise en œuvre d’activités de soutien mutuel parmi les </w:t>
      </w:r>
      <w:r w:rsidRPr="00C41804">
        <w:rPr>
          <w:sz w:val="23"/>
          <w:szCs w:val="23"/>
          <w:lang w:val="fr-FR" w:eastAsia="de-CH"/>
        </w:rPr>
        <w:t xml:space="preserve">Accords de la CMS et les conventions relatives à la biodiversité </w:t>
      </w:r>
      <w:r>
        <w:rPr>
          <w:sz w:val="23"/>
          <w:szCs w:val="23"/>
          <w:lang w:val="fr-FR" w:eastAsia="de-CH"/>
        </w:rPr>
        <w:t>afin d’assurer la cohérence dans leur mise en œuvre</w:t>
      </w:r>
      <w:r w:rsidRPr="00C41804">
        <w:rPr>
          <w:sz w:val="23"/>
          <w:szCs w:val="23"/>
          <w:lang w:val="fr-FR" w:eastAsia="de-CH"/>
        </w:rPr>
        <w:t>;</w:t>
      </w:r>
    </w:p>
    <w:p w:rsidR="00466AFD" w:rsidRPr="00C41804" w:rsidRDefault="00466AFD" w:rsidP="00466AFD">
      <w:pPr>
        <w:pStyle w:val="ListParagraph"/>
        <w:rPr>
          <w:lang w:val="fr-FR"/>
        </w:rPr>
      </w:pPr>
    </w:p>
    <w:p w:rsidR="00466AFD" w:rsidRPr="00C41804" w:rsidRDefault="00466AFD" w:rsidP="00466AFD">
      <w:pPr>
        <w:pStyle w:val="ListParagraph"/>
        <w:numPr>
          <w:ilvl w:val="0"/>
          <w:numId w:val="38"/>
        </w:numPr>
        <w:ind w:left="0" w:firstLine="3"/>
        <w:jc w:val="both"/>
        <w:rPr>
          <w:lang w:val="fr-FR"/>
        </w:rPr>
      </w:pPr>
      <w:r w:rsidRPr="00C41804">
        <w:rPr>
          <w:i/>
          <w:sz w:val="23"/>
          <w:szCs w:val="23"/>
          <w:lang w:val="fr-FR" w:eastAsia="de-CH"/>
        </w:rPr>
        <w:t>Prie</w:t>
      </w:r>
      <w:r w:rsidRPr="00C41804">
        <w:rPr>
          <w:sz w:val="23"/>
          <w:szCs w:val="23"/>
          <w:lang w:val="fr-FR" w:eastAsia="de-CH"/>
        </w:rPr>
        <w:t xml:space="preserve"> les organisations partenaires de continuer de promouvoir et de publier les bénéfices qui leur reviennent ainsi qu’à la CMS et à la conservation provenant d’une collaboration effective;</w:t>
      </w:r>
      <w:r w:rsidRPr="00C41804">
        <w:rPr>
          <w:i/>
          <w:lang w:val="fr-FR"/>
        </w:rPr>
        <w:t xml:space="preserve"> </w:t>
      </w:r>
    </w:p>
    <w:p w:rsidR="00466AFD" w:rsidRPr="00C41804" w:rsidRDefault="00466AFD" w:rsidP="00466AFD">
      <w:pPr>
        <w:pStyle w:val="ListParagraph"/>
        <w:ind w:left="0"/>
        <w:jc w:val="both"/>
        <w:rPr>
          <w:i/>
          <w:lang w:val="fr-FR"/>
        </w:rPr>
      </w:pPr>
    </w:p>
    <w:p w:rsidR="00466AFD" w:rsidRPr="00C41804" w:rsidRDefault="00466AFD" w:rsidP="00466AFD">
      <w:pPr>
        <w:pStyle w:val="ListParagraph"/>
        <w:numPr>
          <w:ilvl w:val="0"/>
          <w:numId w:val="38"/>
        </w:numPr>
        <w:ind w:left="0" w:firstLine="3"/>
        <w:jc w:val="both"/>
        <w:rPr>
          <w:i/>
          <w:lang w:val="fr-FR"/>
        </w:rPr>
      </w:pPr>
      <w:r w:rsidRPr="00C41804">
        <w:rPr>
          <w:i/>
          <w:lang w:val="fr-FR"/>
        </w:rPr>
        <w:t xml:space="preserve">Abroge </w:t>
      </w:r>
      <w:r w:rsidRPr="00C41804">
        <w:rPr>
          <w:lang w:val="fr-FR"/>
        </w:rPr>
        <w:t>la Résolution 7.9, la Résolution 8.11, la Résolution 9.6 et la Résolution 10.21.</w:t>
      </w:r>
    </w:p>
    <w:p w:rsidR="00466AFD" w:rsidRPr="00C41804" w:rsidRDefault="00466AFD" w:rsidP="00466AFD">
      <w:pPr>
        <w:pStyle w:val="ListParagraph"/>
        <w:jc w:val="both"/>
        <w:rPr>
          <w:i/>
          <w:lang w:val="fr-FR"/>
        </w:rPr>
      </w:pPr>
    </w:p>
    <w:p w:rsidR="00466AFD" w:rsidRPr="00C41804" w:rsidRDefault="00466AFD" w:rsidP="00466AFD">
      <w:pPr>
        <w:jc w:val="both"/>
        <w:rPr>
          <w:i/>
          <w:lang w:val="fr-FR"/>
        </w:rPr>
      </w:pPr>
    </w:p>
    <w:p w:rsidR="00466AFD" w:rsidRPr="00C41804" w:rsidRDefault="00466AFD" w:rsidP="00466AFD">
      <w:pPr>
        <w:pStyle w:val="Default"/>
        <w:jc w:val="both"/>
        <w:rPr>
          <w:lang w:val="fr-FR"/>
        </w:rPr>
      </w:pPr>
    </w:p>
    <w:p w:rsidR="006E6631" w:rsidRDefault="006E6631" w:rsidP="00105EA7">
      <w:pPr>
        <w:pStyle w:val="ListParagraph"/>
        <w:ind w:left="0"/>
        <w:rPr>
          <w:lang w:val="fr-FR"/>
        </w:rPr>
      </w:pPr>
    </w:p>
    <w:sectPr w:rsidR="006E6631" w:rsidSect="009C1556">
      <w:headerReference w:type="even" r:id="rId18"/>
      <w:headerReference w:type="default" r:id="rId19"/>
      <w:footerReference w:type="default" r:id="rId20"/>
      <w:footerReference w:type="first" r:id="rId21"/>
      <w:endnotePr>
        <w:numFmt w:val="decimal"/>
      </w:endnotePr>
      <w:pgSz w:w="11905" w:h="16837" w:code="9"/>
      <w:pgMar w:top="1170" w:right="1411" w:bottom="1411" w:left="1411" w:header="619"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AFD" w:rsidRDefault="00466AFD" w:rsidP="00C96A00">
      <w:r>
        <w:separator/>
      </w:r>
    </w:p>
  </w:endnote>
  <w:endnote w:type="continuationSeparator" w:id="0">
    <w:p w:rsidR="00466AFD" w:rsidRDefault="00466AFD"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B6F" w:rsidRPr="00A83B6F" w:rsidRDefault="00A83B6F"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916D55">
      <w:rPr>
        <w:noProof/>
        <w:sz w:val="22"/>
        <w:lang w:val="fr-FR"/>
      </w:rPr>
      <w:t>12</w:t>
    </w:r>
    <w:r w:rsidRPr="00A83B6F">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3" w:rsidRPr="00A83B6F" w:rsidRDefault="00FC3253" w:rsidP="00A83B6F">
    <w:pPr>
      <w:pStyle w:val="Footer"/>
      <w:tabs>
        <w:tab w:val="clear" w:pos="4680"/>
        <w:tab w:val="clear" w:pos="9360"/>
        <w:tab w:val="right" w:pos="9072"/>
      </w:tabs>
      <w:jc w:val="center"/>
      <w:rPr>
        <w:sz w:val="22"/>
        <w:lang w:val="fr-FR"/>
      </w:rPr>
    </w:pPr>
    <w:r w:rsidRPr="00A83B6F">
      <w:rPr>
        <w:sz w:val="22"/>
      </w:rPr>
      <w:fldChar w:fldCharType="begin"/>
    </w:r>
    <w:r w:rsidRPr="00A83B6F">
      <w:rPr>
        <w:sz w:val="22"/>
        <w:lang w:val="fr-FR"/>
      </w:rPr>
      <w:instrText xml:space="preserve"> PAGE   \* MERGEFORMAT </w:instrText>
    </w:r>
    <w:r w:rsidRPr="00A83B6F">
      <w:rPr>
        <w:sz w:val="22"/>
      </w:rPr>
      <w:fldChar w:fldCharType="separate"/>
    </w:r>
    <w:r w:rsidR="00466AFD">
      <w:rPr>
        <w:noProof/>
        <w:sz w:val="22"/>
        <w:lang w:val="fr-FR"/>
      </w:rPr>
      <w:t>3</w:t>
    </w:r>
    <w:r w:rsidRPr="00A83B6F">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968" w:rsidRPr="006E6631" w:rsidRDefault="00466AFD" w:rsidP="006E6631">
    <w:pPr>
      <w:pBdr>
        <w:top w:val="double" w:sz="6" w:space="0" w:color="000000"/>
        <w:left w:val="double" w:sz="6" w:space="0" w:color="000000"/>
        <w:bottom w:val="double" w:sz="6" w:space="0" w:color="000000"/>
        <w:right w:val="double" w:sz="6" w:space="0" w:color="000000"/>
      </w:pBdr>
      <w:ind w:left="851"/>
      <w:jc w:val="center"/>
      <w:rPr>
        <w:rFonts w:ascii="Times New Roman Italic" w:hAnsi="Times New Roman Italic"/>
        <w:spacing w:val="-6"/>
        <w:sz w:val="20"/>
        <w:szCs w:val="20"/>
        <w:lang w:val="fr-FR"/>
      </w:rPr>
    </w:pPr>
    <w:r>
      <w:rPr>
        <w:noProof/>
      </w:rPr>
      <w:drawing>
        <wp:anchor distT="0" distB="0" distL="114300" distR="114300" simplePos="0" relativeHeight="251658240" behindDoc="0" locked="0" layoutInCell="1" allowOverlap="1">
          <wp:simplePos x="0" y="0"/>
          <wp:positionH relativeFrom="column">
            <wp:posOffset>-440690</wp:posOffset>
          </wp:positionH>
          <wp:positionV relativeFrom="paragraph">
            <wp:posOffset>-400050</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968" w:rsidRPr="006E6631">
      <w:rPr>
        <w:rFonts w:ascii="Times New Roman Italic" w:hAnsi="Times New Roman Italic"/>
        <w:i/>
        <w:spacing w:val="-6"/>
        <w:sz w:val="20"/>
        <w:szCs w:val="20"/>
        <w:lang w:val="fr-FR"/>
      </w:rPr>
      <w:t xml:space="preserve">Pour des raisons d’économie, ce document est imprimé en nombre limité et ne sera pas distribué </w:t>
    </w:r>
    <w:r w:rsidR="00FA636F">
      <w:rPr>
        <w:rFonts w:ascii="Times New Roman Italic" w:hAnsi="Times New Roman Italic"/>
        <w:i/>
        <w:spacing w:val="-6"/>
        <w:sz w:val="20"/>
        <w:szCs w:val="20"/>
        <w:lang w:val="fr-FR"/>
      </w:rPr>
      <w:t>pendant la</w:t>
    </w:r>
    <w:r w:rsidR="00CC2968" w:rsidRPr="006E6631">
      <w:rPr>
        <w:rFonts w:ascii="Times New Roman Italic" w:hAnsi="Times New Roman Italic"/>
        <w:i/>
        <w:spacing w:val="-6"/>
        <w:sz w:val="20"/>
        <w:szCs w:val="20"/>
        <w:lang w:val="fr-FR"/>
      </w:rPr>
      <w:t xml:space="preserve"> réunion. Les délégués sont priés de se munir de leur copie et de ne pas dem</w:t>
    </w:r>
    <w:r w:rsidR="006E6631">
      <w:rPr>
        <w:rFonts w:ascii="Times New Roman Italic" w:hAnsi="Times New Roman Italic"/>
        <w:i/>
        <w:spacing w:val="-6"/>
        <w:sz w:val="20"/>
        <w:szCs w:val="20"/>
        <w:lang w:val="fr-FR"/>
      </w:rPr>
      <w:t>ander de copies supplémentaires</w:t>
    </w:r>
    <w:r>
      <w:rPr>
        <w:noProof/>
      </w:rPr>
      <w:drawing>
        <wp:anchor distT="0" distB="0" distL="114300" distR="114300" simplePos="0" relativeHeight="251657216" behindDoc="1" locked="0" layoutInCell="1" allowOverlap="1">
          <wp:simplePos x="0" y="0"/>
          <wp:positionH relativeFrom="column">
            <wp:posOffset>424815</wp:posOffset>
          </wp:positionH>
          <wp:positionV relativeFrom="paragraph">
            <wp:posOffset>9783445</wp:posOffset>
          </wp:positionV>
          <wp:extent cx="883920" cy="708025"/>
          <wp:effectExtent l="0" t="0" r="0" b="0"/>
          <wp:wrapNone/>
          <wp:docPr id="1" name="Picture 7" descr="COP10_norwa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10_norway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920" cy="708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1" w:rsidRPr="008F182C" w:rsidRDefault="00916D55">
    <w:pPr>
      <w:pStyle w:val="Footer"/>
      <w:jc w:val="center"/>
      <w:rPr>
        <w:szCs w:val="24"/>
      </w:rPr>
    </w:pPr>
    <w:r w:rsidRPr="008F182C">
      <w:rPr>
        <w:szCs w:val="24"/>
      </w:rPr>
      <w:fldChar w:fldCharType="begin"/>
    </w:r>
    <w:r w:rsidRPr="008F182C">
      <w:rPr>
        <w:szCs w:val="24"/>
      </w:rPr>
      <w:instrText xml:space="preserve"> PAGE   \* MERGEFORMAT </w:instrText>
    </w:r>
    <w:r w:rsidRPr="008F182C">
      <w:rPr>
        <w:szCs w:val="24"/>
      </w:rPr>
      <w:fldChar w:fldCharType="separate"/>
    </w:r>
    <w:r w:rsidRPr="00916D55">
      <w:rPr>
        <w:noProof/>
      </w:rPr>
      <w:t>13</w:t>
    </w:r>
    <w:r w:rsidRPr="008F182C">
      <w:rPr>
        <w:noProof/>
        <w:szCs w:val="24"/>
      </w:rPr>
      <w:fldChar w:fldCharType="end"/>
    </w:r>
  </w:p>
  <w:p w:rsidR="002B13C1" w:rsidRDefault="00916D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1" w:rsidRDefault="00916D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AFD" w:rsidRDefault="00466AFD" w:rsidP="00C96A00">
      <w:r>
        <w:separator/>
      </w:r>
    </w:p>
  </w:footnote>
  <w:footnote w:type="continuationSeparator" w:id="0">
    <w:p w:rsidR="00466AFD" w:rsidRDefault="00466AFD"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955" w:rsidRPr="00F03E5C" w:rsidRDefault="00D2095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23.3.1</w:t>
    </w:r>
  </w:p>
  <w:p w:rsidR="00D20955" w:rsidRPr="00F03E5C" w:rsidRDefault="00D20955" w:rsidP="00D20955">
    <w:pPr>
      <w:jc w:val="right"/>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B5" w:rsidRPr="00F03E5C" w:rsidRDefault="00D65CB5" w:rsidP="00D20955">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21.2</w:t>
    </w:r>
  </w:p>
  <w:p w:rsidR="00D65CB5" w:rsidRPr="00F03E5C" w:rsidRDefault="00D65CB5" w:rsidP="00D20955">
    <w:pPr>
      <w:rPr>
        <w:i/>
        <w:szCs w:val="20"/>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B5" w:rsidRPr="00F03E5C" w:rsidRDefault="00D65CB5" w:rsidP="00D20955">
    <w:pPr>
      <w:pStyle w:val="Heading1"/>
      <w:keepNext w:val="0"/>
      <w:pBdr>
        <w:bottom w:val="single" w:sz="4" w:space="1" w:color="auto"/>
      </w:pBdr>
      <w:spacing w:before="0" w:after="0"/>
      <w:ind w:left="261" w:right="-2" w:hanging="261"/>
      <w:jc w:val="right"/>
      <w:rPr>
        <w:rFonts w:ascii="Times New Roman" w:hAnsi="Times New Roman"/>
        <w:b w:val="0"/>
        <w:i/>
        <w:sz w:val="20"/>
        <w:szCs w:val="20"/>
        <w:lang w:val="fr-FR"/>
      </w:rPr>
    </w:pPr>
    <w:r w:rsidRPr="00F03E5C">
      <w:rPr>
        <w:rFonts w:ascii="Times New Roman" w:hAnsi="Times New Roman"/>
        <w:b w:val="0"/>
        <w:i/>
        <w:sz w:val="20"/>
        <w:szCs w:val="20"/>
        <w:lang w:val="fr-FR"/>
      </w:rPr>
      <w:t>P</w:t>
    </w:r>
    <w:r>
      <w:rPr>
        <w:rFonts w:ascii="Times New Roman" w:hAnsi="Times New Roman"/>
        <w:b w:val="0"/>
        <w:i/>
        <w:sz w:val="20"/>
        <w:szCs w:val="20"/>
        <w:lang w:val="fr-FR"/>
      </w:rPr>
      <w:t>NUE</w:t>
    </w:r>
    <w:r w:rsidRPr="00F03E5C">
      <w:rPr>
        <w:rFonts w:ascii="Times New Roman" w:hAnsi="Times New Roman"/>
        <w:b w:val="0"/>
        <w:i/>
        <w:sz w:val="20"/>
        <w:szCs w:val="20"/>
        <w:lang w:val="fr-FR"/>
      </w:rPr>
      <w:t>/CMS/</w:t>
    </w:r>
    <w:r>
      <w:rPr>
        <w:rFonts w:ascii="Times New Roman" w:hAnsi="Times New Roman"/>
        <w:b w:val="0"/>
        <w:i/>
        <w:sz w:val="20"/>
        <w:szCs w:val="20"/>
        <w:lang w:val="fr-FR"/>
      </w:rPr>
      <w:t>COP11</w:t>
    </w:r>
    <w:r w:rsidRPr="00F03E5C">
      <w:rPr>
        <w:rFonts w:ascii="Times New Roman" w:hAnsi="Times New Roman"/>
        <w:b w:val="0"/>
        <w:i/>
        <w:sz w:val="20"/>
        <w:szCs w:val="20"/>
        <w:lang w:val="fr-FR"/>
      </w:rPr>
      <w:t>/Doc.</w:t>
    </w:r>
    <w:r>
      <w:rPr>
        <w:rFonts w:ascii="Times New Roman" w:hAnsi="Times New Roman"/>
        <w:b w:val="0"/>
        <w:i/>
        <w:sz w:val="20"/>
        <w:szCs w:val="20"/>
        <w:lang w:val="fr-FR"/>
      </w:rPr>
      <w:t>21.2</w:t>
    </w:r>
  </w:p>
  <w:p w:rsidR="00D65CB5" w:rsidRPr="00F03E5C" w:rsidRDefault="00D65CB5" w:rsidP="00D20955">
    <w:pPr>
      <w:jc w:val="right"/>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AD6737"/>
    <w:multiLevelType w:val="hybridMultilevel"/>
    <w:tmpl w:val="75580F74"/>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349FD"/>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8BF415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10069FA"/>
    <w:multiLevelType w:val="hybridMultilevel"/>
    <w:tmpl w:val="6A28116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A021D"/>
    <w:multiLevelType w:val="hybridMultilevel"/>
    <w:tmpl w:val="18DE534E"/>
    <w:lvl w:ilvl="0" w:tplc="32DEE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0073A"/>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C3BCD"/>
    <w:multiLevelType w:val="hybridMultilevel"/>
    <w:tmpl w:val="3806B18C"/>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E110B"/>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01A4663"/>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62D3C8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D223722"/>
    <w:multiLevelType w:val="hybridMultilevel"/>
    <w:tmpl w:val="D10094DE"/>
    <w:lvl w:ilvl="0" w:tplc="A3347428">
      <w:start w:val="1"/>
      <w:numFmt w:val="decimal"/>
      <w:lvlText w:val="%1."/>
      <w:lvlJc w:val="left"/>
      <w:pPr>
        <w:ind w:left="1211" w:hanging="360"/>
      </w:pPr>
      <w:rPr>
        <w:rFonts w:hint="default"/>
        <w:i w:val="0"/>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0BA133D"/>
    <w:multiLevelType w:val="hybridMultilevel"/>
    <w:tmpl w:val="FC6443F2"/>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B3CD8"/>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93E391C"/>
    <w:multiLevelType w:val="hybridMultilevel"/>
    <w:tmpl w:val="4F4A3ABA"/>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98150AF"/>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C216CEE"/>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3ECC6463"/>
    <w:multiLevelType w:val="hybridMultilevel"/>
    <w:tmpl w:val="F7C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EAE"/>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2185877"/>
    <w:multiLevelType w:val="hybridMultilevel"/>
    <w:tmpl w:val="6E1802EA"/>
    <w:lvl w:ilvl="0" w:tplc="3A50A2A0">
      <w:start w:val="1"/>
      <w:numFmt w:val="decimal"/>
      <w:lvlText w:val="%1."/>
      <w:lvlJc w:val="left"/>
      <w:pPr>
        <w:ind w:left="786" w:hanging="360"/>
      </w:pPr>
      <w:rPr>
        <w:rFonts w:hint="default"/>
        <w:i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nsid w:val="42E91B03"/>
    <w:multiLevelType w:val="hybridMultilevel"/>
    <w:tmpl w:val="2846718C"/>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4C9188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E213F"/>
    <w:multiLevelType w:val="hybridMultilevel"/>
    <w:tmpl w:val="D8FCC9E6"/>
    <w:lvl w:ilvl="0" w:tplc="3A50A2A0">
      <w:start w:val="1"/>
      <w:numFmt w:val="decimal"/>
      <w:lvlText w:val="%1."/>
      <w:lvlJc w:val="left"/>
      <w:pPr>
        <w:ind w:left="363" w:hanging="360"/>
      </w:pPr>
      <w:rPr>
        <w:rFonts w:hint="default"/>
        <w:i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nsid w:val="49B90DF4"/>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9F38A2"/>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E8A244F"/>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15B1A9A"/>
    <w:multiLevelType w:val="hybridMultilevel"/>
    <w:tmpl w:val="9168CD6E"/>
    <w:lvl w:ilvl="0" w:tplc="BDE69FA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A36308"/>
    <w:multiLevelType w:val="hybridMultilevel"/>
    <w:tmpl w:val="7A4AE15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F3057"/>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688E610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6C3C08D0"/>
    <w:multiLevelType w:val="hybridMultilevel"/>
    <w:tmpl w:val="58D09A10"/>
    <w:lvl w:ilvl="0" w:tplc="3D30C99E">
      <w:start w:val="4"/>
      <w:numFmt w:val="decimal"/>
      <w:lvlText w:val="%1."/>
      <w:lvlJc w:val="left"/>
      <w:pPr>
        <w:ind w:left="720" w:hanging="360"/>
      </w:pPr>
      <w:rPr>
        <w:rFonts w:hint="default"/>
        <w:i/>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6CA37449"/>
    <w:multiLevelType w:val="hybridMultilevel"/>
    <w:tmpl w:val="4D482232"/>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41AEA"/>
    <w:multiLevelType w:val="hybridMultilevel"/>
    <w:tmpl w:val="FC6443F2"/>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7F873920"/>
    <w:multiLevelType w:val="hybridMultilevel"/>
    <w:tmpl w:val="10C25FE4"/>
    <w:lvl w:ilvl="0" w:tplc="960270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18"/>
  </w:num>
  <w:num w:numId="4">
    <w:abstractNumId w:val="3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1"/>
  </w:num>
  <w:num w:numId="7">
    <w:abstractNumId w:val="7"/>
  </w:num>
  <w:num w:numId="8">
    <w:abstractNumId w:val="9"/>
  </w:num>
  <w:num w:numId="9">
    <w:abstractNumId w:val="41"/>
  </w:num>
  <w:num w:numId="10">
    <w:abstractNumId w:val="2"/>
  </w:num>
  <w:num w:numId="11">
    <w:abstractNumId w:val="1"/>
  </w:num>
  <w:num w:numId="12">
    <w:abstractNumId w:val="29"/>
  </w:num>
  <w:num w:numId="13">
    <w:abstractNumId w:val="12"/>
  </w:num>
  <w:num w:numId="14">
    <w:abstractNumId w:val="8"/>
  </w:num>
  <w:num w:numId="15">
    <w:abstractNumId w:val="23"/>
  </w:num>
  <w:num w:numId="16">
    <w:abstractNumId w:val="36"/>
  </w:num>
  <w:num w:numId="17">
    <w:abstractNumId w:val="3"/>
  </w:num>
  <w:num w:numId="18">
    <w:abstractNumId w:val="40"/>
  </w:num>
  <w:num w:numId="19">
    <w:abstractNumId w:val="6"/>
  </w:num>
  <w:num w:numId="20">
    <w:abstractNumId w:val="16"/>
  </w:num>
  <w:num w:numId="21">
    <w:abstractNumId w:val="44"/>
  </w:num>
  <w:num w:numId="22">
    <w:abstractNumId w:val="35"/>
  </w:num>
  <w:num w:numId="23">
    <w:abstractNumId w:val="13"/>
  </w:num>
  <w:num w:numId="24">
    <w:abstractNumId w:val="33"/>
  </w:num>
  <w:num w:numId="25">
    <w:abstractNumId w:val="34"/>
  </w:num>
  <w:num w:numId="26">
    <w:abstractNumId w:val="21"/>
  </w:num>
  <w:num w:numId="27">
    <w:abstractNumId w:val="24"/>
  </w:num>
  <w:num w:numId="28">
    <w:abstractNumId w:val="15"/>
  </w:num>
  <w:num w:numId="29">
    <w:abstractNumId w:val="38"/>
  </w:num>
  <w:num w:numId="30">
    <w:abstractNumId w:val="10"/>
  </w:num>
  <w:num w:numId="31">
    <w:abstractNumId w:val="22"/>
  </w:num>
  <w:num w:numId="32">
    <w:abstractNumId w:val="19"/>
  </w:num>
  <w:num w:numId="33">
    <w:abstractNumId w:val="27"/>
  </w:num>
  <w:num w:numId="34">
    <w:abstractNumId w:val="37"/>
  </w:num>
  <w:num w:numId="35">
    <w:abstractNumId w:val="5"/>
  </w:num>
  <w:num w:numId="36">
    <w:abstractNumId w:val="4"/>
  </w:num>
  <w:num w:numId="37">
    <w:abstractNumId w:val="14"/>
  </w:num>
  <w:num w:numId="38">
    <w:abstractNumId w:val="25"/>
  </w:num>
  <w:num w:numId="39">
    <w:abstractNumId w:val="30"/>
  </w:num>
  <w:num w:numId="40">
    <w:abstractNumId w:val="31"/>
  </w:num>
  <w:num w:numId="41">
    <w:abstractNumId w:val="20"/>
  </w:num>
  <w:num w:numId="42">
    <w:abstractNumId w:val="39"/>
  </w:num>
  <w:num w:numId="43">
    <w:abstractNumId w:val="26"/>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revisionView w:comments="0" w:insDel="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FD"/>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61140"/>
    <w:rsid w:val="00172816"/>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C3DB4"/>
    <w:rsid w:val="003D36E9"/>
    <w:rsid w:val="003D63C2"/>
    <w:rsid w:val="003F74EF"/>
    <w:rsid w:val="004466AC"/>
    <w:rsid w:val="004556F3"/>
    <w:rsid w:val="004630FC"/>
    <w:rsid w:val="00466AFD"/>
    <w:rsid w:val="004702EF"/>
    <w:rsid w:val="004721A4"/>
    <w:rsid w:val="004758D5"/>
    <w:rsid w:val="0048032E"/>
    <w:rsid w:val="00481F69"/>
    <w:rsid w:val="0048410B"/>
    <w:rsid w:val="00484510"/>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E6E75"/>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7A24"/>
    <w:rsid w:val="00755089"/>
    <w:rsid w:val="007563CA"/>
    <w:rsid w:val="0075758A"/>
    <w:rsid w:val="007579DE"/>
    <w:rsid w:val="00761614"/>
    <w:rsid w:val="00761732"/>
    <w:rsid w:val="00772CCB"/>
    <w:rsid w:val="00774C29"/>
    <w:rsid w:val="00774F03"/>
    <w:rsid w:val="0078781C"/>
    <w:rsid w:val="007A10CB"/>
    <w:rsid w:val="007A5891"/>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16D55"/>
    <w:rsid w:val="00921275"/>
    <w:rsid w:val="0092465D"/>
    <w:rsid w:val="00925D84"/>
    <w:rsid w:val="00943637"/>
    <w:rsid w:val="009659BE"/>
    <w:rsid w:val="009704CA"/>
    <w:rsid w:val="00974507"/>
    <w:rsid w:val="00991055"/>
    <w:rsid w:val="009A4C94"/>
    <w:rsid w:val="009B298A"/>
    <w:rsid w:val="009B7296"/>
    <w:rsid w:val="009C380B"/>
    <w:rsid w:val="009D5101"/>
    <w:rsid w:val="009E75A4"/>
    <w:rsid w:val="00A079D5"/>
    <w:rsid w:val="00A17533"/>
    <w:rsid w:val="00A22EEC"/>
    <w:rsid w:val="00A72E6C"/>
    <w:rsid w:val="00A83B6F"/>
    <w:rsid w:val="00A95F65"/>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D42FF"/>
    <w:rsid w:val="00BE365E"/>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65CB5"/>
    <w:rsid w:val="00D85978"/>
    <w:rsid w:val="00D92C5E"/>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nhideWhenUsed/>
    <w:rsid w:val="00B007B0"/>
    <w:rPr>
      <w:sz w:val="20"/>
      <w:szCs w:val="20"/>
    </w:rPr>
  </w:style>
  <w:style w:type="character" w:customStyle="1" w:styleId="CommentTextChar">
    <w:name w:val="Comment Text Char"/>
    <w:link w:val="CommentText"/>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table" w:customStyle="1" w:styleId="HelleSchattierung1">
    <w:name w:val="Helle Schattierung1"/>
    <w:basedOn w:val="TableNormal"/>
    <w:uiPriority w:val="60"/>
    <w:rsid w:val="00466AFD"/>
    <w:rPr>
      <w:rFonts w:eastAsia="Times New Roman"/>
      <w:color w:val="000000"/>
      <w:lang w:val="de-CH" w:eastAsia="de-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nhideWhenUsed/>
    <w:rsid w:val="00B007B0"/>
    <w:rPr>
      <w:sz w:val="20"/>
      <w:szCs w:val="20"/>
    </w:rPr>
  </w:style>
  <w:style w:type="character" w:customStyle="1" w:styleId="CommentTextChar">
    <w:name w:val="Comment Text Char"/>
    <w:link w:val="CommentText"/>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table" w:customStyle="1" w:styleId="HelleSchattierung1">
    <w:name w:val="Helle Schattierung1"/>
    <w:basedOn w:val="TableNormal"/>
    <w:uiPriority w:val="60"/>
    <w:rsid w:val="00466AFD"/>
    <w:rPr>
      <w:rFonts w:eastAsia="Times New Roman"/>
      <w:color w:val="000000"/>
      <w:lang w:val="de-CH" w:eastAsia="de-CH"/>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60F8-EFD8-472B-BF37-6A99A82D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13</Pages>
  <Words>5042</Words>
  <Characters>28743</Characters>
  <Application>Microsoft Office Word</Application>
  <DocSecurity>0</DocSecurity>
  <Lines>239</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Brückner</cp:lastModifiedBy>
  <cp:revision>3</cp:revision>
  <cp:lastPrinted>2014-09-23T09:16:00Z</cp:lastPrinted>
  <dcterms:created xsi:type="dcterms:W3CDTF">2014-09-23T09:16:00Z</dcterms:created>
  <dcterms:modified xsi:type="dcterms:W3CDTF">2014-09-23T09:18:00Z</dcterms:modified>
</cp:coreProperties>
</file>