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A2D3" w14:textId="12F639F1" w:rsidR="00187BE8" w:rsidRPr="00AA3F16" w:rsidRDefault="007D2850">
      <w:pPr>
        <w:rPr>
          <w:rFonts w:cs="Arial"/>
          <w:lang w:val="es-ES"/>
        </w:rPr>
      </w:pPr>
      <w:r>
        <w:rPr>
          <w:noProof/>
        </w:rPr>
        <w:drawing>
          <wp:anchor distT="0" distB="0" distL="114300" distR="114300" simplePos="0" relativeHeight="251660288" behindDoc="0" locked="0" layoutInCell="1" allowOverlap="1" wp14:anchorId="282E3739" wp14:editId="4243EFDC">
            <wp:simplePos x="0" y="0"/>
            <wp:positionH relativeFrom="column">
              <wp:posOffset>4232275</wp:posOffset>
            </wp:positionH>
            <wp:positionV relativeFrom="paragraph">
              <wp:posOffset>117475</wp:posOffset>
            </wp:positionV>
            <wp:extent cx="576580" cy="808990"/>
            <wp:effectExtent l="0" t="0" r="0" b="3810"/>
            <wp:wrapNone/>
            <wp:docPr id="10"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ms_logo-for_letterhead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80"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2336" behindDoc="0" locked="0" layoutInCell="1" allowOverlap="1" wp14:anchorId="1FC193F6" wp14:editId="72FB5EC3">
            <wp:simplePos x="0" y="0"/>
            <wp:positionH relativeFrom="column">
              <wp:posOffset>2514600</wp:posOffset>
            </wp:positionH>
            <wp:positionV relativeFrom="paragraph">
              <wp:posOffset>12065</wp:posOffset>
            </wp:positionV>
            <wp:extent cx="1097915" cy="937260"/>
            <wp:effectExtent l="0" t="0" r="6985" b="0"/>
            <wp:wrapNone/>
            <wp:docPr id="12"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icture containing text, clipart&#10;&#10;Description automatically generated"/>
                    <pic:cNvPicPr>
                      <a:picLocks noChangeAspect="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7097" t="4031" r="6290" b="3818"/>
                    <a:stretch>
                      <a:fillRect/>
                    </a:stretch>
                  </pic:blipFill>
                  <pic:spPr bwMode="auto">
                    <a:xfrm>
                      <a:off x="0" y="0"/>
                      <a:ext cx="1097915" cy="93726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7EC6F9E4" wp14:editId="3AE6CD40">
            <wp:simplePos x="0" y="0"/>
            <wp:positionH relativeFrom="column">
              <wp:posOffset>800100</wp:posOffset>
            </wp:positionH>
            <wp:positionV relativeFrom="paragraph">
              <wp:posOffset>-149860</wp:posOffset>
            </wp:positionV>
            <wp:extent cx="1352550" cy="1352550"/>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anchor>
        </w:drawing>
      </w:r>
    </w:p>
    <w:p w14:paraId="2F09E0A7" w14:textId="0F7018B1" w:rsidR="007D2850" w:rsidRDefault="007D2850">
      <w:pPr>
        <w:rPr>
          <w:rFonts w:cs="Arial"/>
          <w:spacing w:val="-2"/>
          <w:lang w:val="es-ES" w:eastAsia="en-GB"/>
        </w:rPr>
      </w:pPr>
    </w:p>
    <w:p w14:paraId="4428AD22" w14:textId="36BB8E2E" w:rsidR="007D2850" w:rsidRDefault="007D2850">
      <w:pPr>
        <w:rPr>
          <w:rFonts w:cs="Arial"/>
          <w:spacing w:val="-2"/>
          <w:lang w:val="es-ES" w:eastAsia="en-GB"/>
        </w:rPr>
      </w:pPr>
    </w:p>
    <w:p w14:paraId="4F9187A1" w14:textId="66D3E348" w:rsidR="007D2850" w:rsidRDefault="007D2850">
      <w:pPr>
        <w:rPr>
          <w:rFonts w:cs="Arial"/>
          <w:spacing w:val="-2"/>
          <w:lang w:val="es-ES" w:eastAsia="en-GB"/>
        </w:rPr>
      </w:pPr>
    </w:p>
    <w:p w14:paraId="2B35E2C7" w14:textId="64318356" w:rsidR="007D2850" w:rsidRDefault="007D2850">
      <w:pPr>
        <w:rPr>
          <w:rFonts w:cs="Arial"/>
          <w:spacing w:val="-2"/>
          <w:lang w:val="es-ES" w:eastAsia="en-GB"/>
        </w:rPr>
      </w:pPr>
    </w:p>
    <w:p w14:paraId="38C5B0AE" w14:textId="25A7D5B4" w:rsidR="007D2850" w:rsidRDefault="007D2850">
      <w:pPr>
        <w:rPr>
          <w:rFonts w:cs="Arial"/>
          <w:spacing w:val="-2"/>
          <w:lang w:val="es-ES" w:eastAsia="en-GB"/>
        </w:rPr>
      </w:pPr>
    </w:p>
    <w:p w14:paraId="32BE1609" w14:textId="2F5CF5FD" w:rsidR="007D2850" w:rsidRDefault="007D2850">
      <w:pPr>
        <w:rPr>
          <w:rFonts w:cs="Arial"/>
          <w:spacing w:val="-2"/>
          <w:lang w:val="es-ES" w:eastAsia="en-GB"/>
        </w:rPr>
      </w:pPr>
    </w:p>
    <w:p w14:paraId="524DA629" w14:textId="77777777" w:rsidR="007D2850" w:rsidRPr="00AA3F16" w:rsidRDefault="007D2850">
      <w:pPr>
        <w:rPr>
          <w:rFonts w:cs="Arial"/>
          <w:spacing w:val="-2"/>
          <w:lang w:val="es-ES" w:eastAsia="en-GB"/>
        </w:rPr>
      </w:pPr>
    </w:p>
    <w:p w14:paraId="47A957DD" w14:textId="092278A3"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sz w:val="20"/>
          <w:szCs w:val="20"/>
          <w:lang w:val="es-ES"/>
        </w:rPr>
      </w:pPr>
      <w:bookmarkStart w:id="0" w:name="_Hlk123033495"/>
      <w:r w:rsidRPr="00AA3F16">
        <w:rPr>
          <w:rFonts w:eastAsia="Arial" w:cs="Arial"/>
          <w:b/>
          <w:color w:val="000000"/>
          <w:sz w:val="20"/>
          <w:szCs w:val="20"/>
          <w:lang w:val="es-ES"/>
        </w:rPr>
        <w:t>CONVENCIÓN SOBRE LA CONSERVACIÓN DE ESPECIES MIGRATORIAS DE LOS ANIMALES SILVESTRES</w:t>
      </w:r>
    </w:p>
    <w:bookmarkEnd w:id="0"/>
    <w:p w14:paraId="469C90F4" w14:textId="7754C787"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sz w:val="20"/>
          <w:szCs w:val="20"/>
          <w:lang w:val="es-ES"/>
        </w:rPr>
      </w:pPr>
      <w:r w:rsidRPr="00AA3F16">
        <w:rPr>
          <w:rFonts w:eastAsia="Arial" w:cs="Arial"/>
          <w:b/>
          <w:color w:val="000000"/>
          <w:sz w:val="20"/>
          <w:szCs w:val="20"/>
          <w:lang w:val="es-ES"/>
        </w:rPr>
        <w:t>Y</w:t>
      </w:r>
    </w:p>
    <w:p w14:paraId="7E83188E" w14:textId="4648B22B"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sz w:val="20"/>
          <w:szCs w:val="20"/>
          <w:lang w:val="es-ES"/>
        </w:rPr>
      </w:pPr>
      <w:r w:rsidRPr="00AA3F16">
        <w:rPr>
          <w:rFonts w:eastAsia="Arial" w:cs="Arial"/>
          <w:b/>
          <w:color w:val="000000"/>
          <w:sz w:val="20"/>
          <w:szCs w:val="20"/>
          <w:lang w:val="es-ES"/>
        </w:rPr>
        <w:t>MEMORANDO DE ENTENDIMIENTO SOBRE LA CONSERVACIÓN DE LOS TIBURONES MIGRATORIOS</w:t>
      </w:r>
    </w:p>
    <w:p w14:paraId="0CB30615" w14:textId="77777777" w:rsidR="00BE571E" w:rsidRPr="00AA3F16" w:rsidRDefault="00BE571E" w:rsidP="007D2850">
      <w:pPr>
        <w:jc w:val="center"/>
        <w:rPr>
          <w:rFonts w:cs="Arial"/>
          <w:spacing w:val="-2"/>
          <w:lang w:val="es-ES" w:eastAsia="en-GB"/>
        </w:rPr>
      </w:pPr>
    </w:p>
    <w:p w14:paraId="70BF204B" w14:textId="0A7775C4"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sz w:val="24"/>
          <w:szCs w:val="24"/>
          <w:lang w:val="es-ES"/>
        </w:rPr>
      </w:pPr>
      <w:r w:rsidRPr="00AA3F16">
        <w:rPr>
          <w:rFonts w:eastAsia="Arial" w:cs="Arial"/>
          <w:b/>
          <w:color w:val="000000"/>
          <w:sz w:val="24"/>
          <w:szCs w:val="24"/>
          <w:lang w:val="es-ES"/>
        </w:rPr>
        <w:t>PLAN DE ACCIÓN DE ESPECIE ÚNICA PARA</w:t>
      </w:r>
    </w:p>
    <w:p w14:paraId="5902FD9E" w14:textId="062A601B"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sz w:val="24"/>
          <w:szCs w:val="24"/>
          <w:lang w:val="es-ES"/>
        </w:rPr>
      </w:pPr>
      <w:r w:rsidRPr="00AA3F16">
        <w:rPr>
          <w:rFonts w:eastAsia="Arial" w:cs="Arial"/>
          <w:b/>
          <w:color w:val="000000"/>
          <w:sz w:val="24"/>
          <w:szCs w:val="24"/>
          <w:lang w:val="es-ES"/>
        </w:rPr>
        <w:t>EL ANGELOTE (</w:t>
      </w:r>
      <w:proofErr w:type="spellStart"/>
      <w:r w:rsidRPr="00AA3F16">
        <w:rPr>
          <w:rFonts w:eastAsia="Arial" w:cs="Arial"/>
          <w:b/>
          <w:i/>
          <w:color w:val="000000"/>
          <w:sz w:val="24"/>
          <w:szCs w:val="24"/>
          <w:lang w:val="es-ES"/>
        </w:rPr>
        <w:t>Squatina</w:t>
      </w:r>
      <w:proofErr w:type="spellEnd"/>
      <w:r w:rsidRPr="00AA3F16">
        <w:rPr>
          <w:rFonts w:eastAsia="Arial" w:cs="Arial"/>
          <w:b/>
          <w:i/>
          <w:color w:val="000000"/>
          <w:sz w:val="24"/>
          <w:szCs w:val="24"/>
          <w:lang w:val="es-ES"/>
        </w:rPr>
        <w:t xml:space="preserve"> </w:t>
      </w:r>
      <w:proofErr w:type="spellStart"/>
      <w:r w:rsidRPr="00AA3F16">
        <w:rPr>
          <w:rFonts w:eastAsia="Arial" w:cs="Arial"/>
          <w:b/>
          <w:i/>
          <w:color w:val="000000"/>
          <w:sz w:val="24"/>
          <w:szCs w:val="24"/>
          <w:lang w:val="es-ES"/>
        </w:rPr>
        <w:t>squatina</w:t>
      </w:r>
      <w:proofErr w:type="spellEnd"/>
      <w:r w:rsidRPr="00AA3F16">
        <w:rPr>
          <w:rFonts w:eastAsia="Arial" w:cs="Arial"/>
          <w:b/>
          <w:color w:val="000000"/>
          <w:sz w:val="24"/>
          <w:szCs w:val="24"/>
          <w:lang w:val="es-ES"/>
        </w:rPr>
        <w:t>) EN EL MAR MEDITERRÁNEO</w:t>
      </w:r>
    </w:p>
    <w:p w14:paraId="01D188AF" w14:textId="23EFA8DB"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lang w:val="es-ES"/>
        </w:rPr>
      </w:pPr>
    </w:p>
    <w:p w14:paraId="3C2D914E" w14:textId="77777777" w:rsidR="00BE571E" w:rsidRPr="00AA3F16" w:rsidRDefault="00BE571E" w:rsidP="007D2850">
      <w:pPr>
        <w:widowControl w:val="0"/>
        <w:pBdr>
          <w:top w:val="nil"/>
          <w:left w:val="nil"/>
          <w:bottom w:val="nil"/>
          <w:right w:val="nil"/>
          <w:between w:val="nil"/>
        </w:pBdr>
        <w:spacing w:line="276" w:lineRule="auto"/>
        <w:jc w:val="center"/>
        <w:rPr>
          <w:rFonts w:eastAsia="Arial" w:cs="Arial"/>
          <w:b/>
          <w:color w:val="000000"/>
          <w:lang w:val="es-ES"/>
        </w:rPr>
      </w:pPr>
    </w:p>
    <w:p w14:paraId="5E7563CF" w14:textId="4134BC8C" w:rsidR="00BE571E" w:rsidRPr="007D2850" w:rsidRDefault="00BE571E" w:rsidP="007D2850">
      <w:pPr>
        <w:widowControl w:val="0"/>
        <w:pBdr>
          <w:top w:val="nil"/>
          <w:left w:val="nil"/>
          <w:bottom w:val="nil"/>
          <w:right w:val="nil"/>
          <w:between w:val="nil"/>
        </w:pBdr>
        <w:spacing w:after="120"/>
        <w:jc w:val="center"/>
        <w:rPr>
          <w:rFonts w:eastAsia="Arial" w:cs="Arial"/>
          <w:b/>
          <w:i/>
          <w:color w:val="FF0000"/>
          <w:lang w:val="es-ES"/>
        </w:rPr>
      </w:pPr>
      <w:r w:rsidRPr="007D2850">
        <w:rPr>
          <w:rFonts w:eastAsia="Arial" w:cs="Arial"/>
          <w:b/>
          <w:i/>
          <w:color w:val="FF0000"/>
          <w:lang w:val="es-ES"/>
        </w:rPr>
        <w:t>BORRADOR FINAL ACORDADO POR LOS ESTADOS DEL ÁREA DE DISTRIBUCIÓN DURANTE SU REUNIÓN SOBRE EL PLAN DE ACCIÓN DE ESPECIE ÚNICA PARA EL ANGELOTE EN EL MAR MEDITERRÁNEO</w:t>
      </w:r>
    </w:p>
    <w:p w14:paraId="5882EBEB" w14:textId="77777777" w:rsidR="00BE571E" w:rsidRPr="007D2850" w:rsidRDefault="00BE571E" w:rsidP="007D2850">
      <w:pPr>
        <w:widowControl w:val="0"/>
        <w:pBdr>
          <w:top w:val="nil"/>
          <w:left w:val="nil"/>
          <w:bottom w:val="nil"/>
          <w:right w:val="nil"/>
          <w:between w:val="nil"/>
        </w:pBdr>
        <w:jc w:val="center"/>
        <w:rPr>
          <w:rFonts w:eastAsia="Arial" w:cs="Arial"/>
          <w:b/>
          <w:i/>
          <w:color w:val="FF0000"/>
          <w:lang w:val="es-ES"/>
        </w:rPr>
      </w:pPr>
      <w:r w:rsidRPr="007D2850">
        <w:rPr>
          <w:rFonts w:eastAsia="Arial" w:cs="Arial"/>
          <w:b/>
          <w:i/>
          <w:color w:val="FF0000"/>
          <w:lang w:val="es-ES"/>
        </w:rPr>
        <w:t>(5 y 6 de julio de 2022)</w:t>
      </w:r>
    </w:p>
    <w:p w14:paraId="2B1F4DB6" w14:textId="6AF50074" w:rsidR="00BE571E" w:rsidRPr="00AA3F16" w:rsidRDefault="00BE571E">
      <w:pPr>
        <w:rPr>
          <w:rFonts w:cs="Arial"/>
          <w:spacing w:val="-2"/>
          <w:lang w:val="es-ES" w:eastAsia="en-GB"/>
        </w:rPr>
      </w:pPr>
    </w:p>
    <w:p w14:paraId="541F61F8" w14:textId="1DB7E0A1" w:rsidR="00BE571E" w:rsidRPr="00AA3F16" w:rsidRDefault="00BE571E">
      <w:pPr>
        <w:rPr>
          <w:rFonts w:cs="Arial"/>
          <w:spacing w:val="-2"/>
          <w:lang w:val="es-ES" w:eastAsia="en-GB"/>
        </w:rPr>
      </w:pPr>
      <w:r w:rsidRPr="00AA3F16">
        <w:rPr>
          <w:noProof/>
          <w:lang w:val="es-ES"/>
        </w:rPr>
        <w:drawing>
          <wp:inline distT="0" distB="0" distL="0" distR="0" wp14:anchorId="323131A4" wp14:editId="244A406A">
            <wp:extent cx="5854344" cy="4029740"/>
            <wp:effectExtent l="0" t="0" r="0" b="8890"/>
            <wp:docPr id="1" name="Picture 1" descr="A sea animal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a animal swimming in the wat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930" cy="4033585"/>
                    </a:xfrm>
                    <a:prstGeom prst="rect">
                      <a:avLst/>
                    </a:prstGeom>
                    <a:noFill/>
                    <a:ln>
                      <a:noFill/>
                    </a:ln>
                  </pic:spPr>
                </pic:pic>
              </a:graphicData>
            </a:graphic>
          </wp:inline>
        </w:drawing>
      </w:r>
    </w:p>
    <w:p w14:paraId="4EC7CEF3" w14:textId="77777777" w:rsidR="00E74866" w:rsidRPr="00AA3F16" w:rsidRDefault="00E74866" w:rsidP="00E74866">
      <w:pPr>
        <w:widowControl w:val="0"/>
        <w:pBdr>
          <w:top w:val="nil"/>
          <w:left w:val="nil"/>
          <w:bottom w:val="nil"/>
          <w:right w:val="nil"/>
          <w:between w:val="nil"/>
        </w:pBdr>
        <w:ind w:right="283"/>
        <w:rPr>
          <w:rFonts w:eastAsia="Arial" w:cs="Arial"/>
          <w:color w:val="000000"/>
          <w:sz w:val="16"/>
          <w:szCs w:val="16"/>
          <w:lang w:val="es-ES"/>
        </w:rPr>
      </w:pPr>
      <w:r w:rsidRPr="00AA3F16">
        <w:rPr>
          <w:rFonts w:eastAsia="Arial" w:cs="Arial"/>
          <w:color w:val="000000"/>
          <w:sz w:val="16"/>
          <w:szCs w:val="16"/>
          <w:lang w:val="es-ES"/>
        </w:rPr>
        <w:t>Crédito de la fotografía: Michael Sealey</w:t>
      </w:r>
    </w:p>
    <w:p w14:paraId="7E616A41" w14:textId="10C1A6F8" w:rsidR="00BE571E" w:rsidRPr="00AA3F16" w:rsidRDefault="00BE571E" w:rsidP="00BE571E">
      <w:pPr>
        <w:rPr>
          <w:rFonts w:cs="Arial"/>
          <w:spacing w:val="-2"/>
          <w:lang w:val="es-ES" w:eastAsia="en-GB"/>
        </w:rPr>
      </w:pPr>
    </w:p>
    <w:p w14:paraId="702F2B6B" w14:textId="77777777" w:rsidR="00BE571E" w:rsidRPr="00AA3F16" w:rsidRDefault="00BE571E" w:rsidP="00681F52">
      <w:pPr>
        <w:rPr>
          <w:rFonts w:cs="Arial"/>
          <w:spacing w:val="-2"/>
          <w:lang w:val="es-ES" w:eastAsia="en-GB"/>
        </w:rPr>
      </w:pPr>
    </w:p>
    <w:p w14:paraId="2DC40792" w14:textId="77777777" w:rsidR="00BE571E" w:rsidRPr="00AA3F16" w:rsidRDefault="00BE571E" w:rsidP="00681F52">
      <w:pPr>
        <w:pStyle w:val="Heading1"/>
        <w:spacing w:before="0"/>
        <w:rPr>
          <w:rFonts w:ascii="Arial" w:eastAsia="Arial" w:hAnsi="Arial" w:cs="Arial"/>
          <w:b/>
          <w:bCs/>
          <w:color w:val="auto"/>
          <w:sz w:val="22"/>
          <w:szCs w:val="22"/>
          <w:lang w:val="es-ES"/>
        </w:rPr>
      </w:pPr>
      <w:bookmarkStart w:id="1" w:name="_Toc118277526"/>
      <w:r w:rsidRPr="00AA3F16">
        <w:rPr>
          <w:rFonts w:ascii="Arial" w:hAnsi="Arial" w:cs="Arial"/>
          <w:b/>
          <w:bCs/>
          <w:color w:val="auto"/>
          <w:sz w:val="22"/>
          <w:szCs w:val="22"/>
          <w:lang w:val="es-ES"/>
        </w:rPr>
        <w:lastRenderedPageBreak/>
        <w:t>INTRODUCCIÓN</w:t>
      </w:r>
      <w:bookmarkEnd w:id="1"/>
    </w:p>
    <w:p w14:paraId="546343B4" w14:textId="77777777" w:rsidR="00BE571E" w:rsidRPr="00AA3F16" w:rsidRDefault="00BE571E" w:rsidP="00BE571E">
      <w:pPr>
        <w:jc w:val="both"/>
        <w:rPr>
          <w:rFonts w:cs="Arial"/>
          <w:b/>
          <w:bCs/>
          <w:lang w:val="es-ES"/>
        </w:rPr>
      </w:pPr>
    </w:p>
    <w:p w14:paraId="7F293E28" w14:textId="77777777" w:rsidR="00BE571E" w:rsidRPr="00AA3F16" w:rsidRDefault="00BE571E" w:rsidP="00BE571E">
      <w:pPr>
        <w:jc w:val="both"/>
        <w:rPr>
          <w:rFonts w:cs="Arial"/>
          <w:lang w:val="es-ES"/>
        </w:rPr>
      </w:pPr>
      <w:r w:rsidRPr="00AA3F16">
        <w:rPr>
          <w:rFonts w:cs="Arial"/>
          <w:lang w:val="es-ES"/>
        </w:rPr>
        <w:t>Junto con la inclusión del Angelote (</w:t>
      </w:r>
      <w:proofErr w:type="spellStart"/>
      <w:r w:rsidRPr="00AA3F16">
        <w:rPr>
          <w:rFonts w:cs="Arial"/>
          <w:i/>
          <w:iCs/>
          <w:lang w:val="es-ES"/>
        </w:rPr>
        <w:t>Squatina</w:t>
      </w:r>
      <w:proofErr w:type="spellEnd"/>
      <w:r w:rsidRPr="00AA3F16">
        <w:rPr>
          <w:rFonts w:cs="Arial"/>
          <w:i/>
          <w:iCs/>
          <w:lang w:val="es-ES"/>
        </w:rPr>
        <w:t xml:space="preserve"> </w:t>
      </w:r>
      <w:proofErr w:type="spellStart"/>
      <w:r w:rsidRPr="00AA3F16">
        <w:rPr>
          <w:rFonts w:cs="Arial"/>
          <w:i/>
          <w:iCs/>
          <w:lang w:val="es-ES"/>
        </w:rPr>
        <w:t>squatina</w:t>
      </w:r>
      <w:proofErr w:type="spellEnd"/>
      <w:r w:rsidRPr="00AA3F16">
        <w:rPr>
          <w:rFonts w:cs="Arial"/>
          <w:lang w:val="es-ES"/>
        </w:rPr>
        <w:t>) en la 12</w:t>
      </w:r>
      <w:r w:rsidRPr="00AA3F16">
        <w:rPr>
          <w:rFonts w:cs="Arial"/>
          <w:vertAlign w:val="superscript"/>
          <w:lang w:val="es-ES"/>
        </w:rPr>
        <w:t>a</w:t>
      </w:r>
      <w:r w:rsidRPr="00AA3F16">
        <w:rPr>
          <w:rFonts w:cs="Arial"/>
          <w:lang w:val="es-ES"/>
        </w:rPr>
        <w:t xml:space="preserve"> Conferencia de las Partes en la Convención (CMS COP12) en los Anexos I y II, las Partes aprobaron una Acción concertada para la especie, la cual se ha actualizado y ampliado hasta 2023 en la COP13 de la CMS </w:t>
      </w:r>
      <w:hyperlink r:id="rId16" w:history="1">
        <w:r w:rsidRPr="00AA3F16">
          <w:rPr>
            <w:rFonts w:cs="Arial"/>
            <w:u w:val="single"/>
            <w:lang w:val="es-ES"/>
          </w:rPr>
          <w:t>(Acción concertada 12.5 [Rev. COP13])</w:t>
        </w:r>
      </w:hyperlink>
      <w:r w:rsidRPr="00AA3F16">
        <w:rPr>
          <w:rFonts w:cs="Arial"/>
          <w:vertAlign w:val="superscript"/>
          <w:lang w:val="es-ES"/>
        </w:rPr>
        <w:footnoteReference w:id="1"/>
      </w:r>
      <w:r w:rsidRPr="00AA3F16">
        <w:rPr>
          <w:rFonts w:cs="Arial"/>
          <w:lang w:val="es-ES"/>
        </w:rPr>
        <w:t xml:space="preserve">. A la par que otras actividades, se acordó desarrollar Planes de Conservación regionales donde también se incluyera la región del Mediterráneo.  </w:t>
      </w:r>
    </w:p>
    <w:p w14:paraId="6C4288B4" w14:textId="77777777" w:rsidR="00BE571E" w:rsidRPr="00AA3F16" w:rsidRDefault="00BE571E" w:rsidP="00BE571E">
      <w:pPr>
        <w:jc w:val="both"/>
        <w:rPr>
          <w:rFonts w:cs="Arial"/>
          <w:lang w:val="es-ES"/>
        </w:rPr>
      </w:pPr>
    </w:p>
    <w:p w14:paraId="4F834B1D" w14:textId="345A43DF" w:rsidR="00BE571E" w:rsidRPr="00AA3F16" w:rsidRDefault="00BE571E" w:rsidP="00BE571E">
      <w:pPr>
        <w:jc w:val="both"/>
        <w:rPr>
          <w:rFonts w:cs="Arial"/>
          <w:lang w:val="es-ES"/>
        </w:rPr>
      </w:pPr>
      <w:r w:rsidRPr="00AA3F16">
        <w:rPr>
          <w:rFonts w:cs="Arial"/>
          <w:lang w:val="es-ES"/>
        </w:rPr>
        <w:t xml:space="preserve">En marzo de 2019, la Fundación del Tiburón y el Instituto Nacional de Ciencias y Tecnologías de la Mar (INSTM) acogieron un taller en Túnez donde se reunieron miembros de la Red de Conservación de la especie Angelote (ASCN, por sus siglas en inglés), junto con expertos locales y mundiales, con objeto de crear el </w:t>
      </w:r>
      <w:hyperlink r:id="rId17" w:history="1">
        <w:r w:rsidRPr="00AA3F16">
          <w:rPr>
            <w:rFonts w:cs="Arial"/>
            <w:u w:val="single"/>
            <w:lang w:val="es-ES"/>
          </w:rPr>
          <w:t>Plan de Acción regional para las especies de Angelote mediterráneo</w:t>
        </w:r>
      </w:hyperlink>
      <w:r w:rsidRPr="00AA3F16">
        <w:rPr>
          <w:rFonts w:cs="Arial"/>
          <w:lang w:val="es-ES"/>
        </w:rPr>
        <w:t xml:space="preserve"> (MedRAP)</w:t>
      </w:r>
      <w:r w:rsidRPr="00AA3F16">
        <w:rPr>
          <w:rFonts w:cs="Arial"/>
          <w:vertAlign w:val="superscript"/>
          <w:lang w:val="es-ES"/>
        </w:rPr>
        <w:footnoteReference w:id="2"/>
      </w:r>
      <w:r w:rsidRPr="00AA3F16">
        <w:rPr>
          <w:rFonts w:cs="Arial"/>
          <w:lang w:val="es-ES"/>
        </w:rPr>
        <w:t>. El Plan de Acción recabó información sobre tres especies de Angelote del mar Mediterráneo y desarrolló una estrategia para la conservación de la especie Angelote dentro de la región. El MedRAP fue diseñado por diversas partes interesadas que incluyeron gobiernos, investigadores, ONG, además de sectores de la pesca recreativa y comercial.</w:t>
      </w:r>
    </w:p>
    <w:p w14:paraId="7AE57CC3" w14:textId="77777777" w:rsidR="00BE571E" w:rsidRPr="00AA3F16" w:rsidRDefault="00BE571E" w:rsidP="00BE571E">
      <w:pPr>
        <w:jc w:val="both"/>
        <w:rPr>
          <w:rFonts w:cs="Arial"/>
          <w:lang w:val="es-ES"/>
        </w:rPr>
      </w:pPr>
    </w:p>
    <w:p w14:paraId="50F02DE3" w14:textId="779643AC" w:rsidR="00BE571E" w:rsidRPr="00AA3F16" w:rsidRDefault="00BE571E" w:rsidP="00BE571E">
      <w:pPr>
        <w:jc w:val="both"/>
        <w:rPr>
          <w:rFonts w:eastAsia="Arial" w:cs="Arial"/>
          <w:color w:val="000000"/>
          <w:lang w:val="es-ES"/>
        </w:rPr>
      </w:pPr>
      <w:r w:rsidRPr="00AA3F16">
        <w:rPr>
          <w:rFonts w:cs="Arial"/>
          <w:lang w:val="es-ES"/>
        </w:rPr>
        <w:t>Para implementar las partes de la Acción concertada de la CMS y basarse en el trabajo desarrollado por el MedRAP, la CMS ha desarrollado este Plan de Acción de especie única (SSAP) para el Angelote (</w:t>
      </w:r>
      <w:proofErr w:type="spellStart"/>
      <w:r w:rsidRPr="00AA3F16">
        <w:rPr>
          <w:rFonts w:cs="Arial"/>
          <w:i/>
          <w:iCs/>
          <w:lang w:val="es-ES"/>
        </w:rPr>
        <w:t>Squatina</w:t>
      </w:r>
      <w:proofErr w:type="spellEnd"/>
      <w:r w:rsidRPr="00AA3F16">
        <w:rPr>
          <w:rFonts w:cs="Arial"/>
          <w:i/>
          <w:iCs/>
          <w:lang w:val="es-ES"/>
        </w:rPr>
        <w:t xml:space="preserve"> </w:t>
      </w:r>
      <w:proofErr w:type="spellStart"/>
      <w:r w:rsidRPr="00AA3F16">
        <w:rPr>
          <w:rFonts w:cs="Arial"/>
          <w:i/>
          <w:iCs/>
          <w:lang w:val="es-ES"/>
        </w:rPr>
        <w:t>squatina</w:t>
      </w:r>
      <w:proofErr w:type="spellEnd"/>
      <w:r w:rsidRPr="00AA3F16">
        <w:rPr>
          <w:rFonts w:cs="Arial"/>
          <w:lang w:val="es-ES"/>
        </w:rPr>
        <w:t xml:space="preserve">) en la región del Mediterráneo a fin de colaborar con el MedRAP. El SSAP proporciona un plan claramente definido para las Partes de la CMS, los Signatarios del </w:t>
      </w:r>
      <w:proofErr w:type="spellStart"/>
      <w:r w:rsidRPr="00AA3F16">
        <w:rPr>
          <w:rFonts w:eastAsia="Arial" w:cs="Arial"/>
          <w:color w:val="000000"/>
          <w:lang w:val="es-ES"/>
        </w:rPr>
        <w:t>MdE</w:t>
      </w:r>
      <w:proofErr w:type="spellEnd"/>
      <w:r w:rsidRPr="00AA3F16">
        <w:rPr>
          <w:rFonts w:eastAsia="Arial" w:cs="Arial"/>
          <w:color w:val="000000"/>
          <w:lang w:val="es-ES"/>
        </w:rPr>
        <w:t xml:space="preserve"> sobre los Tiburones, y otros Estados del área de distribución, para adoptar e implementar oficialmente con orientaciones específicas el modo en que esto podría lograrse.</w:t>
      </w:r>
    </w:p>
    <w:p w14:paraId="291D50C8" w14:textId="77777777" w:rsidR="00BE571E" w:rsidRPr="00AA3F16" w:rsidRDefault="00BE571E" w:rsidP="00BE571E">
      <w:pPr>
        <w:jc w:val="both"/>
        <w:rPr>
          <w:rFonts w:eastAsia="Arial" w:cs="Arial"/>
          <w:color w:val="000000"/>
          <w:lang w:val="es-ES"/>
        </w:rPr>
      </w:pPr>
    </w:p>
    <w:p w14:paraId="64B0D109" w14:textId="77777777" w:rsidR="00BE571E" w:rsidRPr="00AA3F16" w:rsidRDefault="00BE571E" w:rsidP="00681F52">
      <w:pPr>
        <w:jc w:val="both"/>
        <w:rPr>
          <w:rFonts w:eastAsia="Arial" w:cs="Arial"/>
          <w:color w:val="000000"/>
          <w:lang w:val="es-ES"/>
        </w:rPr>
      </w:pPr>
    </w:p>
    <w:p w14:paraId="6E5031F0" w14:textId="77777777" w:rsidR="00BE571E" w:rsidRPr="00AA3F16" w:rsidRDefault="00BE571E" w:rsidP="00681F52">
      <w:pPr>
        <w:pStyle w:val="Heading1"/>
        <w:spacing w:before="0"/>
        <w:rPr>
          <w:rFonts w:ascii="Arial" w:eastAsia="Arial" w:hAnsi="Arial" w:cs="Arial"/>
          <w:b/>
          <w:bCs/>
          <w:color w:val="auto"/>
          <w:sz w:val="22"/>
          <w:szCs w:val="22"/>
          <w:lang w:val="es-ES"/>
        </w:rPr>
      </w:pPr>
      <w:bookmarkStart w:id="2" w:name="_Toc118277527"/>
      <w:r w:rsidRPr="00AA3F16">
        <w:rPr>
          <w:rFonts w:ascii="Arial" w:eastAsia="Arial" w:hAnsi="Arial" w:cs="Arial"/>
          <w:b/>
          <w:bCs/>
          <w:color w:val="auto"/>
          <w:sz w:val="22"/>
          <w:szCs w:val="22"/>
          <w:lang w:val="es-ES"/>
        </w:rPr>
        <w:t>AGRADECIMIENTOS</w:t>
      </w:r>
      <w:bookmarkEnd w:id="2"/>
    </w:p>
    <w:p w14:paraId="1598C511" w14:textId="77777777" w:rsidR="00BE571E" w:rsidRPr="00AA3F16" w:rsidRDefault="00BE571E" w:rsidP="00BE571E">
      <w:pPr>
        <w:jc w:val="both"/>
        <w:rPr>
          <w:rFonts w:eastAsia="Arial" w:cs="Arial"/>
          <w:b/>
          <w:bCs/>
          <w:color w:val="000000"/>
          <w:lang w:val="es-ES"/>
        </w:rPr>
      </w:pPr>
    </w:p>
    <w:p w14:paraId="20CCE0D7" w14:textId="77777777" w:rsidR="00BE571E" w:rsidRPr="00AA3F16" w:rsidRDefault="00BE571E" w:rsidP="00BE571E">
      <w:pPr>
        <w:jc w:val="both"/>
        <w:rPr>
          <w:rFonts w:cs="Arial"/>
          <w:lang w:val="es-ES"/>
        </w:rPr>
      </w:pPr>
      <w:r w:rsidRPr="00AA3F16">
        <w:rPr>
          <w:rFonts w:cs="Arial"/>
          <w:lang w:val="es-ES"/>
        </w:rPr>
        <w:t xml:space="preserve">El desarrollo del SSAP fue dirigido por James Ellis, vicepresidente del Comité Asesor del </w:t>
      </w:r>
      <w:proofErr w:type="spellStart"/>
      <w:r w:rsidRPr="00AA3F16">
        <w:rPr>
          <w:rFonts w:cs="Arial"/>
          <w:lang w:val="es-ES"/>
        </w:rPr>
        <w:t>MdE</w:t>
      </w:r>
      <w:proofErr w:type="spellEnd"/>
      <w:r w:rsidRPr="00AA3F16">
        <w:rPr>
          <w:rFonts w:cs="Arial"/>
          <w:lang w:val="es-ES"/>
        </w:rPr>
        <w:t xml:space="preserve"> de Tiburones, además de Mario Vacchi, miembro del Comité para Europa. Otros miembros y expertos del Comité han proporcionado importante asesoramiento desde la Red de Conservación de la especie Angelote (ASCN), incluidos el Proyecto de la especie Angelote (una colaboración dirigida por la Universidad de Las Palmas de Gran Canaria, el Museo de Investigación Zoológica Alexander </w:t>
      </w:r>
      <w:proofErr w:type="spellStart"/>
      <w:r w:rsidRPr="00AA3F16">
        <w:rPr>
          <w:rFonts w:cs="Arial"/>
          <w:lang w:val="es-ES"/>
        </w:rPr>
        <w:t>Koenig</w:t>
      </w:r>
      <w:proofErr w:type="spellEnd"/>
      <w:r w:rsidRPr="00AA3F16">
        <w:rPr>
          <w:rFonts w:cs="Arial"/>
          <w:lang w:val="es-ES"/>
        </w:rPr>
        <w:t xml:space="preserve"> y la Sociedad Zoológica de Londres), la Fundación del Tiburón, respaldada por la Secretaría y los becarios de la CMS Jennifer </w:t>
      </w:r>
      <w:proofErr w:type="spellStart"/>
      <w:r w:rsidRPr="00AA3F16">
        <w:rPr>
          <w:rFonts w:cs="Arial"/>
          <w:lang w:val="es-ES"/>
        </w:rPr>
        <w:t>Pytka</w:t>
      </w:r>
      <w:proofErr w:type="spellEnd"/>
      <w:r w:rsidRPr="00AA3F16">
        <w:rPr>
          <w:rFonts w:cs="Arial"/>
          <w:lang w:val="es-ES"/>
        </w:rPr>
        <w:t>, Manon Seyssaut y Fenella Wood.</w:t>
      </w:r>
    </w:p>
    <w:p w14:paraId="6EDA4C67" w14:textId="77777777" w:rsidR="00BE571E" w:rsidRPr="00AA3F16" w:rsidRDefault="00BE571E" w:rsidP="00BE571E">
      <w:pPr>
        <w:jc w:val="both"/>
        <w:rPr>
          <w:lang w:val="es-ES"/>
        </w:rPr>
      </w:pPr>
    </w:p>
    <w:p w14:paraId="47B20361" w14:textId="77777777" w:rsidR="00BE571E" w:rsidRPr="00AA3F16" w:rsidRDefault="00BE571E" w:rsidP="00BE571E">
      <w:pPr>
        <w:jc w:val="both"/>
        <w:rPr>
          <w:rFonts w:cs="Arial"/>
          <w:lang w:val="es-ES"/>
        </w:rPr>
      </w:pPr>
      <w:r w:rsidRPr="00AA3F16">
        <w:rPr>
          <w:rFonts w:cs="Arial"/>
          <w:lang w:val="es-ES"/>
        </w:rPr>
        <w:t>Además de su estado como SSAP de la CMS independiente, este plan se anexará al Plan de Acción regional (MedRAP): especie Angelote mediterráneo —compilado por la Fundación del Tiburón, el cual también se usó para el desarrollo de este plan.</w:t>
      </w:r>
    </w:p>
    <w:p w14:paraId="133872BD" w14:textId="77777777" w:rsidR="00BE571E" w:rsidRPr="00AA3F16" w:rsidRDefault="00BE571E" w:rsidP="00BE571E">
      <w:pPr>
        <w:jc w:val="both"/>
        <w:rPr>
          <w:rFonts w:cs="Arial"/>
          <w:lang w:val="es-ES"/>
        </w:rPr>
      </w:pPr>
    </w:p>
    <w:p w14:paraId="77966F9C" w14:textId="77777777" w:rsidR="00BE571E" w:rsidRPr="00AA3F16" w:rsidRDefault="00BE571E" w:rsidP="00BE571E">
      <w:pPr>
        <w:jc w:val="both"/>
        <w:rPr>
          <w:rFonts w:cs="Arial"/>
          <w:lang w:val="es-ES"/>
        </w:rPr>
      </w:pPr>
      <w:r w:rsidRPr="00AA3F16">
        <w:rPr>
          <w:rFonts w:cs="Arial"/>
          <w:lang w:val="es-ES"/>
        </w:rPr>
        <w:t xml:space="preserve">El Principado de Mónaco lideró esta acción mediante el envío de una propuesta para enumerar los Angelotes en los Anexos I y II de la CMS y con la propuesta de una </w:t>
      </w:r>
      <w:hyperlink r:id="rId18">
        <w:r w:rsidRPr="00AA3F16">
          <w:rPr>
            <w:rStyle w:val="Hyperlink"/>
            <w:rFonts w:cs="Arial"/>
            <w:lang w:val="es-ES"/>
          </w:rPr>
          <w:t>Acción concertada.</w:t>
        </w:r>
        <w:r w:rsidRPr="00AA3F16">
          <w:rPr>
            <w:rStyle w:val="Hyperlink"/>
            <w:rFonts w:cs="Arial"/>
            <w:vertAlign w:val="superscript"/>
            <w:lang w:val="es-ES"/>
          </w:rPr>
          <w:t>1</w:t>
        </w:r>
      </w:hyperlink>
      <w:r w:rsidRPr="00AA3F16">
        <w:rPr>
          <w:rFonts w:cs="Arial"/>
          <w:lang w:val="es-ES"/>
        </w:rPr>
        <w:t xml:space="preserve">. También proporcionó respaldo financiero para el desarrollo de este Plan de Acción de Especie única. </w:t>
      </w:r>
    </w:p>
    <w:p w14:paraId="0AF96C2E" w14:textId="1C3D9DAC" w:rsidR="00BE571E" w:rsidRPr="00AA3F16" w:rsidRDefault="00BE571E">
      <w:pPr>
        <w:rPr>
          <w:rFonts w:cs="Arial"/>
          <w:spacing w:val="-2"/>
          <w:lang w:val="es-ES" w:eastAsia="en-GB"/>
        </w:rPr>
      </w:pPr>
      <w:r w:rsidRPr="00AA3F16">
        <w:rPr>
          <w:rFonts w:cs="Arial"/>
          <w:lang w:val="es-ES" w:eastAsia="es-ES"/>
        </w:rPr>
        <w:br w:type="page"/>
      </w:r>
    </w:p>
    <w:sdt>
      <w:sdtPr>
        <w:rPr>
          <w:rFonts w:ascii="Arial" w:eastAsiaTheme="minorHAnsi" w:hAnsi="Arial" w:cstheme="minorBidi"/>
          <w:color w:val="auto"/>
          <w:sz w:val="22"/>
          <w:szCs w:val="22"/>
          <w:lang w:val="es-ES"/>
        </w:rPr>
        <w:id w:val="2067219252"/>
        <w:docPartObj>
          <w:docPartGallery w:val="Table of Contents"/>
          <w:docPartUnique/>
        </w:docPartObj>
      </w:sdtPr>
      <w:sdtEndPr>
        <w:rPr>
          <w:b/>
          <w:bCs/>
        </w:rPr>
      </w:sdtEndPr>
      <w:sdtContent>
        <w:p w14:paraId="395C0998" w14:textId="04239D1E" w:rsidR="00642269" w:rsidRPr="00AA3F16" w:rsidRDefault="00681F52">
          <w:pPr>
            <w:pStyle w:val="TOCHeading"/>
            <w:rPr>
              <w:rFonts w:ascii="Arial" w:hAnsi="Arial" w:cs="Arial"/>
              <w:b/>
              <w:bCs/>
              <w:color w:val="auto"/>
              <w:sz w:val="24"/>
              <w:szCs w:val="24"/>
              <w:lang w:val="es-ES"/>
            </w:rPr>
          </w:pPr>
          <w:r w:rsidRPr="00AA3F16">
            <w:rPr>
              <w:rFonts w:ascii="Arial" w:eastAsiaTheme="minorHAnsi" w:hAnsi="Arial" w:cstheme="minorBidi"/>
              <w:b/>
              <w:bCs/>
              <w:color w:val="auto"/>
              <w:sz w:val="24"/>
              <w:szCs w:val="24"/>
              <w:lang w:val="es-ES"/>
            </w:rPr>
            <w:t>ÍNDICE</w:t>
          </w:r>
        </w:p>
        <w:p w14:paraId="10076500" w14:textId="77777777" w:rsidR="00681F52" w:rsidRPr="00AA3F16" w:rsidRDefault="00681F52" w:rsidP="00DE5AC2">
          <w:pPr>
            <w:rPr>
              <w:sz w:val="16"/>
              <w:szCs w:val="16"/>
              <w:lang w:val="es-ES"/>
            </w:rPr>
          </w:pPr>
        </w:p>
        <w:p w14:paraId="08669306" w14:textId="5454868A" w:rsidR="00446874" w:rsidRPr="00AA3F16" w:rsidRDefault="00642269">
          <w:pPr>
            <w:pStyle w:val="TOC1"/>
            <w:tabs>
              <w:tab w:val="right" w:leader="dot" w:pos="9350"/>
            </w:tabs>
            <w:rPr>
              <w:rFonts w:asciiTheme="minorHAnsi" w:eastAsiaTheme="minorEastAsia" w:hAnsiTheme="minorHAnsi"/>
              <w:lang w:val="es-ES" w:eastAsia="es-ES"/>
            </w:rPr>
          </w:pPr>
          <w:r w:rsidRPr="00AA3F16">
            <w:rPr>
              <w:lang w:val="es-ES"/>
            </w:rPr>
            <w:fldChar w:fldCharType="begin"/>
          </w:r>
          <w:r w:rsidRPr="00AA3F16">
            <w:rPr>
              <w:lang w:val="es-ES"/>
            </w:rPr>
            <w:instrText xml:space="preserve"> TOC \o "1-3" \h \z \u </w:instrText>
          </w:r>
          <w:r w:rsidRPr="00AA3F16">
            <w:rPr>
              <w:lang w:val="es-ES"/>
            </w:rPr>
            <w:fldChar w:fldCharType="separate"/>
          </w:r>
          <w:hyperlink w:anchor="_Toc118277526" w:history="1">
            <w:r w:rsidR="00446874" w:rsidRPr="00AA3F16">
              <w:rPr>
                <w:rStyle w:val="Hyperlink"/>
                <w:rFonts w:cs="Arial"/>
                <w:b/>
                <w:bCs/>
                <w:lang w:val="es-ES"/>
              </w:rPr>
              <w:t>INTRODUCCIÓN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_Toc118277526 \h </w:instrText>
            </w:r>
            <w:r w:rsidR="00446874" w:rsidRPr="00AA3F16">
              <w:rPr>
                <w:webHidden/>
                <w:lang w:val="es-ES"/>
              </w:rPr>
            </w:r>
            <w:r w:rsidR="00446874" w:rsidRPr="00AA3F16">
              <w:rPr>
                <w:webHidden/>
                <w:lang w:val="es-ES"/>
              </w:rPr>
              <w:fldChar w:fldCharType="separate"/>
            </w:r>
            <w:r w:rsidR="00446874" w:rsidRPr="00AA3F16">
              <w:rPr>
                <w:webHidden/>
                <w:lang w:val="es-ES"/>
              </w:rPr>
              <w:t>2</w:t>
            </w:r>
            <w:r w:rsidR="00446874" w:rsidRPr="00AA3F16">
              <w:rPr>
                <w:webHidden/>
                <w:lang w:val="es-ES"/>
              </w:rPr>
              <w:fldChar w:fldCharType="end"/>
            </w:r>
          </w:hyperlink>
        </w:p>
        <w:p w14:paraId="6223072C" w14:textId="02EAA32B" w:rsidR="00446874" w:rsidRPr="00AA3F16" w:rsidRDefault="009E0427">
          <w:pPr>
            <w:pStyle w:val="TOC1"/>
            <w:tabs>
              <w:tab w:val="right" w:leader="dot" w:pos="9350"/>
            </w:tabs>
            <w:rPr>
              <w:rFonts w:asciiTheme="minorHAnsi" w:eastAsiaTheme="minorEastAsia" w:hAnsiTheme="minorHAnsi"/>
              <w:lang w:val="es-ES" w:eastAsia="es-ES"/>
            </w:rPr>
          </w:pPr>
          <w:hyperlink w:anchor="_Toc118277527" w:history="1">
            <w:r w:rsidR="00446874" w:rsidRPr="00AA3F16">
              <w:rPr>
                <w:rStyle w:val="Hyperlink"/>
                <w:rFonts w:eastAsia="Arial" w:cs="Arial"/>
                <w:b/>
                <w:bCs/>
                <w:lang w:val="es-ES"/>
              </w:rPr>
              <w:t>AGRADECIMIENTOS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_Toc118277527 \h </w:instrText>
            </w:r>
            <w:r w:rsidR="00446874" w:rsidRPr="00AA3F16">
              <w:rPr>
                <w:webHidden/>
                <w:lang w:val="es-ES"/>
              </w:rPr>
            </w:r>
            <w:r w:rsidR="00446874" w:rsidRPr="00AA3F16">
              <w:rPr>
                <w:webHidden/>
                <w:lang w:val="es-ES"/>
              </w:rPr>
              <w:fldChar w:fldCharType="separate"/>
            </w:r>
            <w:r w:rsidR="00446874" w:rsidRPr="00AA3F16">
              <w:rPr>
                <w:webHidden/>
                <w:lang w:val="es-ES"/>
              </w:rPr>
              <w:t>2</w:t>
            </w:r>
            <w:r w:rsidR="00446874" w:rsidRPr="00AA3F16">
              <w:rPr>
                <w:webHidden/>
                <w:lang w:val="es-ES"/>
              </w:rPr>
              <w:fldChar w:fldCharType="end"/>
            </w:r>
          </w:hyperlink>
        </w:p>
        <w:p w14:paraId="74D71373" w14:textId="0ADE3C49" w:rsidR="00446874" w:rsidRPr="00AA3F16" w:rsidRDefault="009E0427">
          <w:pPr>
            <w:pStyle w:val="TOC1"/>
            <w:tabs>
              <w:tab w:val="right" w:leader="dot" w:pos="9350"/>
            </w:tabs>
            <w:rPr>
              <w:rFonts w:asciiTheme="minorHAnsi" w:eastAsiaTheme="minorEastAsia" w:hAnsiTheme="minorHAnsi"/>
              <w:lang w:val="es-ES" w:eastAsia="es-ES"/>
            </w:rPr>
          </w:pPr>
          <w:hyperlink w:anchor="_Toc118277528" w:history="1">
            <w:r w:rsidR="00446874" w:rsidRPr="00AA3F16">
              <w:rPr>
                <w:rStyle w:val="Hyperlink"/>
                <w:rFonts w:eastAsia="Times New Roman" w:cs="Arial"/>
                <w:b/>
                <w:lang w:val="es-ES" w:eastAsia="es-ES"/>
              </w:rPr>
              <w:t>ACRÓNIMOS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_Toc118277528 \h </w:instrText>
            </w:r>
            <w:r w:rsidR="00446874" w:rsidRPr="00AA3F16">
              <w:rPr>
                <w:webHidden/>
                <w:lang w:val="es-ES"/>
              </w:rPr>
            </w:r>
            <w:r w:rsidR="00446874" w:rsidRPr="00AA3F16">
              <w:rPr>
                <w:webHidden/>
                <w:lang w:val="es-ES"/>
              </w:rPr>
              <w:fldChar w:fldCharType="separate"/>
            </w:r>
            <w:r w:rsidR="00446874" w:rsidRPr="00AA3F16">
              <w:rPr>
                <w:webHidden/>
                <w:lang w:val="es-ES"/>
              </w:rPr>
              <w:t>4</w:t>
            </w:r>
            <w:r w:rsidR="00446874" w:rsidRPr="00AA3F16">
              <w:rPr>
                <w:webHidden/>
                <w:lang w:val="es-ES"/>
              </w:rPr>
              <w:fldChar w:fldCharType="end"/>
            </w:r>
          </w:hyperlink>
        </w:p>
        <w:p w14:paraId="7A121544" w14:textId="491DA877" w:rsidR="00446874" w:rsidRPr="00AA3F16" w:rsidRDefault="009E0427">
          <w:pPr>
            <w:pStyle w:val="TOC1"/>
            <w:tabs>
              <w:tab w:val="right" w:leader="dot" w:pos="9350"/>
            </w:tabs>
            <w:rPr>
              <w:rFonts w:asciiTheme="minorHAnsi" w:eastAsiaTheme="minorEastAsia" w:hAnsiTheme="minorHAnsi"/>
              <w:lang w:val="es-ES" w:eastAsia="es-ES"/>
            </w:rPr>
          </w:pPr>
          <w:hyperlink w:anchor="_Toc118277529" w:history="1">
            <w:r w:rsidR="00446874" w:rsidRPr="00AA3F16">
              <w:rPr>
                <w:rStyle w:val="Hyperlink"/>
                <w:rFonts w:eastAsia="Times New Roman" w:cs="Arial"/>
                <w:b/>
                <w:lang w:val="es-ES" w:eastAsia="es-ES"/>
              </w:rPr>
              <w:t>GLOSARIO</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_Toc118277529 \h </w:instrText>
            </w:r>
            <w:r w:rsidR="00446874" w:rsidRPr="00AA3F16">
              <w:rPr>
                <w:webHidden/>
                <w:lang w:val="es-ES"/>
              </w:rPr>
            </w:r>
            <w:r w:rsidR="00446874" w:rsidRPr="00AA3F16">
              <w:rPr>
                <w:webHidden/>
                <w:lang w:val="es-ES"/>
              </w:rPr>
              <w:fldChar w:fldCharType="separate"/>
            </w:r>
            <w:r w:rsidR="00446874" w:rsidRPr="00AA3F16">
              <w:rPr>
                <w:webHidden/>
                <w:lang w:val="es-ES"/>
              </w:rPr>
              <w:t>5</w:t>
            </w:r>
            <w:r w:rsidR="00446874" w:rsidRPr="00AA3F16">
              <w:rPr>
                <w:webHidden/>
                <w:lang w:val="es-ES"/>
              </w:rPr>
              <w:fldChar w:fldCharType="end"/>
            </w:r>
          </w:hyperlink>
        </w:p>
        <w:p w14:paraId="22C6C086" w14:textId="201E6819" w:rsidR="00446874" w:rsidRPr="00AA3F16" w:rsidRDefault="009E0427">
          <w:pPr>
            <w:pStyle w:val="TOC1"/>
            <w:tabs>
              <w:tab w:val="left" w:pos="440"/>
              <w:tab w:val="right" w:leader="dot" w:pos="9350"/>
            </w:tabs>
            <w:rPr>
              <w:rFonts w:asciiTheme="minorHAnsi" w:eastAsiaTheme="minorEastAsia" w:hAnsiTheme="minorHAnsi"/>
              <w:lang w:val="es-ES" w:eastAsia="es-ES"/>
            </w:rPr>
          </w:pPr>
          <w:hyperlink w:anchor="_Toc118277530" w:history="1">
            <w:r w:rsidR="00446874" w:rsidRPr="00AA3F16">
              <w:rPr>
                <w:rStyle w:val="Hyperlink"/>
                <w:rFonts w:eastAsia="Times New Roman" w:cs="Arial"/>
                <w:b/>
                <w:lang w:val="es-ES" w:eastAsia="en-GB"/>
              </w:rPr>
              <w:t>1.</w:t>
            </w:r>
            <w:r w:rsidR="00446874" w:rsidRPr="00AA3F16">
              <w:rPr>
                <w:rFonts w:asciiTheme="minorHAnsi" w:eastAsiaTheme="minorEastAsia" w:hAnsiTheme="minorHAnsi"/>
                <w:lang w:val="es-ES" w:eastAsia="es-ES"/>
              </w:rPr>
              <w:tab/>
            </w:r>
            <w:r w:rsidR="00446874" w:rsidRPr="00AA3F16">
              <w:rPr>
                <w:rStyle w:val="Hyperlink"/>
                <w:rFonts w:eastAsia="Times New Roman" w:cs="Arial"/>
                <w:b/>
                <w:lang w:val="es-ES" w:eastAsia="es-ES"/>
              </w:rPr>
              <w:t>EVALUACIÓN BIOLÓGICA</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_Toc118277530 \h </w:instrText>
            </w:r>
            <w:r w:rsidR="00446874" w:rsidRPr="00AA3F16">
              <w:rPr>
                <w:webHidden/>
                <w:lang w:val="es-ES"/>
              </w:rPr>
            </w:r>
            <w:r w:rsidR="00446874" w:rsidRPr="00AA3F16">
              <w:rPr>
                <w:webHidden/>
                <w:lang w:val="es-ES"/>
              </w:rPr>
              <w:fldChar w:fldCharType="separate"/>
            </w:r>
            <w:r w:rsidR="00446874" w:rsidRPr="00AA3F16">
              <w:rPr>
                <w:webHidden/>
                <w:lang w:val="es-ES"/>
              </w:rPr>
              <w:t>8</w:t>
            </w:r>
            <w:r w:rsidR="00446874" w:rsidRPr="00AA3F16">
              <w:rPr>
                <w:webHidden/>
                <w:lang w:val="es-ES"/>
              </w:rPr>
              <w:fldChar w:fldCharType="end"/>
            </w:r>
          </w:hyperlink>
        </w:p>
        <w:p w14:paraId="3DD4A108" w14:textId="6CDA9240"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1" w:history="1">
            <w:r w:rsidR="00446874" w:rsidRPr="00AA3F16">
              <w:rPr>
                <w:rStyle w:val="Hyperlink"/>
                <w:rFonts w:eastAsia="Times New Roman" w:cs="Arial"/>
                <w:b/>
                <w:iCs/>
                <w:lang w:val="es-ES" w:eastAsia="es-ES"/>
              </w:rPr>
              <w:t>1.1.</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Taxón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_Toc118277531 \h </w:instrText>
            </w:r>
            <w:r w:rsidR="00446874" w:rsidRPr="00AA3F16">
              <w:rPr>
                <w:webHidden/>
                <w:lang w:val="es-ES"/>
              </w:rPr>
            </w:r>
            <w:r w:rsidR="00446874" w:rsidRPr="00AA3F16">
              <w:rPr>
                <w:webHidden/>
                <w:lang w:val="es-ES"/>
              </w:rPr>
              <w:fldChar w:fldCharType="separate"/>
            </w:r>
            <w:r w:rsidR="00446874" w:rsidRPr="00AA3F16">
              <w:rPr>
                <w:webHidden/>
                <w:lang w:val="es-ES"/>
              </w:rPr>
              <w:t>8</w:t>
            </w:r>
            <w:r w:rsidR="00446874" w:rsidRPr="00AA3F16">
              <w:rPr>
                <w:webHidden/>
                <w:lang w:val="es-ES"/>
              </w:rPr>
              <w:fldChar w:fldCharType="end"/>
            </w:r>
          </w:hyperlink>
        </w:p>
        <w:p w14:paraId="21328D45" w14:textId="22D3041F"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2" w:history="1">
            <w:r w:rsidR="00446874" w:rsidRPr="00AA3F16">
              <w:rPr>
                <w:rStyle w:val="Hyperlink"/>
                <w:rFonts w:cs="Arial"/>
                <w:lang w:val="es-ES"/>
              </w:rPr>
              <w:t xml:space="preserve">1.2. </w:t>
            </w:r>
            <w:r w:rsidR="00446874" w:rsidRPr="00AA3F16">
              <w:rPr>
                <w:rFonts w:asciiTheme="minorHAnsi" w:eastAsiaTheme="minorEastAsia" w:hAnsiTheme="minorHAnsi"/>
                <w:lang w:val="es-ES" w:eastAsia="es-ES"/>
              </w:rPr>
              <w:tab/>
            </w:r>
            <w:r w:rsidR="00446874" w:rsidRPr="00AA3F16">
              <w:rPr>
                <w:rStyle w:val="Hyperlink"/>
                <w:rFonts w:cs="Arial"/>
                <w:lang w:val="es-ES"/>
              </w:rPr>
              <w:t>Distribución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_Toc118277532 \h </w:instrText>
            </w:r>
            <w:r w:rsidR="00446874" w:rsidRPr="00AA3F16">
              <w:rPr>
                <w:webHidden/>
                <w:lang w:val="es-ES"/>
              </w:rPr>
            </w:r>
            <w:r w:rsidR="00446874" w:rsidRPr="00AA3F16">
              <w:rPr>
                <w:webHidden/>
                <w:lang w:val="es-ES"/>
              </w:rPr>
              <w:fldChar w:fldCharType="separate"/>
            </w:r>
            <w:r w:rsidR="00446874" w:rsidRPr="00AA3F16">
              <w:rPr>
                <w:webHidden/>
                <w:lang w:val="es-ES"/>
              </w:rPr>
              <w:t>9</w:t>
            </w:r>
            <w:r w:rsidR="00446874" w:rsidRPr="00AA3F16">
              <w:rPr>
                <w:webHidden/>
                <w:lang w:val="es-ES"/>
              </w:rPr>
              <w:fldChar w:fldCharType="end"/>
            </w:r>
          </w:hyperlink>
        </w:p>
        <w:p w14:paraId="2B624FFB" w14:textId="61C16452"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3" w:history="1">
            <w:r w:rsidR="00446874" w:rsidRPr="00AA3F16">
              <w:rPr>
                <w:rStyle w:val="Hyperlink"/>
                <w:rFonts w:cs="Arial"/>
                <w:lang w:val="es-ES"/>
              </w:rPr>
              <w:t xml:space="preserve">1.3. </w:t>
            </w:r>
            <w:r w:rsidR="00446874" w:rsidRPr="00AA3F16">
              <w:rPr>
                <w:rFonts w:asciiTheme="minorHAnsi" w:eastAsiaTheme="minorEastAsia" w:hAnsiTheme="minorHAnsi"/>
                <w:lang w:val="es-ES" w:eastAsia="es-ES"/>
              </w:rPr>
              <w:tab/>
            </w:r>
            <w:r w:rsidR="00446874" w:rsidRPr="00AA3F16">
              <w:rPr>
                <w:rStyle w:val="Hyperlink"/>
                <w:rFonts w:cs="Arial"/>
                <w:lang w:val="es-ES"/>
              </w:rPr>
              <w:t>Tendencia y productividad de la población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_Toc118277533 \h </w:instrText>
            </w:r>
            <w:r w:rsidR="00446874" w:rsidRPr="00AA3F16">
              <w:rPr>
                <w:webHidden/>
                <w:lang w:val="es-ES"/>
              </w:rPr>
            </w:r>
            <w:r w:rsidR="00446874" w:rsidRPr="00AA3F16">
              <w:rPr>
                <w:webHidden/>
                <w:lang w:val="es-ES"/>
              </w:rPr>
              <w:fldChar w:fldCharType="separate"/>
            </w:r>
            <w:r w:rsidR="00446874" w:rsidRPr="00AA3F16">
              <w:rPr>
                <w:webHidden/>
                <w:lang w:val="es-ES"/>
              </w:rPr>
              <w:t>10</w:t>
            </w:r>
            <w:r w:rsidR="00446874" w:rsidRPr="00AA3F16">
              <w:rPr>
                <w:webHidden/>
                <w:lang w:val="es-ES"/>
              </w:rPr>
              <w:fldChar w:fldCharType="end"/>
            </w:r>
          </w:hyperlink>
        </w:p>
        <w:p w14:paraId="75A327B2" w14:textId="0EC71225" w:rsidR="00446874" w:rsidRPr="00AA3F16" w:rsidRDefault="009E0427">
          <w:pPr>
            <w:pStyle w:val="TOC1"/>
            <w:tabs>
              <w:tab w:val="left" w:pos="440"/>
              <w:tab w:val="right" w:leader="dot" w:pos="9350"/>
            </w:tabs>
            <w:rPr>
              <w:rFonts w:asciiTheme="minorHAnsi" w:eastAsiaTheme="minorEastAsia" w:hAnsiTheme="minorHAnsi"/>
              <w:lang w:val="es-ES" w:eastAsia="es-ES"/>
            </w:rPr>
          </w:pPr>
          <w:hyperlink w:anchor="_Toc118277534" w:history="1">
            <w:r w:rsidR="00446874" w:rsidRPr="00AA3F16">
              <w:rPr>
                <w:rStyle w:val="Hyperlink"/>
                <w:rFonts w:eastAsia="Times New Roman" w:cs="Arial"/>
                <w:b/>
                <w:lang w:val="es-ES" w:eastAsia="en-GB"/>
              </w:rPr>
              <w:t>2.</w:t>
            </w:r>
            <w:r w:rsidR="00446874" w:rsidRPr="00AA3F16">
              <w:rPr>
                <w:rFonts w:asciiTheme="minorHAnsi" w:eastAsiaTheme="minorEastAsia" w:hAnsiTheme="minorHAnsi"/>
                <w:lang w:val="es-ES" w:eastAsia="es-ES"/>
              </w:rPr>
              <w:tab/>
            </w:r>
            <w:r w:rsidR="00446874" w:rsidRPr="00AA3F16">
              <w:rPr>
                <w:rStyle w:val="Hyperlink"/>
                <w:rFonts w:eastAsia="Times New Roman" w:cs="Arial"/>
                <w:b/>
                <w:lang w:val="es-ES" w:eastAsia="es-ES"/>
              </w:rPr>
              <w:t>AMENAZAS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_Toc118277534 \h </w:instrText>
            </w:r>
            <w:r w:rsidR="00446874" w:rsidRPr="00AA3F16">
              <w:rPr>
                <w:webHidden/>
                <w:lang w:val="es-ES"/>
              </w:rPr>
            </w:r>
            <w:r w:rsidR="00446874" w:rsidRPr="00AA3F16">
              <w:rPr>
                <w:webHidden/>
                <w:lang w:val="es-ES"/>
              </w:rPr>
              <w:fldChar w:fldCharType="separate"/>
            </w:r>
            <w:r w:rsidR="00446874" w:rsidRPr="00AA3F16">
              <w:rPr>
                <w:webHidden/>
                <w:lang w:val="es-ES"/>
              </w:rPr>
              <w:t>11</w:t>
            </w:r>
            <w:r w:rsidR="00446874" w:rsidRPr="00AA3F16">
              <w:rPr>
                <w:webHidden/>
                <w:lang w:val="es-ES"/>
              </w:rPr>
              <w:fldChar w:fldCharType="end"/>
            </w:r>
          </w:hyperlink>
        </w:p>
        <w:p w14:paraId="0F36DDDD" w14:textId="394561EE"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5" w:history="1">
            <w:r w:rsidR="00446874" w:rsidRPr="00AA3F16">
              <w:rPr>
                <w:rStyle w:val="Hyperlink"/>
                <w:rFonts w:eastAsia="Times New Roman" w:cs="Arial"/>
                <w:b/>
                <w:iCs/>
                <w:lang w:val="es-ES" w:eastAsia="es-ES"/>
              </w:rPr>
              <w:t xml:space="preserve">2.1. </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Explotación no sostenible</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_Toc118277535 \h </w:instrText>
            </w:r>
            <w:r w:rsidR="00446874" w:rsidRPr="00AA3F16">
              <w:rPr>
                <w:webHidden/>
                <w:lang w:val="es-ES"/>
              </w:rPr>
            </w:r>
            <w:r w:rsidR="00446874" w:rsidRPr="00AA3F16">
              <w:rPr>
                <w:webHidden/>
                <w:lang w:val="es-ES"/>
              </w:rPr>
              <w:fldChar w:fldCharType="separate"/>
            </w:r>
            <w:r w:rsidR="00446874" w:rsidRPr="00AA3F16">
              <w:rPr>
                <w:webHidden/>
                <w:lang w:val="es-ES"/>
              </w:rPr>
              <w:t>11</w:t>
            </w:r>
            <w:r w:rsidR="00446874" w:rsidRPr="00AA3F16">
              <w:rPr>
                <w:webHidden/>
                <w:lang w:val="es-ES"/>
              </w:rPr>
              <w:fldChar w:fldCharType="end"/>
            </w:r>
          </w:hyperlink>
        </w:p>
        <w:p w14:paraId="46EA270D" w14:textId="39C308DE"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6" w:history="1">
            <w:r w:rsidR="00446874" w:rsidRPr="00AA3F16">
              <w:rPr>
                <w:rStyle w:val="Hyperlink"/>
                <w:rFonts w:eastAsia="Times New Roman" w:cs="Arial"/>
                <w:b/>
                <w:iCs/>
                <w:lang w:val="es-ES" w:eastAsia="en-GB"/>
              </w:rPr>
              <w:t>2.2.</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Degradación del hábitat (incluida su contaminación)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_Toc118277536 \h </w:instrText>
            </w:r>
            <w:r w:rsidR="00446874" w:rsidRPr="00AA3F16">
              <w:rPr>
                <w:webHidden/>
                <w:lang w:val="es-ES"/>
              </w:rPr>
            </w:r>
            <w:r w:rsidR="00446874" w:rsidRPr="00AA3F16">
              <w:rPr>
                <w:webHidden/>
                <w:lang w:val="es-ES"/>
              </w:rPr>
              <w:fldChar w:fldCharType="separate"/>
            </w:r>
            <w:r w:rsidR="00446874" w:rsidRPr="00AA3F16">
              <w:rPr>
                <w:webHidden/>
                <w:lang w:val="es-ES"/>
              </w:rPr>
              <w:t>13</w:t>
            </w:r>
            <w:r w:rsidR="00446874" w:rsidRPr="00AA3F16">
              <w:rPr>
                <w:webHidden/>
                <w:lang w:val="es-ES"/>
              </w:rPr>
              <w:fldChar w:fldCharType="end"/>
            </w:r>
          </w:hyperlink>
        </w:p>
        <w:p w14:paraId="1FE8E74E" w14:textId="6DEE2D8D"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7" w:history="1">
            <w:r w:rsidR="00446874" w:rsidRPr="00AA3F16">
              <w:rPr>
                <w:rStyle w:val="Hyperlink"/>
                <w:rFonts w:eastAsia="Times New Roman" w:cs="Arial"/>
                <w:b/>
                <w:iCs/>
                <w:lang w:val="es-ES" w:eastAsia="en-GB"/>
              </w:rPr>
              <w:t>2.3.</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Otros factores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_Toc118277537 \h </w:instrText>
            </w:r>
            <w:r w:rsidR="00446874" w:rsidRPr="00AA3F16">
              <w:rPr>
                <w:webHidden/>
                <w:lang w:val="es-ES"/>
              </w:rPr>
            </w:r>
            <w:r w:rsidR="00446874" w:rsidRPr="00AA3F16">
              <w:rPr>
                <w:webHidden/>
                <w:lang w:val="es-ES"/>
              </w:rPr>
              <w:fldChar w:fldCharType="separate"/>
            </w:r>
            <w:r w:rsidR="00446874" w:rsidRPr="00AA3F16">
              <w:rPr>
                <w:webHidden/>
                <w:lang w:val="es-ES"/>
              </w:rPr>
              <w:t>13</w:t>
            </w:r>
            <w:r w:rsidR="00446874" w:rsidRPr="00AA3F16">
              <w:rPr>
                <w:webHidden/>
                <w:lang w:val="es-ES"/>
              </w:rPr>
              <w:fldChar w:fldCharType="end"/>
            </w:r>
          </w:hyperlink>
        </w:p>
        <w:p w14:paraId="44FE5D0C" w14:textId="01CF8D33"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8" w:history="1">
            <w:r w:rsidR="00446874" w:rsidRPr="00AA3F16">
              <w:rPr>
                <w:rStyle w:val="Hyperlink"/>
                <w:rFonts w:eastAsia="Times New Roman" w:cs="Arial"/>
                <w:b/>
                <w:iCs/>
                <w:lang w:val="es-ES" w:eastAsia="en-GB"/>
              </w:rPr>
              <w:t>2.4.</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Priorización de la amenaza</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_Toc118277538 \h </w:instrText>
            </w:r>
            <w:r w:rsidR="00446874" w:rsidRPr="00AA3F16">
              <w:rPr>
                <w:webHidden/>
                <w:lang w:val="es-ES"/>
              </w:rPr>
            </w:r>
            <w:r w:rsidR="00446874" w:rsidRPr="00AA3F16">
              <w:rPr>
                <w:webHidden/>
                <w:lang w:val="es-ES"/>
              </w:rPr>
              <w:fldChar w:fldCharType="separate"/>
            </w:r>
            <w:r w:rsidR="00446874" w:rsidRPr="00AA3F16">
              <w:rPr>
                <w:webHidden/>
                <w:lang w:val="es-ES"/>
              </w:rPr>
              <w:t>14</w:t>
            </w:r>
            <w:r w:rsidR="00446874" w:rsidRPr="00AA3F16">
              <w:rPr>
                <w:webHidden/>
                <w:lang w:val="es-ES"/>
              </w:rPr>
              <w:fldChar w:fldCharType="end"/>
            </w:r>
          </w:hyperlink>
        </w:p>
        <w:p w14:paraId="6D447AA9" w14:textId="5D70F38A"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39" w:history="1">
            <w:r w:rsidR="00446874" w:rsidRPr="00AA3F16">
              <w:rPr>
                <w:rStyle w:val="Hyperlink"/>
                <w:rFonts w:eastAsia="Times New Roman" w:cs="Arial"/>
                <w:b/>
                <w:iCs/>
                <w:lang w:val="es-ES" w:eastAsia="en-GB"/>
              </w:rPr>
              <w:t>2.5.</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Matriz de amenazas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_Toc118277539 \h </w:instrText>
            </w:r>
            <w:r w:rsidR="00446874" w:rsidRPr="00AA3F16">
              <w:rPr>
                <w:webHidden/>
                <w:lang w:val="es-ES"/>
              </w:rPr>
            </w:r>
            <w:r w:rsidR="00446874" w:rsidRPr="00AA3F16">
              <w:rPr>
                <w:webHidden/>
                <w:lang w:val="es-ES"/>
              </w:rPr>
              <w:fldChar w:fldCharType="separate"/>
            </w:r>
            <w:r w:rsidR="00446874" w:rsidRPr="00AA3F16">
              <w:rPr>
                <w:webHidden/>
                <w:lang w:val="es-ES"/>
              </w:rPr>
              <w:t>16</w:t>
            </w:r>
            <w:r w:rsidR="00446874" w:rsidRPr="00AA3F16">
              <w:rPr>
                <w:webHidden/>
                <w:lang w:val="es-ES"/>
              </w:rPr>
              <w:fldChar w:fldCharType="end"/>
            </w:r>
          </w:hyperlink>
        </w:p>
        <w:p w14:paraId="77229569" w14:textId="1E2FF4EC" w:rsidR="00446874" w:rsidRPr="00AA3F16" w:rsidRDefault="009E0427">
          <w:pPr>
            <w:pStyle w:val="TOC1"/>
            <w:tabs>
              <w:tab w:val="left" w:pos="440"/>
              <w:tab w:val="right" w:leader="dot" w:pos="9350"/>
            </w:tabs>
            <w:rPr>
              <w:rFonts w:asciiTheme="minorHAnsi" w:eastAsiaTheme="minorEastAsia" w:hAnsiTheme="minorHAnsi"/>
              <w:lang w:val="es-ES" w:eastAsia="es-ES"/>
            </w:rPr>
          </w:pPr>
          <w:hyperlink w:anchor="_Toc118277540" w:history="1">
            <w:r w:rsidR="00446874" w:rsidRPr="00AA3F16">
              <w:rPr>
                <w:rStyle w:val="Hyperlink"/>
                <w:rFonts w:eastAsia="Times New Roman" w:cs="Arial"/>
                <w:b/>
                <w:lang w:val="es-ES" w:eastAsia="en-GB"/>
              </w:rPr>
              <w:t>3.</w:t>
            </w:r>
            <w:r w:rsidR="00446874" w:rsidRPr="00AA3F16">
              <w:rPr>
                <w:rFonts w:asciiTheme="minorHAnsi" w:eastAsiaTheme="minorEastAsia" w:hAnsiTheme="minorHAnsi"/>
                <w:lang w:val="es-ES" w:eastAsia="es-ES"/>
              </w:rPr>
              <w:tab/>
            </w:r>
            <w:r w:rsidR="00446874" w:rsidRPr="00AA3F16">
              <w:rPr>
                <w:rStyle w:val="Hyperlink"/>
                <w:rFonts w:eastAsia="Times New Roman" w:cs="Arial"/>
                <w:b/>
                <w:lang w:val="es-ES" w:eastAsia="es-ES"/>
              </w:rPr>
              <w:t>POLÍTICAS Y LEGISLACIÓN RELEVANTES PARA LA GESTIÓN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_Toc118277540 \h </w:instrText>
            </w:r>
            <w:r w:rsidR="00446874" w:rsidRPr="00AA3F16">
              <w:rPr>
                <w:webHidden/>
                <w:lang w:val="es-ES"/>
              </w:rPr>
            </w:r>
            <w:r w:rsidR="00446874" w:rsidRPr="00AA3F16">
              <w:rPr>
                <w:webHidden/>
                <w:lang w:val="es-ES"/>
              </w:rPr>
              <w:fldChar w:fldCharType="separate"/>
            </w:r>
            <w:r w:rsidR="00446874" w:rsidRPr="00AA3F16">
              <w:rPr>
                <w:webHidden/>
                <w:lang w:val="es-ES"/>
              </w:rPr>
              <w:t>17</w:t>
            </w:r>
            <w:r w:rsidR="00446874" w:rsidRPr="00AA3F16">
              <w:rPr>
                <w:webHidden/>
                <w:lang w:val="es-ES"/>
              </w:rPr>
              <w:fldChar w:fldCharType="end"/>
            </w:r>
          </w:hyperlink>
        </w:p>
        <w:p w14:paraId="04CACC44" w14:textId="6DA63C13"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1" w:history="1">
            <w:r w:rsidR="00446874" w:rsidRPr="00AA3F16">
              <w:rPr>
                <w:rStyle w:val="Hyperlink"/>
                <w:rFonts w:eastAsia="Times New Roman" w:cs="Arial"/>
                <w:b/>
                <w:iCs/>
                <w:lang w:val="es-ES" w:eastAsia="es-ES"/>
              </w:rPr>
              <w:t xml:space="preserve">3.1. </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Conservación y estado legal</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_Toc118277541 \h </w:instrText>
            </w:r>
            <w:r w:rsidR="00446874" w:rsidRPr="00AA3F16">
              <w:rPr>
                <w:webHidden/>
                <w:lang w:val="es-ES"/>
              </w:rPr>
            </w:r>
            <w:r w:rsidR="00446874" w:rsidRPr="00AA3F16">
              <w:rPr>
                <w:webHidden/>
                <w:lang w:val="es-ES"/>
              </w:rPr>
              <w:fldChar w:fldCharType="separate"/>
            </w:r>
            <w:r w:rsidR="00446874" w:rsidRPr="00AA3F16">
              <w:rPr>
                <w:webHidden/>
                <w:lang w:val="es-ES"/>
              </w:rPr>
              <w:t>17</w:t>
            </w:r>
            <w:r w:rsidR="00446874" w:rsidRPr="00AA3F16">
              <w:rPr>
                <w:webHidden/>
                <w:lang w:val="es-ES"/>
              </w:rPr>
              <w:fldChar w:fldCharType="end"/>
            </w:r>
          </w:hyperlink>
        </w:p>
        <w:p w14:paraId="730B0E90" w14:textId="1ACE4308"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2" w:history="1">
            <w:r w:rsidR="00446874" w:rsidRPr="00AA3F16">
              <w:rPr>
                <w:rStyle w:val="Hyperlink"/>
                <w:rFonts w:eastAsia="Times New Roman" w:cs="Arial"/>
                <w:b/>
                <w:iCs/>
                <w:lang w:val="es-ES" w:eastAsia="en-GB"/>
              </w:rPr>
              <w:t>3.2.</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Situación de los estados del área de distribución según instrumentos de la CMS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_Toc118277542 \h </w:instrText>
            </w:r>
            <w:r w:rsidR="00446874" w:rsidRPr="00AA3F16">
              <w:rPr>
                <w:webHidden/>
                <w:lang w:val="es-ES"/>
              </w:rPr>
            </w:r>
            <w:r w:rsidR="00446874" w:rsidRPr="00AA3F16">
              <w:rPr>
                <w:webHidden/>
                <w:lang w:val="es-ES"/>
              </w:rPr>
              <w:fldChar w:fldCharType="separate"/>
            </w:r>
            <w:r w:rsidR="00446874" w:rsidRPr="00AA3F16">
              <w:rPr>
                <w:webHidden/>
                <w:lang w:val="es-ES"/>
              </w:rPr>
              <w:t>20</w:t>
            </w:r>
            <w:r w:rsidR="00446874" w:rsidRPr="00AA3F16">
              <w:rPr>
                <w:webHidden/>
                <w:lang w:val="es-ES"/>
              </w:rPr>
              <w:fldChar w:fldCharType="end"/>
            </w:r>
          </w:hyperlink>
        </w:p>
        <w:p w14:paraId="0A3A9D8E" w14:textId="4F171AEB"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3" w:history="1">
            <w:r w:rsidR="00446874" w:rsidRPr="00AA3F16">
              <w:rPr>
                <w:rStyle w:val="Hyperlink"/>
                <w:rFonts w:eastAsia="Times New Roman" w:cs="Arial"/>
                <w:b/>
                <w:iCs/>
                <w:lang w:val="es-ES" w:eastAsia="en-GB"/>
              </w:rPr>
              <w:t>3.3.</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Organizaciones relevantes operativas dentro del ámbito del Angelote</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_Toc118277543 \h </w:instrText>
            </w:r>
            <w:r w:rsidR="00446874" w:rsidRPr="00AA3F16">
              <w:rPr>
                <w:webHidden/>
                <w:lang w:val="es-ES"/>
              </w:rPr>
            </w:r>
            <w:r w:rsidR="00446874" w:rsidRPr="00AA3F16">
              <w:rPr>
                <w:webHidden/>
                <w:lang w:val="es-ES"/>
              </w:rPr>
              <w:fldChar w:fldCharType="separate"/>
            </w:r>
            <w:r w:rsidR="00446874" w:rsidRPr="00AA3F16">
              <w:rPr>
                <w:webHidden/>
                <w:lang w:val="es-ES"/>
              </w:rPr>
              <w:t>24</w:t>
            </w:r>
            <w:r w:rsidR="00446874" w:rsidRPr="00AA3F16">
              <w:rPr>
                <w:webHidden/>
                <w:lang w:val="es-ES"/>
              </w:rPr>
              <w:fldChar w:fldCharType="end"/>
            </w:r>
          </w:hyperlink>
        </w:p>
        <w:p w14:paraId="05BB1227" w14:textId="36E85525"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4" w:history="1">
            <w:r w:rsidR="00446874" w:rsidRPr="00AA3F16">
              <w:rPr>
                <w:rStyle w:val="Hyperlink"/>
                <w:rFonts w:eastAsia="Times New Roman" w:cs="Arial"/>
                <w:b/>
                <w:iCs/>
                <w:lang w:val="es-ES" w:eastAsia="en-GB"/>
              </w:rPr>
              <w:t>3.4.</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Legislación de la UE/nacional y medidas de gestión específicas del Angelote</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_Toc118277544 \h </w:instrText>
            </w:r>
            <w:r w:rsidR="00446874" w:rsidRPr="00AA3F16">
              <w:rPr>
                <w:webHidden/>
                <w:lang w:val="es-ES"/>
              </w:rPr>
            </w:r>
            <w:r w:rsidR="00446874" w:rsidRPr="00AA3F16">
              <w:rPr>
                <w:webHidden/>
                <w:lang w:val="es-ES"/>
              </w:rPr>
              <w:fldChar w:fldCharType="separate"/>
            </w:r>
            <w:r w:rsidR="00446874" w:rsidRPr="00AA3F16">
              <w:rPr>
                <w:webHidden/>
                <w:lang w:val="es-ES"/>
              </w:rPr>
              <w:t>24</w:t>
            </w:r>
            <w:r w:rsidR="00446874" w:rsidRPr="00AA3F16">
              <w:rPr>
                <w:webHidden/>
                <w:lang w:val="es-ES"/>
              </w:rPr>
              <w:fldChar w:fldCharType="end"/>
            </w:r>
          </w:hyperlink>
        </w:p>
        <w:p w14:paraId="74B4132B" w14:textId="24E27264" w:rsidR="00446874" w:rsidRPr="00AA3F16" w:rsidRDefault="009E0427">
          <w:pPr>
            <w:pStyle w:val="TOC1"/>
            <w:tabs>
              <w:tab w:val="left" w:pos="440"/>
              <w:tab w:val="right" w:leader="dot" w:pos="9350"/>
            </w:tabs>
            <w:rPr>
              <w:rFonts w:asciiTheme="minorHAnsi" w:eastAsiaTheme="minorEastAsia" w:hAnsiTheme="minorHAnsi"/>
              <w:lang w:val="es-ES" w:eastAsia="es-ES"/>
            </w:rPr>
          </w:pPr>
          <w:hyperlink w:anchor="_Toc118277545" w:history="1">
            <w:r w:rsidR="00446874" w:rsidRPr="00AA3F16">
              <w:rPr>
                <w:rStyle w:val="Hyperlink"/>
                <w:rFonts w:eastAsia="Times New Roman" w:cs="Arial"/>
                <w:b/>
                <w:lang w:val="es-ES" w:eastAsia="en-GB"/>
              </w:rPr>
              <w:t>4.</w:t>
            </w:r>
            <w:r w:rsidR="00446874" w:rsidRPr="00AA3F16">
              <w:rPr>
                <w:rFonts w:asciiTheme="minorHAnsi" w:eastAsiaTheme="minorEastAsia" w:hAnsiTheme="minorHAnsi"/>
                <w:lang w:val="es-ES" w:eastAsia="es-ES"/>
              </w:rPr>
              <w:tab/>
            </w:r>
            <w:r w:rsidR="00446874" w:rsidRPr="00AA3F16">
              <w:rPr>
                <w:rStyle w:val="Hyperlink"/>
                <w:rFonts w:eastAsia="Times New Roman" w:cs="Arial"/>
                <w:b/>
                <w:lang w:val="es-ES" w:eastAsia="es-ES"/>
              </w:rPr>
              <w:t>MARCO DE ACCIÓN</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_Toc118277545 \h </w:instrText>
            </w:r>
            <w:r w:rsidR="00446874" w:rsidRPr="00AA3F16">
              <w:rPr>
                <w:webHidden/>
                <w:lang w:val="es-ES"/>
              </w:rPr>
            </w:r>
            <w:r w:rsidR="00446874" w:rsidRPr="00AA3F16">
              <w:rPr>
                <w:webHidden/>
                <w:lang w:val="es-ES"/>
              </w:rPr>
              <w:fldChar w:fldCharType="separate"/>
            </w:r>
            <w:r w:rsidR="00446874" w:rsidRPr="00AA3F16">
              <w:rPr>
                <w:webHidden/>
                <w:lang w:val="es-ES"/>
              </w:rPr>
              <w:t>24</w:t>
            </w:r>
            <w:r w:rsidR="00446874" w:rsidRPr="00AA3F16">
              <w:rPr>
                <w:webHidden/>
                <w:lang w:val="es-ES"/>
              </w:rPr>
              <w:fldChar w:fldCharType="end"/>
            </w:r>
          </w:hyperlink>
        </w:p>
        <w:p w14:paraId="3B5050E2" w14:textId="29EC1581"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6" w:history="1">
            <w:r w:rsidR="00446874" w:rsidRPr="00AA3F16">
              <w:rPr>
                <w:rStyle w:val="Hyperlink"/>
                <w:rFonts w:eastAsia="Times New Roman" w:cs="Arial"/>
                <w:b/>
                <w:iCs/>
                <w:lang w:val="es-ES" w:eastAsia="es-ES"/>
              </w:rPr>
              <w:t>4.1.</w:t>
            </w:r>
            <w:r w:rsidR="00446874" w:rsidRPr="00AA3F16">
              <w:rPr>
                <w:rStyle w:val="Hyperlink"/>
                <w:rFonts w:eastAsia="Times New Roman" w:cs="Arial"/>
                <w:b/>
                <w:i/>
                <w:lang w:val="es-ES" w:eastAsia="es-ES"/>
              </w:rPr>
              <w:t xml:space="preserve"> </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Meta</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_Toc118277546 \h </w:instrText>
            </w:r>
            <w:r w:rsidR="00446874" w:rsidRPr="00AA3F16">
              <w:rPr>
                <w:webHidden/>
                <w:lang w:val="es-ES"/>
              </w:rPr>
            </w:r>
            <w:r w:rsidR="00446874" w:rsidRPr="00AA3F16">
              <w:rPr>
                <w:webHidden/>
                <w:lang w:val="es-ES"/>
              </w:rPr>
              <w:fldChar w:fldCharType="separate"/>
            </w:r>
            <w:r w:rsidR="00446874" w:rsidRPr="00AA3F16">
              <w:rPr>
                <w:webHidden/>
                <w:lang w:val="es-ES"/>
              </w:rPr>
              <w:t>24</w:t>
            </w:r>
            <w:r w:rsidR="00446874" w:rsidRPr="00AA3F16">
              <w:rPr>
                <w:webHidden/>
                <w:lang w:val="es-ES"/>
              </w:rPr>
              <w:fldChar w:fldCharType="end"/>
            </w:r>
          </w:hyperlink>
        </w:p>
        <w:p w14:paraId="133BB61C" w14:textId="04B989BA"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7" w:history="1">
            <w:r w:rsidR="00446874" w:rsidRPr="00AA3F16">
              <w:rPr>
                <w:rStyle w:val="Hyperlink"/>
                <w:rFonts w:eastAsia="Times New Roman" w:cs="Arial"/>
                <w:b/>
                <w:iCs/>
                <w:lang w:val="es-ES" w:eastAsia="en-GB"/>
              </w:rPr>
              <w:t>4.2.</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Objetivos, acciones y resultados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_Toc118277547 \h </w:instrText>
            </w:r>
            <w:r w:rsidR="00446874" w:rsidRPr="00AA3F16">
              <w:rPr>
                <w:webHidden/>
                <w:lang w:val="es-ES"/>
              </w:rPr>
            </w:r>
            <w:r w:rsidR="00446874" w:rsidRPr="00AA3F16">
              <w:rPr>
                <w:webHidden/>
                <w:lang w:val="es-ES"/>
              </w:rPr>
              <w:fldChar w:fldCharType="separate"/>
            </w:r>
            <w:r w:rsidR="00446874" w:rsidRPr="00AA3F16">
              <w:rPr>
                <w:webHidden/>
                <w:lang w:val="es-ES"/>
              </w:rPr>
              <w:t>24</w:t>
            </w:r>
            <w:r w:rsidR="00446874" w:rsidRPr="00AA3F16">
              <w:rPr>
                <w:webHidden/>
                <w:lang w:val="es-ES"/>
              </w:rPr>
              <w:fldChar w:fldCharType="end"/>
            </w:r>
          </w:hyperlink>
        </w:p>
        <w:p w14:paraId="74C61900" w14:textId="1AD195D5"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8" w:history="1">
            <w:r w:rsidR="00446874" w:rsidRPr="00AA3F16">
              <w:rPr>
                <w:rStyle w:val="Hyperlink"/>
                <w:rFonts w:eastAsia="Times New Roman" w:cs="Arial"/>
                <w:b/>
                <w:iCs/>
                <w:lang w:val="es-ES" w:eastAsia="en-GB"/>
              </w:rPr>
              <w:t>4.3.</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Protección de la especie</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_Toc118277548 \h </w:instrText>
            </w:r>
            <w:r w:rsidR="00446874" w:rsidRPr="00AA3F16">
              <w:rPr>
                <w:webHidden/>
                <w:lang w:val="es-ES"/>
              </w:rPr>
            </w:r>
            <w:r w:rsidR="00446874" w:rsidRPr="00AA3F16">
              <w:rPr>
                <w:webHidden/>
                <w:lang w:val="es-ES"/>
              </w:rPr>
              <w:fldChar w:fldCharType="separate"/>
            </w:r>
            <w:r w:rsidR="00446874" w:rsidRPr="00AA3F16">
              <w:rPr>
                <w:webHidden/>
                <w:lang w:val="es-ES"/>
              </w:rPr>
              <w:t>25</w:t>
            </w:r>
            <w:r w:rsidR="00446874" w:rsidRPr="00AA3F16">
              <w:rPr>
                <w:webHidden/>
                <w:lang w:val="es-ES"/>
              </w:rPr>
              <w:fldChar w:fldCharType="end"/>
            </w:r>
          </w:hyperlink>
        </w:p>
        <w:p w14:paraId="6EBA041E" w14:textId="06CF2EF2"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49" w:history="1">
            <w:r w:rsidR="00446874" w:rsidRPr="00AA3F16">
              <w:rPr>
                <w:rStyle w:val="Hyperlink"/>
                <w:rFonts w:eastAsia="Times New Roman" w:cs="Arial"/>
                <w:b/>
                <w:iCs/>
                <w:lang w:val="es-ES" w:eastAsia="en-GB"/>
              </w:rPr>
              <w:t>4.4.</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Identificación de áreas críticas de la especie Angelote (CASA)</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_Toc118277549 \h </w:instrText>
            </w:r>
            <w:r w:rsidR="00446874" w:rsidRPr="00AA3F16">
              <w:rPr>
                <w:webHidden/>
                <w:lang w:val="es-ES"/>
              </w:rPr>
            </w:r>
            <w:r w:rsidR="00446874" w:rsidRPr="00AA3F16">
              <w:rPr>
                <w:webHidden/>
                <w:lang w:val="es-ES"/>
              </w:rPr>
              <w:fldChar w:fldCharType="separate"/>
            </w:r>
            <w:r w:rsidR="00446874" w:rsidRPr="00AA3F16">
              <w:rPr>
                <w:webHidden/>
                <w:lang w:val="es-ES"/>
              </w:rPr>
              <w:t>26</w:t>
            </w:r>
            <w:r w:rsidR="00446874" w:rsidRPr="00AA3F16">
              <w:rPr>
                <w:webHidden/>
                <w:lang w:val="es-ES"/>
              </w:rPr>
              <w:fldChar w:fldCharType="end"/>
            </w:r>
          </w:hyperlink>
        </w:p>
        <w:p w14:paraId="713CDB1F" w14:textId="6FE3D04C"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50" w:history="1">
            <w:r w:rsidR="00446874" w:rsidRPr="00AA3F16">
              <w:rPr>
                <w:rStyle w:val="Hyperlink"/>
                <w:rFonts w:eastAsia="Times New Roman" w:cs="Arial"/>
                <w:b/>
                <w:iCs/>
                <w:lang w:val="es-ES" w:eastAsia="en-GB"/>
              </w:rPr>
              <w:t>4.5.</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Estudios científicos, recogida de datos y enlace con el sector pesquero</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_Toc118277550 \h </w:instrText>
            </w:r>
            <w:r w:rsidR="00446874" w:rsidRPr="00AA3F16">
              <w:rPr>
                <w:webHidden/>
                <w:lang w:val="es-ES"/>
              </w:rPr>
            </w:r>
            <w:r w:rsidR="00446874" w:rsidRPr="00AA3F16">
              <w:rPr>
                <w:webHidden/>
                <w:lang w:val="es-ES"/>
              </w:rPr>
              <w:fldChar w:fldCharType="separate"/>
            </w:r>
            <w:r w:rsidR="00446874" w:rsidRPr="00AA3F16">
              <w:rPr>
                <w:webHidden/>
                <w:lang w:val="es-ES"/>
              </w:rPr>
              <w:t>26</w:t>
            </w:r>
            <w:r w:rsidR="00446874" w:rsidRPr="00AA3F16">
              <w:rPr>
                <w:webHidden/>
                <w:lang w:val="es-ES"/>
              </w:rPr>
              <w:fldChar w:fldCharType="end"/>
            </w:r>
          </w:hyperlink>
        </w:p>
        <w:p w14:paraId="46AF2794" w14:textId="07553F8C"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51" w:history="1">
            <w:r w:rsidR="00446874" w:rsidRPr="00AA3F16">
              <w:rPr>
                <w:rStyle w:val="Hyperlink"/>
                <w:rFonts w:eastAsia="Times New Roman" w:cs="Arial"/>
                <w:b/>
                <w:iCs/>
                <w:lang w:val="es-ES" w:eastAsia="en-GB"/>
              </w:rPr>
              <w:t>4.6.</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Asegurar recursos suficientes para la conservación continuada del Angelote</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_Toc118277551 \h </w:instrText>
            </w:r>
            <w:r w:rsidR="00446874" w:rsidRPr="00AA3F16">
              <w:rPr>
                <w:webHidden/>
                <w:lang w:val="es-ES"/>
              </w:rPr>
            </w:r>
            <w:r w:rsidR="00446874" w:rsidRPr="00AA3F16">
              <w:rPr>
                <w:webHidden/>
                <w:lang w:val="es-ES"/>
              </w:rPr>
              <w:fldChar w:fldCharType="separate"/>
            </w:r>
            <w:r w:rsidR="00446874" w:rsidRPr="00AA3F16">
              <w:rPr>
                <w:webHidden/>
                <w:lang w:val="es-ES"/>
              </w:rPr>
              <w:t>26</w:t>
            </w:r>
            <w:r w:rsidR="00446874" w:rsidRPr="00AA3F16">
              <w:rPr>
                <w:webHidden/>
                <w:lang w:val="es-ES"/>
              </w:rPr>
              <w:fldChar w:fldCharType="end"/>
            </w:r>
          </w:hyperlink>
        </w:p>
        <w:p w14:paraId="488E2139" w14:textId="6391B050"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52" w:history="1">
            <w:r w:rsidR="00446874" w:rsidRPr="00AA3F16">
              <w:rPr>
                <w:rStyle w:val="Hyperlink"/>
                <w:rFonts w:eastAsia="Times New Roman" w:cs="Arial"/>
                <w:b/>
                <w:iCs/>
                <w:lang w:val="es-ES" w:eastAsia="en-GB"/>
              </w:rPr>
              <w:t>4.7.</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Marco de objetivos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_Toc118277552 \h </w:instrText>
            </w:r>
            <w:r w:rsidR="00446874" w:rsidRPr="00AA3F16">
              <w:rPr>
                <w:webHidden/>
                <w:lang w:val="es-ES"/>
              </w:rPr>
            </w:r>
            <w:r w:rsidR="00446874" w:rsidRPr="00AA3F16">
              <w:rPr>
                <w:webHidden/>
                <w:lang w:val="es-ES"/>
              </w:rPr>
              <w:fldChar w:fldCharType="separate"/>
            </w:r>
            <w:r w:rsidR="00446874" w:rsidRPr="00AA3F16">
              <w:rPr>
                <w:webHidden/>
                <w:lang w:val="es-ES"/>
              </w:rPr>
              <w:t>26</w:t>
            </w:r>
            <w:r w:rsidR="00446874" w:rsidRPr="00AA3F16">
              <w:rPr>
                <w:webHidden/>
                <w:lang w:val="es-ES"/>
              </w:rPr>
              <w:fldChar w:fldCharType="end"/>
            </w:r>
          </w:hyperlink>
        </w:p>
        <w:p w14:paraId="0F9D53FD" w14:textId="01B69750"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53" w:history="1">
            <w:r w:rsidR="00446874" w:rsidRPr="00AA3F16">
              <w:rPr>
                <w:rStyle w:val="Hyperlink"/>
                <w:rFonts w:eastAsia="Times New Roman" w:cs="Arial"/>
                <w:b/>
                <w:iCs/>
                <w:lang w:val="es-ES" w:eastAsia="en-GB"/>
              </w:rPr>
              <w:t>4.8.</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Implementación nacional</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_Toc118277553 \h </w:instrText>
            </w:r>
            <w:r w:rsidR="00446874" w:rsidRPr="00AA3F16">
              <w:rPr>
                <w:webHidden/>
                <w:lang w:val="es-ES"/>
              </w:rPr>
            </w:r>
            <w:r w:rsidR="00446874" w:rsidRPr="00AA3F16">
              <w:rPr>
                <w:webHidden/>
                <w:lang w:val="es-ES"/>
              </w:rPr>
              <w:fldChar w:fldCharType="separate"/>
            </w:r>
            <w:r w:rsidR="00446874" w:rsidRPr="00AA3F16">
              <w:rPr>
                <w:webHidden/>
                <w:lang w:val="es-ES"/>
              </w:rPr>
              <w:t>27</w:t>
            </w:r>
            <w:r w:rsidR="00446874" w:rsidRPr="00AA3F16">
              <w:rPr>
                <w:webHidden/>
                <w:lang w:val="es-ES"/>
              </w:rPr>
              <w:fldChar w:fldCharType="end"/>
            </w:r>
          </w:hyperlink>
        </w:p>
        <w:p w14:paraId="21ABC0F1" w14:textId="289566CE" w:rsidR="00446874" w:rsidRPr="00AA3F16" w:rsidRDefault="009E0427">
          <w:pPr>
            <w:pStyle w:val="TOC2"/>
            <w:tabs>
              <w:tab w:val="left" w:pos="880"/>
              <w:tab w:val="right" w:leader="dot" w:pos="9350"/>
            </w:tabs>
            <w:rPr>
              <w:rFonts w:asciiTheme="minorHAnsi" w:eastAsiaTheme="minorEastAsia" w:hAnsiTheme="minorHAnsi"/>
              <w:lang w:val="es-ES" w:eastAsia="es-ES"/>
            </w:rPr>
          </w:pPr>
          <w:hyperlink w:anchor="_Toc118277554" w:history="1">
            <w:r w:rsidR="00446874" w:rsidRPr="00AA3F16">
              <w:rPr>
                <w:rStyle w:val="Hyperlink"/>
                <w:rFonts w:eastAsia="Times New Roman" w:cs="Arial"/>
                <w:b/>
                <w:iCs/>
                <w:lang w:val="es-ES" w:eastAsia="en-GB"/>
              </w:rPr>
              <w:t>4.9.</w:t>
            </w:r>
            <w:r w:rsidR="00446874" w:rsidRPr="00AA3F16">
              <w:rPr>
                <w:rFonts w:asciiTheme="minorHAnsi" w:eastAsiaTheme="minorEastAsia" w:hAnsiTheme="minorHAnsi"/>
                <w:lang w:val="es-ES" w:eastAsia="es-ES"/>
              </w:rPr>
              <w:tab/>
            </w:r>
            <w:r w:rsidR="00446874" w:rsidRPr="00AA3F16">
              <w:rPr>
                <w:rStyle w:val="Hyperlink"/>
                <w:rFonts w:eastAsia="Times New Roman" w:cs="Arial"/>
                <w:b/>
                <w:iCs/>
                <w:lang w:val="es-ES" w:eastAsia="es-ES"/>
              </w:rPr>
              <w:t>Recursos, directrices y herramientas disponibles</w:t>
            </w:r>
            <w:r w:rsidR="00446874" w:rsidRPr="00AA3F16">
              <w:rPr>
                <w:webHidden/>
                <w:lang w:val="es-ES"/>
              </w:rPr>
              <w:tab/>
            </w:r>
            <w:r w:rsidR="00446874" w:rsidRPr="00AA3F16">
              <w:rPr>
                <w:webHidden/>
                <w:lang w:val="es-ES"/>
              </w:rPr>
              <w:fldChar w:fldCharType="begin"/>
            </w:r>
            <w:r w:rsidR="00446874" w:rsidRPr="00AA3F16">
              <w:rPr>
                <w:webHidden/>
                <w:lang w:val="es-ES"/>
              </w:rPr>
              <w:instrText xml:space="preserve"> PAGEREF _Toc118277554 \h </w:instrText>
            </w:r>
            <w:r w:rsidR="00446874" w:rsidRPr="00AA3F16">
              <w:rPr>
                <w:webHidden/>
                <w:lang w:val="es-ES"/>
              </w:rPr>
            </w:r>
            <w:r w:rsidR="00446874" w:rsidRPr="00AA3F16">
              <w:rPr>
                <w:webHidden/>
                <w:lang w:val="es-ES"/>
              </w:rPr>
              <w:fldChar w:fldCharType="separate"/>
            </w:r>
            <w:r w:rsidR="00446874" w:rsidRPr="00AA3F16">
              <w:rPr>
                <w:webHidden/>
                <w:lang w:val="es-ES"/>
              </w:rPr>
              <w:t>27</w:t>
            </w:r>
            <w:r w:rsidR="00446874" w:rsidRPr="00AA3F16">
              <w:rPr>
                <w:webHidden/>
                <w:lang w:val="es-ES"/>
              </w:rPr>
              <w:fldChar w:fldCharType="end"/>
            </w:r>
          </w:hyperlink>
        </w:p>
        <w:p w14:paraId="1AE8DC9F" w14:textId="5515A196" w:rsidR="00642269" w:rsidRPr="00AA3F16" w:rsidRDefault="00642269">
          <w:pPr>
            <w:rPr>
              <w:lang w:val="es-ES"/>
            </w:rPr>
          </w:pPr>
          <w:r w:rsidRPr="00AA3F16">
            <w:rPr>
              <w:b/>
              <w:bCs/>
              <w:lang w:val="es-ES"/>
            </w:rPr>
            <w:fldChar w:fldCharType="end"/>
          </w:r>
        </w:p>
      </w:sdtContent>
    </w:sdt>
    <w:p w14:paraId="4205C049" w14:textId="4113C36E" w:rsidR="009827B6" w:rsidRPr="00AA3F16" w:rsidRDefault="0093269D" w:rsidP="0093269D">
      <w:pPr>
        <w:keepNext/>
        <w:keepLines/>
        <w:tabs>
          <w:tab w:val="left" w:pos="7031"/>
        </w:tabs>
        <w:spacing w:after="120"/>
        <w:outlineLvl w:val="0"/>
        <w:rPr>
          <w:rFonts w:eastAsia="Times New Roman" w:cs="Arial"/>
          <w:b/>
          <w:lang w:val="es-ES" w:eastAsia="en-GB"/>
        </w:rPr>
      </w:pPr>
      <w:bookmarkStart w:id="3" w:name="_Toc108701920"/>
      <w:r w:rsidRPr="00AA3F16">
        <w:rPr>
          <w:rFonts w:eastAsia="Times New Roman" w:cs="Arial"/>
          <w:b/>
          <w:lang w:val="es-ES" w:eastAsia="es-ES"/>
        </w:rPr>
        <w:tab/>
      </w:r>
    </w:p>
    <w:p w14:paraId="2E3D271B" w14:textId="77777777" w:rsidR="009827B6" w:rsidRPr="00AA3F16" w:rsidRDefault="009827B6">
      <w:pPr>
        <w:rPr>
          <w:rFonts w:eastAsia="Times New Roman" w:cs="Arial"/>
          <w:b/>
          <w:lang w:val="es-ES" w:eastAsia="en-GB"/>
        </w:rPr>
      </w:pPr>
      <w:r w:rsidRPr="00AA3F16">
        <w:rPr>
          <w:rFonts w:eastAsia="Times New Roman" w:cs="Arial"/>
          <w:b/>
          <w:lang w:val="es-ES" w:eastAsia="es-ES"/>
        </w:rPr>
        <w:br w:type="page"/>
      </w:r>
    </w:p>
    <w:p w14:paraId="2763F752" w14:textId="77777777" w:rsidR="008B2D63" w:rsidRPr="00AA3F16" w:rsidRDefault="008B2D63" w:rsidP="0093269D">
      <w:pPr>
        <w:keepNext/>
        <w:keepLines/>
        <w:tabs>
          <w:tab w:val="left" w:pos="7031"/>
        </w:tabs>
        <w:spacing w:after="120"/>
        <w:outlineLvl w:val="0"/>
        <w:rPr>
          <w:rFonts w:eastAsia="Times New Roman" w:cs="Arial"/>
          <w:b/>
          <w:lang w:val="es-ES" w:eastAsia="en-GB"/>
        </w:rPr>
      </w:pPr>
    </w:p>
    <w:p w14:paraId="7CA27FE2" w14:textId="63A813A0" w:rsidR="001162F9" w:rsidRPr="00AA3F16" w:rsidRDefault="001162F9" w:rsidP="00806BFA">
      <w:pPr>
        <w:keepNext/>
        <w:keepLines/>
        <w:tabs>
          <w:tab w:val="center" w:pos="4680"/>
        </w:tabs>
        <w:spacing w:after="120"/>
        <w:outlineLvl w:val="0"/>
        <w:rPr>
          <w:rFonts w:eastAsia="Times New Roman" w:cs="Arial"/>
          <w:b/>
          <w:lang w:val="es-ES" w:eastAsia="en-GB"/>
        </w:rPr>
      </w:pPr>
      <w:bookmarkStart w:id="4" w:name="_Toc118277528"/>
      <w:r w:rsidRPr="00AA3F16">
        <w:rPr>
          <w:rFonts w:eastAsia="Times New Roman" w:cs="Arial"/>
          <w:b/>
          <w:lang w:val="es-ES" w:eastAsia="es-ES"/>
        </w:rPr>
        <w:t>ACRÓNIMOS</w:t>
      </w:r>
      <w:bookmarkEnd w:id="3"/>
      <w:bookmarkEnd w:id="4"/>
    </w:p>
    <w:tbl>
      <w:tblPr>
        <w:tblW w:w="90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730"/>
        <w:gridCol w:w="7285"/>
      </w:tblGrid>
      <w:tr w:rsidR="001162F9" w:rsidRPr="009E0427" w14:paraId="769BF020" w14:textId="77777777" w:rsidTr="002A4E27">
        <w:trPr>
          <w:trHeight w:val="265"/>
        </w:trPr>
        <w:tc>
          <w:tcPr>
            <w:tcW w:w="1730" w:type="dxa"/>
          </w:tcPr>
          <w:p w14:paraId="0110F864"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ASCN</w:t>
            </w:r>
          </w:p>
        </w:tc>
        <w:tc>
          <w:tcPr>
            <w:tcW w:w="7285" w:type="dxa"/>
          </w:tcPr>
          <w:p w14:paraId="0315CE67"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Red de Conservación de la especie Angelote</w:t>
            </w:r>
          </w:p>
        </w:tc>
      </w:tr>
      <w:tr w:rsidR="001162F9" w:rsidRPr="009E0427" w14:paraId="7C51CE33" w14:textId="77777777" w:rsidTr="002A4E27">
        <w:trPr>
          <w:trHeight w:val="253"/>
        </w:trPr>
        <w:tc>
          <w:tcPr>
            <w:tcW w:w="1730" w:type="dxa"/>
          </w:tcPr>
          <w:p w14:paraId="5757F57E"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CASA</w:t>
            </w:r>
          </w:p>
        </w:tc>
        <w:tc>
          <w:tcPr>
            <w:tcW w:w="7285" w:type="dxa"/>
          </w:tcPr>
          <w:p w14:paraId="6471C9A6"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Área Crítica de la especie Angelote</w:t>
            </w:r>
          </w:p>
        </w:tc>
      </w:tr>
      <w:tr w:rsidR="001162F9" w:rsidRPr="009E0427" w14:paraId="7F87B7F2" w14:textId="77777777" w:rsidTr="002A4E27">
        <w:trPr>
          <w:trHeight w:val="265"/>
        </w:trPr>
        <w:tc>
          <w:tcPr>
            <w:tcW w:w="1730" w:type="dxa"/>
          </w:tcPr>
          <w:p w14:paraId="6960861E"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CBD</w:t>
            </w:r>
          </w:p>
        </w:tc>
        <w:tc>
          <w:tcPr>
            <w:tcW w:w="7285" w:type="dxa"/>
          </w:tcPr>
          <w:p w14:paraId="37061606"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Convención sobre la Diversidad Biológica</w:t>
            </w:r>
          </w:p>
        </w:tc>
      </w:tr>
      <w:tr w:rsidR="001162F9" w:rsidRPr="009E0427" w14:paraId="2F445925" w14:textId="77777777" w:rsidTr="002A4E27">
        <w:trPr>
          <w:trHeight w:val="265"/>
        </w:trPr>
        <w:tc>
          <w:tcPr>
            <w:tcW w:w="1730" w:type="dxa"/>
          </w:tcPr>
          <w:p w14:paraId="14A8C1F7"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CECAF</w:t>
            </w:r>
          </w:p>
        </w:tc>
        <w:tc>
          <w:tcPr>
            <w:tcW w:w="7285" w:type="dxa"/>
          </w:tcPr>
          <w:p w14:paraId="2925EEBC"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Comité de pesca para el Atlántico central oriental</w:t>
            </w:r>
          </w:p>
        </w:tc>
      </w:tr>
      <w:tr w:rsidR="001162F9" w:rsidRPr="009E0427" w14:paraId="3421B1BE" w14:textId="77777777" w:rsidTr="002A4E27">
        <w:trPr>
          <w:trHeight w:val="265"/>
        </w:trPr>
        <w:tc>
          <w:tcPr>
            <w:tcW w:w="1730" w:type="dxa"/>
          </w:tcPr>
          <w:p w14:paraId="6C1CB8C8"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CMS</w:t>
            </w:r>
          </w:p>
        </w:tc>
        <w:tc>
          <w:tcPr>
            <w:tcW w:w="7285" w:type="dxa"/>
          </w:tcPr>
          <w:p w14:paraId="24E9B06B"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Convención para la Conservación de Especies Migratorias de los Animales Silvestres</w:t>
            </w:r>
          </w:p>
        </w:tc>
      </w:tr>
      <w:tr w:rsidR="001162F9" w:rsidRPr="009E0427" w14:paraId="504CAFF0" w14:textId="77777777" w:rsidTr="002A4E27">
        <w:trPr>
          <w:trHeight w:val="253"/>
        </w:trPr>
        <w:tc>
          <w:tcPr>
            <w:tcW w:w="1730" w:type="dxa"/>
          </w:tcPr>
          <w:p w14:paraId="0BAC9AB2"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CPUE</w:t>
            </w:r>
          </w:p>
        </w:tc>
        <w:tc>
          <w:tcPr>
            <w:tcW w:w="7285" w:type="dxa"/>
          </w:tcPr>
          <w:p w14:paraId="77B75BE1"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Capturas por Unidad de Esfuerzo</w:t>
            </w:r>
          </w:p>
        </w:tc>
      </w:tr>
      <w:tr w:rsidR="001162F9" w:rsidRPr="00AA3F16" w14:paraId="3338380F" w14:textId="77777777" w:rsidTr="002A4E27">
        <w:trPr>
          <w:trHeight w:val="265"/>
        </w:trPr>
        <w:tc>
          <w:tcPr>
            <w:tcW w:w="1730" w:type="dxa"/>
          </w:tcPr>
          <w:p w14:paraId="290664ED"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EIA</w:t>
            </w:r>
          </w:p>
        </w:tc>
        <w:tc>
          <w:tcPr>
            <w:tcW w:w="7285" w:type="dxa"/>
          </w:tcPr>
          <w:p w14:paraId="755AB0A9"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Evaluación del Impacto Ambiental</w:t>
            </w:r>
          </w:p>
        </w:tc>
      </w:tr>
      <w:tr w:rsidR="001162F9" w:rsidRPr="00AA3F16" w14:paraId="208F4041" w14:textId="77777777" w:rsidTr="002A4E27">
        <w:trPr>
          <w:trHeight w:val="265"/>
        </w:trPr>
        <w:tc>
          <w:tcPr>
            <w:tcW w:w="1730" w:type="dxa"/>
          </w:tcPr>
          <w:p w14:paraId="0ECB6A40"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UE</w:t>
            </w:r>
          </w:p>
        </w:tc>
        <w:tc>
          <w:tcPr>
            <w:tcW w:w="7285" w:type="dxa"/>
          </w:tcPr>
          <w:p w14:paraId="2CB7C1B6"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Unión Europea</w:t>
            </w:r>
          </w:p>
        </w:tc>
      </w:tr>
      <w:tr w:rsidR="001162F9" w:rsidRPr="009E0427" w14:paraId="2BA59D4F" w14:textId="77777777" w:rsidTr="002A4E27">
        <w:trPr>
          <w:trHeight w:val="265"/>
        </w:trPr>
        <w:tc>
          <w:tcPr>
            <w:tcW w:w="1730" w:type="dxa"/>
          </w:tcPr>
          <w:p w14:paraId="32A0CEFD"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FAO</w:t>
            </w:r>
          </w:p>
        </w:tc>
        <w:tc>
          <w:tcPr>
            <w:tcW w:w="7285" w:type="dxa"/>
          </w:tcPr>
          <w:p w14:paraId="5E317D6D"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Organización de las Naciones Unidas para la Alimentación y la Agricultura</w:t>
            </w:r>
          </w:p>
        </w:tc>
      </w:tr>
      <w:tr w:rsidR="001162F9" w:rsidRPr="00AA3F16" w14:paraId="4A3112F8" w14:textId="77777777" w:rsidTr="002A4E27">
        <w:trPr>
          <w:trHeight w:val="253"/>
        </w:trPr>
        <w:tc>
          <w:tcPr>
            <w:tcW w:w="1730" w:type="dxa"/>
          </w:tcPr>
          <w:p w14:paraId="0B90A9F5"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FRA</w:t>
            </w:r>
          </w:p>
        </w:tc>
        <w:tc>
          <w:tcPr>
            <w:tcW w:w="7285" w:type="dxa"/>
          </w:tcPr>
          <w:p w14:paraId="47D4CFB4"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Zona restringida de pesca</w:t>
            </w:r>
          </w:p>
        </w:tc>
      </w:tr>
      <w:tr w:rsidR="001162F9" w:rsidRPr="009E0427" w14:paraId="2D4EB539" w14:textId="77777777" w:rsidTr="002A4E27">
        <w:trPr>
          <w:trHeight w:val="265"/>
        </w:trPr>
        <w:tc>
          <w:tcPr>
            <w:tcW w:w="1730" w:type="dxa"/>
          </w:tcPr>
          <w:p w14:paraId="57B1811E"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CGPM</w:t>
            </w:r>
          </w:p>
        </w:tc>
        <w:tc>
          <w:tcPr>
            <w:tcW w:w="7285" w:type="dxa"/>
          </w:tcPr>
          <w:p w14:paraId="4FB3519C"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Consejo General de Pesca del Mediterráneo</w:t>
            </w:r>
          </w:p>
        </w:tc>
      </w:tr>
      <w:tr w:rsidR="001162F9" w:rsidRPr="009E0427" w14:paraId="3C1B2E44" w14:textId="77777777" w:rsidTr="002A4E27">
        <w:trPr>
          <w:trHeight w:val="518"/>
        </w:trPr>
        <w:tc>
          <w:tcPr>
            <w:tcW w:w="1730" w:type="dxa"/>
          </w:tcPr>
          <w:p w14:paraId="3F8B2698"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SAG-CGPM</w:t>
            </w:r>
          </w:p>
        </w:tc>
        <w:tc>
          <w:tcPr>
            <w:tcW w:w="7285" w:type="dxa"/>
          </w:tcPr>
          <w:p w14:paraId="58547BB8"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Subáreas geográficas del Consejo General de Pesca del Mediterráneo para las Subáreas geográficas mediterráneas</w:t>
            </w:r>
          </w:p>
        </w:tc>
      </w:tr>
      <w:tr w:rsidR="001162F9" w:rsidRPr="009E0427" w14:paraId="67803061" w14:textId="77777777" w:rsidTr="002A4E27">
        <w:trPr>
          <w:trHeight w:val="265"/>
        </w:trPr>
        <w:tc>
          <w:tcPr>
            <w:tcW w:w="1730" w:type="dxa"/>
          </w:tcPr>
          <w:p w14:paraId="79CABA2C"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ICES</w:t>
            </w:r>
          </w:p>
        </w:tc>
        <w:tc>
          <w:tcPr>
            <w:tcW w:w="7285" w:type="dxa"/>
          </w:tcPr>
          <w:p w14:paraId="71551128"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Consejo Internacional para la Exploración del Mar</w:t>
            </w:r>
          </w:p>
        </w:tc>
      </w:tr>
      <w:tr w:rsidR="001162F9" w:rsidRPr="009E0427" w14:paraId="148ECCBD" w14:textId="77777777" w:rsidTr="002A4E27">
        <w:trPr>
          <w:trHeight w:val="265"/>
        </w:trPr>
        <w:tc>
          <w:tcPr>
            <w:tcW w:w="1730" w:type="dxa"/>
          </w:tcPr>
          <w:p w14:paraId="3BCCD507"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INDNR</w:t>
            </w:r>
          </w:p>
        </w:tc>
        <w:tc>
          <w:tcPr>
            <w:tcW w:w="7285" w:type="dxa"/>
          </w:tcPr>
          <w:p w14:paraId="3C153493"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Pesca Ilegal, No Declarada y No Regulada</w:t>
            </w:r>
          </w:p>
        </w:tc>
      </w:tr>
      <w:tr w:rsidR="001162F9" w:rsidRPr="00AA3F16" w14:paraId="0AF8DA17" w14:textId="77777777" w:rsidTr="002A4E27">
        <w:trPr>
          <w:trHeight w:val="253"/>
        </w:trPr>
        <w:tc>
          <w:tcPr>
            <w:tcW w:w="1730" w:type="dxa"/>
          </w:tcPr>
          <w:p w14:paraId="45512043"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CEL</w:t>
            </w:r>
          </w:p>
        </w:tc>
        <w:tc>
          <w:tcPr>
            <w:tcW w:w="7285" w:type="dxa"/>
          </w:tcPr>
          <w:p w14:paraId="544F8D9E"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Conocimiento Ecológico Local</w:t>
            </w:r>
          </w:p>
        </w:tc>
      </w:tr>
      <w:tr w:rsidR="001162F9" w:rsidRPr="00AA3F16" w14:paraId="2357BABF" w14:textId="77777777" w:rsidTr="002A4E27">
        <w:trPr>
          <w:trHeight w:val="265"/>
        </w:trPr>
        <w:tc>
          <w:tcPr>
            <w:tcW w:w="1730" w:type="dxa"/>
          </w:tcPr>
          <w:p w14:paraId="07D36938"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APM</w:t>
            </w:r>
          </w:p>
        </w:tc>
        <w:tc>
          <w:tcPr>
            <w:tcW w:w="7285" w:type="dxa"/>
          </w:tcPr>
          <w:p w14:paraId="54783A0C"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Área Protegida Marina</w:t>
            </w:r>
          </w:p>
        </w:tc>
      </w:tr>
      <w:tr w:rsidR="001162F9" w:rsidRPr="009E0427" w14:paraId="34F75391" w14:textId="77777777" w:rsidTr="002A4E27">
        <w:trPr>
          <w:trHeight w:val="265"/>
        </w:trPr>
        <w:tc>
          <w:tcPr>
            <w:tcW w:w="1730" w:type="dxa"/>
          </w:tcPr>
          <w:p w14:paraId="77A409CD"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MedRAP</w:t>
            </w:r>
          </w:p>
        </w:tc>
        <w:tc>
          <w:tcPr>
            <w:tcW w:w="7285" w:type="dxa"/>
          </w:tcPr>
          <w:p w14:paraId="6B18E432"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Times New Roman" w:cs="Arial"/>
                <w:lang w:val="es-ES" w:eastAsia="es-ES"/>
              </w:rPr>
              <w:t>Especie Angelote mediterráneo: Plan de Acción regional</w:t>
            </w:r>
          </w:p>
        </w:tc>
      </w:tr>
      <w:tr w:rsidR="001162F9" w:rsidRPr="00AA3F16" w14:paraId="05E0B493" w14:textId="77777777" w:rsidTr="002A4E27">
        <w:trPr>
          <w:trHeight w:val="265"/>
        </w:trPr>
        <w:tc>
          <w:tcPr>
            <w:tcW w:w="1730" w:type="dxa"/>
          </w:tcPr>
          <w:p w14:paraId="0F4DAFD4"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ONG</w:t>
            </w:r>
          </w:p>
        </w:tc>
        <w:tc>
          <w:tcPr>
            <w:tcW w:w="7285" w:type="dxa"/>
          </w:tcPr>
          <w:p w14:paraId="325F1CCD"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lang w:val="es-ES" w:eastAsia="es-ES"/>
              </w:rPr>
              <w:t>Organización No Gubernamental</w:t>
            </w:r>
          </w:p>
        </w:tc>
      </w:tr>
      <w:tr w:rsidR="001162F9" w:rsidRPr="009E0427" w14:paraId="776EB8CD" w14:textId="77777777" w:rsidTr="002A4E27">
        <w:trPr>
          <w:trHeight w:val="506"/>
        </w:trPr>
        <w:tc>
          <w:tcPr>
            <w:tcW w:w="1730" w:type="dxa"/>
          </w:tcPr>
          <w:p w14:paraId="187C258D" w14:textId="77777777" w:rsidR="001162F9" w:rsidRPr="00AA3F16" w:rsidRDefault="001162F9" w:rsidP="001162F9">
            <w:pPr>
              <w:widowControl w:val="0"/>
              <w:rPr>
                <w:rFonts w:eastAsia="Arial" w:cs="Arial"/>
                <w:b/>
                <w:lang w:val="es-ES" w:eastAsia="en-GB"/>
              </w:rPr>
            </w:pPr>
            <w:r w:rsidRPr="00AA3F16">
              <w:rPr>
                <w:rFonts w:eastAsia="Arial" w:cs="Arial"/>
                <w:color w:val="000000"/>
                <w:lang w:val="es-ES" w:eastAsia="es-ES"/>
              </w:rPr>
              <w:t>OSPAR</w:t>
            </w:r>
          </w:p>
        </w:tc>
        <w:tc>
          <w:tcPr>
            <w:tcW w:w="7285" w:type="dxa"/>
          </w:tcPr>
          <w:p w14:paraId="6DB943E6"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Convención para la Protección del Entorno Marino del Atlántico Nororiental</w:t>
            </w:r>
          </w:p>
        </w:tc>
      </w:tr>
      <w:tr w:rsidR="001162F9" w:rsidRPr="009E0427" w14:paraId="54FCBDB4" w14:textId="77777777" w:rsidTr="002A4E27">
        <w:trPr>
          <w:trHeight w:val="265"/>
        </w:trPr>
        <w:tc>
          <w:tcPr>
            <w:tcW w:w="1730" w:type="dxa"/>
          </w:tcPr>
          <w:p w14:paraId="6DB48030" w14:textId="77777777" w:rsidR="001162F9" w:rsidRPr="00AA3F16" w:rsidRDefault="001162F9" w:rsidP="001162F9">
            <w:pPr>
              <w:widowControl w:val="0"/>
              <w:rPr>
                <w:rFonts w:eastAsia="Arial" w:cs="Arial"/>
                <w:color w:val="000000"/>
                <w:lang w:val="es-ES" w:eastAsia="en-GB"/>
              </w:rPr>
            </w:pPr>
            <w:proofErr w:type="spellStart"/>
            <w:r w:rsidRPr="00AA3F16">
              <w:rPr>
                <w:rFonts w:eastAsia="Arial" w:cs="Arial"/>
                <w:color w:val="000000"/>
                <w:lang w:val="es-ES" w:eastAsia="es-ES"/>
              </w:rPr>
              <w:t>MdE</w:t>
            </w:r>
            <w:proofErr w:type="spellEnd"/>
            <w:r w:rsidRPr="00AA3F16">
              <w:rPr>
                <w:rFonts w:eastAsia="Arial" w:cs="Arial"/>
                <w:color w:val="000000"/>
                <w:lang w:val="es-ES" w:eastAsia="es-ES"/>
              </w:rPr>
              <w:t xml:space="preserve"> sobre Tiburones</w:t>
            </w:r>
          </w:p>
        </w:tc>
        <w:tc>
          <w:tcPr>
            <w:tcW w:w="7285" w:type="dxa"/>
          </w:tcPr>
          <w:p w14:paraId="40A6AB0C"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lang w:val="es-ES" w:eastAsia="es-ES"/>
              </w:rPr>
              <w:t>Memorando de Entendimiento sobre la Conservación de los Tiburones Migratorios</w:t>
            </w:r>
          </w:p>
        </w:tc>
      </w:tr>
      <w:tr w:rsidR="001162F9" w:rsidRPr="00AA3F16" w14:paraId="1C669966" w14:textId="77777777" w:rsidTr="002A4E27">
        <w:trPr>
          <w:trHeight w:val="265"/>
        </w:trPr>
        <w:tc>
          <w:tcPr>
            <w:tcW w:w="1730" w:type="dxa"/>
          </w:tcPr>
          <w:p w14:paraId="7F069421"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AEP</w:t>
            </w:r>
          </w:p>
        </w:tc>
        <w:tc>
          <w:tcPr>
            <w:tcW w:w="7285" w:type="dxa"/>
          </w:tcPr>
          <w:p w14:paraId="3A6DABDA"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Área Especialmente Protegida</w:t>
            </w:r>
          </w:p>
        </w:tc>
      </w:tr>
      <w:tr w:rsidR="001162F9" w:rsidRPr="009E0427" w14:paraId="5F6BFAFB" w14:textId="77777777" w:rsidTr="002A4E27">
        <w:trPr>
          <w:trHeight w:val="265"/>
        </w:trPr>
        <w:tc>
          <w:tcPr>
            <w:tcW w:w="1730" w:type="dxa"/>
          </w:tcPr>
          <w:p w14:paraId="2717914F"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AEP/CAR</w:t>
            </w:r>
          </w:p>
        </w:tc>
        <w:tc>
          <w:tcPr>
            <w:tcW w:w="7285" w:type="dxa"/>
          </w:tcPr>
          <w:p w14:paraId="4E2E4077"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Centro de Actividad Regional de las Áreas Especialmente Protegidas</w:t>
            </w:r>
          </w:p>
        </w:tc>
      </w:tr>
      <w:tr w:rsidR="001162F9" w:rsidRPr="009E0427" w14:paraId="764AC730" w14:textId="77777777" w:rsidTr="002A4E27">
        <w:trPr>
          <w:trHeight w:val="253"/>
        </w:trPr>
        <w:tc>
          <w:tcPr>
            <w:tcW w:w="1730" w:type="dxa"/>
          </w:tcPr>
          <w:p w14:paraId="4C8862A6"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SSAP</w:t>
            </w:r>
          </w:p>
        </w:tc>
        <w:tc>
          <w:tcPr>
            <w:tcW w:w="7285" w:type="dxa"/>
          </w:tcPr>
          <w:p w14:paraId="273D50A0"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Plan de Acción de Especie única</w:t>
            </w:r>
          </w:p>
        </w:tc>
      </w:tr>
      <w:tr w:rsidR="001162F9" w:rsidRPr="009E0427" w14:paraId="2DDF194E" w14:textId="77777777" w:rsidTr="002A4E27">
        <w:trPr>
          <w:trHeight w:val="518"/>
        </w:trPr>
        <w:tc>
          <w:tcPr>
            <w:tcW w:w="1730" w:type="dxa"/>
          </w:tcPr>
          <w:p w14:paraId="2DC87E11" w14:textId="77777777" w:rsidR="001162F9" w:rsidRPr="00AA3F16" w:rsidRDefault="001162F9" w:rsidP="001162F9">
            <w:pPr>
              <w:widowControl w:val="0"/>
              <w:rPr>
                <w:rFonts w:eastAsia="Arial" w:cs="Arial"/>
                <w:color w:val="000000"/>
                <w:lang w:val="es-ES" w:eastAsia="en-GB"/>
              </w:rPr>
            </w:pPr>
            <w:r w:rsidRPr="00AA3F16">
              <w:rPr>
                <w:rFonts w:eastAsia="Arial" w:cs="Arial"/>
                <w:color w:val="000000"/>
                <w:lang w:val="es-ES" w:eastAsia="es-ES"/>
              </w:rPr>
              <w:t>PNUMA-PAM</w:t>
            </w:r>
          </w:p>
        </w:tc>
        <w:tc>
          <w:tcPr>
            <w:tcW w:w="7285" w:type="dxa"/>
          </w:tcPr>
          <w:p w14:paraId="7F990EF0" w14:textId="77777777" w:rsidR="001162F9" w:rsidRPr="00AA3F16" w:rsidRDefault="001162F9" w:rsidP="001162F9">
            <w:pPr>
              <w:widowControl w:val="0"/>
              <w:pBdr>
                <w:top w:val="nil"/>
                <w:left w:val="nil"/>
                <w:bottom w:val="nil"/>
                <w:right w:val="nil"/>
                <w:between w:val="nil"/>
              </w:pBdr>
              <w:rPr>
                <w:rFonts w:eastAsia="Arial" w:cs="Arial"/>
                <w:color w:val="000000"/>
                <w:lang w:val="es-ES" w:eastAsia="en-GB"/>
              </w:rPr>
            </w:pPr>
            <w:r w:rsidRPr="00AA3F16">
              <w:rPr>
                <w:rFonts w:eastAsia="Arial" w:cs="Arial"/>
                <w:color w:val="000000"/>
                <w:lang w:val="es-ES" w:eastAsia="es-ES"/>
              </w:rPr>
              <w:t>Programa de las Naciones Unidas para el Medio Ambiente -Plan de Acción del Mediterráneo (Convención de Barcelona)</w:t>
            </w:r>
          </w:p>
        </w:tc>
      </w:tr>
    </w:tbl>
    <w:p w14:paraId="3CF4C033" w14:textId="551A4E6E" w:rsidR="001162F9" w:rsidRPr="00AA3F16" w:rsidRDefault="001162F9" w:rsidP="00BE571E">
      <w:pPr>
        <w:rPr>
          <w:rFonts w:cs="Arial"/>
          <w:spacing w:val="-2"/>
          <w:lang w:val="es-ES" w:eastAsia="en-GB"/>
        </w:rPr>
      </w:pPr>
    </w:p>
    <w:p w14:paraId="6D3FAE7F" w14:textId="77777777" w:rsidR="001162F9" w:rsidRPr="00AA3F16" w:rsidRDefault="001162F9">
      <w:pPr>
        <w:rPr>
          <w:rFonts w:cs="Arial"/>
          <w:spacing w:val="-2"/>
          <w:lang w:val="es-ES" w:eastAsia="en-GB"/>
        </w:rPr>
      </w:pPr>
      <w:r w:rsidRPr="00AA3F16">
        <w:rPr>
          <w:rFonts w:cs="Arial"/>
          <w:lang w:val="es-ES" w:eastAsia="es-ES"/>
        </w:rPr>
        <w:br w:type="page"/>
      </w:r>
    </w:p>
    <w:p w14:paraId="6B2803C0" w14:textId="77777777" w:rsidR="001162F9" w:rsidRPr="00AA3F16" w:rsidRDefault="001162F9" w:rsidP="00681F52">
      <w:pPr>
        <w:keepNext/>
        <w:keepLines/>
        <w:outlineLvl w:val="0"/>
        <w:rPr>
          <w:rFonts w:eastAsia="Times New Roman" w:cs="Arial"/>
          <w:b/>
          <w:lang w:val="es-ES" w:eastAsia="en-GB"/>
        </w:rPr>
      </w:pPr>
      <w:bookmarkStart w:id="5" w:name="_Toc108701921"/>
    </w:p>
    <w:p w14:paraId="42C0F723" w14:textId="51EF79FF" w:rsidR="001162F9" w:rsidRPr="00AA3F16" w:rsidRDefault="001162F9" w:rsidP="002A4E27">
      <w:pPr>
        <w:keepNext/>
        <w:keepLines/>
        <w:spacing w:after="120"/>
        <w:outlineLvl w:val="0"/>
        <w:rPr>
          <w:rFonts w:eastAsia="Times New Roman" w:cs="Arial"/>
          <w:b/>
          <w:lang w:val="es-ES" w:eastAsia="en-GB"/>
        </w:rPr>
      </w:pPr>
      <w:bookmarkStart w:id="6" w:name="_Toc118277529"/>
      <w:r w:rsidRPr="00AA3F16">
        <w:rPr>
          <w:rFonts w:eastAsia="Times New Roman" w:cs="Arial"/>
          <w:b/>
          <w:lang w:val="es-ES" w:eastAsia="es-ES"/>
        </w:rPr>
        <w:t>GLOSARIO</w:t>
      </w:r>
      <w:bookmarkEnd w:id="5"/>
      <w:bookmarkEnd w:id="6"/>
    </w:p>
    <w:tbl>
      <w:tblPr>
        <w:tblW w:w="8895" w:type="dxa"/>
        <w:tblInd w:w="1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888"/>
        <w:gridCol w:w="7007"/>
      </w:tblGrid>
      <w:tr w:rsidR="001162F9" w:rsidRPr="009E0427" w14:paraId="6C3D61A2" w14:textId="77777777" w:rsidTr="008D4DCA">
        <w:trPr>
          <w:trHeight w:val="520"/>
        </w:trPr>
        <w:tc>
          <w:tcPr>
            <w:tcW w:w="1888" w:type="dxa"/>
          </w:tcPr>
          <w:p w14:paraId="7FD5C5C3"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Extracción agrupada</w:t>
            </w:r>
          </w:p>
        </w:tc>
        <w:tc>
          <w:tcPr>
            <w:tcW w:w="7007" w:type="dxa"/>
          </w:tcPr>
          <w:p w14:paraId="4710D80E"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La extracción de arenas y gravas como suministro para sectores de la construcción.</w:t>
            </w:r>
          </w:p>
        </w:tc>
      </w:tr>
      <w:tr w:rsidR="001162F9" w:rsidRPr="009E0427" w14:paraId="134F60D5" w14:textId="77777777" w:rsidTr="008D4DCA">
        <w:trPr>
          <w:trHeight w:val="520"/>
        </w:trPr>
        <w:tc>
          <w:tcPr>
            <w:tcW w:w="1888" w:type="dxa"/>
          </w:tcPr>
          <w:p w14:paraId="09D767CF"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Angelote</w:t>
            </w:r>
          </w:p>
        </w:tc>
        <w:tc>
          <w:tcPr>
            <w:tcW w:w="7007" w:type="dxa"/>
          </w:tcPr>
          <w:p w14:paraId="27B62FAA" w14:textId="55EAD25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 xml:space="preserve">Utilizado para nombres comunes de especies, por </w:t>
            </w:r>
            <w:proofErr w:type="gramStart"/>
            <w:r w:rsidRPr="00AA3F16">
              <w:rPr>
                <w:rFonts w:eastAsia="Arial" w:cs="Arial"/>
                <w:color w:val="000000"/>
                <w:lang w:val="es-ES" w:eastAsia="es-ES"/>
              </w:rPr>
              <w:t>ejemplo</w:t>
            </w:r>
            <w:proofErr w:type="gramEnd"/>
            <w:r w:rsidRPr="00AA3F16">
              <w:rPr>
                <w:rFonts w:eastAsia="Arial" w:cs="Arial"/>
                <w:color w:val="000000"/>
                <w:lang w:val="es-ES" w:eastAsia="es-ES"/>
              </w:rPr>
              <w:t xml:space="preserve"> el Angelote</w:t>
            </w:r>
            <w:r w:rsidR="007A7326">
              <w:rPr>
                <w:rFonts w:eastAsia="Arial" w:cs="Arial"/>
                <w:color w:val="000000"/>
                <w:lang w:val="es-ES" w:eastAsia="es-ES"/>
              </w:rPr>
              <w:t xml:space="preserve"> </w:t>
            </w:r>
            <w:r w:rsidRPr="00AA3F16">
              <w:rPr>
                <w:rFonts w:eastAsia="Arial" w:cs="Arial"/>
                <w:color w:val="000000"/>
                <w:lang w:val="es-ES" w:eastAsia="es-ES"/>
              </w:rPr>
              <w:t>(</w:t>
            </w:r>
            <w:proofErr w:type="spellStart"/>
            <w:r w:rsidRPr="00AA3F16">
              <w:rPr>
                <w:rFonts w:eastAsia="Arial" w:cs="Arial"/>
                <w:i/>
                <w:iCs/>
                <w:color w:val="000000"/>
                <w:lang w:val="es-ES" w:eastAsia="es-ES"/>
              </w:rPr>
              <w:t>Squatina</w:t>
            </w:r>
            <w:proofErr w:type="spellEnd"/>
            <w:r w:rsidRPr="00AA3F16">
              <w:rPr>
                <w:rFonts w:eastAsia="Arial" w:cs="Arial"/>
                <w:i/>
                <w:iCs/>
                <w:color w:val="000000"/>
                <w:lang w:val="es-ES" w:eastAsia="es-ES"/>
              </w:rPr>
              <w:t xml:space="preserve"> </w:t>
            </w:r>
            <w:proofErr w:type="spellStart"/>
            <w:r w:rsidRPr="00AA3F16">
              <w:rPr>
                <w:rFonts w:eastAsia="Arial" w:cs="Arial"/>
                <w:i/>
                <w:iCs/>
                <w:color w:val="000000"/>
                <w:lang w:val="es-ES" w:eastAsia="es-ES"/>
              </w:rPr>
              <w:t>squatina</w:t>
            </w:r>
            <w:proofErr w:type="spellEnd"/>
            <w:r w:rsidRPr="00AA3F16">
              <w:rPr>
                <w:rFonts w:eastAsia="Arial" w:cs="Arial"/>
                <w:color w:val="000000"/>
                <w:lang w:val="es-ES" w:eastAsia="es-ES"/>
              </w:rPr>
              <w:t>).</w:t>
            </w:r>
          </w:p>
        </w:tc>
      </w:tr>
      <w:tr w:rsidR="001162F9" w:rsidRPr="009E0427" w14:paraId="7D08A4F9" w14:textId="77777777" w:rsidTr="008D4DCA">
        <w:trPr>
          <w:trHeight w:val="254"/>
        </w:trPr>
        <w:tc>
          <w:tcPr>
            <w:tcW w:w="1888" w:type="dxa"/>
          </w:tcPr>
          <w:p w14:paraId="67427736"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Especie Angelote</w:t>
            </w:r>
          </w:p>
        </w:tc>
        <w:tc>
          <w:tcPr>
            <w:tcW w:w="7007" w:type="dxa"/>
          </w:tcPr>
          <w:p w14:paraId="7BE4366B"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 xml:space="preserve">Se refiere a múltiples especies de la familia </w:t>
            </w:r>
            <w:r w:rsidRPr="00AA3F16">
              <w:rPr>
                <w:rFonts w:eastAsia="Arial" w:cs="Arial"/>
                <w:i/>
                <w:iCs/>
                <w:color w:val="000000"/>
                <w:lang w:val="es-ES" w:eastAsia="es-ES"/>
              </w:rPr>
              <w:t>Squatinidae</w:t>
            </w:r>
            <w:r w:rsidRPr="00AA3F16">
              <w:rPr>
                <w:rFonts w:eastAsia="Arial" w:cs="Arial"/>
                <w:color w:val="000000"/>
                <w:lang w:val="es-ES" w:eastAsia="es-ES"/>
              </w:rPr>
              <w:t>.</w:t>
            </w:r>
          </w:p>
        </w:tc>
      </w:tr>
      <w:tr w:rsidR="001162F9" w:rsidRPr="009E0427" w14:paraId="3478DB0E" w14:textId="77777777" w:rsidTr="008D4DCA">
        <w:trPr>
          <w:trHeight w:val="266"/>
        </w:trPr>
        <w:tc>
          <w:tcPr>
            <w:tcW w:w="1888" w:type="dxa"/>
          </w:tcPr>
          <w:p w14:paraId="4FADD945"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Anterior</w:t>
            </w:r>
          </w:p>
        </w:tc>
        <w:tc>
          <w:tcPr>
            <w:tcW w:w="7007" w:type="dxa"/>
          </w:tcPr>
          <w:p w14:paraId="5B750CCC"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Ubicado en o cerca del frontal del cuerpo.</w:t>
            </w:r>
          </w:p>
        </w:tc>
      </w:tr>
      <w:tr w:rsidR="001162F9" w:rsidRPr="009E0427" w14:paraId="330BDF0E" w14:textId="77777777" w:rsidTr="008D4DCA">
        <w:trPr>
          <w:trHeight w:val="775"/>
        </w:trPr>
        <w:tc>
          <w:tcPr>
            <w:tcW w:w="1888" w:type="dxa"/>
          </w:tcPr>
          <w:p w14:paraId="1B7885F9"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Pesca artesanal</w:t>
            </w:r>
          </w:p>
        </w:tc>
        <w:tc>
          <w:tcPr>
            <w:tcW w:w="7007" w:type="dxa"/>
          </w:tcPr>
          <w:p w14:paraId="79B86BC8"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Pesca tradicional que implica hogares de pescadores, que utilizan una cantidad relativamente pequeña de capital y energía, embarcaciones (si hay) de pesca relativamente pequeñas, con salidas breves para pescar, cercana a la costa, principalmente para consumo local.</w:t>
            </w:r>
          </w:p>
        </w:tc>
      </w:tr>
      <w:tr w:rsidR="001162F9" w:rsidRPr="009E0427" w14:paraId="7B44D040" w14:textId="77777777" w:rsidTr="008D4DCA">
        <w:trPr>
          <w:trHeight w:val="520"/>
        </w:trPr>
        <w:tc>
          <w:tcPr>
            <w:tcW w:w="1888" w:type="dxa"/>
          </w:tcPr>
          <w:p w14:paraId="6978D840"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Mortalidad en embarcación</w:t>
            </w:r>
          </w:p>
        </w:tc>
        <w:tc>
          <w:tcPr>
            <w:tcW w:w="7007" w:type="dxa"/>
          </w:tcPr>
          <w:p w14:paraId="5C0D09FB"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La proporción de individuos atrapados por algún aparejo de pesca que pierde la vida al recuperarse este aparejo (véase también: "mortalidad después de la liberación").</w:t>
            </w:r>
          </w:p>
        </w:tc>
      </w:tr>
      <w:tr w:rsidR="001162F9" w:rsidRPr="009E0427" w14:paraId="2CD82E77" w14:textId="77777777" w:rsidTr="008D4DCA">
        <w:trPr>
          <w:trHeight w:val="266"/>
        </w:trPr>
        <w:tc>
          <w:tcPr>
            <w:tcW w:w="1888" w:type="dxa"/>
          </w:tcPr>
          <w:p w14:paraId="19F620F0"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Bifurcado</w:t>
            </w:r>
          </w:p>
        </w:tc>
        <w:tc>
          <w:tcPr>
            <w:tcW w:w="7007" w:type="dxa"/>
          </w:tcPr>
          <w:p w14:paraId="125A4A11"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Ahorquillado o dividido en dos partes o ramales.</w:t>
            </w:r>
          </w:p>
        </w:tc>
      </w:tr>
      <w:tr w:rsidR="001162F9" w:rsidRPr="009E0427" w14:paraId="554EEE89" w14:textId="77777777" w:rsidTr="008D4DCA">
        <w:trPr>
          <w:trHeight w:val="775"/>
        </w:trPr>
        <w:tc>
          <w:tcPr>
            <w:tcW w:w="1888" w:type="dxa"/>
          </w:tcPr>
          <w:p w14:paraId="7C7B5F39"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Pesquerías de palangre de fondo</w:t>
            </w:r>
          </w:p>
        </w:tc>
        <w:tc>
          <w:tcPr>
            <w:tcW w:w="7007" w:type="dxa"/>
          </w:tcPr>
          <w:p w14:paraId="2400FF4D"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 xml:space="preserve">Técnica de pesca comercial que despliega un sedal largo principal, con pequeños pesos o anclas para mantenerla en el lecho marino, con anzuelos de carnada o restos destinados a especies de peces </w:t>
            </w:r>
            <w:proofErr w:type="spellStart"/>
            <w:r w:rsidRPr="00AA3F16">
              <w:rPr>
                <w:rFonts w:eastAsia="Arial" w:cs="Arial"/>
                <w:color w:val="000000"/>
                <w:lang w:val="es-ES" w:eastAsia="es-ES"/>
              </w:rPr>
              <w:t>demersales</w:t>
            </w:r>
            <w:proofErr w:type="spellEnd"/>
            <w:r w:rsidRPr="00AA3F16">
              <w:rPr>
                <w:rFonts w:eastAsia="Arial" w:cs="Arial"/>
                <w:color w:val="000000"/>
                <w:lang w:val="es-ES" w:eastAsia="es-ES"/>
              </w:rPr>
              <w:t>.</w:t>
            </w:r>
          </w:p>
        </w:tc>
      </w:tr>
      <w:tr w:rsidR="001162F9" w:rsidRPr="009E0427" w14:paraId="6EE55BF7" w14:textId="77777777" w:rsidTr="008D4DCA">
        <w:trPr>
          <w:trHeight w:val="254"/>
        </w:trPr>
        <w:tc>
          <w:tcPr>
            <w:tcW w:w="1888" w:type="dxa"/>
          </w:tcPr>
          <w:p w14:paraId="5021D523"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Red de arrastre</w:t>
            </w:r>
          </w:p>
        </w:tc>
        <w:tc>
          <w:tcPr>
            <w:tcW w:w="7007" w:type="dxa"/>
          </w:tcPr>
          <w:p w14:paraId="3CFA719D"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Una red con forma de cono remolcada por una o varias embarcaciones a lo largo del lecho marino.</w:t>
            </w:r>
          </w:p>
        </w:tc>
      </w:tr>
      <w:tr w:rsidR="001162F9" w:rsidRPr="009E0427" w14:paraId="39E36076" w14:textId="77777777" w:rsidTr="008D4DCA">
        <w:trPr>
          <w:trHeight w:val="266"/>
        </w:trPr>
        <w:tc>
          <w:tcPr>
            <w:tcW w:w="1888" w:type="dxa"/>
          </w:tcPr>
          <w:p w14:paraId="7005FAF4"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Captura incidental</w:t>
            </w:r>
          </w:p>
        </w:tc>
        <w:tc>
          <w:tcPr>
            <w:tcW w:w="7007" w:type="dxa"/>
          </w:tcPr>
          <w:p w14:paraId="307955F5"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La captura de especies que no son objetivo durante la pesca.</w:t>
            </w:r>
          </w:p>
        </w:tc>
      </w:tr>
      <w:tr w:rsidR="001162F9" w:rsidRPr="009E0427" w14:paraId="206E85C8" w14:textId="77777777" w:rsidTr="008D4DCA">
        <w:trPr>
          <w:trHeight w:val="266"/>
        </w:trPr>
        <w:tc>
          <w:tcPr>
            <w:tcW w:w="1888" w:type="dxa"/>
          </w:tcPr>
          <w:p w14:paraId="62F85B24"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Caudal o aleta caudal</w:t>
            </w:r>
          </w:p>
        </w:tc>
        <w:tc>
          <w:tcPr>
            <w:tcW w:w="7007" w:type="dxa"/>
          </w:tcPr>
          <w:p w14:paraId="6CCD70D5"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Relacionado a, que se asemeja a o en la posición de la cola.</w:t>
            </w:r>
          </w:p>
        </w:tc>
      </w:tr>
      <w:tr w:rsidR="001162F9" w:rsidRPr="009E0427" w14:paraId="59F28281" w14:textId="77777777" w:rsidTr="008D4DCA">
        <w:trPr>
          <w:trHeight w:val="266"/>
        </w:trPr>
        <w:tc>
          <w:tcPr>
            <w:tcW w:w="1888" w:type="dxa"/>
          </w:tcPr>
          <w:p w14:paraId="4B0EFA6F"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Cefalópodos</w:t>
            </w:r>
          </w:p>
        </w:tc>
        <w:tc>
          <w:tcPr>
            <w:tcW w:w="7007" w:type="dxa"/>
          </w:tcPr>
          <w:p w14:paraId="18AA57AF"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Grupo de moluscos que incluyen a los pulpos, chipirones o calamares.</w:t>
            </w:r>
          </w:p>
        </w:tc>
      </w:tr>
      <w:tr w:rsidR="001162F9" w:rsidRPr="009E0427" w14:paraId="5CDBDCD9" w14:textId="77777777" w:rsidTr="008D4DCA">
        <w:trPr>
          <w:trHeight w:val="1029"/>
        </w:trPr>
        <w:tc>
          <w:tcPr>
            <w:tcW w:w="1888" w:type="dxa"/>
          </w:tcPr>
          <w:p w14:paraId="478575F7"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Área Crítica de la especie Angelote (CASA)</w:t>
            </w:r>
          </w:p>
        </w:tc>
        <w:tc>
          <w:tcPr>
            <w:tcW w:w="7007" w:type="dxa"/>
          </w:tcPr>
          <w:p w14:paraId="660B5C2B"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Una zona geográfica concreta que contiene características esenciales y necesarias para la conservación de la especie Angelote. Esto puede incluir un área no ocupada actualmente por las especies que serían necesarias para su recuperación o conservación, p. ej., zonas de búsqueda de alimento, concentración, apareamiento o cría de peces.</w:t>
            </w:r>
          </w:p>
        </w:tc>
      </w:tr>
      <w:tr w:rsidR="001162F9" w:rsidRPr="009E0427" w14:paraId="79CE5615" w14:textId="77777777" w:rsidTr="008D4DCA">
        <w:trPr>
          <w:trHeight w:val="508"/>
        </w:trPr>
        <w:tc>
          <w:tcPr>
            <w:tcW w:w="1888" w:type="dxa"/>
          </w:tcPr>
          <w:p w14:paraId="79B45B01"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Crustáceos decápodos</w:t>
            </w:r>
          </w:p>
        </w:tc>
        <w:tc>
          <w:tcPr>
            <w:tcW w:w="7007" w:type="dxa"/>
          </w:tcPr>
          <w:p w14:paraId="17141DF7"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Grupo de crustáceos que comprende a los langostinos, gambas, cangrejos y langostas.</w:t>
            </w:r>
          </w:p>
        </w:tc>
      </w:tr>
      <w:tr w:rsidR="001162F9" w:rsidRPr="009E0427" w14:paraId="041E1FAA" w14:textId="77777777" w:rsidTr="008D4DCA">
        <w:trPr>
          <w:trHeight w:val="266"/>
        </w:trPr>
        <w:tc>
          <w:tcPr>
            <w:tcW w:w="1888" w:type="dxa"/>
          </w:tcPr>
          <w:p w14:paraId="7BC95D29"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t>Dorsal/aletas dorsales</w:t>
            </w:r>
          </w:p>
        </w:tc>
        <w:tc>
          <w:tcPr>
            <w:tcW w:w="7007" w:type="dxa"/>
          </w:tcPr>
          <w:p w14:paraId="7707DFB5"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Ubicado en o hacia el lado superior del cuerpo, equivalente a la espalda.</w:t>
            </w:r>
          </w:p>
        </w:tc>
      </w:tr>
      <w:tr w:rsidR="001162F9" w:rsidRPr="009E0427" w14:paraId="1F2AF35B" w14:textId="77777777" w:rsidTr="008D4DCA">
        <w:trPr>
          <w:trHeight w:val="775"/>
        </w:trPr>
        <w:tc>
          <w:tcPr>
            <w:tcW w:w="1888" w:type="dxa"/>
          </w:tcPr>
          <w:p w14:paraId="12B16872" w14:textId="77777777" w:rsidR="001162F9" w:rsidRPr="00AA3F16" w:rsidRDefault="001162F9" w:rsidP="002A4E27">
            <w:pPr>
              <w:widowControl w:val="0"/>
              <w:rPr>
                <w:rFonts w:eastAsia="Arial" w:cs="Arial"/>
                <w:color w:val="000000"/>
                <w:lang w:val="es-ES" w:eastAsia="en-GB"/>
              </w:rPr>
            </w:pPr>
            <w:proofErr w:type="spellStart"/>
            <w:r w:rsidRPr="00AA3F16">
              <w:rPr>
                <w:rFonts w:eastAsia="Arial" w:cs="Arial"/>
                <w:color w:val="000000"/>
                <w:lang w:val="es-ES" w:eastAsia="es-ES"/>
              </w:rPr>
              <w:t>eDNA</w:t>
            </w:r>
            <w:proofErr w:type="spellEnd"/>
          </w:p>
        </w:tc>
        <w:tc>
          <w:tcPr>
            <w:tcW w:w="7007" w:type="dxa"/>
          </w:tcPr>
          <w:p w14:paraId="3B008CEB"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ADN medioambiental: ADN que puede extraerse de muestras medioambientales como el agua marina o los sedimentos, que podría ser indicativo de la presencia de un organismo en el área.</w:t>
            </w:r>
          </w:p>
        </w:tc>
      </w:tr>
      <w:tr w:rsidR="001162F9" w:rsidRPr="009E0427" w14:paraId="1549BE49" w14:textId="77777777" w:rsidTr="008D4DCA">
        <w:trPr>
          <w:trHeight w:val="520"/>
        </w:trPr>
        <w:tc>
          <w:tcPr>
            <w:tcW w:w="1888" w:type="dxa"/>
          </w:tcPr>
          <w:p w14:paraId="4DC6B7AF" w14:textId="77777777" w:rsidR="001162F9" w:rsidRPr="00AA3F16" w:rsidRDefault="001162F9" w:rsidP="002A4E27">
            <w:pPr>
              <w:widowControl w:val="0"/>
              <w:rPr>
                <w:rFonts w:eastAsia="Arial" w:cs="Arial"/>
                <w:color w:val="000000"/>
                <w:lang w:val="es-ES" w:eastAsia="en-GB"/>
              </w:rPr>
            </w:pPr>
            <w:r w:rsidRPr="00AA3F16">
              <w:rPr>
                <w:rFonts w:eastAsia="Arial" w:cs="Arial"/>
                <w:color w:val="000000"/>
                <w:lang w:val="es-ES" w:eastAsia="es-ES"/>
              </w:rPr>
              <w:lastRenderedPageBreak/>
              <w:t>Eutrofización</w:t>
            </w:r>
          </w:p>
        </w:tc>
        <w:tc>
          <w:tcPr>
            <w:tcW w:w="7007" w:type="dxa"/>
          </w:tcPr>
          <w:p w14:paraId="5B81954E" w14:textId="77777777" w:rsidR="001162F9" w:rsidRPr="00AA3F16" w:rsidRDefault="001162F9" w:rsidP="002A4E27">
            <w:pPr>
              <w:widowControl w:val="0"/>
              <w:jc w:val="both"/>
              <w:rPr>
                <w:rFonts w:eastAsia="Arial" w:cs="Arial"/>
                <w:color w:val="000000"/>
                <w:lang w:val="es-ES" w:eastAsia="en-GB"/>
              </w:rPr>
            </w:pPr>
            <w:r w:rsidRPr="00AA3F16">
              <w:rPr>
                <w:rFonts w:eastAsia="Arial" w:cs="Arial"/>
                <w:color w:val="000000"/>
                <w:lang w:val="es-ES" w:eastAsia="es-ES"/>
              </w:rPr>
              <w:t>Riqueza excesiva de nutrientes en una masa de agua, debido frecuentemente su escape de la tierra, causando un denso crecimiento de vida vegetal.</w:t>
            </w:r>
          </w:p>
        </w:tc>
      </w:tr>
      <w:tr w:rsidR="001162F9" w:rsidRPr="00AA3F16" w14:paraId="49739F2F" w14:textId="77777777" w:rsidTr="008D4DCA">
        <w:trPr>
          <w:trHeight w:val="266"/>
        </w:trPr>
        <w:tc>
          <w:tcPr>
            <w:tcW w:w="1888" w:type="dxa"/>
          </w:tcPr>
          <w:p w14:paraId="4915AE0B"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Conservado</w:t>
            </w:r>
          </w:p>
        </w:tc>
        <w:tc>
          <w:tcPr>
            <w:tcW w:w="7007" w:type="dxa"/>
          </w:tcPr>
          <w:p w14:paraId="5FC2A653"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Todavía en existencia.</w:t>
            </w:r>
          </w:p>
        </w:tc>
      </w:tr>
      <w:tr w:rsidR="001162F9" w:rsidRPr="009E0427" w14:paraId="7F25B719" w14:textId="77777777" w:rsidTr="008D4DCA">
        <w:trPr>
          <w:trHeight w:val="1029"/>
        </w:trPr>
        <w:tc>
          <w:tcPr>
            <w:tcW w:w="1888" w:type="dxa"/>
          </w:tcPr>
          <w:p w14:paraId="73AEB087" w14:textId="126EFA5A" w:rsidR="001162F9" w:rsidRPr="00AA3F16" w:rsidRDefault="001162F9" w:rsidP="002A4E27">
            <w:pPr>
              <w:widowControl w:val="0"/>
              <w:rPr>
                <w:rFonts w:eastAsia="Arial" w:cs="Arial"/>
                <w:bCs/>
                <w:lang w:val="es-ES" w:eastAsia="en-GB"/>
              </w:rPr>
            </w:pPr>
            <w:r w:rsidRPr="00AA3F16">
              <w:rPr>
                <w:rFonts w:eastAsia="Arial" w:cs="Arial"/>
                <w:bCs/>
                <w:lang w:val="es-ES" w:eastAsia="es-ES"/>
              </w:rPr>
              <w:t xml:space="preserve">Estancamiento </w:t>
            </w:r>
            <w:r w:rsidR="00E92814">
              <w:rPr>
                <w:rFonts w:eastAsia="Arial" w:cs="Arial"/>
                <w:bCs/>
                <w:lang w:val="es-ES" w:eastAsia="es-ES"/>
              </w:rPr>
              <w:t>g</w:t>
            </w:r>
            <w:r w:rsidR="00C401F5">
              <w:rPr>
                <w:rFonts w:eastAsia="Arial" w:cs="Arial"/>
                <w:bCs/>
                <w:lang w:val="es-ES" w:eastAsia="es-ES"/>
              </w:rPr>
              <w:t>énico</w:t>
            </w:r>
          </w:p>
        </w:tc>
        <w:tc>
          <w:tcPr>
            <w:tcW w:w="7007" w:type="dxa"/>
          </w:tcPr>
          <w:p w14:paraId="0FB71ECF" w14:textId="64DCA70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 xml:space="preserve">Una reducción drástica del tamaño de una población que baja la reserva </w:t>
            </w:r>
            <w:r w:rsidR="00C401F5">
              <w:rPr>
                <w:rFonts w:eastAsia="Arial" w:cs="Arial"/>
                <w:bCs/>
                <w:lang w:val="es-ES" w:eastAsia="es-ES"/>
              </w:rPr>
              <w:t>génica</w:t>
            </w:r>
            <w:r w:rsidRPr="00AA3F16">
              <w:rPr>
                <w:rFonts w:eastAsia="Arial" w:cs="Arial"/>
                <w:bCs/>
                <w:lang w:val="es-ES" w:eastAsia="es-ES"/>
              </w:rPr>
              <w:t xml:space="preserve"> </w:t>
            </w:r>
            <w:r w:rsidR="00D04566">
              <w:rPr>
                <w:rFonts w:eastAsia="Arial" w:cs="Arial"/>
                <w:bCs/>
                <w:lang w:val="es-ES" w:eastAsia="es-ES"/>
              </w:rPr>
              <w:t xml:space="preserve">de </w:t>
            </w:r>
            <w:r w:rsidRPr="00AA3F16">
              <w:rPr>
                <w:rFonts w:eastAsia="Arial" w:cs="Arial"/>
                <w:bCs/>
                <w:lang w:val="es-ES" w:eastAsia="es-ES"/>
              </w:rPr>
              <w:t xml:space="preserve">dicha población. El resto de la población restante menor posee una variabilidad </w:t>
            </w:r>
            <w:r w:rsidR="00C401F5">
              <w:rPr>
                <w:rFonts w:eastAsia="Arial" w:cs="Arial"/>
                <w:bCs/>
                <w:lang w:val="es-ES" w:eastAsia="es-ES"/>
              </w:rPr>
              <w:t>génica</w:t>
            </w:r>
            <w:r w:rsidRPr="00AA3F16">
              <w:rPr>
                <w:rFonts w:eastAsia="Arial" w:cs="Arial"/>
                <w:bCs/>
                <w:lang w:val="es-ES" w:eastAsia="es-ES"/>
              </w:rPr>
              <w:t xml:space="preserve"> baja, la cual permanece así incluso después de una repoblación. La variabilidad </w:t>
            </w:r>
            <w:r w:rsidR="00C401F5">
              <w:rPr>
                <w:rFonts w:eastAsia="Arial" w:cs="Arial"/>
                <w:bCs/>
                <w:lang w:val="es-ES" w:eastAsia="es-ES"/>
              </w:rPr>
              <w:t>génica</w:t>
            </w:r>
            <w:r w:rsidRPr="00AA3F16">
              <w:rPr>
                <w:rFonts w:eastAsia="Arial" w:cs="Arial"/>
                <w:bCs/>
                <w:lang w:val="es-ES" w:eastAsia="es-ES"/>
              </w:rPr>
              <w:t xml:space="preserve"> solo aumenta con el influjo desde otra población a través del flujo </w:t>
            </w:r>
            <w:r w:rsidR="00C401F5">
              <w:rPr>
                <w:rFonts w:eastAsia="Arial" w:cs="Arial"/>
                <w:bCs/>
                <w:lang w:val="es-ES" w:eastAsia="es-ES"/>
              </w:rPr>
              <w:t>génico</w:t>
            </w:r>
            <w:r w:rsidRPr="00AA3F16">
              <w:rPr>
                <w:rFonts w:eastAsia="Arial" w:cs="Arial"/>
                <w:bCs/>
                <w:lang w:val="es-ES" w:eastAsia="es-ES"/>
              </w:rPr>
              <w:t>.</w:t>
            </w:r>
          </w:p>
        </w:tc>
      </w:tr>
      <w:tr w:rsidR="001162F9" w:rsidRPr="009E0427" w14:paraId="4DA59F15" w14:textId="77777777" w:rsidTr="008D4DCA">
        <w:trPr>
          <w:trHeight w:val="254"/>
        </w:trPr>
        <w:tc>
          <w:tcPr>
            <w:tcW w:w="1888" w:type="dxa"/>
          </w:tcPr>
          <w:p w14:paraId="64EE3A5B"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Variabilidad genética</w:t>
            </w:r>
          </w:p>
        </w:tc>
        <w:tc>
          <w:tcPr>
            <w:tcW w:w="7007" w:type="dxa"/>
          </w:tcPr>
          <w:p w14:paraId="2241B410"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La variabilidad genética presente dentro de una especie o población.</w:t>
            </w:r>
          </w:p>
        </w:tc>
      </w:tr>
      <w:tr w:rsidR="001162F9" w:rsidRPr="009E0427" w14:paraId="2FB9C97F" w14:textId="77777777" w:rsidTr="008D4DCA">
        <w:trPr>
          <w:trHeight w:val="520"/>
        </w:trPr>
        <w:tc>
          <w:tcPr>
            <w:tcW w:w="1888" w:type="dxa"/>
          </w:tcPr>
          <w:p w14:paraId="32A0952E" w14:textId="77777777" w:rsidR="001162F9" w:rsidRPr="00AA3F16" w:rsidRDefault="001162F9" w:rsidP="002A4E27">
            <w:pPr>
              <w:widowControl w:val="0"/>
              <w:rPr>
                <w:rFonts w:eastAsia="Arial" w:cs="Arial"/>
                <w:bCs/>
                <w:lang w:val="es-ES" w:eastAsia="en-GB"/>
              </w:rPr>
            </w:pPr>
          </w:p>
          <w:p w14:paraId="65D4B73A" w14:textId="18BD5633" w:rsidR="001162F9" w:rsidRPr="00AA3F16" w:rsidRDefault="001162F9" w:rsidP="002A4E27">
            <w:pPr>
              <w:widowControl w:val="0"/>
              <w:rPr>
                <w:rFonts w:eastAsia="Arial" w:cs="Arial"/>
                <w:bCs/>
                <w:lang w:val="es-ES" w:eastAsia="en-GB"/>
              </w:rPr>
            </w:pPr>
            <w:r w:rsidRPr="00AA3F16">
              <w:rPr>
                <w:rFonts w:eastAsia="Arial" w:cs="Arial"/>
                <w:bCs/>
                <w:lang w:val="es-ES" w:eastAsia="es-ES"/>
              </w:rPr>
              <w:t>Pesca fantasma</w:t>
            </w:r>
          </w:p>
        </w:tc>
        <w:tc>
          <w:tcPr>
            <w:tcW w:w="7007" w:type="dxa"/>
          </w:tcPr>
          <w:p w14:paraId="576183DC" w14:textId="77777777" w:rsidR="001162F9" w:rsidRPr="00AA3F16" w:rsidRDefault="001162F9" w:rsidP="002A4E27">
            <w:pPr>
              <w:widowControl w:val="0"/>
              <w:jc w:val="both"/>
              <w:rPr>
                <w:rFonts w:eastAsia="Arial" w:cs="Arial"/>
                <w:bCs/>
                <w:lang w:val="es-ES" w:eastAsia="en-GB"/>
              </w:rPr>
            </w:pPr>
          </w:p>
          <w:p w14:paraId="2C861AAA" w14:textId="5587D775"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Cuanto se desecha, pierde o abandona un aparejo de pesca y continúa atrapando, estrangulando o matando vida marina.</w:t>
            </w:r>
          </w:p>
        </w:tc>
      </w:tr>
      <w:tr w:rsidR="001162F9" w:rsidRPr="009E0427" w14:paraId="1BC8EA23" w14:textId="77777777" w:rsidTr="008D4DCA">
        <w:trPr>
          <w:trHeight w:val="775"/>
        </w:trPr>
        <w:tc>
          <w:tcPr>
            <w:tcW w:w="1888" w:type="dxa"/>
          </w:tcPr>
          <w:p w14:paraId="0573C988"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Red de enmalle</w:t>
            </w:r>
          </w:p>
        </w:tc>
        <w:tc>
          <w:tcPr>
            <w:tcW w:w="7007" w:type="dxa"/>
          </w:tcPr>
          <w:p w14:paraId="46072951"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Una red estrangulante que se sitúa verticalmente en el agua ya sea en la superficie, a media altura o en el fondo marinos. El tamaño de la red puede modificarse para capturar un pez específico, con un diseño para atraparlo por sus branquias.</w:t>
            </w:r>
          </w:p>
        </w:tc>
      </w:tr>
      <w:tr w:rsidR="001162F9" w:rsidRPr="00AA3F16" w14:paraId="5A37AC38" w14:textId="77777777" w:rsidTr="008D4DCA">
        <w:trPr>
          <w:trHeight w:val="775"/>
        </w:trPr>
        <w:tc>
          <w:tcPr>
            <w:tcW w:w="1888" w:type="dxa"/>
          </w:tcPr>
          <w:p w14:paraId="05CAEECD"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Hipoxia</w:t>
            </w:r>
          </w:p>
        </w:tc>
        <w:tc>
          <w:tcPr>
            <w:tcW w:w="7007" w:type="dxa"/>
          </w:tcPr>
          <w:p w14:paraId="5537D6C8"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Niveles bajos o nulos de oxígeno en una masa de agua. A menudo se asocia con el sobrecrecimiento de ciertas especies de algas, lo que puede llevar a un agotamiento del oxígeno cuando estas mueren, se hunden o se descomponen. Esta hipoxia causa "zonas muertas".</w:t>
            </w:r>
          </w:p>
        </w:tc>
      </w:tr>
      <w:tr w:rsidR="001162F9" w:rsidRPr="009E0427" w14:paraId="531F311A" w14:textId="77777777" w:rsidTr="008D4DCA">
        <w:trPr>
          <w:trHeight w:val="520"/>
        </w:trPr>
        <w:tc>
          <w:tcPr>
            <w:tcW w:w="1888" w:type="dxa"/>
          </w:tcPr>
          <w:p w14:paraId="24D6B9F6"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Especie invasiva</w:t>
            </w:r>
          </w:p>
        </w:tc>
        <w:tc>
          <w:tcPr>
            <w:tcW w:w="7007" w:type="dxa"/>
          </w:tcPr>
          <w:p w14:paraId="5CA8CF22"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 organismo que causa un daño ecológico o económico en un nuevo entorno del que no es nativo.</w:t>
            </w:r>
          </w:p>
        </w:tc>
      </w:tr>
      <w:tr w:rsidR="001162F9" w:rsidRPr="009E0427" w14:paraId="4AA00DCC" w14:textId="77777777" w:rsidTr="008D4DCA">
        <w:trPr>
          <w:trHeight w:val="508"/>
        </w:trPr>
        <w:tc>
          <w:tcPr>
            <w:tcW w:w="1888" w:type="dxa"/>
          </w:tcPr>
          <w:p w14:paraId="6EABA5E8"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Barbo nasal</w:t>
            </w:r>
          </w:p>
        </w:tc>
        <w:tc>
          <w:tcPr>
            <w:tcW w:w="7007" w:type="dxa"/>
          </w:tcPr>
          <w:p w14:paraId="4A08B1F6"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 órgano delgado con función táctil parecido a un "bigote" que se extiende desde la cabeza de algunos peces.</w:t>
            </w:r>
          </w:p>
        </w:tc>
      </w:tr>
      <w:tr w:rsidR="001162F9" w:rsidRPr="009E0427" w14:paraId="686DD2AA" w14:textId="77777777" w:rsidTr="008D4DCA">
        <w:trPr>
          <w:trHeight w:val="266"/>
        </w:trPr>
        <w:tc>
          <w:tcPr>
            <w:tcW w:w="1888" w:type="dxa"/>
          </w:tcPr>
          <w:p w14:paraId="793E265E"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Ocelo(s)</w:t>
            </w:r>
          </w:p>
        </w:tc>
        <w:tc>
          <w:tcPr>
            <w:tcW w:w="7007" w:type="dxa"/>
          </w:tcPr>
          <w:p w14:paraId="6052ED7E"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Una marca que asemeja un ojo.</w:t>
            </w:r>
          </w:p>
        </w:tc>
      </w:tr>
      <w:tr w:rsidR="001162F9" w:rsidRPr="009E0427" w14:paraId="7213E564" w14:textId="77777777" w:rsidTr="008D4DCA">
        <w:trPr>
          <w:trHeight w:val="266"/>
        </w:trPr>
        <w:tc>
          <w:tcPr>
            <w:tcW w:w="1888" w:type="dxa"/>
          </w:tcPr>
          <w:p w14:paraId="5837A011"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Patógenos</w:t>
            </w:r>
          </w:p>
        </w:tc>
        <w:tc>
          <w:tcPr>
            <w:tcW w:w="7007" w:type="dxa"/>
          </w:tcPr>
          <w:p w14:paraId="6904A3FC"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Una bacteria, virus u otro microorganismo que puede provocar una enfermedad.</w:t>
            </w:r>
          </w:p>
        </w:tc>
      </w:tr>
      <w:tr w:rsidR="001162F9" w:rsidRPr="009E0427" w14:paraId="2CC4B76F" w14:textId="77777777" w:rsidTr="008D4DCA">
        <w:trPr>
          <w:trHeight w:val="1029"/>
        </w:trPr>
        <w:tc>
          <w:tcPr>
            <w:tcW w:w="1888" w:type="dxa"/>
          </w:tcPr>
          <w:p w14:paraId="00542E49"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Fragmentación poblacional</w:t>
            </w:r>
          </w:p>
        </w:tc>
        <w:tc>
          <w:tcPr>
            <w:tcW w:w="7007" w:type="dxa"/>
          </w:tcPr>
          <w:p w14:paraId="38804ADC"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Cuando grupos de animales son separados de otros grupos de la misma especie y ya no están en contacto de forma que se permita el flujo génico entre los grupos. Esto aumenta el riesgo de endogamia y disminuye la variabilidad genética.</w:t>
            </w:r>
          </w:p>
        </w:tc>
      </w:tr>
      <w:tr w:rsidR="001162F9" w:rsidRPr="009E0427" w14:paraId="0698DB5B" w14:textId="77777777" w:rsidTr="008D4DCA">
        <w:trPr>
          <w:trHeight w:val="266"/>
        </w:trPr>
        <w:tc>
          <w:tcPr>
            <w:tcW w:w="1888" w:type="dxa"/>
          </w:tcPr>
          <w:p w14:paraId="11BDF990"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Posterior</w:t>
            </w:r>
          </w:p>
        </w:tc>
        <w:tc>
          <w:tcPr>
            <w:tcW w:w="7007" w:type="dxa"/>
          </w:tcPr>
          <w:p w14:paraId="401BD3CB"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Ubicado en o cerca de la parte posterior del cuerpo.</w:t>
            </w:r>
          </w:p>
        </w:tc>
      </w:tr>
      <w:tr w:rsidR="001162F9" w:rsidRPr="009E0427" w14:paraId="039C504B" w14:textId="77777777" w:rsidTr="008D4DCA">
        <w:trPr>
          <w:trHeight w:val="775"/>
        </w:trPr>
        <w:tc>
          <w:tcPr>
            <w:tcW w:w="1888" w:type="dxa"/>
          </w:tcPr>
          <w:p w14:paraId="3123E5E9"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Mortalidad después de la liberación</w:t>
            </w:r>
          </w:p>
          <w:p w14:paraId="4937E9CB" w14:textId="77777777" w:rsidR="001162F9" w:rsidRPr="00AA3F16" w:rsidRDefault="001162F9" w:rsidP="002A4E27">
            <w:pPr>
              <w:widowControl w:val="0"/>
              <w:rPr>
                <w:rFonts w:eastAsia="Arial" w:cs="Arial"/>
                <w:bCs/>
                <w:lang w:val="es-ES" w:eastAsia="en-GB"/>
              </w:rPr>
            </w:pPr>
          </w:p>
        </w:tc>
        <w:tc>
          <w:tcPr>
            <w:tcW w:w="7007" w:type="dxa"/>
          </w:tcPr>
          <w:p w14:paraId="0110FBE6" w14:textId="77777777" w:rsidR="001162F9" w:rsidRPr="00AA3F16" w:rsidRDefault="001162F9" w:rsidP="002A4E27">
            <w:pPr>
              <w:widowControl w:val="0"/>
              <w:jc w:val="both"/>
              <w:rPr>
                <w:rFonts w:eastAsia="Arial" w:cs="Arial"/>
                <w:lang w:val="es-ES" w:eastAsia="en-GB"/>
              </w:rPr>
            </w:pPr>
            <w:r w:rsidRPr="00AA3F16">
              <w:rPr>
                <w:rFonts w:eastAsia="Arial" w:cs="Arial"/>
                <w:color w:val="000000"/>
                <w:lang w:val="es-ES" w:eastAsia="es-ES"/>
              </w:rPr>
              <w:t>La proporción de especímenes que se liberan vivos después de su captura mediante un aparejo de pesca, pero que posteriormente mueren debido a los efectos directos o indirectos del proceso de captura (véase también: "mortalidad en la embarcación").</w:t>
            </w:r>
          </w:p>
        </w:tc>
      </w:tr>
      <w:tr w:rsidR="001162F9" w:rsidRPr="009E0427" w14:paraId="78219189" w14:textId="77777777" w:rsidTr="008D4DCA">
        <w:trPr>
          <w:trHeight w:val="508"/>
        </w:trPr>
        <w:tc>
          <w:tcPr>
            <w:tcW w:w="1888" w:type="dxa"/>
          </w:tcPr>
          <w:p w14:paraId="1EC10765"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 xml:space="preserve">Laminillas </w:t>
            </w:r>
            <w:proofErr w:type="spellStart"/>
            <w:r w:rsidRPr="00AA3F16">
              <w:rPr>
                <w:rFonts w:eastAsia="Arial" w:cs="Arial"/>
                <w:bCs/>
                <w:lang w:val="es-ES" w:eastAsia="es-ES"/>
              </w:rPr>
              <w:t>pseudobranquiales</w:t>
            </w:r>
            <w:proofErr w:type="spellEnd"/>
          </w:p>
        </w:tc>
        <w:tc>
          <w:tcPr>
            <w:tcW w:w="7007" w:type="dxa"/>
          </w:tcPr>
          <w:p w14:paraId="6E456ADD"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Varias capas delgadas de membranas formando una estructura que asemeja una rejilla. Tienen función respiratoria durante la fase embrionaria, pero no al llegar a adultos.</w:t>
            </w:r>
          </w:p>
        </w:tc>
      </w:tr>
      <w:tr w:rsidR="001162F9" w:rsidRPr="009E0427" w14:paraId="7C6B9A67" w14:textId="77777777" w:rsidTr="008D4DCA">
        <w:trPr>
          <w:trHeight w:val="520"/>
        </w:trPr>
        <w:tc>
          <w:tcPr>
            <w:tcW w:w="1888" w:type="dxa"/>
          </w:tcPr>
          <w:p w14:paraId="3AD936EC"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lastRenderedPageBreak/>
              <w:t>Pesca recreacional</w:t>
            </w:r>
          </w:p>
        </w:tc>
        <w:tc>
          <w:tcPr>
            <w:tcW w:w="7007" w:type="dxa"/>
          </w:tcPr>
          <w:p w14:paraId="3A1CC2D8"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Actividad que consiste en la captura o intento de captura principalmente mediante caña y sedal, con un poste o sujetando un sedal con la mano y con fines no comerciales.</w:t>
            </w:r>
          </w:p>
        </w:tc>
      </w:tr>
      <w:tr w:rsidR="001162F9" w:rsidRPr="009E0427" w14:paraId="769D5E54" w14:textId="77777777" w:rsidTr="008D4DCA">
        <w:trPr>
          <w:trHeight w:val="266"/>
        </w:trPr>
        <w:tc>
          <w:tcPr>
            <w:tcW w:w="1888" w:type="dxa"/>
          </w:tcPr>
          <w:p w14:paraId="470F5BA0"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Caña y sedal</w:t>
            </w:r>
          </w:p>
        </w:tc>
        <w:tc>
          <w:tcPr>
            <w:tcW w:w="7007" w:type="dxa"/>
          </w:tcPr>
          <w:p w14:paraId="333AECDB"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Caña con sedal de pesca unido a anzuelos.</w:t>
            </w:r>
          </w:p>
        </w:tc>
      </w:tr>
      <w:tr w:rsidR="001162F9" w:rsidRPr="009E0427" w14:paraId="120AE7EE" w14:textId="77777777" w:rsidTr="008D4DCA">
        <w:trPr>
          <w:trHeight w:val="266"/>
        </w:trPr>
        <w:tc>
          <w:tcPr>
            <w:tcW w:w="1888" w:type="dxa"/>
          </w:tcPr>
          <w:p w14:paraId="0E38B561"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Espátula</w:t>
            </w:r>
          </w:p>
        </w:tc>
        <w:tc>
          <w:tcPr>
            <w:tcW w:w="7007" w:type="dxa"/>
          </w:tcPr>
          <w:p w14:paraId="3092FD44"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Ancha en su punta y cónica en la base.</w:t>
            </w:r>
          </w:p>
        </w:tc>
      </w:tr>
      <w:tr w:rsidR="001162F9" w:rsidRPr="009E0427" w14:paraId="7F0505E2" w14:textId="77777777" w:rsidTr="008D4DCA">
        <w:trPr>
          <w:trHeight w:val="520"/>
        </w:trPr>
        <w:tc>
          <w:tcPr>
            <w:tcW w:w="1888" w:type="dxa"/>
          </w:tcPr>
          <w:p w14:paraId="47706137"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Pesca submarina</w:t>
            </w:r>
          </w:p>
        </w:tc>
        <w:tc>
          <w:tcPr>
            <w:tcW w:w="7007" w:type="dxa"/>
          </w:tcPr>
          <w:p w14:paraId="3D4E46F5"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Actividad de pesca con lanza, ya sea submarina o desde la superficie (o desde un bote o de pie en aguas poco profundas).</w:t>
            </w:r>
          </w:p>
        </w:tc>
      </w:tr>
      <w:tr w:rsidR="001162F9" w:rsidRPr="009E0427" w14:paraId="1A6C68F5" w14:textId="77777777" w:rsidTr="008D4DCA">
        <w:trPr>
          <w:trHeight w:val="254"/>
        </w:trPr>
        <w:tc>
          <w:tcPr>
            <w:tcW w:w="1888" w:type="dxa"/>
          </w:tcPr>
          <w:p w14:paraId="7EBFA9FB"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Espiráculo</w:t>
            </w:r>
          </w:p>
        </w:tc>
        <w:tc>
          <w:tcPr>
            <w:tcW w:w="7007" w:type="dxa"/>
          </w:tcPr>
          <w:p w14:paraId="19E8FE31"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Pequeña abertura respiratoria detrás del ojo de los tiburones y mantarrayas.</w:t>
            </w:r>
          </w:p>
        </w:tc>
      </w:tr>
      <w:tr w:rsidR="001162F9" w:rsidRPr="009E0427" w14:paraId="5D824A0F" w14:textId="77777777" w:rsidTr="008D4DCA">
        <w:trPr>
          <w:trHeight w:val="266"/>
        </w:trPr>
        <w:tc>
          <w:tcPr>
            <w:tcW w:w="1888" w:type="dxa"/>
          </w:tcPr>
          <w:p w14:paraId="4C033999" w14:textId="64502788" w:rsidR="001162F9" w:rsidRPr="00AA3F16" w:rsidRDefault="001162F9" w:rsidP="002A4E27">
            <w:pPr>
              <w:widowControl w:val="0"/>
              <w:rPr>
                <w:rFonts w:eastAsia="Arial" w:cs="Arial"/>
                <w:bCs/>
                <w:lang w:val="es-ES" w:eastAsia="en-GB"/>
              </w:rPr>
            </w:pPr>
            <w:proofErr w:type="spellStart"/>
            <w:r w:rsidRPr="00AA3F16">
              <w:rPr>
                <w:rFonts w:eastAsia="Arial" w:cs="Arial"/>
                <w:bCs/>
                <w:lang w:val="es-ES" w:eastAsia="es-ES"/>
              </w:rPr>
              <w:t>Surfcastin</w:t>
            </w:r>
            <w:r w:rsidR="00D04566">
              <w:rPr>
                <w:rFonts w:eastAsia="Arial" w:cs="Arial"/>
                <w:bCs/>
                <w:lang w:val="es-ES" w:eastAsia="es-ES"/>
              </w:rPr>
              <w:t>g</w:t>
            </w:r>
            <w:proofErr w:type="spellEnd"/>
          </w:p>
        </w:tc>
        <w:tc>
          <w:tcPr>
            <w:tcW w:w="7007" w:type="dxa"/>
          </w:tcPr>
          <w:p w14:paraId="32C57E12" w14:textId="77777777"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Pesca mediante el lanzamiento de un sedal al mar desde la costa.</w:t>
            </w:r>
          </w:p>
        </w:tc>
      </w:tr>
      <w:tr w:rsidR="001162F9" w:rsidRPr="009E0427" w14:paraId="7DF0D8FC" w14:textId="77777777" w:rsidTr="008D4DCA">
        <w:trPr>
          <w:trHeight w:val="775"/>
        </w:trPr>
        <w:tc>
          <w:tcPr>
            <w:tcW w:w="1888" w:type="dxa"/>
          </w:tcPr>
          <w:p w14:paraId="6A601343" w14:textId="77777777" w:rsidR="001162F9" w:rsidRPr="00AA3F16" w:rsidRDefault="001162F9" w:rsidP="002A4E27">
            <w:pPr>
              <w:widowControl w:val="0"/>
              <w:rPr>
                <w:rFonts w:eastAsia="Arial" w:cs="Arial"/>
                <w:bCs/>
                <w:lang w:val="es-ES" w:eastAsia="en-GB"/>
              </w:rPr>
            </w:pPr>
            <w:r w:rsidRPr="00AA3F16">
              <w:rPr>
                <w:rFonts w:eastAsia="Arial" w:cs="Arial"/>
                <w:bCs/>
                <w:lang w:val="es-ES" w:eastAsia="es-ES"/>
              </w:rPr>
              <w:t>Red de enredo</w:t>
            </w:r>
          </w:p>
        </w:tc>
        <w:tc>
          <w:tcPr>
            <w:tcW w:w="7007" w:type="dxa"/>
          </w:tcPr>
          <w:p w14:paraId="02CFEE2D" w14:textId="0F3C1BF8"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Una red con enredado con un sedal principal más corto que la longitud del panel de red para que la red se enganche en pliegues. El tamaño de la malla es menor que el de una red de enmalle.</w:t>
            </w:r>
          </w:p>
        </w:tc>
      </w:tr>
      <w:tr w:rsidR="001162F9" w:rsidRPr="009E0427" w14:paraId="6E56EABD" w14:textId="77777777" w:rsidTr="008D4DCA">
        <w:trPr>
          <w:trHeight w:val="775"/>
        </w:trPr>
        <w:tc>
          <w:tcPr>
            <w:tcW w:w="1888" w:type="dxa"/>
          </w:tcPr>
          <w:p w14:paraId="217FEB75" w14:textId="77777777" w:rsidR="001162F9" w:rsidRPr="00AA3F16" w:rsidRDefault="001162F9" w:rsidP="002A4E27">
            <w:pPr>
              <w:widowControl w:val="0"/>
              <w:jc w:val="both"/>
              <w:rPr>
                <w:rFonts w:eastAsia="Arial" w:cs="Arial"/>
                <w:bCs/>
                <w:lang w:val="es-ES" w:eastAsia="en-GB"/>
              </w:rPr>
            </w:pPr>
          </w:p>
          <w:p w14:paraId="1BC134F0" w14:textId="530C7F63"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Red de trasmallo</w:t>
            </w:r>
          </w:p>
        </w:tc>
        <w:tc>
          <w:tcPr>
            <w:tcW w:w="7007" w:type="dxa"/>
          </w:tcPr>
          <w:p w14:paraId="08033CA6" w14:textId="77777777" w:rsidR="001162F9" w:rsidRPr="00AA3F16" w:rsidRDefault="001162F9" w:rsidP="002A4E27">
            <w:pPr>
              <w:widowControl w:val="0"/>
              <w:jc w:val="both"/>
              <w:rPr>
                <w:rFonts w:eastAsia="Arial" w:cs="Arial"/>
                <w:bCs/>
                <w:lang w:val="es-ES" w:eastAsia="en-GB"/>
              </w:rPr>
            </w:pPr>
          </w:p>
          <w:p w14:paraId="5E188944" w14:textId="4378AFF6" w:rsidR="001162F9" w:rsidRPr="00AA3F16" w:rsidRDefault="001162F9" w:rsidP="002A4E27">
            <w:pPr>
              <w:widowControl w:val="0"/>
              <w:jc w:val="both"/>
              <w:rPr>
                <w:rFonts w:eastAsia="Arial" w:cs="Arial"/>
                <w:bCs/>
                <w:lang w:val="es-ES" w:eastAsia="en-GB"/>
              </w:rPr>
            </w:pPr>
            <w:r w:rsidRPr="00AA3F16">
              <w:rPr>
                <w:rFonts w:eastAsia="Arial" w:cs="Arial"/>
                <w:bCs/>
                <w:lang w:val="es-ES" w:eastAsia="es-ES"/>
              </w:rPr>
              <w:t>Una red con enredado que se asienta verticalmente en el agua, normalmente compuesta de una pequeña malla interior entre dos paneles con una red de malla grande dentro de lo cual los peces se enredan.</w:t>
            </w:r>
          </w:p>
        </w:tc>
      </w:tr>
    </w:tbl>
    <w:p w14:paraId="04FF66E0" w14:textId="19396CE9" w:rsidR="003D260B" w:rsidRPr="00AA3F16" w:rsidRDefault="003D260B" w:rsidP="002A4E27">
      <w:pPr>
        <w:jc w:val="both"/>
        <w:rPr>
          <w:rFonts w:cs="Arial"/>
          <w:spacing w:val="-2"/>
          <w:lang w:val="es-ES" w:eastAsia="en-GB"/>
        </w:rPr>
      </w:pPr>
    </w:p>
    <w:p w14:paraId="4B13E728" w14:textId="77777777" w:rsidR="003D260B" w:rsidRPr="00AA3F16" w:rsidRDefault="003D260B">
      <w:pPr>
        <w:rPr>
          <w:rFonts w:cs="Arial"/>
          <w:spacing w:val="-2"/>
          <w:lang w:val="es-ES" w:eastAsia="en-GB"/>
        </w:rPr>
      </w:pPr>
      <w:r w:rsidRPr="00AA3F16">
        <w:rPr>
          <w:rFonts w:cs="Arial"/>
          <w:lang w:val="es-ES" w:eastAsia="es-ES"/>
        </w:rPr>
        <w:br w:type="page"/>
      </w:r>
    </w:p>
    <w:p w14:paraId="2E3B4E84" w14:textId="77777777" w:rsidR="003D260B" w:rsidRPr="00AA3F16" w:rsidRDefault="003D260B" w:rsidP="003D260B">
      <w:pPr>
        <w:keepNext/>
        <w:keepLines/>
        <w:outlineLvl w:val="0"/>
        <w:rPr>
          <w:rFonts w:eastAsia="Times New Roman" w:cs="Arial"/>
          <w:b/>
          <w:lang w:val="es-ES" w:eastAsia="en-GB"/>
        </w:rPr>
      </w:pPr>
      <w:bookmarkStart w:id="7" w:name="_Toc108701922"/>
    </w:p>
    <w:p w14:paraId="248D8C75" w14:textId="6B588812" w:rsidR="003D260B" w:rsidRPr="00AA3F16" w:rsidRDefault="003D260B" w:rsidP="003D260B">
      <w:pPr>
        <w:keepNext/>
        <w:keepLines/>
        <w:numPr>
          <w:ilvl w:val="0"/>
          <w:numId w:val="17"/>
        </w:numPr>
        <w:ind w:left="540" w:hanging="540"/>
        <w:outlineLvl w:val="0"/>
        <w:rPr>
          <w:rFonts w:eastAsia="Times New Roman" w:cs="Arial"/>
          <w:b/>
          <w:lang w:val="es-ES" w:eastAsia="en-GB"/>
        </w:rPr>
      </w:pPr>
      <w:bookmarkStart w:id="8" w:name="_Toc118277530"/>
      <w:r w:rsidRPr="00AA3F16">
        <w:rPr>
          <w:rFonts w:eastAsia="Times New Roman" w:cs="Arial"/>
          <w:b/>
          <w:lang w:val="es-ES" w:eastAsia="es-ES"/>
        </w:rPr>
        <w:t>EVALUACIÓN BIOLÓGICA</w:t>
      </w:r>
      <w:bookmarkEnd w:id="7"/>
      <w:bookmarkEnd w:id="8"/>
    </w:p>
    <w:p w14:paraId="49B4AAC3" w14:textId="77777777" w:rsidR="003D260B" w:rsidRPr="00AA3F16" w:rsidRDefault="003D260B" w:rsidP="003D260B">
      <w:pPr>
        <w:keepNext/>
        <w:keepLines/>
        <w:outlineLvl w:val="0"/>
        <w:rPr>
          <w:rFonts w:eastAsia="Times New Roman" w:cs="Arial"/>
          <w:b/>
          <w:iCs/>
          <w:lang w:val="es-ES" w:eastAsia="en-GB"/>
        </w:rPr>
      </w:pPr>
    </w:p>
    <w:p w14:paraId="65521774" w14:textId="77777777" w:rsidR="003D260B" w:rsidRPr="00AA3F16" w:rsidRDefault="003D260B" w:rsidP="002A4E27">
      <w:pPr>
        <w:keepNext/>
        <w:keepLines/>
        <w:ind w:left="540" w:hanging="540"/>
        <w:outlineLvl w:val="1"/>
        <w:rPr>
          <w:rFonts w:eastAsia="Times New Roman" w:cs="Arial"/>
          <w:b/>
          <w:i/>
          <w:lang w:val="es-ES" w:eastAsia="en-GB"/>
        </w:rPr>
      </w:pPr>
      <w:bookmarkStart w:id="9" w:name="_Toc108701923"/>
      <w:bookmarkStart w:id="10" w:name="_Toc118277531"/>
      <w:r w:rsidRPr="00AA3F16">
        <w:rPr>
          <w:rFonts w:eastAsia="Times New Roman" w:cs="Arial"/>
          <w:b/>
          <w:iCs/>
          <w:lang w:val="es-ES" w:eastAsia="es-ES"/>
        </w:rPr>
        <w:t>1.1.</w:t>
      </w:r>
      <w:r w:rsidRPr="00AA3F16">
        <w:rPr>
          <w:rFonts w:eastAsia="Times New Roman" w:cs="Arial"/>
          <w:b/>
          <w:iCs/>
          <w:lang w:val="es-ES" w:eastAsia="es-ES"/>
        </w:rPr>
        <w:tab/>
        <w:t>Taxón</w:t>
      </w:r>
      <w:bookmarkEnd w:id="9"/>
      <w:bookmarkEnd w:id="10"/>
      <w:r w:rsidRPr="00AA3F16">
        <w:rPr>
          <w:rFonts w:eastAsia="Times New Roman" w:cs="Arial"/>
          <w:b/>
          <w:i/>
          <w:lang w:val="es-ES" w:eastAsia="es-ES"/>
        </w:rPr>
        <w:t xml:space="preserve"> </w:t>
      </w:r>
    </w:p>
    <w:p w14:paraId="195AAAC3"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4655CAB7" w14:textId="2C944353"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En el mar Mediterráneo existen tres de Angelote: Angelote (</w:t>
      </w: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r w:rsidRPr="00AA3F16">
        <w:rPr>
          <w:rFonts w:eastAsia="Arial" w:cs="Arial"/>
          <w:iCs/>
          <w:color w:val="000000"/>
          <w:lang w:val="es-ES" w:eastAsia="es-ES"/>
        </w:rPr>
        <w:t xml:space="preserve">Tabla 1), </w:t>
      </w:r>
      <w:r w:rsidRPr="00AA3F16">
        <w:rPr>
          <w:rFonts w:eastAsia="Arial" w:cs="Arial"/>
          <w:color w:val="000000"/>
          <w:lang w:val="es-ES" w:eastAsia="es-ES"/>
        </w:rPr>
        <w:t>Angelote Manchado (</w:t>
      </w: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proofErr w:type="spellStart"/>
      <w:r w:rsidRPr="00AA3F16">
        <w:rPr>
          <w:rFonts w:eastAsia="Arial" w:cs="Arial"/>
          <w:i/>
          <w:lang w:val="es-ES" w:eastAsia="es-ES"/>
        </w:rPr>
        <w:t>oculata</w:t>
      </w:r>
      <w:proofErr w:type="spellEnd"/>
      <w:r w:rsidRPr="00AA3F16">
        <w:rPr>
          <w:rFonts w:eastAsia="Arial" w:cs="Arial"/>
          <w:iCs/>
          <w:color w:val="000000"/>
          <w:lang w:val="es-ES" w:eastAsia="es-ES"/>
        </w:rPr>
        <w:t>)</w:t>
      </w:r>
      <w:r w:rsidRPr="00AA3F16">
        <w:rPr>
          <w:rFonts w:eastAsia="Arial" w:cs="Arial"/>
          <w:i/>
          <w:color w:val="000000"/>
          <w:lang w:val="es-ES" w:eastAsia="es-ES"/>
        </w:rPr>
        <w:t xml:space="preserve"> </w:t>
      </w:r>
      <w:r w:rsidRPr="00AA3F16">
        <w:rPr>
          <w:rFonts w:eastAsia="Arial" w:cs="Arial"/>
          <w:color w:val="000000"/>
          <w:lang w:val="es-ES" w:eastAsia="es-ES"/>
        </w:rPr>
        <w:t>y Angelote Espinudo (</w:t>
      </w: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proofErr w:type="spellStart"/>
      <w:r w:rsidRPr="00AA3F16">
        <w:rPr>
          <w:rFonts w:eastAsia="Arial" w:cs="Arial"/>
          <w:i/>
          <w:color w:val="000000"/>
          <w:lang w:val="es-ES" w:eastAsia="es-ES"/>
        </w:rPr>
        <w:t>aculeata</w:t>
      </w:r>
      <w:proofErr w:type="spellEnd"/>
      <w:r w:rsidRPr="00AA3F16">
        <w:rPr>
          <w:rFonts w:eastAsia="Arial" w:cs="Arial"/>
          <w:iCs/>
          <w:color w:val="000000"/>
          <w:lang w:val="es-ES" w:eastAsia="es-ES"/>
        </w:rPr>
        <w:t>)</w:t>
      </w:r>
      <w:r w:rsidRPr="00AA3F16">
        <w:rPr>
          <w:rFonts w:eastAsia="Arial" w:cs="Arial"/>
          <w:color w:val="000000"/>
          <w:lang w:val="es-ES" w:eastAsia="es-ES"/>
        </w:rPr>
        <w:t xml:space="preserve">. Todas las especies poseen una morfología parecida y es posible que se produzcan errores de identificación entre las tres especies. Solo una especie, el Angelote </w:t>
      </w: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proofErr w:type="spellStart"/>
      <w:r w:rsidRPr="00AA3F16">
        <w:rPr>
          <w:rFonts w:eastAsia="Arial" w:cs="Arial"/>
          <w:i/>
          <w:color w:val="000000"/>
          <w:lang w:val="es-ES" w:eastAsia="es-ES"/>
        </w:rPr>
        <w:t>squatina</w:t>
      </w:r>
      <w:proofErr w:type="spellEnd"/>
      <w:r w:rsidRPr="00AA3F16">
        <w:rPr>
          <w:rFonts w:eastAsia="Arial" w:cs="Arial"/>
          <w:color w:val="000000"/>
          <w:lang w:val="es-ES" w:eastAsia="es-ES"/>
        </w:rPr>
        <w:t xml:space="preserve">, se enumera en los </w:t>
      </w:r>
      <w:r w:rsidRPr="00AA3F16">
        <w:rPr>
          <w:rFonts w:eastAsia="Arial" w:cs="Arial"/>
          <w:lang w:val="es-ES" w:eastAsia="es-ES"/>
        </w:rPr>
        <w:t>Anexos de</w:t>
      </w:r>
      <w:r w:rsidRPr="00AA3F16">
        <w:rPr>
          <w:rFonts w:eastAsia="Arial" w:cs="Arial"/>
          <w:color w:val="000000"/>
          <w:lang w:val="es-ES" w:eastAsia="es-ES"/>
        </w:rPr>
        <w:t xml:space="preserve"> </w:t>
      </w:r>
      <w:r w:rsidRPr="00AA3F16">
        <w:rPr>
          <w:rFonts w:eastAsia="Arial" w:cs="Arial"/>
          <w:lang w:val="es-ES" w:eastAsia="es-ES"/>
        </w:rPr>
        <w:t>la Convención sobre la Conservación de Especies Migratorias (</w:t>
      </w:r>
      <w:r w:rsidRPr="00AA3F16">
        <w:rPr>
          <w:rFonts w:eastAsia="Arial" w:cs="Arial"/>
          <w:color w:val="000000"/>
          <w:lang w:val="es-ES" w:eastAsia="es-ES"/>
        </w:rPr>
        <w:t>CMS), siendo también tratada en este Plan de Acción de especie única.</w:t>
      </w:r>
    </w:p>
    <w:p w14:paraId="644E9A15"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3679FC09"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r w:rsidRPr="00AA3F16">
        <w:rPr>
          <w:rFonts w:eastAsia="Arial" w:cs="Arial"/>
          <w:b/>
          <w:bCs/>
          <w:color w:val="000000"/>
          <w:lang w:val="es-ES" w:eastAsia="es-ES"/>
        </w:rPr>
        <w:t>Tabla 1:</w:t>
      </w:r>
      <w:r w:rsidRPr="00AA3F16">
        <w:rPr>
          <w:rFonts w:eastAsia="Arial" w:cs="Arial"/>
          <w:color w:val="000000"/>
          <w:lang w:val="es-ES" w:eastAsia="es-ES"/>
        </w:rPr>
        <w:t xml:space="preserve"> Clasificación taxonómica del Angelote (</w:t>
      </w:r>
      <w:proofErr w:type="spellStart"/>
      <w:r w:rsidRPr="00AA3F16">
        <w:rPr>
          <w:rFonts w:eastAsia="Arial" w:cs="Arial"/>
          <w:i/>
          <w:iCs/>
          <w:color w:val="000000"/>
          <w:lang w:val="es-ES" w:eastAsia="es-ES"/>
        </w:rPr>
        <w:t>Squatina</w:t>
      </w:r>
      <w:proofErr w:type="spellEnd"/>
      <w:r w:rsidRPr="00AA3F16">
        <w:rPr>
          <w:rFonts w:eastAsia="Arial" w:cs="Arial"/>
          <w:i/>
          <w:iCs/>
          <w:color w:val="000000"/>
          <w:lang w:val="es-ES" w:eastAsia="es-ES"/>
        </w:rPr>
        <w:t xml:space="preserve"> </w:t>
      </w:r>
      <w:proofErr w:type="spellStart"/>
      <w:r w:rsidRPr="00AA3F16">
        <w:rPr>
          <w:rFonts w:eastAsia="Arial" w:cs="Arial"/>
          <w:i/>
          <w:iCs/>
          <w:color w:val="000000"/>
          <w:lang w:val="es-ES" w:eastAsia="es-ES"/>
        </w:rPr>
        <w:t>squatina</w:t>
      </w:r>
      <w:proofErr w:type="spellEnd"/>
      <w:r w:rsidRPr="00AA3F16">
        <w:rPr>
          <w:rFonts w:eastAsia="Arial" w:cs="Arial"/>
          <w:color w:val="000000"/>
          <w:lang w:val="es-ES" w:eastAsia="es-ES"/>
        </w:rPr>
        <w:t>) y denominaciones comunes en múltiples idiomas.</w:t>
      </w:r>
    </w:p>
    <w:p w14:paraId="00C6A809" w14:textId="77777777" w:rsidR="003D260B" w:rsidRPr="00AA3F16" w:rsidRDefault="003D260B" w:rsidP="003D260B">
      <w:pPr>
        <w:pBdr>
          <w:top w:val="nil"/>
          <w:left w:val="nil"/>
          <w:bottom w:val="nil"/>
          <w:right w:val="nil"/>
          <w:between w:val="nil"/>
        </w:pBdr>
        <w:jc w:val="both"/>
        <w:rPr>
          <w:rFonts w:eastAsia="Arial" w:cs="Arial"/>
          <w:u w:val="single"/>
          <w:lang w:val="es-ES" w:eastAsia="en-GB"/>
        </w:rPr>
      </w:pPr>
    </w:p>
    <w:tbl>
      <w:tblPr>
        <w:tblW w:w="8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52"/>
        <w:gridCol w:w="6497"/>
      </w:tblGrid>
      <w:tr w:rsidR="003D260B" w:rsidRPr="00AA3F16" w14:paraId="7BA06428" w14:textId="77777777" w:rsidTr="008D4DCA">
        <w:trPr>
          <w:trHeight w:val="260"/>
        </w:trPr>
        <w:tc>
          <w:tcPr>
            <w:tcW w:w="2452" w:type="dxa"/>
            <w:shd w:val="clear" w:color="auto" w:fill="auto"/>
            <w:tcMar>
              <w:top w:w="100" w:type="dxa"/>
              <w:left w:w="100" w:type="dxa"/>
              <w:bottom w:w="100" w:type="dxa"/>
              <w:right w:w="100" w:type="dxa"/>
            </w:tcMar>
          </w:tcPr>
          <w:p w14:paraId="60290EAD" w14:textId="77777777" w:rsidR="003D260B" w:rsidRPr="00AA3F16" w:rsidRDefault="003D260B" w:rsidP="003D260B">
            <w:pPr>
              <w:numPr>
                <w:ilvl w:val="1"/>
                <w:numId w:val="17"/>
              </w:numPr>
              <w:pBdr>
                <w:top w:val="nil"/>
                <w:left w:val="nil"/>
                <w:bottom w:val="nil"/>
                <w:right w:val="nil"/>
                <w:between w:val="nil"/>
              </w:pBdr>
              <w:contextualSpacing/>
              <w:jc w:val="both"/>
              <w:rPr>
                <w:rFonts w:eastAsia="Arial" w:cs="Arial"/>
                <w:color w:val="000000"/>
                <w:u w:val="single"/>
                <w:lang w:val="es-ES"/>
              </w:rPr>
            </w:pPr>
            <w:r w:rsidRPr="00AA3F16">
              <w:rPr>
                <w:rFonts w:eastAsia="Arial" w:cs="Arial"/>
                <w:color w:val="000000"/>
                <w:u w:val="single"/>
                <w:lang w:val="es-ES"/>
              </w:rPr>
              <w:t>Clase:</w:t>
            </w:r>
          </w:p>
        </w:tc>
        <w:tc>
          <w:tcPr>
            <w:tcW w:w="6497" w:type="dxa"/>
            <w:shd w:val="clear" w:color="auto" w:fill="auto"/>
            <w:tcMar>
              <w:top w:w="100" w:type="dxa"/>
              <w:left w:w="100" w:type="dxa"/>
              <w:bottom w:w="100" w:type="dxa"/>
              <w:right w:w="100" w:type="dxa"/>
            </w:tcMar>
          </w:tcPr>
          <w:p w14:paraId="2224DF8A" w14:textId="77777777" w:rsidR="003D260B" w:rsidRPr="00AA3F16" w:rsidRDefault="003D260B" w:rsidP="003D260B">
            <w:pPr>
              <w:jc w:val="both"/>
              <w:rPr>
                <w:rFonts w:eastAsia="Arial" w:cs="Arial"/>
                <w:lang w:val="es-ES" w:eastAsia="en-GB"/>
              </w:rPr>
            </w:pPr>
            <w:r w:rsidRPr="00AA3F16">
              <w:rPr>
                <w:rFonts w:eastAsia="Arial" w:cs="Arial"/>
                <w:lang w:val="es-ES" w:eastAsia="es-ES"/>
              </w:rPr>
              <w:t>Elasmobranquios</w:t>
            </w:r>
            <w:r w:rsidRPr="00AA3F16">
              <w:rPr>
                <w:rFonts w:eastAsia="Arial" w:cs="Arial"/>
                <w:vertAlign w:val="superscript"/>
                <w:lang w:val="es-ES" w:eastAsia="es-ES"/>
              </w:rPr>
              <w:footnoteReference w:id="3"/>
            </w:r>
          </w:p>
        </w:tc>
      </w:tr>
      <w:tr w:rsidR="003D260B" w:rsidRPr="00AA3F16" w14:paraId="37B3316E" w14:textId="77777777" w:rsidTr="008D4DCA">
        <w:trPr>
          <w:trHeight w:val="417"/>
        </w:trPr>
        <w:tc>
          <w:tcPr>
            <w:tcW w:w="2452" w:type="dxa"/>
            <w:shd w:val="clear" w:color="auto" w:fill="auto"/>
            <w:tcMar>
              <w:top w:w="100" w:type="dxa"/>
              <w:left w:w="100" w:type="dxa"/>
              <w:bottom w:w="100" w:type="dxa"/>
              <w:right w:w="100" w:type="dxa"/>
            </w:tcMar>
          </w:tcPr>
          <w:p w14:paraId="532F471E" w14:textId="77777777" w:rsidR="003D260B" w:rsidRPr="00AA3F16" w:rsidRDefault="003D260B" w:rsidP="003D260B">
            <w:pPr>
              <w:widowControl w:val="0"/>
              <w:numPr>
                <w:ilvl w:val="1"/>
                <w:numId w:val="17"/>
              </w:numPr>
              <w:pBdr>
                <w:top w:val="nil"/>
                <w:left w:val="nil"/>
                <w:bottom w:val="nil"/>
                <w:right w:val="nil"/>
                <w:between w:val="nil"/>
              </w:pBdr>
              <w:contextualSpacing/>
              <w:jc w:val="both"/>
              <w:rPr>
                <w:rFonts w:eastAsia="Arial" w:cs="Arial"/>
                <w:color w:val="000000"/>
                <w:u w:val="single"/>
                <w:lang w:val="es-ES"/>
              </w:rPr>
            </w:pPr>
            <w:r w:rsidRPr="00AA3F16">
              <w:rPr>
                <w:rFonts w:eastAsia="Arial" w:cs="Arial"/>
                <w:color w:val="000000"/>
                <w:u w:val="single"/>
                <w:lang w:val="es-ES"/>
              </w:rPr>
              <w:t>Orden:</w:t>
            </w:r>
          </w:p>
        </w:tc>
        <w:tc>
          <w:tcPr>
            <w:tcW w:w="6497" w:type="dxa"/>
            <w:shd w:val="clear" w:color="auto" w:fill="auto"/>
            <w:tcMar>
              <w:top w:w="100" w:type="dxa"/>
              <w:left w:w="100" w:type="dxa"/>
              <w:bottom w:w="100" w:type="dxa"/>
              <w:right w:w="100" w:type="dxa"/>
            </w:tcMar>
          </w:tcPr>
          <w:p w14:paraId="57C83C03" w14:textId="77777777" w:rsidR="003D260B" w:rsidRPr="00AA3F16" w:rsidRDefault="003D260B" w:rsidP="003D260B">
            <w:pPr>
              <w:widowControl w:val="0"/>
              <w:pBdr>
                <w:top w:val="nil"/>
                <w:left w:val="nil"/>
                <w:bottom w:val="nil"/>
                <w:right w:val="nil"/>
                <w:between w:val="nil"/>
              </w:pBdr>
              <w:jc w:val="both"/>
              <w:rPr>
                <w:rFonts w:eastAsia="Arial" w:cs="Arial"/>
                <w:u w:val="single"/>
                <w:lang w:val="es-ES" w:eastAsia="en-GB"/>
              </w:rPr>
            </w:pPr>
            <w:proofErr w:type="spellStart"/>
            <w:r w:rsidRPr="00AA3F16">
              <w:rPr>
                <w:rFonts w:eastAsia="Arial" w:cs="Arial"/>
                <w:color w:val="000000"/>
                <w:lang w:val="es-ES" w:eastAsia="es-ES"/>
              </w:rPr>
              <w:t>Escualiformes</w:t>
            </w:r>
            <w:proofErr w:type="spellEnd"/>
          </w:p>
        </w:tc>
      </w:tr>
      <w:tr w:rsidR="003D260B" w:rsidRPr="00AA3F16" w14:paraId="42CB1A8E" w14:textId="77777777" w:rsidTr="008D4DCA">
        <w:trPr>
          <w:trHeight w:val="428"/>
        </w:trPr>
        <w:tc>
          <w:tcPr>
            <w:tcW w:w="2452" w:type="dxa"/>
            <w:shd w:val="clear" w:color="auto" w:fill="auto"/>
            <w:tcMar>
              <w:top w:w="100" w:type="dxa"/>
              <w:left w:w="100" w:type="dxa"/>
              <w:bottom w:w="100" w:type="dxa"/>
              <w:right w:w="100" w:type="dxa"/>
            </w:tcMar>
          </w:tcPr>
          <w:p w14:paraId="707C29D7" w14:textId="77777777" w:rsidR="003D260B" w:rsidRPr="00AA3F16"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es-ES" w:eastAsia="en-GB"/>
              </w:rPr>
            </w:pPr>
            <w:r w:rsidRPr="00AA3F16">
              <w:rPr>
                <w:rFonts w:eastAsia="Arial" w:cs="Arial"/>
                <w:color w:val="000000"/>
                <w:u w:val="single"/>
                <w:lang w:val="es-ES" w:eastAsia="es-ES"/>
              </w:rPr>
              <w:t>Familia:</w:t>
            </w:r>
          </w:p>
        </w:tc>
        <w:tc>
          <w:tcPr>
            <w:tcW w:w="6497" w:type="dxa"/>
            <w:shd w:val="clear" w:color="auto" w:fill="auto"/>
            <w:tcMar>
              <w:top w:w="100" w:type="dxa"/>
              <w:left w:w="100" w:type="dxa"/>
              <w:bottom w:w="100" w:type="dxa"/>
              <w:right w:w="100" w:type="dxa"/>
            </w:tcMar>
          </w:tcPr>
          <w:p w14:paraId="665E17FC" w14:textId="77777777" w:rsidR="003D260B" w:rsidRPr="00AA3F16" w:rsidRDefault="003D260B" w:rsidP="003D260B">
            <w:pPr>
              <w:widowControl w:val="0"/>
              <w:pBdr>
                <w:top w:val="nil"/>
                <w:left w:val="nil"/>
                <w:bottom w:val="nil"/>
                <w:right w:val="nil"/>
                <w:between w:val="nil"/>
              </w:pBdr>
              <w:jc w:val="both"/>
              <w:rPr>
                <w:rFonts w:eastAsia="Arial" w:cs="Arial"/>
                <w:u w:val="single"/>
                <w:lang w:val="es-ES" w:eastAsia="en-GB"/>
              </w:rPr>
            </w:pPr>
            <w:proofErr w:type="spellStart"/>
            <w:r w:rsidRPr="00AA3F16">
              <w:rPr>
                <w:rFonts w:eastAsia="Arial" w:cs="Arial"/>
                <w:color w:val="000000"/>
                <w:lang w:val="es-ES" w:eastAsia="es-ES"/>
              </w:rPr>
              <w:t>Escuatínidos</w:t>
            </w:r>
            <w:proofErr w:type="spellEnd"/>
          </w:p>
        </w:tc>
      </w:tr>
      <w:tr w:rsidR="003D260B" w:rsidRPr="00AA3F16" w14:paraId="73B949FE" w14:textId="77777777" w:rsidTr="008D4DCA">
        <w:trPr>
          <w:trHeight w:val="417"/>
        </w:trPr>
        <w:tc>
          <w:tcPr>
            <w:tcW w:w="2452" w:type="dxa"/>
            <w:shd w:val="clear" w:color="auto" w:fill="auto"/>
            <w:tcMar>
              <w:top w:w="100" w:type="dxa"/>
              <w:left w:w="100" w:type="dxa"/>
              <w:bottom w:w="100" w:type="dxa"/>
              <w:right w:w="100" w:type="dxa"/>
            </w:tcMar>
          </w:tcPr>
          <w:p w14:paraId="04C684AB" w14:textId="77777777" w:rsidR="003D260B" w:rsidRPr="00AA3F16"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es-ES" w:eastAsia="en-GB"/>
              </w:rPr>
            </w:pPr>
            <w:r w:rsidRPr="00AA3F16">
              <w:rPr>
                <w:rFonts w:eastAsia="Arial" w:cs="Arial"/>
                <w:color w:val="000000"/>
                <w:u w:val="single"/>
                <w:lang w:val="es-ES" w:eastAsia="es-ES"/>
              </w:rPr>
              <w:t>Género:</w:t>
            </w:r>
          </w:p>
        </w:tc>
        <w:tc>
          <w:tcPr>
            <w:tcW w:w="6497" w:type="dxa"/>
            <w:shd w:val="clear" w:color="auto" w:fill="auto"/>
            <w:tcMar>
              <w:top w:w="100" w:type="dxa"/>
              <w:left w:w="100" w:type="dxa"/>
              <w:bottom w:w="100" w:type="dxa"/>
              <w:right w:w="100" w:type="dxa"/>
            </w:tcMar>
          </w:tcPr>
          <w:p w14:paraId="4EDC47BF" w14:textId="77777777" w:rsidR="003D260B" w:rsidRPr="00AA3F16" w:rsidRDefault="003D260B" w:rsidP="003D260B">
            <w:pPr>
              <w:widowControl w:val="0"/>
              <w:pBdr>
                <w:top w:val="nil"/>
                <w:left w:val="nil"/>
                <w:bottom w:val="nil"/>
                <w:right w:val="nil"/>
                <w:between w:val="nil"/>
              </w:pBdr>
              <w:jc w:val="both"/>
              <w:rPr>
                <w:rFonts w:eastAsia="Arial" w:cs="Arial"/>
                <w:u w:val="single"/>
                <w:lang w:val="es-ES" w:eastAsia="en-GB"/>
              </w:rPr>
            </w:pP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r w:rsidRPr="00AA3F16">
              <w:rPr>
                <w:rFonts w:eastAsia="Arial" w:cs="Arial"/>
                <w:iCs/>
                <w:color w:val="000000"/>
                <w:lang w:val="es-ES" w:eastAsia="es-ES"/>
              </w:rPr>
              <w:t>(</w:t>
            </w:r>
            <w:proofErr w:type="spellStart"/>
            <w:r w:rsidRPr="00AA3F16">
              <w:rPr>
                <w:rFonts w:eastAsia="Arial" w:cs="Arial"/>
                <w:color w:val="000000"/>
                <w:lang w:val="es-ES" w:eastAsia="es-ES"/>
              </w:rPr>
              <w:t>Duméril</w:t>
            </w:r>
            <w:proofErr w:type="spellEnd"/>
            <w:r w:rsidRPr="00AA3F16">
              <w:rPr>
                <w:rFonts w:eastAsia="Arial" w:cs="Arial"/>
                <w:color w:val="000000"/>
                <w:lang w:val="es-ES" w:eastAsia="es-ES"/>
              </w:rPr>
              <w:t>, 1805)</w:t>
            </w:r>
          </w:p>
        </w:tc>
      </w:tr>
      <w:tr w:rsidR="003D260B" w:rsidRPr="00AA3F16" w14:paraId="47DDE037" w14:textId="77777777" w:rsidTr="008D4DCA">
        <w:trPr>
          <w:trHeight w:val="428"/>
        </w:trPr>
        <w:tc>
          <w:tcPr>
            <w:tcW w:w="2452" w:type="dxa"/>
            <w:shd w:val="clear" w:color="auto" w:fill="auto"/>
            <w:tcMar>
              <w:top w:w="100" w:type="dxa"/>
              <w:left w:w="100" w:type="dxa"/>
              <w:bottom w:w="100" w:type="dxa"/>
              <w:right w:w="100" w:type="dxa"/>
            </w:tcMar>
          </w:tcPr>
          <w:p w14:paraId="26588CC9" w14:textId="77777777" w:rsidR="003D260B" w:rsidRPr="00AA3F16"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es-ES" w:eastAsia="en-GB"/>
              </w:rPr>
            </w:pPr>
            <w:r w:rsidRPr="00AA3F16">
              <w:rPr>
                <w:rFonts w:eastAsia="Arial" w:cs="Arial"/>
                <w:color w:val="000000"/>
                <w:u w:val="single"/>
                <w:lang w:val="es-ES" w:eastAsia="es-ES"/>
              </w:rPr>
              <w:t>Especie:</w:t>
            </w:r>
          </w:p>
        </w:tc>
        <w:tc>
          <w:tcPr>
            <w:tcW w:w="6497" w:type="dxa"/>
            <w:shd w:val="clear" w:color="auto" w:fill="auto"/>
            <w:tcMar>
              <w:top w:w="100" w:type="dxa"/>
              <w:left w:w="100" w:type="dxa"/>
              <w:bottom w:w="100" w:type="dxa"/>
              <w:right w:w="100" w:type="dxa"/>
            </w:tcMar>
          </w:tcPr>
          <w:p w14:paraId="2E1DCA12" w14:textId="77777777" w:rsidR="003D260B" w:rsidRPr="00AA3F16" w:rsidRDefault="003D260B" w:rsidP="003D260B">
            <w:pPr>
              <w:widowControl w:val="0"/>
              <w:pBdr>
                <w:top w:val="nil"/>
                <w:left w:val="nil"/>
                <w:bottom w:val="nil"/>
                <w:right w:val="nil"/>
                <w:between w:val="nil"/>
              </w:pBdr>
              <w:jc w:val="both"/>
              <w:rPr>
                <w:rFonts w:eastAsia="Arial" w:cs="Arial"/>
                <w:u w:val="single"/>
                <w:lang w:val="es-ES" w:eastAsia="en-GB"/>
              </w:rPr>
            </w:pP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proofErr w:type="spellStart"/>
            <w:r w:rsidRPr="00AA3F16">
              <w:rPr>
                <w:rFonts w:eastAsia="Arial" w:cs="Arial"/>
                <w:i/>
                <w:color w:val="000000"/>
                <w:lang w:val="es-ES" w:eastAsia="es-ES"/>
              </w:rPr>
              <w:t>squatina</w:t>
            </w:r>
            <w:proofErr w:type="spellEnd"/>
            <w:r w:rsidRPr="00AA3F16">
              <w:rPr>
                <w:rFonts w:eastAsia="Arial" w:cs="Arial"/>
                <w:color w:val="000000"/>
                <w:lang w:val="es-ES" w:eastAsia="es-ES"/>
              </w:rPr>
              <w:t xml:space="preserve"> (</w:t>
            </w:r>
            <w:proofErr w:type="spellStart"/>
            <w:r w:rsidRPr="00AA3F16">
              <w:rPr>
                <w:rFonts w:eastAsia="Arial" w:cs="Arial"/>
                <w:color w:val="000000"/>
                <w:lang w:val="es-ES" w:eastAsia="es-ES"/>
              </w:rPr>
              <w:t>Linnaeus</w:t>
            </w:r>
            <w:proofErr w:type="spellEnd"/>
            <w:r w:rsidRPr="00AA3F16">
              <w:rPr>
                <w:rFonts w:eastAsia="Arial" w:cs="Arial"/>
                <w:color w:val="000000"/>
                <w:lang w:val="es-ES" w:eastAsia="es-ES"/>
              </w:rPr>
              <w:t>, 1758)</w:t>
            </w:r>
          </w:p>
        </w:tc>
      </w:tr>
      <w:tr w:rsidR="003D260B" w:rsidRPr="009E0427" w14:paraId="0A83B703" w14:textId="77777777" w:rsidTr="008D4DCA">
        <w:trPr>
          <w:trHeight w:val="1714"/>
        </w:trPr>
        <w:tc>
          <w:tcPr>
            <w:tcW w:w="2452" w:type="dxa"/>
            <w:shd w:val="clear" w:color="auto" w:fill="auto"/>
            <w:tcMar>
              <w:top w:w="100" w:type="dxa"/>
              <w:left w:w="100" w:type="dxa"/>
              <w:bottom w:w="100" w:type="dxa"/>
              <w:right w:w="100" w:type="dxa"/>
            </w:tcMar>
          </w:tcPr>
          <w:p w14:paraId="25EF895B" w14:textId="77777777" w:rsidR="003D260B" w:rsidRPr="00AA3F16" w:rsidRDefault="003D260B" w:rsidP="003D260B">
            <w:pPr>
              <w:numPr>
                <w:ilvl w:val="1"/>
                <w:numId w:val="17"/>
              </w:numPr>
              <w:pBdr>
                <w:top w:val="nil"/>
                <w:left w:val="nil"/>
                <w:bottom w:val="nil"/>
                <w:right w:val="nil"/>
                <w:between w:val="nil"/>
              </w:pBdr>
              <w:ind w:left="702" w:hanging="702"/>
              <w:jc w:val="both"/>
              <w:rPr>
                <w:rFonts w:eastAsia="Arial" w:cs="Arial"/>
                <w:color w:val="000000"/>
                <w:u w:val="single"/>
                <w:lang w:val="es-ES" w:eastAsia="en-GB"/>
              </w:rPr>
            </w:pPr>
            <w:r w:rsidRPr="00AA3F16">
              <w:rPr>
                <w:rFonts w:eastAsia="Arial" w:cs="Arial"/>
                <w:color w:val="000000"/>
                <w:u w:val="single"/>
                <w:lang w:val="es-ES" w:eastAsia="es-ES"/>
              </w:rPr>
              <w:t xml:space="preserve">Nombres comunes: </w:t>
            </w:r>
            <w:r w:rsidRPr="00AA3F16">
              <w:rPr>
                <w:rFonts w:eastAsia="Arial" w:cs="Arial"/>
                <w:color w:val="000000"/>
                <w:u w:val="single"/>
                <w:vertAlign w:val="superscript"/>
                <w:lang w:val="es-ES" w:eastAsia="es-ES"/>
              </w:rPr>
              <w:footnoteReference w:id="4"/>
            </w:r>
          </w:p>
          <w:p w14:paraId="717526B2" w14:textId="77777777" w:rsidR="003D260B" w:rsidRPr="00AA3F16" w:rsidRDefault="003D260B" w:rsidP="003D260B">
            <w:pPr>
              <w:widowControl w:val="0"/>
              <w:pBdr>
                <w:top w:val="nil"/>
                <w:left w:val="nil"/>
                <w:bottom w:val="nil"/>
                <w:right w:val="nil"/>
                <w:between w:val="nil"/>
              </w:pBdr>
              <w:jc w:val="both"/>
              <w:rPr>
                <w:rFonts w:eastAsia="Arial" w:cs="Arial"/>
                <w:u w:val="single"/>
                <w:lang w:val="es-ES" w:eastAsia="en-GB"/>
              </w:rPr>
            </w:pPr>
          </w:p>
        </w:tc>
        <w:tc>
          <w:tcPr>
            <w:tcW w:w="6497" w:type="dxa"/>
            <w:shd w:val="clear" w:color="auto" w:fill="auto"/>
            <w:tcMar>
              <w:top w:w="100" w:type="dxa"/>
              <w:left w:w="100" w:type="dxa"/>
              <w:bottom w:w="100" w:type="dxa"/>
              <w:right w:w="100" w:type="dxa"/>
            </w:tcMar>
          </w:tcPr>
          <w:p w14:paraId="365A752C"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Inglés: Angelshark; Angelote europeo; Rape</w:t>
            </w:r>
          </w:p>
          <w:p w14:paraId="474DF239" w14:textId="77777777" w:rsidR="003D260B" w:rsidRPr="007D2850" w:rsidRDefault="003D260B" w:rsidP="003D260B">
            <w:pPr>
              <w:pBdr>
                <w:top w:val="nil"/>
                <w:left w:val="nil"/>
                <w:bottom w:val="nil"/>
                <w:right w:val="nil"/>
                <w:between w:val="nil"/>
              </w:pBdr>
              <w:jc w:val="both"/>
              <w:rPr>
                <w:rFonts w:eastAsia="Arial" w:cs="Arial"/>
                <w:color w:val="000000"/>
                <w:lang w:val="fr-FR" w:eastAsia="en-GB"/>
              </w:rPr>
            </w:pPr>
            <w:proofErr w:type="spellStart"/>
            <w:proofErr w:type="gramStart"/>
            <w:r w:rsidRPr="007D2850">
              <w:rPr>
                <w:rFonts w:eastAsia="Arial" w:cs="Arial"/>
                <w:color w:val="000000"/>
                <w:lang w:val="fr-FR" w:eastAsia="es-ES"/>
              </w:rPr>
              <w:t>Francés</w:t>
            </w:r>
            <w:proofErr w:type="spellEnd"/>
            <w:r w:rsidRPr="007D2850">
              <w:rPr>
                <w:rFonts w:eastAsia="Arial" w:cs="Arial"/>
                <w:color w:val="000000"/>
                <w:lang w:val="fr-FR" w:eastAsia="es-ES"/>
              </w:rPr>
              <w:t>:</w:t>
            </w:r>
            <w:proofErr w:type="gramEnd"/>
            <w:r w:rsidRPr="007D2850">
              <w:rPr>
                <w:rFonts w:eastAsia="Arial" w:cs="Arial"/>
                <w:color w:val="000000"/>
                <w:lang w:val="fr-FR" w:eastAsia="es-ES"/>
              </w:rPr>
              <w:t xml:space="preserve"> Ange de mer; Ange de mer commun; Angelot</w:t>
            </w:r>
          </w:p>
          <w:p w14:paraId="14525B5D" w14:textId="77777777" w:rsidR="003D260B" w:rsidRPr="00AA3F16" w:rsidRDefault="003D260B" w:rsidP="003D260B">
            <w:pPr>
              <w:pBdr>
                <w:top w:val="nil"/>
                <w:left w:val="nil"/>
                <w:bottom w:val="nil"/>
                <w:right w:val="nil"/>
                <w:between w:val="nil"/>
              </w:pBdr>
              <w:jc w:val="both"/>
              <w:rPr>
                <w:rFonts w:eastAsia="Arial" w:cs="Times New Roman"/>
                <w:color w:val="000000"/>
                <w:szCs w:val="24"/>
                <w:lang w:val="es-ES" w:eastAsia="en-GB"/>
              </w:rPr>
            </w:pPr>
            <w:r w:rsidRPr="00AA3F16">
              <w:rPr>
                <w:rFonts w:eastAsia="Arial" w:cs="Times New Roman"/>
                <w:color w:val="000000"/>
                <w:szCs w:val="24"/>
                <w:lang w:val="es-ES" w:eastAsia="es-ES"/>
              </w:rPr>
              <w:t>Español: Ángel; Angelote; Pez ángel</w:t>
            </w:r>
          </w:p>
          <w:p w14:paraId="3687AC6B" w14:textId="77777777" w:rsidR="003D260B" w:rsidRPr="00AA3F16" w:rsidRDefault="003D260B" w:rsidP="003D260B">
            <w:pPr>
              <w:pBdr>
                <w:top w:val="nil"/>
                <w:left w:val="nil"/>
                <w:bottom w:val="nil"/>
                <w:right w:val="nil"/>
                <w:between w:val="nil"/>
              </w:pBdr>
              <w:jc w:val="both"/>
              <w:rPr>
                <w:rFonts w:eastAsia="Arial" w:cs="Times New Roman"/>
                <w:szCs w:val="24"/>
                <w:lang w:val="es-ES" w:eastAsia="en-GB"/>
              </w:rPr>
            </w:pPr>
            <w:r w:rsidRPr="00AA3F16">
              <w:rPr>
                <w:rFonts w:eastAsia="Arial" w:cs="Times New Roman"/>
                <w:color w:val="000000"/>
                <w:szCs w:val="24"/>
                <w:lang w:val="es-ES" w:eastAsia="es-ES"/>
              </w:rPr>
              <w:t>Árabe:</w:t>
            </w:r>
            <w:r w:rsidRPr="00AA3F16">
              <w:rPr>
                <w:rFonts w:eastAsia="Arial" w:cs="Times New Roman"/>
                <w:szCs w:val="24"/>
                <w:lang w:val="es-ES" w:eastAsia="es-ES"/>
              </w:rPr>
              <w:t xml:space="preserve"> </w:t>
            </w:r>
            <w:r w:rsidRPr="00AA3F16">
              <w:rPr>
                <w:rFonts w:eastAsia="Arial" w:cs="Arial"/>
                <w:rtl/>
                <w:lang w:val="es-ES" w:eastAsia="es-ES"/>
              </w:rPr>
              <w:t>القرش الملاك</w:t>
            </w:r>
            <w:r w:rsidRPr="00AA3F16">
              <w:rPr>
                <w:rFonts w:eastAsia="Arial" w:cs="Times New Roman"/>
                <w:szCs w:val="24"/>
                <w:lang w:val="es-ES" w:eastAsia="es-ES"/>
              </w:rPr>
              <w:t xml:space="preserve"> </w:t>
            </w:r>
          </w:p>
          <w:p w14:paraId="0DEE501A"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p>
        </w:tc>
      </w:tr>
    </w:tbl>
    <w:p w14:paraId="7A109F17" w14:textId="77777777" w:rsidR="003D260B" w:rsidRPr="00AA3F16" w:rsidRDefault="003D260B" w:rsidP="003D260B">
      <w:pPr>
        <w:widowControl w:val="0"/>
        <w:pBdr>
          <w:top w:val="nil"/>
          <w:left w:val="nil"/>
          <w:bottom w:val="nil"/>
          <w:right w:val="nil"/>
          <w:between w:val="nil"/>
        </w:pBdr>
        <w:rPr>
          <w:rFonts w:eastAsia="Arial" w:cs="Arial"/>
          <w:color w:val="000000"/>
          <w:lang w:val="es-ES" w:eastAsia="en-GB"/>
        </w:rPr>
      </w:pPr>
    </w:p>
    <w:p w14:paraId="6AB42D9D" w14:textId="7236EC15" w:rsidR="003D260B" w:rsidRPr="00AA3F16" w:rsidRDefault="003D260B" w:rsidP="003D260B">
      <w:pPr>
        <w:jc w:val="both"/>
        <w:rPr>
          <w:rFonts w:eastAsia="Arial" w:cs="Arial"/>
          <w:b/>
          <w:color w:val="000000"/>
          <w:lang w:val="es-ES" w:eastAsia="en-GB"/>
        </w:rPr>
      </w:pPr>
      <w:r w:rsidRPr="00AA3F16">
        <w:rPr>
          <w:rFonts w:eastAsia="Arial" w:cs="Arial"/>
          <w:bCs/>
          <w:color w:val="000000"/>
          <w:lang w:val="es-ES" w:eastAsia="es-ES"/>
        </w:rPr>
        <w:t>Las tres especies de Angelote mediterráneo pueden describirse como (i) Angelote (</w:t>
      </w:r>
      <w:proofErr w:type="spellStart"/>
      <w:r w:rsidRPr="00AA3F16">
        <w:rPr>
          <w:rFonts w:eastAsia="Arial" w:cs="Arial"/>
          <w:i/>
          <w:iCs/>
          <w:color w:val="000000"/>
          <w:lang w:val="es-ES" w:eastAsia="es-ES"/>
        </w:rPr>
        <w:t>Squatina</w:t>
      </w:r>
      <w:proofErr w:type="spellEnd"/>
      <w:r w:rsidRPr="00AA3F16">
        <w:rPr>
          <w:rFonts w:eastAsia="Arial" w:cs="Arial"/>
          <w:i/>
          <w:iCs/>
          <w:color w:val="000000"/>
          <w:lang w:val="es-ES" w:eastAsia="es-ES"/>
        </w:rPr>
        <w:t xml:space="preserve"> </w:t>
      </w:r>
      <w:proofErr w:type="spellStart"/>
      <w:r w:rsidRPr="00AA3F16">
        <w:rPr>
          <w:rFonts w:eastAsia="Arial" w:cs="Arial"/>
          <w:i/>
          <w:iCs/>
          <w:color w:val="000000"/>
          <w:lang w:val="es-ES" w:eastAsia="es-ES"/>
        </w:rPr>
        <w:t>squatina</w:t>
      </w:r>
      <w:proofErr w:type="spellEnd"/>
      <w:r w:rsidRPr="00AA3F16">
        <w:rPr>
          <w:rFonts w:eastAsia="Arial" w:cs="Arial"/>
          <w:i/>
          <w:iCs/>
          <w:color w:val="000000"/>
          <w:lang w:val="es-ES" w:eastAsia="es-ES"/>
        </w:rPr>
        <w:t>;</w:t>
      </w:r>
      <w:r w:rsidRPr="00AA3F16">
        <w:rPr>
          <w:rFonts w:eastAsia="Arial" w:cs="Arial"/>
          <w:iCs/>
          <w:color w:val="000000"/>
          <w:lang w:val="es-ES" w:eastAsia="es-ES"/>
        </w:rPr>
        <w:t xml:space="preserve"> Figura 1a</w:t>
      </w:r>
      <w:r w:rsidRPr="00AA3F16">
        <w:rPr>
          <w:rFonts w:eastAsia="Arial" w:cs="Arial"/>
          <w:color w:val="000000"/>
          <w:lang w:val="es-ES" w:eastAsia="es-ES"/>
        </w:rPr>
        <w:t>); de color marrón rojizo o verdoso con manchas blancas dispersas y con manchas oscuras dorsales. Carece de ocelos y espinas centrales (en ejemplares adultos). Tamaño máximo: (M) 183 cm y (H) 244 cm. (</w:t>
      </w:r>
      <w:proofErr w:type="spellStart"/>
      <w:r w:rsidRPr="00AA3F16">
        <w:rPr>
          <w:rFonts w:eastAsia="Arial" w:cs="Arial"/>
          <w:color w:val="000000"/>
          <w:lang w:val="es-ES" w:eastAsia="es-ES"/>
        </w:rPr>
        <w:t>ii</w:t>
      </w:r>
      <w:proofErr w:type="spellEnd"/>
      <w:r w:rsidRPr="00AA3F16">
        <w:rPr>
          <w:rFonts w:eastAsia="Arial" w:cs="Arial"/>
          <w:color w:val="000000"/>
          <w:lang w:val="es-ES" w:eastAsia="es-ES"/>
        </w:rPr>
        <w:t>) Angelote Manchado (</w:t>
      </w:r>
      <w:proofErr w:type="spellStart"/>
      <w:r w:rsidRPr="00AA3F16">
        <w:rPr>
          <w:rFonts w:eastAsia="Arial" w:cs="Arial"/>
          <w:i/>
          <w:iCs/>
          <w:color w:val="000000"/>
          <w:lang w:val="es-ES" w:eastAsia="es-ES"/>
        </w:rPr>
        <w:t>Squatina</w:t>
      </w:r>
      <w:proofErr w:type="spellEnd"/>
      <w:r w:rsidRPr="00AA3F16">
        <w:rPr>
          <w:rFonts w:eastAsia="Arial" w:cs="Arial"/>
          <w:i/>
          <w:iCs/>
          <w:color w:val="000000"/>
          <w:lang w:val="es-ES" w:eastAsia="es-ES"/>
        </w:rPr>
        <w:t xml:space="preserve"> oculata</w:t>
      </w:r>
      <w:r w:rsidRPr="00AA3F16">
        <w:rPr>
          <w:rFonts w:eastAsia="Arial" w:cs="Arial"/>
          <w:i/>
          <w:lang w:val="es-ES" w:eastAsia="es-ES"/>
        </w:rPr>
        <w:t xml:space="preserve">; </w:t>
      </w:r>
      <w:r w:rsidRPr="00AA3F16">
        <w:rPr>
          <w:rFonts w:eastAsia="Arial" w:cs="Arial"/>
          <w:iCs/>
          <w:lang w:val="es-ES" w:eastAsia="es-ES"/>
        </w:rPr>
        <w:t>Figura 1b</w:t>
      </w:r>
      <w:r w:rsidRPr="00AA3F16">
        <w:rPr>
          <w:rFonts w:eastAsia="Arial" w:cs="Arial"/>
          <w:iCs/>
          <w:color w:val="000000"/>
          <w:lang w:val="es-ES" w:eastAsia="es-ES"/>
        </w:rPr>
        <w:t>);</w:t>
      </w:r>
      <w:r w:rsidRPr="00AA3F16">
        <w:rPr>
          <w:rFonts w:eastAsia="Arial" w:cs="Arial"/>
          <w:color w:val="000000"/>
          <w:lang w:val="es-ES" w:eastAsia="es-ES"/>
        </w:rPr>
        <w:t xml:space="preserve"> la más pequeña de las tres especies mediterráneas. Marrón grisácea, con pequeñas manchas blancas y oscuras, con ocelos oscuros. Carece de espinas centrales. Tamaño máximo: (M) 145 cm y (H) 160 cm. (</w:t>
      </w:r>
      <w:proofErr w:type="spellStart"/>
      <w:r w:rsidRPr="00AA3F16">
        <w:rPr>
          <w:rFonts w:eastAsia="Arial" w:cs="Arial"/>
          <w:color w:val="000000"/>
          <w:lang w:val="es-ES" w:eastAsia="es-ES"/>
        </w:rPr>
        <w:t>iii</w:t>
      </w:r>
      <w:proofErr w:type="spellEnd"/>
      <w:r w:rsidRPr="00AA3F16">
        <w:rPr>
          <w:rFonts w:eastAsia="Arial" w:cs="Arial"/>
          <w:color w:val="000000"/>
          <w:lang w:val="es-ES" w:eastAsia="es-ES"/>
        </w:rPr>
        <w:t>) Angelote Espinudo (</w:t>
      </w:r>
      <w:proofErr w:type="spellStart"/>
      <w:r w:rsidRPr="00AA3F16">
        <w:rPr>
          <w:rFonts w:eastAsia="Arial" w:cs="Arial"/>
          <w:i/>
          <w:iCs/>
          <w:color w:val="000000"/>
          <w:lang w:val="es-ES" w:eastAsia="es-ES"/>
        </w:rPr>
        <w:t>Squatina</w:t>
      </w:r>
      <w:proofErr w:type="spellEnd"/>
      <w:r w:rsidRPr="00AA3F16">
        <w:rPr>
          <w:rFonts w:eastAsia="Arial" w:cs="Arial"/>
          <w:i/>
          <w:iCs/>
          <w:color w:val="000000"/>
          <w:lang w:val="es-ES" w:eastAsia="es-ES"/>
        </w:rPr>
        <w:t xml:space="preserve"> </w:t>
      </w:r>
      <w:proofErr w:type="spellStart"/>
      <w:r w:rsidRPr="00AA3F16">
        <w:rPr>
          <w:rFonts w:eastAsia="Arial" w:cs="Arial"/>
          <w:i/>
          <w:iCs/>
          <w:color w:val="000000"/>
          <w:lang w:val="es-ES" w:eastAsia="es-ES"/>
        </w:rPr>
        <w:t>aculeata</w:t>
      </w:r>
      <w:proofErr w:type="spellEnd"/>
      <w:r w:rsidRPr="00AA3F16">
        <w:rPr>
          <w:rFonts w:eastAsia="Arial" w:cs="Arial"/>
          <w:i/>
          <w:color w:val="000000"/>
          <w:lang w:val="es-ES" w:eastAsia="es-ES"/>
        </w:rPr>
        <w:t xml:space="preserve">; </w:t>
      </w:r>
      <w:r w:rsidRPr="00AA3F16">
        <w:rPr>
          <w:rFonts w:eastAsia="Arial" w:cs="Arial"/>
          <w:iCs/>
          <w:color w:val="000000"/>
          <w:lang w:val="es-ES" w:eastAsia="es-ES"/>
        </w:rPr>
        <w:t>Figura 1c</w:t>
      </w:r>
      <w:r w:rsidRPr="00AA3F16">
        <w:rPr>
          <w:rFonts w:eastAsia="Arial" w:cs="Arial"/>
          <w:color w:val="000000"/>
          <w:lang w:val="es-ES" w:eastAsia="es-ES"/>
        </w:rPr>
        <w:t>); su color es gris/marrón claro con motas en marrón más oscuro. Espinas dorsales grandes presentes en la línea central y cabeza. Carece de ocelos. Tamaño máximo: 188 cm. Véase la Figura 1 para más detalles.</w:t>
      </w:r>
    </w:p>
    <w:p w14:paraId="1D46CE68" w14:textId="77777777" w:rsidR="003D260B" w:rsidRPr="00AA3F16" w:rsidRDefault="003D260B" w:rsidP="003D260B">
      <w:pPr>
        <w:jc w:val="both"/>
        <w:rPr>
          <w:rFonts w:eastAsia="Arial" w:cs="Arial"/>
          <w:b/>
          <w:color w:val="000000"/>
          <w:lang w:val="es-ES" w:eastAsia="en-GB"/>
        </w:rPr>
      </w:pPr>
    </w:p>
    <w:p w14:paraId="5FECC474" w14:textId="5C6EEAA7" w:rsidR="003D260B" w:rsidRPr="00AA3F16" w:rsidRDefault="003D260B">
      <w:pPr>
        <w:rPr>
          <w:rFonts w:cs="Arial"/>
          <w:spacing w:val="-2"/>
          <w:lang w:val="es-ES" w:eastAsia="en-GB"/>
        </w:rPr>
      </w:pPr>
      <w:r w:rsidRPr="00AA3F16">
        <w:rPr>
          <w:rFonts w:cs="Arial"/>
          <w:lang w:val="es-ES" w:eastAsia="es-ES"/>
        </w:rPr>
        <w:br w:type="page"/>
      </w:r>
    </w:p>
    <w:p w14:paraId="55A5F152" w14:textId="10C8C847" w:rsidR="003D260B" w:rsidRDefault="003D260B" w:rsidP="003D260B">
      <w:pPr>
        <w:spacing w:line="276" w:lineRule="auto"/>
        <w:rPr>
          <w:rFonts w:eastAsia="Arial" w:cs="Arial"/>
          <w:b/>
          <w:color w:val="000000"/>
          <w:lang w:val="es-ES"/>
        </w:rPr>
      </w:pPr>
    </w:p>
    <w:p w14:paraId="219EC770" w14:textId="09DD7B1D" w:rsidR="00AA5114" w:rsidRPr="00AA3F16" w:rsidRDefault="00AA5114" w:rsidP="003D260B">
      <w:pPr>
        <w:spacing w:line="276" w:lineRule="auto"/>
        <w:rPr>
          <w:rFonts w:eastAsia="Arial" w:cs="Arial"/>
          <w:b/>
          <w:color w:val="000000"/>
          <w:lang w:val="es-ES"/>
        </w:rPr>
      </w:pPr>
      <w:r>
        <w:rPr>
          <w:rFonts w:eastAsia="Arial" w:cs="Arial"/>
          <w:b/>
          <w:noProof/>
          <w:color w:val="000000"/>
          <w:lang w:val="es-ES"/>
        </w:rPr>
        <w:drawing>
          <wp:inline distT="0" distB="0" distL="0" distR="0" wp14:anchorId="7135D4D8" wp14:editId="3AF626C6">
            <wp:extent cx="5854612" cy="596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503" cy="5972723"/>
                    </a:xfrm>
                    <a:prstGeom prst="rect">
                      <a:avLst/>
                    </a:prstGeom>
                    <a:noFill/>
                  </pic:spPr>
                </pic:pic>
              </a:graphicData>
            </a:graphic>
          </wp:inline>
        </w:drawing>
      </w:r>
    </w:p>
    <w:p w14:paraId="5A27B3D9" w14:textId="77777777" w:rsidR="003D260B" w:rsidRPr="00AA3F16" w:rsidRDefault="003D260B" w:rsidP="003D260B">
      <w:pPr>
        <w:rPr>
          <w:rFonts w:eastAsia="Arial" w:cs="Arial"/>
          <w:b/>
          <w:color w:val="000000"/>
          <w:lang w:val="es-ES"/>
        </w:rPr>
      </w:pPr>
    </w:p>
    <w:p w14:paraId="402B7C99" w14:textId="77777777" w:rsidR="003D260B" w:rsidRPr="00AA3F16" w:rsidRDefault="003D260B" w:rsidP="003D260B">
      <w:pPr>
        <w:jc w:val="both"/>
        <w:rPr>
          <w:rFonts w:eastAsia="Arial" w:cs="Arial"/>
          <w:b/>
          <w:color w:val="000000"/>
          <w:sz w:val="20"/>
          <w:szCs w:val="20"/>
          <w:lang w:val="es-ES"/>
        </w:rPr>
      </w:pPr>
      <w:r w:rsidRPr="00AA3F16">
        <w:rPr>
          <w:rFonts w:eastAsia="Arial" w:cs="Arial"/>
          <w:b/>
          <w:color w:val="000000"/>
          <w:sz w:val="20"/>
          <w:szCs w:val="20"/>
          <w:lang w:val="es-ES"/>
        </w:rPr>
        <w:t>Figura 1</w:t>
      </w:r>
      <w:r w:rsidRPr="00AA3F16">
        <w:rPr>
          <w:rFonts w:eastAsia="Arial" w:cs="Arial"/>
          <w:color w:val="000000"/>
          <w:sz w:val="20"/>
          <w:szCs w:val="20"/>
          <w:lang w:val="es-ES"/>
        </w:rPr>
        <w:t xml:space="preserve">: Imágenes esquemáticas donde se indican las características más importantes de las tres especies de Angelote que se dan en el Mar Mediterráneo. Adaptado de </w:t>
      </w:r>
      <w:proofErr w:type="spellStart"/>
      <w:r w:rsidRPr="00AA3F16">
        <w:rPr>
          <w:rFonts w:eastAsia="Arial" w:cs="Arial"/>
          <w:color w:val="000000"/>
          <w:sz w:val="20"/>
          <w:szCs w:val="20"/>
          <w:lang w:val="es-ES"/>
        </w:rPr>
        <w:t>Compagno</w:t>
      </w:r>
      <w:proofErr w:type="spellEnd"/>
      <w:r w:rsidRPr="00AA3F16">
        <w:rPr>
          <w:rFonts w:eastAsia="Arial" w:cs="Arial"/>
          <w:color w:val="000000"/>
          <w:sz w:val="20"/>
          <w:szCs w:val="20"/>
          <w:lang w:val="es-ES"/>
        </w:rPr>
        <w:t xml:space="preserve"> (1984), Roux (1984), Gordon </w:t>
      </w:r>
      <w:r w:rsidRPr="00AA3F16">
        <w:rPr>
          <w:rFonts w:eastAsia="Arial" w:cs="Arial"/>
          <w:i/>
          <w:iCs/>
          <w:color w:val="000000"/>
          <w:sz w:val="20"/>
          <w:szCs w:val="20"/>
          <w:lang w:val="es-ES"/>
        </w:rPr>
        <w:t>et al.</w:t>
      </w:r>
      <w:r w:rsidRPr="00AA3F16">
        <w:rPr>
          <w:rFonts w:eastAsia="Arial" w:cs="Arial"/>
          <w:color w:val="000000"/>
          <w:sz w:val="20"/>
          <w:szCs w:val="20"/>
          <w:lang w:val="es-ES"/>
        </w:rPr>
        <w:t xml:space="preserve"> (2019) y Ebert </w:t>
      </w:r>
      <w:r w:rsidRPr="00AA3F16">
        <w:rPr>
          <w:rFonts w:eastAsia="Arial" w:cs="Arial"/>
          <w:i/>
          <w:iCs/>
          <w:color w:val="000000"/>
          <w:sz w:val="20"/>
          <w:szCs w:val="20"/>
          <w:lang w:val="es-ES"/>
        </w:rPr>
        <w:t>et al.</w:t>
      </w:r>
      <w:r w:rsidRPr="00AA3F16">
        <w:rPr>
          <w:rFonts w:eastAsia="Arial" w:cs="Arial"/>
          <w:color w:val="000000"/>
          <w:sz w:val="20"/>
          <w:szCs w:val="20"/>
          <w:lang w:val="es-ES"/>
        </w:rPr>
        <w:t xml:space="preserve"> (2021). Ilustraciones © Marc Dando. (a) </w:t>
      </w:r>
      <w:proofErr w:type="spellStart"/>
      <w:r w:rsidRPr="00AA3F16">
        <w:rPr>
          <w:rFonts w:eastAsia="Arial" w:cs="Arial"/>
          <w:i/>
          <w:iCs/>
          <w:color w:val="000000"/>
          <w:sz w:val="20"/>
          <w:szCs w:val="20"/>
          <w:lang w:val="es-ES"/>
        </w:rPr>
        <w:t>Squatina</w:t>
      </w:r>
      <w:proofErr w:type="spellEnd"/>
      <w:r w:rsidRPr="00AA3F16">
        <w:rPr>
          <w:rFonts w:eastAsia="Arial" w:cs="Arial"/>
          <w:i/>
          <w:iCs/>
          <w:color w:val="000000"/>
          <w:sz w:val="20"/>
          <w:szCs w:val="20"/>
          <w:lang w:val="es-ES"/>
        </w:rPr>
        <w:t xml:space="preserve"> </w:t>
      </w:r>
      <w:proofErr w:type="spellStart"/>
      <w:r w:rsidRPr="00AA3F16">
        <w:rPr>
          <w:rFonts w:eastAsia="Arial" w:cs="Arial"/>
          <w:i/>
          <w:iCs/>
          <w:color w:val="000000"/>
          <w:sz w:val="20"/>
          <w:szCs w:val="20"/>
          <w:lang w:val="es-ES"/>
        </w:rPr>
        <w:t>squatina</w:t>
      </w:r>
      <w:proofErr w:type="spellEnd"/>
      <w:r w:rsidRPr="00AA3F16">
        <w:rPr>
          <w:rFonts w:eastAsia="Arial" w:cs="Arial"/>
          <w:color w:val="000000"/>
          <w:sz w:val="20"/>
          <w:szCs w:val="20"/>
          <w:lang w:val="es-ES"/>
        </w:rPr>
        <w:t xml:space="preserve">, (b) </w:t>
      </w:r>
      <w:proofErr w:type="spellStart"/>
      <w:r w:rsidRPr="00AA3F16">
        <w:rPr>
          <w:rFonts w:eastAsia="Arial" w:cs="Arial"/>
          <w:i/>
          <w:iCs/>
          <w:color w:val="000000"/>
          <w:sz w:val="20"/>
          <w:szCs w:val="20"/>
          <w:lang w:val="es-ES"/>
        </w:rPr>
        <w:t>Squatina</w:t>
      </w:r>
      <w:proofErr w:type="spellEnd"/>
      <w:r w:rsidRPr="00AA3F16">
        <w:rPr>
          <w:rFonts w:eastAsia="Arial" w:cs="Arial"/>
          <w:i/>
          <w:iCs/>
          <w:color w:val="000000"/>
          <w:sz w:val="20"/>
          <w:szCs w:val="20"/>
          <w:lang w:val="es-ES"/>
        </w:rPr>
        <w:t xml:space="preserve"> </w:t>
      </w:r>
      <w:proofErr w:type="spellStart"/>
      <w:r w:rsidRPr="00AA3F16">
        <w:rPr>
          <w:rFonts w:eastAsia="Arial" w:cs="Arial"/>
          <w:i/>
          <w:iCs/>
          <w:color w:val="000000"/>
          <w:sz w:val="20"/>
          <w:szCs w:val="20"/>
          <w:lang w:val="es-ES"/>
        </w:rPr>
        <w:t>oculata</w:t>
      </w:r>
      <w:proofErr w:type="spellEnd"/>
      <w:r w:rsidRPr="00AA3F16">
        <w:rPr>
          <w:rFonts w:eastAsia="Arial" w:cs="Arial"/>
          <w:color w:val="000000"/>
          <w:sz w:val="20"/>
          <w:szCs w:val="20"/>
          <w:lang w:val="es-ES"/>
        </w:rPr>
        <w:t xml:space="preserve">, (c) </w:t>
      </w:r>
      <w:proofErr w:type="spellStart"/>
      <w:r w:rsidRPr="00AA3F16">
        <w:rPr>
          <w:rFonts w:eastAsia="Arial" w:cs="Arial"/>
          <w:i/>
          <w:iCs/>
          <w:color w:val="000000"/>
          <w:sz w:val="20"/>
          <w:szCs w:val="20"/>
          <w:lang w:val="es-ES"/>
        </w:rPr>
        <w:t>Squatina</w:t>
      </w:r>
      <w:proofErr w:type="spellEnd"/>
      <w:r w:rsidRPr="00AA3F16">
        <w:rPr>
          <w:rFonts w:eastAsia="Arial" w:cs="Arial"/>
          <w:i/>
          <w:iCs/>
          <w:color w:val="000000"/>
          <w:sz w:val="20"/>
          <w:szCs w:val="20"/>
          <w:lang w:val="es-ES"/>
        </w:rPr>
        <w:t xml:space="preserve"> </w:t>
      </w:r>
      <w:proofErr w:type="spellStart"/>
      <w:r w:rsidRPr="00AA3F16">
        <w:rPr>
          <w:rFonts w:eastAsia="Arial" w:cs="Arial"/>
          <w:i/>
          <w:iCs/>
          <w:color w:val="000000"/>
          <w:sz w:val="20"/>
          <w:szCs w:val="20"/>
          <w:lang w:val="es-ES"/>
        </w:rPr>
        <w:t>aculeata</w:t>
      </w:r>
      <w:proofErr w:type="spellEnd"/>
      <w:r w:rsidRPr="00AA3F16">
        <w:rPr>
          <w:rFonts w:eastAsia="Arial" w:cs="Arial"/>
          <w:color w:val="000000"/>
          <w:sz w:val="20"/>
          <w:szCs w:val="20"/>
          <w:lang w:val="es-ES"/>
        </w:rPr>
        <w:t>.</w:t>
      </w:r>
    </w:p>
    <w:p w14:paraId="5F57E195"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rPr>
      </w:pPr>
    </w:p>
    <w:p w14:paraId="4975EF77" w14:textId="77777777" w:rsidR="003D260B" w:rsidRPr="00AA3F16" w:rsidRDefault="003D260B" w:rsidP="002A4E27">
      <w:pPr>
        <w:pStyle w:val="Heading2"/>
        <w:tabs>
          <w:tab w:val="clear" w:pos="310"/>
          <w:tab w:val="clear" w:pos="835"/>
          <w:tab w:val="left" w:pos="540"/>
        </w:tabs>
        <w:ind w:left="540" w:hanging="540"/>
        <w:jc w:val="left"/>
        <w:rPr>
          <w:rFonts w:ascii="Arial" w:hAnsi="Arial" w:cs="Arial"/>
          <w:szCs w:val="22"/>
          <w:lang w:val="es-ES"/>
        </w:rPr>
      </w:pPr>
      <w:bookmarkStart w:id="11" w:name="_Toc108701924"/>
      <w:bookmarkStart w:id="12" w:name="_Toc118277532"/>
      <w:r w:rsidRPr="00AA3F16">
        <w:rPr>
          <w:rFonts w:ascii="Arial" w:hAnsi="Arial" w:cs="Arial"/>
          <w:szCs w:val="22"/>
          <w:lang w:val="es-ES"/>
        </w:rPr>
        <w:t xml:space="preserve">1.2. </w:t>
      </w:r>
      <w:r w:rsidRPr="00AA3F16">
        <w:rPr>
          <w:rFonts w:ascii="Arial" w:hAnsi="Arial" w:cs="Arial"/>
          <w:szCs w:val="22"/>
          <w:lang w:val="es-ES"/>
        </w:rPr>
        <w:tab/>
        <w:t>Distribución</w:t>
      </w:r>
      <w:bookmarkEnd w:id="11"/>
      <w:bookmarkEnd w:id="12"/>
    </w:p>
    <w:p w14:paraId="4C707601" w14:textId="77777777" w:rsidR="003D260B" w:rsidRPr="00AA3F16" w:rsidRDefault="003D260B" w:rsidP="003D260B">
      <w:pPr>
        <w:widowControl w:val="0"/>
        <w:pBdr>
          <w:top w:val="nil"/>
          <w:left w:val="nil"/>
          <w:bottom w:val="nil"/>
          <w:right w:val="nil"/>
          <w:between w:val="nil"/>
        </w:pBdr>
        <w:rPr>
          <w:rFonts w:eastAsia="Arial" w:cs="Arial"/>
          <w:color w:val="000000"/>
          <w:lang w:val="es-ES"/>
        </w:rPr>
      </w:pPr>
    </w:p>
    <w:p w14:paraId="116BF309" w14:textId="77777777" w:rsidR="003D260B" w:rsidRPr="00AA3F16" w:rsidRDefault="003D260B" w:rsidP="003D260B">
      <w:pPr>
        <w:widowControl w:val="0"/>
        <w:pBdr>
          <w:top w:val="nil"/>
          <w:left w:val="nil"/>
          <w:bottom w:val="nil"/>
          <w:right w:val="nil"/>
          <w:between w:val="nil"/>
        </w:pBdr>
        <w:ind w:right="-2"/>
        <w:jc w:val="both"/>
        <w:rPr>
          <w:rFonts w:eastAsia="Arial"/>
          <w:color w:val="000000"/>
          <w:lang w:val="es-ES"/>
        </w:rPr>
      </w:pPr>
      <w:r w:rsidRPr="00AA3F16">
        <w:rPr>
          <w:rFonts w:eastAsia="Arial" w:cs="Arial"/>
          <w:color w:val="000000"/>
          <w:lang w:val="es-ES"/>
        </w:rPr>
        <w:t>El Angelote (</w:t>
      </w:r>
      <w:r w:rsidRPr="00AA3F16">
        <w:rPr>
          <w:rFonts w:eastAsia="Arial" w:cs="Arial"/>
          <w:i/>
          <w:color w:val="000000"/>
          <w:lang w:val="es-ES"/>
        </w:rPr>
        <w:t xml:space="preserve">S. </w:t>
      </w:r>
      <w:proofErr w:type="spellStart"/>
      <w:r w:rsidRPr="00AA3F16">
        <w:rPr>
          <w:rFonts w:eastAsia="Arial" w:cs="Arial"/>
          <w:i/>
          <w:color w:val="000000"/>
          <w:lang w:val="es-ES"/>
        </w:rPr>
        <w:t>squatina</w:t>
      </w:r>
      <w:proofErr w:type="spellEnd"/>
      <w:r w:rsidRPr="00AA3F16">
        <w:rPr>
          <w:rFonts w:eastAsia="Arial" w:cs="Arial"/>
          <w:i/>
          <w:color w:val="000000"/>
          <w:lang w:val="es-ES"/>
        </w:rPr>
        <w:t xml:space="preserve">) </w:t>
      </w:r>
      <w:r w:rsidRPr="00AA3F16">
        <w:rPr>
          <w:rFonts w:eastAsia="Arial" w:cs="Arial"/>
          <w:iCs/>
          <w:color w:val="000000"/>
          <w:lang w:val="es-ES"/>
        </w:rPr>
        <w:t>se</w:t>
      </w:r>
      <w:r w:rsidRPr="00AA3F16">
        <w:rPr>
          <w:rFonts w:eastAsia="Arial" w:cs="Arial"/>
          <w:color w:val="000000"/>
          <w:lang w:val="es-ES"/>
        </w:rPr>
        <w:t xml:space="preserve"> distribuye a lo largo de las costas y la plataforma continental del Atlántico Noroccidental, desde Escocia en el norte hasta tan al sur como África Noroccidental, incluidas las Islas Canarias, hasta llegar a extenderse por todo el mar Mediterráneo (Lawson </w:t>
      </w:r>
      <w:r w:rsidRPr="00AA3F16">
        <w:rPr>
          <w:rFonts w:eastAsia="Arial" w:cs="Arial"/>
          <w:i/>
          <w:color w:val="000000"/>
          <w:lang w:val="es-ES"/>
        </w:rPr>
        <w:t>et al.</w:t>
      </w:r>
      <w:r w:rsidRPr="00AA3F16">
        <w:rPr>
          <w:rFonts w:eastAsia="Arial" w:cs="Arial"/>
          <w:color w:val="000000"/>
          <w:lang w:val="es-ES"/>
        </w:rPr>
        <w:t xml:space="preserve">, 2020; Figura 2). Aunque que no se distribuyen por la zona más amplia del mar Negro, se ha informado de algunos especímenes en las partes suroccidentales del mar Negro, es decir áreas cerca del sistema que comprende el Estrecho Turco (mar de </w:t>
      </w:r>
      <w:proofErr w:type="spellStart"/>
      <w:r w:rsidRPr="00AA3F16">
        <w:rPr>
          <w:rFonts w:eastAsia="Arial" w:cs="Arial"/>
          <w:color w:val="000000"/>
          <w:lang w:val="es-ES"/>
        </w:rPr>
        <w:t>Marmara</w:t>
      </w:r>
      <w:proofErr w:type="spellEnd"/>
      <w:r w:rsidRPr="00AA3F16">
        <w:rPr>
          <w:rFonts w:eastAsia="Arial" w:cs="Arial"/>
          <w:color w:val="000000"/>
          <w:lang w:val="es-ES"/>
        </w:rPr>
        <w:t xml:space="preserve"> (</w:t>
      </w:r>
      <w:proofErr w:type="spellStart"/>
      <w:r w:rsidRPr="00AA3F16">
        <w:rPr>
          <w:rFonts w:eastAsia="Arial" w:cs="Arial"/>
          <w:color w:val="000000"/>
          <w:lang w:val="es-ES"/>
        </w:rPr>
        <w:t>Kabasakal</w:t>
      </w:r>
      <w:proofErr w:type="spellEnd"/>
      <w:r w:rsidRPr="00AA3F16">
        <w:rPr>
          <w:rFonts w:eastAsia="Arial" w:cs="Arial"/>
          <w:color w:val="000000"/>
          <w:lang w:val="es-ES"/>
        </w:rPr>
        <w:t xml:space="preserve">, H., 2021). Los límites al sur de esta especie y bordeando la costa del África Noroccidental son en cierto </w:t>
      </w:r>
      <w:r w:rsidRPr="00AA3F16">
        <w:rPr>
          <w:rFonts w:eastAsia="Arial" w:cs="Arial"/>
          <w:color w:val="000000"/>
          <w:lang w:val="es-ES"/>
        </w:rPr>
        <w:lastRenderedPageBreak/>
        <w:t xml:space="preserve">modo imprecisos. Se desconoce la profundidad máxima a la que llegan, pero se tiene constancia de especímenes generalmente en aguas de menos de 200 m de profundidad. Como tal, se da en áreas FAO: 27 (Atlántico Nororiental), 34 (Atlántico central oriental) y en la 37 (mar Mediterráneo). Los registros del S. </w:t>
      </w:r>
      <w:proofErr w:type="spellStart"/>
      <w:r w:rsidRPr="00AA3F16">
        <w:rPr>
          <w:rFonts w:eastAsia="Arial" w:cs="Arial"/>
          <w:color w:val="000000"/>
          <w:lang w:val="es-ES"/>
        </w:rPr>
        <w:t>squatina</w:t>
      </w:r>
      <w:proofErr w:type="spellEnd"/>
      <w:r w:rsidRPr="00AA3F16">
        <w:rPr>
          <w:rFonts w:eastAsia="Arial" w:cs="Arial"/>
          <w:color w:val="000000"/>
          <w:lang w:val="es-ES"/>
        </w:rPr>
        <w:t xml:space="preserve"> en un estudio de Pike et al. (2019) respaldaron la bibliografía publicada respecto a su hábitat de preferencia, con un 62 % de los avistamientos en el mar Mediterráneo y localizados a una profundidad menor de 50 m en sedimentos blandos.</w:t>
      </w:r>
    </w:p>
    <w:p w14:paraId="2482773D" w14:textId="77777777" w:rsidR="003D260B" w:rsidRPr="00AA3F16" w:rsidRDefault="003D260B" w:rsidP="003D260B">
      <w:pPr>
        <w:widowControl w:val="0"/>
        <w:pBdr>
          <w:top w:val="nil"/>
          <w:left w:val="nil"/>
          <w:bottom w:val="nil"/>
          <w:right w:val="nil"/>
          <w:between w:val="nil"/>
        </w:pBdr>
        <w:spacing w:line="276" w:lineRule="auto"/>
        <w:ind w:right="-2"/>
        <w:jc w:val="both"/>
        <w:rPr>
          <w:rFonts w:eastAsia="Arial" w:cs="Arial"/>
          <w:color w:val="000000"/>
          <w:lang w:val="es-ES"/>
        </w:rPr>
      </w:pPr>
    </w:p>
    <w:p w14:paraId="3C252BF6" w14:textId="77777777" w:rsidR="003D260B" w:rsidRPr="00AA3F16" w:rsidRDefault="003D260B" w:rsidP="003D260B">
      <w:pPr>
        <w:widowControl w:val="0"/>
        <w:pBdr>
          <w:top w:val="nil"/>
          <w:left w:val="nil"/>
          <w:bottom w:val="nil"/>
          <w:right w:val="nil"/>
          <w:between w:val="nil"/>
        </w:pBdr>
        <w:ind w:right="-2"/>
        <w:jc w:val="both"/>
        <w:rPr>
          <w:rFonts w:eastAsia="Arial" w:cs="Arial"/>
          <w:color w:val="000000"/>
          <w:lang w:val="es-ES"/>
        </w:rPr>
      </w:pPr>
      <w:r w:rsidRPr="00AA3F16">
        <w:rPr>
          <w:rFonts w:eastAsia="Arial"/>
          <w:noProof/>
          <w:color w:val="000000"/>
          <w:lang w:val="es-ES"/>
        </w:rPr>
        <w:drawing>
          <wp:inline distT="0" distB="0" distL="114300" distR="114300" wp14:anchorId="2BA17EFE" wp14:editId="6D91B043">
            <wp:extent cx="3744595" cy="3802380"/>
            <wp:effectExtent l="0" t="0" r="0" b="0"/>
            <wp:docPr id="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44595" cy="3802380"/>
                    </a:xfrm>
                    <a:prstGeom prst="rect">
                      <a:avLst/>
                    </a:prstGeom>
                    <a:ln/>
                  </pic:spPr>
                </pic:pic>
              </a:graphicData>
            </a:graphic>
          </wp:inline>
        </w:drawing>
      </w:r>
    </w:p>
    <w:p w14:paraId="79145D2C" w14:textId="77777777" w:rsidR="003D260B" w:rsidRPr="00AA3F16" w:rsidRDefault="003D260B" w:rsidP="003D260B">
      <w:pPr>
        <w:widowControl w:val="0"/>
        <w:pBdr>
          <w:top w:val="nil"/>
          <w:left w:val="nil"/>
          <w:bottom w:val="nil"/>
          <w:right w:val="nil"/>
          <w:between w:val="nil"/>
        </w:pBdr>
        <w:jc w:val="center"/>
        <w:rPr>
          <w:rFonts w:eastAsia="Arial" w:cs="Arial"/>
          <w:color w:val="000000"/>
          <w:lang w:val="es-ES"/>
        </w:rPr>
      </w:pPr>
    </w:p>
    <w:p w14:paraId="1D4754E7" w14:textId="41411D7D" w:rsidR="003D260B" w:rsidRPr="00AA3F16" w:rsidRDefault="003D260B" w:rsidP="003D260B">
      <w:pPr>
        <w:widowControl w:val="0"/>
        <w:pBdr>
          <w:top w:val="nil"/>
          <w:left w:val="nil"/>
          <w:bottom w:val="nil"/>
          <w:right w:val="nil"/>
          <w:between w:val="nil"/>
        </w:pBdr>
        <w:jc w:val="both"/>
        <w:rPr>
          <w:rFonts w:eastAsia="Arial" w:cs="Arial"/>
          <w:color w:val="000000"/>
          <w:sz w:val="20"/>
          <w:szCs w:val="20"/>
          <w:lang w:val="es-ES"/>
        </w:rPr>
      </w:pPr>
      <w:r w:rsidRPr="0080497D">
        <w:rPr>
          <w:rFonts w:eastAsia="Arial" w:cs="Arial"/>
          <w:b/>
          <w:color w:val="000000"/>
          <w:sz w:val="20"/>
          <w:szCs w:val="20"/>
          <w:lang w:val="it-IT"/>
        </w:rPr>
        <w:t xml:space="preserve">Figura 2: </w:t>
      </w:r>
      <w:r w:rsidRPr="0080497D">
        <w:rPr>
          <w:rFonts w:eastAsia="Arial" w:cs="Arial"/>
          <w:color w:val="000000"/>
          <w:sz w:val="20"/>
          <w:szCs w:val="20"/>
          <w:lang w:val="it-IT"/>
        </w:rPr>
        <w:t xml:space="preserve">Ámbito del Angelote, </w:t>
      </w:r>
      <w:r w:rsidRPr="0080497D">
        <w:rPr>
          <w:rFonts w:eastAsia="Arial" w:cs="Arial"/>
          <w:i/>
          <w:color w:val="000000"/>
          <w:sz w:val="20"/>
          <w:szCs w:val="20"/>
          <w:lang w:val="it-IT"/>
        </w:rPr>
        <w:t>Squatina squatina</w:t>
      </w:r>
      <w:r w:rsidRPr="0080497D">
        <w:rPr>
          <w:rFonts w:eastAsia="Arial" w:cs="Arial"/>
          <w:color w:val="000000"/>
          <w:sz w:val="20"/>
          <w:szCs w:val="20"/>
          <w:lang w:val="it-IT"/>
        </w:rPr>
        <w:t xml:space="preserve">. </w:t>
      </w:r>
      <w:r w:rsidRPr="00AA3F16">
        <w:rPr>
          <w:rFonts w:eastAsia="Arial" w:cs="Arial"/>
          <w:color w:val="000000"/>
          <w:sz w:val="20"/>
          <w:szCs w:val="20"/>
          <w:lang w:val="es-ES"/>
        </w:rPr>
        <w:t xml:space="preserve">Fuente: </w:t>
      </w:r>
      <w:proofErr w:type="spellStart"/>
      <w:r w:rsidRPr="00AA3F16">
        <w:rPr>
          <w:rFonts w:eastAsia="Arial" w:cs="Arial"/>
          <w:color w:val="000000"/>
          <w:sz w:val="20"/>
          <w:szCs w:val="20"/>
          <w:lang w:val="es-ES"/>
        </w:rPr>
        <w:t>Morey</w:t>
      </w:r>
      <w:proofErr w:type="spellEnd"/>
      <w:r w:rsidRPr="00AA3F16">
        <w:rPr>
          <w:rFonts w:eastAsia="Arial" w:cs="Arial"/>
          <w:color w:val="000000"/>
          <w:sz w:val="20"/>
          <w:szCs w:val="20"/>
          <w:lang w:val="es-ES"/>
        </w:rPr>
        <w:t xml:space="preserve"> </w:t>
      </w:r>
      <w:r w:rsidRPr="00AA3F16">
        <w:rPr>
          <w:rFonts w:eastAsia="Arial" w:cs="Arial"/>
          <w:i/>
          <w:color w:val="000000"/>
          <w:sz w:val="20"/>
          <w:szCs w:val="20"/>
          <w:lang w:val="es-ES"/>
        </w:rPr>
        <w:t xml:space="preserve">et al. </w:t>
      </w:r>
      <w:r w:rsidRPr="00AA3F16">
        <w:rPr>
          <w:rFonts w:eastAsia="Arial" w:cs="Arial"/>
          <w:color w:val="000000"/>
          <w:sz w:val="20"/>
          <w:szCs w:val="20"/>
          <w:lang w:val="es-ES"/>
        </w:rPr>
        <w:t>(</w:t>
      </w:r>
      <w:r w:rsidRPr="00AA3F16">
        <w:rPr>
          <w:rFonts w:eastAsia="Arial" w:cs="Arial"/>
          <w:sz w:val="20"/>
          <w:szCs w:val="20"/>
          <w:lang w:val="es-ES"/>
        </w:rPr>
        <w:t>2019</w:t>
      </w:r>
      <w:r w:rsidRPr="00AA3F16">
        <w:rPr>
          <w:rFonts w:eastAsia="Arial" w:cs="Arial"/>
          <w:color w:val="000000"/>
          <w:sz w:val="20"/>
          <w:szCs w:val="20"/>
          <w:lang w:val="es-ES"/>
        </w:rPr>
        <w:t xml:space="preserve">) y Lawson </w:t>
      </w:r>
      <w:r w:rsidRPr="00AA3F16">
        <w:rPr>
          <w:rFonts w:eastAsia="Arial" w:cs="Arial"/>
          <w:i/>
          <w:iCs/>
          <w:color w:val="000000"/>
          <w:sz w:val="20"/>
          <w:szCs w:val="20"/>
          <w:lang w:val="es-ES"/>
        </w:rPr>
        <w:t>et al.</w:t>
      </w:r>
      <w:r w:rsidRPr="00AA3F16">
        <w:rPr>
          <w:rFonts w:eastAsia="Arial" w:cs="Arial"/>
          <w:color w:val="000000"/>
          <w:sz w:val="20"/>
          <w:szCs w:val="20"/>
          <w:lang w:val="es-ES"/>
        </w:rPr>
        <w:t xml:space="preserve"> (2020)</w:t>
      </w:r>
      <w:r w:rsidRPr="00AA3F16">
        <w:rPr>
          <w:rFonts w:eastAsia="Arial" w:cs="Arial"/>
          <w:color w:val="000000"/>
          <w:sz w:val="20"/>
          <w:szCs w:val="20"/>
          <w:vertAlign w:val="superscript"/>
          <w:lang w:val="es-ES"/>
        </w:rPr>
        <w:footnoteReference w:id="5"/>
      </w:r>
      <w:r w:rsidR="00FF5284" w:rsidRPr="00AA3F16">
        <w:rPr>
          <w:rFonts w:eastAsia="Arial" w:cs="Arial"/>
          <w:color w:val="000000"/>
          <w:sz w:val="20"/>
          <w:szCs w:val="20"/>
          <w:lang w:val="es-ES"/>
        </w:rPr>
        <w:t>.</w:t>
      </w:r>
    </w:p>
    <w:p w14:paraId="502C0BCC" w14:textId="77777777" w:rsidR="003D260B" w:rsidRPr="00AA3F16" w:rsidRDefault="003D260B" w:rsidP="003D260B">
      <w:pPr>
        <w:widowControl w:val="0"/>
        <w:pBdr>
          <w:top w:val="nil"/>
          <w:left w:val="nil"/>
          <w:bottom w:val="nil"/>
          <w:right w:val="nil"/>
          <w:between w:val="nil"/>
        </w:pBdr>
        <w:rPr>
          <w:rFonts w:eastAsia="Arial" w:cs="Arial"/>
          <w:color w:val="000000"/>
          <w:lang w:val="es-ES"/>
        </w:rPr>
      </w:pPr>
    </w:p>
    <w:p w14:paraId="5490D565" w14:textId="77777777" w:rsidR="003D260B" w:rsidRPr="00AA3F16" w:rsidRDefault="003D260B" w:rsidP="002A4E27">
      <w:pPr>
        <w:pStyle w:val="Heading2"/>
        <w:tabs>
          <w:tab w:val="clear" w:pos="310"/>
          <w:tab w:val="clear" w:pos="835"/>
          <w:tab w:val="left" w:pos="540"/>
        </w:tabs>
        <w:ind w:left="540" w:hanging="540"/>
        <w:jc w:val="left"/>
        <w:rPr>
          <w:rFonts w:ascii="Arial" w:hAnsi="Arial" w:cs="Arial"/>
          <w:szCs w:val="22"/>
          <w:lang w:val="es-ES"/>
        </w:rPr>
      </w:pPr>
      <w:bookmarkStart w:id="13" w:name="_Toc108701925"/>
      <w:bookmarkStart w:id="14" w:name="_Toc118277533"/>
      <w:r w:rsidRPr="00AA3F16">
        <w:rPr>
          <w:rFonts w:ascii="Arial" w:hAnsi="Arial" w:cs="Arial"/>
          <w:szCs w:val="22"/>
          <w:lang w:val="es-ES"/>
        </w:rPr>
        <w:t xml:space="preserve">1.3. </w:t>
      </w:r>
      <w:r w:rsidRPr="00AA3F16">
        <w:rPr>
          <w:rFonts w:ascii="Arial" w:hAnsi="Arial" w:cs="Arial"/>
          <w:szCs w:val="22"/>
          <w:lang w:val="es-ES"/>
        </w:rPr>
        <w:tab/>
        <w:t>Tendencia y productividad de la población</w:t>
      </w:r>
      <w:bookmarkEnd w:id="13"/>
      <w:bookmarkEnd w:id="14"/>
    </w:p>
    <w:p w14:paraId="5357555D"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rPr>
      </w:pPr>
    </w:p>
    <w:p w14:paraId="5872AA2C"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 xml:space="preserve">Se considera que las poblaciones de Angelote han disminuido bastante con respecto a su variedad geográfica, con la mayor parte de datos fehacientes originados en el norte de Europa y la región mediterránea. La disminución de la población se ha inferido principalmente por las perdidas documentadas de partes previas en la variedad de la especie durante el último siglo. Hay escasos estudios sobre el ciclo vital del Angelote en el mar Mediterráneo (p. ej., </w:t>
      </w:r>
      <w:proofErr w:type="spellStart"/>
      <w:r w:rsidRPr="00AA3F16">
        <w:rPr>
          <w:rFonts w:eastAsia="Arial" w:cs="Arial"/>
          <w:color w:val="000000"/>
          <w:lang w:val="es-ES"/>
        </w:rPr>
        <w:t>Capapé</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1990) y además faltan datos cuantitativos sobre poblaciones o índices de abundancia, debido a que existen pocos recientes publicados. Las tendencias de su población fuera de la costa atlántica y el África Nororiental resultan imprecisas.</w:t>
      </w:r>
    </w:p>
    <w:p w14:paraId="41F74E93"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rPr>
      </w:pPr>
    </w:p>
    <w:p w14:paraId="478E2928" w14:textId="4EE79A52" w:rsidR="003D260B" w:rsidRPr="00AA3F16" w:rsidRDefault="003D260B" w:rsidP="003D260B">
      <w:pPr>
        <w:pBdr>
          <w:top w:val="nil"/>
          <w:left w:val="nil"/>
          <w:bottom w:val="nil"/>
          <w:right w:val="nil"/>
          <w:between w:val="nil"/>
        </w:pBdr>
        <w:jc w:val="both"/>
        <w:rPr>
          <w:rFonts w:eastAsia="Arial" w:cs="Arial"/>
          <w:lang w:val="es-ES"/>
        </w:rPr>
      </w:pPr>
      <w:r w:rsidRPr="00AA3F16">
        <w:rPr>
          <w:rFonts w:eastAsia="Arial" w:cs="Arial"/>
          <w:color w:val="000000"/>
          <w:lang w:val="es-ES"/>
        </w:rPr>
        <w:t xml:space="preserve">Esta disminución de la </w:t>
      </w:r>
      <w:r w:rsidRPr="00AA3F16">
        <w:rPr>
          <w:rFonts w:eastAsia="Arial" w:cs="Arial"/>
          <w:i/>
          <w:color w:val="000000"/>
          <w:lang w:val="es-ES"/>
        </w:rPr>
        <w:t xml:space="preserve">S. </w:t>
      </w:r>
      <w:proofErr w:type="spellStart"/>
      <w:r w:rsidRPr="00AA3F16">
        <w:rPr>
          <w:rFonts w:eastAsia="Arial" w:cs="Arial"/>
          <w:i/>
          <w:color w:val="000000"/>
          <w:lang w:val="es-ES"/>
        </w:rPr>
        <w:t>squatina</w:t>
      </w:r>
      <w:proofErr w:type="spellEnd"/>
      <w:r w:rsidRPr="00AA3F16">
        <w:rPr>
          <w:rFonts w:eastAsia="Arial" w:cs="Arial"/>
          <w:i/>
          <w:color w:val="000000"/>
          <w:lang w:val="es-ES"/>
        </w:rPr>
        <w:t xml:space="preserve"> </w:t>
      </w:r>
      <w:r w:rsidRPr="00AA3F16">
        <w:rPr>
          <w:rFonts w:eastAsia="Arial" w:cs="Arial"/>
          <w:color w:val="000000"/>
          <w:lang w:val="es-ES"/>
        </w:rPr>
        <w:t xml:space="preserve">fue primero documentada por </w:t>
      </w:r>
      <w:proofErr w:type="spellStart"/>
      <w:r w:rsidRPr="00AA3F16">
        <w:rPr>
          <w:rFonts w:eastAsia="Arial" w:cs="Arial"/>
          <w:color w:val="000000"/>
          <w:lang w:val="es-ES"/>
        </w:rPr>
        <w:t>Quéro</w:t>
      </w:r>
      <w:proofErr w:type="spellEnd"/>
      <w:r w:rsidRPr="00AA3F16">
        <w:rPr>
          <w:rFonts w:eastAsia="Arial" w:cs="Arial"/>
          <w:color w:val="000000"/>
          <w:lang w:val="es-ES"/>
        </w:rPr>
        <w:t xml:space="preserve"> y </w:t>
      </w:r>
      <w:proofErr w:type="spellStart"/>
      <w:r w:rsidRPr="00AA3F16">
        <w:rPr>
          <w:rFonts w:eastAsia="Arial" w:cs="Arial"/>
          <w:color w:val="000000"/>
          <w:lang w:val="es-ES"/>
        </w:rPr>
        <w:t>Cendrero</w:t>
      </w:r>
      <w:proofErr w:type="spellEnd"/>
      <w:r w:rsidRPr="00AA3F16">
        <w:rPr>
          <w:rFonts w:eastAsia="Arial" w:cs="Arial"/>
          <w:color w:val="000000"/>
          <w:lang w:val="es-ES"/>
        </w:rPr>
        <w:t xml:space="preserve"> (1996), quienes se percataron de que la disminución de la especie había disminuido a lo largo de la costa Atlántica de Francia, la cual incluye áreas como la </w:t>
      </w:r>
      <w:proofErr w:type="spellStart"/>
      <w:r w:rsidRPr="00AA3F16">
        <w:rPr>
          <w:rFonts w:eastAsia="Arial" w:cs="Arial"/>
          <w:color w:val="000000"/>
          <w:lang w:val="es-ES"/>
        </w:rPr>
        <w:t>Baie</w:t>
      </w:r>
      <w:proofErr w:type="spellEnd"/>
      <w:r w:rsidRPr="00AA3F16">
        <w:rPr>
          <w:rFonts w:eastAsia="Arial" w:cs="Arial"/>
          <w:color w:val="000000"/>
          <w:lang w:val="es-ES"/>
        </w:rPr>
        <w:t xml:space="preserve"> </w:t>
      </w:r>
      <w:proofErr w:type="spellStart"/>
      <w:r w:rsidRPr="00AA3F16">
        <w:rPr>
          <w:rFonts w:eastAsia="Arial" w:cs="Arial"/>
          <w:lang w:val="es-ES"/>
        </w:rPr>
        <w:t>d'Arcachon</w:t>
      </w:r>
      <w:proofErr w:type="spellEnd"/>
      <w:r w:rsidRPr="00AA3F16">
        <w:rPr>
          <w:rFonts w:eastAsia="Arial" w:cs="Arial"/>
          <w:color w:val="000000"/>
          <w:lang w:val="es-ES"/>
        </w:rPr>
        <w:t xml:space="preserve">, lugar históricamente </w:t>
      </w:r>
      <w:r w:rsidRPr="00AA3F16">
        <w:rPr>
          <w:rFonts w:eastAsia="Arial" w:cs="Arial"/>
          <w:color w:val="000000"/>
          <w:lang w:val="es-ES"/>
        </w:rPr>
        <w:lastRenderedPageBreak/>
        <w:t xml:space="preserve">vinculado a las pesquerías con objetivo. Los estudios posteriores han destacado la disminución </w:t>
      </w:r>
      <w:r w:rsidRPr="00AA3F16">
        <w:rPr>
          <w:rFonts w:eastAsia="Arial" w:cs="Arial"/>
          <w:lang w:val="es-ES"/>
        </w:rPr>
        <w:t xml:space="preserve">en los registros del </w:t>
      </w:r>
      <w:r w:rsidRPr="00AA3F16">
        <w:rPr>
          <w:rFonts w:eastAsia="Arial" w:cs="Arial"/>
          <w:i/>
          <w:color w:val="000000"/>
          <w:lang w:val="es-ES"/>
        </w:rPr>
        <w:t xml:space="preserve">S. </w:t>
      </w:r>
      <w:proofErr w:type="spellStart"/>
      <w:r w:rsidRPr="00AA3F16">
        <w:rPr>
          <w:rFonts w:eastAsia="Arial" w:cs="Arial"/>
          <w:i/>
          <w:color w:val="000000"/>
          <w:lang w:val="es-ES"/>
        </w:rPr>
        <w:t>squatina</w:t>
      </w:r>
      <w:proofErr w:type="spellEnd"/>
      <w:r w:rsidRPr="00AA3F16">
        <w:rPr>
          <w:rFonts w:eastAsia="Arial" w:cs="Arial"/>
          <w:i/>
          <w:color w:val="000000"/>
          <w:lang w:val="es-ES"/>
        </w:rPr>
        <w:t xml:space="preserve"> </w:t>
      </w:r>
      <w:r w:rsidRPr="00AA3F16">
        <w:rPr>
          <w:rFonts w:eastAsia="Arial" w:cs="Arial"/>
          <w:color w:val="000000"/>
          <w:lang w:val="es-ES"/>
        </w:rPr>
        <w:t>procedentes del mar del Norte (</w:t>
      </w:r>
      <w:proofErr w:type="spellStart"/>
      <w:r w:rsidRPr="00AA3F16">
        <w:rPr>
          <w:rFonts w:eastAsia="Arial" w:cs="Arial"/>
          <w:color w:val="000000"/>
          <w:lang w:val="es-ES"/>
        </w:rPr>
        <w:t>Sguotti</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2016; </w:t>
      </w:r>
      <w:proofErr w:type="spellStart"/>
      <w:r w:rsidRPr="00AA3F16">
        <w:rPr>
          <w:rFonts w:eastAsia="Arial" w:cs="Arial"/>
          <w:color w:val="000000"/>
          <w:lang w:val="es-ES"/>
        </w:rPr>
        <w:t>Bom</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2020), Canal de la Mancha (Rogers &amp; Ellis, 2000; </w:t>
      </w:r>
      <w:proofErr w:type="spellStart"/>
      <w:r w:rsidRPr="00AA3F16">
        <w:rPr>
          <w:rFonts w:eastAsia="Arial" w:cs="Arial"/>
          <w:color w:val="000000"/>
          <w:lang w:val="es-ES"/>
        </w:rPr>
        <w:t>McHugh</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2011), mar de Irlanda y Canal de Bristol (Ellis </w:t>
      </w:r>
      <w:r w:rsidRPr="00AA3F16">
        <w:rPr>
          <w:rFonts w:eastAsia="Arial" w:cs="Arial"/>
          <w:i/>
          <w:color w:val="000000"/>
          <w:lang w:val="es-ES"/>
        </w:rPr>
        <w:t>et al.</w:t>
      </w:r>
      <w:r w:rsidRPr="00AA3F16">
        <w:rPr>
          <w:rFonts w:eastAsia="Arial" w:cs="Arial"/>
          <w:color w:val="000000"/>
          <w:lang w:val="es-ES"/>
        </w:rPr>
        <w:t xml:space="preserve">, 2002; Hiddink </w:t>
      </w:r>
      <w:r w:rsidRPr="00AA3F16">
        <w:rPr>
          <w:rFonts w:eastAsia="Arial" w:cs="Arial"/>
          <w:i/>
          <w:color w:val="000000"/>
          <w:lang w:val="es-ES"/>
        </w:rPr>
        <w:t>et al.</w:t>
      </w:r>
      <w:r w:rsidRPr="00AA3F16">
        <w:rPr>
          <w:rFonts w:eastAsia="Arial" w:cs="Arial"/>
          <w:color w:val="000000"/>
          <w:lang w:val="es-ES"/>
        </w:rPr>
        <w:t>, 2019), mar Adriático (</w:t>
      </w:r>
      <w:proofErr w:type="spellStart"/>
      <w:r w:rsidRPr="00AA3F16">
        <w:rPr>
          <w:rFonts w:eastAsia="Arial" w:cs="Arial"/>
          <w:color w:val="000000"/>
          <w:lang w:val="es-ES"/>
        </w:rPr>
        <w:t>Fortibuoni</w:t>
      </w:r>
      <w:proofErr w:type="spellEnd"/>
      <w:r w:rsidRPr="00AA3F16">
        <w:rPr>
          <w:rFonts w:eastAsia="Arial" w:cs="Arial"/>
          <w:color w:val="000000"/>
          <w:lang w:val="es-ES"/>
        </w:rPr>
        <w:t xml:space="preserve"> et al., 2016), y costa nororiental de Irlanda (</w:t>
      </w:r>
      <w:proofErr w:type="spellStart"/>
      <w:r w:rsidRPr="00AA3F16">
        <w:rPr>
          <w:rFonts w:eastAsia="Arial" w:cs="Arial"/>
          <w:color w:val="000000"/>
          <w:lang w:val="es-ES"/>
        </w:rPr>
        <w:t>Shephard</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2019), con poblaciones conservadas en algunas de estas áreas, incluidas las aguas que rodean la costa de Gales (Barker </w:t>
      </w:r>
      <w:r w:rsidRPr="00AA3F16">
        <w:rPr>
          <w:rFonts w:eastAsia="Arial" w:cs="Arial"/>
          <w:i/>
          <w:iCs/>
          <w:color w:val="000000"/>
          <w:lang w:val="es-ES"/>
        </w:rPr>
        <w:t>et al.</w:t>
      </w:r>
      <w:r w:rsidRPr="00AA3F16">
        <w:rPr>
          <w:rFonts w:eastAsia="Arial" w:cs="Arial"/>
          <w:color w:val="000000"/>
          <w:lang w:val="es-ES"/>
        </w:rPr>
        <w:t xml:space="preserve"> 2020, Hiddink </w:t>
      </w:r>
      <w:r w:rsidRPr="00AA3F16">
        <w:rPr>
          <w:rFonts w:eastAsia="Arial" w:cs="Arial"/>
          <w:i/>
          <w:iCs/>
          <w:color w:val="000000"/>
          <w:lang w:val="es-ES"/>
        </w:rPr>
        <w:t>et al</w:t>
      </w:r>
      <w:r w:rsidRPr="00AA3F16">
        <w:rPr>
          <w:rFonts w:eastAsia="Arial" w:cs="Arial"/>
          <w:color w:val="000000"/>
          <w:lang w:val="es-ES"/>
        </w:rPr>
        <w:t>. 2019) e Irlanda (</w:t>
      </w:r>
      <w:proofErr w:type="spellStart"/>
      <w:r w:rsidRPr="00AA3F16">
        <w:rPr>
          <w:rFonts w:eastAsia="Arial" w:cs="Arial"/>
          <w:color w:val="000000"/>
          <w:lang w:val="es-ES"/>
        </w:rPr>
        <w:t>Fitzmaurice</w:t>
      </w:r>
      <w:proofErr w:type="spellEnd"/>
      <w:r w:rsidRPr="00AA3F16">
        <w:rPr>
          <w:rFonts w:eastAsia="Arial" w:cs="Arial"/>
          <w:color w:val="000000"/>
          <w:lang w:val="es-ES"/>
        </w:rPr>
        <w:t xml:space="preserve"> </w:t>
      </w:r>
      <w:r w:rsidRPr="00AA3F16">
        <w:rPr>
          <w:rFonts w:eastAsia="Arial" w:cs="Arial"/>
          <w:i/>
          <w:iCs/>
          <w:color w:val="000000"/>
          <w:lang w:val="es-ES"/>
        </w:rPr>
        <w:t>et al.,</w:t>
      </w:r>
      <w:r w:rsidRPr="00AA3F16">
        <w:rPr>
          <w:rFonts w:eastAsia="Arial" w:cs="Arial"/>
          <w:color w:val="000000"/>
          <w:lang w:val="es-ES"/>
        </w:rPr>
        <w:t xml:space="preserve"> 2003; </w:t>
      </w:r>
      <w:proofErr w:type="spellStart"/>
      <w:r w:rsidRPr="00AA3F16">
        <w:rPr>
          <w:rFonts w:eastAsia="Arial" w:cs="Arial"/>
          <w:color w:val="000000"/>
          <w:lang w:val="es-ES"/>
        </w:rPr>
        <w:t>Shephard</w:t>
      </w:r>
      <w:proofErr w:type="spellEnd"/>
      <w:r w:rsidRPr="00AA3F16">
        <w:rPr>
          <w:rFonts w:eastAsia="Arial" w:cs="Arial"/>
          <w:color w:val="000000"/>
          <w:lang w:val="es-ES"/>
        </w:rPr>
        <w:t xml:space="preserve"> </w:t>
      </w:r>
      <w:r w:rsidRPr="00AA3F16">
        <w:rPr>
          <w:rFonts w:eastAsia="Arial" w:cs="Arial"/>
          <w:i/>
          <w:iCs/>
          <w:color w:val="000000"/>
          <w:lang w:val="es-ES"/>
        </w:rPr>
        <w:t>et al.,</w:t>
      </w:r>
      <w:r w:rsidRPr="00AA3F16">
        <w:rPr>
          <w:rFonts w:eastAsia="Arial" w:cs="Arial"/>
          <w:color w:val="000000"/>
          <w:lang w:val="es-ES"/>
        </w:rPr>
        <w:t xml:space="preserve"> 2019).</w:t>
      </w:r>
    </w:p>
    <w:p w14:paraId="33CDAF82" w14:textId="77777777" w:rsidR="003D260B" w:rsidRPr="00AA3F16" w:rsidRDefault="003D260B" w:rsidP="003D260B">
      <w:pPr>
        <w:pBdr>
          <w:top w:val="nil"/>
          <w:left w:val="nil"/>
          <w:bottom w:val="nil"/>
          <w:right w:val="nil"/>
          <w:between w:val="nil"/>
        </w:pBdr>
        <w:jc w:val="both"/>
        <w:rPr>
          <w:rFonts w:eastAsia="Arial" w:cs="Arial"/>
          <w:lang w:val="es-ES"/>
        </w:rPr>
      </w:pPr>
    </w:p>
    <w:p w14:paraId="74D2EF1B" w14:textId="77777777" w:rsidR="003D260B" w:rsidRPr="00AA3F16" w:rsidRDefault="003D260B" w:rsidP="003D260B">
      <w:pPr>
        <w:pBdr>
          <w:top w:val="nil"/>
          <w:left w:val="nil"/>
          <w:bottom w:val="nil"/>
          <w:right w:val="nil"/>
          <w:between w:val="nil"/>
        </w:pBdr>
        <w:jc w:val="both"/>
        <w:rPr>
          <w:rFonts w:eastAsia="Arial" w:cs="Arial"/>
          <w:color w:val="000000"/>
          <w:lang w:val="es-ES"/>
        </w:rPr>
      </w:pPr>
      <w:r w:rsidRPr="00AA3F16">
        <w:rPr>
          <w:rFonts w:eastAsia="Arial" w:cs="Arial"/>
          <w:color w:val="000000"/>
          <w:lang w:val="es-ES"/>
        </w:rPr>
        <w:t xml:space="preserve">Dentro el mar Mediterráneo, la ausencia del </w:t>
      </w:r>
      <w:r w:rsidRPr="00AA3F16">
        <w:rPr>
          <w:rFonts w:eastAsia="Arial" w:cs="Arial"/>
          <w:i/>
          <w:color w:val="000000"/>
          <w:lang w:val="es-ES"/>
        </w:rPr>
        <w:t xml:space="preserve">S. </w:t>
      </w:r>
      <w:proofErr w:type="spellStart"/>
      <w:r w:rsidRPr="00AA3F16">
        <w:rPr>
          <w:rFonts w:eastAsia="Arial" w:cs="Arial"/>
          <w:i/>
          <w:color w:val="000000"/>
          <w:lang w:val="es-ES"/>
        </w:rPr>
        <w:t>squatina</w:t>
      </w:r>
      <w:proofErr w:type="spellEnd"/>
      <w:r w:rsidRPr="00AA3F16">
        <w:rPr>
          <w:rFonts w:eastAsia="Arial" w:cs="Arial"/>
          <w:color w:val="000000"/>
          <w:lang w:val="es-ES"/>
        </w:rPr>
        <w:t xml:space="preserve"> en estudios de rastreo recientes (comparados con los estudios de rastreo históricos) ha sido patente en el mar Adriático (</w:t>
      </w:r>
      <w:proofErr w:type="spellStart"/>
      <w:r w:rsidRPr="00AA3F16">
        <w:rPr>
          <w:rFonts w:eastAsia="Arial" w:cs="Arial"/>
          <w:color w:val="000000"/>
          <w:lang w:val="es-ES"/>
        </w:rPr>
        <w:t>Jukic-Peladic</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2001, </w:t>
      </w:r>
      <w:proofErr w:type="spellStart"/>
      <w:r w:rsidRPr="00AA3F16">
        <w:rPr>
          <w:rFonts w:eastAsia="Arial" w:cs="Arial"/>
          <w:color w:val="000000"/>
          <w:lang w:val="es-ES"/>
        </w:rPr>
        <w:t>Fortibuoni</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2016) y en otras zonas del </w:t>
      </w:r>
      <w:r w:rsidRPr="00AA3F16">
        <w:rPr>
          <w:rFonts w:eastAsia="Arial" w:cs="Arial"/>
          <w:lang w:val="es-ES"/>
        </w:rPr>
        <w:t>Mediterráneo</w:t>
      </w:r>
      <w:r w:rsidRPr="00AA3F16">
        <w:rPr>
          <w:rFonts w:eastAsia="Arial" w:cs="Arial"/>
          <w:color w:val="000000"/>
          <w:lang w:val="es-ES"/>
        </w:rPr>
        <w:t xml:space="preserve"> (</w:t>
      </w:r>
      <w:proofErr w:type="spellStart"/>
      <w:r w:rsidRPr="00AA3F16">
        <w:rPr>
          <w:rFonts w:eastAsia="Arial" w:cs="Arial"/>
          <w:color w:val="000000"/>
          <w:lang w:val="es-ES"/>
        </w:rPr>
        <w:t>Ragonese</w:t>
      </w:r>
      <w:proofErr w:type="spellEnd"/>
      <w:r w:rsidRPr="00AA3F16">
        <w:rPr>
          <w:rFonts w:eastAsia="Arial" w:cs="Arial"/>
          <w:color w:val="000000"/>
          <w:lang w:val="es-ES"/>
        </w:rPr>
        <w:t xml:space="preserve"> </w:t>
      </w:r>
      <w:r w:rsidRPr="00AA3F16">
        <w:rPr>
          <w:rFonts w:eastAsia="Arial" w:cs="Arial"/>
          <w:i/>
          <w:color w:val="000000"/>
          <w:lang w:val="es-ES"/>
        </w:rPr>
        <w:t>et al.</w:t>
      </w:r>
      <w:r w:rsidRPr="00AA3F16">
        <w:rPr>
          <w:rFonts w:eastAsia="Arial" w:cs="Arial"/>
          <w:color w:val="000000"/>
          <w:lang w:val="es-ES"/>
        </w:rPr>
        <w:t xml:space="preserve">, 2013). </w:t>
      </w:r>
      <w:proofErr w:type="spellStart"/>
      <w:r w:rsidRPr="009E0427">
        <w:rPr>
          <w:rFonts w:eastAsia="Arial" w:cs="Arial"/>
          <w:color w:val="000000"/>
          <w:lang w:val="es-ES"/>
        </w:rPr>
        <w:t>Giovos</w:t>
      </w:r>
      <w:proofErr w:type="spellEnd"/>
      <w:r w:rsidRPr="009E0427">
        <w:rPr>
          <w:rFonts w:eastAsia="Arial" w:cs="Arial"/>
          <w:color w:val="000000"/>
          <w:lang w:val="es-ES"/>
        </w:rPr>
        <w:t xml:space="preserve"> </w:t>
      </w:r>
      <w:r w:rsidRPr="009E0427">
        <w:rPr>
          <w:rFonts w:eastAsia="Arial"/>
          <w:i/>
          <w:color w:val="000000"/>
          <w:lang w:val="es-ES"/>
        </w:rPr>
        <w:t>et al.</w:t>
      </w:r>
      <w:r w:rsidRPr="009E0427">
        <w:rPr>
          <w:rFonts w:eastAsia="Arial"/>
          <w:color w:val="000000"/>
          <w:lang w:val="es-ES"/>
        </w:rPr>
        <w:t xml:space="preserve"> (2019), </w:t>
      </w:r>
      <w:proofErr w:type="spellStart"/>
      <w:r w:rsidRPr="009E0427">
        <w:rPr>
          <w:rFonts w:eastAsia="Arial"/>
          <w:color w:val="000000"/>
          <w:lang w:val="es-ES"/>
        </w:rPr>
        <w:t>Lawson</w:t>
      </w:r>
      <w:proofErr w:type="spellEnd"/>
      <w:r w:rsidRPr="009E0427">
        <w:rPr>
          <w:rFonts w:eastAsia="Arial"/>
          <w:color w:val="000000"/>
          <w:lang w:val="es-ES"/>
        </w:rPr>
        <w:t xml:space="preserve"> </w:t>
      </w:r>
      <w:r w:rsidRPr="009E0427">
        <w:rPr>
          <w:rFonts w:eastAsia="Arial"/>
          <w:i/>
          <w:color w:val="000000"/>
          <w:lang w:val="es-ES"/>
        </w:rPr>
        <w:t>et al.</w:t>
      </w:r>
      <w:r w:rsidRPr="009E0427">
        <w:rPr>
          <w:rFonts w:eastAsia="Arial"/>
          <w:color w:val="000000"/>
          <w:lang w:val="es-ES"/>
        </w:rPr>
        <w:t xml:space="preserve"> (2020), y </w:t>
      </w:r>
      <w:proofErr w:type="spellStart"/>
      <w:r w:rsidRPr="009E0427">
        <w:rPr>
          <w:rFonts w:eastAsia="Arial"/>
          <w:color w:val="000000"/>
          <w:lang w:val="es-ES"/>
        </w:rPr>
        <w:t>Giovos</w:t>
      </w:r>
      <w:proofErr w:type="spellEnd"/>
      <w:r w:rsidRPr="009E0427">
        <w:rPr>
          <w:rFonts w:eastAsia="Arial"/>
          <w:color w:val="000000"/>
          <w:lang w:val="es-ES"/>
        </w:rPr>
        <w:t xml:space="preserve"> </w:t>
      </w:r>
      <w:r w:rsidRPr="009E0427">
        <w:rPr>
          <w:rFonts w:eastAsia="Arial" w:cs="Arial"/>
          <w:i/>
          <w:iCs/>
          <w:color w:val="000000"/>
          <w:lang w:val="es-ES"/>
        </w:rPr>
        <w:t>et al.</w:t>
      </w:r>
      <w:r w:rsidRPr="009E0427">
        <w:rPr>
          <w:rFonts w:eastAsia="Arial" w:cs="Arial"/>
          <w:color w:val="000000"/>
          <w:lang w:val="es-ES"/>
        </w:rPr>
        <w:t xml:space="preserve"> </w:t>
      </w:r>
      <w:r w:rsidRPr="00AA3F16">
        <w:rPr>
          <w:rFonts w:eastAsia="Arial" w:cs="Arial"/>
          <w:color w:val="000000"/>
          <w:lang w:val="es-ES"/>
        </w:rPr>
        <w:t xml:space="preserve">(2022) han ofrecido una visión en conjunto de la distribución mediterránea del </w:t>
      </w:r>
      <w:r w:rsidRPr="00AA3F16">
        <w:rPr>
          <w:rFonts w:eastAsia="Arial" w:cs="Arial"/>
          <w:i/>
          <w:color w:val="000000"/>
          <w:lang w:val="es-ES"/>
        </w:rPr>
        <w:t xml:space="preserve">S. </w:t>
      </w:r>
      <w:proofErr w:type="spellStart"/>
      <w:r w:rsidRPr="00AA3F16">
        <w:rPr>
          <w:rFonts w:eastAsia="Arial" w:cs="Arial"/>
          <w:i/>
          <w:color w:val="000000"/>
          <w:lang w:val="es-ES"/>
        </w:rPr>
        <w:t>squatina</w:t>
      </w:r>
      <w:proofErr w:type="spellEnd"/>
      <w:r w:rsidRPr="00AA3F16">
        <w:rPr>
          <w:rFonts w:eastAsia="Arial" w:cs="Arial"/>
          <w:color w:val="000000"/>
          <w:lang w:val="es-ES"/>
        </w:rPr>
        <w:t xml:space="preserve">, con información disponible también resumida por Ellis </w:t>
      </w:r>
      <w:r w:rsidRPr="00AA3F16">
        <w:rPr>
          <w:rFonts w:eastAsia="Arial" w:cs="Arial"/>
          <w:i/>
          <w:color w:val="000000"/>
          <w:lang w:val="es-ES"/>
        </w:rPr>
        <w:t xml:space="preserve">et al. </w:t>
      </w:r>
      <w:r w:rsidRPr="00AA3F16">
        <w:rPr>
          <w:rFonts w:eastAsia="Arial" w:cs="Arial"/>
          <w:color w:val="000000"/>
          <w:lang w:val="es-ES"/>
        </w:rPr>
        <w:t>(2021).</w:t>
      </w:r>
    </w:p>
    <w:p w14:paraId="5B2BD9B1" w14:textId="77777777" w:rsidR="003D260B" w:rsidRPr="00AA3F16" w:rsidRDefault="003D260B" w:rsidP="003D260B">
      <w:pPr>
        <w:pBdr>
          <w:top w:val="nil"/>
          <w:left w:val="nil"/>
          <w:bottom w:val="nil"/>
          <w:right w:val="nil"/>
          <w:between w:val="nil"/>
        </w:pBdr>
        <w:jc w:val="both"/>
        <w:rPr>
          <w:rFonts w:eastAsia="Arial" w:cs="Arial"/>
          <w:color w:val="000000"/>
          <w:lang w:val="es-ES"/>
        </w:rPr>
      </w:pPr>
    </w:p>
    <w:p w14:paraId="3C4B30F2" w14:textId="77777777" w:rsidR="003D260B" w:rsidRPr="00AA3F16" w:rsidRDefault="003D260B" w:rsidP="003D260B">
      <w:pPr>
        <w:pBdr>
          <w:top w:val="nil"/>
          <w:left w:val="nil"/>
          <w:bottom w:val="nil"/>
          <w:right w:val="nil"/>
          <w:between w:val="nil"/>
        </w:pBdr>
        <w:jc w:val="both"/>
        <w:rPr>
          <w:rFonts w:eastAsia="Arial" w:cs="Arial"/>
          <w:color w:val="000000"/>
          <w:lang w:val="es-ES"/>
        </w:rPr>
      </w:pPr>
      <w:r w:rsidRPr="00AA3F16">
        <w:rPr>
          <w:rFonts w:eastAsia="Arial" w:cs="Arial"/>
          <w:color w:val="000000"/>
          <w:lang w:val="es-ES"/>
        </w:rPr>
        <w:t xml:space="preserve">Los datos históricos sobre la cantidad de capturas del </w:t>
      </w:r>
      <w:r w:rsidRPr="00AA3F16">
        <w:rPr>
          <w:rFonts w:eastAsia="Arial" w:cs="Arial"/>
          <w:lang w:val="es-ES"/>
        </w:rPr>
        <w:t>A</w:t>
      </w:r>
      <w:r w:rsidRPr="00AA3F16">
        <w:rPr>
          <w:rFonts w:eastAsia="Arial" w:cs="Arial"/>
          <w:color w:val="000000"/>
          <w:lang w:val="es-ES"/>
        </w:rPr>
        <w:t xml:space="preserve">ngelote en el Mediterráneo son escasos. Sin embargo, un ejemplo lo representa el informe realizado por </w:t>
      </w:r>
      <w:proofErr w:type="spellStart"/>
      <w:r w:rsidRPr="00AA3F16">
        <w:rPr>
          <w:rFonts w:eastAsia="Arial" w:cs="Arial"/>
          <w:color w:val="000000"/>
          <w:lang w:val="es-ES"/>
        </w:rPr>
        <w:t>Vinciguerra</w:t>
      </w:r>
      <w:proofErr w:type="spellEnd"/>
      <w:r w:rsidRPr="00AA3F16">
        <w:rPr>
          <w:rFonts w:eastAsia="Arial" w:cs="Arial"/>
          <w:color w:val="000000"/>
          <w:lang w:val="es-ES"/>
        </w:rPr>
        <w:t xml:space="preserve"> (1884), donde se indicaba que el Angelote era una </w:t>
      </w:r>
      <w:proofErr w:type="spellStart"/>
      <w:r w:rsidRPr="00AA3F16">
        <w:rPr>
          <w:rFonts w:eastAsia="Arial" w:cs="Arial"/>
          <w:color w:val="000000"/>
          <w:lang w:val="es-ES"/>
        </w:rPr>
        <w:t>e</w:t>
      </w:r>
      <w:proofErr w:type="spellEnd"/>
      <w:r w:rsidRPr="00AA3F16">
        <w:rPr>
          <w:rFonts w:eastAsia="Arial" w:cs="Arial"/>
          <w:color w:val="000000"/>
          <w:lang w:val="es-ES"/>
        </w:rPr>
        <w:t xml:space="preserve"> las especies capturadas de peces cartilaginosos más abundante en el Golfo de Túnez (Tunicia), con una captura anual llegando a los 2700 kg en 1879. Los datos cuantitativos relacionados con una disminución de la población fueron proporcionados por Vacchi </w:t>
      </w:r>
      <w:r w:rsidRPr="00AA3F16">
        <w:rPr>
          <w:rFonts w:eastAsia="Arial" w:cs="Arial"/>
          <w:i/>
          <w:color w:val="000000"/>
          <w:lang w:val="es-ES"/>
        </w:rPr>
        <w:t>et al.</w:t>
      </w:r>
      <w:r w:rsidRPr="00AA3F16">
        <w:rPr>
          <w:rFonts w:eastAsia="Arial" w:cs="Arial"/>
          <w:color w:val="000000"/>
          <w:lang w:val="es-ES"/>
        </w:rPr>
        <w:t xml:space="preserve"> (2000), quienes analizaron la información de captura histórica para el </w:t>
      </w:r>
      <w:proofErr w:type="spellStart"/>
      <w:r w:rsidRPr="00AA3F16">
        <w:rPr>
          <w:rFonts w:eastAsia="Arial" w:cs="Arial"/>
          <w:i/>
          <w:color w:val="000000"/>
          <w:lang w:val="es-ES"/>
        </w:rPr>
        <w:t>Squatina</w:t>
      </w:r>
      <w:proofErr w:type="spellEnd"/>
      <w:r w:rsidRPr="00AA3F16">
        <w:rPr>
          <w:rFonts w:eastAsia="Arial" w:cs="Arial"/>
          <w:color w:val="000000"/>
          <w:lang w:val="es-ES"/>
        </w:rPr>
        <w:t xml:space="preserve"> </w:t>
      </w:r>
      <w:proofErr w:type="spellStart"/>
      <w:r w:rsidRPr="00AA3F16">
        <w:rPr>
          <w:rFonts w:eastAsia="Arial" w:cs="Arial"/>
          <w:iCs/>
          <w:color w:val="000000"/>
          <w:lang w:val="es-ES"/>
        </w:rPr>
        <w:t>spp</w:t>
      </w:r>
      <w:proofErr w:type="spellEnd"/>
      <w:r w:rsidRPr="00AA3F16">
        <w:rPr>
          <w:rFonts w:eastAsia="Arial" w:cs="Arial"/>
          <w:iCs/>
          <w:color w:val="000000"/>
          <w:lang w:val="es-ES"/>
        </w:rPr>
        <w:t>.</w:t>
      </w:r>
      <w:r w:rsidRPr="00AA3F16">
        <w:rPr>
          <w:rFonts w:eastAsia="Arial" w:cs="Arial"/>
          <w:color w:val="000000"/>
          <w:lang w:val="es-ES"/>
        </w:rPr>
        <w:t xml:space="preserve"> en las capturas del atún “</w:t>
      </w:r>
      <w:proofErr w:type="spellStart"/>
      <w:r w:rsidRPr="00AA3F16">
        <w:rPr>
          <w:rFonts w:eastAsia="Arial" w:cs="Arial"/>
          <w:color w:val="000000"/>
          <w:lang w:val="es-ES"/>
        </w:rPr>
        <w:t>tonnarella</w:t>
      </w:r>
      <w:proofErr w:type="spellEnd"/>
      <w:r w:rsidRPr="00AA3F16">
        <w:rPr>
          <w:rFonts w:eastAsia="Arial" w:cs="Arial"/>
          <w:color w:val="000000"/>
          <w:lang w:val="es-ES"/>
        </w:rPr>
        <w:t xml:space="preserve">”. Estas capturas se dieron a profundidades de 2-15 m en el Golfo de </w:t>
      </w:r>
      <w:proofErr w:type="spellStart"/>
      <w:r w:rsidRPr="00AA3F16">
        <w:rPr>
          <w:rFonts w:eastAsia="Arial" w:cs="Arial"/>
          <w:color w:val="000000"/>
          <w:lang w:val="es-ES"/>
        </w:rPr>
        <w:t>Baratti</w:t>
      </w:r>
      <w:proofErr w:type="spellEnd"/>
      <w:r w:rsidRPr="00AA3F16">
        <w:rPr>
          <w:rFonts w:eastAsia="Arial" w:cs="Arial"/>
          <w:color w:val="000000"/>
          <w:lang w:val="es-ES"/>
        </w:rPr>
        <w:t xml:space="preserve"> (mar Tirreno). El número de </w:t>
      </w:r>
      <w:proofErr w:type="spellStart"/>
      <w:r w:rsidRPr="00AA3F16">
        <w:rPr>
          <w:rFonts w:eastAsia="Arial" w:cs="Arial"/>
          <w:i/>
          <w:color w:val="000000"/>
          <w:lang w:val="es-ES"/>
        </w:rPr>
        <w:t>Squatina</w:t>
      </w:r>
      <w:proofErr w:type="spellEnd"/>
      <w:r w:rsidRPr="00AA3F16">
        <w:rPr>
          <w:rFonts w:eastAsia="Arial" w:cs="Arial"/>
          <w:color w:val="000000"/>
          <w:lang w:val="es-ES"/>
        </w:rPr>
        <w:t xml:space="preserve"> </w:t>
      </w:r>
      <w:proofErr w:type="spellStart"/>
      <w:r w:rsidRPr="00AA3F16">
        <w:rPr>
          <w:rFonts w:eastAsia="Arial" w:cs="Arial"/>
          <w:iCs/>
          <w:color w:val="000000"/>
          <w:lang w:val="es-ES"/>
        </w:rPr>
        <w:t>spp</w:t>
      </w:r>
      <w:proofErr w:type="spellEnd"/>
      <w:r w:rsidRPr="00AA3F16">
        <w:rPr>
          <w:rFonts w:eastAsia="Arial" w:cs="Arial"/>
          <w:iCs/>
          <w:color w:val="000000"/>
          <w:lang w:val="es-ES"/>
        </w:rPr>
        <w:t>.</w:t>
      </w:r>
      <w:r w:rsidRPr="00AA3F16">
        <w:rPr>
          <w:rFonts w:eastAsia="Arial" w:cs="Arial"/>
          <w:color w:val="000000"/>
          <w:lang w:val="es-ES"/>
        </w:rPr>
        <w:t xml:space="preserve"> </w:t>
      </w:r>
      <w:r w:rsidRPr="00AA3F16">
        <w:rPr>
          <w:rFonts w:eastAsia="Arial" w:cs="Arial"/>
          <w:lang w:val="es-ES"/>
        </w:rPr>
        <w:t>registrado</w:t>
      </w:r>
      <w:r w:rsidRPr="00AA3F16">
        <w:rPr>
          <w:rFonts w:eastAsia="Arial" w:cs="Arial"/>
          <w:color w:val="000000"/>
          <w:lang w:val="es-ES"/>
        </w:rPr>
        <w:t xml:space="preserve"> (junto con su frecuencia de ocurrencia anual) disminuyó de 134 (100 %) en el período que abarca los años 1898–1905, a 95 (87,5 %) durante los años 1906–1913, y después a 15 (33,3 %) durante el período final del estudio (1914–1922). Estos datos también indicaron que la disminución de los registros del </w:t>
      </w:r>
      <w:r w:rsidRPr="00AA3F16">
        <w:rPr>
          <w:rFonts w:eastAsia="Arial" w:cs="Arial"/>
          <w:i/>
          <w:color w:val="000000"/>
          <w:lang w:val="es-ES"/>
        </w:rPr>
        <w:t xml:space="preserve">S. </w:t>
      </w:r>
      <w:proofErr w:type="spellStart"/>
      <w:r w:rsidRPr="00AA3F16">
        <w:rPr>
          <w:rFonts w:eastAsia="Arial" w:cs="Arial"/>
          <w:i/>
          <w:color w:val="000000"/>
          <w:lang w:val="es-ES"/>
        </w:rPr>
        <w:t>squatina</w:t>
      </w:r>
      <w:proofErr w:type="spellEnd"/>
      <w:r w:rsidRPr="00AA3F16">
        <w:rPr>
          <w:rFonts w:eastAsia="Arial" w:cs="Arial"/>
          <w:iCs/>
          <w:color w:val="000000"/>
          <w:lang w:val="es-ES"/>
        </w:rPr>
        <w:t xml:space="preserve"> </w:t>
      </w:r>
      <w:r w:rsidRPr="00AA3F16">
        <w:rPr>
          <w:rFonts w:eastAsia="Arial" w:cs="Arial"/>
          <w:color w:val="000000"/>
          <w:lang w:val="es-ES"/>
        </w:rPr>
        <w:t xml:space="preserve">ha consistido en una tendencia a más largo plazo, dándose durante gran parte del siglo XX (Vacchi </w:t>
      </w:r>
      <w:r w:rsidRPr="00AA3F16">
        <w:rPr>
          <w:rFonts w:eastAsia="Arial" w:cs="Arial"/>
          <w:i/>
          <w:color w:val="000000"/>
          <w:lang w:val="es-ES"/>
        </w:rPr>
        <w:t>et al.</w:t>
      </w:r>
      <w:r w:rsidRPr="00AA3F16">
        <w:rPr>
          <w:rFonts w:eastAsia="Arial" w:cs="Arial"/>
          <w:color w:val="000000"/>
          <w:lang w:val="es-ES"/>
        </w:rPr>
        <w:t xml:space="preserve">, 2000). De igual forma, </w:t>
      </w:r>
      <w:proofErr w:type="spellStart"/>
      <w:r w:rsidRPr="00AA3F16">
        <w:rPr>
          <w:rFonts w:eastAsia="Arial" w:cs="Arial"/>
          <w:color w:val="000000"/>
          <w:lang w:val="es-ES"/>
        </w:rPr>
        <w:t>Soldo</w:t>
      </w:r>
      <w:proofErr w:type="spellEnd"/>
      <w:r w:rsidRPr="00AA3F16">
        <w:rPr>
          <w:rFonts w:eastAsia="Arial" w:cs="Arial"/>
          <w:color w:val="000000"/>
          <w:lang w:val="es-ES"/>
        </w:rPr>
        <w:t xml:space="preserve"> (2006) ha constatado que el Angelote se capturaba habitualmente en el mar Adriático durante el siglo </w:t>
      </w:r>
      <w:proofErr w:type="gramStart"/>
      <w:r w:rsidRPr="00AA3F16">
        <w:rPr>
          <w:rFonts w:eastAsia="Arial" w:cs="Arial"/>
          <w:color w:val="000000"/>
          <w:lang w:val="es-ES"/>
        </w:rPr>
        <w:t>XIX</w:t>
      </w:r>
      <w:proofErr w:type="gramEnd"/>
      <w:r w:rsidRPr="00AA3F16">
        <w:rPr>
          <w:rFonts w:eastAsia="Arial" w:cs="Arial"/>
          <w:color w:val="000000"/>
          <w:lang w:val="es-ES"/>
        </w:rPr>
        <w:t xml:space="preserve"> aunque ha estado considerado en grave peligro de extinción (tanto a nivel mundial como en la zona del Mediterráneo) desde principios del siglo XXI.</w:t>
      </w:r>
      <w:r w:rsidRPr="00AA3F16">
        <w:rPr>
          <w:rFonts w:eastAsia="Arial" w:cs="Arial"/>
          <w:lang w:val="es-ES"/>
        </w:rPr>
        <w:t xml:space="preserve"> </w:t>
      </w:r>
      <w:r w:rsidRPr="00AA3F16">
        <w:rPr>
          <w:rFonts w:eastAsia="Arial" w:cs="Arial"/>
          <w:color w:val="000000"/>
          <w:lang w:val="es-ES"/>
        </w:rPr>
        <w:t xml:space="preserve">Algunos estudios recientes basados en el conocimiento ecológico han ayudado a identificar los lugares de ocurrencia reciente, incluido el archipiélago de la Isla </w:t>
      </w:r>
      <w:proofErr w:type="spellStart"/>
      <w:r w:rsidRPr="00AA3F16">
        <w:rPr>
          <w:rFonts w:eastAsia="Arial" w:cs="Arial"/>
          <w:color w:val="000000"/>
          <w:lang w:val="es-ES"/>
        </w:rPr>
        <w:t>Molat</w:t>
      </w:r>
      <w:proofErr w:type="spellEnd"/>
      <w:r w:rsidRPr="00AA3F16">
        <w:rPr>
          <w:rFonts w:eastAsia="Arial" w:cs="Arial"/>
          <w:color w:val="000000"/>
          <w:lang w:val="es-ES"/>
        </w:rPr>
        <w:t xml:space="preserve"> en Croacia (Pike </w:t>
      </w:r>
      <w:r w:rsidRPr="00AA3F16">
        <w:rPr>
          <w:rFonts w:eastAsia="Arial" w:cs="Arial"/>
          <w:i/>
          <w:iCs/>
          <w:color w:val="000000"/>
          <w:lang w:val="es-ES"/>
        </w:rPr>
        <w:t>et al.</w:t>
      </w:r>
      <w:r w:rsidRPr="00AA3F16">
        <w:rPr>
          <w:rFonts w:eastAsia="Arial" w:cs="Arial"/>
          <w:color w:val="000000"/>
          <w:lang w:val="es-ES"/>
        </w:rPr>
        <w:t>, 2019), con lo que se necesitan estudios comparables para otras zonas del mar Mediterráneo.</w:t>
      </w:r>
    </w:p>
    <w:p w14:paraId="262CEC53" w14:textId="50570251" w:rsidR="001162F9" w:rsidRPr="00AA3F16" w:rsidRDefault="001162F9" w:rsidP="003D260B">
      <w:pPr>
        <w:rPr>
          <w:rFonts w:cs="Arial"/>
          <w:spacing w:val="-2"/>
          <w:lang w:val="es-ES" w:eastAsia="en-GB"/>
        </w:rPr>
      </w:pPr>
    </w:p>
    <w:p w14:paraId="1B02B598" w14:textId="77777777" w:rsidR="003D260B" w:rsidRPr="00AA3F16" w:rsidRDefault="003D260B" w:rsidP="003D260B">
      <w:pPr>
        <w:keepNext/>
        <w:keepLines/>
        <w:numPr>
          <w:ilvl w:val="0"/>
          <w:numId w:val="17"/>
        </w:numPr>
        <w:ind w:left="540" w:hanging="540"/>
        <w:outlineLvl w:val="0"/>
        <w:rPr>
          <w:rFonts w:eastAsia="Times New Roman" w:cs="Arial"/>
          <w:b/>
          <w:lang w:val="es-ES" w:eastAsia="en-GB"/>
        </w:rPr>
      </w:pPr>
      <w:bookmarkStart w:id="15" w:name="_Toc108701926"/>
      <w:bookmarkStart w:id="16" w:name="_Toc118277534"/>
      <w:r w:rsidRPr="00AA3F16">
        <w:rPr>
          <w:rFonts w:eastAsia="Times New Roman" w:cs="Arial"/>
          <w:b/>
          <w:lang w:val="es-ES" w:eastAsia="es-ES"/>
        </w:rPr>
        <w:t>AMENAZAS</w:t>
      </w:r>
      <w:bookmarkEnd w:id="15"/>
      <w:bookmarkEnd w:id="16"/>
    </w:p>
    <w:p w14:paraId="51FD510C"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7E1B2879" w14:textId="1323C9C6"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Las principales amenazas para la distribución y abundancia de los Angelotes en el mar Mediterráneo las constituyen su captura dentro de la actividad pesquera y la destrucción de su hábitat (Gordon </w:t>
      </w:r>
      <w:r w:rsidRPr="00AA3F16">
        <w:rPr>
          <w:rFonts w:eastAsia="Arial" w:cs="Arial"/>
          <w:i/>
          <w:iCs/>
          <w:color w:val="000000"/>
          <w:lang w:val="es-ES" w:eastAsia="es-ES"/>
        </w:rPr>
        <w:t>et al.</w:t>
      </w:r>
      <w:r w:rsidRPr="00AA3F16">
        <w:rPr>
          <w:rFonts w:eastAsia="Arial" w:cs="Arial"/>
          <w:color w:val="000000"/>
          <w:lang w:val="es-ES" w:eastAsia="es-ES"/>
        </w:rPr>
        <w:t>, 2019).</w:t>
      </w:r>
    </w:p>
    <w:p w14:paraId="5F00769D" w14:textId="77777777" w:rsidR="009E1EED" w:rsidRPr="00AA3F16" w:rsidRDefault="009E1EED" w:rsidP="003D260B">
      <w:pPr>
        <w:widowControl w:val="0"/>
        <w:pBdr>
          <w:top w:val="nil"/>
          <w:left w:val="nil"/>
          <w:bottom w:val="nil"/>
          <w:right w:val="nil"/>
          <w:between w:val="nil"/>
        </w:pBdr>
        <w:jc w:val="both"/>
        <w:rPr>
          <w:rFonts w:eastAsia="Arial" w:cs="Arial"/>
          <w:color w:val="000000"/>
          <w:lang w:val="es-ES" w:eastAsia="en-GB"/>
        </w:rPr>
      </w:pPr>
    </w:p>
    <w:p w14:paraId="72ECB878" w14:textId="77777777" w:rsidR="003D260B" w:rsidRPr="00AA3F16" w:rsidRDefault="003D260B" w:rsidP="002A4E27">
      <w:pPr>
        <w:keepNext/>
        <w:keepLines/>
        <w:ind w:left="540" w:hanging="540"/>
        <w:outlineLvl w:val="1"/>
        <w:rPr>
          <w:rFonts w:eastAsia="Times New Roman" w:cs="Arial"/>
          <w:b/>
          <w:iCs/>
          <w:lang w:val="es-ES" w:eastAsia="en-GB"/>
        </w:rPr>
      </w:pPr>
      <w:bookmarkStart w:id="17" w:name="_Toc108701927"/>
      <w:bookmarkStart w:id="18" w:name="_Toc118277535"/>
      <w:r w:rsidRPr="00AA3F16">
        <w:rPr>
          <w:rFonts w:eastAsia="Times New Roman" w:cs="Arial"/>
          <w:b/>
          <w:iCs/>
          <w:lang w:val="es-ES" w:eastAsia="es-ES"/>
        </w:rPr>
        <w:t xml:space="preserve">2.1. </w:t>
      </w:r>
      <w:r w:rsidRPr="00AA3F16">
        <w:rPr>
          <w:rFonts w:eastAsia="Times New Roman" w:cs="Arial"/>
          <w:b/>
          <w:iCs/>
          <w:lang w:val="es-ES" w:eastAsia="es-ES"/>
        </w:rPr>
        <w:tab/>
        <w:t>Explotación no sostenible</w:t>
      </w:r>
      <w:bookmarkEnd w:id="17"/>
      <w:bookmarkEnd w:id="18"/>
    </w:p>
    <w:p w14:paraId="7E6DC003"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536C2CFF"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lang w:val="es-ES" w:eastAsia="es-ES"/>
        </w:rPr>
        <w:t xml:space="preserve">Históricamente, </w:t>
      </w:r>
      <w:r w:rsidRPr="00AA3F16">
        <w:rPr>
          <w:rFonts w:eastAsia="Arial" w:cs="Arial"/>
          <w:color w:val="000000"/>
          <w:lang w:val="es-ES" w:eastAsia="es-ES"/>
        </w:rPr>
        <w:t xml:space="preserve">el Angelote se ha utilizado tanto como alimento como por su piel externa. </w:t>
      </w:r>
      <w:r w:rsidRPr="00AA3F16">
        <w:rPr>
          <w:rFonts w:eastAsia="Arial" w:cs="Arial"/>
          <w:lang w:val="es-ES" w:eastAsia="es-ES"/>
        </w:rPr>
        <w:t>En la primera mitad del siglo XX</w:t>
      </w:r>
      <w:r w:rsidRPr="00AA3F16">
        <w:rPr>
          <w:rFonts w:eastAsia="Arial" w:cs="Arial"/>
          <w:color w:val="000000"/>
          <w:lang w:val="es-ES" w:eastAsia="es-ES"/>
        </w:rPr>
        <w:t xml:space="preserve">, los Angelotes eran piezas propias de algunas pesquerías con objetivo localizadas y llevadas a cabo mediante tipos de redes especializadas, a menudo denominadas como cada nombre local de las especies: </w:t>
      </w:r>
      <w:proofErr w:type="spellStart"/>
      <w:r w:rsidRPr="00AA3F16">
        <w:rPr>
          <w:rFonts w:eastAsia="Arial" w:cs="Arial"/>
          <w:i/>
          <w:color w:val="000000"/>
          <w:lang w:val="es-ES" w:eastAsia="es-ES"/>
        </w:rPr>
        <w:t>Escatera</w:t>
      </w:r>
      <w:proofErr w:type="spellEnd"/>
      <w:r w:rsidRPr="00AA3F16">
        <w:rPr>
          <w:rFonts w:eastAsia="Arial" w:cs="Arial"/>
          <w:color w:val="000000"/>
          <w:lang w:val="es-ES" w:eastAsia="es-ES"/>
        </w:rPr>
        <w:t xml:space="preserve"> (España), </w:t>
      </w:r>
      <w:proofErr w:type="spellStart"/>
      <w:r w:rsidRPr="00AA3F16">
        <w:rPr>
          <w:rFonts w:eastAsia="Arial" w:cs="Arial"/>
          <w:i/>
          <w:color w:val="000000"/>
          <w:lang w:val="es-ES" w:eastAsia="es-ES"/>
        </w:rPr>
        <w:t>Squaenera</w:t>
      </w:r>
      <w:proofErr w:type="spellEnd"/>
      <w:r w:rsidRPr="00AA3F16">
        <w:rPr>
          <w:rFonts w:eastAsia="Arial" w:cs="Arial"/>
          <w:color w:val="000000"/>
          <w:lang w:val="es-ES" w:eastAsia="es-ES"/>
        </w:rPr>
        <w:t xml:space="preserve"> (Italia), </w:t>
      </w:r>
      <w:proofErr w:type="spellStart"/>
      <w:r w:rsidRPr="00AA3F16">
        <w:rPr>
          <w:rFonts w:eastAsia="Arial" w:cs="Arial"/>
          <w:i/>
          <w:color w:val="000000"/>
          <w:lang w:val="es-ES" w:eastAsia="es-ES"/>
        </w:rPr>
        <w:t>Sklatara</w:t>
      </w:r>
      <w:proofErr w:type="spellEnd"/>
      <w:r w:rsidRPr="00AA3F16">
        <w:rPr>
          <w:rFonts w:eastAsia="Arial" w:cs="Arial"/>
          <w:color w:val="000000"/>
          <w:lang w:val="es-ES" w:eastAsia="es-ES"/>
        </w:rPr>
        <w:t xml:space="preserve"> (Croacia), </w:t>
      </w:r>
      <w:proofErr w:type="spellStart"/>
      <w:r w:rsidRPr="00AA3F16">
        <w:rPr>
          <w:rFonts w:eastAsia="Arial" w:cs="Arial"/>
          <w:i/>
          <w:color w:val="000000"/>
          <w:lang w:val="es-ES" w:eastAsia="es-ES"/>
        </w:rPr>
        <w:t>Martramou</w:t>
      </w:r>
      <w:proofErr w:type="spellEnd"/>
      <w:r w:rsidRPr="00AA3F16">
        <w:rPr>
          <w:rFonts w:eastAsia="Arial" w:cs="Arial"/>
          <w:color w:val="000000"/>
          <w:lang w:val="es-ES" w:eastAsia="es-ES"/>
        </w:rPr>
        <w:t xml:space="preserve"> (Francia). </w:t>
      </w:r>
      <w:r w:rsidRPr="00AA3F16">
        <w:rPr>
          <w:rFonts w:eastAsia="Arial" w:cs="Arial"/>
          <w:lang w:val="es-ES" w:eastAsia="es-ES"/>
        </w:rPr>
        <w:t xml:space="preserve">Durante la </w:t>
      </w:r>
      <w:r w:rsidRPr="00AA3F16">
        <w:rPr>
          <w:rFonts w:eastAsia="Arial" w:cs="Arial"/>
          <w:color w:val="000000"/>
          <w:lang w:val="es-ES" w:eastAsia="es-ES"/>
        </w:rPr>
        <w:t>última mitad del siglo XX, los Angel</w:t>
      </w:r>
      <w:r w:rsidRPr="00AA3F16">
        <w:rPr>
          <w:rFonts w:eastAsia="Arial" w:cs="Arial"/>
          <w:lang w:val="es-ES" w:eastAsia="es-ES"/>
        </w:rPr>
        <w:t>otes</w:t>
      </w:r>
      <w:r w:rsidRPr="00AA3F16">
        <w:rPr>
          <w:rFonts w:eastAsia="Arial" w:cs="Arial"/>
          <w:color w:val="000000"/>
          <w:lang w:val="es-ES" w:eastAsia="es-ES"/>
        </w:rPr>
        <w:t xml:space="preserve"> siguieron capturándose de forma incidental por parte de distintas pesquerías, que incluyeron la pesca de arrastre en fondo y de red en fondo marino (p. ej., la red de enmalle, la red de trasmallo y la red de enredo) y, en menor medida, pesquerías de palangre de fondo. En algunas zonas dentro </w:t>
      </w:r>
      <w:r w:rsidRPr="00AA3F16">
        <w:rPr>
          <w:rFonts w:eastAsia="Arial" w:cs="Arial"/>
          <w:lang w:val="es-ES" w:eastAsia="es-ES"/>
        </w:rPr>
        <w:t>de</w:t>
      </w:r>
      <w:r w:rsidRPr="00AA3F16">
        <w:rPr>
          <w:rFonts w:eastAsia="Arial" w:cs="Arial"/>
          <w:color w:val="000000"/>
          <w:lang w:val="es-ES" w:eastAsia="es-ES"/>
        </w:rPr>
        <w:t xml:space="preserve"> estos tipos, ha existido una mortalidad adicional de los pescados debido a la pesca recreacional, mientras que en otras a causa de pescas continuadas con objetivo. </w:t>
      </w:r>
    </w:p>
    <w:p w14:paraId="780720DA"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448452D1"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lang w:val="es-ES" w:eastAsia="es-ES"/>
        </w:rPr>
        <w:t>La excesiva presión en la pesca ha sido identificada como el impacto más probable sobre el nivel de su población, dada la disminución a gran escala en su conservación geográfica. Sabiendo</w:t>
      </w:r>
      <w:r w:rsidRPr="00AA3F16">
        <w:rPr>
          <w:rFonts w:eastAsia="Arial" w:cs="Arial"/>
          <w:color w:val="000000"/>
          <w:lang w:val="es-ES" w:eastAsia="es-ES"/>
        </w:rPr>
        <w:t xml:space="preserve"> la gran distribución costera del Angelote, y considerando que sus distribuciones pueden ser por temporadas, se da habitualmente un alto grado de solapamiento entre sus poblaciones para la pesca recreacional, comercial y tradicional. Además de una reducción en el tamaño y el ámbito, la pesca excesiva puede provocar que la población se fragmente y afectar posteriormente a la estructura de la población en términos genéticos.</w:t>
      </w:r>
    </w:p>
    <w:p w14:paraId="2369ED13"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31B8C0E1" w14:textId="2FD33C0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Las prohibiciones acerca de la retención del Angelote se dan ahora en varias zonas del Mediterráneo (véase el Anexo III), y por ello, cualquier pesca incidental del Angelote debería descartarse. No se ha cuantificado el grado de supervivencia de este descarte.</w:t>
      </w:r>
    </w:p>
    <w:p w14:paraId="23B88E46" w14:textId="77777777" w:rsidR="009E1EED" w:rsidRPr="00AA3F16" w:rsidRDefault="009E1EED" w:rsidP="003D260B">
      <w:pPr>
        <w:widowControl w:val="0"/>
        <w:pBdr>
          <w:top w:val="nil"/>
          <w:left w:val="nil"/>
          <w:bottom w:val="nil"/>
          <w:right w:val="nil"/>
          <w:between w:val="nil"/>
        </w:pBdr>
        <w:jc w:val="both"/>
        <w:rPr>
          <w:rFonts w:eastAsia="Arial" w:cs="Arial"/>
          <w:color w:val="000000"/>
          <w:lang w:val="es-ES" w:eastAsia="en-GB"/>
        </w:rPr>
      </w:pPr>
    </w:p>
    <w:p w14:paraId="17CC3C73" w14:textId="77777777" w:rsidR="003D260B" w:rsidRPr="00AA3F16" w:rsidRDefault="003D260B" w:rsidP="002A4E27">
      <w:pPr>
        <w:keepNext/>
        <w:keepLines/>
        <w:numPr>
          <w:ilvl w:val="1"/>
          <w:numId w:val="19"/>
        </w:numPr>
        <w:ind w:left="540" w:hanging="540"/>
        <w:outlineLvl w:val="1"/>
        <w:rPr>
          <w:rFonts w:eastAsia="Times New Roman" w:cs="Arial"/>
          <w:b/>
          <w:iCs/>
          <w:lang w:val="es-ES" w:eastAsia="en-GB"/>
        </w:rPr>
      </w:pPr>
      <w:bookmarkStart w:id="19" w:name="_Toc108701928"/>
      <w:bookmarkStart w:id="20" w:name="_Toc118277536"/>
      <w:r w:rsidRPr="00AA3F16">
        <w:rPr>
          <w:rFonts w:eastAsia="Times New Roman" w:cs="Arial"/>
          <w:b/>
          <w:iCs/>
          <w:lang w:val="es-ES" w:eastAsia="es-ES"/>
        </w:rPr>
        <w:t>Degradación del hábitat (incluida su contaminación)</w:t>
      </w:r>
      <w:bookmarkEnd w:id="19"/>
      <w:bookmarkEnd w:id="20"/>
      <w:r w:rsidRPr="00AA3F16">
        <w:rPr>
          <w:rFonts w:eastAsia="Times New Roman" w:cs="Arial"/>
          <w:b/>
          <w:iCs/>
          <w:lang w:val="es-ES" w:eastAsia="es-ES"/>
        </w:rPr>
        <w:t xml:space="preserve">  </w:t>
      </w:r>
    </w:p>
    <w:p w14:paraId="1137D0E9"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p>
    <w:p w14:paraId="255638E9" w14:textId="4342009D" w:rsidR="003D260B" w:rsidRPr="00AA3F16" w:rsidRDefault="003D260B" w:rsidP="003D260B">
      <w:pPr>
        <w:jc w:val="both"/>
        <w:rPr>
          <w:rFonts w:eastAsia="Arial" w:cs="Arial"/>
          <w:lang w:val="es-ES" w:eastAsia="en-GB"/>
        </w:rPr>
      </w:pPr>
      <w:r w:rsidRPr="00AA3F16">
        <w:rPr>
          <w:rFonts w:eastAsia="Arial" w:cs="Arial"/>
          <w:color w:val="000000"/>
          <w:lang w:val="es-ES" w:eastAsia="es-ES"/>
        </w:rPr>
        <w:t xml:space="preserve">Puesto que los datos más recientes sobre el hábitat y la distribución de los Angelotes son escasos, los impactos potenciales de la degradación del hábitat y otras presiones antropogénicas sobre esta especie resultan poco claras. Los Angelotes viven a menudo en hábitats arenosos cercanos a zonas más complejas (p. ej., praderas costeras, dehesas y arrecifes) y poseen una distribución hacia la costa, en especial las hembras grávidas y sus crías, que pueden ocupar aguas muy poco profundas (Meyers </w:t>
      </w:r>
      <w:r w:rsidRPr="00AA3F16">
        <w:rPr>
          <w:rFonts w:eastAsia="Arial" w:cs="Arial"/>
          <w:i/>
          <w:iCs/>
          <w:color w:val="000000"/>
          <w:lang w:val="es-ES" w:eastAsia="es-ES"/>
        </w:rPr>
        <w:t>et al.</w:t>
      </w:r>
      <w:r w:rsidRPr="00AA3F16">
        <w:rPr>
          <w:rFonts w:eastAsia="Arial" w:cs="Arial"/>
          <w:color w:val="000000"/>
          <w:lang w:val="es-ES" w:eastAsia="es-ES"/>
        </w:rPr>
        <w:t xml:space="preserve"> 2017, Jiménez </w:t>
      </w:r>
      <w:r w:rsidRPr="00AA3F16">
        <w:rPr>
          <w:rFonts w:eastAsia="Arial" w:cs="Arial"/>
          <w:i/>
          <w:iCs/>
          <w:color w:val="000000"/>
          <w:lang w:val="es-ES" w:eastAsia="es-ES"/>
        </w:rPr>
        <w:t xml:space="preserve">et al. </w:t>
      </w:r>
      <w:r w:rsidRPr="00AA3F16">
        <w:rPr>
          <w:rFonts w:eastAsia="Arial" w:cs="Arial"/>
          <w:color w:val="000000"/>
          <w:lang w:val="es-ES" w:eastAsia="es-ES"/>
        </w:rPr>
        <w:t xml:space="preserve">2020). Proyecto de la especie Angelote Las Islas Canarias han identificado y mapeado estresores potenciales clave para los Angelotes juveniles dentro de este entorno (Barker </w:t>
      </w:r>
      <w:r w:rsidRPr="00AA3F16">
        <w:rPr>
          <w:rFonts w:eastAsia="Arial" w:cs="Arial"/>
          <w:i/>
          <w:iCs/>
          <w:color w:val="000000"/>
          <w:lang w:val="es-ES" w:eastAsia="es-ES"/>
        </w:rPr>
        <w:t>et al.</w:t>
      </w:r>
      <w:r w:rsidRPr="00AA3F16">
        <w:rPr>
          <w:rFonts w:eastAsia="Arial" w:cs="Arial"/>
          <w:color w:val="000000"/>
          <w:lang w:val="es-ES" w:eastAsia="es-ES"/>
        </w:rPr>
        <w:t xml:space="preserve"> 2019) y es posible que otras actividades antropogénicas (p. ej., un desarrollo de la infraestructura, la defensa costera junto con la reconstrucción de las playas, la extracción de áridos, la pérdida de hábitats, además de la contaminación de la costa) puedan haber tenido un impacto negativo. Se han dado también sucesos hipóxicos en algunas zonas del mar Mediterráneo (</w:t>
      </w:r>
      <w:proofErr w:type="spellStart"/>
      <w:r w:rsidRPr="00AA3F16">
        <w:rPr>
          <w:rFonts w:eastAsia="Arial" w:cs="Arial"/>
          <w:color w:val="000000"/>
          <w:lang w:val="es-ES" w:eastAsia="es-ES"/>
        </w:rPr>
        <w:t>Riedel</w:t>
      </w:r>
      <w:proofErr w:type="spellEnd"/>
      <w:r w:rsidRPr="00AA3F16">
        <w:rPr>
          <w:rFonts w:eastAsia="Arial" w:cs="Arial"/>
          <w:color w:val="000000"/>
          <w:lang w:val="es-ES" w:eastAsia="es-ES"/>
        </w:rPr>
        <w:t xml:space="preserve"> et al., 2008; </w:t>
      </w:r>
      <w:proofErr w:type="spellStart"/>
      <w:r w:rsidRPr="00AA3F16">
        <w:rPr>
          <w:rFonts w:eastAsia="Arial" w:cs="Arial"/>
          <w:color w:val="000000"/>
          <w:lang w:val="es-ES" w:eastAsia="es-ES"/>
        </w:rPr>
        <w:t>Giani</w:t>
      </w:r>
      <w:proofErr w:type="spellEnd"/>
      <w:r w:rsidRPr="00AA3F16">
        <w:rPr>
          <w:rFonts w:eastAsia="Arial" w:cs="Arial"/>
          <w:color w:val="000000"/>
          <w:lang w:val="es-ES" w:eastAsia="es-ES"/>
        </w:rPr>
        <w:t xml:space="preserve"> et al., 2012), incluidas las zonas hacia la costa, que pueden ser suelos importantes para la cría y alimentación en los Angelotes. Mientras que el efecto de la hipoxia en los Angelotes no ha sido estudiado, unos niveles reducidos de oxígeno disuelto, que puedan deberse a factores naturales o antropogénicos, pueden influir en sus distribuciones localizadas, dado que el Angelote se entierra parcialmente en sedimentos blandos y sus branquias tienen el movimiento respiratorio restringido, como parte de su naturaleza críptica (Tomita et al., 2018).</w:t>
      </w:r>
    </w:p>
    <w:p w14:paraId="77D21A4F" w14:textId="77777777" w:rsidR="003D260B" w:rsidRPr="00AA3F16" w:rsidRDefault="003D260B" w:rsidP="003D260B">
      <w:pPr>
        <w:pBdr>
          <w:top w:val="nil"/>
          <w:left w:val="nil"/>
          <w:bottom w:val="nil"/>
          <w:right w:val="nil"/>
          <w:between w:val="nil"/>
        </w:pBdr>
        <w:jc w:val="both"/>
        <w:rPr>
          <w:rFonts w:eastAsia="Arial" w:cs="Arial"/>
          <w:lang w:val="es-ES" w:eastAsia="en-GB"/>
        </w:rPr>
      </w:pPr>
    </w:p>
    <w:p w14:paraId="52483678" w14:textId="77777777" w:rsidR="003D260B" w:rsidRPr="00AA3F16" w:rsidRDefault="003D260B" w:rsidP="003D260B">
      <w:pPr>
        <w:pBdr>
          <w:top w:val="nil"/>
          <w:left w:val="nil"/>
          <w:bottom w:val="nil"/>
          <w:right w:val="nil"/>
          <w:between w:val="nil"/>
        </w:pBdr>
        <w:jc w:val="both"/>
        <w:rPr>
          <w:rFonts w:eastAsia="Arial" w:cs="Arial"/>
          <w:lang w:val="es-ES" w:eastAsia="en-GB"/>
        </w:rPr>
      </w:pPr>
      <w:r w:rsidRPr="00AA3F16">
        <w:rPr>
          <w:rFonts w:eastAsia="Arial" w:cs="Arial"/>
          <w:lang w:val="es-ES" w:eastAsia="es-ES"/>
        </w:rPr>
        <w:t xml:space="preserve">Algunas formas de sustancias contaminantes, que incluyen metales pesados y contaminantes orgánicos, pueden llegar a </w:t>
      </w:r>
      <w:proofErr w:type="spellStart"/>
      <w:r w:rsidRPr="00AA3F16">
        <w:rPr>
          <w:rFonts w:eastAsia="Arial" w:cs="Arial"/>
          <w:lang w:val="es-ES" w:eastAsia="es-ES"/>
        </w:rPr>
        <w:t>biomagnificarse</w:t>
      </w:r>
      <w:proofErr w:type="spellEnd"/>
      <w:r w:rsidRPr="00AA3F16">
        <w:rPr>
          <w:rFonts w:eastAsia="Arial" w:cs="Arial"/>
          <w:lang w:val="es-ES" w:eastAsia="es-ES"/>
        </w:rPr>
        <w:t xml:space="preserve"> y bioacumularse en peces depredadores longevos, especialmente aquellos que aparezcan en aguas costeras perturbadas de forma antropogénica. Sin embargo, pocos estudios han analizado los niveles de dichas sustancias en los tejidos del Angelote, por lo que el impacto potencial en la salud de cada individuo marino, así como cualquier otro efecto potencial sobre la población, resulta desconocido. De igual forma, tampoco se conoce el impacto potencial de la contaminación con plásticos.</w:t>
      </w:r>
    </w:p>
    <w:p w14:paraId="375E777B" w14:textId="77777777" w:rsidR="003D260B" w:rsidRPr="00AA3F16" w:rsidRDefault="003D260B" w:rsidP="003D260B">
      <w:pPr>
        <w:pBdr>
          <w:top w:val="nil"/>
          <w:left w:val="nil"/>
          <w:bottom w:val="nil"/>
          <w:right w:val="nil"/>
          <w:between w:val="nil"/>
        </w:pBdr>
        <w:jc w:val="both"/>
        <w:rPr>
          <w:rFonts w:eastAsia="Arial" w:cs="Arial"/>
          <w:lang w:val="es-ES" w:eastAsia="en-GB"/>
        </w:rPr>
      </w:pPr>
    </w:p>
    <w:p w14:paraId="3E1A7403" w14:textId="5FD5A640" w:rsidR="003D260B" w:rsidRPr="00AA3F16" w:rsidRDefault="003D260B" w:rsidP="003D260B">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El deterioro potencial que sufre el </w:t>
      </w:r>
      <w:proofErr w:type="spellStart"/>
      <w:r w:rsidRPr="00AA3F16">
        <w:rPr>
          <w:rFonts w:eastAsia="Arial" w:cs="Arial"/>
          <w:i/>
          <w:color w:val="000000"/>
          <w:lang w:val="es-ES" w:eastAsia="es-ES"/>
        </w:rPr>
        <w:t>Squatina</w:t>
      </w:r>
      <w:proofErr w:type="spellEnd"/>
      <w:r w:rsidRPr="00AA3F16">
        <w:rPr>
          <w:rFonts w:eastAsia="Arial" w:cs="Arial"/>
          <w:color w:val="000000"/>
          <w:lang w:val="es-ES" w:eastAsia="es-ES"/>
        </w:rPr>
        <w:t xml:space="preserve"> </w:t>
      </w:r>
      <w:proofErr w:type="spellStart"/>
      <w:r w:rsidRPr="00AA3F16">
        <w:rPr>
          <w:rFonts w:eastAsia="Arial" w:cs="Arial"/>
          <w:color w:val="000000"/>
          <w:lang w:val="es-ES" w:eastAsia="es-ES"/>
        </w:rPr>
        <w:t>spp</w:t>
      </w:r>
      <w:proofErr w:type="spellEnd"/>
      <w:r w:rsidRPr="00AA3F16">
        <w:rPr>
          <w:rFonts w:eastAsia="Arial" w:cs="Arial"/>
          <w:color w:val="000000"/>
          <w:lang w:val="es-ES" w:eastAsia="es-ES"/>
        </w:rPr>
        <w:t xml:space="preserve">. debido a los campos magnéticos generados por los cableados submarinos, incluidos aquellos de plantas eólicas en alta mar (en la actualidad en desarrollo en algunas zonas costeras del Mediterráneo), </w:t>
      </w:r>
      <w:r w:rsidRPr="00AA3F16">
        <w:rPr>
          <w:rFonts w:eastAsia="Arial" w:cs="Arial"/>
          <w:lang w:val="es-ES" w:eastAsia="es-ES"/>
        </w:rPr>
        <w:t xml:space="preserve">también necesita </w:t>
      </w:r>
      <w:r w:rsidRPr="00AA3F16">
        <w:rPr>
          <w:rFonts w:eastAsia="Arial" w:cs="Arial"/>
          <w:color w:val="000000"/>
          <w:lang w:val="es-ES" w:eastAsia="es-ES"/>
        </w:rPr>
        <w:t>investigarse (Gill &amp; Taylor, 2001).</w:t>
      </w:r>
    </w:p>
    <w:p w14:paraId="2257CAB4" w14:textId="77777777" w:rsidR="009E1EED" w:rsidRPr="00AA3F16" w:rsidRDefault="009E1EED" w:rsidP="003D260B">
      <w:pPr>
        <w:pBdr>
          <w:top w:val="nil"/>
          <w:left w:val="nil"/>
          <w:bottom w:val="nil"/>
          <w:right w:val="nil"/>
          <w:between w:val="nil"/>
        </w:pBdr>
        <w:jc w:val="both"/>
        <w:rPr>
          <w:rFonts w:eastAsia="Arial" w:cs="Arial"/>
          <w:color w:val="000000"/>
          <w:lang w:val="es-ES" w:eastAsia="en-GB"/>
        </w:rPr>
      </w:pPr>
    </w:p>
    <w:p w14:paraId="17E17820" w14:textId="77777777" w:rsidR="003D260B" w:rsidRPr="00AA3F16" w:rsidRDefault="003D260B" w:rsidP="002A4E27">
      <w:pPr>
        <w:keepNext/>
        <w:keepLines/>
        <w:numPr>
          <w:ilvl w:val="1"/>
          <w:numId w:val="19"/>
        </w:numPr>
        <w:ind w:left="540" w:hanging="540"/>
        <w:outlineLvl w:val="1"/>
        <w:rPr>
          <w:rFonts w:eastAsia="Times New Roman" w:cs="Arial"/>
          <w:b/>
          <w:iCs/>
          <w:lang w:val="es-ES" w:eastAsia="en-GB"/>
        </w:rPr>
      </w:pPr>
      <w:bookmarkStart w:id="21" w:name="_Toc108701929"/>
      <w:bookmarkStart w:id="22" w:name="_Toc118277537"/>
      <w:r w:rsidRPr="00AA3F16">
        <w:rPr>
          <w:rFonts w:eastAsia="Times New Roman" w:cs="Arial"/>
          <w:b/>
          <w:iCs/>
          <w:lang w:val="es-ES" w:eastAsia="es-ES"/>
        </w:rPr>
        <w:t>Otros factores</w:t>
      </w:r>
      <w:bookmarkEnd w:id="21"/>
      <w:bookmarkEnd w:id="22"/>
    </w:p>
    <w:p w14:paraId="3FCA1FB8"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482FA33F"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Sabiendo que se han tenido en cuenta algunos otros factores que puedan afectar a los Angelotes, incluyendo la disponibilidad de presas, las interacciones </w:t>
      </w:r>
      <w:proofErr w:type="spellStart"/>
      <w:r w:rsidRPr="00AA3F16">
        <w:rPr>
          <w:rFonts w:eastAsia="Arial" w:cs="Arial"/>
          <w:color w:val="000000"/>
          <w:lang w:val="es-ES" w:eastAsia="es-ES"/>
        </w:rPr>
        <w:t>multiespecie</w:t>
      </w:r>
      <w:proofErr w:type="spellEnd"/>
      <w:r w:rsidRPr="00AA3F16">
        <w:rPr>
          <w:rFonts w:eastAsia="Arial" w:cs="Arial"/>
          <w:color w:val="000000"/>
          <w:lang w:val="es-ES" w:eastAsia="es-ES"/>
        </w:rPr>
        <w:t xml:space="preserve">, los estancamientos génicos debidos a poblaciones fragmentadas y el cambio climático, esto no se ha sido aquí tratado por su importante impacto a nivel poblacional. </w:t>
      </w:r>
    </w:p>
    <w:p w14:paraId="669673B6"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p>
    <w:p w14:paraId="34E2066D"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Los Angelotes son depredadores de emboscada conocidos por atacar a una gran variedad de especies de peces </w:t>
      </w:r>
      <w:proofErr w:type="spellStart"/>
      <w:r w:rsidRPr="00AA3F16">
        <w:rPr>
          <w:rFonts w:eastAsia="Arial" w:cs="Arial"/>
          <w:color w:val="000000"/>
          <w:lang w:val="es-ES" w:eastAsia="es-ES"/>
        </w:rPr>
        <w:t>demersales</w:t>
      </w:r>
      <w:proofErr w:type="spellEnd"/>
      <w:r w:rsidRPr="00AA3F16">
        <w:rPr>
          <w:rFonts w:eastAsia="Arial" w:cs="Arial"/>
          <w:color w:val="000000"/>
          <w:lang w:val="es-ES" w:eastAsia="es-ES"/>
        </w:rPr>
        <w:t xml:space="preserve">, utilizados estos comercialmente o no, así como grandes invertebrados (p. ej., cefalópodos y crustáceos decápodos). Dada la gran variedad de presas potenciales, es poco probable que la disponibilidad de presas haya influido en su población global. </w:t>
      </w:r>
    </w:p>
    <w:p w14:paraId="5E1D605B" w14:textId="77777777" w:rsidR="003D260B" w:rsidRPr="00AA3F16" w:rsidRDefault="003D260B" w:rsidP="003D260B">
      <w:pPr>
        <w:pBdr>
          <w:top w:val="nil"/>
          <w:left w:val="nil"/>
          <w:bottom w:val="nil"/>
          <w:right w:val="nil"/>
          <w:between w:val="nil"/>
        </w:pBdr>
        <w:jc w:val="both"/>
        <w:rPr>
          <w:rFonts w:eastAsia="Arial" w:cs="Arial"/>
          <w:color w:val="000000"/>
          <w:lang w:val="es-ES" w:eastAsia="en-GB"/>
        </w:rPr>
      </w:pPr>
    </w:p>
    <w:p w14:paraId="28067E51" w14:textId="6E2310D6" w:rsidR="003D260B" w:rsidRPr="00AA3F16" w:rsidRDefault="003D260B" w:rsidP="003D260B">
      <w:pPr>
        <w:pBdr>
          <w:top w:val="nil"/>
          <w:left w:val="nil"/>
          <w:bottom w:val="nil"/>
          <w:right w:val="nil"/>
          <w:between w:val="nil"/>
        </w:pBdr>
        <w:jc w:val="both"/>
        <w:rPr>
          <w:rFonts w:eastAsia="Arial" w:cs="Arial"/>
          <w:color w:val="000000"/>
          <w:lang w:val="es-ES" w:eastAsia="en-GB"/>
        </w:rPr>
      </w:pPr>
      <w:bookmarkStart w:id="23" w:name="_heading=h.gjdgxs" w:colFirst="0" w:colLast="0"/>
      <w:bookmarkEnd w:id="23"/>
      <w:r w:rsidRPr="00AA3F16">
        <w:rPr>
          <w:rFonts w:eastAsia="Arial" w:cs="Arial"/>
          <w:color w:val="000000"/>
          <w:lang w:val="es-ES" w:eastAsia="es-ES"/>
        </w:rPr>
        <w:t xml:space="preserve">En relación con el cambio climático, puede destacarse que algunas especies de aguas más templadas han mostrado una extensión hacia el norte dentro del ámbito geográfico. Sin embargo, esto es algo que </w:t>
      </w:r>
      <w:r w:rsidRPr="00AA3F16">
        <w:rPr>
          <w:rFonts w:eastAsia="Arial" w:cs="Arial"/>
          <w:lang w:val="es-ES" w:eastAsia="es-ES"/>
        </w:rPr>
        <w:t>no</w:t>
      </w:r>
      <w:r w:rsidRPr="00AA3F16">
        <w:rPr>
          <w:rFonts w:eastAsia="Arial" w:cs="Arial"/>
          <w:color w:val="000000"/>
          <w:lang w:val="es-ES" w:eastAsia="es-ES"/>
        </w:rPr>
        <w:t xml:space="preserve"> se ha observado en el caso del Angelote, debido, quizás, </w:t>
      </w:r>
      <w:r w:rsidRPr="00AA3F16">
        <w:rPr>
          <w:rFonts w:eastAsia="Arial" w:cs="Arial"/>
          <w:lang w:val="es-ES" w:eastAsia="es-ES"/>
        </w:rPr>
        <w:t>a la escasez de registros, por lo que no se puede evaluar actualmente si el aumento de las</w:t>
      </w:r>
      <w:r w:rsidRPr="00AA3F16">
        <w:rPr>
          <w:rFonts w:eastAsia="Arial" w:cs="Arial"/>
          <w:color w:val="000000"/>
          <w:lang w:val="es-ES" w:eastAsia="es-ES"/>
        </w:rPr>
        <w:t xml:space="preserve"> temperaturas en el agua ha tenido o podría tener algún impacto en su población. </w:t>
      </w:r>
    </w:p>
    <w:p w14:paraId="5249DEDF" w14:textId="77777777" w:rsidR="009E1EED" w:rsidRPr="00AA3F16" w:rsidRDefault="009E1EED" w:rsidP="003D260B">
      <w:pPr>
        <w:pBdr>
          <w:top w:val="nil"/>
          <w:left w:val="nil"/>
          <w:bottom w:val="nil"/>
          <w:right w:val="nil"/>
          <w:between w:val="nil"/>
        </w:pBdr>
        <w:jc w:val="both"/>
        <w:rPr>
          <w:rFonts w:eastAsia="Arial" w:cs="Arial"/>
          <w:color w:val="000000"/>
          <w:lang w:val="es-ES" w:eastAsia="en-GB"/>
        </w:rPr>
      </w:pPr>
    </w:p>
    <w:p w14:paraId="1C28BB8D" w14:textId="77777777" w:rsidR="003D260B" w:rsidRPr="00AA3F16" w:rsidRDefault="003D260B" w:rsidP="002A4E27">
      <w:pPr>
        <w:keepNext/>
        <w:keepLines/>
        <w:numPr>
          <w:ilvl w:val="1"/>
          <w:numId w:val="19"/>
        </w:numPr>
        <w:ind w:left="540" w:hanging="540"/>
        <w:outlineLvl w:val="1"/>
        <w:rPr>
          <w:rFonts w:eastAsia="Times New Roman" w:cs="Arial"/>
          <w:b/>
          <w:iCs/>
          <w:lang w:val="es-ES" w:eastAsia="en-GB"/>
        </w:rPr>
      </w:pPr>
      <w:bookmarkStart w:id="24" w:name="_Toc108701930"/>
      <w:bookmarkStart w:id="25" w:name="_Toc118277538"/>
      <w:r w:rsidRPr="00AA3F16">
        <w:rPr>
          <w:rFonts w:eastAsia="Times New Roman" w:cs="Arial"/>
          <w:b/>
          <w:iCs/>
          <w:lang w:val="es-ES" w:eastAsia="es-ES"/>
        </w:rPr>
        <w:t>Priorización de la amenaza</w:t>
      </w:r>
      <w:bookmarkEnd w:id="24"/>
      <w:bookmarkEnd w:id="25"/>
    </w:p>
    <w:p w14:paraId="61AFC6B2"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2F667687" w14:textId="1493BD8E"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Cada amenaza antes destacada ha sido evaluada mediante una matriz predefinida (Tabla 2) a fin de determinar </w:t>
      </w:r>
      <w:r w:rsidRPr="00AA3F16">
        <w:rPr>
          <w:rFonts w:eastAsia="Arial" w:cs="Arial"/>
          <w:lang w:val="es-ES" w:eastAsia="es-ES"/>
        </w:rPr>
        <w:t>su</w:t>
      </w:r>
      <w:r w:rsidRPr="00AA3F16">
        <w:rPr>
          <w:rFonts w:eastAsia="Arial" w:cs="Arial"/>
          <w:color w:val="000000"/>
          <w:lang w:val="es-ES" w:eastAsia="es-ES"/>
        </w:rPr>
        <w:t xml:space="preserve"> impacto relativo en los Angelotes en todo su ámbito. </w:t>
      </w:r>
    </w:p>
    <w:p w14:paraId="08DDE70C"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43F56E35" w14:textId="78128AF9"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La matriz tiene en cuenta las consecuencias de una amenaza o impacto en los Angelotes, así la probabilidad de ocurrencia de dicha amenaza. Allí donde las medidas de mitigación/gestión existen y se han implementado, la posibilidad de la amenaza se ha evaluado asumiendo que estas medidas continúan aplicándose de forma adecuada.</w:t>
      </w:r>
    </w:p>
    <w:p w14:paraId="3991BF98" w14:textId="77777777" w:rsidR="003D260B" w:rsidRPr="00AA3F16" w:rsidRDefault="003D260B" w:rsidP="003D260B">
      <w:pPr>
        <w:widowControl w:val="0"/>
        <w:pBdr>
          <w:top w:val="nil"/>
          <w:left w:val="nil"/>
          <w:bottom w:val="nil"/>
          <w:right w:val="nil"/>
          <w:between w:val="nil"/>
        </w:pBdr>
        <w:jc w:val="both"/>
        <w:rPr>
          <w:rFonts w:eastAsia="Arial" w:cs="Arial"/>
          <w:color w:val="000000"/>
          <w:lang w:val="es-ES" w:eastAsia="en-GB"/>
        </w:rPr>
      </w:pPr>
    </w:p>
    <w:p w14:paraId="277009FB" w14:textId="77777777" w:rsidR="003D260B" w:rsidRPr="00AA3F16" w:rsidRDefault="003D260B" w:rsidP="009E1EED">
      <w:pPr>
        <w:spacing w:after="80"/>
        <w:jc w:val="both"/>
        <w:rPr>
          <w:rFonts w:eastAsia="Times New Roman" w:cs="Arial"/>
          <w:lang w:val="es-ES" w:eastAsia="en-GB"/>
        </w:rPr>
      </w:pPr>
      <w:r w:rsidRPr="00AA3F16">
        <w:rPr>
          <w:rFonts w:eastAsia="Arial" w:cs="Arial"/>
          <w:color w:val="000000"/>
          <w:lang w:val="es-ES" w:eastAsia="es-ES"/>
        </w:rPr>
        <w:t xml:space="preserve">La probabilidad de ocurrencia se ha clasificado como: "Casi segura", "Probable", "Posible", "Improbable" y "Poco probable/desconocida". </w:t>
      </w:r>
      <w:r w:rsidRPr="00AA3F16">
        <w:rPr>
          <w:rFonts w:eastAsia="Times New Roman" w:cs="Arial"/>
          <w:lang w:val="es-ES" w:eastAsia="es-ES"/>
        </w:rPr>
        <w:t>Las clasificaciones de la consecuencia se definen como sigue:</w:t>
      </w:r>
    </w:p>
    <w:p w14:paraId="103B9AE8" w14:textId="77777777" w:rsidR="003D260B" w:rsidRPr="00AA3F16" w:rsidRDefault="003D260B" w:rsidP="009E1EED">
      <w:pPr>
        <w:numPr>
          <w:ilvl w:val="0"/>
          <w:numId w:val="18"/>
        </w:numPr>
        <w:spacing w:after="80"/>
        <w:contextualSpacing/>
        <w:jc w:val="both"/>
        <w:rPr>
          <w:rFonts w:eastAsia="Cambria" w:cs="Arial"/>
          <w:lang w:val="es-ES"/>
        </w:rPr>
      </w:pPr>
      <w:r w:rsidRPr="00AA3F16">
        <w:rPr>
          <w:rFonts w:eastAsia="Cambria" w:cs="Arial"/>
          <w:lang w:val="es-ES"/>
        </w:rPr>
        <w:t>Desconocido/Aún no evaluado: sin impacto conocido en las cantidades de la especie de no abordarse.</w:t>
      </w:r>
    </w:p>
    <w:p w14:paraId="59B27D03" w14:textId="77777777" w:rsidR="003D260B" w:rsidRPr="00AA3F16" w:rsidRDefault="003D260B" w:rsidP="009E1EED">
      <w:pPr>
        <w:numPr>
          <w:ilvl w:val="0"/>
          <w:numId w:val="18"/>
        </w:numPr>
        <w:spacing w:after="80"/>
        <w:contextualSpacing/>
        <w:jc w:val="both"/>
        <w:rPr>
          <w:rFonts w:eastAsia="Cambria" w:cs="Arial"/>
          <w:lang w:val="es-ES"/>
        </w:rPr>
      </w:pPr>
      <w:r w:rsidRPr="00AA3F16">
        <w:rPr>
          <w:rFonts w:eastAsia="Cambria" w:cs="Arial"/>
          <w:lang w:val="es-ES"/>
        </w:rPr>
        <w:t>Menor: una posible, aunque no conocida, contribución a las cantidades de la especie. No debería priorizarse sobre otras amenazas.</w:t>
      </w:r>
    </w:p>
    <w:p w14:paraId="2F72C7EA" w14:textId="77777777" w:rsidR="003D260B" w:rsidRPr="00AA3F16" w:rsidRDefault="003D260B" w:rsidP="009E1EED">
      <w:pPr>
        <w:numPr>
          <w:ilvl w:val="0"/>
          <w:numId w:val="18"/>
        </w:numPr>
        <w:spacing w:after="80"/>
        <w:contextualSpacing/>
        <w:jc w:val="both"/>
        <w:rPr>
          <w:rFonts w:eastAsia="Cambria" w:cs="Arial"/>
          <w:lang w:val="es-ES"/>
        </w:rPr>
      </w:pPr>
      <w:r w:rsidRPr="00AA3F16">
        <w:rPr>
          <w:rFonts w:eastAsia="Cambria" w:cs="Arial"/>
          <w:lang w:val="es-ES"/>
        </w:rPr>
        <w:t>Moderada: podría contribuir a las cantidades de la especie, pero no es una amenaza inmediata.</w:t>
      </w:r>
    </w:p>
    <w:p w14:paraId="616C1E18" w14:textId="77777777" w:rsidR="003D260B" w:rsidRPr="00AA3F16" w:rsidRDefault="003D260B" w:rsidP="009E1EED">
      <w:pPr>
        <w:numPr>
          <w:ilvl w:val="0"/>
          <w:numId w:val="18"/>
        </w:numPr>
        <w:spacing w:after="80"/>
        <w:contextualSpacing/>
        <w:jc w:val="both"/>
        <w:rPr>
          <w:rFonts w:eastAsia="Cambria" w:cs="Arial"/>
          <w:lang w:val="es-ES"/>
        </w:rPr>
      </w:pPr>
      <w:r w:rsidRPr="00AA3F16">
        <w:rPr>
          <w:rFonts w:eastAsia="Cambria" w:cs="Arial"/>
          <w:lang w:val="es-ES"/>
        </w:rPr>
        <w:t>Importante: podría resultar en una disminución significativa en las cantidades de la especie dentro de un área de no abordarse.</w:t>
      </w:r>
    </w:p>
    <w:p w14:paraId="0BCB6081" w14:textId="77777777" w:rsidR="003D260B" w:rsidRPr="00AA3F16" w:rsidRDefault="003D260B" w:rsidP="003D260B">
      <w:pPr>
        <w:numPr>
          <w:ilvl w:val="0"/>
          <w:numId w:val="18"/>
        </w:numPr>
        <w:contextualSpacing/>
        <w:jc w:val="both"/>
        <w:rPr>
          <w:rFonts w:eastAsia="Cambria" w:cs="Arial"/>
          <w:lang w:val="es-ES"/>
        </w:rPr>
      </w:pPr>
      <w:r w:rsidRPr="00AA3F16">
        <w:rPr>
          <w:rFonts w:eastAsia="Cambria" w:cs="Arial"/>
          <w:lang w:val="es-ES"/>
        </w:rPr>
        <w:t>Catastrófica: podría llevar a la pérdida de la especie dentro de un área si no se aborda, podría contribuir a un riesgo de extinción.</w:t>
      </w:r>
    </w:p>
    <w:p w14:paraId="07398935"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p>
    <w:p w14:paraId="45515832" w14:textId="77777777" w:rsidR="009E1EED" w:rsidRPr="00AA3F16" w:rsidRDefault="009E1EED" w:rsidP="009E1EED">
      <w:pPr>
        <w:widowControl w:val="0"/>
        <w:pBdr>
          <w:top w:val="nil"/>
          <w:left w:val="nil"/>
          <w:bottom w:val="nil"/>
          <w:right w:val="nil"/>
          <w:between w:val="nil"/>
        </w:pBdr>
        <w:jc w:val="both"/>
        <w:rPr>
          <w:rFonts w:eastAsia="Arial" w:cs="Arial"/>
          <w:color w:val="000000"/>
          <w:highlight w:val="yellow"/>
          <w:lang w:val="es-ES"/>
        </w:rPr>
      </w:pPr>
      <w:r w:rsidRPr="00AA3F16">
        <w:rPr>
          <w:rFonts w:eastAsia="Arial" w:cs="Arial"/>
          <w:color w:val="000000"/>
          <w:lang w:val="es-ES"/>
        </w:rPr>
        <w:t xml:space="preserve">Esta matriz de amenazas se ha tenido en cuenta exclusivamente para este Plan de Acción y para la región del Mediterráneo. La matriz utiliza una evaluación cualitativa extraída de bibliografía </w:t>
      </w:r>
      <w:r w:rsidRPr="00AA3F16">
        <w:rPr>
          <w:rFonts w:eastAsia="Arial" w:cs="Arial"/>
          <w:lang w:val="es-ES"/>
        </w:rPr>
        <w:t>sometida a revisión externa</w:t>
      </w:r>
      <w:r w:rsidRPr="00AA3F16">
        <w:rPr>
          <w:rFonts w:eastAsia="Arial" w:cs="Arial"/>
          <w:color w:val="000000"/>
          <w:lang w:val="es-ES"/>
        </w:rPr>
        <w:t>, además de</w:t>
      </w:r>
      <w:sdt>
        <w:sdtPr>
          <w:rPr>
            <w:rFonts w:cs="Arial"/>
            <w:lang w:val="es-ES"/>
          </w:rPr>
          <w:tag w:val="goog_rdk_18"/>
          <w:id w:val="1792709826"/>
        </w:sdtPr>
        <w:sdtEndPr/>
        <w:sdtContent/>
      </w:sdt>
      <w:r w:rsidRPr="00AA3F16">
        <w:rPr>
          <w:rFonts w:eastAsia="Arial" w:cs="Arial"/>
          <w:color w:val="000000"/>
          <w:lang w:val="es-ES"/>
        </w:rPr>
        <w:t xml:space="preserve"> opiniones expertas de la CMS y aportaciones del Taller del Mediterráneo albergado en Túnez para desarrollar el MedRAP (Gordon </w:t>
      </w:r>
      <w:r w:rsidRPr="00AA3F16">
        <w:rPr>
          <w:rFonts w:eastAsia="Arial" w:cs="Arial"/>
          <w:i/>
          <w:iCs/>
          <w:color w:val="000000"/>
          <w:lang w:val="es-ES"/>
        </w:rPr>
        <w:t>et al.,</w:t>
      </w:r>
      <w:r w:rsidRPr="00AA3F16">
        <w:rPr>
          <w:rFonts w:eastAsia="Arial" w:cs="Arial"/>
          <w:color w:val="000000"/>
          <w:lang w:val="es-ES"/>
        </w:rPr>
        <w:t xml:space="preserve"> 2019). Los niveles de riesgo y la prioridad asociada para la acción se definen como sigue:</w:t>
      </w:r>
    </w:p>
    <w:p w14:paraId="5CB15ADE"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1300"/>
        <w:gridCol w:w="8050"/>
      </w:tblGrid>
      <w:tr w:rsidR="009E1EED" w:rsidRPr="009E0427" w14:paraId="07310106" w14:textId="77777777" w:rsidTr="009E1EED">
        <w:tc>
          <w:tcPr>
            <w:tcW w:w="695" w:type="pct"/>
            <w:shd w:val="clear" w:color="auto" w:fill="E5B8B7"/>
          </w:tcPr>
          <w:p w14:paraId="1AF7D549"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Muy alto</w:t>
            </w:r>
          </w:p>
        </w:tc>
        <w:tc>
          <w:tcPr>
            <w:tcW w:w="4305" w:type="pct"/>
            <w:shd w:val="clear" w:color="auto" w:fill="E5B8B7"/>
          </w:tcPr>
          <w:p w14:paraId="30BE14CE"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Es necesaria una acción inmediata adicional</w:t>
            </w:r>
          </w:p>
        </w:tc>
      </w:tr>
      <w:tr w:rsidR="009E1EED" w:rsidRPr="009E0427" w14:paraId="5D6A7ED0" w14:textId="77777777" w:rsidTr="009E1EED">
        <w:tc>
          <w:tcPr>
            <w:tcW w:w="695" w:type="pct"/>
            <w:shd w:val="clear" w:color="auto" w:fill="FFDF85"/>
          </w:tcPr>
          <w:p w14:paraId="7E010304"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Alta</w:t>
            </w:r>
          </w:p>
        </w:tc>
        <w:tc>
          <w:tcPr>
            <w:tcW w:w="4305" w:type="pct"/>
            <w:shd w:val="clear" w:color="auto" w:fill="FFDF85"/>
          </w:tcPr>
          <w:p w14:paraId="07DDA75E"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Debería aplicarse un enfoque cautelar junto con una acción adicional</w:t>
            </w:r>
          </w:p>
        </w:tc>
      </w:tr>
      <w:tr w:rsidR="009E1EED" w:rsidRPr="009E0427" w14:paraId="34C91E4D" w14:textId="77777777" w:rsidTr="009E1EED">
        <w:tc>
          <w:tcPr>
            <w:tcW w:w="695" w:type="pct"/>
            <w:shd w:val="clear" w:color="auto" w:fill="B4C6E7" w:themeFill="accent1" w:themeFillTint="66"/>
          </w:tcPr>
          <w:p w14:paraId="598FDE35"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Moderada</w:t>
            </w:r>
          </w:p>
        </w:tc>
        <w:tc>
          <w:tcPr>
            <w:tcW w:w="4305" w:type="pct"/>
            <w:shd w:val="clear" w:color="auto" w:fill="B4C6E7" w:themeFill="accent1" w:themeFillTint="66"/>
          </w:tcPr>
          <w:p w14:paraId="7F4C7FA0"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Si es necesario, se obtendrá información adicional y se desarrollarán más acciones</w:t>
            </w:r>
          </w:p>
        </w:tc>
      </w:tr>
      <w:tr w:rsidR="009E1EED" w:rsidRPr="009E0427" w14:paraId="442080E0" w14:textId="77777777" w:rsidTr="009E1EED">
        <w:trPr>
          <w:trHeight w:val="540"/>
        </w:trPr>
        <w:tc>
          <w:tcPr>
            <w:tcW w:w="695" w:type="pct"/>
            <w:shd w:val="clear" w:color="auto" w:fill="DBDBDB" w:themeFill="accent3" w:themeFillTint="66"/>
          </w:tcPr>
          <w:p w14:paraId="229C4F82"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Baja</w:t>
            </w:r>
          </w:p>
        </w:tc>
        <w:tc>
          <w:tcPr>
            <w:tcW w:w="4305" w:type="pct"/>
            <w:shd w:val="clear" w:color="auto" w:fill="DBDBDB" w:themeFill="accent3" w:themeFillTint="66"/>
          </w:tcPr>
          <w:p w14:paraId="61A2F867" w14:textId="77777777" w:rsidR="009E1EED" w:rsidRPr="00AA3F16" w:rsidRDefault="009E1EED" w:rsidP="009E1EED">
            <w:pPr>
              <w:widowControl w:val="0"/>
              <w:pBdr>
                <w:top w:val="nil"/>
                <w:left w:val="nil"/>
                <w:bottom w:val="nil"/>
                <w:right w:val="nil"/>
                <w:between w:val="nil"/>
              </w:pBdr>
              <w:jc w:val="both"/>
              <w:rPr>
                <w:rFonts w:eastAsia="Arial" w:cs="Arial"/>
                <w:color w:val="000000"/>
                <w:lang w:val="es-ES"/>
              </w:rPr>
            </w:pPr>
            <w:r w:rsidRPr="00AA3F16">
              <w:rPr>
                <w:rFonts w:eastAsia="Arial" w:cs="Arial"/>
                <w:color w:val="000000"/>
                <w:lang w:val="es-ES"/>
              </w:rPr>
              <w:t>Debería supervisarse la ocurrencia de amenazas y reevaluar el nivel de cada amenaza si varía la probabilidad o cambian las consecuencias</w:t>
            </w:r>
          </w:p>
        </w:tc>
      </w:tr>
    </w:tbl>
    <w:p w14:paraId="2DFCFC13" w14:textId="77777777" w:rsidR="009E1EED" w:rsidRPr="00AA3F16" w:rsidRDefault="009E1EED" w:rsidP="009E1EED">
      <w:pPr>
        <w:pBdr>
          <w:top w:val="nil"/>
          <w:left w:val="nil"/>
          <w:bottom w:val="nil"/>
          <w:right w:val="nil"/>
          <w:between w:val="nil"/>
        </w:pBdr>
        <w:rPr>
          <w:rFonts w:eastAsia="Arial" w:cs="Arial"/>
          <w:color w:val="000000"/>
          <w:lang w:val="es-ES"/>
        </w:rPr>
      </w:pPr>
    </w:p>
    <w:p w14:paraId="3500B9AA" w14:textId="792B7297" w:rsidR="003D260B" w:rsidRPr="00AA3F16" w:rsidRDefault="009E1EED" w:rsidP="009E1EED">
      <w:pPr>
        <w:jc w:val="both"/>
        <w:rPr>
          <w:rFonts w:eastAsia="Arial" w:cs="Arial"/>
          <w:color w:val="000000"/>
          <w:lang w:val="es-ES"/>
        </w:rPr>
      </w:pPr>
      <w:r w:rsidRPr="00AA3F16">
        <w:rPr>
          <w:rFonts w:eastAsia="Arial" w:cs="Arial"/>
          <w:color w:val="000000"/>
          <w:lang w:val="es-ES"/>
        </w:rPr>
        <w:t>Es muy importante reconocer que tratar las amenazas individuales de forma aislada —tanto geográficamente como en el contexto de otros impactos— probablemente posea efectos limitados y que las intervenciones deberían coordinarse cuando fuese posible.</w:t>
      </w:r>
    </w:p>
    <w:p w14:paraId="0230729A" w14:textId="77777777" w:rsidR="009E1EED" w:rsidRPr="00AA3F16" w:rsidRDefault="009E1EED" w:rsidP="009E1EED">
      <w:pPr>
        <w:jc w:val="both"/>
        <w:rPr>
          <w:rFonts w:cs="Arial"/>
          <w:spacing w:val="-2"/>
          <w:lang w:val="es-ES" w:eastAsia="en-GB"/>
        </w:rPr>
        <w:sectPr w:rsidR="009E1EED" w:rsidRPr="00AA3F16" w:rsidSect="00313EB2">
          <w:headerReference w:type="even" r:id="rId21"/>
          <w:headerReference w:type="default" r:id="rId22"/>
          <w:footerReference w:type="even" r:id="rId23"/>
          <w:footerReference w:type="default" r:id="rId24"/>
          <w:headerReference w:type="first" r:id="rId25"/>
          <w:footerReference w:type="first" r:id="rId26"/>
          <w:pgSz w:w="12240" w:h="15840"/>
          <w:pgMar w:top="810" w:right="1440" w:bottom="1170" w:left="1440" w:header="720" w:footer="580" w:gutter="0"/>
          <w:pgNumType w:start="1"/>
          <w:cols w:space="720"/>
          <w:titlePg/>
          <w:docGrid w:linePitch="360"/>
        </w:sectPr>
      </w:pPr>
    </w:p>
    <w:p w14:paraId="28EBDCD9" w14:textId="77777777" w:rsidR="009E1EED" w:rsidRPr="00AA3F16" w:rsidRDefault="009E1EED" w:rsidP="002A4E27">
      <w:pPr>
        <w:keepNext/>
        <w:keepLines/>
        <w:numPr>
          <w:ilvl w:val="1"/>
          <w:numId w:val="19"/>
        </w:numPr>
        <w:spacing w:after="80" w:line="276" w:lineRule="auto"/>
        <w:ind w:left="540" w:hanging="540"/>
        <w:outlineLvl w:val="1"/>
        <w:rPr>
          <w:rFonts w:eastAsia="Times New Roman" w:cs="Arial"/>
          <w:b/>
          <w:iCs/>
          <w:lang w:val="es-ES" w:eastAsia="en-GB"/>
        </w:rPr>
      </w:pPr>
      <w:bookmarkStart w:id="28" w:name="_Toc108701931"/>
      <w:bookmarkStart w:id="29" w:name="_Toc118277539"/>
      <w:r w:rsidRPr="00AA3F16">
        <w:rPr>
          <w:rFonts w:eastAsia="Times New Roman" w:cs="Arial"/>
          <w:b/>
          <w:iCs/>
          <w:lang w:val="es-ES" w:eastAsia="es-ES"/>
        </w:rPr>
        <w:lastRenderedPageBreak/>
        <w:t>Matriz de amenazas</w:t>
      </w:r>
      <w:bookmarkEnd w:id="28"/>
      <w:bookmarkEnd w:id="29"/>
    </w:p>
    <w:p w14:paraId="7B8437DC" w14:textId="77777777" w:rsidR="009E1EED" w:rsidRPr="00AA3F16" w:rsidRDefault="009E1EED" w:rsidP="009E1EED">
      <w:pPr>
        <w:jc w:val="both"/>
        <w:rPr>
          <w:rFonts w:eastAsia="Times New Roman" w:cs="Arial"/>
          <w:lang w:val="es-ES" w:eastAsia="en-GB"/>
        </w:rPr>
      </w:pPr>
      <w:r w:rsidRPr="00AA3F16">
        <w:rPr>
          <w:rFonts w:eastAsia="Times New Roman" w:cs="Arial"/>
          <w:b/>
          <w:bCs/>
          <w:lang w:val="es-ES" w:eastAsia="es-ES"/>
        </w:rPr>
        <w:t xml:space="preserve">Tabla 2: </w:t>
      </w:r>
      <w:r w:rsidRPr="00AA3F16">
        <w:rPr>
          <w:rFonts w:eastAsia="Times New Roman" w:cs="Arial"/>
          <w:lang w:val="es-ES" w:eastAsia="es-ES"/>
        </w:rPr>
        <w:t xml:space="preserve">Esta matriz de amenazas muestra la combinación de probabilidad de ocurrencia (teniendo en cuenta las medidas de mitigación existentes) y la consecuencia de cada amenaza, para determinar el nivel de riesgo para el Angelote en el mar Mediterráneo. El riesgo se clasifica en tres niveles: verde – bajo, azul – moderado, amarillo – alto, rojo – muy alto. Matriz de amenazas adaptada de Gordon </w:t>
      </w:r>
      <w:r w:rsidRPr="00AA3F16">
        <w:rPr>
          <w:rFonts w:eastAsia="Times New Roman" w:cs="Arial"/>
          <w:i/>
          <w:iCs/>
          <w:lang w:val="es-ES" w:eastAsia="es-ES"/>
        </w:rPr>
        <w:t>et al.</w:t>
      </w:r>
      <w:r w:rsidRPr="00AA3F16">
        <w:rPr>
          <w:rFonts w:eastAsia="Times New Roman" w:cs="Arial"/>
          <w:lang w:val="es-ES" w:eastAsia="es-ES"/>
        </w:rPr>
        <w:t xml:space="preserv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337"/>
        <w:gridCol w:w="2462"/>
        <w:gridCol w:w="2410"/>
        <w:gridCol w:w="2449"/>
        <w:gridCol w:w="2334"/>
        <w:gridCol w:w="2340"/>
      </w:tblGrid>
      <w:tr w:rsidR="009E1EED" w:rsidRPr="00AA3F16" w14:paraId="49B8C9A4" w14:textId="77777777" w:rsidTr="009E0427">
        <w:trPr>
          <w:tblHeader/>
        </w:trPr>
        <w:tc>
          <w:tcPr>
            <w:tcW w:w="530" w:type="dxa"/>
          </w:tcPr>
          <w:p w14:paraId="6F1E5770" w14:textId="77777777" w:rsidR="009E1EED" w:rsidRPr="00AA3F16" w:rsidRDefault="009E1EED" w:rsidP="009E1EED">
            <w:pPr>
              <w:rPr>
                <w:rFonts w:cs="Arial"/>
                <w:lang w:val="es-ES"/>
              </w:rPr>
            </w:pPr>
          </w:p>
        </w:tc>
        <w:tc>
          <w:tcPr>
            <w:tcW w:w="1026" w:type="dxa"/>
            <w:tcBorders>
              <w:bottom w:val="single" w:sz="8" w:space="0" w:color="FFFFFF"/>
            </w:tcBorders>
          </w:tcPr>
          <w:p w14:paraId="7A0D4DEF" w14:textId="77777777" w:rsidR="009E1EED" w:rsidRPr="00AA3F16" w:rsidRDefault="009E1EED" w:rsidP="009E1EED">
            <w:pPr>
              <w:rPr>
                <w:rFonts w:cs="Arial"/>
                <w:lang w:val="es-ES"/>
              </w:rPr>
            </w:pPr>
          </w:p>
        </w:tc>
        <w:tc>
          <w:tcPr>
            <w:tcW w:w="2501" w:type="dxa"/>
            <w:tcBorders>
              <w:bottom w:val="single" w:sz="8" w:space="0" w:color="auto"/>
            </w:tcBorders>
          </w:tcPr>
          <w:p w14:paraId="6B73B98A" w14:textId="77777777" w:rsidR="009E1EED" w:rsidRPr="00AA3F16" w:rsidRDefault="009E1EED" w:rsidP="009E1EED">
            <w:pPr>
              <w:rPr>
                <w:rFonts w:cs="Arial"/>
                <w:lang w:val="es-ES"/>
              </w:rPr>
            </w:pPr>
          </w:p>
        </w:tc>
        <w:tc>
          <w:tcPr>
            <w:tcW w:w="2435" w:type="dxa"/>
            <w:tcBorders>
              <w:bottom w:val="single" w:sz="8" w:space="0" w:color="auto"/>
            </w:tcBorders>
          </w:tcPr>
          <w:p w14:paraId="51A1DCBE" w14:textId="77777777" w:rsidR="009E1EED" w:rsidRPr="00AA3F16" w:rsidRDefault="009E1EED" w:rsidP="009E1EED">
            <w:pPr>
              <w:rPr>
                <w:rFonts w:cs="Arial"/>
                <w:lang w:val="es-ES"/>
              </w:rPr>
            </w:pPr>
          </w:p>
        </w:tc>
        <w:tc>
          <w:tcPr>
            <w:tcW w:w="2521" w:type="dxa"/>
            <w:tcBorders>
              <w:bottom w:val="single" w:sz="8" w:space="0" w:color="auto"/>
            </w:tcBorders>
          </w:tcPr>
          <w:p w14:paraId="499E375F" w14:textId="77777777" w:rsidR="009E1EED" w:rsidRPr="00AA3F16" w:rsidRDefault="009E1EED" w:rsidP="009E1EED">
            <w:pPr>
              <w:rPr>
                <w:rFonts w:cs="Arial"/>
                <w:lang w:val="es-ES"/>
              </w:rPr>
            </w:pPr>
            <w:r w:rsidRPr="00AA3F16">
              <w:rPr>
                <w:rFonts w:eastAsia="Arial" w:cs="Arial"/>
                <w:b/>
                <w:color w:val="000000"/>
                <w:sz w:val="18"/>
                <w:szCs w:val="18"/>
                <w:lang w:val="es-ES"/>
              </w:rPr>
              <w:t>Consecuencias</w:t>
            </w:r>
          </w:p>
        </w:tc>
        <w:tc>
          <w:tcPr>
            <w:tcW w:w="2421" w:type="dxa"/>
            <w:tcBorders>
              <w:bottom w:val="single" w:sz="8" w:space="0" w:color="auto"/>
            </w:tcBorders>
          </w:tcPr>
          <w:p w14:paraId="55BF02E3" w14:textId="77777777" w:rsidR="009E1EED" w:rsidRPr="00AA3F16" w:rsidRDefault="009E1EED" w:rsidP="009E1EED">
            <w:pPr>
              <w:rPr>
                <w:rFonts w:cs="Arial"/>
                <w:lang w:val="es-ES"/>
              </w:rPr>
            </w:pPr>
          </w:p>
        </w:tc>
        <w:tc>
          <w:tcPr>
            <w:tcW w:w="2426" w:type="dxa"/>
            <w:tcBorders>
              <w:bottom w:val="single" w:sz="8" w:space="0" w:color="auto"/>
            </w:tcBorders>
          </w:tcPr>
          <w:p w14:paraId="1BDEB454" w14:textId="77777777" w:rsidR="009E1EED" w:rsidRPr="00AA3F16" w:rsidRDefault="009E1EED" w:rsidP="009E1EED">
            <w:pPr>
              <w:rPr>
                <w:rFonts w:cs="Arial"/>
                <w:lang w:val="es-ES"/>
              </w:rPr>
            </w:pPr>
          </w:p>
        </w:tc>
      </w:tr>
      <w:tr w:rsidR="009E1EED" w:rsidRPr="00AA3F16" w14:paraId="7B33BC90" w14:textId="77777777" w:rsidTr="009E0427">
        <w:trPr>
          <w:tblHeader/>
        </w:trPr>
        <w:tc>
          <w:tcPr>
            <w:tcW w:w="530" w:type="dxa"/>
            <w:tcBorders>
              <w:right w:val="single" w:sz="8" w:space="0" w:color="FFFFFF"/>
            </w:tcBorders>
          </w:tcPr>
          <w:p w14:paraId="511C6B39" w14:textId="77777777" w:rsidR="009E1EED" w:rsidRPr="00AA3F16" w:rsidRDefault="009E1EED" w:rsidP="009E1EED">
            <w:pPr>
              <w:rPr>
                <w:rFonts w:cs="Arial"/>
                <w:lang w:val="es-ES"/>
              </w:rPr>
            </w:pPr>
          </w:p>
        </w:tc>
        <w:tc>
          <w:tcPr>
            <w:tcW w:w="1026" w:type="dxa"/>
            <w:tcBorders>
              <w:top w:val="single" w:sz="8" w:space="0" w:color="FFFFFF"/>
              <w:left w:val="single" w:sz="8" w:space="0" w:color="FFFFFF"/>
              <w:bottom w:val="single" w:sz="8" w:space="0" w:color="auto"/>
              <w:right w:val="single" w:sz="8" w:space="0" w:color="auto"/>
            </w:tcBorders>
          </w:tcPr>
          <w:p w14:paraId="4A4A50F5" w14:textId="77777777" w:rsidR="009E1EED" w:rsidRPr="00AA3F16" w:rsidRDefault="009E1EED" w:rsidP="009E1EED">
            <w:pPr>
              <w:rPr>
                <w:rFonts w:cs="Arial"/>
                <w:lang w:val="es-ES"/>
              </w:rPr>
            </w:pPr>
          </w:p>
        </w:tc>
        <w:tc>
          <w:tcPr>
            <w:tcW w:w="2501" w:type="dxa"/>
            <w:tcBorders>
              <w:top w:val="single" w:sz="8" w:space="0" w:color="auto"/>
              <w:left w:val="single" w:sz="8" w:space="0" w:color="auto"/>
              <w:bottom w:val="single" w:sz="8" w:space="0" w:color="auto"/>
              <w:right w:val="single" w:sz="8" w:space="0" w:color="auto"/>
            </w:tcBorders>
          </w:tcPr>
          <w:p w14:paraId="2010AC62" w14:textId="77777777" w:rsidR="009E1EED" w:rsidRPr="00AA3F16" w:rsidRDefault="009E1EED" w:rsidP="009E1EED">
            <w:pPr>
              <w:rPr>
                <w:rFonts w:cs="Arial"/>
                <w:lang w:val="es-ES"/>
              </w:rPr>
            </w:pPr>
            <w:r w:rsidRPr="00AA3F16">
              <w:rPr>
                <w:rFonts w:eastAsia="Arial" w:cs="Arial"/>
                <w:b/>
                <w:color w:val="000000"/>
                <w:sz w:val="18"/>
                <w:szCs w:val="18"/>
                <w:lang w:val="es-ES"/>
              </w:rPr>
              <w:t>Desconocida/Aún no evaluada</w:t>
            </w:r>
          </w:p>
        </w:tc>
        <w:tc>
          <w:tcPr>
            <w:tcW w:w="2435" w:type="dxa"/>
            <w:tcBorders>
              <w:top w:val="single" w:sz="8" w:space="0" w:color="auto"/>
              <w:left w:val="single" w:sz="8" w:space="0" w:color="auto"/>
              <w:bottom w:val="single" w:sz="8" w:space="0" w:color="auto"/>
              <w:right w:val="single" w:sz="8" w:space="0" w:color="auto"/>
            </w:tcBorders>
          </w:tcPr>
          <w:p w14:paraId="3AB1FC3A" w14:textId="77777777" w:rsidR="009E1EED" w:rsidRPr="00AA3F16" w:rsidRDefault="009E1EED" w:rsidP="009E1EED">
            <w:pPr>
              <w:rPr>
                <w:rFonts w:cs="Arial"/>
                <w:lang w:val="es-ES"/>
              </w:rPr>
            </w:pPr>
            <w:r w:rsidRPr="00AA3F16">
              <w:rPr>
                <w:rFonts w:eastAsia="Arial" w:cs="Arial"/>
                <w:b/>
                <w:color w:val="000000"/>
                <w:sz w:val="18"/>
                <w:szCs w:val="18"/>
                <w:lang w:val="es-ES"/>
              </w:rPr>
              <w:t>Menor</w:t>
            </w:r>
          </w:p>
        </w:tc>
        <w:tc>
          <w:tcPr>
            <w:tcW w:w="2521" w:type="dxa"/>
            <w:tcBorders>
              <w:top w:val="single" w:sz="8" w:space="0" w:color="auto"/>
              <w:left w:val="single" w:sz="8" w:space="0" w:color="auto"/>
              <w:bottom w:val="single" w:sz="8" w:space="0" w:color="auto"/>
              <w:right w:val="single" w:sz="8" w:space="0" w:color="auto"/>
            </w:tcBorders>
          </w:tcPr>
          <w:p w14:paraId="592601A1" w14:textId="77777777" w:rsidR="009E1EED" w:rsidRPr="00AA3F16" w:rsidRDefault="009E1EED" w:rsidP="009E1EED">
            <w:pPr>
              <w:rPr>
                <w:rFonts w:cs="Arial"/>
                <w:lang w:val="es-ES"/>
              </w:rPr>
            </w:pPr>
            <w:r w:rsidRPr="00AA3F16">
              <w:rPr>
                <w:rFonts w:eastAsia="Arial" w:cs="Arial"/>
                <w:b/>
                <w:color w:val="000000"/>
                <w:sz w:val="18"/>
                <w:szCs w:val="18"/>
                <w:lang w:val="es-ES"/>
              </w:rPr>
              <w:t>Moderada</w:t>
            </w:r>
          </w:p>
        </w:tc>
        <w:tc>
          <w:tcPr>
            <w:tcW w:w="2421" w:type="dxa"/>
            <w:tcBorders>
              <w:top w:val="single" w:sz="8" w:space="0" w:color="auto"/>
              <w:left w:val="single" w:sz="8" w:space="0" w:color="auto"/>
              <w:bottom w:val="single" w:sz="8" w:space="0" w:color="auto"/>
              <w:right w:val="single" w:sz="8" w:space="0" w:color="auto"/>
            </w:tcBorders>
          </w:tcPr>
          <w:p w14:paraId="22195F0C" w14:textId="77777777" w:rsidR="009E1EED" w:rsidRPr="00AA3F16" w:rsidRDefault="009E1EED" w:rsidP="009E1EED">
            <w:pPr>
              <w:rPr>
                <w:rFonts w:cs="Arial"/>
                <w:lang w:val="es-ES"/>
              </w:rPr>
            </w:pPr>
            <w:r w:rsidRPr="00AA3F16">
              <w:rPr>
                <w:rFonts w:eastAsia="Arial" w:cs="Arial"/>
                <w:b/>
                <w:color w:val="000000"/>
                <w:sz w:val="18"/>
                <w:szCs w:val="18"/>
                <w:lang w:val="es-ES"/>
              </w:rPr>
              <w:t>Importante</w:t>
            </w:r>
          </w:p>
        </w:tc>
        <w:tc>
          <w:tcPr>
            <w:tcW w:w="2426" w:type="dxa"/>
            <w:tcBorders>
              <w:top w:val="single" w:sz="8" w:space="0" w:color="auto"/>
              <w:left w:val="single" w:sz="8" w:space="0" w:color="auto"/>
              <w:bottom w:val="single" w:sz="8" w:space="0" w:color="auto"/>
              <w:right w:val="single" w:sz="8" w:space="0" w:color="auto"/>
            </w:tcBorders>
          </w:tcPr>
          <w:p w14:paraId="426015DE" w14:textId="77777777" w:rsidR="009E1EED" w:rsidRPr="00AA3F16" w:rsidRDefault="009E1EED" w:rsidP="009E1EED">
            <w:pPr>
              <w:rPr>
                <w:rFonts w:cs="Arial"/>
                <w:lang w:val="es-ES"/>
              </w:rPr>
            </w:pPr>
            <w:r w:rsidRPr="00AA3F16">
              <w:rPr>
                <w:rFonts w:eastAsia="Arial" w:cs="Arial"/>
                <w:b/>
                <w:color w:val="000000"/>
                <w:sz w:val="18"/>
                <w:szCs w:val="18"/>
                <w:lang w:val="es-ES"/>
              </w:rPr>
              <w:t>Catastrófica</w:t>
            </w:r>
          </w:p>
        </w:tc>
      </w:tr>
      <w:tr w:rsidR="009E1EED" w:rsidRPr="009E0427" w14:paraId="3062D2AA" w14:textId="77777777" w:rsidTr="009E1EED">
        <w:tc>
          <w:tcPr>
            <w:tcW w:w="530" w:type="dxa"/>
            <w:tcBorders>
              <w:right w:val="single" w:sz="8" w:space="0" w:color="auto"/>
            </w:tcBorders>
          </w:tcPr>
          <w:p w14:paraId="0AD5D521" w14:textId="77777777" w:rsidR="009E1EED" w:rsidRPr="00AA3F16" w:rsidRDefault="009E1EED" w:rsidP="009E1EED">
            <w:pPr>
              <w:rPr>
                <w:rFonts w:cs="Arial"/>
                <w:lang w:val="es-ES"/>
              </w:rPr>
            </w:pPr>
          </w:p>
        </w:tc>
        <w:tc>
          <w:tcPr>
            <w:tcW w:w="1026" w:type="dxa"/>
            <w:tcBorders>
              <w:top w:val="single" w:sz="8" w:space="0" w:color="auto"/>
              <w:left w:val="single" w:sz="8" w:space="0" w:color="auto"/>
              <w:bottom w:val="single" w:sz="8" w:space="0" w:color="auto"/>
              <w:right w:val="single" w:sz="8" w:space="0" w:color="auto"/>
            </w:tcBorders>
          </w:tcPr>
          <w:p w14:paraId="485E0D5B" w14:textId="77777777" w:rsidR="009E1EED" w:rsidRPr="00AA3F16" w:rsidRDefault="009E1EED" w:rsidP="009E1EED">
            <w:pPr>
              <w:rPr>
                <w:rFonts w:cs="Arial"/>
                <w:lang w:val="es-ES"/>
              </w:rPr>
            </w:pPr>
            <w:r w:rsidRPr="00AA3F16">
              <w:rPr>
                <w:rFonts w:eastAsia="Arial" w:cs="Arial"/>
                <w:b/>
                <w:color w:val="000000"/>
                <w:sz w:val="18"/>
                <w:szCs w:val="18"/>
                <w:lang w:val="es-ES"/>
              </w:rPr>
              <w:t>Casi segura</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5B334901" w14:textId="77777777" w:rsidR="009E1EED" w:rsidRPr="00AA3F16" w:rsidRDefault="009E1EED" w:rsidP="009E1EED">
            <w:pPr>
              <w:rPr>
                <w:rFonts w:cs="Arial"/>
                <w:lang w:val="es-ES"/>
              </w:rPr>
            </w:pPr>
          </w:p>
        </w:tc>
        <w:tc>
          <w:tcPr>
            <w:tcW w:w="2435" w:type="dxa"/>
            <w:tcBorders>
              <w:top w:val="single" w:sz="8" w:space="0" w:color="auto"/>
              <w:left w:val="single" w:sz="8" w:space="0" w:color="auto"/>
              <w:bottom w:val="single" w:sz="8" w:space="0" w:color="auto"/>
              <w:right w:val="single" w:sz="8" w:space="0" w:color="auto"/>
            </w:tcBorders>
            <w:shd w:val="clear" w:color="auto" w:fill="B8CCE4"/>
          </w:tcPr>
          <w:p w14:paraId="5984893F" w14:textId="77777777" w:rsidR="009E1EED" w:rsidRPr="00AA3F16" w:rsidRDefault="009E1EED" w:rsidP="009E1EED">
            <w:pPr>
              <w:rPr>
                <w:rFonts w:cs="Arial"/>
                <w:lang w:val="es-ES"/>
              </w:rPr>
            </w:pPr>
          </w:p>
        </w:tc>
        <w:tc>
          <w:tcPr>
            <w:tcW w:w="2521" w:type="dxa"/>
            <w:tcBorders>
              <w:top w:val="single" w:sz="8" w:space="0" w:color="auto"/>
              <w:left w:val="single" w:sz="8" w:space="0" w:color="auto"/>
              <w:bottom w:val="single" w:sz="8" w:space="0" w:color="auto"/>
              <w:right w:val="single" w:sz="8" w:space="0" w:color="auto"/>
            </w:tcBorders>
            <w:shd w:val="clear" w:color="auto" w:fill="E5B8B7"/>
          </w:tcPr>
          <w:p w14:paraId="4C922694" w14:textId="77777777" w:rsidR="009E1EED" w:rsidRPr="00AA3F16" w:rsidRDefault="009E1EED" w:rsidP="009E1EED">
            <w:pPr>
              <w:pBdr>
                <w:top w:val="nil"/>
                <w:left w:val="nil"/>
                <w:bottom w:val="nil"/>
                <w:right w:val="nil"/>
                <w:between w:val="nil"/>
              </w:pBdr>
              <w:spacing w:line="276" w:lineRule="auto"/>
              <w:contextualSpacing/>
              <w:rPr>
                <w:rFonts w:eastAsia="Arial" w:cs="Arial"/>
                <w:color w:val="000000"/>
                <w:sz w:val="18"/>
                <w:szCs w:val="18"/>
                <w:lang w:val="es-ES"/>
              </w:rPr>
            </w:pPr>
            <w:r w:rsidRPr="00AA3F16">
              <w:rPr>
                <w:rFonts w:eastAsia="Arial" w:cs="Arial"/>
                <w:color w:val="000000"/>
                <w:sz w:val="18"/>
                <w:szCs w:val="18"/>
                <w:lang w:val="es-ES"/>
              </w:rPr>
              <w:t>Degradación del hábitat.</w:t>
            </w:r>
          </w:p>
          <w:p w14:paraId="1DDEDCCD" w14:textId="77777777" w:rsidR="009E1EED" w:rsidRPr="00AA3F16" w:rsidRDefault="009E1EED" w:rsidP="009E1EED">
            <w:pPr>
              <w:rPr>
                <w:rFonts w:cs="Arial"/>
                <w:lang w:val="es-ES"/>
              </w:rPr>
            </w:pPr>
          </w:p>
        </w:tc>
        <w:tc>
          <w:tcPr>
            <w:tcW w:w="2421" w:type="dxa"/>
            <w:tcBorders>
              <w:top w:val="single" w:sz="8" w:space="0" w:color="auto"/>
              <w:left w:val="single" w:sz="8" w:space="0" w:color="auto"/>
              <w:bottom w:val="single" w:sz="8" w:space="0" w:color="auto"/>
              <w:right w:val="single" w:sz="8" w:space="0" w:color="auto"/>
            </w:tcBorders>
            <w:shd w:val="clear" w:color="auto" w:fill="E5B8B7"/>
          </w:tcPr>
          <w:p w14:paraId="09C96092" w14:textId="77777777" w:rsidR="009E1EED" w:rsidRPr="00AA3F16" w:rsidRDefault="009E1EED" w:rsidP="009E1EED">
            <w:pPr>
              <w:rPr>
                <w:rFonts w:cs="Arial"/>
                <w:sz w:val="18"/>
                <w:szCs w:val="18"/>
                <w:lang w:val="es-ES"/>
              </w:rPr>
            </w:pPr>
            <w:r w:rsidRPr="00AA3F16">
              <w:rPr>
                <w:rFonts w:eastAsia="Arial" w:cs="Arial"/>
                <w:color w:val="000000"/>
                <w:sz w:val="18"/>
                <w:szCs w:val="18"/>
                <w:lang w:val="es-ES"/>
              </w:rPr>
              <w:t>Captura incidental con</w:t>
            </w:r>
            <w:r w:rsidRPr="00AA3F16">
              <w:rPr>
                <w:rFonts w:cs="Arial"/>
                <w:sz w:val="18"/>
                <w:szCs w:val="18"/>
                <w:lang w:val="es-ES"/>
              </w:rPr>
              <w:t xml:space="preserve"> pesquería a pequeña y gran escala (se incluye la mortalidad por captura incidental</w:t>
            </w:r>
            <w:r w:rsidRPr="00AA3F16">
              <w:rPr>
                <w:rFonts w:cs="Arial"/>
                <w:sz w:val="18"/>
                <w:szCs w:val="18"/>
                <w:vertAlign w:val="superscript"/>
                <w:lang w:val="es-ES"/>
              </w:rPr>
              <w:footnoteReference w:id="6"/>
            </w:r>
            <w:r w:rsidRPr="00AA3F16">
              <w:rPr>
                <w:rFonts w:cs="Arial"/>
                <w:sz w:val="18"/>
                <w:szCs w:val="18"/>
                <w:lang w:val="es-ES"/>
              </w:rPr>
              <w:t>).</w:t>
            </w:r>
          </w:p>
          <w:p w14:paraId="0D8A6815" w14:textId="77777777" w:rsidR="009E1EED" w:rsidRPr="00AA3F16" w:rsidRDefault="009E1EED" w:rsidP="009E1EED">
            <w:pPr>
              <w:rPr>
                <w:rFonts w:cs="Arial"/>
                <w:lang w:val="es-ES"/>
              </w:rPr>
            </w:pPr>
            <w:r w:rsidRPr="00AA3F16">
              <w:rPr>
                <w:rFonts w:ascii="Times New Roman" w:hAnsi="Times New Roman" w:cs="Arial"/>
                <w:sz w:val="18"/>
                <w:szCs w:val="18"/>
                <w:lang w:val="es-ES"/>
              </w:rPr>
              <w:t xml:space="preserve"> </w:t>
            </w: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11C79319" w14:textId="77777777" w:rsidR="009E1EED" w:rsidRPr="00AA3F16" w:rsidRDefault="009E1EED" w:rsidP="009E1EED">
            <w:pPr>
              <w:rPr>
                <w:rFonts w:cs="Arial"/>
                <w:lang w:val="es-ES"/>
              </w:rPr>
            </w:pPr>
          </w:p>
        </w:tc>
      </w:tr>
      <w:tr w:rsidR="009E1EED" w:rsidRPr="009E0427" w14:paraId="555E6C7D" w14:textId="77777777" w:rsidTr="009E1EED">
        <w:trPr>
          <w:cantSplit/>
          <w:trHeight w:val="290"/>
        </w:trPr>
        <w:tc>
          <w:tcPr>
            <w:tcW w:w="530" w:type="dxa"/>
            <w:vMerge w:val="restart"/>
            <w:tcBorders>
              <w:right w:val="single" w:sz="8" w:space="0" w:color="auto"/>
            </w:tcBorders>
            <w:textDirection w:val="btLr"/>
            <w:vAlign w:val="center"/>
          </w:tcPr>
          <w:p w14:paraId="5A38A085" w14:textId="77777777" w:rsidR="009E1EED" w:rsidRPr="00AA3F16" w:rsidRDefault="009E1EED" w:rsidP="009E1EED">
            <w:pPr>
              <w:ind w:left="113" w:right="113"/>
              <w:jc w:val="center"/>
              <w:rPr>
                <w:rFonts w:cs="Arial"/>
                <w:b/>
                <w:bCs/>
                <w:lang w:val="es-ES"/>
              </w:rPr>
            </w:pPr>
            <w:r w:rsidRPr="00AA3F16">
              <w:rPr>
                <w:rFonts w:cs="Arial"/>
                <w:b/>
                <w:bCs/>
                <w:lang w:val="es-ES"/>
              </w:rPr>
              <w:t>Probabilidad</w:t>
            </w:r>
          </w:p>
        </w:tc>
        <w:tc>
          <w:tcPr>
            <w:tcW w:w="1026" w:type="dxa"/>
            <w:vMerge w:val="restart"/>
            <w:tcBorders>
              <w:top w:val="single" w:sz="8" w:space="0" w:color="auto"/>
              <w:left w:val="single" w:sz="8" w:space="0" w:color="auto"/>
              <w:right w:val="single" w:sz="8" w:space="0" w:color="auto"/>
            </w:tcBorders>
          </w:tcPr>
          <w:p w14:paraId="4972E336"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r w:rsidRPr="00AA3F16">
              <w:rPr>
                <w:rFonts w:eastAsia="Arial" w:cs="Arial"/>
                <w:b/>
                <w:color w:val="000000"/>
                <w:sz w:val="18"/>
                <w:szCs w:val="18"/>
                <w:lang w:val="es-ES"/>
              </w:rPr>
              <w:t>Probable</w:t>
            </w:r>
          </w:p>
          <w:p w14:paraId="578360BD"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p>
          <w:p w14:paraId="66230F7F" w14:textId="77777777" w:rsidR="009E1EED" w:rsidRPr="00AA3F16" w:rsidRDefault="009E1EED" w:rsidP="009E1EED">
            <w:pPr>
              <w:rPr>
                <w:rFonts w:cs="Arial"/>
                <w:lang w:val="es-ES"/>
              </w:rPr>
            </w:pPr>
          </w:p>
        </w:tc>
        <w:tc>
          <w:tcPr>
            <w:tcW w:w="2501" w:type="dxa"/>
            <w:tcBorders>
              <w:top w:val="single" w:sz="8" w:space="0" w:color="auto"/>
              <w:left w:val="single" w:sz="8" w:space="0" w:color="auto"/>
              <w:right w:val="single" w:sz="8" w:space="0" w:color="auto"/>
            </w:tcBorders>
            <w:shd w:val="clear" w:color="auto" w:fill="DDFFDD"/>
          </w:tcPr>
          <w:p w14:paraId="6A1656FF" w14:textId="77777777" w:rsidR="009E1EED" w:rsidRPr="00AA3F16" w:rsidRDefault="009E1EED" w:rsidP="009E1EED">
            <w:pPr>
              <w:rPr>
                <w:rFonts w:cs="Arial"/>
                <w:lang w:val="es-ES"/>
              </w:rPr>
            </w:pPr>
            <w:r w:rsidRPr="00AA3F16">
              <w:rPr>
                <w:rFonts w:eastAsia="Arial" w:cs="Arial"/>
                <w:sz w:val="18"/>
                <w:szCs w:val="18"/>
                <w:lang w:val="es-ES"/>
              </w:rPr>
              <w:t>Contaminación de micro/</w:t>
            </w:r>
            <w:proofErr w:type="spellStart"/>
            <w:r w:rsidRPr="00AA3F16">
              <w:rPr>
                <w:rFonts w:eastAsia="Arial" w:cs="Arial"/>
                <w:sz w:val="18"/>
                <w:szCs w:val="18"/>
                <w:lang w:val="es-ES"/>
              </w:rPr>
              <w:t>macroplásticos</w:t>
            </w:r>
            <w:proofErr w:type="spellEnd"/>
            <w:r w:rsidRPr="00AA3F16">
              <w:rPr>
                <w:rFonts w:eastAsia="Arial" w:cs="Arial"/>
                <w:sz w:val="18"/>
                <w:szCs w:val="18"/>
                <w:vertAlign w:val="superscript"/>
                <w:lang w:val="es-ES"/>
              </w:rPr>
              <w:footnoteReference w:id="7"/>
            </w:r>
          </w:p>
        </w:tc>
        <w:tc>
          <w:tcPr>
            <w:tcW w:w="2435" w:type="dxa"/>
            <w:tcBorders>
              <w:top w:val="single" w:sz="8" w:space="0" w:color="auto"/>
              <w:left w:val="single" w:sz="8" w:space="0" w:color="auto"/>
              <w:right w:val="single" w:sz="8" w:space="0" w:color="auto"/>
            </w:tcBorders>
            <w:shd w:val="clear" w:color="auto" w:fill="B8CCE4"/>
          </w:tcPr>
          <w:p w14:paraId="761468FF" w14:textId="77777777" w:rsidR="009E1EED" w:rsidRPr="00AA3F16" w:rsidRDefault="009E1EED" w:rsidP="009E1EED">
            <w:pPr>
              <w:rPr>
                <w:rFonts w:cs="Arial"/>
                <w:lang w:val="es-ES"/>
              </w:rPr>
            </w:pPr>
            <w:r w:rsidRPr="00AA3F16">
              <w:rPr>
                <w:rFonts w:eastAsia="Arial" w:cs="Arial"/>
                <w:color w:val="000000"/>
                <w:sz w:val="18"/>
                <w:szCs w:val="18"/>
                <w:lang w:val="es-ES"/>
              </w:rPr>
              <w:t>Vertidos/contaminación del agua que lleva a acumulación de sustancias contaminantes</w:t>
            </w:r>
          </w:p>
        </w:tc>
        <w:tc>
          <w:tcPr>
            <w:tcW w:w="2521" w:type="dxa"/>
            <w:vMerge w:val="restart"/>
            <w:tcBorders>
              <w:top w:val="single" w:sz="8" w:space="0" w:color="auto"/>
              <w:left w:val="single" w:sz="8" w:space="0" w:color="auto"/>
              <w:right w:val="single" w:sz="8" w:space="0" w:color="auto"/>
            </w:tcBorders>
            <w:shd w:val="clear" w:color="auto" w:fill="FFFFA7"/>
          </w:tcPr>
          <w:p w14:paraId="080D0237" w14:textId="77777777" w:rsidR="009E1EED" w:rsidRPr="00AA3F16" w:rsidRDefault="009E1EED" w:rsidP="009E1EED">
            <w:pPr>
              <w:pBdr>
                <w:top w:val="nil"/>
                <w:left w:val="nil"/>
                <w:bottom w:val="nil"/>
                <w:right w:val="nil"/>
                <w:between w:val="nil"/>
              </w:pBdr>
              <w:spacing w:line="276" w:lineRule="auto"/>
              <w:rPr>
                <w:rFonts w:eastAsia="Arial" w:cs="Arial"/>
                <w:sz w:val="18"/>
                <w:szCs w:val="18"/>
                <w:lang w:val="es-ES"/>
              </w:rPr>
            </w:pPr>
            <w:r w:rsidRPr="00AA3F16">
              <w:rPr>
                <w:rFonts w:eastAsia="Arial" w:cs="Arial"/>
                <w:sz w:val="18"/>
                <w:szCs w:val="18"/>
                <w:lang w:val="es-ES"/>
              </w:rPr>
              <w:t>Baja variabilidad genética (estancamientos génicos/ fragmentación de la población)</w:t>
            </w:r>
          </w:p>
          <w:p w14:paraId="761AA9F4" w14:textId="77777777" w:rsidR="009E1EED" w:rsidRPr="00AA3F16" w:rsidRDefault="009E1EED" w:rsidP="009E1EED">
            <w:pPr>
              <w:rPr>
                <w:rFonts w:cs="Arial"/>
                <w:lang w:val="es-ES"/>
              </w:rPr>
            </w:pPr>
            <w:r w:rsidRPr="00AA3F16">
              <w:rPr>
                <w:rFonts w:eastAsia="Arial" w:cs="Arial"/>
                <w:sz w:val="18"/>
                <w:szCs w:val="18"/>
                <w:lang w:val="es-ES"/>
              </w:rPr>
              <w:t xml:space="preserve"> </w:t>
            </w:r>
          </w:p>
          <w:p w14:paraId="77F6FBC2" w14:textId="77777777" w:rsidR="009E1EED" w:rsidRPr="00AA3F16" w:rsidRDefault="009E1EED" w:rsidP="009E1EED">
            <w:pPr>
              <w:pBdr>
                <w:top w:val="nil"/>
                <w:left w:val="nil"/>
                <w:bottom w:val="nil"/>
                <w:right w:val="nil"/>
                <w:between w:val="nil"/>
              </w:pBdr>
              <w:spacing w:line="276" w:lineRule="auto"/>
              <w:rPr>
                <w:rFonts w:eastAsia="Arial" w:cs="Arial"/>
                <w:sz w:val="18"/>
                <w:szCs w:val="18"/>
                <w:lang w:val="es-ES"/>
              </w:rPr>
            </w:pPr>
          </w:p>
          <w:p w14:paraId="59254713" w14:textId="77777777" w:rsidR="009E1EED" w:rsidRPr="00AA3F16" w:rsidRDefault="009E1EED" w:rsidP="009E1EED">
            <w:pPr>
              <w:rPr>
                <w:rFonts w:cs="Arial"/>
                <w:lang w:val="es-ES"/>
              </w:rPr>
            </w:pPr>
          </w:p>
        </w:tc>
        <w:tc>
          <w:tcPr>
            <w:tcW w:w="2421" w:type="dxa"/>
            <w:vMerge w:val="restart"/>
            <w:tcBorders>
              <w:top w:val="single" w:sz="8" w:space="0" w:color="auto"/>
              <w:left w:val="single" w:sz="8" w:space="0" w:color="auto"/>
              <w:right w:val="single" w:sz="8" w:space="0" w:color="auto"/>
            </w:tcBorders>
            <w:shd w:val="clear" w:color="auto" w:fill="E5B8B7"/>
          </w:tcPr>
          <w:p w14:paraId="062478A6" w14:textId="77777777" w:rsidR="009E1EED" w:rsidRPr="00AA3F16" w:rsidRDefault="009E1EED" w:rsidP="009E1EED">
            <w:pPr>
              <w:rPr>
                <w:rFonts w:cs="Arial"/>
                <w:lang w:val="es-ES"/>
              </w:rPr>
            </w:pPr>
            <w:r w:rsidRPr="00AA3F16">
              <w:rPr>
                <w:rFonts w:eastAsia="Arial" w:cs="Arial"/>
                <w:sz w:val="18"/>
                <w:szCs w:val="18"/>
                <w:lang w:val="es-ES"/>
              </w:rPr>
              <w:t xml:space="preserve">Mortalidad a causa de captura accidental y con objetivo debido a pesca recreacional y deportiva (p. ej., caña y sedal, </w:t>
            </w:r>
            <w:proofErr w:type="spellStart"/>
            <w:r w:rsidRPr="00AA3F16">
              <w:rPr>
                <w:rFonts w:eastAsia="Arial" w:cs="Arial"/>
                <w:sz w:val="18"/>
                <w:szCs w:val="18"/>
                <w:lang w:val="es-ES"/>
              </w:rPr>
              <w:t>surfcástin</w:t>
            </w:r>
            <w:proofErr w:type="spellEnd"/>
            <w:r w:rsidRPr="00AA3F16">
              <w:rPr>
                <w:rFonts w:eastAsia="Arial" w:cs="Arial"/>
                <w:sz w:val="18"/>
                <w:szCs w:val="18"/>
                <w:lang w:val="es-ES"/>
              </w:rPr>
              <w:t>, pesca submarina).</w:t>
            </w:r>
          </w:p>
        </w:tc>
        <w:tc>
          <w:tcPr>
            <w:tcW w:w="2426" w:type="dxa"/>
            <w:vMerge w:val="restart"/>
            <w:tcBorders>
              <w:top w:val="single" w:sz="8" w:space="0" w:color="auto"/>
              <w:left w:val="single" w:sz="8" w:space="0" w:color="auto"/>
              <w:right w:val="single" w:sz="8" w:space="0" w:color="auto"/>
            </w:tcBorders>
            <w:shd w:val="clear" w:color="auto" w:fill="E5B8B7"/>
          </w:tcPr>
          <w:p w14:paraId="40353C7D" w14:textId="77777777" w:rsidR="009E1EED" w:rsidRPr="00AA3F16" w:rsidRDefault="009E1EED" w:rsidP="009E1EED">
            <w:pPr>
              <w:rPr>
                <w:rFonts w:cs="Arial"/>
                <w:lang w:val="es-ES"/>
              </w:rPr>
            </w:pPr>
          </w:p>
        </w:tc>
      </w:tr>
      <w:tr w:rsidR="009E1EED" w:rsidRPr="009E0427" w14:paraId="7FF3F5BC" w14:textId="77777777" w:rsidTr="009E1EED">
        <w:trPr>
          <w:cantSplit/>
          <w:trHeight w:val="290"/>
        </w:trPr>
        <w:tc>
          <w:tcPr>
            <w:tcW w:w="530" w:type="dxa"/>
            <w:vMerge/>
            <w:tcBorders>
              <w:right w:val="single" w:sz="8" w:space="0" w:color="auto"/>
            </w:tcBorders>
            <w:textDirection w:val="btLr"/>
            <w:vAlign w:val="center"/>
          </w:tcPr>
          <w:p w14:paraId="2274D286" w14:textId="77777777" w:rsidR="009E1EED" w:rsidRPr="00AA3F16" w:rsidRDefault="009E1EED" w:rsidP="009E1EED">
            <w:pPr>
              <w:ind w:left="113" w:right="113"/>
              <w:jc w:val="center"/>
              <w:rPr>
                <w:rFonts w:cs="Arial"/>
                <w:b/>
                <w:bCs/>
                <w:lang w:val="es-ES"/>
              </w:rPr>
            </w:pPr>
          </w:p>
        </w:tc>
        <w:tc>
          <w:tcPr>
            <w:tcW w:w="1026" w:type="dxa"/>
            <w:vMerge/>
            <w:tcBorders>
              <w:left w:val="single" w:sz="8" w:space="0" w:color="auto"/>
              <w:right w:val="single" w:sz="8" w:space="0" w:color="auto"/>
            </w:tcBorders>
          </w:tcPr>
          <w:p w14:paraId="76BD33B8"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p>
        </w:tc>
        <w:tc>
          <w:tcPr>
            <w:tcW w:w="2501" w:type="dxa"/>
            <w:tcBorders>
              <w:left w:val="single" w:sz="8" w:space="0" w:color="auto"/>
              <w:right w:val="single" w:sz="8" w:space="0" w:color="auto"/>
            </w:tcBorders>
            <w:shd w:val="clear" w:color="auto" w:fill="DDFFDD"/>
          </w:tcPr>
          <w:p w14:paraId="53762044" w14:textId="7CCEAA62" w:rsidR="009E1EED" w:rsidRPr="00AA3F16" w:rsidRDefault="009E1EED" w:rsidP="009E1EED">
            <w:pPr>
              <w:rPr>
                <w:rFonts w:cs="Arial"/>
                <w:lang w:val="es-ES"/>
              </w:rPr>
            </w:pPr>
            <w:r w:rsidRPr="00AA3F16">
              <w:rPr>
                <w:rFonts w:eastAsia="Arial" w:cs="Arial"/>
                <w:sz w:val="18"/>
                <w:szCs w:val="18"/>
                <w:lang w:val="es-ES"/>
              </w:rPr>
              <w:t>Energías renovables (p. ej., parque</w:t>
            </w:r>
            <w:r w:rsidR="002A3F8E">
              <w:rPr>
                <w:rFonts w:eastAsia="Arial" w:cs="Arial"/>
                <w:sz w:val="18"/>
                <w:szCs w:val="18"/>
                <w:lang w:val="es-ES"/>
              </w:rPr>
              <w:t>s</w:t>
            </w:r>
            <w:r w:rsidRPr="00AA3F16">
              <w:rPr>
                <w:rFonts w:eastAsia="Arial" w:cs="Arial"/>
                <w:sz w:val="18"/>
                <w:szCs w:val="18"/>
                <w:lang w:val="es-ES"/>
              </w:rPr>
              <w:t xml:space="preserve"> eólicos, turbinas submarinas, lagunas)</w:t>
            </w:r>
          </w:p>
        </w:tc>
        <w:tc>
          <w:tcPr>
            <w:tcW w:w="2435" w:type="dxa"/>
            <w:tcBorders>
              <w:left w:val="single" w:sz="8" w:space="0" w:color="auto"/>
              <w:right w:val="single" w:sz="8" w:space="0" w:color="auto"/>
            </w:tcBorders>
            <w:shd w:val="clear" w:color="auto" w:fill="B8CCE4"/>
          </w:tcPr>
          <w:p w14:paraId="75C0A572" w14:textId="77777777" w:rsidR="009E1EED" w:rsidRPr="00AA3F16" w:rsidRDefault="009E1EED" w:rsidP="009E1EED">
            <w:pPr>
              <w:rPr>
                <w:rFonts w:cs="Arial"/>
                <w:lang w:val="es-ES"/>
              </w:rPr>
            </w:pPr>
            <w:r w:rsidRPr="00AA3F16">
              <w:rPr>
                <w:rFonts w:eastAsia="Arial" w:cs="Arial"/>
                <w:color w:val="000000"/>
                <w:sz w:val="18"/>
                <w:szCs w:val="18"/>
                <w:lang w:val="es-ES"/>
              </w:rPr>
              <w:t>Contaminación del agua/vertidos y aguas de alcantarillado que llevan a la eutrofización</w:t>
            </w:r>
          </w:p>
        </w:tc>
        <w:tc>
          <w:tcPr>
            <w:tcW w:w="2521" w:type="dxa"/>
            <w:vMerge/>
            <w:tcBorders>
              <w:left w:val="single" w:sz="8" w:space="0" w:color="auto"/>
              <w:right w:val="single" w:sz="8" w:space="0" w:color="auto"/>
            </w:tcBorders>
            <w:shd w:val="clear" w:color="auto" w:fill="FFFFA7"/>
          </w:tcPr>
          <w:p w14:paraId="7A97F0F5" w14:textId="77777777" w:rsidR="009E1EED" w:rsidRPr="00AA3F16" w:rsidRDefault="009E1EED" w:rsidP="009E1EED">
            <w:pPr>
              <w:rPr>
                <w:rFonts w:cs="Arial"/>
                <w:lang w:val="es-ES"/>
              </w:rPr>
            </w:pPr>
          </w:p>
        </w:tc>
        <w:tc>
          <w:tcPr>
            <w:tcW w:w="2421" w:type="dxa"/>
            <w:vMerge/>
            <w:tcBorders>
              <w:left w:val="single" w:sz="8" w:space="0" w:color="auto"/>
              <w:right w:val="single" w:sz="8" w:space="0" w:color="auto"/>
            </w:tcBorders>
            <w:shd w:val="clear" w:color="auto" w:fill="E5B8B7"/>
          </w:tcPr>
          <w:p w14:paraId="3203F299" w14:textId="77777777" w:rsidR="009E1EED" w:rsidRPr="00AA3F16" w:rsidRDefault="009E1EED" w:rsidP="009E1EED">
            <w:pPr>
              <w:rPr>
                <w:rFonts w:cs="Arial"/>
                <w:lang w:val="es-ES"/>
              </w:rPr>
            </w:pPr>
          </w:p>
        </w:tc>
        <w:tc>
          <w:tcPr>
            <w:tcW w:w="2426" w:type="dxa"/>
            <w:vMerge/>
            <w:tcBorders>
              <w:left w:val="single" w:sz="8" w:space="0" w:color="auto"/>
              <w:right w:val="single" w:sz="8" w:space="0" w:color="auto"/>
            </w:tcBorders>
            <w:shd w:val="clear" w:color="auto" w:fill="E5B8B7"/>
          </w:tcPr>
          <w:p w14:paraId="5C7E9A57" w14:textId="77777777" w:rsidR="009E1EED" w:rsidRPr="00AA3F16" w:rsidRDefault="009E1EED" w:rsidP="009E1EED">
            <w:pPr>
              <w:rPr>
                <w:rFonts w:cs="Arial"/>
                <w:lang w:val="es-ES"/>
              </w:rPr>
            </w:pPr>
          </w:p>
        </w:tc>
      </w:tr>
      <w:tr w:rsidR="009E1EED" w:rsidRPr="009E0427" w14:paraId="1CC0CC0B" w14:textId="77777777" w:rsidTr="009E1EED">
        <w:trPr>
          <w:cantSplit/>
          <w:trHeight w:val="290"/>
        </w:trPr>
        <w:tc>
          <w:tcPr>
            <w:tcW w:w="530" w:type="dxa"/>
            <w:vMerge/>
            <w:tcBorders>
              <w:right w:val="single" w:sz="8" w:space="0" w:color="auto"/>
            </w:tcBorders>
            <w:textDirection w:val="btLr"/>
            <w:vAlign w:val="center"/>
          </w:tcPr>
          <w:p w14:paraId="4D273059" w14:textId="77777777" w:rsidR="009E1EED" w:rsidRPr="00AA3F16" w:rsidRDefault="009E1EED" w:rsidP="009E1EED">
            <w:pPr>
              <w:ind w:left="113" w:right="113"/>
              <w:jc w:val="center"/>
              <w:rPr>
                <w:rFonts w:cs="Arial"/>
                <w:b/>
                <w:bCs/>
                <w:lang w:val="es-ES"/>
              </w:rPr>
            </w:pPr>
          </w:p>
        </w:tc>
        <w:tc>
          <w:tcPr>
            <w:tcW w:w="1026" w:type="dxa"/>
            <w:vMerge/>
            <w:tcBorders>
              <w:left w:val="single" w:sz="8" w:space="0" w:color="auto"/>
              <w:right w:val="single" w:sz="8" w:space="0" w:color="auto"/>
            </w:tcBorders>
          </w:tcPr>
          <w:p w14:paraId="73769454"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p>
        </w:tc>
        <w:tc>
          <w:tcPr>
            <w:tcW w:w="2501" w:type="dxa"/>
            <w:tcBorders>
              <w:left w:val="single" w:sz="8" w:space="0" w:color="auto"/>
              <w:right w:val="single" w:sz="8" w:space="0" w:color="auto"/>
            </w:tcBorders>
            <w:shd w:val="clear" w:color="auto" w:fill="DDFFDD"/>
          </w:tcPr>
          <w:p w14:paraId="27255E17" w14:textId="77777777" w:rsidR="009E1EED" w:rsidRPr="00AA3F16" w:rsidRDefault="009E1EED" w:rsidP="009E1EED">
            <w:pPr>
              <w:rPr>
                <w:rFonts w:cs="Arial"/>
                <w:lang w:val="es-ES"/>
              </w:rPr>
            </w:pPr>
            <w:r w:rsidRPr="00AA3F16">
              <w:rPr>
                <w:rFonts w:eastAsia="Arial" w:cs="Arial"/>
                <w:sz w:val="18"/>
                <w:szCs w:val="18"/>
                <w:lang w:val="es-ES"/>
              </w:rPr>
              <w:t>Sector de la extracción (p. ej., áridos, minería, dragados)</w:t>
            </w:r>
          </w:p>
        </w:tc>
        <w:tc>
          <w:tcPr>
            <w:tcW w:w="2435" w:type="dxa"/>
            <w:tcBorders>
              <w:left w:val="single" w:sz="8" w:space="0" w:color="auto"/>
              <w:right w:val="single" w:sz="8" w:space="0" w:color="auto"/>
            </w:tcBorders>
            <w:shd w:val="clear" w:color="auto" w:fill="B8CCE4"/>
          </w:tcPr>
          <w:p w14:paraId="5F9770B2" w14:textId="77777777" w:rsidR="009E1EED" w:rsidRPr="00AA3F16" w:rsidRDefault="009E1EED" w:rsidP="009E1EED">
            <w:pPr>
              <w:rPr>
                <w:rFonts w:eastAsia="Arial" w:cs="Arial"/>
                <w:sz w:val="18"/>
                <w:szCs w:val="18"/>
                <w:lang w:val="es-ES"/>
              </w:rPr>
            </w:pPr>
            <w:r w:rsidRPr="00AA3F16">
              <w:rPr>
                <w:rFonts w:eastAsia="Arial" w:cs="Arial"/>
                <w:sz w:val="18"/>
                <w:szCs w:val="18"/>
                <w:lang w:val="es-ES"/>
              </w:rPr>
              <w:t>Un número creciente de turistas y actividad recreacional en las aguas costeras.</w:t>
            </w:r>
          </w:p>
          <w:p w14:paraId="4FCB3C6C" w14:textId="77777777" w:rsidR="009E1EED" w:rsidRPr="00AA3F16" w:rsidRDefault="009E1EED" w:rsidP="009E1EED">
            <w:pPr>
              <w:rPr>
                <w:rFonts w:cs="Arial"/>
                <w:lang w:val="es-ES"/>
              </w:rPr>
            </w:pPr>
          </w:p>
        </w:tc>
        <w:tc>
          <w:tcPr>
            <w:tcW w:w="2521" w:type="dxa"/>
            <w:vMerge w:val="restart"/>
            <w:tcBorders>
              <w:left w:val="single" w:sz="8" w:space="0" w:color="auto"/>
              <w:right w:val="single" w:sz="8" w:space="0" w:color="auto"/>
            </w:tcBorders>
            <w:shd w:val="clear" w:color="auto" w:fill="FFFFA7"/>
          </w:tcPr>
          <w:p w14:paraId="42D9DA52" w14:textId="77777777" w:rsidR="009E1EED" w:rsidRPr="00AA3F16" w:rsidRDefault="009E1EED" w:rsidP="009E1EED">
            <w:pPr>
              <w:pBdr>
                <w:top w:val="nil"/>
                <w:left w:val="nil"/>
                <w:bottom w:val="nil"/>
                <w:right w:val="nil"/>
                <w:between w:val="nil"/>
              </w:pBdr>
              <w:spacing w:line="276" w:lineRule="auto"/>
              <w:rPr>
                <w:rFonts w:eastAsia="Arial" w:cs="Arial"/>
                <w:sz w:val="18"/>
                <w:szCs w:val="18"/>
                <w:lang w:val="es-ES"/>
              </w:rPr>
            </w:pPr>
            <w:r w:rsidRPr="00AA3F16">
              <w:rPr>
                <w:rFonts w:eastAsia="Arial" w:cs="Arial"/>
                <w:sz w:val="18"/>
                <w:szCs w:val="18"/>
                <w:lang w:val="es-ES"/>
              </w:rPr>
              <w:t>Desarrollo de infraestructuras y construcciones residenciales en la costa que alteran la morfología del fondo marino</w:t>
            </w:r>
          </w:p>
          <w:p w14:paraId="3A994286" w14:textId="77777777" w:rsidR="009E1EED" w:rsidRPr="00AA3F16" w:rsidRDefault="009E1EED" w:rsidP="009E1EED">
            <w:pPr>
              <w:rPr>
                <w:rFonts w:cs="Arial"/>
                <w:lang w:val="es-ES"/>
              </w:rPr>
            </w:pPr>
          </w:p>
        </w:tc>
        <w:tc>
          <w:tcPr>
            <w:tcW w:w="2421" w:type="dxa"/>
            <w:vMerge w:val="restart"/>
            <w:tcBorders>
              <w:left w:val="single" w:sz="8" w:space="0" w:color="auto"/>
              <w:right w:val="single" w:sz="8" w:space="0" w:color="auto"/>
            </w:tcBorders>
            <w:shd w:val="clear" w:color="auto" w:fill="E5B8B7"/>
          </w:tcPr>
          <w:p w14:paraId="2499D424" w14:textId="77777777" w:rsidR="009E1EED" w:rsidRPr="00AA3F16" w:rsidRDefault="009E1EED" w:rsidP="009E1EED">
            <w:pPr>
              <w:rPr>
                <w:rFonts w:cs="Arial"/>
                <w:lang w:val="es-ES"/>
              </w:rPr>
            </w:pPr>
            <w:r w:rsidRPr="00AA3F16">
              <w:rPr>
                <w:rFonts w:eastAsia="Arial" w:cs="Arial"/>
                <w:sz w:val="18"/>
                <w:szCs w:val="18"/>
                <w:lang w:val="es-ES"/>
              </w:rPr>
              <w:t>Captura incidental en pesquerías a pequeña y gran escalas y retención ilegal.</w:t>
            </w:r>
          </w:p>
        </w:tc>
        <w:tc>
          <w:tcPr>
            <w:tcW w:w="2426" w:type="dxa"/>
            <w:vMerge/>
            <w:tcBorders>
              <w:left w:val="single" w:sz="8" w:space="0" w:color="auto"/>
              <w:right w:val="single" w:sz="8" w:space="0" w:color="auto"/>
            </w:tcBorders>
            <w:shd w:val="clear" w:color="auto" w:fill="E5B8B7"/>
          </w:tcPr>
          <w:p w14:paraId="3C6C2B2A" w14:textId="77777777" w:rsidR="009E1EED" w:rsidRPr="00AA3F16" w:rsidRDefault="009E1EED" w:rsidP="009E1EED">
            <w:pPr>
              <w:rPr>
                <w:rFonts w:cs="Arial"/>
                <w:lang w:val="es-ES"/>
              </w:rPr>
            </w:pPr>
          </w:p>
        </w:tc>
      </w:tr>
      <w:tr w:rsidR="009E1EED" w:rsidRPr="009E0427" w14:paraId="72E356B7" w14:textId="77777777" w:rsidTr="009E1EED">
        <w:trPr>
          <w:cantSplit/>
          <w:trHeight w:val="290"/>
        </w:trPr>
        <w:tc>
          <w:tcPr>
            <w:tcW w:w="530" w:type="dxa"/>
            <w:vMerge/>
            <w:tcBorders>
              <w:right w:val="single" w:sz="8" w:space="0" w:color="auto"/>
            </w:tcBorders>
            <w:textDirection w:val="btLr"/>
            <w:vAlign w:val="center"/>
          </w:tcPr>
          <w:p w14:paraId="2B60770C" w14:textId="77777777" w:rsidR="009E1EED" w:rsidRPr="00AA3F16" w:rsidRDefault="009E1EED" w:rsidP="009E1EED">
            <w:pPr>
              <w:ind w:left="113" w:right="113"/>
              <w:jc w:val="center"/>
              <w:rPr>
                <w:rFonts w:cs="Arial"/>
                <w:b/>
                <w:bCs/>
                <w:lang w:val="es-ES"/>
              </w:rPr>
            </w:pPr>
          </w:p>
        </w:tc>
        <w:tc>
          <w:tcPr>
            <w:tcW w:w="1026" w:type="dxa"/>
            <w:vMerge/>
            <w:tcBorders>
              <w:left w:val="single" w:sz="8" w:space="0" w:color="auto"/>
              <w:right w:val="single" w:sz="8" w:space="0" w:color="auto"/>
            </w:tcBorders>
          </w:tcPr>
          <w:p w14:paraId="2EC3D1EA"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p>
        </w:tc>
        <w:tc>
          <w:tcPr>
            <w:tcW w:w="2501" w:type="dxa"/>
            <w:tcBorders>
              <w:left w:val="single" w:sz="8" w:space="0" w:color="auto"/>
              <w:right w:val="single" w:sz="8" w:space="0" w:color="auto"/>
            </w:tcBorders>
            <w:shd w:val="clear" w:color="auto" w:fill="DDFFDD"/>
          </w:tcPr>
          <w:p w14:paraId="2958CD95" w14:textId="77777777" w:rsidR="009E1EED" w:rsidRPr="00AA3F16" w:rsidRDefault="009E1EED" w:rsidP="009E1EED">
            <w:pPr>
              <w:rPr>
                <w:rFonts w:cs="Arial"/>
                <w:lang w:val="es-ES"/>
              </w:rPr>
            </w:pPr>
            <w:r w:rsidRPr="00AA3F16">
              <w:rPr>
                <w:rFonts w:eastAsia="Arial" w:cs="Arial"/>
                <w:sz w:val="18"/>
                <w:szCs w:val="18"/>
                <w:lang w:val="es-ES"/>
              </w:rPr>
              <w:t>Tuberías y cableados eléctricos</w:t>
            </w:r>
          </w:p>
        </w:tc>
        <w:tc>
          <w:tcPr>
            <w:tcW w:w="2435" w:type="dxa"/>
            <w:tcBorders>
              <w:left w:val="single" w:sz="8" w:space="0" w:color="auto"/>
              <w:right w:val="single" w:sz="8" w:space="0" w:color="auto"/>
            </w:tcBorders>
            <w:shd w:val="clear" w:color="auto" w:fill="B8CCE4"/>
          </w:tcPr>
          <w:p w14:paraId="4ED3A339" w14:textId="77777777" w:rsidR="009E1EED" w:rsidRPr="00AA3F16" w:rsidRDefault="009E1EED" w:rsidP="009E1EED">
            <w:pPr>
              <w:rPr>
                <w:rFonts w:cs="Arial"/>
                <w:lang w:val="es-ES"/>
              </w:rPr>
            </w:pPr>
            <w:r w:rsidRPr="00AA3F16">
              <w:rPr>
                <w:rFonts w:eastAsia="Arial" w:cs="Arial"/>
                <w:sz w:val="18"/>
                <w:szCs w:val="18"/>
                <w:lang w:val="es-ES"/>
              </w:rPr>
              <w:t>Deportes acuáticos de ocio (se incluyen la navegación en embarcaciones y las inferencias que provocan las actividades de buceo)</w:t>
            </w:r>
          </w:p>
        </w:tc>
        <w:tc>
          <w:tcPr>
            <w:tcW w:w="2521" w:type="dxa"/>
            <w:vMerge/>
            <w:tcBorders>
              <w:left w:val="single" w:sz="8" w:space="0" w:color="auto"/>
              <w:right w:val="single" w:sz="8" w:space="0" w:color="auto"/>
            </w:tcBorders>
            <w:shd w:val="clear" w:color="auto" w:fill="FFFFA7"/>
          </w:tcPr>
          <w:p w14:paraId="2829903C" w14:textId="77777777" w:rsidR="009E1EED" w:rsidRPr="00AA3F16" w:rsidRDefault="009E1EED" w:rsidP="009E1EED">
            <w:pPr>
              <w:rPr>
                <w:rFonts w:cs="Arial"/>
                <w:lang w:val="es-ES"/>
              </w:rPr>
            </w:pPr>
          </w:p>
        </w:tc>
        <w:tc>
          <w:tcPr>
            <w:tcW w:w="2421" w:type="dxa"/>
            <w:vMerge/>
            <w:tcBorders>
              <w:left w:val="single" w:sz="8" w:space="0" w:color="auto"/>
              <w:right w:val="single" w:sz="8" w:space="0" w:color="auto"/>
            </w:tcBorders>
            <w:shd w:val="clear" w:color="auto" w:fill="E5B8B7"/>
          </w:tcPr>
          <w:p w14:paraId="5D8F0F0F" w14:textId="77777777" w:rsidR="009E1EED" w:rsidRPr="00AA3F16" w:rsidRDefault="009E1EED" w:rsidP="009E1EED">
            <w:pPr>
              <w:rPr>
                <w:rFonts w:cs="Arial"/>
                <w:lang w:val="es-ES"/>
              </w:rPr>
            </w:pPr>
          </w:p>
        </w:tc>
        <w:tc>
          <w:tcPr>
            <w:tcW w:w="2426" w:type="dxa"/>
            <w:vMerge/>
            <w:tcBorders>
              <w:left w:val="single" w:sz="8" w:space="0" w:color="auto"/>
              <w:right w:val="single" w:sz="8" w:space="0" w:color="auto"/>
            </w:tcBorders>
            <w:shd w:val="clear" w:color="auto" w:fill="E5B8B7"/>
          </w:tcPr>
          <w:p w14:paraId="5441944E" w14:textId="77777777" w:rsidR="009E1EED" w:rsidRPr="00AA3F16" w:rsidRDefault="009E1EED" w:rsidP="009E1EED">
            <w:pPr>
              <w:rPr>
                <w:rFonts w:cs="Arial"/>
                <w:lang w:val="es-ES"/>
              </w:rPr>
            </w:pPr>
          </w:p>
        </w:tc>
      </w:tr>
      <w:tr w:rsidR="009E1EED" w:rsidRPr="00AA3F16" w14:paraId="72FB1B8C" w14:textId="77777777" w:rsidTr="009E1EED">
        <w:trPr>
          <w:cantSplit/>
          <w:trHeight w:val="290"/>
        </w:trPr>
        <w:tc>
          <w:tcPr>
            <w:tcW w:w="530" w:type="dxa"/>
            <w:vMerge/>
            <w:tcBorders>
              <w:right w:val="single" w:sz="8" w:space="0" w:color="auto"/>
            </w:tcBorders>
            <w:textDirection w:val="btLr"/>
            <w:vAlign w:val="center"/>
          </w:tcPr>
          <w:p w14:paraId="16829747" w14:textId="77777777" w:rsidR="009E1EED" w:rsidRPr="00AA3F16" w:rsidRDefault="009E1EED" w:rsidP="009E1EED">
            <w:pPr>
              <w:ind w:left="113" w:right="113"/>
              <w:jc w:val="center"/>
              <w:rPr>
                <w:rFonts w:cs="Arial"/>
                <w:b/>
                <w:bCs/>
                <w:lang w:val="es-ES"/>
              </w:rPr>
            </w:pPr>
          </w:p>
        </w:tc>
        <w:tc>
          <w:tcPr>
            <w:tcW w:w="1026" w:type="dxa"/>
            <w:vMerge/>
            <w:tcBorders>
              <w:left w:val="single" w:sz="8" w:space="0" w:color="auto"/>
              <w:right w:val="single" w:sz="8" w:space="0" w:color="auto"/>
            </w:tcBorders>
          </w:tcPr>
          <w:p w14:paraId="2AF24EBE"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p>
        </w:tc>
        <w:tc>
          <w:tcPr>
            <w:tcW w:w="2501" w:type="dxa"/>
            <w:tcBorders>
              <w:left w:val="single" w:sz="8" w:space="0" w:color="auto"/>
              <w:right w:val="single" w:sz="8" w:space="0" w:color="auto"/>
            </w:tcBorders>
            <w:shd w:val="clear" w:color="auto" w:fill="DDFFDD"/>
          </w:tcPr>
          <w:p w14:paraId="2CC3A199" w14:textId="77777777" w:rsidR="009E1EED" w:rsidRPr="00AA3F16" w:rsidRDefault="009E1EED" w:rsidP="009E1EED">
            <w:pPr>
              <w:rPr>
                <w:rFonts w:cs="Arial"/>
                <w:lang w:val="es-ES"/>
              </w:rPr>
            </w:pPr>
            <w:r w:rsidRPr="00AA3F16">
              <w:rPr>
                <w:rFonts w:eastAsia="Arial" w:cs="Arial"/>
                <w:sz w:val="18"/>
                <w:szCs w:val="18"/>
                <w:lang w:val="es-ES"/>
              </w:rPr>
              <w:t>Daños de las anclas en los hábitats</w:t>
            </w:r>
          </w:p>
        </w:tc>
        <w:tc>
          <w:tcPr>
            <w:tcW w:w="2435" w:type="dxa"/>
            <w:tcBorders>
              <w:left w:val="single" w:sz="8" w:space="0" w:color="auto"/>
              <w:right w:val="single" w:sz="8" w:space="0" w:color="auto"/>
            </w:tcBorders>
            <w:shd w:val="clear" w:color="auto" w:fill="B8CCE4"/>
          </w:tcPr>
          <w:p w14:paraId="681B2480" w14:textId="77777777" w:rsidR="009E1EED" w:rsidRPr="00AA3F16" w:rsidRDefault="009E1EED" w:rsidP="009E1EED">
            <w:pPr>
              <w:rPr>
                <w:rFonts w:cs="Arial"/>
                <w:lang w:val="es-ES"/>
              </w:rPr>
            </w:pPr>
          </w:p>
        </w:tc>
        <w:tc>
          <w:tcPr>
            <w:tcW w:w="2521" w:type="dxa"/>
            <w:vMerge w:val="restart"/>
            <w:tcBorders>
              <w:left w:val="single" w:sz="8" w:space="0" w:color="auto"/>
              <w:right w:val="single" w:sz="8" w:space="0" w:color="auto"/>
            </w:tcBorders>
            <w:shd w:val="clear" w:color="auto" w:fill="FFFFA7"/>
          </w:tcPr>
          <w:p w14:paraId="74542BFF" w14:textId="77777777" w:rsidR="009E1EED" w:rsidRPr="00AA3F16" w:rsidRDefault="009E1EED" w:rsidP="009E1EED">
            <w:pPr>
              <w:rPr>
                <w:rFonts w:cs="Arial"/>
                <w:lang w:val="es-ES"/>
              </w:rPr>
            </w:pPr>
            <w:r w:rsidRPr="00AA3F16">
              <w:rPr>
                <w:rFonts w:eastAsia="Arial" w:cs="Arial"/>
                <w:sz w:val="18"/>
                <w:szCs w:val="18"/>
                <w:lang w:val="es-ES"/>
              </w:rPr>
              <w:t>Cambios en la temperatura del agua</w:t>
            </w:r>
          </w:p>
        </w:tc>
        <w:tc>
          <w:tcPr>
            <w:tcW w:w="2421" w:type="dxa"/>
            <w:vMerge w:val="restart"/>
            <w:tcBorders>
              <w:left w:val="single" w:sz="8" w:space="0" w:color="auto"/>
              <w:right w:val="single" w:sz="8" w:space="0" w:color="auto"/>
            </w:tcBorders>
            <w:shd w:val="clear" w:color="auto" w:fill="E5B8B7"/>
          </w:tcPr>
          <w:p w14:paraId="5C28CC3F" w14:textId="77777777" w:rsidR="009E1EED" w:rsidRPr="00AA3F16" w:rsidRDefault="009E1EED" w:rsidP="009E1EED">
            <w:pPr>
              <w:rPr>
                <w:rFonts w:cs="Arial"/>
                <w:lang w:val="es-ES"/>
              </w:rPr>
            </w:pPr>
            <w:r w:rsidRPr="00AA3F16">
              <w:rPr>
                <w:rFonts w:eastAsia="Arial" w:cs="Arial"/>
                <w:color w:val="000000"/>
                <w:sz w:val="18"/>
                <w:szCs w:val="18"/>
                <w:lang w:val="es-ES"/>
              </w:rPr>
              <w:t>Degradación de hábitats importantes</w:t>
            </w:r>
          </w:p>
        </w:tc>
        <w:tc>
          <w:tcPr>
            <w:tcW w:w="2426" w:type="dxa"/>
            <w:vMerge/>
            <w:tcBorders>
              <w:left w:val="single" w:sz="8" w:space="0" w:color="auto"/>
              <w:right w:val="single" w:sz="8" w:space="0" w:color="auto"/>
            </w:tcBorders>
            <w:shd w:val="clear" w:color="auto" w:fill="E5B8B7"/>
          </w:tcPr>
          <w:p w14:paraId="24307B68" w14:textId="77777777" w:rsidR="009E1EED" w:rsidRPr="00AA3F16" w:rsidRDefault="009E1EED" w:rsidP="009E1EED">
            <w:pPr>
              <w:rPr>
                <w:rFonts w:cs="Arial"/>
                <w:lang w:val="es-ES"/>
              </w:rPr>
            </w:pPr>
          </w:p>
        </w:tc>
      </w:tr>
      <w:tr w:rsidR="009E1EED" w:rsidRPr="009E0427" w14:paraId="0BDCDAF6" w14:textId="77777777" w:rsidTr="009E1EED">
        <w:trPr>
          <w:cantSplit/>
          <w:trHeight w:val="290"/>
        </w:trPr>
        <w:tc>
          <w:tcPr>
            <w:tcW w:w="530" w:type="dxa"/>
            <w:vMerge/>
            <w:tcBorders>
              <w:right w:val="single" w:sz="8" w:space="0" w:color="auto"/>
            </w:tcBorders>
            <w:textDirection w:val="btLr"/>
            <w:vAlign w:val="center"/>
          </w:tcPr>
          <w:p w14:paraId="265CB0BD" w14:textId="77777777" w:rsidR="009E1EED" w:rsidRPr="00AA3F16" w:rsidRDefault="009E1EED" w:rsidP="009E1EED">
            <w:pPr>
              <w:ind w:left="113" w:right="113"/>
              <w:jc w:val="center"/>
              <w:rPr>
                <w:rFonts w:cs="Arial"/>
                <w:b/>
                <w:bCs/>
                <w:lang w:val="es-ES"/>
              </w:rPr>
            </w:pPr>
          </w:p>
        </w:tc>
        <w:tc>
          <w:tcPr>
            <w:tcW w:w="1026" w:type="dxa"/>
            <w:vMerge/>
            <w:tcBorders>
              <w:left w:val="single" w:sz="8" w:space="0" w:color="auto"/>
              <w:bottom w:val="single" w:sz="8" w:space="0" w:color="auto"/>
              <w:right w:val="single" w:sz="8" w:space="0" w:color="auto"/>
            </w:tcBorders>
          </w:tcPr>
          <w:p w14:paraId="4CF50545" w14:textId="77777777" w:rsidR="009E1EED" w:rsidRPr="00AA3F16" w:rsidRDefault="009E1EED" w:rsidP="009E1EED">
            <w:pPr>
              <w:pBdr>
                <w:top w:val="nil"/>
                <w:left w:val="nil"/>
                <w:bottom w:val="nil"/>
                <w:right w:val="nil"/>
                <w:between w:val="nil"/>
              </w:pBdr>
              <w:spacing w:line="276" w:lineRule="auto"/>
              <w:rPr>
                <w:rFonts w:eastAsia="Arial" w:cs="Arial"/>
                <w:b/>
                <w:color w:val="000000"/>
                <w:sz w:val="18"/>
                <w:szCs w:val="18"/>
                <w:lang w:val="es-ES"/>
              </w:rPr>
            </w:pPr>
          </w:p>
        </w:tc>
        <w:tc>
          <w:tcPr>
            <w:tcW w:w="2501" w:type="dxa"/>
            <w:tcBorders>
              <w:left w:val="single" w:sz="8" w:space="0" w:color="auto"/>
              <w:bottom w:val="single" w:sz="8" w:space="0" w:color="auto"/>
              <w:right w:val="single" w:sz="8" w:space="0" w:color="auto"/>
            </w:tcBorders>
            <w:shd w:val="clear" w:color="auto" w:fill="DDFFDD"/>
          </w:tcPr>
          <w:p w14:paraId="6ED81443" w14:textId="77777777" w:rsidR="009E1EED" w:rsidRPr="00AA3F16" w:rsidRDefault="009E1EED" w:rsidP="009E1EED">
            <w:pPr>
              <w:rPr>
                <w:rFonts w:cs="Arial"/>
                <w:lang w:val="es-ES"/>
              </w:rPr>
            </w:pPr>
            <w:r w:rsidRPr="00AA3F16">
              <w:rPr>
                <w:rFonts w:eastAsia="Arial" w:cs="Arial"/>
                <w:sz w:val="18"/>
                <w:szCs w:val="18"/>
                <w:lang w:val="es-ES"/>
              </w:rPr>
              <w:t>Inferencias por la navegación de buques</w:t>
            </w:r>
          </w:p>
        </w:tc>
        <w:tc>
          <w:tcPr>
            <w:tcW w:w="2435" w:type="dxa"/>
            <w:tcBorders>
              <w:left w:val="single" w:sz="8" w:space="0" w:color="auto"/>
              <w:bottom w:val="single" w:sz="8" w:space="0" w:color="auto"/>
              <w:right w:val="single" w:sz="8" w:space="0" w:color="auto"/>
            </w:tcBorders>
            <w:shd w:val="clear" w:color="auto" w:fill="B8CCE4"/>
          </w:tcPr>
          <w:p w14:paraId="728E3344" w14:textId="77777777" w:rsidR="009E1EED" w:rsidRPr="00AA3F16" w:rsidRDefault="009E1EED" w:rsidP="009E1EED">
            <w:pPr>
              <w:rPr>
                <w:rFonts w:cs="Arial"/>
                <w:lang w:val="es-ES"/>
              </w:rPr>
            </w:pPr>
          </w:p>
        </w:tc>
        <w:tc>
          <w:tcPr>
            <w:tcW w:w="2521" w:type="dxa"/>
            <w:vMerge/>
            <w:tcBorders>
              <w:left w:val="single" w:sz="8" w:space="0" w:color="auto"/>
              <w:bottom w:val="single" w:sz="8" w:space="0" w:color="auto"/>
              <w:right w:val="single" w:sz="8" w:space="0" w:color="auto"/>
            </w:tcBorders>
            <w:shd w:val="clear" w:color="auto" w:fill="FFFFA7"/>
          </w:tcPr>
          <w:p w14:paraId="5451AB51" w14:textId="77777777" w:rsidR="009E1EED" w:rsidRPr="00AA3F16" w:rsidRDefault="009E1EED" w:rsidP="009E1EED">
            <w:pPr>
              <w:rPr>
                <w:rFonts w:cs="Arial"/>
                <w:lang w:val="es-ES"/>
              </w:rPr>
            </w:pPr>
          </w:p>
        </w:tc>
        <w:tc>
          <w:tcPr>
            <w:tcW w:w="2421" w:type="dxa"/>
            <w:vMerge/>
            <w:tcBorders>
              <w:left w:val="single" w:sz="8" w:space="0" w:color="auto"/>
              <w:bottom w:val="single" w:sz="8" w:space="0" w:color="auto"/>
              <w:right w:val="single" w:sz="8" w:space="0" w:color="auto"/>
            </w:tcBorders>
            <w:shd w:val="clear" w:color="auto" w:fill="E5B8B7"/>
          </w:tcPr>
          <w:p w14:paraId="5C2626C1" w14:textId="77777777" w:rsidR="009E1EED" w:rsidRPr="00AA3F16" w:rsidRDefault="009E1EED" w:rsidP="009E1EED">
            <w:pPr>
              <w:rPr>
                <w:rFonts w:cs="Arial"/>
                <w:lang w:val="es-ES"/>
              </w:rPr>
            </w:pPr>
          </w:p>
        </w:tc>
        <w:tc>
          <w:tcPr>
            <w:tcW w:w="2426" w:type="dxa"/>
            <w:vMerge/>
            <w:tcBorders>
              <w:left w:val="single" w:sz="8" w:space="0" w:color="auto"/>
              <w:bottom w:val="single" w:sz="8" w:space="0" w:color="auto"/>
              <w:right w:val="single" w:sz="8" w:space="0" w:color="auto"/>
            </w:tcBorders>
            <w:shd w:val="clear" w:color="auto" w:fill="E5B8B7"/>
          </w:tcPr>
          <w:p w14:paraId="3EA99C45" w14:textId="77777777" w:rsidR="009E1EED" w:rsidRPr="00AA3F16" w:rsidRDefault="009E1EED" w:rsidP="009E1EED">
            <w:pPr>
              <w:rPr>
                <w:rFonts w:cs="Arial"/>
                <w:lang w:val="es-ES"/>
              </w:rPr>
            </w:pPr>
          </w:p>
        </w:tc>
      </w:tr>
      <w:tr w:rsidR="009E1EED" w:rsidRPr="009E0427" w14:paraId="298E1BBD" w14:textId="77777777" w:rsidTr="009E1EED">
        <w:trPr>
          <w:trHeight w:val="127"/>
        </w:trPr>
        <w:tc>
          <w:tcPr>
            <w:tcW w:w="530" w:type="dxa"/>
            <w:vMerge w:val="restart"/>
            <w:tcBorders>
              <w:right w:val="single" w:sz="8" w:space="0" w:color="auto"/>
            </w:tcBorders>
          </w:tcPr>
          <w:p w14:paraId="32C8C551" w14:textId="77777777" w:rsidR="009E1EED" w:rsidRPr="00AA3F16" w:rsidRDefault="009E1EED" w:rsidP="009E1EED">
            <w:pPr>
              <w:rPr>
                <w:rFonts w:cs="Arial"/>
                <w:lang w:val="es-ES"/>
              </w:rPr>
            </w:pPr>
          </w:p>
        </w:tc>
        <w:tc>
          <w:tcPr>
            <w:tcW w:w="1026" w:type="dxa"/>
            <w:vMerge w:val="restart"/>
            <w:tcBorders>
              <w:top w:val="single" w:sz="8" w:space="0" w:color="auto"/>
              <w:left w:val="single" w:sz="8" w:space="0" w:color="auto"/>
              <w:right w:val="single" w:sz="8" w:space="0" w:color="auto"/>
            </w:tcBorders>
          </w:tcPr>
          <w:p w14:paraId="5B4685DF" w14:textId="77777777" w:rsidR="009E1EED" w:rsidRPr="00AA3F16" w:rsidRDefault="009E1EED" w:rsidP="009E1EED">
            <w:pPr>
              <w:rPr>
                <w:rFonts w:cs="Arial"/>
                <w:lang w:val="es-ES"/>
              </w:rPr>
            </w:pPr>
            <w:r w:rsidRPr="00AA3F16">
              <w:rPr>
                <w:rFonts w:eastAsia="Arial" w:cs="Arial"/>
                <w:b/>
                <w:color w:val="000000"/>
                <w:sz w:val="18"/>
                <w:szCs w:val="18"/>
                <w:lang w:val="es-ES"/>
              </w:rPr>
              <w:t>Posible</w:t>
            </w:r>
          </w:p>
        </w:tc>
        <w:tc>
          <w:tcPr>
            <w:tcW w:w="2501" w:type="dxa"/>
            <w:tcBorders>
              <w:top w:val="single" w:sz="8" w:space="0" w:color="auto"/>
              <w:left w:val="single" w:sz="8" w:space="0" w:color="auto"/>
              <w:right w:val="single" w:sz="8" w:space="0" w:color="auto"/>
            </w:tcBorders>
            <w:shd w:val="clear" w:color="auto" w:fill="DDFFDD"/>
          </w:tcPr>
          <w:p w14:paraId="3B8AA6DC" w14:textId="77777777" w:rsidR="009E1EED" w:rsidRPr="00AA3F16" w:rsidRDefault="009E1EED" w:rsidP="009E1EED">
            <w:pPr>
              <w:rPr>
                <w:rFonts w:cs="Arial"/>
                <w:lang w:val="es-ES"/>
              </w:rPr>
            </w:pPr>
            <w:r w:rsidRPr="00AA3F16">
              <w:rPr>
                <w:rFonts w:eastAsia="Arial" w:cs="Arial"/>
                <w:sz w:val="18"/>
                <w:szCs w:val="18"/>
                <w:lang w:val="es-ES"/>
              </w:rPr>
              <w:t>Patógenos</w:t>
            </w:r>
          </w:p>
        </w:tc>
        <w:tc>
          <w:tcPr>
            <w:tcW w:w="2435" w:type="dxa"/>
            <w:vMerge w:val="restart"/>
            <w:tcBorders>
              <w:top w:val="single" w:sz="8" w:space="0" w:color="auto"/>
              <w:left w:val="single" w:sz="8" w:space="0" w:color="auto"/>
              <w:right w:val="single" w:sz="8" w:space="0" w:color="auto"/>
            </w:tcBorders>
            <w:shd w:val="clear" w:color="auto" w:fill="B8CCE4"/>
          </w:tcPr>
          <w:p w14:paraId="51302082" w14:textId="77777777" w:rsidR="009E1EED" w:rsidRPr="00AA3F16" w:rsidRDefault="009E1EED" w:rsidP="009E1EED">
            <w:pPr>
              <w:rPr>
                <w:rFonts w:cs="Arial"/>
                <w:lang w:val="es-ES"/>
              </w:rPr>
            </w:pPr>
            <w:r w:rsidRPr="00AA3F16">
              <w:rPr>
                <w:rFonts w:cs="Arial"/>
                <w:sz w:val="18"/>
                <w:szCs w:val="18"/>
                <w:lang w:val="es-ES"/>
              </w:rPr>
              <w:t>Alteración de la cadena alimentaria (pesca en exceso de especies presa preferenciales)</w:t>
            </w:r>
            <w:r w:rsidRPr="00AA3F16">
              <w:rPr>
                <w:rFonts w:cs="Arial"/>
                <w:sz w:val="18"/>
                <w:szCs w:val="18"/>
                <w:vertAlign w:val="superscript"/>
                <w:lang w:val="es-ES"/>
              </w:rPr>
              <w:footnoteReference w:id="8"/>
            </w:r>
            <w:r w:rsidRPr="00AA3F16">
              <w:rPr>
                <w:rFonts w:cs="Arial"/>
                <w:sz w:val="18"/>
                <w:szCs w:val="18"/>
                <w:lang w:val="es-ES"/>
              </w:rPr>
              <w:t>.</w:t>
            </w:r>
          </w:p>
        </w:tc>
        <w:tc>
          <w:tcPr>
            <w:tcW w:w="2521" w:type="dxa"/>
            <w:tcBorders>
              <w:top w:val="single" w:sz="8" w:space="0" w:color="auto"/>
              <w:left w:val="single" w:sz="8" w:space="0" w:color="auto"/>
              <w:right w:val="single" w:sz="8" w:space="0" w:color="auto"/>
            </w:tcBorders>
            <w:shd w:val="clear" w:color="auto" w:fill="FFFFA7"/>
          </w:tcPr>
          <w:p w14:paraId="3E5C0C38" w14:textId="77777777" w:rsidR="009E1EED" w:rsidRPr="00AA3F16" w:rsidRDefault="009E1EED" w:rsidP="009E1EED">
            <w:pPr>
              <w:rPr>
                <w:rFonts w:cs="Arial"/>
                <w:lang w:val="es-ES"/>
              </w:rPr>
            </w:pPr>
            <w:r w:rsidRPr="00AA3F16">
              <w:rPr>
                <w:rFonts w:eastAsia="Arial" w:cs="Arial"/>
                <w:color w:val="000000"/>
                <w:sz w:val="18"/>
                <w:szCs w:val="18"/>
                <w:lang w:val="es-ES"/>
              </w:rPr>
              <w:t>Pesca fantasma</w:t>
            </w:r>
          </w:p>
        </w:tc>
        <w:tc>
          <w:tcPr>
            <w:tcW w:w="2421" w:type="dxa"/>
            <w:vMerge w:val="restart"/>
            <w:tcBorders>
              <w:top w:val="single" w:sz="8" w:space="0" w:color="auto"/>
              <w:left w:val="single" w:sz="8" w:space="0" w:color="auto"/>
              <w:right w:val="single" w:sz="8" w:space="0" w:color="auto"/>
            </w:tcBorders>
            <w:shd w:val="clear" w:color="auto" w:fill="E5B8B7"/>
          </w:tcPr>
          <w:p w14:paraId="6C4D96E2" w14:textId="77777777" w:rsidR="009E1EED" w:rsidRPr="00AA3F16" w:rsidRDefault="009E1EED" w:rsidP="009E1EED">
            <w:pPr>
              <w:rPr>
                <w:rFonts w:cs="Arial"/>
                <w:lang w:val="es-ES"/>
              </w:rPr>
            </w:pPr>
          </w:p>
        </w:tc>
        <w:tc>
          <w:tcPr>
            <w:tcW w:w="2426" w:type="dxa"/>
            <w:vMerge w:val="restart"/>
            <w:tcBorders>
              <w:top w:val="single" w:sz="8" w:space="0" w:color="auto"/>
              <w:left w:val="single" w:sz="8" w:space="0" w:color="auto"/>
              <w:right w:val="single" w:sz="8" w:space="0" w:color="auto"/>
            </w:tcBorders>
            <w:shd w:val="clear" w:color="auto" w:fill="E5B8B7"/>
          </w:tcPr>
          <w:p w14:paraId="77A2546F" w14:textId="77777777" w:rsidR="009E1EED" w:rsidRPr="00AA3F16" w:rsidRDefault="009E1EED" w:rsidP="009E1EED">
            <w:pPr>
              <w:rPr>
                <w:rFonts w:cs="Arial"/>
                <w:lang w:val="es-ES"/>
              </w:rPr>
            </w:pPr>
            <w:r w:rsidRPr="00AA3F16">
              <w:rPr>
                <w:rFonts w:cs="Arial"/>
                <w:sz w:val="18"/>
                <w:szCs w:val="18"/>
                <w:lang w:val="es-ES"/>
              </w:rPr>
              <w:t xml:space="preserve">Pesquerías con objetivo/ INDNR o pesca incidental retenida en caladeros costeros </w:t>
            </w:r>
            <w:r w:rsidRPr="00AA3F16">
              <w:rPr>
                <w:rFonts w:eastAsia="Arial" w:cs="Arial"/>
                <w:color w:val="000000"/>
                <w:sz w:val="18"/>
                <w:szCs w:val="18"/>
                <w:lang w:val="es-ES"/>
              </w:rPr>
              <w:t>a pequeña escala.</w:t>
            </w:r>
          </w:p>
        </w:tc>
      </w:tr>
      <w:tr w:rsidR="009E1EED" w:rsidRPr="00AA3F16" w14:paraId="55B6111A" w14:textId="77777777" w:rsidTr="009E1EED">
        <w:trPr>
          <w:trHeight w:val="126"/>
        </w:trPr>
        <w:tc>
          <w:tcPr>
            <w:tcW w:w="530" w:type="dxa"/>
            <w:vMerge/>
            <w:tcBorders>
              <w:right w:val="single" w:sz="8" w:space="0" w:color="auto"/>
            </w:tcBorders>
          </w:tcPr>
          <w:p w14:paraId="4BCAED6A" w14:textId="77777777" w:rsidR="009E1EED" w:rsidRPr="00AA3F16" w:rsidRDefault="009E1EED" w:rsidP="009E1EED">
            <w:pPr>
              <w:rPr>
                <w:rFonts w:cs="Arial"/>
                <w:lang w:val="es-ES"/>
              </w:rPr>
            </w:pPr>
          </w:p>
        </w:tc>
        <w:tc>
          <w:tcPr>
            <w:tcW w:w="1026" w:type="dxa"/>
            <w:vMerge/>
            <w:tcBorders>
              <w:left w:val="single" w:sz="8" w:space="0" w:color="auto"/>
              <w:bottom w:val="single" w:sz="8" w:space="0" w:color="auto"/>
              <w:right w:val="single" w:sz="8" w:space="0" w:color="auto"/>
            </w:tcBorders>
          </w:tcPr>
          <w:p w14:paraId="4302C77C" w14:textId="77777777" w:rsidR="009E1EED" w:rsidRPr="00AA3F16" w:rsidRDefault="009E1EED" w:rsidP="009E1EED">
            <w:pPr>
              <w:rPr>
                <w:rFonts w:eastAsia="Arial" w:cs="Arial"/>
                <w:b/>
                <w:color w:val="000000"/>
                <w:sz w:val="18"/>
                <w:szCs w:val="18"/>
                <w:lang w:val="es-ES"/>
              </w:rPr>
            </w:pPr>
          </w:p>
        </w:tc>
        <w:tc>
          <w:tcPr>
            <w:tcW w:w="2501" w:type="dxa"/>
            <w:tcBorders>
              <w:left w:val="single" w:sz="8" w:space="0" w:color="auto"/>
              <w:bottom w:val="single" w:sz="8" w:space="0" w:color="auto"/>
              <w:right w:val="single" w:sz="8" w:space="0" w:color="auto"/>
            </w:tcBorders>
            <w:shd w:val="clear" w:color="auto" w:fill="DDFFDD"/>
          </w:tcPr>
          <w:p w14:paraId="5CABC0ED" w14:textId="77777777" w:rsidR="009E1EED" w:rsidRPr="00AA3F16" w:rsidRDefault="009E1EED" w:rsidP="009E1EED">
            <w:pPr>
              <w:pBdr>
                <w:top w:val="nil"/>
                <w:left w:val="nil"/>
                <w:bottom w:val="nil"/>
                <w:right w:val="nil"/>
                <w:between w:val="nil"/>
              </w:pBdr>
              <w:spacing w:line="276" w:lineRule="auto"/>
              <w:rPr>
                <w:rFonts w:eastAsia="Arial" w:cs="Arial"/>
                <w:sz w:val="18"/>
                <w:szCs w:val="18"/>
                <w:lang w:val="es-ES"/>
              </w:rPr>
            </w:pPr>
            <w:r w:rsidRPr="00AA3F16">
              <w:rPr>
                <w:rFonts w:eastAsia="Arial" w:cs="Arial"/>
                <w:sz w:val="18"/>
                <w:szCs w:val="18"/>
                <w:lang w:val="es-ES"/>
              </w:rPr>
              <w:t>Inferencias o competencia entre especies no autóctonas</w:t>
            </w:r>
          </w:p>
        </w:tc>
        <w:tc>
          <w:tcPr>
            <w:tcW w:w="2435" w:type="dxa"/>
            <w:vMerge/>
            <w:tcBorders>
              <w:left w:val="single" w:sz="8" w:space="0" w:color="auto"/>
              <w:bottom w:val="single" w:sz="8" w:space="0" w:color="auto"/>
              <w:right w:val="single" w:sz="8" w:space="0" w:color="auto"/>
            </w:tcBorders>
            <w:shd w:val="clear" w:color="auto" w:fill="B8CCE4"/>
          </w:tcPr>
          <w:p w14:paraId="44153EFB" w14:textId="77777777" w:rsidR="009E1EED" w:rsidRPr="00AA3F16" w:rsidRDefault="009E1EED" w:rsidP="009E1EED">
            <w:pPr>
              <w:rPr>
                <w:rFonts w:cs="Arial"/>
                <w:lang w:val="es-ES"/>
              </w:rPr>
            </w:pPr>
          </w:p>
        </w:tc>
        <w:tc>
          <w:tcPr>
            <w:tcW w:w="2521" w:type="dxa"/>
            <w:tcBorders>
              <w:left w:val="single" w:sz="8" w:space="0" w:color="auto"/>
              <w:bottom w:val="single" w:sz="8" w:space="0" w:color="auto"/>
              <w:right w:val="single" w:sz="8" w:space="0" w:color="auto"/>
            </w:tcBorders>
            <w:shd w:val="clear" w:color="auto" w:fill="FFFFA7"/>
          </w:tcPr>
          <w:p w14:paraId="7E1DF8D3" w14:textId="77777777" w:rsidR="009E1EED" w:rsidRPr="00AA3F16" w:rsidRDefault="009E1EED" w:rsidP="009E1EED">
            <w:pPr>
              <w:rPr>
                <w:rFonts w:cs="Arial"/>
                <w:lang w:val="es-ES"/>
              </w:rPr>
            </w:pPr>
            <w:r w:rsidRPr="00AA3F16">
              <w:rPr>
                <w:rFonts w:eastAsia="Arial" w:cs="Arial"/>
                <w:sz w:val="18"/>
                <w:szCs w:val="18"/>
                <w:lang w:val="es-ES"/>
              </w:rPr>
              <w:t>Hipoxia</w:t>
            </w:r>
          </w:p>
        </w:tc>
        <w:tc>
          <w:tcPr>
            <w:tcW w:w="2421" w:type="dxa"/>
            <w:vMerge/>
            <w:tcBorders>
              <w:left w:val="single" w:sz="8" w:space="0" w:color="auto"/>
              <w:bottom w:val="single" w:sz="8" w:space="0" w:color="auto"/>
              <w:right w:val="single" w:sz="8" w:space="0" w:color="auto"/>
            </w:tcBorders>
            <w:shd w:val="clear" w:color="auto" w:fill="E5B8B7"/>
          </w:tcPr>
          <w:p w14:paraId="5EDFA818" w14:textId="77777777" w:rsidR="009E1EED" w:rsidRPr="00AA3F16" w:rsidRDefault="009E1EED" w:rsidP="009E1EED">
            <w:pPr>
              <w:rPr>
                <w:rFonts w:cs="Arial"/>
                <w:lang w:val="es-ES"/>
              </w:rPr>
            </w:pPr>
          </w:p>
        </w:tc>
        <w:tc>
          <w:tcPr>
            <w:tcW w:w="2426" w:type="dxa"/>
            <w:vMerge/>
            <w:tcBorders>
              <w:left w:val="single" w:sz="8" w:space="0" w:color="auto"/>
              <w:bottom w:val="single" w:sz="8" w:space="0" w:color="auto"/>
              <w:right w:val="single" w:sz="8" w:space="0" w:color="auto"/>
            </w:tcBorders>
            <w:shd w:val="clear" w:color="auto" w:fill="E5B8B7"/>
          </w:tcPr>
          <w:p w14:paraId="45407ADC" w14:textId="77777777" w:rsidR="009E1EED" w:rsidRPr="00AA3F16" w:rsidRDefault="009E1EED" w:rsidP="009E1EED">
            <w:pPr>
              <w:rPr>
                <w:rFonts w:cs="Arial"/>
                <w:lang w:val="es-ES"/>
              </w:rPr>
            </w:pPr>
          </w:p>
        </w:tc>
      </w:tr>
      <w:tr w:rsidR="009E1EED" w:rsidRPr="00AA3F16" w14:paraId="5D334666" w14:textId="77777777" w:rsidTr="009E1EED">
        <w:tc>
          <w:tcPr>
            <w:tcW w:w="530" w:type="dxa"/>
            <w:tcBorders>
              <w:right w:val="single" w:sz="8" w:space="0" w:color="auto"/>
            </w:tcBorders>
          </w:tcPr>
          <w:p w14:paraId="44BB01B7" w14:textId="77777777" w:rsidR="009E1EED" w:rsidRPr="00AA3F16" w:rsidRDefault="009E1EED" w:rsidP="009E1EED">
            <w:pPr>
              <w:rPr>
                <w:rFonts w:cs="Arial"/>
                <w:lang w:val="es-ES"/>
              </w:rPr>
            </w:pPr>
          </w:p>
        </w:tc>
        <w:tc>
          <w:tcPr>
            <w:tcW w:w="1026" w:type="dxa"/>
            <w:tcBorders>
              <w:top w:val="single" w:sz="8" w:space="0" w:color="auto"/>
              <w:left w:val="single" w:sz="8" w:space="0" w:color="auto"/>
              <w:bottom w:val="single" w:sz="8" w:space="0" w:color="auto"/>
              <w:right w:val="single" w:sz="8" w:space="0" w:color="auto"/>
            </w:tcBorders>
          </w:tcPr>
          <w:p w14:paraId="553D9934" w14:textId="77777777" w:rsidR="009E1EED" w:rsidRPr="00AA3F16" w:rsidRDefault="009E1EED" w:rsidP="009E1EED">
            <w:pPr>
              <w:rPr>
                <w:rFonts w:cs="Arial"/>
                <w:lang w:val="es-ES"/>
              </w:rPr>
            </w:pPr>
            <w:r w:rsidRPr="00AA3F16">
              <w:rPr>
                <w:rFonts w:eastAsia="Arial" w:cs="Arial"/>
                <w:b/>
                <w:color w:val="000000"/>
                <w:sz w:val="18"/>
                <w:szCs w:val="18"/>
                <w:lang w:val="es-ES"/>
              </w:rPr>
              <w:t>Improbable</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372B43EC" w14:textId="77777777" w:rsidR="009E1EED" w:rsidRPr="00AA3F16" w:rsidRDefault="009E1EED" w:rsidP="009E1EED">
            <w:pPr>
              <w:rPr>
                <w:rFonts w:cs="Arial"/>
                <w:lang w:val="es-ES"/>
              </w:rPr>
            </w:pPr>
          </w:p>
        </w:tc>
        <w:tc>
          <w:tcPr>
            <w:tcW w:w="2435" w:type="dxa"/>
            <w:tcBorders>
              <w:top w:val="single" w:sz="8" w:space="0" w:color="auto"/>
              <w:left w:val="single" w:sz="8" w:space="0" w:color="auto"/>
              <w:bottom w:val="single" w:sz="8" w:space="0" w:color="auto"/>
              <w:right w:val="single" w:sz="8" w:space="0" w:color="auto"/>
            </w:tcBorders>
            <w:shd w:val="clear" w:color="auto" w:fill="DDFFDD"/>
          </w:tcPr>
          <w:p w14:paraId="11D97B05" w14:textId="77777777" w:rsidR="009E1EED" w:rsidRPr="00AA3F16" w:rsidRDefault="009E1EED" w:rsidP="009E1EED">
            <w:pPr>
              <w:rPr>
                <w:rFonts w:cs="Arial"/>
                <w:lang w:val="es-ES"/>
              </w:rPr>
            </w:pPr>
          </w:p>
        </w:tc>
        <w:tc>
          <w:tcPr>
            <w:tcW w:w="2521" w:type="dxa"/>
            <w:tcBorders>
              <w:top w:val="single" w:sz="8" w:space="0" w:color="auto"/>
              <w:left w:val="single" w:sz="8" w:space="0" w:color="auto"/>
              <w:bottom w:val="single" w:sz="8" w:space="0" w:color="auto"/>
              <w:right w:val="single" w:sz="8" w:space="0" w:color="auto"/>
            </w:tcBorders>
            <w:shd w:val="clear" w:color="auto" w:fill="B8CCE4"/>
          </w:tcPr>
          <w:p w14:paraId="5F5130D4" w14:textId="77777777" w:rsidR="009E1EED" w:rsidRPr="00AA3F16" w:rsidRDefault="009E1EED" w:rsidP="009E1EED">
            <w:pPr>
              <w:rPr>
                <w:rFonts w:cs="Arial"/>
                <w:lang w:val="es-ES"/>
              </w:rPr>
            </w:pPr>
          </w:p>
        </w:tc>
        <w:tc>
          <w:tcPr>
            <w:tcW w:w="2421" w:type="dxa"/>
            <w:tcBorders>
              <w:top w:val="single" w:sz="8" w:space="0" w:color="auto"/>
              <w:left w:val="single" w:sz="8" w:space="0" w:color="auto"/>
              <w:bottom w:val="single" w:sz="8" w:space="0" w:color="auto"/>
              <w:right w:val="single" w:sz="8" w:space="0" w:color="auto"/>
            </w:tcBorders>
            <w:shd w:val="clear" w:color="auto" w:fill="FFFFA7"/>
          </w:tcPr>
          <w:p w14:paraId="48CB0FD4" w14:textId="77777777" w:rsidR="009E1EED" w:rsidRPr="00AA3F16" w:rsidRDefault="009E1EED" w:rsidP="009E1EED">
            <w:pPr>
              <w:rPr>
                <w:rFonts w:cs="Arial"/>
                <w:lang w:val="es-ES"/>
              </w:rPr>
            </w:pP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312B178D" w14:textId="77777777" w:rsidR="009E1EED" w:rsidRPr="00AA3F16" w:rsidRDefault="009E1EED" w:rsidP="009E1EED">
            <w:pPr>
              <w:rPr>
                <w:rFonts w:cs="Arial"/>
                <w:lang w:val="es-ES"/>
              </w:rPr>
            </w:pPr>
          </w:p>
        </w:tc>
      </w:tr>
      <w:tr w:rsidR="009E1EED" w:rsidRPr="00AA3F16" w14:paraId="53A9C8D1" w14:textId="77777777" w:rsidTr="009E1EED">
        <w:tc>
          <w:tcPr>
            <w:tcW w:w="530" w:type="dxa"/>
            <w:tcBorders>
              <w:right w:val="single" w:sz="8" w:space="0" w:color="auto"/>
            </w:tcBorders>
          </w:tcPr>
          <w:p w14:paraId="1320B084" w14:textId="77777777" w:rsidR="009E1EED" w:rsidRPr="00AA3F16" w:rsidRDefault="009E1EED" w:rsidP="009E1EED">
            <w:pPr>
              <w:rPr>
                <w:rFonts w:cs="Arial"/>
                <w:lang w:val="es-ES"/>
              </w:rPr>
            </w:pPr>
          </w:p>
        </w:tc>
        <w:tc>
          <w:tcPr>
            <w:tcW w:w="1026" w:type="dxa"/>
            <w:tcBorders>
              <w:top w:val="single" w:sz="8" w:space="0" w:color="auto"/>
              <w:left w:val="single" w:sz="8" w:space="0" w:color="auto"/>
              <w:bottom w:val="single" w:sz="8" w:space="0" w:color="auto"/>
              <w:right w:val="single" w:sz="8" w:space="0" w:color="auto"/>
            </w:tcBorders>
          </w:tcPr>
          <w:p w14:paraId="68207C49" w14:textId="77777777" w:rsidR="009E1EED" w:rsidRPr="00AA3F16" w:rsidRDefault="009E1EED" w:rsidP="009E1EED">
            <w:pPr>
              <w:rPr>
                <w:rFonts w:eastAsia="Arial" w:cs="Arial"/>
                <w:b/>
                <w:color w:val="000000"/>
                <w:sz w:val="18"/>
                <w:szCs w:val="18"/>
                <w:lang w:val="es-ES"/>
              </w:rPr>
            </w:pPr>
            <w:r w:rsidRPr="00AA3F16">
              <w:rPr>
                <w:rFonts w:eastAsia="Arial" w:cs="Arial"/>
                <w:b/>
                <w:color w:val="000000"/>
                <w:sz w:val="18"/>
                <w:szCs w:val="18"/>
                <w:lang w:val="es-ES"/>
              </w:rPr>
              <w:t>Poco probable/ Desconocida</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414CEF89" w14:textId="77777777" w:rsidR="009E1EED" w:rsidRPr="00AA3F16" w:rsidRDefault="009E1EED" w:rsidP="009E1EED">
            <w:pPr>
              <w:rPr>
                <w:rFonts w:cs="Arial"/>
                <w:lang w:val="es-ES"/>
              </w:rPr>
            </w:pPr>
          </w:p>
        </w:tc>
        <w:tc>
          <w:tcPr>
            <w:tcW w:w="2435" w:type="dxa"/>
            <w:tcBorders>
              <w:top w:val="single" w:sz="8" w:space="0" w:color="auto"/>
              <w:left w:val="single" w:sz="8" w:space="0" w:color="auto"/>
              <w:bottom w:val="single" w:sz="8" w:space="0" w:color="auto"/>
              <w:right w:val="single" w:sz="8" w:space="0" w:color="auto"/>
            </w:tcBorders>
            <w:shd w:val="clear" w:color="auto" w:fill="DDFFDD"/>
          </w:tcPr>
          <w:p w14:paraId="3F8E2DA4" w14:textId="77777777" w:rsidR="009E1EED" w:rsidRPr="00AA3F16" w:rsidRDefault="009E1EED" w:rsidP="009E1EED">
            <w:pPr>
              <w:rPr>
                <w:rFonts w:cs="Arial"/>
                <w:lang w:val="es-ES"/>
              </w:rPr>
            </w:pPr>
          </w:p>
        </w:tc>
        <w:tc>
          <w:tcPr>
            <w:tcW w:w="2521" w:type="dxa"/>
            <w:tcBorders>
              <w:top w:val="single" w:sz="8" w:space="0" w:color="auto"/>
              <w:left w:val="single" w:sz="8" w:space="0" w:color="auto"/>
              <w:bottom w:val="single" w:sz="8" w:space="0" w:color="auto"/>
              <w:right w:val="single" w:sz="8" w:space="0" w:color="auto"/>
            </w:tcBorders>
            <w:shd w:val="clear" w:color="auto" w:fill="B8CCE4"/>
          </w:tcPr>
          <w:p w14:paraId="4C79C25F" w14:textId="77777777" w:rsidR="009E1EED" w:rsidRPr="00AA3F16" w:rsidRDefault="009E1EED" w:rsidP="009E1EED">
            <w:pPr>
              <w:rPr>
                <w:rFonts w:cs="Arial"/>
                <w:lang w:val="es-ES"/>
              </w:rPr>
            </w:pPr>
            <w:r w:rsidRPr="00AA3F16">
              <w:rPr>
                <w:rFonts w:eastAsia="Arial" w:cs="Arial"/>
                <w:sz w:val="18"/>
                <w:szCs w:val="18"/>
                <w:lang w:val="es-ES"/>
              </w:rPr>
              <w:t>Vertidos de crudo</w:t>
            </w:r>
          </w:p>
        </w:tc>
        <w:tc>
          <w:tcPr>
            <w:tcW w:w="2421" w:type="dxa"/>
            <w:tcBorders>
              <w:top w:val="single" w:sz="8" w:space="0" w:color="auto"/>
              <w:left w:val="single" w:sz="8" w:space="0" w:color="auto"/>
              <w:bottom w:val="single" w:sz="8" w:space="0" w:color="auto"/>
              <w:right w:val="single" w:sz="8" w:space="0" w:color="auto"/>
            </w:tcBorders>
            <w:shd w:val="clear" w:color="auto" w:fill="FFFFA7"/>
          </w:tcPr>
          <w:p w14:paraId="76228F86" w14:textId="77777777" w:rsidR="009E1EED" w:rsidRPr="00AA3F16" w:rsidRDefault="009E1EED" w:rsidP="009E1EED">
            <w:pPr>
              <w:rPr>
                <w:rFonts w:cs="Arial"/>
                <w:lang w:val="es-ES"/>
              </w:rPr>
            </w:pP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26E8FFCB" w14:textId="77777777" w:rsidR="009E1EED" w:rsidRPr="00AA3F16" w:rsidRDefault="009E1EED" w:rsidP="009E1EED">
            <w:pPr>
              <w:rPr>
                <w:rFonts w:cs="Arial"/>
                <w:lang w:val="es-ES"/>
              </w:rPr>
            </w:pPr>
          </w:p>
        </w:tc>
      </w:tr>
    </w:tbl>
    <w:p w14:paraId="7B71208E" w14:textId="77777777" w:rsidR="009E1EED" w:rsidRPr="00AA3F16" w:rsidRDefault="009E1EED" w:rsidP="002A4E27">
      <w:pPr>
        <w:keepNext/>
        <w:keepLines/>
        <w:numPr>
          <w:ilvl w:val="0"/>
          <w:numId w:val="19"/>
        </w:numPr>
        <w:spacing w:after="120" w:line="276" w:lineRule="auto"/>
        <w:ind w:left="540" w:hanging="540"/>
        <w:outlineLvl w:val="0"/>
        <w:rPr>
          <w:rFonts w:eastAsia="Times New Roman" w:cs="Arial"/>
          <w:b/>
          <w:lang w:val="es-ES" w:eastAsia="en-GB"/>
        </w:rPr>
      </w:pPr>
      <w:bookmarkStart w:id="30" w:name="_Toc108701932"/>
      <w:bookmarkStart w:id="31" w:name="_Toc118277540"/>
      <w:r w:rsidRPr="00AA3F16">
        <w:rPr>
          <w:rFonts w:eastAsia="Times New Roman" w:cs="Arial"/>
          <w:b/>
          <w:lang w:val="es-ES" w:eastAsia="es-ES"/>
        </w:rPr>
        <w:t>POLÍTICAS Y LEGISLACIÓN RELEVANTES PARA LA GESTIÓN</w:t>
      </w:r>
      <w:bookmarkEnd w:id="30"/>
      <w:bookmarkEnd w:id="31"/>
    </w:p>
    <w:p w14:paraId="3DFAD6B4" w14:textId="77777777" w:rsidR="009E1EED" w:rsidRPr="00AA3F16" w:rsidRDefault="009E1EED" w:rsidP="002A4E27">
      <w:pPr>
        <w:keepNext/>
        <w:keepLines/>
        <w:tabs>
          <w:tab w:val="left" w:pos="540"/>
          <w:tab w:val="left" w:pos="1440"/>
          <w:tab w:val="left" w:pos="2160"/>
          <w:tab w:val="left" w:pos="2880"/>
          <w:tab w:val="left" w:pos="3600"/>
          <w:tab w:val="left" w:pos="4320"/>
          <w:tab w:val="left" w:pos="5040"/>
          <w:tab w:val="right" w:pos="9070"/>
        </w:tabs>
        <w:spacing w:after="80" w:line="276" w:lineRule="auto"/>
        <w:ind w:left="540" w:hanging="540"/>
        <w:outlineLvl w:val="1"/>
        <w:rPr>
          <w:rFonts w:eastAsia="Times New Roman" w:cs="Arial"/>
          <w:b/>
          <w:i/>
          <w:lang w:val="es-ES" w:eastAsia="en-GB"/>
        </w:rPr>
      </w:pPr>
      <w:bookmarkStart w:id="32" w:name="_Toc108701933"/>
      <w:bookmarkStart w:id="33" w:name="_Toc118277541"/>
      <w:r w:rsidRPr="00AA3F16">
        <w:rPr>
          <w:rFonts w:eastAsia="Times New Roman" w:cs="Arial"/>
          <w:b/>
          <w:iCs/>
          <w:lang w:val="es-ES" w:eastAsia="es-ES"/>
        </w:rPr>
        <w:t xml:space="preserve">3.1. </w:t>
      </w:r>
      <w:r w:rsidRPr="00AA3F16">
        <w:rPr>
          <w:rFonts w:eastAsia="Times New Roman" w:cs="Arial"/>
          <w:b/>
          <w:i/>
          <w:lang w:val="es-ES" w:eastAsia="es-ES"/>
        </w:rPr>
        <w:tab/>
      </w:r>
      <w:r w:rsidRPr="00AA3F16">
        <w:rPr>
          <w:rFonts w:eastAsia="Times New Roman" w:cs="Arial"/>
          <w:b/>
          <w:iCs/>
          <w:lang w:val="es-ES" w:eastAsia="es-ES"/>
        </w:rPr>
        <w:t>Conservación y estado legal</w:t>
      </w:r>
      <w:bookmarkEnd w:id="32"/>
      <w:bookmarkEnd w:id="33"/>
      <w:r w:rsidRPr="00AA3F16">
        <w:rPr>
          <w:rFonts w:eastAsia="Times New Roman" w:cs="Arial"/>
          <w:b/>
          <w:iCs/>
          <w:lang w:val="es-ES" w:eastAsia="es-ES"/>
        </w:rPr>
        <w:tab/>
      </w:r>
    </w:p>
    <w:p w14:paraId="67F73D46" w14:textId="77777777" w:rsidR="009E1EED" w:rsidRPr="00AA3F16" w:rsidRDefault="009E1EED" w:rsidP="009E1EED">
      <w:pPr>
        <w:widowControl w:val="0"/>
        <w:pBdr>
          <w:top w:val="nil"/>
          <w:left w:val="nil"/>
          <w:bottom w:val="nil"/>
          <w:right w:val="nil"/>
          <w:between w:val="nil"/>
        </w:pBdr>
        <w:spacing w:line="276" w:lineRule="auto"/>
        <w:ind w:right="283"/>
        <w:jc w:val="both"/>
        <w:rPr>
          <w:rFonts w:eastAsia="Arial" w:cs="Arial"/>
          <w:lang w:val="es-ES" w:eastAsia="en-GB"/>
        </w:rPr>
      </w:pPr>
      <w:r w:rsidRPr="00AA3F16">
        <w:rPr>
          <w:rFonts w:eastAsia="Arial" w:cs="Arial"/>
          <w:b/>
          <w:bCs/>
          <w:lang w:val="es-ES" w:eastAsia="es-ES"/>
        </w:rPr>
        <w:t>Tabla 3:</w:t>
      </w:r>
      <w:r w:rsidRPr="00AA3F16">
        <w:rPr>
          <w:rFonts w:eastAsia="Arial" w:cs="Arial"/>
          <w:lang w:val="es-ES" w:eastAsia="es-ES"/>
        </w:rPr>
        <w:t xml:space="preserve"> Detalles de instrumentos de conservación internacional que enumeran al Angelote, </w:t>
      </w:r>
      <w:proofErr w:type="spellStart"/>
      <w:r w:rsidRPr="00AA3F16">
        <w:rPr>
          <w:rFonts w:eastAsia="Arial" w:cs="Arial"/>
          <w:i/>
          <w:iCs/>
          <w:lang w:val="es-ES" w:eastAsia="es-ES"/>
        </w:rPr>
        <w:t>Squatina</w:t>
      </w:r>
      <w:proofErr w:type="spellEnd"/>
      <w:r w:rsidRPr="00AA3F16">
        <w:rPr>
          <w:rFonts w:eastAsia="Arial" w:cs="Arial"/>
          <w:i/>
          <w:iCs/>
          <w:lang w:val="es-ES" w:eastAsia="es-ES"/>
        </w:rPr>
        <w:t xml:space="preserve"> </w:t>
      </w:r>
      <w:proofErr w:type="spellStart"/>
      <w:r w:rsidRPr="00AA3F16">
        <w:rPr>
          <w:rFonts w:eastAsia="Arial" w:cs="Arial"/>
          <w:i/>
          <w:iCs/>
          <w:lang w:val="es-ES" w:eastAsia="es-ES"/>
        </w:rPr>
        <w:t>squatina</w:t>
      </w:r>
      <w:proofErr w:type="spellEnd"/>
      <w:r w:rsidRPr="00AA3F16">
        <w:rPr>
          <w:rFonts w:eastAsia="Arial" w:cs="Arial"/>
          <w:lang w:val="es-ES" w:eastAsia="es-ES"/>
        </w:rPr>
        <w:t>. Los números en paréntesis indican el año en que se evaluó a una especie o se la enumeró en un acuerdo.</w:t>
      </w:r>
    </w:p>
    <w:p w14:paraId="12F68E35" w14:textId="77777777" w:rsidR="009E1EED" w:rsidRPr="00AA3F16" w:rsidRDefault="009E1EED" w:rsidP="009E1EED">
      <w:pPr>
        <w:widowControl w:val="0"/>
        <w:pBdr>
          <w:top w:val="nil"/>
          <w:left w:val="nil"/>
          <w:bottom w:val="nil"/>
          <w:right w:val="nil"/>
          <w:between w:val="nil"/>
        </w:pBdr>
        <w:ind w:right="283"/>
        <w:rPr>
          <w:rFonts w:eastAsia="Arial" w:cs="Arial"/>
          <w:lang w:val="es-ES"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400" w:firstRow="0" w:lastRow="0" w:firstColumn="0" w:lastColumn="0" w:noHBand="0" w:noVBand="1"/>
      </w:tblPr>
      <w:tblGrid>
        <w:gridCol w:w="2820"/>
        <w:gridCol w:w="11030"/>
      </w:tblGrid>
      <w:tr w:rsidR="009E1EED" w:rsidRPr="009E0427" w14:paraId="2384EAAA" w14:textId="77777777" w:rsidTr="009E0427">
        <w:trPr>
          <w:tblHeader/>
        </w:trPr>
        <w:tc>
          <w:tcPr>
            <w:tcW w:w="1018" w:type="pct"/>
            <w:shd w:val="clear" w:color="auto" w:fill="D9D9D9"/>
          </w:tcPr>
          <w:p w14:paraId="17BA50B0" w14:textId="77777777" w:rsidR="009E1EED" w:rsidRPr="00AA3F16" w:rsidRDefault="009E1EED" w:rsidP="009E1EED">
            <w:pPr>
              <w:widowControl w:val="0"/>
              <w:ind w:right="283"/>
              <w:rPr>
                <w:rFonts w:eastAsia="Arial" w:cs="Arial"/>
                <w:b/>
                <w:color w:val="000000"/>
                <w:sz w:val="21"/>
                <w:szCs w:val="21"/>
                <w:lang w:val="es-ES" w:eastAsia="en-GB"/>
              </w:rPr>
            </w:pPr>
            <w:r w:rsidRPr="00AA3F16">
              <w:rPr>
                <w:rFonts w:eastAsia="Arial" w:cs="Arial"/>
                <w:b/>
                <w:color w:val="000000"/>
                <w:sz w:val="21"/>
                <w:szCs w:val="21"/>
                <w:lang w:val="es-ES" w:eastAsia="es-ES"/>
              </w:rPr>
              <w:t xml:space="preserve">Instrumentos no legales y legales internacionales </w:t>
            </w:r>
          </w:p>
        </w:tc>
        <w:tc>
          <w:tcPr>
            <w:tcW w:w="3982" w:type="pct"/>
            <w:shd w:val="clear" w:color="auto" w:fill="D9D9D9"/>
          </w:tcPr>
          <w:p w14:paraId="61B623B6" w14:textId="77777777" w:rsidR="009E1EED" w:rsidRPr="00AA3F16" w:rsidRDefault="009E1EED" w:rsidP="009E1EED">
            <w:pPr>
              <w:widowControl w:val="0"/>
              <w:ind w:right="283"/>
              <w:rPr>
                <w:rFonts w:eastAsia="Arial" w:cs="Arial"/>
                <w:b/>
                <w:color w:val="000000"/>
                <w:sz w:val="21"/>
                <w:szCs w:val="21"/>
                <w:lang w:val="es-ES" w:eastAsia="en-GB"/>
              </w:rPr>
            </w:pPr>
            <w:r w:rsidRPr="00AA3F16">
              <w:rPr>
                <w:rFonts w:eastAsia="Arial" w:cs="Arial"/>
                <w:b/>
                <w:color w:val="000000"/>
                <w:sz w:val="21"/>
                <w:szCs w:val="21"/>
                <w:lang w:val="es-ES" w:eastAsia="es-ES"/>
              </w:rPr>
              <w:t xml:space="preserve">Angelote enumerado según evaluación medida de protección </w:t>
            </w:r>
          </w:p>
        </w:tc>
      </w:tr>
      <w:tr w:rsidR="009E1EED" w:rsidRPr="009E0427" w14:paraId="7EA8DED4" w14:textId="77777777" w:rsidTr="00BC49CE">
        <w:tc>
          <w:tcPr>
            <w:tcW w:w="1018" w:type="pct"/>
          </w:tcPr>
          <w:p w14:paraId="3D2B44AA" w14:textId="77777777" w:rsidR="009E1EED" w:rsidRPr="00AA3F16" w:rsidRDefault="009E1EED" w:rsidP="00BC49CE">
            <w:pPr>
              <w:widowControl w:val="0"/>
              <w:ind w:right="283"/>
              <w:rPr>
                <w:rFonts w:eastAsia="Arial" w:cs="Arial"/>
                <w:sz w:val="21"/>
                <w:szCs w:val="21"/>
                <w:lang w:val="es-ES" w:eastAsia="en-GB"/>
              </w:rPr>
            </w:pPr>
            <w:r w:rsidRPr="00AA3F16">
              <w:rPr>
                <w:rFonts w:eastAsia="Arial" w:cs="Arial"/>
                <w:sz w:val="21"/>
                <w:szCs w:val="21"/>
                <w:lang w:val="es-ES" w:eastAsia="es-ES"/>
              </w:rPr>
              <w:t>Unión Internacional para la Conservación de la Naturaleza y de los Recursos Naturales (UICN)</w:t>
            </w:r>
          </w:p>
          <w:p w14:paraId="3FF5FD7B" w14:textId="77777777" w:rsidR="009E1EED" w:rsidRPr="00AA3F16" w:rsidRDefault="009E1EED" w:rsidP="00BC49CE">
            <w:pPr>
              <w:widowControl w:val="0"/>
              <w:ind w:right="283"/>
              <w:rPr>
                <w:rFonts w:eastAsia="Arial" w:cs="Arial"/>
                <w:sz w:val="21"/>
                <w:szCs w:val="21"/>
                <w:lang w:val="es-ES" w:eastAsia="en-GB"/>
              </w:rPr>
            </w:pPr>
          </w:p>
        </w:tc>
        <w:tc>
          <w:tcPr>
            <w:tcW w:w="3982" w:type="pct"/>
          </w:tcPr>
          <w:p w14:paraId="5B0A3BB6" w14:textId="77777777" w:rsidR="009E1EED" w:rsidRPr="00AA3F16" w:rsidRDefault="009E1EED" w:rsidP="00BC49CE">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A2bcd en peligro importante de extinción (2019)</w:t>
            </w:r>
            <w:r w:rsidRPr="00AA3F16">
              <w:rPr>
                <w:rFonts w:eastAsia="Arial" w:cs="Arial"/>
                <w:color w:val="000000"/>
                <w:sz w:val="21"/>
                <w:szCs w:val="21"/>
                <w:vertAlign w:val="superscript"/>
                <w:lang w:val="es-ES" w:eastAsia="es-ES"/>
              </w:rPr>
              <w:footnoteReference w:id="9"/>
            </w:r>
            <w:r w:rsidRPr="00AA3F16">
              <w:rPr>
                <w:rFonts w:eastAsia="Arial" w:cs="Arial"/>
                <w:color w:val="000000"/>
                <w:sz w:val="21"/>
                <w:szCs w:val="21"/>
                <w:lang w:val="es-ES" w:eastAsia="es-ES"/>
              </w:rPr>
              <w:t>:</w:t>
            </w:r>
          </w:p>
          <w:p w14:paraId="32A1A1C4" w14:textId="77777777" w:rsidR="009E1EED" w:rsidRPr="00AA3F16" w:rsidRDefault="009E1EED" w:rsidP="00BC49CE">
            <w:pPr>
              <w:widowControl w:val="0"/>
              <w:pBdr>
                <w:top w:val="nil"/>
                <w:left w:val="nil"/>
                <w:bottom w:val="nil"/>
                <w:right w:val="nil"/>
                <w:between w:val="nil"/>
              </w:pBdr>
              <w:rPr>
                <w:rFonts w:eastAsia="Arial" w:cs="Arial"/>
                <w:color w:val="000000"/>
                <w:sz w:val="21"/>
                <w:szCs w:val="21"/>
                <w:lang w:val="es-ES" w:eastAsia="en-GB"/>
              </w:rPr>
            </w:pPr>
          </w:p>
          <w:p w14:paraId="7DC79E36" w14:textId="77777777" w:rsidR="009E1EED" w:rsidRPr="00AA3F16" w:rsidRDefault="009E1EED" w:rsidP="00BC49CE">
            <w:pPr>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 población sufrió una reducción supuesta, inferida, estimada u observada de al menos el 80 % durante los últimos 10 años o tres generaciones, lo que fuera más extenso, en función de lo siguiente:</w:t>
            </w:r>
          </w:p>
          <w:p w14:paraId="6E0D7ECB" w14:textId="77777777" w:rsidR="009E1EED" w:rsidRPr="00AA3F16" w:rsidRDefault="009E1EED" w:rsidP="00BC49CE">
            <w:pPr>
              <w:pBdr>
                <w:top w:val="nil"/>
                <w:left w:val="nil"/>
                <w:bottom w:val="nil"/>
                <w:right w:val="nil"/>
                <w:between w:val="nil"/>
              </w:pBdr>
              <w:rPr>
                <w:rFonts w:eastAsia="Arial" w:cs="Arial"/>
                <w:color w:val="000000"/>
                <w:sz w:val="21"/>
                <w:szCs w:val="21"/>
                <w:lang w:val="es-ES" w:eastAsia="en-GB"/>
              </w:rPr>
            </w:pPr>
          </w:p>
          <w:p w14:paraId="16C61148" w14:textId="77777777" w:rsidR="009E1EED" w:rsidRPr="00AA3F16" w:rsidRDefault="009E1EED" w:rsidP="00BC49CE">
            <w:pPr>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 un índice de abundancia apropiado para el taxón,</w:t>
            </w:r>
          </w:p>
          <w:p w14:paraId="4791C169" w14:textId="77777777" w:rsidR="009E1EED" w:rsidRPr="00AA3F16" w:rsidRDefault="009E1EED" w:rsidP="00BC49CE">
            <w:pPr>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b) un deterioro en el área ocupada, amplitud de ocurrencia y/o calidad del hábitat,</w:t>
            </w:r>
          </w:p>
          <w:p w14:paraId="3DB5B335" w14:textId="77777777" w:rsidR="009E1EED" w:rsidRPr="00AA3F16" w:rsidRDefault="009E1EED" w:rsidP="00BC49CE">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c) niveles actuales o potenciales de explotación.</w:t>
            </w:r>
          </w:p>
        </w:tc>
      </w:tr>
      <w:tr w:rsidR="009E1EED" w:rsidRPr="009E0427" w14:paraId="6A7E8105" w14:textId="77777777" w:rsidTr="00BC49CE">
        <w:tc>
          <w:tcPr>
            <w:tcW w:w="1018" w:type="pct"/>
          </w:tcPr>
          <w:p w14:paraId="2F795E68" w14:textId="77777777" w:rsidR="009E1EED" w:rsidRPr="00AA3F16" w:rsidRDefault="009E1EED" w:rsidP="00BC49CE">
            <w:pPr>
              <w:widowControl w:val="0"/>
              <w:ind w:right="283"/>
              <w:rPr>
                <w:rFonts w:eastAsia="Arial" w:cs="Arial"/>
                <w:color w:val="000000"/>
                <w:sz w:val="21"/>
                <w:szCs w:val="21"/>
                <w:lang w:val="es-ES" w:eastAsia="en-GB"/>
              </w:rPr>
            </w:pPr>
            <w:r w:rsidRPr="00AA3F16">
              <w:rPr>
                <w:rFonts w:eastAsia="Arial" w:cs="Arial"/>
                <w:sz w:val="21"/>
                <w:szCs w:val="21"/>
                <w:lang w:val="es-ES" w:eastAsia="es-ES"/>
              </w:rPr>
              <w:t>Convención para la Conservación de las Especies Migratorias de los Animales Silvestres (</w:t>
            </w:r>
            <w:r w:rsidRPr="00AA3F16">
              <w:rPr>
                <w:rFonts w:eastAsia="Arial" w:cs="Arial"/>
                <w:color w:val="000000"/>
                <w:sz w:val="21"/>
                <w:szCs w:val="21"/>
                <w:lang w:val="es-ES" w:eastAsia="es-ES"/>
              </w:rPr>
              <w:t>CMS)</w:t>
            </w:r>
          </w:p>
        </w:tc>
        <w:tc>
          <w:tcPr>
            <w:tcW w:w="3982" w:type="pct"/>
          </w:tcPr>
          <w:p w14:paraId="5E278B21" w14:textId="77777777" w:rsidR="009E1EED" w:rsidRPr="00AA3F16" w:rsidRDefault="009E1EED" w:rsidP="00BC49CE">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Angelote enumerado en el Anexo I (2017)</w:t>
            </w:r>
          </w:p>
          <w:p w14:paraId="2E11588A" w14:textId="77777777" w:rsidR="009E1EED" w:rsidRPr="00AA3F16" w:rsidRDefault="009E1EED" w:rsidP="00BC49CE">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Angelote enumerado en el Anexo II (2017)</w:t>
            </w:r>
          </w:p>
        </w:tc>
      </w:tr>
      <w:tr w:rsidR="009E1EED" w:rsidRPr="009E0427" w14:paraId="1307A64E" w14:textId="77777777" w:rsidTr="00BC49CE">
        <w:tc>
          <w:tcPr>
            <w:tcW w:w="1018" w:type="pct"/>
          </w:tcPr>
          <w:p w14:paraId="12288352" w14:textId="77777777" w:rsidR="009E1EED" w:rsidRPr="00AA3F16" w:rsidRDefault="009E1EED" w:rsidP="00BC49CE">
            <w:pPr>
              <w:widowControl w:val="0"/>
              <w:ind w:right="283"/>
              <w:rPr>
                <w:rFonts w:eastAsia="Arial" w:cs="Arial"/>
                <w:color w:val="000000"/>
                <w:sz w:val="21"/>
                <w:szCs w:val="21"/>
                <w:lang w:val="es-ES" w:eastAsia="en-GB"/>
              </w:rPr>
            </w:pPr>
            <w:r w:rsidRPr="00AA3F16">
              <w:rPr>
                <w:rFonts w:eastAsia="Arial" w:cs="Arial"/>
                <w:sz w:val="21"/>
                <w:szCs w:val="21"/>
                <w:lang w:val="es-ES" w:eastAsia="es-ES"/>
              </w:rPr>
              <w:lastRenderedPageBreak/>
              <w:t>Memorando de Entendimiento sobre la Conservación de los Tiburones Migratorios (</w:t>
            </w:r>
            <w:proofErr w:type="spellStart"/>
            <w:r w:rsidRPr="00AA3F16">
              <w:rPr>
                <w:rFonts w:eastAsia="Arial" w:cs="Arial"/>
                <w:sz w:val="21"/>
                <w:szCs w:val="21"/>
                <w:lang w:val="es-ES" w:eastAsia="es-ES"/>
              </w:rPr>
              <w:t>MdE</w:t>
            </w:r>
            <w:proofErr w:type="spellEnd"/>
            <w:r w:rsidRPr="00AA3F16">
              <w:rPr>
                <w:rFonts w:eastAsia="Arial" w:cs="Arial"/>
                <w:sz w:val="21"/>
                <w:szCs w:val="21"/>
                <w:lang w:val="es-ES" w:eastAsia="es-ES"/>
              </w:rPr>
              <w:t xml:space="preserve"> sobre Tiburones de la C</w:t>
            </w:r>
            <w:r w:rsidRPr="00AA3F16">
              <w:rPr>
                <w:rFonts w:eastAsia="Arial" w:cs="Arial"/>
                <w:color w:val="000000"/>
                <w:sz w:val="21"/>
                <w:szCs w:val="21"/>
                <w:lang w:val="es-ES" w:eastAsia="es-ES"/>
              </w:rPr>
              <w:t>C)</w:t>
            </w:r>
          </w:p>
        </w:tc>
        <w:tc>
          <w:tcPr>
            <w:tcW w:w="3982" w:type="pct"/>
          </w:tcPr>
          <w:p w14:paraId="3742A6D9" w14:textId="77777777" w:rsidR="009E1EED" w:rsidRPr="00AA3F16" w:rsidRDefault="009E1EED" w:rsidP="00BC49CE">
            <w:pPr>
              <w:widowControl w:val="0"/>
              <w:ind w:right="283"/>
              <w:rPr>
                <w:rFonts w:eastAsia="Arial" w:cs="Arial"/>
                <w:color w:val="000000"/>
                <w:sz w:val="21"/>
                <w:szCs w:val="21"/>
                <w:lang w:val="es-ES" w:eastAsia="en-GB"/>
              </w:rPr>
            </w:pPr>
            <w:r w:rsidRPr="00AA3F16">
              <w:rPr>
                <w:rFonts w:eastAsia="Arial" w:cs="Arial"/>
                <w:color w:val="000000"/>
                <w:sz w:val="21"/>
                <w:szCs w:val="21"/>
                <w:lang w:val="es-ES" w:eastAsia="es-ES"/>
              </w:rPr>
              <w:t>Angelote enumerado en el Anexo 1 (2018)</w:t>
            </w:r>
          </w:p>
        </w:tc>
      </w:tr>
      <w:tr w:rsidR="009E1EED" w:rsidRPr="009E0427" w14:paraId="7DA759B9" w14:textId="77777777" w:rsidTr="00BC49CE">
        <w:tc>
          <w:tcPr>
            <w:tcW w:w="1018" w:type="pct"/>
          </w:tcPr>
          <w:p w14:paraId="2783BF27" w14:textId="77777777" w:rsidR="009E1EED" w:rsidRPr="00AA3F16" w:rsidRDefault="009E1EED" w:rsidP="00BC49CE">
            <w:pPr>
              <w:rPr>
                <w:rFonts w:eastAsia="Arial" w:cs="Arial"/>
                <w:b/>
                <w:sz w:val="21"/>
                <w:szCs w:val="21"/>
                <w:lang w:val="es-ES" w:eastAsia="en-GB"/>
              </w:rPr>
            </w:pPr>
            <w:r w:rsidRPr="00AA3F16">
              <w:rPr>
                <w:rFonts w:eastAsia="Arial" w:cs="Arial"/>
                <w:sz w:val="21"/>
                <w:szCs w:val="21"/>
                <w:lang w:val="es-ES" w:eastAsia="es-ES"/>
              </w:rPr>
              <w:t>Convención de Barcelona y el Protocolo referente a las Áreas Especialmente Protegidas y la Diversidad Biológica (Protocolo SPA/DB)</w:t>
            </w:r>
          </w:p>
        </w:tc>
        <w:tc>
          <w:tcPr>
            <w:tcW w:w="3982" w:type="pct"/>
          </w:tcPr>
          <w:p w14:paraId="0448F338" w14:textId="77777777" w:rsidR="009E1EED" w:rsidRPr="00AA3F16" w:rsidRDefault="009E1EED" w:rsidP="00BC49CE">
            <w:pPr>
              <w:widowControl w:val="0"/>
              <w:rPr>
                <w:rFonts w:eastAsia="Arial" w:cs="Arial"/>
                <w:color w:val="000000"/>
                <w:sz w:val="21"/>
                <w:szCs w:val="21"/>
                <w:lang w:val="es-ES" w:eastAsia="en-GB"/>
              </w:rPr>
            </w:pPr>
            <w:r w:rsidRPr="00AA3F16">
              <w:rPr>
                <w:rFonts w:eastAsia="Arial" w:cs="Arial"/>
                <w:color w:val="000000"/>
                <w:sz w:val="21"/>
                <w:szCs w:val="21"/>
                <w:lang w:val="es-ES" w:eastAsia="es-ES"/>
              </w:rPr>
              <w:t>Angelote enumerado en el Anexo II “</w:t>
            </w:r>
            <w:r w:rsidRPr="00AA3F16">
              <w:rPr>
                <w:rFonts w:eastAsia="Times New Roman" w:cs="Arial"/>
                <w:sz w:val="21"/>
                <w:szCs w:val="21"/>
                <w:lang w:val="es-ES" w:eastAsia="es-ES"/>
              </w:rPr>
              <w:t>Lista de especies amenazadas o en peligro de extinción”</w:t>
            </w:r>
          </w:p>
        </w:tc>
      </w:tr>
      <w:tr w:rsidR="009E1EED" w:rsidRPr="009E0427" w14:paraId="6032E053" w14:textId="77777777" w:rsidTr="00BC49CE">
        <w:tc>
          <w:tcPr>
            <w:tcW w:w="1018" w:type="pct"/>
          </w:tcPr>
          <w:p w14:paraId="1829F8C2" w14:textId="77777777" w:rsidR="009E1EED" w:rsidRPr="00AA3F16" w:rsidRDefault="009E1EED" w:rsidP="00BC49CE">
            <w:pPr>
              <w:widowControl w:val="0"/>
              <w:ind w:right="283"/>
              <w:rPr>
                <w:rFonts w:eastAsia="Arial" w:cs="Arial"/>
                <w:color w:val="000000"/>
                <w:sz w:val="21"/>
                <w:szCs w:val="21"/>
                <w:lang w:val="es-ES" w:eastAsia="en-GB"/>
              </w:rPr>
            </w:pPr>
            <w:r w:rsidRPr="00AA3F16">
              <w:rPr>
                <w:rFonts w:eastAsia="Arial" w:cs="Arial"/>
                <w:sz w:val="21"/>
                <w:szCs w:val="21"/>
                <w:lang w:val="es-ES" w:eastAsia="es-ES"/>
              </w:rPr>
              <w:t>Consejo General de Pesca del Mediterráneo (CGPM)</w:t>
            </w:r>
          </w:p>
        </w:tc>
        <w:tc>
          <w:tcPr>
            <w:tcW w:w="3982" w:type="pct"/>
          </w:tcPr>
          <w:p w14:paraId="1D38E958" w14:textId="77777777" w:rsidR="009E1EED" w:rsidRPr="00AA3F16" w:rsidRDefault="009E1EED" w:rsidP="00BC49CE">
            <w:pPr>
              <w:widowControl w:val="0"/>
              <w:jc w:val="both"/>
              <w:rPr>
                <w:rFonts w:eastAsia="Arial" w:cs="Arial"/>
                <w:i/>
                <w:color w:val="000000"/>
                <w:sz w:val="21"/>
                <w:szCs w:val="21"/>
                <w:lang w:val="es-ES" w:eastAsia="en-GB"/>
              </w:rPr>
            </w:pPr>
            <w:r w:rsidRPr="00AA3F16">
              <w:rPr>
                <w:rFonts w:eastAsia="Arial" w:cs="Arial"/>
                <w:color w:val="000000"/>
                <w:sz w:val="21"/>
                <w:szCs w:val="21"/>
                <w:lang w:val="es-ES" w:eastAsia="es-ES"/>
              </w:rPr>
              <w:t>El artículo 6 de CGPM/42/2018/2 indica: “</w:t>
            </w:r>
            <w:r w:rsidRPr="00AA3F16">
              <w:rPr>
                <w:rFonts w:eastAsia="Arial" w:cs="Arial"/>
                <w:i/>
                <w:color w:val="000000"/>
                <w:sz w:val="21"/>
                <w:szCs w:val="21"/>
                <w:lang w:val="es-ES" w:eastAsia="es-ES"/>
              </w:rPr>
              <w:t xml:space="preserve">Los CPC garantizarán una alta protección en referencia a actividades pesqueras para las especies </w:t>
            </w:r>
            <w:proofErr w:type="spellStart"/>
            <w:r w:rsidRPr="00AA3F16">
              <w:rPr>
                <w:rFonts w:eastAsia="Arial" w:cs="Arial"/>
                <w:i/>
                <w:color w:val="000000"/>
                <w:sz w:val="21"/>
                <w:szCs w:val="21"/>
                <w:lang w:val="es-ES" w:eastAsia="es-ES"/>
              </w:rPr>
              <w:t>eslamobranquias</w:t>
            </w:r>
            <w:proofErr w:type="spellEnd"/>
            <w:r w:rsidRPr="00AA3F16">
              <w:rPr>
                <w:rFonts w:eastAsia="Arial" w:cs="Arial"/>
                <w:i/>
                <w:color w:val="000000"/>
                <w:sz w:val="21"/>
                <w:szCs w:val="21"/>
                <w:lang w:val="es-ES" w:eastAsia="es-ES"/>
              </w:rPr>
              <w:t xml:space="preserve"> enumeradas en el Anexo II del SPA/DB perteneciente a la Convención de Barcelona, las cuales serán liberadas sin daño y vivas, en la medida que sea posible</w:t>
            </w:r>
            <w:r w:rsidRPr="00AA3F16">
              <w:rPr>
                <w:rFonts w:eastAsia="Arial" w:cs="Arial"/>
                <w:color w:val="000000"/>
                <w:sz w:val="21"/>
                <w:szCs w:val="21"/>
                <w:lang w:val="es-ES" w:eastAsia="es-ES"/>
              </w:rPr>
              <w:t>”. Esta lista se aplica al Angelote (</w:t>
            </w:r>
            <w:r w:rsidRPr="00AA3F16">
              <w:rPr>
                <w:rFonts w:eastAsia="Arial" w:cs="Arial"/>
                <w:i/>
                <w:color w:val="000000"/>
                <w:sz w:val="21"/>
                <w:szCs w:val="21"/>
                <w:lang w:val="es-ES" w:eastAsia="es-ES"/>
              </w:rPr>
              <w:t xml:space="preserve">S.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w:t>
            </w:r>
          </w:p>
          <w:p w14:paraId="2B5C97A8" w14:textId="77777777" w:rsidR="009E1EED" w:rsidRPr="00AA3F16" w:rsidRDefault="009E1EED" w:rsidP="00BC49CE">
            <w:pPr>
              <w:widowControl w:val="0"/>
              <w:jc w:val="both"/>
              <w:rPr>
                <w:rFonts w:eastAsia="Arial" w:cs="Arial"/>
                <w:i/>
                <w:color w:val="000000"/>
                <w:sz w:val="21"/>
                <w:szCs w:val="21"/>
                <w:lang w:val="es-ES" w:eastAsia="en-GB"/>
              </w:rPr>
            </w:pPr>
          </w:p>
          <w:p w14:paraId="1A32D4D6" w14:textId="77777777" w:rsidR="009E1EED" w:rsidRPr="00AA3F16" w:rsidRDefault="009E1EED" w:rsidP="00BC49CE">
            <w:pPr>
              <w:widowControl w:val="0"/>
              <w:ind w:right="23"/>
              <w:jc w:val="both"/>
              <w:rPr>
                <w:rFonts w:eastAsia="Arial" w:cs="Arial"/>
                <w:i/>
                <w:color w:val="000000"/>
                <w:sz w:val="21"/>
                <w:szCs w:val="21"/>
                <w:lang w:val="es-ES" w:eastAsia="en-GB"/>
              </w:rPr>
            </w:pPr>
            <w:r w:rsidRPr="00AA3F16">
              <w:rPr>
                <w:rFonts w:eastAsia="Arial" w:cs="Arial"/>
                <w:color w:val="000000"/>
                <w:sz w:val="21"/>
                <w:szCs w:val="21"/>
                <w:lang w:val="es-ES" w:eastAsia="es-ES"/>
              </w:rPr>
              <w:t>El artículo 7 del CGPM/42/2018/2 indica que “</w:t>
            </w:r>
            <w:r w:rsidRPr="00AA3F16">
              <w:rPr>
                <w:rFonts w:eastAsia="Arial" w:cs="Arial"/>
                <w:i/>
                <w:color w:val="000000"/>
                <w:sz w:val="21"/>
                <w:szCs w:val="21"/>
                <w:lang w:val="es-ES" w:eastAsia="es-ES"/>
              </w:rPr>
              <w:t>los especímenes de las especies de tiburones enumeradas en el Anexo II del Protocolo SPA/DB no se retendrán a bordo, ni se transportarán en la embarcación, desembarcarán, transferirán, almacenarán, venderán ni se expondrán u ofrecerán para la venta</w:t>
            </w:r>
            <w:r w:rsidRPr="00AA3F16">
              <w:rPr>
                <w:rFonts w:eastAsia="Arial" w:cs="Arial"/>
                <w:color w:val="000000"/>
                <w:sz w:val="21"/>
                <w:szCs w:val="21"/>
                <w:lang w:val="es-ES" w:eastAsia="es-ES"/>
              </w:rPr>
              <w:t>”. Esta lista se aplica al Angelote (</w:t>
            </w:r>
            <w:r w:rsidRPr="00AA3F16">
              <w:rPr>
                <w:rFonts w:eastAsia="Arial" w:cs="Arial"/>
                <w:i/>
                <w:color w:val="000000"/>
                <w:sz w:val="21"/>
                <w:szCs w:val="21"/>
                <w:lang w:val="es-ES" w:eastAsia="es-ES"/>
              </w:rPr>
              <w:t xml:space="preserve">S.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w:t>
            </w:r>
          </w:p>
          <w:p w14:paraId="2B1BD030" w14:textId="77777777" w:rsidR="009E1EED" w:rsidRPr="00AA3F16" w:rsidRDefault="009E1EED" w:rsidP="00BC49CE">
            <w:pPr>
              <w:widowControl w:val="0"/>
              <w:ind w:right="23"/>
              <w:jc w:val="both"/>
              <w:rPr>
                <w:rFonts w:eastAsia="Arial" w:cs="Arial"/>
                <w:i/>
                <w:color w:val="000000"/>
                <w:sz w:val="21"/>
                <w:szCs w:val="21"/>
                <w:lang w:val="es-ES" w:eastAsia="en-GB"/>
              </w:rPr>
            </w:pPr>
          </w:p>
          <w:p w14:paraId="650E8EFD" w14:textId="77777777" w:rsidR="009E1EED" w:rsidRPr="00AA3F16" w:rsidRDefault="009E1EED" w:rsidP="00BC49CE">
            <w:pPr>
              <w:widowControl w:val="0"/>
              <w:spacing w:after="80"/>
              <w:ind w:right="29"/>
              <w:jc w:val="both"/>
              <w:rPr>
                <w:rFonts w:eastAsia="Arial" w:cs="Arial"/>
                <w:i/>
                <w:color w:val="000000"/>
                <w:sz w:val="21"/>
                <w:szCs w:val="21"/>
                <w:lang w:val="es-ES" w:eastAsia="en-GB"/>
              </w:rPr>
            </w:pPr>
            <w:r w:rsidRPr="00AA3F16">
              <w:rPr>
                <w:rFonts w:eastAsia="Arial" w:cs="Arial"/>
                <w:i/>
                <w:color w:val="000000"/>
                <w:sz w:val="21"/>
                <w:szCs w:val="21"/>
                <w:lang w:val="es-ES" w:eastAsia="es-ES"/>
              </w:rPr>
              <w:t xml:space="preserve">La parte II del CGPM/44/2021/16 indica las medidas de gestión que se aplican al Angelote (S.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w:t>
            </w:r>
          </w:p>
          <w:p w14:paraId="7A9059AC" w14:textId="77777777" w:rsidR="009E1EED" w:rsidRPr="00AA3F16" w:rsidRDefault="009E1EED" w:rsidP="00BC49CE">
            <w:pPr>
              <w:widowControl w:val="0"/>
              <w:numPr>
                <w:ilvl w:val="0"/>
                <w:numId w:val="20"/>
              </w:numPr>
              <w:spacing w:after="80"/>
              <w:ind w:left="778"/>
              <w:jc w:val="both"/>
              <w:rPr>
                <w:rFonts w:eastAsia="Cambria" w:cs="Arial"/>
                <w:color w:val="000000"/>
                <w:sz w:val="21"/>
                <w:szCs w:val="21"/>
                <w:lang w:val="es-ES" w:bidi="en-US"/>
              </w:rPr>
            </w:pPr>
            <w:r w:rsidRPr="00AA3F16">
              <w:rPr>
                <w:rFonts w:eastAsia="Cambria" w:cs="Arial"/>
                <w:color w:val="000000"/>
                <w:sz w:val="21"/>
                <w:szCs w:val="21"/>
                <w:lang w:val="es-ES" w:bidi="en-US"/>
              </w:rPr>
              <w:t>Se invita a los CPC a que den los pasos necesarios a fin de reducir la mortalidad de cualesquiera especies de elasmobranquios capturadas incidentalmente durante operaciones de pesca, que incluyan el establecimiento de un sistema que ofrezca incentivos a los capitanes de las embarcaciones con objeto de reducir la mortalidad incidental de elasmobranquios, además de un sistema de formación y certificación técnicas para capitanes, y con la realización de investigación para mejorar los aparejos de pesca, las técnicas de pesca y su equipamiento para disminuir la mortalidad en elasmobranquios producida por la captura incidental y, a su vez, aumentar la tasa de supervivencia posterior a su liberación</w:t>
            </w:r>
            <w:r w:rsidRPr="00AA3F16">
              <w:rPr>
                <w:rFonts w:eastAsia="Cambria" w:cs="Arial"/>
                <w:color w:val="000000"/>
                <w:sz w:val="21"/>
                <w:szCs w:val="21"/>
                <w:vertAlign w:val="superscript"/>
                <w:lang w:val="es-ES" w:bidi="en-US"/>
              </w:rPr>
              <w:footnoteReference w:id="10"/>
            </w:r>
            <w:r w:rsidRPr="00AA3F16">
              <w:rPr>
                <w:rFonts w:eastAsia="Cambria" w:cs="Arial"/>
                <w:color w:val="000000"/>
                <w:sz w:val="21"/>
                <w:szCs w:val="21"/>
                <w:lang w:val="es-ES" w:bidi="en-US"/>
              </w:rPr>
              <w:t>.</w:t>
            </w:r>
          </w:p>
          <w:p w14:paraId="6B675ACE" w14:textId="77777777" w:rsidR="009E1EED" w:rsidRPr="00AA3F16" w:rsidRDefault="009E1EED" w:rsidP="00BC49CE">
            <w:pPr>
              <w:widowControl w:val="0"/>
              <w:numPr>
                <w:ilvl w:val="0"/>
                <w:numId w:val="20"/>
              </w:numPr>
              <w:spacing w:after="80"/>
              <w:contextualSpacing/>
              <w:jc w:val="both"/>
              <w:rPr>
                <w:rFonts w:eastAsia="Cambria" w:cs="Arial"/>
                <w:color w:val="000000"/>
                <w:sz w:val="21"/>
                <w:szCs w:val="21"/>
                <w:lang w:val="es-ES" w:bidi="en-US"/>
              </w:rPr>
            </w:pPr>
            <w:r w:rsidRPr="00AA3F16">
              <w:rPr>
                <w:rFonts w:eastAsia="Cambria" w:cs="Arial"/>
                <w:color w:val="000000"/>
                <w:sz w:val="21"/>
                <w:szCs w:val="21"/>
                <w:lang w:val="es-ES" w:bidi="en-US"/>
              </w:rPr>
              <w:lastRenderedPageBreak/>
              <w:t>Se invita a los CPC a adoptar las medidas de mitigación para minimizar y eliminar cuando sea posible la captura incidental de elasmobranquios durante operaciones pesqueras en pesquerías de captura incidental de alto riesgo determinadas por el CAC cuando fuera posible en pesquerías de captura incidental de bajo riesgo, acompañado de la supervisión apropiada para establecer la eficacia de las acciones. Tales medidas de mitigación pueden incluir, entre otras, las siguientes:</w:t>
            </w:r>
          </w:p>
          <w:p w14:paraId="77138C04" w14:textId="77777777" w:rsidR="009E1EED" w:rsidRPr="00AA3F16" w:rsidRDefault="009E1EED" w:rsidP="00BC49CE">
            <w:pPr>
              <w:autoSpaceDE w:val="0"/>
              <w:autoSpaceDN w:val="0"/>
              <w:adjustRightInd w:val="0"/>
              <w:spacing w:after="80"/>
              <w:ind w:left="1020" w:hanging="270"/>
              <w:jc w:val="both"/>
              <w:rPr>
                <w:rFonts w:eastAsia="Times New Roman" w:cs="Arial"/>
                <w:color w:val="000000"/>
                <w:sz w:val="21"/>
                <w:szCs w:val="21"/>
                <w:lang w:val="es-ES" w:bidi="en-US"/>
              </w:rPr>
            </w:pPr>
            <w:r w:rsidRPr="00AA3F16">
              <w:rPr>
                <w:rFonts w:eastAsia="Times New Roman" w:cs="Arial"/>
                <w:color w:val="000000"/>
                <w:sz w:val="21"/>
                <w:szCs w:val="21"/>
                <w:lang w:val="es-ES" w:bidi="en-US"/>
              </w:rPr>
              <w:t>- Modificaciones en los aparejos y tipos alternativos de aparejos;</w:t>
            </w:r>
          </w:p>
          <w:p w14:paraId="43EF66F8" w14:textId="77777777" w:rsidR="009E1EED" w:rsidRPr="00AA3F16" w:rsidRDefault="009E1EED" w:rsidP="00BC49CE">
            <w:pPr>
              <w:widowControl w:val="0"/>
              <w:spacing w:after="80"/>
              <w:ind w:left="1020" w:hanging="270"/>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 mejoras en el marcaje y detección de los aparejos;</w:t>
            </w:r>
          </w:p>
          <w:p w14:paraId="524E1920" w14:textId="77777777" w:rsidR="009E1EED" w:rsidRPr="00AA3F16" w:rsidRDefault="009E1EED" w:rsidP="00BC49CE">
            <w:pPr>
              <w:widowControl w:val="0"/>
              <w:spacing w:after="80"/>
              <w:ind w:left="1020" w:hanging="270"/>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 restricciones o cierres de áreas de pesca, en los casos apropiados;</w:t>
            </w:r>
          </w:p>
          <w:p w14:paraId="1926C315" w14:textId="77777777" w:rsidR="009E1EED" w:rsidRPr="00AA3F16" w:rsidRDefault="009E1EED" w:rsidP="00BC49CE">
            <w:pPr>
              <w:widowControl w:val="0"/>
              <w:spacing w:after="80"/>
              <w:ind w:left="1020" w:hanging="270"/>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 implementación de umbrales máximos de capturas incidentales potenciales;</w:t>
            </w:r>
          </w:p>
          <w:p w14:paraId="7F16CA07" w14:textId="77777777" w:rsidR="009E1EED" w:rsidRPr="00AA3F16" w:rsidRDefault="009E1EED" w:rsidP="00BC49CE">
            <w:pPr>
              <w:widowControl w:val="0"/>
              <w:spacing w:after="80"/>
              <w:ind w:left="1023" w:hanging="274"/>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 xml:space="preserve">- implementación de dispositivos disuasorios magnéticos, cuando se basen en estudios científicos y después de una evaluación coste-beneficio. </w:t>
            </w:r>
          </w:p>
          <w:p w14:paraId="285160BC" w14:textId="1F5EECFF" w:rsidR="009E1EED" w:rsidRPr="00AA3F16" w:rsidRDefault="009E1EED" w:rsidP="00BC49CE">
            <w:pPr>
              <w:widowControl w:val="0"/>
              <w:numPr>
                <w:ilvl w:val="0"/>
                <w:numId w:val="20"/>
              </w:numPr>
              <w:spacing w:after="80"/>
              <w:ind w:left="778"/>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Los CPC también pueden valorar otros tipos de gestión, a opción voluntaria, tales como "la gestión basada en</w:t>
            </w:r>
            <w:r w:rsidRPr="00AA3F16">
              <w:rPr>
                <w:rFonts w:ascii="Cambria Math" w:eastAsia="Times New Roman" w:hAnsi="Cambria Math" w:cs="Cambria Math"/>
                <w:color w:val="000000"/>
                <w:sz w:val="21"/>
                <w:szCs w:val="21"/>
                <w:lang w:val="es-ES" w:eastAsia="es-ES" w:bidi="en-US"/>
              </w:rPr>
              <w:t xml:space="preserve"> </w:t>
            </w:r>
            <w:r w:rsidRPr="00AA3F16">
              <w:rPr>
                <w:rFonts w:eastAsia="Times New Roman" w:cs="Arial"/>
                <w:color w:val="000000"/>
                <w:sz w:val="21"/>
                <w:szCs w:val="21"/>
                <w:lang w:val="es-ES" w:eastAsia="es-ES" w:bidi="en-US"/>
              </w:rPr>
              <w:t>incentivos”, con la que se recompensa a los operadores de bajo impacto mientras que también se orienta a los operadores con una actuación deficiente para que adopten mejores prácticas o bien abandonen el sector; “gestión de incentivos basados en el comercio” mediante el empleo, por ejemplo, de un etiquetado como "seguro para los elasmobranquios"</w:t>
            </w:r>
            <w:r w:rsidRPr="00AA3F16">
              <w:rPr>
                <w:rFonts w:ascii="Cambria Math" w:eastAsia="Times New Roman" w:hAnsi="Cambria Math" w:cs="Cambria Math"/>
                <w:color w:val="000000"/>
                <w:sz w:val="21"/>
                <w:szCs w:val="21"/>
                <w:lang w:val="es-ES" w:eastAsia="es-ES" w:bidi="en-US"/>
              </w:rPr>
              <w:t>‐</w:t>
            </w:r>
            <w:r w:rsidRPr="00AA3F16">
              <w:rPr>
                <w:rFonts w:eastAsia="Times New Roman" w:cs="Arial"/>
                <w:color w:val="000000"/>
                <w:sz w:val="21"/>
                <w:szCs w:val="21"/>
                <w:lang w:val="es-ES" w:eastAsia="es-ES" w:bidi="en-US"/>
              </w:rPr>
              <w:t xml:space="preserve"> (o “respetuoso con los </w:t>
            </w:r>
            <w:proofErr w:type="spellStart"/>
            <w:r w:rsidRPr="00AA3F16">
              <w:rPr>
                <w:rFonts w:eastAsia="Times New Roman" w:cs="Arial"/>
                <w:color w:val="000000"/>
                <w:sz w:val="21"/>
                <w:szCs w:val="21"/>
                <w:lang w:val="es-ES" w:eastAsia="es-ES" w:bidi="en-US"/>
              </w:rPr>
              <w:t>eslamobranquios</w:t>
            </w:r>
            <w:proofErr w:type="spellEnd"/>
            <w:r w:rsidRPr="00AA3F16">
              <w:rPr>
                <w:rFonts w:eastAsia="Times New Roman" w:cs="Arial"/>
                <w:color w:val="000000"/>
                <w:sz w:val="21"/>
                <w:szCs w:val="21"/>
                <w:lang w:val="es-ES" w:eastAsia="es-ES" w:bidi="en-US"/>
              </w:rPr>
              <w:t>”) respecto a las pesquerías de riesgo medio a alto.</w:t>
            </w:r>
          </w:p>
          <w:p w14:paraId="17B6C79C" w14:textId="5A145E66" w:rsidR="00BC49CE" w:rsidRPr="00AA3F16" w:rsidRDefault="00BC49CE" w:rsidP="00BC49CE">
            <w:pPr>
              <w:widowControl w:val="0"/>
              <w:spacing w:after="80"/>
              <w:jc w:val="both"/>
              <w:rPr>
                <w:rFonts w:eastAsia="Times New Roman" w:cs="Arial"/>
                <w:color w:val="000000"/>
                <w:sz w:val="21"/>
                <w:szCs w:val="21"/>
                <w:lang w:val="es-ES" w:eastAsia="en-GB" w:bidi="en-US"/>
              </w:rPr>
            </w:pPr>
          </w:p>
          <w:p w14:paraId="5A7647C5" w14:textId="77777777" w:rsidR="00BC49CE" w:rsidRPr="00AA3F16" w:rsidRDefault="00BC49CE" w:rsidP="00BC49CE">
            <w:pPr>
              <w:widowControl w:val="0"/>
              <w:spacing w:after="80"/>
              <w:jc w:val="both"/>
              <w:rPr>
                <w:rFonts w:eastAsia="Times New Roman" w:cs="Arial"/>
                <w:color w:val="000000"/>
                <w:sz w:val="21"/>
                <w:szCs w:val="21"/>
                <w:lang w:val="es-ES" w:eastAsia="en-GB" w:bidi="en-US"/>
              </w:rPr>
            </w:pPr>
          </w:p>
          <w:p w14:paraId="54F8DF3E" w14:textId="06AC2CCF" w:rsidR="009E1EED" w:rsidRPr="00AA3F16" w:rsidRDefault="009E1EED" w:rsidP="00BC49CE">
            <w:pPr>
              <w:widowControl w:val="0"/>
              <w:numPr>
                <w:ilvl w:val="0"/>
                <w:numId w:val="20"/>
              </w:numPr>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 xml:space="preserve">Los CPC solicitarán a las embarcaciones de pesca, que capturen especies de tiburones de forma accidental o complementaria, que limiten su captura incidental respecto a los tiburones enumerados en el Anexo III del Protocolo AEP/DB hasta un porcentaje máximo del total de la captura y con una salida de pesca con un peso determinado o no más de tres especímenes. En 2023, el CAC evaluará las capturas a nivel de especie más actualizadas junto con sus datos compuestos. En función de la recomendación científica, la 46a sesión del CGPM decidirá acerca de un porcentaje máximo de límite de capturas, que se expresará en su peso. </w:t>
            </w:r>
          </w:p>
          <w:p w14:paraId="163FA551" w14:textId="77777777" w:rsidR="00BC49CE" w:rsidRPr="00AA3F16" w:rsidRDefault="00BC49CE" w:rsidP="00BC49CE">
            <w:pPr>
              <w:widowControl w:val="0"/>
              <w:jc w:val="both"/>
              <w:rPr>
                <w:rFonts w:eastAsia="Times New Roman" w:cs="Arial"/>
                <w:color w:val="000000"/>
                <w:sz w:val="21"/>
                <w:szCs w:val="21"/>
                <w:lang w:val="es-ES" w:eastAsia="en-GB" w:bidi="en-US"/>
              </w:rPr>
            </w:pPr>
          </w:p>
          <w:p w14:paraId="6A992A48" w14:textId="77777777" w:rsidR="009E1EED" w:rsidRPr="00AA3F16" w:rsidRDefault="009E1EED" w:rsidP="00BC49CE">
            <w:pPr>
              <w:widowControl w:val="0"/>
              <w:spacing w:after="80"/>
              <w:ind w:right="29"/>
              <w:jc w:val="both"/>
              <w:rPr>
                <w:rFonts w:eastAsia="Arial" w:cs="Arial"/>
                <w:color w:val="000000"/>
                <w:sz w:val="21"/>
                <w:szCs w:val="21"/>
                <w:lang w:val="es-ES" w:eastAsia="en-GB"/>
              </w:rPr>
            </w:pPr>
            <w:r w:rsidRPr="00AA3F16">
              <w:rPr>
                <w:rFonts w:eastAsia="Arial" w:cs="Arial"/>
                <w:color w:val="000000"/>
                <w:sz w:val="21"/>
                <w:szCs w:val="21"/>
                <w:lang w:val="es-ES" w:eastAsia="es-ES"/>
              </w:rPr>
              <w:t xml:space="preserve">Además, en la parte III; el Artículo 12 en la </w:t>
            </w:r>
            <w:proofErr w:type="spellStart"/>
            <w:r w:rsidRPr="00AA3F16">
              <w:rPr>
                <w:rFonts w:eastAsia="Arial" w:cs="Arial"/>
                <w:color w:val="000000"/>
                <w:sz w:val="21"/>
                <w:szCs w:val="21"/>
                <w:lang w:val="es-ES" w:eastAsia="es-ES"/>
              </w:rPr>
              <w:t>rec.</w:t>
            </w:r>
            <w:proofErr w:type="spellEnd"/>
            <w:r w:rsidRPr="00AA3F16">
              <w:rPr>
                <w:rFonts w:eastAsia="Arial" w:cs="Arial"/>
                <w:color w:val="000000"/>
                <w:sz w:val="21"/>
                <w:szCs w:val="21"/>
                <w:lang w:val="es-ES" w:eastAsia="es-ES"/>
              </w:rPr>
              <w:t xml:space="preserve"> del CGPM 2021/44/16 indica otro requisito de aplicación en referencia al Angelote (</w:t>
            </w:r>
            <w:r w:rsidRPr="00AA3F16">
              <w:rPr>
                <w:rFonts w:eastAsia="Arial" w:cs="Arial"/>
                <w:i/>
                <w:iCs/>
                <w:color w:val="000000"/>
                <w:sz w:val="21"/>
                <w:szCs w:val="21"/>
                <w:lang w:val="es-ES" w:eastAsia="es-ES"/>
              </w:rPr>
              <w:t>S.</w:t>
            </w:r>
            <w:r w:rsidRPr="00AA3F16">
              <w:rPr>
                <w:rFonts w:eastAsia="Arial" w:cs="Arial"/>
                <w:color w:val="000000"/>
                <w:sz w:val="21"/>
                <w:szCs w:val="21"/>
                <w:lang w:val="es-ES" w:eastAsia="es-ES"/>
              </w:rPr>
              <w:t xml:space="preserve"> </w:t>
            </w:r>
            <w:proofErr w:type="spellStart"/>
            <w:r w:rsidRPr="00AA3F16">
              <w:rPr>
                <w:rFonts w:eastAsia="Arial" w:cs="Arial"/>
                <w:i/>
                <w:iCs/>
                <w:color w:val="000000"/>
                <w:sz w:val="21"/>
                <w:szCs w:val="21"/>
                <w:lang w:val="es-ES" w:eastAsia="es-ES"/>
              </w:rPr>
              <w:t>squatina</w:t>
            </w:r>
            <w:proofErr w:type="spellEnd"/>
            <w:r w:rsidRPr="00AA3F16">
              <w:rPr>
                <w:rFonts w:eastAsia="Arial" w:cs="Arial"/>
                <w:color w:val="000000"/>
                <w:sz w:val="21"/>
                <w:szCs w:val="21"/>
                <w:lang w:val="es-ES" w:eastAsia="es-ES"/>
              </w:rPr>
              <w:t>):</w:t>
            </w:r>
          </w:p>
          <w:p w14:paraId="10F8076B" w14:textId="77777777" w:rsidR="009E1EED" w:rsidRPr="00AA3F16" w:rsidRDefault="009E1EED" w:rsidP="00BC49CE">
            <w:pPr>
              <w:widowControl w:val="0"/>
              <w:jc w:val="both"/>
              <w:rPr>
                <w:rFonts w:eastAsia="Times New Roman" w:cs="Arial"/>
                <w:color w:val="000000"/>
                <w:sz w:val="21"/>
                <w:szCs w:val="21"/>
                <w:lang w:val="es-ES" w:eastAsia="en-GB" w:bidi="en-US"/>
              </w:rPr>
            </w:pPr>
            <w:r w:rsidRPr="00AA3F16">
              <w:rPr>
                <w:rFonts w:eastAsia="Times New Roman" w:cs="Arial"/>
                <w:color w:val="000000"/>
                <w:sz w:val="21"/>
                <w:szCs w:val="21"/>
                <w:lang w:val="es-ES" w:eastAsia="es-ES" w:bidi="en-US"/>
              </w:rPr>
              <w:t xml:space="preserve">Los CPC informarán alrededor del 30 de abril de 2026, como máximo sobre, al menos, una actividad por </w:t>
            </w:r>
            <w:r w:rsidRPr="00AA3F16">
              <w:rPr>
                <w:rFonts w:eastAsia="Times New Roman" w:cs="Arial"/>
                <w:color w:val="000000"/>
                <w:sz w:val="21"/>
                <w:szCs w:val="21"/>
                <w:lang w:val="es-ES" w:eastAsia="es-ES" w:bidi="en-US"/>
              </w:rPr>
              <w:lastRenderedPageBreak/>
              <w:t xml:space="preserve">especie/género a partir del Anexo 1 presente en el área de SAG donde las actividades de pesca se realizan o, al menos, cinco acciones específicas de especie en total para mejorar el estado de conservación de la especie </w:t>
            </w:r>
            <w:proofErr w:type="spellStart"/>
            <w:r w:rsidRPr="00AA3F16">
              <w:rPr>
                <w:rFonts w:eastAsia="Times New Roman" w:cs="Arial"/>
                <w:color w:val="000000"/>
                <w:sz w:val="21"/>
                <w:szCs w:val="21"/>
                <w:lang w:val="es-ES" w:eastAsia="es-ES" w:bidi="en-US"/>
              </w:rPr>
              <w:t>eslamobránquia</w:t>
            </w:r>
            <w:proofErr w:type="spellEnd"/>
            <w:r w:rsidRPr="00AA3F16">
              <w:rPr>
                <w:rFonts w:eastAsia="Times New Roman" w:cs="Arial"/>
                <w:color w:val="000000"/>
                <w:sz w:val="21"/>
                <w:szCs w:val="21"/>
                <w:lang w:val="es-ES" w:eastAsia="es-ES" w:bidi="en-US"/>
              </w:rPr>
              <w:t>, mitigará y, cuando sea posible, eliminará el riesgo de captura incidental del elasmobranquio en las operaciones de pesca, así como la mortalidad asociada</w:t>
            </w:r>
          </w:p>
          <w:p w14:paraId="16413FA2" w14:textId="77777777" w:rsidR="009E1EED" w:rsidRPr="00AA3F16" w:rsidRDefault="009E1EED" w:rsidP="00BC49CE">
            <w:pPr>
              <w:widowControl w:val="0"/>
              <w:ind w:right="23"/>
              <w:rPr>
                <w:rFonts w:eastAsia="Arial" w:cs="Arial"/>
                <w:color w:val="000000"/>
                <w:sz w:val="21"/>
                <w:szCs w:val="21"/>
                <w:lang w:val="es-ES" w:eastAsia="en-GB"/>
              </w:rPr>
            </w:pPr>
          </w:p>
        </w:tc>
      </w:tr>
    </w:tbl>
    <w:p w14:paraId="12D7F721" w14:textId="7FB7B17E" w:rsidR="009E1EED" w:rsidRPr="00AA3F16" w:rsidRDefault="009E1EED" w:rsidP="009E1EED">
      <w:pPr>
        <w:jc w:val="both"/>
        <w:rPr>
          <w:rFonts w:cs="Arial"/>
          <w:spacing w:val="-2"/>
          <w:lang w:val="es-ES" w:eastAsia="en-GB"/>
        </w:rPr>
      </w:pPr>
    </w:p>
    <w:p w14:paraId="5B7B0A35" w14:textId="77777777" w:rsidR="00BC49CE" w:rsidRPr="00AA3F16" w:rsidRDefault="00BC49CE" w:rsidP="009E1EED">
      <w:pPr>
        <w:jc w:val="both"/>
        <w:rPr>
          <w:rFonts w:cs="Arial"/>
          <w:spacing w:val="-2"/>
          <w:lang w:val="es-ES" w:eastAsia="en-GB"/>
        </w:rPr>
        <w:sectPr w:rsidR="00BC49CE" w:rsidRPr="00AA3F16" w:rsidSect="009E1EED">
          <w:headerReference w:type="first" r:id="rId27"/>
          <w:footerReference w:type="first" r:id="rId28"/>
          <w:pgSz w:w="15840" w:h="12240" w:orient="landscape"/>
          <w:pgMar w:top="1260" w:right="810" w:bottom="1440" w:left="1170" w:header="720" w:footer="580" w:gutter="0"/>
          <w:cols w:space="720"/>
          <w:titlePg/>
          <w:docGrid w:linePitch="360"/>
        </w:sectPr>
      </w:pPr>
    </w:p>
    <w:p w14:paraId="45211D38" w14:textId="0B7EE122" w:rsidR="00BC49CE" w:rsidRPr="00AA3F16" w:rsidRDefault="00BC49CE" w:rsidP="00BC49CE">
      <w:pPr>
        <w:jc w:val="both"/>
        <w:rPr>
          <w:rFonts w:cs="Arial"/>
          <w:spacing w:val="-2"/>
          <w:lang w:val="es-ES" w:eastAsia="en-GB"/>
        </w:rPr>
      </w:pPr>
    </w:p>
    <w:p w14:paraId="2BE61E6A" w14:textId="77777777" w:rsidR="00BC49CE" w:rsidRPr="00AA3F16" w:rsidRDefault="00BC49CE" w:rsidP="002A4E27">
      <w:pPr>
        <w:keepNext/>
        <w:keepLines/>
        <w:numPr>
          <w:ilvl w:val="1"/>
          <w:numId w:val="19"/>
        </w:numPr>
        <w:ind w:left="540" w:hanging="540"/>
        <w:outlineLvl w:val="1"/>
        <w:rPr>
          <w:rFonts w:eastAsia="Times New Roman" w:cs="Arial"/>
          <w:b/>
          <w:iCs/>
          <w:lang w:val="es-ES" w:eastAsia="en-GB"/>
        </w:rPr>
      </w:pPr>
      <w:bookmarkStart w:id="34" w:name="_Toc108701934"/>
      <w:bookmarkStart w:id="35" w:name="_Toc118277542"/>
      <w:r w:rsidRPr="00AA3F16">
        <w:rPr>
          <w:rFonts w:eastAsia="Times New Roman" w:cs="Arial"/>
          <w:b/>
          <w:iCs/>
          <w:lang w:val="es-ES" w:eastAsia="es-ES"/>
        </w:rPr>
        <w:t>Situación de los estados del área de distribución según instrumentos de la CMS</w:t>
      </w:r>
      <w:bookmarkEnd w:id="34"/>
      <w:bookmarkEnd w:id="35"/>
    </w:p>
    <w:p w14:paraId="36299CF4" w14:textId="77777777" w:rsidR="00BC49CE" w:rsidRPr="00AA3F16" w:rsidRDefault="00BC49CE" w:rsidP="00BC49CE">
      <w:pPr>
        <w:widowControl w:val="0"/>
        <w:pBdr>
          <w:top w:val="nil"/>
          <w:left w:val="nil"/>
          <w:bottom w:val="nil"/>
          <w:right w:val="nil"/>
          <w:between w:val="nil"/>
        </w:pBdr>
        <w:rPr>
          <w:rFonts w:eastAsia="Times New Roman" w:cs="Arial"/>
          <w:iCs/>
          <w:lang w:val="es-ES" w:eastAsia="en-GB"/>
        </w:rPr>
      </w:pPr>
    </w:p>
    <w:p w14:paraId="75770B50" w14:textId="22158566" w:rsidR="00BC49CE" w:rsidRPr="00AA3F16" w:rsidRDefault="00BC49CE" w:rsidP="00BC49CE">
      <w:pPr>
        <w:widowControl w:val="0"/>
        <w:pBdr>
          <w:top w:val="nil"/>
          <w:left w:val="nil"/>
          <w:bottom w:val="nil"/>
          <w:right w:val="nil"/>
          <w:between w:val="nil"/>
        </w:pBdr>
        <w:jc w:val="both"/>
        <w:rPr>
          <w:rFonts w:eastAsia="Times New Roman" w:cs="Arial"/>
          <w:lang w:val="es-ES" w:eastAsia="en-GB"/>
        </w:rPr>
      </w:pPr>
      <w:r w:rsidRPr="00AA3F16">
        <w:rPr>
          <w:rFonts w:eastAsia="Times New Roman" w:cs="Arial"/>
          <w:lang w:val="es-ES" w:eastAsia="es-ES"/>
        </w:rPr>
        <w:t xml:space="preserve">La siguiente tabla (Tabla 4) ofrece la situación presencial del Angelote en cada Estado del área de distribución en el mar Mediterráneo, teniendo en cuenta un subconjunto de cuatro de los seis códigos de presencia de la UICN. Los estados de presencia fueron determinados y definidos por Lawson </w:t>
      </w:r>
      <w:r w:rsidRPr="00AA3F16">
        <w:rPr>
          <w:rFonts w:eastAsia="Times New Roman" w:cs="Arial"/>
          <w:i/>
          <w:iCs/>
          <w:lang w:val="es-ES" w:eastAsia="es-ES"/>
        </w:rPr>
        <w:t>et al.</w:t>
      </w:r>
      <w:r w:rsidRPr="00AA3F16">
        <w:rPr>
          <w:rFonts w:eastAsia="Times New Roman" w:cs="Arial"/>
          <w:lang w:val="es-ES" w:eastAsia="es-ES"/>
        </w:rPr>
        <w:t xml:space="preserve"> (2020), adaptado de la UICN (2018). </w:t>
      </w:r>
    </w:p>
    <w:p w14:paraId="72F9F19F" w14:textId="77777777" w:rsidR="00BC49CE" w:rsidRPr="00AA3F16" w:rsidRDefault="00BC49CE" w:rsidP="00BC49CE">
      <w:pPr>
        <w:widowControl w:val="0"/>
        <w:pBdr>
          <w:top w:val="nil"/>
          <w:left w:val="nil"/>
          <w:bottom w:val="nil"/>
          <w:right w:val="nil"/>
          <w:between w:val="nil"/>
        </w:pBdr>
        <w:jc w:val="both"/>
        <w:rPr>
          <w:rFonts w:eastAsia="Times New Roman" w:cs="Arial"/>
          <w:lang w:val="es-ES" w:eastAsia="en-GB"/>
        </w:rPr>
      </w:pPr>
    </w:p>
    <w:p w14:paraId="79B760D0" w14:textId="77777777" w:rsidR="00BC49CE" w:rsidRPr="00AA3F16"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s-ES"/>
        </w:rPr>
      </w:pPr>
      <w:r w:rsidRPr="00AA3F16">
        <w:rPr>
          <w:rFonts w:eastAsia="Cambria" w:cs="Arial"/>
          <w:color w:val="1C1D1E"/>
          <w:lang w:val="es-ES"/>
        </w:rPr>
        <w:t xml:space="preserve">Conservada: se constata o se cree que la especie se encuentra muy probablemente en el área en la actualidad, </w:t>
      </w:r>
      <w:r w:rsidRPr="00AA3F16">
        <w:rPr>
          <w:rFonts w:eastAsia="Cambria" w:cs="Arial"/>
          <w:color w:val="2A2A2A"/>
          <w:shd w:val="clear" w:color="auto" w:fill="FFFFFF"/>
          <w:lang w:val="es-ES"/>
        </w:rPr>
        <w:t>la cual abarca normalmente las localizaciones actuales o recientes donde permanece en un hábitat adecuado a altitudes apropiadas (o profundidades, en el caso de las especies acuáticas).</w:t>
      </w:r>
    </w:p>
    <w:p w14:paraId="0B09F5BD" w14:textId="77777777" w:rsidR="00BC49CE" w:rsidRPr="00AA3F16"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s-ES"/>
        </w:rPr>
      </w:pPr>
      <w:r w:rsidRPr="00AA3F16">
        <w:rPr>
          <w:rFonts w:eastAsia="Cambria" w:cs="Arial"/>
          <w:color w:val="1C1D1E"/>
          <w:lang w:val="es-ES"/>
        </w:rPr>
        <w:t>Posiblemente conservada: no existe registro de la especie en el área, pero posiblemente la especie se dé, en función de la distribución de un hábitat adecuado en altitudes apropiadas, aunque el área se encuentra fuera de donde la especie se conserva, y el grado de probabilidad de ocurrencia de la especie es más bajo.</w:t>
      </w:r>
    </w:p>
    <w:p w14:paraId="182515F9" w14:textId="77777777" w:rsidR="00BC49CE" w:rsidRPr="00AA3F16"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s-ES"/>
        </w:rPr>
      </w:pPr>
      <w:r w:rsidRPr="00AA3F16">
        <w:rPr>
          <w:rFonts w:eastAsia="Cambria" w:cs="Arial"/>
          <w:color w:val="1C1D1E"/>
          <w:lang w:val="es-ES"/>
        </w:rPr>
        <w:t>Posiblemente extinta:</w:t>
      </w:r>
      <w:r w:rsidRPr="00AA3F16">
        <w:rPr>
          <w:rFonts w:eastAsia="Cambria" w:cs="Arial"/>
          <w:color w:val="2A2A2A"/>
          <w:shd w:val="clear" w:color="auto" w:fill="FFFFFF"/>
          <w:lang w:val="es-ES"/>
        </w:rPr>
        <w:t xml:space="preserve"> no existe registro de la especie en el área, pero se constató o creyó con anterioridad que la especie se encontraba muy probablemente en el área, pero lo más posible es que ahora esté extinguida localmente en dicha área porque se piensa que la desaparición del hábitat u otras amenazas probablemente hayan eliminado la especie y/o porque existe una falta de registros para los últimos 30 años.</w:t>
      </w:r>
    </w:p>
    <w:p w14:paraId="61C8C1C7" w14:textId="77777777" w:rsidR="00BC49CE" w:rsidRPr="00AA3F16"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s-ES"/>
        </w:rPr>
      </w:pPr>
      <w:r w:rsidRPr="00AA3F16">
        <w:rPr>
          <w:rFonts w:eastAsia="Cambria" w:cs="Arial"/>
          <w:color w:val="1C1D1E"/>
          <w:lang w:val="es-ES"/>
        </w:rPr>
        <w:t>Presencia no segura: se constató o creyó con anterioridad que la especie se daba con mucha probabilidad en el área, pero ya no se constata si tal situación es la misma todavía.</w:t>
      </w:r>
    </w:p>
    <w:p w14:paraId="6DBEE4B4" w14:textId="77777777" w:rsidR="00BC49CE" w:rsidRPr="00AA3F16" w:rsidRDefault="00BC49CE" w:rsidP="00BC49CE">
      <w:pPr>
        <w:widowControl w:val="0"/>
        <w:pBdr>
          <w:top w:val="nil"/>
          <w:left w:val="nil"/>
          <w:bottom w:val="nil"/>
          <w:right w:val="nil"/>
          <w:between w:val="nil"/>
        </w:pBdr>
        <w:jc w:val="both"/>
        <w:rPr>
          <w:rFonts w:eastAsia="Times New Roman" w:cs="Arial"/>
          <w:lang w:val="es-ES" w:eastAsia="en-GB"/>
        </w:rPr>
      </w:pPr>
    </w:p>
    <w:p w14:paraId="4F58BF6E" w14:textId="1A6E6AD8" w:rsidR="00BC49CE" w:rsidRPr="00AA3F16" w:rsidRDefault="00BC49CE" w:rsidP="00BC49CE">
      <w:pPr>
        <w:widowControl w:val="0"/>
        <w:pBdr>
          <w:top w:val="nil"/>
          <w:left w:val="nil"/>
          <w:bottom w:val="nil"/>
          <w:right w:val="nil"/>
          <w:between w:val="nil"/>
        </w:pBdr>
        <w:jc w:val="both"/>
        <w:rPr>
          <w:rFonts w:eastAsia="Times New Roman" w:cs="Arial"/>
          <w:lang w:val="es-ES" w:eastAsia="en-GB"/>
        </w:rPr>
      </w:pPr>
      <w:r w:rsidRPr="00AA3F16">
        <w:rPr>
          <w:rFonts w:eastAsia="Times New Roman" w:cs="Arial"/>
          <w:b/>
          <w:bCs/>
          <w:lang w:val="es-ES" w:eastAsia="es-ES"/>
        </w:rPr>
        <w:t>Tabla 4:</w:t>
      </w:r>
      <w:r w:rsidRPr="00AA3F16">
        <w:rPr>
          <w:rFonts w:eastAsia="Times New Roman" w:cs="Arial"/>
          <w:lang w:val="es-ES" w:eastAsia="es-ES"/>
        </w:rPr>
        <w:t xml:space="preserve"> Lista de los Estados del área de distribución del Mar Mediterráneo con el estado de presencia del Angelote (</w:t>
      </w:r>
      <w:proofErr w:type="spellStart"/>
      <w:r w:rsidRPr="00AA3F16">
        <w:rPr>
          <w:rFonts w:eastAsia="Times New Roman" w:cs="Arial"/>
          <w:i/>
          <w:iCs/>
          <w:lang w:val="es-ES" w:eastAsia="es-ES"/>
        </w:rPr>
        <w:t>Squatina</w:t>
      </w:r>
      <w:proofErr w:type="spellEnd"/>
      <w:r w:rsidRPr="00AA3F16">
        <w:rPr>
          <w:rFonts w:eastAsia="Times New Roman" w:cs="Arial"/>
          <w:i/>
          <w:iCs/>
          <w:lang w:val="es-ES" w:eastAsia="es-ES"/>
        </w:rPr>
        <w:t xml:space="preserve"> </w:t>
      </w:r>
      <w:proofErr w:type="spellStart"/>
      <w:r w:rsidRPr="00AA3F16">
        <w:rPr>
          <w:rFonts w:eastAsia="Times New Roman" w:cs="Arial"/>
          <w:i/>
          <w:iCs/>
          <w:lang w:val="es-ES" w:eastAsia="es-ES"/>
        </w:rPr>
        <w:t>squatina</w:t>
      </w:r>
      <w:proofErr w:type="spellEnd"/>
      <w:r w:rsidRPr="00AA3F16">
        <w:rPr>
          <w:rFonts w:eastAsia="Times New Roman" w:cs="Arial"/>
          <w:lang w:val="es-ES" w:eastAsia="es-ES"/>
        </w:rPr>
        <w:t xml:space="preserve">) y una indicación de si son una parte o signatario miembro de o bien la CMS o el </w:t>
      </w:r>
      <w:proofErr w:type="spellStart"/>
      <w:r w:rsidRPr="00AA3F16">
        <w:rPr>
          <w:rFonts w:eastAsia="Times New Roman" w:cs="Arial"/>
          <w:lang w:val="es-ES" w:eastAsia="es-ES"/>
        </w:rPr>
        <w:t>MdE</w:t>
      </w:r>
      <w:proofErr w:type="spellEnd"/>
      <w:r w:rsidRPr="00AA3F16">
        <w:rPr>
          <w:rFonts w:eastAsia="Times New Roman" w:cs="Arial"/>
          <w:lang w:val="es-ES" w:eastAsia="es-ES"/>
        </w:rPr>
        <w:t xml:space="preserve"> sobre los Tiburones. Los estados de presencia se basan en Lawson </w:t>
      </w:r>
      <w:r w:rsidRPr="00AA3F16">
        <w:rPr>
          <w:rFonts w:eastAsia="Times New Roman" w:cs="Arial"/>
          <w:i/>
          <w:iCs/>
          <w:lang w:val="es-ES" w:eastAsia="es-ES"/>
        </w:rPr>
        <w:t>et al.</w:t>
      </w:r>
      <w:r w:rsidRPr="00AA3F16">
        <w:rPr>
          <w:rFonts w:eastAsia="Times New Roman" w:cs="Arial"/>
          <w:lang w:val="es-ES" w:eastAsia="es-ES"/>
        </w:rPr>
        <w:t xml:space="preserve"> (2020) o, de estar disponible, en la información más reciente. Se ha descrito en los pies de página siguientes, en caso de que </w:t>
      </w:r>
      <w:proofErr w:type="spellStart"/>
      <w:r w:rsidRPr="00AA3F16">
        <w:rPr>
          <w:rFonts w:eastAsia="Times New Roman" w:cs="Arial"/>
          <w:lang w:val="es-ES" w:eastAsia="es-ES"/>
        </w:rPr>
        <w:t>Morey</w:t>
      </w:r>
      <w:proofErr w:type="spellEnd"/>
      <w:r w:rsidRPr="00AA3F16">
        <w:rPr>
          <w:rFonts w:eastAsia="Times New Roman" w:cs="Arial"/>
          <w:lang w:val="es-ES" w:eastAsia="es-ES"/>
        </w:rPr>
        <w:t xml:space="preserve"> </w:t>
      </w:r>
      <w:r w:rsidRPr="00AA3F16">
        <w:rPr>
          <w:rFonts w:eastAsia="Times New Roman" w:cs="Arial"/>
          <w:i/>
          <w:iCs/>
          <w:lang w:val="es-ES" w:eastAsia="es-ES"/>
        </w:rPr>
        <w:t>et al.</w:t>
      </w:r>
      <w:r w:rsidRPr="00AA3F16">
        <w:rPr>
          <w:rFonts w:eastAsia="Times New Roman" w:cs="Arial"/>
          <w:lang w:val="es-ES" w:eastAsia="es-ES"/>
        </w:rPr>
        <w:t xml:space="preserve"> (2019) u otra fuente ofrezca un estado de presencia distinto a Lawson </w:t>
      </w:r>
      <w:r w:rsidRPr="00AA3F16">
        <w:rPr>
          <w:rFonts w:eastAsia="Times New Roman" w:cs="Arial"/>
          <w:i/>
          <w:iCs/>
          <w:lang w:val="es-ES" w:eastAsia="es-ES"/>
        </w:rPr>
        <w:t>et al.</w:t>
      </w:r>
      <w:r w:rsidRPr="00AA3F16">
        <w:rPr>
          <w:rFonts w:eastAsia="Times New Roman" w:cs="Arial"/>
          <w:lang w:val="es-ES" w:eastAsia="es-ES"/>
        </w:rPr>
        <w:t xml:space="preserve"> (2020). A menos que haya otra indicación, ambas fuentes (Lawson </w:t>
      </w:r>
      <w:r w:rsidRPr="00AA3F16">
        <w:rPr>
          <w:rFonts w:eastAsia="Times New Roman" w:cs="Arial"/>
          <w:i/>
          <w:iCs/>
          <w:lang w:val="es-ES" w:eastAsia="es-ES"/>
        </w:rPr>
        <w:t>et al.</w:t>
      </w:r>
      <w:r w:rsidRPr="00AA3F16">
        <w:rPr>
          <w:rFonts w:eastAsia="Times New Roman" w:cs="Arial"/>
          <w:lang w:val="es-ES" w:eastAsia="es-ES"/>
        </w:rPr>
        <w:t xml:space="preserve"> 2020 y </w:t>
      </w:r>
      <w:proofErr w:type="spellStart"/>
      <w:r w:rsidRPr="00AA3F16">
        <w:rPr>
          <w:rFonts w:eastAsia="Times New Roman" w:cs="Arial"/>
          <w:lang w:val="es-ES" w:eastAsia="es-ES"/>
        </w:rPr>
        <w:t>Morey</w:t>
      </w:r>
      <w:proofErr w:type="spellEnd"/>
      <w:r w:rsidRPr="00AA3F16">
        <w:rPr>
          <w:rFonts w:eastAsia="Times New Roman" w:cs="Arial"/>
          <w:lang w:val="es-ES" w:eastAsia="es-ES"/>
        </w:rPr>
        <w:t xml:space="preserve"> </w:t>
      </w:r>
      <w:r w:rsidRPr="00AA3F16">
        <w:rPr>
          <w:rFonts w:eastAsia="Times New Roman" w:cs="Arial"/>
          <w:i/>
          <w:iCs/>
          <w:lang w:val="es-ES" w:eastAsia="es-ES"/>
        </w:rPr>
        <w:t>et al.</w:t>
      </w:r>
      <w:r w:rsidRPr="00AA3F16">
        <w:rPr>
          <w:rFonts w:eastAsia="Times New Roman" w:cs="Arial"/>
          <w:lang w:val="es-ES" w:eastAsia="es-ES"/>
        </w:rPr>
        <w:t xml:space="preserve"> 2019) determinan el mismo estado de presencia según el Estado del área de distribución. "No evaluado" significa que el Angelote no ha sido evaluado en el área, ya fuese por </w:t>
      </w:r>
      <w:proofErr w:type="spellStart"/>
      <w:r w:rsidRPr="00AA3F16">
        <w:rPr>
          <w:rFonts w:eastAsia="Times New Roman" w:cs="Arial"/>
          <w:lang w:val="es-ES" w:eastAsia="es-ES"/>
        </w:rPr>
        <w:t>Morey</w:t>
      </w:r>
      <w:proofErr w:type="spellEnd"/>
      <w:r w:rsidRPr="00AA3F16">
        <w:rPr>
          <w:rFonts w:eastAsia="Times New Roman" w:cs="Arial"/>
          <w:lang w:val="es-ES" w:eastAsia="es-ES"/>
        </w:rPr>
        <w:t xml:space="preserve"> </w:t>
      </w:r>
      <w:r w:rsidRPr="00AA3F16">
        <w:rPr>
          <w:rFonts w:eastAsia="Times New Roman" w:cs="Arial"/>
          <w:i/>
          <w:iCs/>
          <w:lang w:val="es-ES" w:eastAsia="es-ES"/>
        </w:rPr>
        <w:t>et al.</w:t>
      </w:r>
      <w:r w:rsidRPr="00AA3F16">
        <w:rPr>
          <w:rFonts w:eastAsia="Times New Roman" w:cs="Arial"/>
          <w:lang w:val="es-ES" w:eastAsia="es-ES"/>
        </w:rPr>
        <w:t xml:space="preserve"> (2019) o por Lawson </w:t>
      </w:r>
      <w:r w:rsidRPr="00AA3F16">
        <w:rPr>
          <w:rFonts w:eastAsia="Times New Roman" w:cs="Arial"/>
          <w:i/>
          <w:iCs/>
          <w:lang w:val="es-ES" w:eastAsia="es-ES"/>
        </w:rPr>
        <w:t xml:space="preserve">et al. </w:t>
      </w:r>
      <w:r w:rsidRPr="00AA3F16">
        <w:rPr>
          <w:rFonts w:eastAsia="Times New Roman" w:cs="Arial"/>
          <w:lang w:val="es-ES" w:eastAsia="es-ES"/>
        </w:rPr>
        <w:t>(2020). (</w:t>
      </w:r>
      <w:r w:rsidRPr="00AA3F16">
        <w:rPr>
          <w:rFonts w:ascii="Segoe UI Symbol" w:eastAsia="Times New Roman" w:hAnsi="Segoe UI Symbol" w:cs="Segoe UI Symbol"/>
          <w:lang w:val="es-ES" w:eastAsia="es-ES"/>
        </w:rPr>
        <w:t>✓)</w:t>
      </w:r>
      <w:r w:rsidRPr="00AA3F16">
        <w:rPr>
          <w:rFonts w:eastAsia="Times New Roman" w:cs="Arial"/>
          <w:lang w:val="es-ES" w:eastAsia="es-ES"/>
        </w:rPr>
        <w:t xml:space="preserve"> indica la Parte de la CMS y el Signatario del </w:t>
      </w:r>
      <w:proofErr w:type="spellStart"/>
      <w:r w:rsidRPr="00AA3F16">
        <w:rPr>
          <w:rFonts w:eastAsia="Times New Roman" w:cs="Arial"/>
          <w:lang w:val="es-ES" w:eastAsia="es-ES"/>
        </w:rPr>
        <w:t>MdE</w:t>
      </w:r>
      <w:proofErr w:type="spellEnd"/>
      <w:r w:rsidRPr="00AA3F16">
        <w:rPr>
          <w:rFonts w:eastAsia="Times New Roman" w:cs="Arial"/>
          <w:lang w:val="es-ES" w:eastAsia="es-ES"/>
        </w:rPr>
        <w:t xml:space="preserve"> sobre Tiburones. (-) indica una No-Parte de la CMS o un No-Signatario del </w:t>
      </w:r>
      <w:proofErr w:type="spellStart"/>
      <w:r w:rsidRPr="00AA3F16">
        <w:rPr>
          <w:rFonts w:eastAsia="Times New Roman" w:cs="Arial"/>
          <w:lang w:val="es-ES" w:eastAsia="es-ES"/>
        </w:rPr>
        <w:t>MdE</w:t>
      </w:r>
      <w:proofErr w:type="spellEnd"/>
      <w:r w:rsidRPr="00AA3F16">
        <w:rPr>
          <w:rFonts w:eastAsia="Times New Roman" w:cs="Arial"/>
          <w:lang w:val="es-ES" w:eastAsia="es-ES"/>
        </w:rPr>
        <w:t xml:space="preserve"> sobre Tiburones.</w:t>
      </w:r>
    </w:p>
    <w:p w14:paraId="1AB4CA7C" w14:textId="3322D20F" w:rsidR="00BC49CE" w:rsidRPr="00AA3F16" w:rsidRDefault="00BC49CE" w:rsidP="00BC49CE">
      <w:pPr>
        <w:widowControl w:val="0"/>
        <w:pBdr>
          <w:top w:val="nil"/>
          <w:left w:val="nil"/>
          <w:bottom w:val="nil"/>
          <w:right w:val="nil"/>
          <w:between w:val="nil"/>
        </w:pBdr>
        <w:rPr>
          <w:rFonts w:eastAsia="Times New Roman" w:cs="Arial"/>
          <w:lang w:val="es-ES" w:eastAsia="en-GB"/>
        </w:rPr>
      </w:pPr>
    </w:p>
    <w:p w14:paraId="59E1574C" w14:textId="77777777" w:rsidR="00BC49CE" w:rsidRPr="00AA3F16" w:rsidRDefault="00BC49CE" w:rsidP="00BC49CE">
      <w:pPr>
        <w:widowControl w:val="0"/>
        <w:pBdr>
          <w:top w:val="nil"/>
          <w:left w:val="nil"/>
          <w:bottom w:val="nil"/>
          <w:right w:val="nil"/>
          <w:between w:val="nil"/>
        </w:pBdr>
        <w:rPr>
          <w:rFonts w:eastAsia="Times New Roman" w:cs="Arial"/>
          <w:lang w:val="es-ES" w:eastAsia="en-GB"/>
        </w:rPr>
      </w:pPr>
    </w:p>
    <w:tbl>
      <w:tblPr>
        <w:tblStyle w:val="TableGrid"/>
        <w:tblW w:w="5000" w:type="pct"/>
        <w:tblLook w:val="04A0" w:firstRow="1" w:lastRow="0" w:firstColumn="1" w:lastColumn="0" w:noHBand="0" w:noVBand="1"/>
      </w:tblPr>
      <w:tblGrid>
        <w:gridCol w:w="4376"/>
        <w:gridCol w:w="2571"/>
        <w:gridCol w:w="858"/>
        <w:gridCol w:w="1725"/>
      </w:tblGrid>
      <w:tr w:rsidR="00BC49CE" w:rsidRPr="00AA3F16" w14:paraId="34FD44B6" w14:textId="77777777" w:rsidTr="009E0427">
        <w:trPr>
          <w:trHeight w:val="489"/>
          <w:tblHeader/>
        </w:trPr>
        <w:tc>
          <w:tcPr>
            <w:tcW w:w="2296" w:type="pct"/>
          </w:tcPr>
          <w:p w14:paraId="24C8C3A0" w14:textId="77777777" w:rsidR="00BC49CE" w:rsidRPr="00AA3F16" w:rsidRDefault="00BC49CE" w:rsidP="00BC49CE">
            <w:pPr>
              <w:widowControl w:val="0"/>
              <w:pBdr>
                <w:top w:val="nil"/>
                <w:left w:val="nil"/>
                <w:bottom w:val="nil"/>
                <w:right w:val="nil"/>
                <w:between w:val="nil"/>
              </w:pBdr>
              <w:rPr>
                <w:rFonts w:eastAsia="Arial" w:cs="Arial"/>
                <w:b/>
                <w:bCs/>
                <w:color w:val="000000"/>
                <w:sz w:val="21"/>
                <w:szCs w:val="21"/>
                <w:lang w:val="es-ES"/>
              </w:rPr>
            </w:pPr>
            <w:r w:rsidRPr="00AA3F16">
              <w:rPr>
                <w:rFonts w:eastAsia="Arial" w:cs="Arial"/>
                <w:b/>
                <w:bCs/>
                <w:color w:val="000000"/>
                <w:sz w:val="21"/>
                <w:szCs w:val="21"/>
                <w:lang w:val="es-ES"/>
              </w:rPr>
              <w:t>Estado del área de distribución (o Parte/Signatario)</w:t>
            </w:r>
          </w:p>
        </w:tc>
        <w:tc>
          <w:tcPr>
            <w:tcW w:w="1349" w:type="pct"/>
          </w:tcPr>
          <w:p w14:paraId="45059D07" w14:textId="06FFDF55" w:rsidR="00BC49CE" w:rsidRPr="00AA3F16" w:rsidRDefault="00BC49CE" w:rsidP="00BC49CE">
            <w:pPr>
              <w:widowControl w:val="0"/>
              <w:pBdr>
                <w:top w:val="nil"/>
                <w:left w:val="nil"/>
                <w:bottom w:val="nil"/>
                <w:right w:val="nil"/>
                <w:between w:val="nil"/>
              </w:pBdr>
              <w:rPr>
                <w:rFonts w:cs="Arial"/>
                <w:b/>
                <w:bCs/>
                <w:sz w:val="21"/>
                <w:szCs w:val="21"/>
                <w:lang w:val="es-ES"/>
              </w:rPr>
            </w:pPr>
            <w:r w:rsidRPr="00AA3F16">
              <w:rPr>
                <w:rFonts w:cs="Arial"/>
                <w:b/>
                <w:bCs/>
                <w:sz w:val="21"/>
                <w:szCs w:val="21"/>
                <w:lang w:val="es-ES"/>
              </w:rPr>
              <w:t xml:space="preserve">Presencia </w:t>
            </w:r>
            <w:r w:rsidRPr="00AA3F16">
              <w:rPr>
                <w:rFonts w:cs="Arial"/>
                <w:sz w:val="21"/>
                <w:szCs w:val="21"/>
                <w:lang w:val="es-ES"/>
              </w:rPr>
              <w:t>(de acuerdo con</w:t>
            </w:r>
            <w:r w:rsidRPr="00AA3F16">
              <w:rPr>
                <w:rFonts w:cs="Arial"/>
                <w:b/>
                <w:bCs/>
                <w:sz w:val="21"/>
                <w:szCs w:val="21"/>
                <w:lang w:val="es-ES"/>
              </w:rPr>
              <w:t xml:space="preserve"> </w:t>
            </w:r>
            <w:r w:rsidRPr="00AA3F16">
              <w:rPr>
                <w:rFonts w:cs="Arial"/>
                <w:sz w:val="21"/>
                <w:szCs w:val="21"/>
                <w:lang w:val="es-ES"/>
              </w:rPr>
              <w:t>Lawson et al. 2020</w:t>
            </w:r>
            <w:r w:rsidRPr="00AA3F16">
              <w:rPr>
                <w:rFonts w:cs="Arial"/>
                <w:i/>
                <w:iCs/>
                <w:sz w:val="21"/>
                <w:szCs w:val="21"/>
                <w:lang w:val="es-ES"/>
              </w:rPr>
              <w:t>)</w:t>
            </w:r>
          </w:p>
        </w:tc>
        <w:tc>
          <w:tcPr>
            <w:tcW w:w="450" w:type="pct"/>
          </w:tcPr>
          <w:p w14:paraId="0365EF76" w14:textId="77777777" w:rsidR="00BC49CE" w:rsidRPr="00AA3F16" w:rsidRDefault="00BC49CE" w:rsidP="00BC49CE">
            <w:pPr>
              <w:widowControl w:val="0"/>
              <w:pBdr>
                <w:top w:val="nil"/>
                <w:left w:val="nil"/>
                <w:bottom w:val="nil"/>
                <w:right w:val="nil"/>
                <w:between w:val="nil"/>
              </w:pBdr>
              <w:rPr>
                <w:rFonts w:cs="Arial"/>
                <w:b/>
                <w:bCs/>
                <w:sz w:val="21"/>
                <w:szCs w:val="21"/>
                <w:lang w:val="es-ES"/>
              </w:rPr>
            </w:pPr>
            <w:r w:rsidRPr="00AA3F16">
              <w:rPr>
                <w:rFonts w:cs="Arial"/>
                <w:b/>
                <w:bCs/>
                <w:sz w:val="21"/>
                <w:szCs w:val="21"/>
                <w:lang w:val="es-ES"/>
              </w:rPr>
              <w:t>CMS</w:t>
            </w:r>
          </w:p>
        </w:tc>
        <w:tc>
          <w:tcPr>
            <w:tcW w:w="906" w:type="pct"/>
          </w:tcPr>
          <w:p w14:paraId="78A03424" w14:textId="77777777" w:rsidR="00BC49CE" w:rsidRPr="00AA3F16" w:rsidRDefault="00BC49CE" w:rsidP="00BC49CE">
            <w:pPr>
              <w:widowControl w:val="0"/>
              <w:pBdr>
                <w:top w:val="nil"/>
                <w:left w:val="nil"/>
                <w:bottom w:val="nil"/>
                <w:right w:val="nil"/>
                <w:between w:val="nil"/>
              </w:pBdr>
              <w:rPr>
                <w:rFonts w:cs="Arial"/>
                <w:b/>
                <w:bCs/>
                <w:sz w:val="21"/>
                <w:szCs w:val="21"/>
                <w:lang w:val="es-ES"/>
              </w:rPr>
            </w:pPr>
            <w:proofErr w:type="spellStart"/>
            <w:r w:rsidRPr="00AA3F16">
              <w:rPr>
                <w:rFonts w:cs="Arial"/>
                <w:b/>
                <w:bCs/>
                <w:sz w:val="21"/>
                <w:szCs w:val="21"/>
                <w:lang w:val="es-ES"/>
              </w:rPr>
              <w:t>MdE</w:t>
            </w:r>
            <w:proofErr w:type="spellEnd"/>
            <w:r w:rsidRPr="00AA3F16">
              <w:rPr>
                <w:rFonts w:cs="Arial"/>
                <w:b/>
                <w:bCs/>
                <w:sz w:val="21"/>
                <w:szCs w:val="21"/>
                <w:lang w:val="es-ES"/>
              </w:rPr>
              <w:t xml:space="preserve"> sobre Tiburones</w:t>
            </w:r>
          </w:p>
        </w:tc>
      </w:tr>
      <w:tr w:rsidR="00BC49CE" w:rsidRPr="00AA3F16" w14:paraId="2E0A3DE4" w14:textId="77777777" w:rsidTr="00BC49CE">
        <w:trPr>
          <w:trHeight w:val="279"/>
        </w:trPr>
        <w:tc>
          <w:tcPr>
            <w:tcW w:w="2296" w:type="pct"/>
          </w:tcPr>
          <w:p w14:paraId="7341C8DD"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Unión Europea</w:t>
            </w:r>
          </w:p>
        </w:tc>
        <w:tc>
          <w:tcPr>
            <w:tcW w:w="1349" w:type="pct"/>
          </w:tcPr>
          <w:p w14:paraId="3DC3C2D1"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1A15A192"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4AE4291E"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06706ECC" w14:textId="77777777" w:rsidTr="00BC49CE">
        <w:trPr>
          <w:trHeight w:val="256"/>
        </w:trPr>
        <w:tc>
          <w:tcPr>
            <w:tcW w:w="2296" w:type="pct"/>
          </w:tcPr>
          <w:p w14:paraId="59F50D12"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Albania</w:t>
            </w:r>
          </w:p>
        </w:tc>
        <w:tc>
          <w:tcPr>
            <w:tcW w:w="1349" w:type="pct"/>
          </w:tcPr>
          <w:p w14:paraId="2903630D"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01FBB8B4"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30E96FBD"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7BF1FCA6" w14:textId="77777777" w:rsidTr="00BC49CE">
        <w:trPr>
          <w:trHeight w:val="279"/>
        </w:trPr>
        <w:tc>
          <w:tcPr>
            <w:tcW w:w="2296" w:type="pct"/>
          </w:tcPr>
          <w:p w14:paraId="22573704"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Argelia</w:t>
            </w:r>
          </w:p>
        </w:tc>
        <w:tc>
          <w:tcPr>
            <w:tcW w:w="1349" w:type="pct"/>
          </w:tcPr>
          <w:p w14:paraId="06E6630F"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4F72D851"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03E1792A"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5BF6141F" w14:textId="77777777" w:rsidTr="00BC49CE">
        <w:trPr>
          <w:trHeight w:val="489"/>
        </w:trPr>
        <w:tc>
          <w:tcPr>
            <w:tcW w:w="2296" w:type="pct"/>
          </w:tcPr>
          <w:p w14:paraId="0D765595"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Bosnia-Herzegovina</w:t>
            </w:r>
          </w:p>
        </w:tc>
        <w:tc>
          <w:tcPr>
            <w:tcW w:w="1349" w:type="pct"/>
          </w:tcPr>
          <w:p w14:paraId="0FBDF08D"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04C20647"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227775FC"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4A16FC79" w14:textId="77777777" w:rsidTr="00BC49CE">
        <w:trPr>
          <w:trHeight w:val="290"/>
        </w:trPr>
        <w:tc>
          <w:tcPr>
            <w:tcW w:w="2296" w:type="pct"/>
          </w:tcPr>
          <w:p w14:paraId="0A6EBF5C"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Croacia</w:t>
            </w:r>
          </w:p>
        </w:tc>
        <w:tc>
          <w:tcPr>
            <w:tcW w:w="1349" w:type="pct"/>
          </w:tcPr>
          <w:p w14:paraId="55AFD495"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557B3FC1"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7449B0F7"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0F5BEFF9" w14:textId="77777777" w:rsidTr="00BC49CE">
        <w:trPr>
          <w:trHeight w:val="244"/>
        </w:trPr>
        <w:tc>
          <w:tcPr>
            <w:tcW w:w="2296" w:type="pct"/>
          </w:tcPr>
          <w:p w14:paraId="6EE09AD3"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Chipr</w:t>
            </w:r>
            <w:r w:rsidRPr="00AA3F16">
              <w:rPr>
                <w:rFonts w:eastAsia="Arial" w:cs="Arial"/>
                <w:sz w:val="21"/>
                <w:szCs w:val="21"/>
                <w:lang w:val="es-ES"/>
              </w:rPr>
              <w:t>e</w:t>
            </w:r>
            <w:r w:rsidRPr="00AA3F16">
              <w:rPr>
                <w:rFonts w:eastAsia="Calibri" w:cs="Arial"/>
                <w:sz w:val="21"/>
                <w:szCs w:val="21"/>
                <w:vertAlign w:val="superscript"/>
                <w:lang w:val="es-ES"/>
              </w:rPr>
              <w:footnoteReference w:id="11"/>
            </w:r>
          </w:p>
        </w:tc>
        <w:tc>
          <w:tcPr>
            <w:tcW w:w="1349" w:type="pct"/>
          </w:tcPr>
          <w:p w14:paraId="39A08DEF" w14:textId="77777777" w:rsidR="00BC49CE" w:rsidRPr="00AA3F16" w:rsidRDefault="00BC49CE" w:rsidP="00BC49CE">
            <w:pPr>
              <w:widowControl w:val="0"/>
              <w:pBdr>
                <w:top w:val="nil"/>
                <w:left w:val="nil"/>
                <w:bottom w:val="nil"/>
                <w:right w:val="nil"/>
                <w:between w:val="nil"/>
              </w:pBdr>
              <w:rPr>
                <w:rFonts w:eastAsia="Calibri" w:cs="Arial"/>
                <w:color w:val="FF0000"/>
                <w:sz w:val="21"/>
                <w:szCs w:val="21"/>
                <w:lang w:val="es-ES"/>
              </w:rPr>
            </w:pPr>
            <w:r w:rsidRPr="00AA3F16">
              <w:rPr>
                <w:rFonts w:eastAsia="Calibri" w:cs="Arial"/>
                <w:sz w:val="21"/>
                <w:szCs w:val="21"/>
                <w:lang w:val="es-ES"/>
              </w:rPr>
              <w:t>Conservado</w:t>
            </w:r>
          </w:p>
        </w:tc>
        <w:tc>
          <w:tcPr>
            <w:tcW w:w="450" w:type="pct"/>
          </w:tcPr>
          <w:p w14:paraId="5F71D846"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2D82D617"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513AA40A" w14:textId="77777777" w:rsidTr="00BC49CE">
        <w:trPr>
          <w:trHeight w:val="149"/>
        </w:trPr>
        <w:tc>
          <w:tcPr>
            <w:tcW w:w="2296" w:type="pct"/>
          </w:tcPr>
          <w:p w14:paraId="5511DF19"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Egipto</w:t>
            </w:r>
          </w:p>
        </w:tc>
        <w:tc>
          <w:tcPr>
            <w:tcW w:w="1349" w:type="pct"/>
          </w:tcPr>
          <w:p w14:paraId="29A8B267"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47D0D79C"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31EC4C5F"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3A901F11" w14:textId="77777777" w:rsidTr="00BC49CE">
        <w:trPr>
          <w:trHeight w:val="232"/>
        </w:trPr>
        <w:tc>
          <w:tcPr>
            <w:tcW w:w="2296" w:type="pct"/>
          </w:tcPr>
          <w:p w14:paraId="51B3F111" w14:textId="77777777" w:rsidR="00BC49CE" w:rsidRPr="00AA3F16" w:rsidRDefault="00BC49CE" w:rsidP="00BC49CE">
            <w:pPr>
              <w:widowControl w:val="0"/>
              <w:pBdr>
                <w:top w:val="nil"/>
                <w:left w:val="nil"/>
                <w:bottom w:val="nil"/>
                <w:right w:val="nil"/>
                <w:between w:val="nil"/>
              </w:pBdr>
              <w:rPr>
                <w:rFonts w:eastAsia="Arial" w:cs="Arial"/>
                <w:sz w:val="21"/>
                <w:szCs w:val="21"/>
                <w:lang w:val="es-ES"/>
              </w:rPr>
            </w:pPr>
            <w:r w:rsidRPr="00AA3F16">
              <w:rPr>
                <w:rFonts w:eastAsia="Arial" w:cs="Arial"/>
                <w:color w:val="000000"/>
                <w:sz w:val="21"/>
                <w:szCs w:val="21"/>
                <w:lang w:val="es-ES"/>
              </w:rPr>
              <w:lastRenderedPageBreak/>
              <w:t>Francia</w:t>
            </w:r>
            <w:r w:rsidRPr="00AA3F16">
              <w:rPr>
                <w:rFonts w:eastAsia="Arial" w:cs="Arial"/>
                <w:sz w:val="21"/>
                <w:szCs w:val="21"/>
                <w:lang w:val="es-ES"/>
              </w:rPr>
              <w:t>:</w:t>
            </w:r>
          </w:p>
        </w:tc>
        <w:tc>
          <w:tcPr>
            <w:tcW w:w="1349" w:type="pct"/>
          </w:tcPr>
          <w:p w14:paraId="7F34066B"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p>
        </w:tc>
        <w:tc>
          <w:tcPr>
            <w:tcW w:w="450" w:type="pct"/>
            <w:vMerge w:val="restart"/>
          </w:tcPr>
          <w:p w14:paraId="09E730A2" w14:textId="77777777" w:rsidR="00BC49CE" w:rsidRPr="00AA3F16" w:rsidRDefault="00BC49CE" w:rsidP="00BC49CE">
            <w:pPr>
              <w:widowControl w:val="0"/>
              <w:pBdr>
                <w:top w:val="nil"/>
                <w:left w:val="nil"/>
                <w:bottom w:val="nil"/>
                <w:right w:val="nil"/>
                <w:between w:val="nil"/>
              </w:pBdr>
              <w:jc w:val="center"/>
              <w:rPr>
                <w:rFonts w:eastAsia="Arial" w:cs="Arial"/>
                <w:sz w:val="21"/>
                <w:szCs w:val="21"/>
                <w:lang w:val="es-ES"/>
              </w:rPr>
            </w:pPr>
            <w:r w:rsidRPr="00AA3F16">
              <w:rPr>
                <w:rFonts w:ascii="Segoe UI Symbol" w:eastAsia="Calibri" w:hAnsi="Segoe UI Symbol" w:cs="Segoe UI Symbol"/>
                <w:b/>
                <w:bCs/>
                <w:color w:val="000000"/>
                <w:sz w:val="21"/>
                <w:szCs w:val="21"/>
                <w:lang w:val="es-ES"/>
              </w:rPr>
              <w:t>✓</w:t>
            </w:r>
          </w:p>
        </w:tc>
        <w:tc>
          <w:tcPr>
            <w:tcW w:w="906" w:type="pct"/>
            <w:vMerge w:val="restart"/>
          </w:tcPr>
          <w:p w14:paraId="054170C6" w14:textId="77777777" w:rsidR="00BC49CE" w:rsidRPr="00AA3F16" w:rsidRDefault="00BC49CE" w:rsidP="00BC49CE">
            <w:pPr>
              <w:widowControl w:val="0"/>
              <w:pBdr>
                <w:top w:val="nil"/>
                <w:left w:val="nil"/>
                <w:bottom w:val="nil"/>
                <w:right w:val="nil"/>
                <w:between w:val="nil"/>
              </w:pBdr>
              <w:jc w:val="center"/>
              <w:rPr>
                <w:rFonts w:eastAsia="Arial" w:cs="Arial"/>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5C3737BB" w14:textId="77777777" w:rsidTr="00BC49CE">
        <w:trPr>
          <w:trHeight w:val="185"/>
        </w:trPr>
        <w:tc>
          <w:tcPr>
            <w:tcW w:w="2296" w:type="pct"/>
          </w:tcPr>
          <w:p w14:paraId="46049F6D" w14:textId="77777777" w:rsidR="00BC49CE" w:rsidRPr="00AA3F16" w:rsidRDefault="00BC49CE" w:rsidP="00BC49CE">
            <w:pPr>
              <w:widowControl w:val="0"/>
              <w:pBdr>
                <w:top w:val="nil"/>
                <w:left w:val="nil"/>
                <w:bottom w:val="nil"/>
                <w:right w:val="nil"/>
                <w:between w:val="nil"/>
              </w:pBdr>
              <w:ind w:firstLine="252"/>
              <w:rPr>
                <w:rFonts w:eastAsia="Arial" w:cs="Arial"/>
                <w:color w:val="000000"/>
                <w:sz w:val="21"/>
                <w:szCs w:val="21"/>
                <w:lang w:val="es-ES"/>
              </w:rPr>
            </w:pPr>
            <w:r w:rsidRPr="00AA3F16">
              <w:rPr>
                <w:rFonts w:eastAsia="Arial" w:cs="Arial"/>
                <w:color w:val="000000"/>
                <w:sz w:val="21"/>
                <w:szCs w:val="21"/>
                <w:lang w:val="es-ES"/>
              </w:rPr>
              <w:t>Costa mediterránea</w:t>
            </w:r>
          </w:p>
        </w:tc>
        <w:tc>
          <w:tcPr>
            <w:tcW w:w="1349" w:type="pct"/>
          </w:tcPr>
          <w:p w14:paraId="3A64E0AE"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Presencia no segura</w:t>
            </w:r>
          </w:p>
        </w:tc>
        <w:tc>
          <w:tcPr>
            <w:tcW w:w="450" w:type="pct"/>
            <w:vMerge/>
          </w:tcPr>
          <w:p w14:paraId="4B0C4302"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30738EBA"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1DAEE8D8" w14:textId="77777777" w:rsidTr="00BC49CE">
        <w:trPr>
          <w:trHeight w:val="268"/>
        </w:trPr>
        <w:tc>
          <w:tcPr>
            <w:tcW w:w="2296" w:type="pct"/>
          </w:tcPr>
          <w:p w14:paraId="404EB5DE" w14:textId="542BE5FC" w:rsidR="00BC49CE" w:rsidRPr="00AA3F16" w:rsidRDefault="00BC49CE" w:rsidP="00BC49CE">
            <w:pPr>
              <w:widowControl w:val="0"/>
              <w:pBdr>
                <w:top w:val="nil"/>
                <w:left w:val="nil"/>
                <w:bottom w:val="nil"/>
                <w:right w:val="nil"/>
                <w:between w:val="nil"/>
              </w:pBdr>
              <w:ind w:firstLine="252"/>
              <w:rPr>
                <w:rFonts w:eastAsia="Arial" w:cs="Arial"/>
                <w:color w:val="000000"/>
                <w:sz w:val="21"/>
                <w:szCs w:val="21"/>
                <w:lang w:val="es-ES"/>
              </w:rPr>
            </w:pPr>
            <w:r w:rsidRPr="00AA3F16">
              <w:rPr>
                <w:rFonts w:eastAsia="Arial" w:cs="Arial"/>
                <w:color w:val="000000"/>
                <w:sz w:val="21"/>
                <w:szCs w:val="21"/>
                <w:lang w:val="es-ES"/>
              </w:rPr>
              <w:t>Córcega</w:t>
            </w:r>
          </w:p>
        </w:tc>
        <w:tc>
          <w:tcPr>
            <w:tcW w:w="1349" w:type="pct"/>
          </w:tcPr>
          <w:p w14:paraId="26A3D094"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Conservado</w:t>
            </w:r>
          </w:p>
        </w:tc>
        <w:tc>
          <w:tcPr>
            <w:tcW w:w="450" w:type="pct"/>
            <w:vMerge/>
          </w:tcPr>
          <w:p w14:paraId="758589D1"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1F04FEC7"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75B6AE14" w14:textId="77777777" w:rsidTr="00BC49CE">
        <w:trPr>
          <w:trHeight w:val="250"/>
        </w:trPr>
        <w:tc>
          <w:tcPr>
            <w:tcW w:w="2296" w:type="pct"/>
          </w:tcPr>
          <w:p w14:paraId="5A27640F"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Grecia:</w:t>
            </w:r>
          </w:p>
        </w:tc>
        <w:tc>
          <w:tcPr>
            <w:tcW w:w="1349" w:type="pct"/>
          </w:tcPr>
          <w:p w14:paraId="34367921"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p>
        </w:tc>
        <w:tc>
          <w:tcPr>
            <w:tcW w:w="450" w:type="pct"/>
            <w:vMerge w:val="restart"/>
          </w:tcPr>
          <w:p w14:paraId="28D1AD1F"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vMerge w:val="restart"/>
          </w:tcPr>
          <w:p w14:paraId="0EEB58B4"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20215DFD" w14:textId="77777777" w:rsidTr="00BC49CE">
        <w:trPr>
          <w:trHeight w:val="267"/>
        </w:trPr>
        <w:tc>
          <w:tcPr>
            <w:tcW w:w="2296" w:type="pct"/>
          </w:tcPr>
          <w:p w14:paraId="7C413A69"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Continental</w:t>
            </w:r>
          </w:p>
        </w:tc>
        <w:tc>
          <w:tcPr>
            <w:tcW w:w="1349" w:type="pct"/>
          </w:tcPr>
          <w:p w14:paraId="6D6AC5CD"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Conservado</w:t>
            </w:r>
          </w:p>
        </w:tc>
        <w:tc>
          <w:tcPr>
            <w:tcW w:w="450" w:type="pct"/>
            <w:vMerge/>
          </w:tcPr>
          <w:p w14:paraId="34334CD3"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2F16FE2A"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4D08BA86" w14:textId="77777777" w:rsidTr="00BC49CE">
        <w:trPr>
          <w:trHeight w:val="215"/>
        </w:trPr>
        <w:tc>
          <w:tcPr>
            <w:tcW w:w="2296" w:type="pct"/>
          </w:tcPr>
          <w:p w14:paraId="3B1F6663"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Creta</w:t>
            </w:r>
          </w:p>
        </w:tc>
        <w:tc>
          <w:tcPr>
            <w:tcW w:w="1349" w:type="pct"/>
          </w:tcPr>
          <w:p w14:paraId="3EA7B5A3"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Presencia no segura</w:t>
            </w:r>
          </w:p>
        </w:tc>
        <w:tc>
          <w:tcPr>
            <w:tcW w:w="450" w:type="pct"/>
            <w:vMerge/>
          </w:tcPr>
          <w:p w14:paraId="42F0079B"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0D60938A"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6CBF1B17" w14:textId="77777777" w:rsidTr="00BC49CE">
        <w:trPr>
          <w:trHeight w:val="215"/>
        </w:trPr>
        <w:tc>
          <w:tcPr>
            <w:tcW w:w="2296" w:type="pct"/>
          </w:tcPr>
          <w:p w14:paraId="62E872A8"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Mar Jónico</w:t>
            </w:r>
          </w:p>
        </w:tc>
        <w:tc>
          <w:tcPr>
            <w:tcW w:w="1349" w:type="pct"/>
          </w:tcPr>
          <w:p w14:paraId="0A8377EB"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No presente</w:t>
            </w:r>
          </w:p>
        </w:tc>
        <w:tc>
          <w:tcPr>
            <w:tcW w:w="450" w:type="pct"/>
            <w:vMerge/>
          </w:tcPr>
          <w:p w14:paraId="709C2086"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3098B0B0"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5FDC76BD" w14:textId="77777777" w:rsidTr="00BC49CE">
        <w:trPr>
          <w:trHeight w:val="215"/>
        </w:trPr>
        <w:tc>
          <w:tcPr>
            <w:tcW w:w="2296" w:type="pct"/>
          </w:tcPr>
          <w:p w14:paraId="7A7F224F"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Mar Egeo</w:t>
            </w:r>
          </w:p>
        </w:tc>
        <w:tc>
          <w:tcPr>
            <w:tcW w:w="1349" w:type="pct"/>
          </w:tcPr>
          <w:p w14:paraId="7A5432B2"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Conservado</w:t>
            </w:r>
          </w:p>
        </w:tc>
        <w:tc>
          <w:tcPr>
            <w:tcW w:w="450" w:type="pct"/>
          </w:tcPr>
          <w:p w14:paraId="0B29DC91"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tcPr>
          <w:p w14:paraId="5FFF4A91"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6E6965ED" w14:textId="77777777" w:rsidTr="00BC49CE">
        <w:trPr>
          <w:trHeight w:val="279"/>
        </w:trPr>
        <w:tc>
          <w:tcPr>
            <w:tcW w:w="2296" w:type="pct"/>
          </w:tcPr>
          <w:p w14:paraId="27C4173D"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Israel</w:t>
            </w:r>
          </w:p>
        </w:tc>
        <w:tc>
          <w:tcPr>
            <w:tcW w:w="1349" w:type="pct"/>
          </w:tcPr>
          <w:p w14:paraId="28BC4C30"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5AC39CC9"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1D62B293"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22893DFF" w14:textId="77777777" w:rsidTr="00BC49CE">
        <w:trPr>
          <w:trHeight w:val="244"/>
        </w:trPr>
        <w:tc>
          <w:tcPr>
            <w:tcW w:w="2296" w:type="pct"/>
          </w:tcPr>
          <w:p w14:paraId="5C781B99"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 xml:space="preserve">Italia: </w:t>
            </w:r>
            <w:r w:rsidRPr="00AA3F16">
              <w:rPr>
                <w:rFonts w:eastAsia="Arial" w:cs="Arial"/>
                <w:color w:val="000000"/>
                <w:sz w:val="21"/>
                <w:szCs w:val="21"/>
                <w:vertAlign w:val="superscript"/>
                <w:lang w:val="es-ES"/>
              </w:rPr>
              <w:t xml:space="preserve">9, </w:t>
            </w:r>
            <w:r w:rsidRPr="00AA3F16">
              <w:rPr>
                <w:rFonts w:eastAsia="Arial" w:cs="Arial"/>
                <w:color w:val="000000"/>
                <w:sz w:val="21"/>
                <w:szCs w:val="21"/>
                <w:vertAlign w:val="superscript"/>
                <w:lang w:val="es-ES"/>
              </w:rPr>
              <w:footnoteReference w:id="12"/>
            </w:r>
          </w:p>
        </w:tc>
        <w:tc>
          <w:tcPr>
            <w:tcW w:w="1349" w:type="pct"/>
          </w:tcPr>
          <w:p w14:paraId="06C7A902"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p>
        </w:tc>
        <w:tc>
          <w:tcPr>
            <w:tcW w:w="450" w:type="pct"/>
            <w:vMerge w:val="restart"/>
          </w:tcPr>
          <w:p w14:paraId="34AB5ED6"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vMerge w:val="restart"/>
          </w:tcPr>
          <w:p w14:paraId="2D61F88E"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1206334A" w14:textId="77777777" w:rsidTr="00BC49CE">
        <w:trPr>
          <w:trHeight w:val="261"/>
        </w:trPr>
        <w:tc>
          <w:tcPr>
            <w:tcW w:w="2296" w:type="pct"/>
          </w:tcPr>
          <w:p w14:paraId="061C3462"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Continental</w:t>
            </w:r>
          </w:p>
        </w:tc>
        <w:tc>
          <w:tcPr>
            <w:tcW w:w="1349" w:type="pct"/>
          </w:tcPr>
          <w:p w14:paraId="031257CA"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Conservado</w:t>
            </w:r>
          </w:p>
        </w:tc>
        <w:tc>
          <w:tcPr>
            <w:tcW w:w="450" w:type="pct"/>
            <w:vMerge/>
          </w:tcPr>
          <w:p w14:paraId="71BE9F18"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38EA5D33"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3E6B041A" w14:textId="77777777" w:rsidTr="00BC49CE">
        <w:trPr>
          <w:trHeight w:val="248"/>
        </w:trPr>
        <w:tc>
          <w:tcPr>
            <w:tcW w:w="2296" w:type="pct"/>
          </w:tcPr>
          <w:p w14:paraId="12EA557C"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 xml:space="preserve">Cerdeña, Estrecho de Sicilia e Islas Pelagias </w:t>
            </w:r>
          </w:p>
        </w:tc>
        <w:tc>
          <w:tcPr>
            <w:tcW w:w="1349" w:type="pct"/>
          </w:tcPr>
          <w:p w14:paraId="42DE20FB"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Conservado</w:t>
            </w:r>
          </w:p>
        </w:tc>
        <w:tc>
          <w:tcPr>
            <w:tcW w:w="450" w:type="pct"/>
            <w:vMerge/>
          </w:tcPr>
          <w:p w14:paraId="5EA41A18"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5889ED8C"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3F067C9E" w14:textId="77777777" w:rsidTr="00BC49CE">
        <w:trPr>
          <w:trHeight w:val="265"/>
        </w:trPr>
        <w:tc>
          <w:tcPr>
            <w:tcW w:w="2296" w:type="pct"/>
          </w:tcPr>
          <w:p w14:paraId="2A893708"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Líbano</w:t>
            </w:r>
          </w:p>
        </w:tc>
        <w:tc>
          <w:tcPr>
            <w:tcW w:w="1349" w:type="pct"/>
          </w:tcPr>
          <w:p w14:paraId="6D1102B9"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40A264B9"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30FEEE3E"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5175673F" w14:textId="77777777" w:rsidTr="00BC49CE">
        <w:trPr>
          <w:trHeight w:val="290"/>
        </w:trPr>
        <w:tc>
          <w:tcPr>
            <w:tcW w:w="2296" w:type="pct"/>
          </w:tcPr>
          <w:p w14:paraId="76E786CC"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Libia</w:t>
            </w:r>
          </w:p>
        </w:tc>
        <w:tc>
          <w:tcPr>
            <w:tcW w:w="1349" w:type="pct"/>
          </w:tcPr>
          <w:p w14:paraId="2B2B324D"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333586EB"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2785C222"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5275DA8B" w14:textId="77777777" w:rsidTr="00BC49CE">
        <w:trPr>
          <w:trHeight w:val="279"/>
        </w:trPr>
        <w:tc>
          <w:tcPr>
            <w:tcW w:w="2296" w:type="pct"/>
          </w:tcPr>
          <w:p w14:paraId="2006AE03"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Malta</w:t>
            </w:r>
          </w:p>
        </w:tc>
        <w:tc>
          <w:tcPr>
            <w:tcW w:w="1349" w:type="pct"/>
          </w:tcPr>
          <w:p w14:paraId="3B4E5F90"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48B4F32D"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60E1D359"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645A3B87" w14:textId="77777777" w:rsidTr="00BC49CE">
        <w:trPr>
          <w:trHeight w:val="78"/>
        </w:trPr>
        <w:tc>
          <w:tcPr>
            <w:tcW w:w="2296" w:type="pct"/>
          </w:tcPr>
          <w:p w14:paraId="0E4DDED7"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Mónaco</w:t>
            </w:r>
          </w:p>
        </w:tc>
        <w:tc>
          <w:tcPr>
            <w:tcW w:w="1349" w:type="pct"/>
          </w:tcPr>
          <w:p w14:paraId="5C6A9780"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0042E897"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21E1893A"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0B45E5E7" w14:textId="77777777" w:rsidTr="00BC49CE">
        <w:trPr>
          <w:trHeight w:val="57"/>
        </w:trPr>
        <w:tc>
          <w:tcPr>
            <w:tcW w:w="2296" w:type="pct"/>
          </w:tcPr>
          <w:p w14:paraId="74AAA0E0"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Montenegro</w:t>
            </w:r>
          </w:p>
        </w:tc>
        <w:tc>
          <w:tcPr>
            <w:tcW w:w="1349" w:type="pct"/>
          </w:tcPr>
          <w:p w14:paraId="50EAB4B9"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57240714"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1C307D5C"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4A3AB302" w14:textId="77777777" w:rsidTr="00BC49CE">
        <w:trPr>
          <w:trHeight w:val="185"/>
        </w:trPr>
        <w:tc>
          <w:tcPr>
            <w:tcW w:w="2296" w:type="pct"/>
          </w:tcPr>
          <w:p w14:paraId="13917A3B"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Marruecos</w:t>
            </w:r>
          </w:p>
        </w:tc>
        <w:tc>
          <w:tcPr>
            <w:tcW w:w="1349" w:type="pct"/>
          </w:tcPr>
          <w:p w14:paraId="4F0ADC76"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p>
        </w:tc>
        <w:tc>
          <w:tcPr>
            <w:tcW w:w="450" w:type="pct"/>
          </w:tcPr>
          <w:p w14:paraId="6EB86917"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33A48979"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087E2B15" w14:textId="77777777" w:rsidTr="00BC49CE">
        <w:trPr>
          <w:trHeight w:val="279"/>
        </w:trPr>
        <w:tc>
          <w:tcPr>
            <w:tcW w:w="2296" w:type="pct"/>
          </w:tcPr>
          <w:p w14:paraId="48F23B94"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Eslovenia</w:t>
            </w:r>
          </w:p>
        </w:tc>
        <w:tc>
          <w:tcPr>
            <w:tcW w:w="1349" w:type="pct"/>
          </w:tcPr>
          <w:p w14:paraId="0FE46D2B"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Conservado</w:t>
            </w:r>
          </w:p>
        </w:tc>
        <w:tc>
          <w:tcPr>
            <w:tcW w:w="450" w:type="pct"/>
          </w:tcPr>
          <w:p w14:paraId="493CBA46"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39C2FD5A"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33F60961" w14:textId="77777777" w:rsidTr="00BC49CE">
        <w:trPr>
          <w:trHeight w:val="194"/>
        </w:trPr>
        <w:tc>
          <w:tcPr>
            <w:tcW w:w="2296" w:type="pct"/>
          </w:tcPr>
          <w:p w14:paraId="6B477FBF"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España:</w:t>
            </w:r>
          </w:p>
        </w:tc>
        <w:tc>
          <w:tcPr>
            <w:tcW w:w="1349" w:type="pct"/>
          </w:tcPr>
          <w:p w14:paraId="30FCA84A"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p>
        </w:tc>
        <w:tc>
          <w:tcPr>
            <w:tcW w:w="450" w:type="pct"/>
            <w:vMerge w:val="restart"/>
          </w:tcPr>
          <w:p w14:paraId="67D0F9EB"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vMerge w:val="restart"/>
          </w:tcPr>
          <w:p w14:paraId="5710A0CF"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0B09B69E" w14:textId="77777777" w:rsidTr="00BC49CE">
        <w:trPr>
          <w:trHeight w:val="194"/>
        </w:trPr>
        <w:tc>
          <w:tcPr>
            <w:tcW w:w="2296" w:type="pct"/>
          </w:tcPr>
          <w:p w14:paraId="00D2A276"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Costa mediterránea</w:t>
            </w:r>
          </w:p>
        </w:tc>
        <w:tc>
          <w:tcPr>
            <w:tcW w:w="1349" w:type="pct"/>
          </w:tcPr>
          <w:p w14:paraId="2BAF42A3"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Calibri" w:cs="Arial"/>
                <w:color w:val="000000"/>
                <w:sz w:val="21"/>
                <w:szCs w:val="21"/>
                <w:lang w:val="es-ES"/>
              </w:rPr>
              <w:t>Presencia no segura</w:t>
            </w:r>
          </w:p>
        </w:tc>
        <w:tc>
          <w:tcPr>
            <w:tcW w:w="450" w:type="pct"/>
            <w:vMerge/>
          </w:tcPr>
          <w:p w14:paraId="7D9C42C6"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6EBAB048"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236BB219" w14:textId="77777777" w:rsidTr="00BC49CE">
        <w:trPr>
          <w:trHeight w:val="194"/>
        </w:trPr>
        <w:tc>
          <w:tcPr>
            <w:tcW w:w="2296" w:type="pct"/>
          </w:tcPr>
          <w:p w14:paraId="0EAF73A3" w14:textId="77777777" w:rsidR="00BC49CE" w:rsidRPr="00AA3F16" w:rsidRDefault="00BC49CE" w:rsidP="00BC49CE">
            <w:pPr>
              <w:widowControl w:val="0"/>
              <w:pBdr>
                <w:top w:val="nil"/>
                <w:left w:val="nil"/>
                <w:bottom w:val="nil"/>
                <w:right w:val="nil"/>
                <w:between w:val="nil"/>
              </w:pBdr>
              <w:ind w:left="252"/>
              <w:rPr>
                <w:rFonts w:eastAsia="Arial" w:cs="Arial"/>
                <w:color w:val="000000"/>
                <w:sz w:val="21"/>
                <w:szCs w:val="21"/>
                <w:lang w:val="es-ES"/>
              </w:rPr>
            </w:pPr>
            <w:r w:rsidRPr="00AA3F16">
              <w:rPr>
                <w:rFonts w:eastAsia="Arial" w:cs="Arial"/>
                <w:color w:val="000000"/>
                <w:sz w:val="21"/>
                <w:szCs w:val="21"/>
                <w:lang w:val="es-ES"/>
              </w:rPr>
              <w:t>Islas Baleares</w:t>
            </w:r>
          </w:p>
        </w:tc>
        <w:tc>
          <w:tcPr>
            <w:tcW w:w="1349" w:type="pct"/>
          </w:tcPr>
          <w:p w14:paraId="7BF3FC71"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Calibri" w:cs="Arial"/>
                <w:color w:val="000000"/>
                <w:sz w:val="21"/>
                <w:szCs w:val="21"/>
                <w:lang w:val="es-ES"/>
              </w:rPr>
              <w:t>Presencia no segura</w:t>
            </w:r>
          </w:p>
        </w:tc>
        <w:tc>
          <w:tcPr>
            <w:tcW w:w="450" w:type="pct"/>
            <w:vMerge/>
          </w:tcPr>
          <w:p w14:paraId="5A287F26"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c>
          <w:tcPr>
            <w:tcW w:w="906" w:type="pct"/>
            <w:vMerge/>
          </w:tcPr>
          <w:p w14:paraId="5EA2B7A2"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p>
        </w:tc>
      </w:tr>
      <w:tr w:rsidR="00BC49CE" w:rsidRPr="00AA3F16" w14:paraId="010F4466" w14:textId="77777777" w:rsidTr="00BC49CE">
        <w:trPr>
          <w:trHeight w:val="229"/>
        </w:trPr>
        <w:tc>
          <w:tcPr>
            <w:tcW w:w="2296" w:type="pct"/>
          </w:tcPr>
          <w:p w14:paraId="759C204D" w14:textId="77777777" w:rsidR="00BC49CE" w:rsidRPr="00AA3F16" w:rsidRDefault="00BC49CE" w:rsidP="00BC49CE">
            <w:pPr>
              <w:widowControl w:val="0"/>
              <w:pBdr>
                <w:top w:val="nil"/>
                <w:left w:val="nil"/>
                <w:bottom w:val="nil"/>
                <w:right w:val="nil"/>
                <w:between w:val="nil"/>
              </w:pBdr>
              <w:ind w:left="252" w:hanging="272"/>
              <w:rPr>
                <w:rFonts w:eastAsia="Arial" w:cs="Arial"/>
                <w:color w:val="000000"/>
                <w:sz w:val="21"/>
                <w:szCs w:val="21"/>
                <w:lang w:val="es-ES"/>
              </w:rPr>
            </w:pPr>
            <w:r w:rsidRPr="00AA3F16">
              <w:rPr>
                <w:rFonts w:eastAsia="Arial" w:cs="Arial"/>
                <w:color w:val="000000"/>
                <w:sz w:val="21"/>
                <w:szCs w:val="21"/>
                <w:lang w:val="es-ES"/>
              </w:rPr>
              <w:t>República Árabe Siria</w:t>
            </w:r>
          </w:p>
        </w:tc>
        <w:tc>
          <w:tcPr>
            <w:tcW w:w="1349" w:type="pct"/>
          </w:tcPr>
          <w:p w14:paraId="01902529" w14:textId="77777777" w:rsidR="00BC49CE" w:rsidRPr="00AA3F16" w:rsidRDefault="00BC49CE" w:rsidP="00BC49CE">
            <w:pPr>
              <w:widowControl w:val="0"/>
              <w:pBdr>
                <w:top w:val="nil"/>
                <w:left w:val="nil"/>
                <w:bottom w:val="nil"/>
                <w:right w:val="nil"/>
                <w:between w:val="nil"/>
              </w:pBdr>
              <w:rPr>
                <w:rFonts w:eastAsia="Calibri" w:cs="Arial"/>
                <w:color w:val="000000"/>
                <w:sz w:val="21"/>
                <w:szCs w:val="21"/>
                <w:lang w:val="es-ES"/>
              </w:rPr>
            </w:pPr>
            <w:r w:rsidRPr="00AA3F16">
              <w:rPr>
                <w:rFonts w:eastAsia="Calibri" w:cs="Arial"/>
                <w:color w:val="000000"/>
                <w:sz w:val="21"/>
                <w:szCs w:val="21"/>
                <w:lang w:val="es-ES"/>
              </w:rPr>
              <w:t>Presencia no segura</w:t>
            </w:r>
            <w:r w:rsidRPr="00AA3F16">
              <w:rPr>
                <w:rFonts w:eastAsia="Arial" w:cs="Arial"/>
                <w:color w:val="000000"/>
                <w:sz w:val="21"/>
                <w:szCs w:val="21"/>
                <w:vertAlign w:val="superscript"/>
                <w:lang w:val="es-ES"/>
              </w:rPr>
              <w:footnoteReference w:id="13"/>
            </w:r>
          </w:p>
        </w:tc>
        <w:tc>
          <w:tcPr>
            <w:tcW w:w="450" w:type="pct"/>
          </w:tcPr>
          <w:p w14:paraId="11EE3AB0"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7B4E2C88"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24F7C8BC" w14:textId="77777777" w:rsidTr="00BC49CE">
        <w:trPr>
          <w:trHeight w:val="279"/>
        </w:trPr>
        <w:tc>
          <w:tcPr>
            <w:tcW w:w="2296" w:type="pct"/>
          </w:tcPr>
          <w:p w14:paraId="41BFB6F9"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Túnez</w:t>
            </w:r>
          </w:p>
        </w:tc>
        <w:tc>
          <w:tcPr>
            <w:tcW w:w="1349" w:type="pct"/>
          </w:tcPr>
          <w:p w14:paraId="72DB57F4" w14:textId="77777777" w:rsidR="00BC49CE" w:rsidRPr="00AA3F16" w:rsidRDefault="00BC49CE" w:rsidP="00BC49CE">
            <w:pPr>
              <w:widowControl w:val="0"/>
              <w:pBdr>
                <w:top w:val="nil"/>
                <w:left w:val="nil"/>
                <w:bottom w:val="nil"/>
                <w:right w:val="nil"/>
                <w:between w:val="nil"/>
              </w:pBdr>
              <w:rPr>
                <w:rFonts w:eastAsia="Calibri" w:cs="Arial"/>
                <w:sz w:val="21"/>
                <w:szCs w:val="21"/>
                <w:lang w:val="es-ES"/>
              </w:rPr>
            </w:pPr>
            <w:r w:rsidRPr="00AA3F16">
              <w:rPr>
                <w:rFonts w:eastAsia="Calibri" w:cs="Arial"/>
                <w:sz w:val="21"/>
                <w:szCs w:val="21"/>
                <w:lang w:val="es-ES"/>
              </w:rPr>
              <w:t>Conservado</w:t>
            </w:r>
            <w:r w:rsidRPr="00AA3F16">
              <w:rPr>
                <w:rFonts w:eastAsia="Calibri" w:cs="Arial"/>
                <w:sz w:val="21"/>
                <w:szCs w:val="21"/>
                <w:vertAlign w:val="superscript"/>
                <w:lang w:val="es-ES"/>
              </w:rPr>
              <w:footnoteReference w:id="14"/>
            </w:r>
          </w:p>
        </w:tc>
        <w:tc>
          <w:tcPr>
            <w:tcW w:w="450" w:type="pct"/>
          </w:tcPr>
          <w:p w14:paraId="63CA2DB7" w14:textId="77777777" w:rsidR="00BC49CE" w:rsidRPr="00AA3F16" w:rsidRDefault="00BC49CE" w:rsidP="00BC49CE">
            <w:pPr>
              <w:widowControl w:val="0"/>
              <w:pBdr>
                <w:top w:val="nil"/>
                <w:left w:val="nil"/>
                <w:bottom w:val="nil"/>
                <w:right w:val="nil"/>
                <w:between w:val="nil"/>
              </w:pBdr>
              <w:jc w:val="center"/>
              <w:rPr>
                <w:rFonts w:eastAsia="Arial" w:cs="Arial"/>
                <w:sz w:val="21"/>
                <w:szCs w:val="21"/>
                <w:lang w:val="es-ES"/>
              </w:rPr>
            </w:pPr>
            <w:r w:rsidRPr="00AA3F16">
              <w:rPr>
                <w:rFonts w:ascii="Segoe UI Symbol" w:eastAsia="Calibri" w:hAnsi="Segoe UI Symbol" w:cs="Segoe UI Symbol"/>
                <w:b/>
                <w:bCs/>
                <w:color w:val="000000"/>
                <w:sz w:val="21"/>
                <w:szCs w:val="21"/>
                <w:lang w:val="es-ES"/>
              </w:rPr>
              <w:t>✓</w:t>
            </w:r>
          </w:p>
        </w:tc>
        <w:tc>
          <w:tcPr>
            <w:tcW w:w="906" w:type="pct"/>
          </w:tcPr>
          <w:p w14:paraId="5E48ABE8" w14:textId="77777777" w:rsidR="00BC49CE" w:rsidRPr="00AA3F16" w:rsidRDefault="00BC49CE" w:rsidP="00BC49CE">
            <w:pPr>
              <w:widowControl w:val="0"/>
              <w:pBdr>
                <w:top w:val="nil"/>
                <w:left w:val="nil"/>
                <w:bottom w:val="nil"/>
                <w:right w:val="nil"/>
                <w:between w:val="nil"/>
              </w:pBdr>
              <w:jc w:val="center"/>
              <w:rPr>
                <w:rFonts w:eastAsia="Arial" w:cs="Arial"/>
                <w:sz w:val="21"/>
                <w:szCs w:val="21"/>
                <w:lang w:val="es-ES"/>
              </w:rPr>
            </w:pPr>
            <w:r w:rsidRPr="00AA3F16">
              <w:rPr>
                <w:rFonts w:eastAsia="Calibri" w:cs="Arial"/>
                <w:b/>
                <w:bCs/>
                <w:color w:val="000000"/>
                <w:sz w:val="21"/>
                <w:szCs w:val="21"/>
                <w:lang w:val="es-ES"/>
              </w:rPr>
              <w:t>-</w:t>
            </w:r>
          </w:p>
        </w:tc>
      </w:tr>
      <w:tr w:rsidR="00BC49CE" w:rsidRPr="00AA3F16" w14:paraId="4595515A" w14:textId="77777777" w:rsidTr="00BC49CE">
        <w:trPr>
          <w:trHeight w:val="244"/>
        </w:trPr>
        <w:tc>
          <w:tcPr>
            <w:tcW w:w="2296" w:type="pct"/>
          </w:tcPr>
          <w:p w14:paraId="50DCABE3"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Turquía</w:t>
            </w:r>
          </w:p>
        </w:tc>
        <w:tc>
          <w:tcPr>
            <w:tcW w:w="1349" w:type="pct"/>
          </w:tcPr>
          <w:p w14:paraId="3CBB0A44" w14:textId="77777777" w:rsidR="00BC49CE" w:rsidRPr="00AA3F16" w:rsidRDefault="00BC49CE" w:rsidP="00BC49CE">
            <w:pPr>
              <w:widowControl w:val="0"/>
              <w:pBdr>
                <w:top w:val="nil"/>
                <w:left w:val="nil"/>
                <w:bottom w:val="nil"/>
                <w:right w:val="nil"/>
                <w:between w:val="nil"/>
              </w:pBdr>
              <w:rPr>
                <w:rFonts w:eastAsia="Calibri" w:cs="Arial"/>
                <w:sz w:val="21"/>
                <w:szCs w:val="21"/>
                <w:lang w:val="es-ES"/>
              </w:rPr>
            </w:pPr>
            <w:r w:rsidRPr="00AA3F16">
              <w:rPr>
                <w:rFonts w:eastAsia="Calibri" w:cs="Arial"/>
                <w:sz w:val="21"/>
                <w:szCs w:val="21"/>
                <w:lang w:val="es-ES"/>
              </w:rPr>
              <w:t>Conservado</w:t>
            </w:r>
          </w:p>
        </w:tc>
        <w:tc>
          <w:tcPr>
            <w:tcW w:w="450" w:type="pct"/>
          </w:tcPr>
          <w:p w14:paraId="6E85B4A2"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c>
          <w:tcPr>
            <w:tcW w:w="906" w:type="pct"/>
          </w:tcPr>
          <w:p w14:paraId="1A6F9434" w14:textId="77777777" w:rsidR="00BC49CE" w:rsidRPr="00AA3F16" w:rsidRDefault="00BC49CE" w:rsidP="00BC49CE">
            <w:pPr>
              <w:widowControl w:val="0"/>
              <w:pBdr>
                <w:top w:val="nil"/>
                <w:left w:val="nil"/>
                <w:bottom w:val="nil"/>
                <w:right w:val="nil"/>
                <w:between w:val="nil"/>
              </w:pBdr>
              <w:jc w:val="center"/>
              <w:rPr>
                <w:rFonts w:eastAsia="Arial" w:cs="Arial"/>
                <w:color w:val="000000"/>
                <w:sz w:val="21"/>
                <w:szCs w:val="21"/>
                <w:lang w:val="es-ES"/>
              </w:rPr>
            </w:pPr>
            <w:r w:rsidRPr="00AA3F16">
              <w:rPr>
                <w:rFonts w:eastAsia="Calibri" w:cs="Arial"/>
                <w:b/>
                <w:bCs/>
                <w:color w:val="000000"/>
                <w:sz w:val="21"/>
                <w:szCs w:val="21"/>
                <w:lang w:val="es-ES"/>
              </w:rPr>
              <w:t>-</w:t>
            </w:r>
          </w:p>
        </w:tc>
      </w:tr>
      <w:tr w:rsidR="00BC49CE" w:rsidRPr="00AA3F16" w14:paraId="6F0FB363" w14:textId="77777777" w:rsidTr="00BC49CE">
        <w:trPr>
          <w:trHeight w:val="244"/>
        </w:trPr>
        <w:tc>
          <w:tcPr>
            <w:tcW w:w="2296" w:type="pct"/>
          </w:tcPr>
          <w:p w14:paraId="0C5EC7F5" w14:textId="77777777" w:rsidR="00BC49CE" w:rsidRPr="00AA3F16" w:rsidRDefault="00BC49CE" w:rsidP="00BC49CE">
            <w:pPr>
              <w:widowControl w:val="0"/>
              <w:pBdr>
                <w:top w:val="nil"/>
                <w:left w:val="nil"/>
                <w:bottom w:val="nil"/>
                <w:right w:val="nil"/>
                <w:between w:val="nil"/>
              </w:pBdr>
              <w:rPr>
                <w:rFonts w:eastAsia="Arial" w:cs="Arial"/>
                <w:color w:val="000000"/>
                <w:sz w:val="21"/>
                <w:szCs w:val="21"/>
                <w:lang w:val="es-ES"/>
              </w:rPr>
            </w:pPr>
            <w:r w:rsidRPr="00AA3F16">
              <w:rPr>
                <w:rFonts w:eastAsia="Arial" w:cs="Arial"/>
                <w:color w:val="000000"/>
                <w:sz w:val="21"/>
                <w:szCs w:val="21"/>
                <w:lang w:val="es-ES"/>
              </w:rPr>
              <w:t>Reino Unido:</w:t>
            </w:r>
          </w:p>
        </w:tc>
        <w:tc>
          <w:tcPr>
            <w:tcW w:w="1349" w:type="pct"/>
          </w:tcPr>
          <w:p w14:paraId="2B29C8D0" w14:textId="77777777" w:rsidR="00BC49CE" w:rsidRPr="00AA3F16" w:rsidRDefault="00BC49CE" w:rsidP="00BC49CE">
            <w:pPr>
              <w:widowControl w:val="0"/>
              <w:pBdr>
                <w:top w:val="nil"/>
                <w:left w:val="nil"/>
                <w:bottom w:val="nil"/>
                <w:right w:val="nil"/>
                <w:between w:val="nil"/>
              </w:pBdr>
              <w:rPr>
                <w:rFonts w:eastAsia="Calibri" w:cs="Arial"/>
                <w:sz w:val="21"/>
                <w:szCs w:val="21"/>
                <w:lang w:val="es-ES"/>
              </w:rPr>
            </w:pPr>
          </w:p>
        </w:tc>
        <w:tc>
          <w:tcPr>
            <w:tcW w:w="450" w:type="pct"/>
            <w:vMerge w:val="restart"/>
          </w:tcPr>
          <w:p w14:paraId="7D099FFC"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r w:rsidRPr="00AA3F16">
              <w:rPr>
                <w:rFonts w:ascii="Segoe UI Symbol" w:eastAsia="Calibri" w:hAnsi="Segoe UI Symbol" w:cs="Segoe UI Symbol"/>
                <w:b/>
                <w:bCs/>
                <w:color w:val="000000"/>
                <w:sz w:val="21"/>
                <w:szCs w:val="21"/>
                <w:lang w:val="es-ES"/>
              </w:rPr>
              <w:t>✓</w:t>
            </w:r>
          </w:p>
        </w:tc>
        <w:tc>
          <w:tcPr>
            <w:tcW w:w="906" w:type="pct"/>
            <w:vMerge w:val="restart"/>
          </w:tcPr>
          <w:p w14:paraId="754B913C" w14:textId="77777777" w:rsidR="00BC49CE" w:rsidRPr="00AA3F16" w:rsidRDefault="00BC49CE" w:rsidP="00BC49CE">
            <w:pPr>
              <w:widowControl w:val="0"/>
              <w:pBdr>
                <w:top w:val="nil"/>
                <w:left w:val="nil"/>
                <w:bottom w:val="nil"/>
                <w:right w:val="nil"/>
                <w:between w:val="nil"/>
              </w:pBdr>
              <w:jc w:val="center"/>
              <w:rPr>
                <w:rFonts w:eastAsia="Calibri" w:cs="Arial"/>
                <w:b/>
                <w:bCs/>
                <w:color w:val="000000"/>
                <w:sz w:val="21"/>
                <w:szCs w:val="21"/>
                <w:lang w:val="es-ES"/>
              </w:rPr>
            </w:pPr>
            <w:r w:rsidRPr="00AA3F16">
              <w:rPr>
                <w:rFonts w:ascii="Segoe UI Symbol" w:eastAsia="Calibri" w:hAnsi="Segoe UI Symbol" w:cs="Segoe UI Symbol"/>
                <w:b/>
                <w:bCs/>
                <w:color w:val="000000"/>
                <w:sz w:val="21"/>
                <w:szCs w:val="21"/>
                <w:lang w:val="es-ES"/>
              </w:rPr>
              <w:t>✓</w:t>
            </w:r>
          </w:p>
        </w:tc>
      </w:tr>
      <w:tr w:rsidR="00BC49CE" w:rsidRPr="00AA3F16" w14:paraId="212170D7" w14:textId="77777777" w:rsidTr="00BC49CE">
        <w:trPr>
          <w:trHeight w:val="248"/>
        </w:trPr>
        <w:tc>
          <w:tcPr>
            <w:tcW w:w="2296" w:type="pct"/>
          </w:tcPr>
          <w:p w14:paraId="4861E243" w14:textId="77777777" w:rsidR="00BC49CE" w:rsidRPr="00AA3F16" w:rsidRDefault="00BC49CE" w:rsidP="00BC49CE">
            <w:pPr>
              <w:widowControl w:val="0"/>
              <w:pBdr>
                <w:top w:val="nil"/>
                <w:left w:val="nil"/>
                <w:bottom w:val="nil"/>
                <w:right w:val="nil"/>
                <w:between w:val="nil"/>
              </w:pBdr>
              <w:ind w:left="252"/>
              <w:rPr>
                <w:rFonts w:cs="Arial"/>
                <w:sz w:val="21"/>
                <w:szCs w:val="21"/>
                <w:lang w:val="es-ES"/>
              </w:rPr>
            </w:pPr>
            <w:r w:rsidRPr="00AA3F16">
              <w:rPr>
                <w:rFonts w:cs="Arial"/>
                <w:sz w:val="21"/>
                <w:szCs w:val="21"/>
                <w:lang w:val="es-ES"/>
              </w:rPr>
              <w:t>Gibraltar</w:t>
            </w:r>
          </w:p>
        </w:tc>
        <w:tc>
          <w:tcPr>
            <w:tcW w:w="1349" w:type="pct"/>
          </w:tcPr>
          <w:p w14:paraId="6E320392" w14:textId="77777777" w:rsidR="00BC49CE" w:rsidRPr="00AA3F16" w:rsidRDefault="00BC49CE" w:rsidP="00BC49CE">
            <w:pPr>
              <w:widowControl w:val="0"/>
              <w:pBdr>
                <w:top w:val="nil"/>
                <w:left w:val="nil"/>
                <w:bottom w:val="nil"/>
                <w:right w:val="nil"/>
                <w:between w:val="nil"/>
              </w:pBdr>
              <w:rPr>
                <w:rFonts w:cs="Arial"/>
                <w:sz w:val="21"/>
                <w:szCs w:val="21"/>
                <w:lang w:val="es-ES"/>
              </w:rPr>
            </w:pPr>
            <w:r w:rsidRPr="00AA3F16">
              <w:rPr>
                <w:rFonts w:cs="Arial"/>
                <w:sz w:val="21"/>
                <w:szCs w:val="21"/>
                <w:lang w:val="es-ES"/>
              </w:rPr>
              <w:t>Presencia no segura</w:t>
            </w:r>
            <w:r w:rsidRPr="00AA3F16">
              <w:rPr>
                <w:rFonts w:cs="Arial"/>
                <w:sz w:val="21"/>
                <w:szCs w:val="21"/>
                <w:vertAlign w:val="superscript"/>
                <w:lang w:val="es-ES"/>
              </w:rPr>
              <w:footnoteReference w:id="15"/>
            </w:r>
          </w:p>
        </w:tc>
        <w:tc>
          <w:tcPr>
            <w:tcW w:w="450" w:type="pct"/>
            <w:vMerge/>
          </w:tcPr>
          <w:p w14:paraId="0FBFF313" w14:textId="77777777" w:rsidR="00BC49CE" w:rsidRPr="00AA3F16" w:rsidRDefault="00BC49CE" w:rsidP="00BC49CE">
            <w:pPr>
              <w:widowControl w:val="0"/>
              <w:jc w:val="center"/>
              <w:rPr>
                <w:rFonts w:eastAsia="Calibri" w:cs="Arial"/>
                <w:b/>
                <w:bCs/>
                <w:color w:val="000000"/>
                <w:sz w:val="21"/>
                <w:szCs w:val="21"/>
                <w:lang w:val="es-ES"/>
              </w:rPr>
            </w:pPr>
          </w:p>
        </w:tc>
        <w:tc>
          <w:tcPr>
            <w:tcW w:w="906" w:type="pct"/>
            <w:vMerge/>
          </w:tcPr>
          <w:p w14:paraId="51DCDD45" w14:textId="77777777" w:rsidR="00BC49CE" w:rsidRPr="00AA3F16" w:rsidRDefault="00BC49CE" w:rsidP="00BC49CE">
            <w:pPr>
              <w:widowControl w:val="0"/>
              <w:jc w:val="center"/>
              <w:rPr>
                <w:rFonts w:eastAsia="Calibri" w:cs="Arial"/>
                <w:b/>
                <w:bCs/>
                <w:color w:val="000000"/>
                <w:sz w:val="21"/>
                <w:szCs w:val="21"/>
                <w:lang w:val="es-ES"/>
              </w:rPr>
            </w:pPr>
          </w:p>
        </w:tc>
      </w:tr>
      <w:tr w:rsidR="00BC49CE" w:rsidRPr="00AA3F16" w14:paraId="2A3D710E" w14:textId="77777777" w:rsidTr="00BC49CE">
        <w:trPr>
          <w:trHeight w:val="678"/>
        </w:trPr>
        <w:tc>
          <w:tcPr>
            <w:tcW w:w="2296" w:type="pct"/>
          </w:tcPr>
          <w:p w14:paraId="1AF2BA9B" w14:textId="77777777" w:rsidR="00BC49CE" w:rsidRPr="00AA3F16" w:rsidRDefault="00BC49CE" w:rsidP="00BC49CE">
            <w:pPr>
              <w:widowControl w:val="0"/>
              <w:pBdr>
                <w:top w:val="nil"/>
                <w:left w:val="nil"/>
                <w:bottom w:val="nil"/>
                <w:right w:val="nil"/>
                <w:between w:val="nil"/>
              </w:pBdr>
              <w:ind w:left="252"/>
              <w:rPr>
                <w:rFonts w:cs="Arial"/>
                <w:sz w:val="21"/>
                <w:szCs w:val="21"/>
                <w:lang w:val="es-ES"/>
              </w:rPr>
            </w:pPr>
            <w:r w:rsidRPr="00AA3F16">
              <w:rPr>
                <w:rFonts w:cs="Arial"/>
                <w:sz w:val="21"/>
                <w:szCs w:val="21"/>
                <w:lang w:val="es-ES"/>
              </w:rPr>
              <w:t xml:space="preserve">Zonas de soberanía de </w:t>
            </w:r>
            <w:proofErr w:type="spellStart"/>
            <w:r w:rsidRPr="00AA3F16">
              <w:rPr>
                <w:rFonts w:cs="Arial"/>
                <w:sz w:val="21"/>
                <w:szCs w:val="21"/>
                <w:lang w:val="es-ES"/>
              </w:rPr>
              <w:t>Acrotiri</w:t>
            </w:r>
            <w:proofErr w:type="spellEnd"/>
            <w:r w:rsidRPr="00AA3F16">
              <w:rPr>
                <w:rFonts w:cs="Arial"/>
                <w:sz w:val="21"/>
                <w:szCs w:val="21"/>
                <w:lang w:val="es-ES"/>
              </w:rPr>
              <w:t xml:space="preserve"> y </w:t>
            </w:r>
            <w:proofErr w:type="spellStart"/>
            <w:r w:rsidRPr="00AA3F16">
              <w:rPr>
                <w:rFonts w:cs="Arial"/>
                <w:sz w:val="21"/>
                <w:szCs w:val="21"/>
                <w:lang w:val="es-ES"/>
              </w:rPr>
              <w:t>Dhekelia</w:t>
            </w:r>
            <w:proofErr w:type="spellEnd"/>
            <w:r w:rsidRPr="00AA3F16">
              <w:rPr>
                <w:rFonts w:cs="Arial"/>
                <w:sz w:val="21"/>
                <w:szCs w:val="21"/>
                <w:lang w:val="es-ES"/>
              </w:rPr>
              <w:t xml:space="preserve"> (en Chipre)</w:t>
            </w:r>
          </w:p>
        </w:tc>
        <w:tc>
          <w:tcPr>
            <w:tcW w:w="1349" w:type="pct"/>
          </w:tcPr>
          <w:p w14:paraId="6CED7F42" w14:textId="77777777" w:rsidR="00BC49CE" w:rsidRPr="00AA3F16" w:rsidRDefault="00BC49CE" w:rsidP="00BC49CE">
            <w:pPr>
              <w:widowControl w:val="0"/>
              <w:pBdr>
                <w:top w:val="nil"/>
                <w:left w:val="nil"/>
                <w:bottom w:val="nil"/>
                <w:right w:val="nil"/>
                <w:between w:val="nil"/>
              </w:pBdr>
              <w:rPr>
                <w:rFonts w:cs="Arial"/>
                <w:sz w:val="21"/>
                <w:szCs w:val="21"/>
                <w:lang w:val="es-ES"/>
              </w:rPr>
            </w:pPr>
            <w:r w:rsidRPr="00AA3F16">
              <w:rPr>
                <w:rFonts w:cs="Arial"/>
                <w:sz w:val="21"/>
                <w:szCs w:val="21"/>
                <w:lang w:val="es-ES"/>
              </w:rPr>
              <w:t>No evaluado</w:t>
            </w:r>
            <w:r w:rsidRPr="00AA3F16">
              <w:rPr>
                <w:rFonts w:cs="Arial"/>
                <w:sz w:val="21"/>
                <w:szCs w:val="21"/>
                <w:vertAlign w:val="superscript"/>
                <w:lang w:val="es-ES"/>
              </w:rPr>
              <w:footnoteReference w:id="16"/>
            </w:r>
          </w:p>
        </w:tc>
        <w:tc>
          <w:tcPr>
            <w:tcW w:w="450" w:type="pct"/>
            <w:vMerge/>
          </w:tcPr>
          <w:p w14:paraId="6E37F498" w14:textId="77777777" w:rsidR="00BC49CE" w:rsidRPr="00AA3F16" w:rsidRDefault="00BC49CE" w:rsidP="00BC49CE">
            <w:pPr>
              <w:widowControl w:val="0"/>
              <w:jc w:val="center"/>
              <w:rPr>
                <w:rFonts w:eastAsia="Calibri" w:cs="Arial"/>
                <w:b/>
                <w:bCs/>
                <w:color w:val="000000"/>
                <w:sz w:val="21"/>
                <w:szCs w:val="21"/>
                <w:lang w:val="es-ES"/>
              </w:rPr>
            </w:pPr>
          </w:p>
        </w:tc>
        <w:tc>
          <w:tcPr>
            <w:tcW w:w="906" w:type="pct"/>
            <w:vMerge/>
          </w:tcPr>
          <w:p w14:paraId="73AF6187" w14:textId="77777777" w:rsidR="00BC49CE" w:rsidRPr="00AA3F16" w:rsidRDefault="00BC49CE" w:rsidP="00BC49CE">
            <w:pPr>
              <w:widowControl w:val="0"/>
              <w:jc w:val="center"/>
              <w:rPr>
                <w:rFonts w:eastAsia="Calibri" w:cs="Arial"/>
                <w:b/>
                <w:bCs/>
                <w:color w:val="000000"/>
                <w:sz w:val="21"/>
                <w:szCs w:val="21"/>
                <w:lang w:val="es-ES"/>
              </w:rPr>
            </w:pPr>
          </w:p>
        </w:tc>
      </w:tr>
    </w:tbl>
    <w:p w14:paraId="1226E70D" w14:textId="77777777" w:rsidR="00BC49CE" w:rsidRPr="00AA3F16" w:rsidRDefault="00BC49CE" w:rsidP="00BC49CE">
      <w:pPr>
        <w:widowControl w:val="0"/>
        <w:pBdr>
          <w:top w:val="nil"/>
          <w:left w:val="nil"/>
          <w:bottom w:val="nil"/>
          <w:right w:val="nil"/>
          <w:between w:val="nil"/>
        </w:pBdr>
        <w:rPr>
          <w:rFonts w:eastAsia="Arial" w:cs="Arial"/>
          <w:lang w:val="es-ES" w:eastAsia="en-GB"/>
        </w:rPr>
      </w:pPr>
      <w:r w:rsidRPr="00AA3F16">
        <w:rPr>
          <w:rFonts w:eastAsia="Arial" w:cs="Arial"/>
          <w:lang w:val="es-ES" w:eastAsia="es-ES"/>
        </w:rPr>
        <w:t xml:space="preserve"> </w:t>
      </w:r>
    </w:p>
    <w:p w14:paraId="529A2AE7" w14:textId="33857B84" w:rsidR="00FA5B33" w:rsidRPr="00AA3F16" w:rsidRDefault="00FA5B33">
      <w:pPr>
        <w:rPr>
          <w:rFonts w:eastAsia="Arial" w:cs="Arial"/>
          <w:color w:val="000000"/>
          <w:lang w:val="es-ES" w:eastAsia="en-GB"/>
        </w:rPr>
      </w:pPr>
      <w:r w:rsidRPr="00AA3F16">
        <w:rPr>
          <w:rFonts w:eastAsia="Arial" w:cs="Arial"/>
          <w:color w:val="000000"/>
          <w:lang w:val="es-ES" w:eastAsia="es-ES"/>
        </w:rPr>
        <w:br w:type="page"/>
      </w:r>
    </w:p>
    <w:p w14:paraId="22E04C73" w14:textId="77777777" w:rsidR="00FA5B33" w:rsidRPr="00AA3F16" w:rsidRDefault="00FA5B33" w:rsidP="00FA5B33">
      <w:pPr>
        <w:widowControl w:val="0"/>
        <w:pBdr>
          <w:top w:val="nil"/>
          <w:left w:val="nil"/>
          <w:bottom w:val="nil"/>
          <w:right w:val="nil"/>
          <w:between w:val="nil"/>
        </w:pBdr>
        <w:rPr>
          <w:rFonts w:eastAsia="Arial" w:cs="Arial"/>
          <w:color w:val="000000"/>
          <w:lang w:val="es-ES" w:eastAsia="en-GB"/>
        </w:rPr>
      </w:pPr>
    </w:p>
    <w:p w14:paraId="7F6CBC00" w14:textId="77777777" w:rsidR="00FA5B33" w:rsidRPr="00AA3F16" w:rsidRDefault="00FA5B33" w:rsidP="00FA5B33">
      <w:pPr>
        <w:spacing w:line="276" w:lineRule="auto"/>
        <w:rPr>
          <w:rFonts w:ascii="Times New Roman" w:eastAsia="Times New Roman" w:hAnsi="Times New Roman" w:cs="Times New Roman"/>
          <w:sz w:val="24"/>
          <w:szCs w:val="24"/>
          <w:lang w:val="es-ES" w:eastAsia="en-GB"/>
        </w:rPr>
      </w:pPr>
      <w:r w:rsidRPr="00AA3F16">
        <w:rPr>
          <w:rFonts w:ascii="Times New Roman" w:eastAsia="Times New Roman" w:hAnsi="Times New Roman" w:cs="Times New Roman"/>
          <w:noProof/>
          <w:sz w:val="24"/>
          <w:szCs w:val="24"/>
          <w:lang w:val="es-ES" w:eastAsia="es-ES"/>
        </w:rPr>
        <w:drawing>
          <wp:inline distT="0" distB="0" distL="0" distR="0" wp14:anchorId="0EB31908" wp14:editId="07D40E45">
            <wp:extent cx="5543550" cy="2783324"/>
            <wp:effectExtent l="0" t="0" r="0" b="0"/>
            <wp:docPr id="1283502969" name="Picture 128350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02969"/>
                    <pic:cNvPicPr/>
                  </pic:nvPicPr>
                  <pic:blipFill>
                    <a:blip r:embed="rId29">
                      <a:extLst>
                        <a:ext uri="{28A0092B-C50C-407E-A947-70E740481C1C}">
                          <a14:useLocalDpi xmlns:a14="http://schemas.microsoft.com/office/drawing/2010/main" val="0"/>
                        </a:ext>
                      </a:extLst>
                    </a:blip>
                    <a:stretch>
                      <a:fillRect/>
                    </a:stretch>
                  </pic:blipFill>
                  <pic:spPr>
                    <a:xfrm>
                      <a:off x="0" y="0"/>
                      <a:ext cx="5543550" cy="2783324"/>
                    </a:xfrm>
                    <a:prstGeom prst="rect">
                      <a:avLst/>
                    </a:prstGeom>
                  </pic:spPr>
                </pic:pic>
              </a:graphicData>
            </a:graphic>
          </wp:inline>
        </w:drawing>
      </w:r>
    </w:p>
    <w:p w14:paraId="09755546" w14:textId="77777777" w:rsidR="00FA5B33" w:rsidRPr="00AA3F16" w:rsidRDefault="00FA5B33" w:rsidP="00FA5B33">
      <w:pPr>
        <w:jc w:val="both"/>
        <w:rPr>
          <w:rFonts w:eastAsia="Times New Roman" w:cs="Arial"/>
          <w:sz w:val="20"/>
          <w:szCs w:val="20"/>
          <w:lang w:val="es-ES" w:eastAsia="en-GB"/>
        </w:rPr>
      </w:pPr>
      <w:r w:rsidRPr="00AA3F16">
        <w:rPr>
          <w:rFonts w:eastAsia="Times New Roman" w:cs="Arial"/>
          <w:b/>
          <w:bCs/>
          <w:sz w:val="20"/>
          <w:szCs w:val="20"/>
          <w:lang w:val="es-ES" w:eastAsia="es-ES"/>
        </w:rPr>
        <w:t>Figura 3:</w:t>
      </w:r>
      <w:r w:rsidRPr="00AA3F16">
        <w:rPr>
          <w:rFonts w:eastAsia="Times New Roman" w:cs="Arial"/>
          <w:sz w:val="20"/>
          <w:szCs w:val="20"/>
          <w:lang w:val="es-ES" w:eastAsia="es-ES"/>
        </w:rPr>
        <w:t xml:space="preserve"> Mapa de la región mediterránea, área de pesca principal 37 de la FAO, muestra la posición geográfica de las distintas subáreas geográficas (SAG) de la CGPM y sus fronteras respectivas. Fuente: FAO, 2020.</w:t>
      </w:r>
      <w:r w:rsidRPr="00AA3F16">
        <w:rPr>
          <w:rFonts w:eastAsia="Times New Roman" w:cs="Arial"/>
          <w:sz w:val="20"/>
          <w:szCs w:val="20"/>
          <w:vertAlign w:val="superscript"/>
          <w:lang w:val="es-ES" w:eastAsia="es-ES"/>
        </w:rPr>
        <w:footnoteReference w:id="17"/>
      </w:r>
    </w:p>
    <w:p w14:paraId="755508E9" w14:textId="77777777" w:rsidR="00FA5B33" w:rsidRPr="00AA3F16" w:rsidRDefault="00FA5B33" w:rsidP="00FA5B33">
      <w:pPr>
        <w:jc w:val="both"/>
        <w:rPr>
          <w:rFonts w:eastAsia="Times New Roman" w:cs="Arial"/>
          <w:b/>
          <w:bCs/>
          <w:lang w:val="es-ES" w:eastAsia="en-GB"/>
        </w:rPr>
      </w:pPr>
      <w:r w:rsidRPr="00AA3F16">
        <w:rPr>
          <w:rFonts w:eastAsia="Times New Roman" w:cs="Arial"/>
          <w:b/>
          <w:bCs/>
          <w:lang w:val="es-ES" w:eastAsia="es-ES"/>
        </w:rPr>
        <w:br w:type="page"/>
      </w:r>
    </w:p>
    <w:p w14:paraId="5A43D279" w14:textId="35A7D395" w:rsidR="00FA5B33" w:rsidRPr="00AA3F16" w:rsidRDefault="00FA5B33" w:rsidP="00FA5B33">
      <w:pPr>
        <w:jc w:val="both"/>
        <w:rPr>
          <w:rFonts w:eastAsia="Times New Roman" w:cs="Arial"/>
          <w:lang w:val="es-ES" w:eastAsia="en-GB"/>
        </w:rPr>
      </w:pPr>
      <w:r w:rsidRPr="00AA3F16">
        <w:rPr>
          <w:rFonts w:eastAsia="Times New Roman" w:cs="Arial"/>
          <w:b/>
          <w:bCs/>
          <w:lang w:val="es-ES" w:eastAsia="es-ES"/>
        </w:rPr>
        <w:lastRenderedPageBreak/>
        <w:t>Tabla 5:</w:t>
      </w:r>
      <w:r w:rsidRPr="00AA3F16">
        <w:rPr>
          <w:rFonts w:eastAsia="Times New Roman" w:cs="Arial"/>
          <w:lang w:val="es-ES" w:eastAsia="es-ES"/>
        </w:rPr>
        <w:t xml:space="preserve"> Lista de las distintas subáreas geográficas (SAG) de la CGPM con el estado de presencia de los Angelotes (</w:t>
      </w:r>
      <w:proofErr w:type="spellStart"/>
      <w:r w:rsidRPr="00AA3F16">
        <w:rPr>
          <w:rFonts w:eastAsia="Times New Roman" w:cs="Arial"/>
          <w:i/>
          <w:iCs/>
          <w:lang w:val="es-ES" w:eastAsia="es-ES"/>
        </w:rPr>
        <w:t>Squatina</w:t>
      </w:r>
      <w:proofErr w:type="spellEnd"/>
      <w:r w:rsidRPr="00AA3F16">
        <w:rPr>
          <w:rFonts w:eastAsia="Times New Roman" w:cs="Arial"/>
          <w:i/>
          <w:iCs/>
          <w:lang w:val="es-ES" w:eastAsia="es-ES"/>
        </w:rPr>
        <w:t xml:space="preserve"> </w:t>
      </w:r>
      <w:proofErr w:type="spellStart"/>
      <w:r w:rsidRPr="00AA3F16">
        <w:rPr>
          <w:rFonts w:eastAsia="Times New Roman" w:cs="Arial"/>
          <w:i/>
          <w:iCs/>
          <w:lang w:val="es-ES" w:eastAsia="es-ES"/>
        </w:rPr>
        <w:t>squatina</w:t>
      </w:r>
      <w:proofErr w:type="spellEnd"/>
      <w:r w:rsidRPr="00AA3F16">
        <w:rPr>
          <w:rFonts w:eastAsia="Times New Roman" w:cs="Arial"/>
          <w:lang w:val="es-ES" w:eastAsia="es-ES"/>
        </w:rPr>
        <w:t>). Se considera que el Angelote está "conservado" en la SAG, cuando uno o más Estados del área de distribución de una zona es clasificado como conservado por Lawson</w:t>
      </w:r>
      <w:r w:rsidRPr="00AA3F16">
        <w:rPr>
          <w:rFonts w:eastAsia="Times New Roman" w:cs="Arial"/>
          <w:i/>
          <w:iCs/>
          <w:lang w:val="es-ES" w:eastAsia="es-ES"/>
        </w:rPr>
        <w:t xml:space="preserve"> et al. </w:t>
      </w:r>
      <w:r w:rsidRPr="00AA3F16">
        <w:rPr>
          <w:rFonts w:eastAsia="Times New Roman" w:cs="Arial"/>
          <w:lang w:val="es-ES" w:eastAsia="es-ES"/>
        </w:rPr>
        <w:t xml:space="preserve">(2020) o, de estar disponible, por la información más reciente. Se considera que el Angelote tiene una "presencia poco segura" en una SAG, cuando todos los Estados del área de distribución son clasificados como "presencia poco segura" según Lawson </w:t>
      </w:r>
      <w:r w:rsidRPr="00AA3F16">
        <w:rPr>
          <w:rFonts w:eastAsia="Times New Roman" w:cs="Arial"/>
          <w:i/>
          <w:iCs/>
          <w:lang w:val="es-ES" w:eastAsia="es-ES"/>
        </w:rPr>
        <w:t xml:space="preserve">et al. </w:t>
      </w:r>
      <w:r w:rsidRPr="00AA3F16">
        <w:rPr>
          <w:rFonts w:eastAsia="Times New Roman" w:cs="Arial"/>
          <w:lang w:val="es-ES" w:eastAsia="es-ES"/>
        </w:rPr>
        <w:t xml:space="preserve">(2020). Se ha descrito en los pies de página siguientes, en caso de que </w:t>
      </w:r>
      <w:proofErr w:type="spellStart"/>
      <w:r w:rsidRPr="00AA3F16">
        <w:rPr>
          <w:rFonts w:eastAsia="Times New Roman" w:cs="Arial"/>
          <w:lang w:val="es-ES" w:eastAsia="es-ES"/>
        </w:rPr>
        <w:t>Morey</w:t>
      </w:r>
      <w:proofErr w:type="spellEnd"/>
      <w:r w:rsidRPr="00AA3F16">
        <w:rPr>
          <w:rFonts w:eastAsia="Times New Roman" w:cs="Arial"/>
          <w:lang w:val="es-ES" w:eastAsia="es-ES"/>
        </w:rPr>
        <w:t xml:space="preserve"> </w:t>
      </w:r>
      <w:r w:rsidRPr="00AA3F16">
        <w:rPr>
          <w:rFonts w:eastAsia="Times New Roman" w:cs="Arial"/>
          <w:i/>
          <w:iCs/>
          <w:lang w:val="es-ES" w:eastAsia="es-ES"/>
        </w:rPr>
        <w:t>et al.</w:t>
      </w:r>
      <w:r w:rsidRPr="00AA3F16">
        <w:rPr>
          <w:rFonts w:eastAsia="Times New Roman" w:cs="Arial"/>
          <w:lang w:val="es-ES" w:eastAsia="es-ES"/>
        </w:rPr>
        <w:t xml:space="preserve"> (2019) u otra fuente ofrezca un estado de presencia distinto a Lawson </w:t>
      </w:r>
      <w:r w:rsidRPr="00AA3F16">
        <w:rPr>
          <w:rFonts w:eastAsia="Times New Roman" w:cs="Arial"/>
          <w:i/>
          <w:iCs/>
          <w:lang w:val="es-ES" w:eastAsia="es-ES"/>
        </w:rPr>
        <w:t>et al.</w:t>
      </w:r>
      <w:r w:rsidRPr="00AA3F16">
        <w:rPr>
          <w:rFonts w:eastAsia="Times New Roman" w:cs="Arial"/>
          <w:lang w:val="es-ES" w:eastAsia="es-ES"/>
        </w:rPr>
        <w:t xml:space="preserve"> (2020). A menos que haya otra indicación, ambas fuentes (Lawson </w:t>
      </w:r>
      <w:r w:rsidRPr="00AA3F16">
        <w:rPr>
          <w:rFonts w:eastAsia="Times New Roman" w:cs="Arial"/>
          <w:i/>
          <w:iCs/>
          <w:lang w:val="es-ES" w:eastAsia="es-ES"/>
        </w:rPr>
        <w:t>et al.</w:t>
      </w:r>
      <w:r w:rsidRPr="00AA3F16">
        <w:rPr>
          <w:rFonts w:eastAsia="Times New Roman" w:cs="Arial"/>
          <w:lang w:val="es-ES" w:eastAsia="es-ES"/>
        </w:rPr>
        <w:t xml:space="preserve"> 2020 y </w:t>
      </w:r>
      <w:proofErr w:type="spellStart"/>
      <w:r w:rsidRPr="00AA3F16">
        <w:rPr>
          <w:rFonts w:eastAsia="Times New Roman" w:cs="Arial"/>
          <w:lang w:val="es-ES" w:eastAsia="es-ES"/>
        </w:rPr>
        <w:t>Morey</w:t>
      </w:r>
      <w:proofErr w:type="spellEnd"/>
      <w:r w:rsidRPr="00AA3F16">
        <w:rPr>
          <w:rFonts w:eastAsia="Times New Roman" w:cs="Arial"/>
          <w:lang w:val="es-ES" w:eastAsia="es-ES"/>
        </w:rPr>
        <w:t xml:space="preserve"> </w:t>
      </w:r>
      <w:r w:rsidRPr="00AA3F16">
        <w:rPr>
          <w:rFonts w:eastAsia="Times New Roman" w:cs="Arial"/>
          <w:i/>
          <w:iCs/>
          <w:lang w:val="es-ES" w:eastAsia="es-ES"/>
        </w:rPr>
        <w:t>et al.</w:t>
      </w:r>
      <w:r w:rsidRPr="00AA3F16">
        <w:rPr>
          <w:rFonts w:eastAsia="Times New Roman" w:cs="Arial"/>
          <w:lang w:val="es-ES" w:eastAsia="es-ES"/>
        </w:rPr>
        <w:t xml:space="preserve"> 2019) determinan el mismo estado de presencia según el Estado del área de distribución.</w:t>
      </w:r>
    </w:p>
    <w:p w14:paraId="77F9CE94" w14:textId="77777777" w:rsidR="00FA5B33" w:rsidRPr="00AA3F16" w:rsidRDefault="00FA5B33" w:rsidP="00FA5B33">
      <w:pPr>
        <w:jc w:val="both"/>
        <w:rPr>
          <w:rFonts w:eastAsia="Times New Roman" w:cs="Arial"/>
          <w:lang w:val="es-ES" w:eastAsia="en-GB"/>
        </w:rPr>
      </w:pPr>
    </w:p>
    <w:p w14:paraId="76EE414C" w14:textId="77777777" w:rsidR="00FA5B33" w:rsidRPr="00AA3F16" w:rsidRDefault="00FA5B33" w:rsidP="00FA5B33">
      <w:pPr>
        <w:rPr>
          <w:rFonts w:eastAsia="Times New Roman" w:cs="Arial"/>
          <w:lang w:val="es-ES" w:eastAsia="en-GB"/>
        </w:rPr>
      </w:pPr>
    </w:p>
    <w:tbl>
      <w:tblPr>
        <w:tblStyle w:val="PlainTable21"/>
        <w:tblpPr w:leftFromText="180" w:rightFromText="180" w:vertAnchor="text" w:tblpY="-49"/>
        <w:tblW w:w="5000" w:type="pct"/>
        <w:tblLook w:val="04A0" w:firstRow="1" w:lastRow="0" w:firstColumn="1" w:lastColumn="0" w:noHBand="0" w:noVBand="1"/>
      </w:tblPr>
      <w:tblGrid>
        <w:gridCol w:w="852"/>
        <w:gridCol w:w="4488"/>
        <w:gridCol w:w="4200"/>
      </w:tblGrid>
      <w:tr w:rsidR="00FA5B33" w:rsidRPr="00AA3F16" w14:paraId="20A2EC2A" w14:textId="77777777" w:rsidTr="00FA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9" w:type="pct"/>
            <w:gridSpan w:val="2"/>
          </w:tcPr>
          <w:p w14:paraId="2D4BFC8B" w14:textId="77777777" w:rsidR="00FA5B33" w:rsidRPr="00AA3F16" w:rsidRDefault="00FA5B33" w:rsidP="00FA5B33">
            <w:pPr>
              <w:jc w:val="center"/>
              <w:rPr>
                <w:rFonts w:cs="Arial"/>
                <w:sz w:val="21"/>
                <w:szCs w:val="21"/>
                <w:lang w:val="es-ES"/>
              </w:rPr>
            </w:pPr>
            <w:r w:rsidRPr="00AA3F16">
              <w:rPr>
                <w:rFonts w:cs="Arial"/>
                <w:sz w:val="21"/>
                <w:szCs w:val="21"/>
                <w:lang w:val="es-ES"/>
              </w:rPr>
              <w:t>Subáreas geográficas (SAG) del CGPM</w:t>
            </w:r>
          </w:p>
        </w:tc>
        <w:tc>
          <w:tcPr>
            <w:tcW w:w="2201" w:type="pct"/>
          </w:tcPr>
          <w:p w14:paraId="572424C1" w14:textId="77777777" w:rsidR="00FA5B33" w:rsidRPr="00AA3F16" w:rsidRDefault="00FA5B33" w:rsidP="00FA5B33">
            <w:pPr>
              <w:jc w:val="center"/>
              <w:cnfStyle w:val="100000000000" w:firstRow="1"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Estado de presencia</w:t>
            </w:r>
          </w:p>
        </w:tc>
      </w:tr>
      <w:tr w:rsidR="00FA5B33" w:rsidRPr="00AA3F16" w14:paraId="2E25D991"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54AB7E3" w14:textId="77777777" w:rsidR="00FA5B33" w:rsidRPr="00AA3F16" w:rsidRDefault="00FA5B33" w:rsidP="00FA5B33">
            <w:pPr>
              <w:rPr>
                <w:rFonts w:cs="Arial"/>
                <w:sz w:val="21"/>
                <w:szCs w:val="21"/>
                <w:lang w:val="es-ES"/>
              </w:rPr>
            </w:pPr>
            <w:r w:rsidRPr="00AA3F16">
              <w:rPr>
                <w:rFonts w:cs="Arial"/>
                <w:sz w:val="21"/>
                <w:szCs w:val="21"/>
                <w:lang w:val="es-ES"/>
              </w:rPr>
              <w:t>1</w:t>
            </w:r>
          </w:p>
        </w:tc>
        <w:tc>
          <w:tcPr>
            <w:tcW w:w="2351" w:type="pct"/>
          </w:tcPr>
          <w:p w14:paraId="3E7D54E2"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Norte del mar de Alborán</w:t>
            </w:r>
          </w:p>
        </w:tc>
        <w:tc>
          <w:tcPr>
            <w:tcW w:w="2201" w:type="pct"/>
          </w:tcPr>
          <w:p w14:paraId="692E3EA3"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1"/>
                <w:szCs w:val="21"/>
                <w:lang w:val="es-ES"/>
              </w:rPr>
            </w:pPr>
            <w:r w:rsidRPr="00AA3F16">
              <w:rPr>
                <w:rFonts w:cs="Arial"/>
                <w:sz w:val="21"/>
                <w:szCs w:val="21"/>
                <w:lang w:val="es-ES"/>
              </w:rPr>
              <w:t>Presencia no segura</w:t>
            </w:r>
          </w:p>
        </w:tc>
      </w:tr>
      <w:tr w:rsidR="00FA5B33" w:rsidRPr="00AA3F16" w14:paraId="4E5DD7C0"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7D186E28" w14:textId="77777777" w:rsidR="00FA5B33" w:rsidRPr="00AA3F16" w:rsidRDefault="00FA5B33" w:rsidP="00FA5B33">
            <w:pPr>
              <w:rPr>
                <w:rFonts w:cs="Arial"/>
                <w:sz w:val="21"/>
                <w:szCs w:val="21"/>
                <w:lang w:val="es-ES"/>
              </w:rPr>
            </w:pPr>
            <w:r w:rsidRPr="00AA3F16">
              <w:rPr>
                <w:rFonts w:cs="Arial"/>
                <w:sz w:val="21"/>
                <w:szCs w:val="21"/>
                <w:lang w:val="es-ES"/>
              </w:rPr>
              <w:t>2</w:t>
            </w:r>
          </w:p>
        </w:tc>
        <w:tc>
          <w:tcPr>
            <w:tcW w:w="2351" w:type="pct"/>
          </w:tcPr>
          <w:p w14:paraId="2D46F69C"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Isla de Alborán</w:t>
            </w:r>
          </w:p>
        </w:tc>
        <w:tc>
          <w:tcPr>
            <w:tcW w:w="2201" w:type="pct"/>
          </w:tcPr>
          <w:p w14:paraId="166F7EBD"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b/>
                <w:bCs/>
                <w:sz w:val="21"/>
                <w:szCs w:val="21"/>
                <w:lang w:val="es-ES"/>
              </w:rPr>
            </w:pPr>
            <w:r w:rsidRPr="00AA3F16">
              <w:rPr>
                <w:rFonts w:cs="Arial"/>
                <w:sz w:val="21"/>
                <w:szCs w:val="21"/>
                <w:lang w:val="es-ES"/>
              </w:rPr>
              <w:t>Presencia no segura</w:t>
            </w:r>
          </w:p>
        </w:tc>
      </w:tr>
      <w:tr w:rsidR="00FA5B33" w:rsidRPr="00AA3F16" w14:paraId="394C7DEE"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12AB858" w14:textId="77777777" w:rsidR="00FA5B33" w:rsidRPr="00AA3F16" w:rsidRDefault="00FA5B33" w:rsidP="00FA5B33">
            <w:pPr>
              <w:rPr>
                <w:rFonts w:cs="Arial"/>
                <w:sz w:val="21"/>
                <w:szCs w:val="21"/>
                <w:lang w:val="es-ES"/>
              </w:rPr>
            </w:pPr>
            <w:r w:rsidRPr="00AA3F16">
              <w:rPr>
                <w:rFonts w:cs="Arial"/>
                <w:sz w:val="21"/>
                <w:szCs w:val="21"/>
                <w:lang w:val="es-ES"/>
              </w:rPr>
              <w:t>3</w:t>
            </w:r>
          </w:p>
        </w:tc>
        <w:tc>
          <w:tcPr>
            <w:tcW w:w="2351" w:type="pct"/>
          </w:tcPr>
          <w:p w14:paraId="5EEEC868"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Sur del mar de Alborán</w:t>
            </w:r>
          </w:p>
        </w:tc>
        <w:tc>
          <w:tcPr>
            <w:tcW w:w="2201" w:type="pct"/>
          </w:tcPr>
          <w:p w14:paraId="098B1FB8"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1"/>
                <w:szCs w:val="21"/>
                <w:lang w:val="es-ES"/>
              </w:rPr>
            </w:pPr>
            <w:r w:rsidRPr="00AA3F16">
              <w:rPr>
                <w:rFonts w:cs="Arial"/>
                <w:sz w:val="21"/>
                <w:szCs w:val="21"/>
                <w:lang w:val="es-ES"/>
              </w:rPr>
              <w:t>Presencia no segura</w:t>
            </w:r>
          </w:p>
        </w:tc>
      </w:tr>
      <w:tr w:rsidR="00FA5B33" w:rsidRPr="00AA3F16" w14:paraId="46D0888E"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4687F41E" w14:textId="77777777" w:rsidR="00FA5B33" w:rsidRPr="00AA3F16" w:rsidRDefault="00FA5B33" w:rsidP="00FA5B33">
            <w:pPr>
              <w:rPr>
                <w:rFonts w:cs="Arial"/>
                <w:sz w:val="21"/>
                <w:szCs w:val="21"/>
                <w:lang w:val="es-ES"/>
              </w:rPr>
            </w:pPr>
            <w:r w:rsidRPr="00AA3F16">
              <w:rPr>
                <w:rFonts w:cs="Arial"/>
                <w:sz w:val="21"/>
                <w:szCs w:val="21"/>
                <w:lang w:val="es-ES"/>
              </w:rPr>
              <w:t>4</w:t>
            </w:r>
          </w:p>
        </w:tc>
        <w:tc>
          <w:tcPr>
            <w:tcW w:w="2351" w:type="pct"/>
          </w:tcPr>
          <w:p w14:paraId="68AD08E0"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Argelia</w:t>
            </w:r>
          </w:p>
        </w:tc>
        <w:tc>
          <w:tcPr>
            <w:tcW w:w="2201" w:type="pct"/>
          </w:tcPr>
          <w:p w14:paraId="513A5B61"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3F63DFBA"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9139424" w14:textId="77777777" w:rsidR="00FA5B33" w:rsidRPr="00AA3F16" w:rsidRDefault="00FA5B33" w:rsidP="00FA5B33">
            <w:pPr>
              <w:rPr>
                <w:rFonts w:cs="Arial"/>
                <w:sz w:val="21"/>
                <w:szCs w:val="21"/>
                <w:lang w:val="es-ES"/>
              </w:rPr>
            </w:pPr>
            <w:r w:rsidRPr="00AA3F16">
              <w:rPr>
                <w:rFonts w:cs="Arial"/>
                <w:sz w:val="21"/>
                <w:szCs w:val="21"/>
                <w:lang w:val="es-ES"/>
              </w:rPr>
              <w:t>5</w:t>
            </w:r>
          </w:p>
        </w:tc>
        <w:tc>
          <w:tcPr>
            <w:tcW w:w="2351" w:type="pct"/>
          </w:tcPr>
          <w:p w14:paraId="0F26F9C7"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Islas Baleares</w:t>
            </w:r>
          </w:p>
        </w:tc>
        <w:tc>
          <w:tcPr>
            <w:tcW w:w="2201" w:type="pct"/>
          </w:tcPr>
          <w:p w14:paraId="654912D2"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1"/>
                <w:szCs w:val="21"/>
                <w:lang w:val="es-ES"/>
              </w:rPr>
            </w:pPr>
            <w:r w:rsidRPr="00AA3F16">
              <w:rPr>
                <w:rFonts w:cs="Arial"/>
                <w:sz w:val="21"/>
                <w:szCs w:val="21"/>
                <w:lang w:val="es-ES"/>
              </w:rPr>
              <w:t>Presencia no segura</w:t>
            </w:r>
          </w:p>
        </w:tc>
      </w:tr>
      <w:tr w:rsidR="00FA5B33" w:rsidRPr="00AA3F16" w14:paraId="79378E38"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758AA973" w14:textId="77777777" w:rsidR="00FA5B33" w:rsidRPr="00AA3F16" w:rsidRDefault="00FA5B33" w:rsidP="00FA5B33">
            <w:pPr>
              <w:rPr>
                <w:rFonts w:cs="Arial"/>
                <w:sz w:val="21"/>
                <w:szCs w:val="21"/>
                <w:lang w:val="es-ES"/>
              </w:rPr>
            </w:pPr>
            <w:r w:rsidRPr="00AA3F16">
              <w:rPr>
                <w:rFonts w:cs="Arial"/>
                <w:sz w:val="21"/>
                <w:szCs w:val="21"/>
                <w:lang w:val="es-ES"/>
              </w:rPr>
              <w:t>6</w:t>
            </w:r>
          </w:p>
        </w:tc>
        <w:tc>
          <w:tcPr>
            <w:tcW w:w="2351" w:type="pct"/>
          </w:tcPr>
          <w:p w14:paraId="63939A89"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Norte de España</w:t>
            </w:r>
          </w:p>
        </w:tc>
        <w:tc>
          <w:tcPr>
            <w:tcW w:w="2201" w:type="pct"/>
          </w:tcPr>
          <w:p w14:paraId="309C5A0E"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b/>
                <w:bCs/>
                <w:sz w:val="21"/>
                <w:szCs w:val="21"/>
                <w:lang w:val="es-ES"/>
              </w:rPr>
            </w:pPr>
            <w:r w:rsidRPr="00AA3F16">
              <w:rPr>
                <w:rFonts w:cs="Arial"/>
                <w:sz w:val="21"/>
                <w:szCs w:val="21"/>
                <w:lang w:val="es-ES"/>
              </w:rPr>
              <w:t>Presencia no segura</w:t>
            </w:r>
          </w:p>
        </w:tc>
      </w:tr>
      <w:tr w:rsidR="00FA5B33" w:rsidRPr="00AA3F16" w14:paraId="5C24D045"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357F0F4" w14:textId="77777777" w:rsidR="00FA5B33" w:rsidRPr="00AA3F16" w:rsidRDefault="00FA5B33" w:rsidP="00FA5B33">
            <w:pPr>
              <w:rPr>
                <w:rFonts w:cs="Arial"/>
                <w:sz w:val="21"/>
                <w:szCs w:val="21"/>
                <w:lang w:val="es-ES"/>
              </w:rPr>
            </w:pPr>
            <w:r w:rsidRPr="00AA3F16">
              <w:rPr>
                <w:rFonts w:cs="Arial"/>
                <w:sz w:val="21"/>
                <w:szCs w:val="21"/>
                <w:lang w:val="es-ES"/>
              </w:rPr>
              <w:t>7</w:t>
            </w:r>
          </w:p>
        </w:tc>
        <w:tc>
          <w:tcPr>
            <w:tcW w:w="2351" w:type="pct"/>
          </w:tcPr>
          <w:p w14:paraId="3FC3AF29"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Golfo de León</w:t>
            </w:r>
          </w:p>
        </w:tc>
        <w:tc>
          <w:tcPr>
            <w:tcW w:w="2201" w:type="pct"/>
          </w:tcPr>
          <w:p w14:paraId="51238EA9"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Presencia no segura</w:t>
            </w:r>
          </w:p>
        </w:tc>
      </w:tr>
      <w:tr w:rsidR="00FA5B33" w:rsidRPr="00AA3F16" w14:paraId="4BB738E3"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0B56CFF8" w14:textId="77777777" w:rsidR="00FA5B33" w:rsidRPr="00AA3F16" w:rsidRDefault="00FA5B33" w:rsidP="00FA5B33">
            <w:pPr>
              <w:rPr>
                <w:rFonts w:cs="Arial"/>
                <w:sz w:val="21"/>
                <w:szCs w:val="21"/>
                <w:lang w:val="es-ES"/>
              </w:rPr>
            </w:pPr>
            <w:r w:rsidRPr="00AA3F16">
              <w:rPr>
                <w:rFonts w:cs="Arial"/>
                <w:sz w:val="21"/>
                <w:szCs w:val="21"/>
                <w:lang w:val="es-ES"/>
              </w:rPr>
              <w:t>8</w:t>
            </w:r>
          </w:p>
        </w:tc>
        <w:tc>
          <w:tcPr>
            <w:tcW w:w="2351" w:type="pct"/>
          </w:tcPr>
          <w:p w14:paraId="1C751BF6"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Córcega</w:t>
            </w:r>
          </w:p>
        </w:tc>
        <w:tc>
          <w:tcPr>
            <w:tcW w:w="2201" w:type="pct"/>
          </w:tcPr>
          <w:p w14:paraId="53BE6F0D"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18E45E22"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F0E3D46" w14:textId="77777777" w:rsidR="00FA5B33" w:rsidRPr="00AA3F16" w:rsidRDefault="00FA5B33" w:rsidP="00FA5B33">
            <w:pPr>
              <w:rPr>
                <w:rFonts w:cs="Arial"/>
                <w:sz w:val="21"/>
                <w:szCs w:val="21"/>
                <w:lang w:val="es-ES"/>
              </w:rPr>
            </w:pPr>
            <w:r w:rsidRPr="00AA3F16">
              <w:rPr>
                <w:rFonts w:cs="Arial"/>
                <w:sz w:val="21"/>
                <w:szCs w:val="21"/>
                <w:lang w:val="es-ES"/>
              </w:rPr>
              <w:t>9</w:t>
            </w:r>
          </w:p>
        </w:tc>
        <w:tc>
          <w:tcPr>
            <w:tcW w:w="2351" w:type="pct"/>
          </w:tcPr>
          <w:p w14:paraId="705173FA"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 xml:space="preserve">Mar de </w:t>
            </w:r>
            <w:proofErr w:type="spellStart"/>
            <w:r w:rsidRPr="00AA3F16">
              <w:rPr>
                <w:rFonts w:cs="Arial"/>
                <w:sz w:val="21"/>
                <w:szCs w:val="21"/>
                <w:lang w:val="es-ES"/>
              </w:rPr>
              <w:t>Luguria</w:t>
            </w:r>
            <w:proofErr w:type="spellEnd"/>
            <w:r w:rsidRPr="00AA3F16">
              <w:rPr>
                <w:rFonts w:cs="Arial"/>
                <w:sz w:val="21"/>
                <w:szCs w:val="21"/>
                <w:lang w:val="es-ES"/>
              </w:rPr>
              <w:t xml:space="preserve"> y norte del mar Tirreno</w:t>
            </w:r>
          </w:p>
        </w:tc>
        <w:tc>
          <w:tcPr>
            <w:tcW w:w="2201" w:type="pct"/>
          </w:tcPr>
          <w:p w14:paraId="7FDB3DF2"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331C8498" w14:textId="77777777" w:rsidTr="00FA5B33">
        <w:trPr>
          <w:trHeight w:val="240"/>
        </w:trPr>
        <w:tc>
          <w:tcPr>
            <w:cnfStyle w:val="001000000000" w:firstRow="0" w:lastRow="0" w:firstColumn="1" w:lastColumn="0" w:oddVBand="0" w:evenVBand="0" w:oddHBand="0" w:evenHBand="0" w:firstRowFirstColumn="0" w:firstRowLastColumn="0" w:lastRowFirstColumn="0" w:lastRowLastColumn="0"/>
            <w:tcW w:w="447" w:type="pct"/>
          </w:tcPr>
          <w:p w14:paraId="0BFC0384" w14:textId="77777777" w:rsidR="00FA5B33" w:rsidRPr="00AA3F16" w:rsidRDefault="00FA5B33" w:rsidP="00FA5B33">
            <w:pPr>
              <w:rPr>
                <w:rFonts w:cs="Arial"/>
                <w:sz w:val="21"/>
                <w:szCs w:val="21"/>
                <w:lang w:val="es-ES"/>
              </w:rPr>
            </w:pPr>
            <w:r w:rsidRPr="00AA3F16">
              <w:rPr>
                <w:rFonts w:cs="Arial"/>
                <w:sz w:val="21"/>
                <w:szCs w:val="21"/>
                <w:lang w:val="es-ES"/>
              </w:rPr>
              <w:t>10</w:t>
            </w:r>
          </w:p>
        </w:tc>
        <w:tc>
          <w:tcPr>
            <w:tcW w:w="2351" w:type="pct"/>
          </w:tcPr>
          <w:p w14:paraId="5E1F852A"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Norte y centro del mar Tirreno</w:t>
            </w:r>
          </w:p>
        </w:tc>
        <w:tc>
          <w:tcPr>
            <w:tcW w:w="2201" w:type="pct"/>
          </w:tcPr>
          <w:p w14:paraId="7A448E85"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25AED9BA" w14:textId="77777777" w:rsidTr="00FA5B3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47" w:type="pct"/>
          </w:tcPr>
          <w:p w14:paraId="681793DB" w14:textId="77777777" w:rsidR="00FA5B33" w:rsidRPr="00AA3F16" w:rsidRDefault="00FA5B33" w:rsidP="00FA5B33">
            <w:pPr>
              <w:rPr>
                <w:rFonts w:cs="Arial"/>
                <w:sz w:val="21"/>
                <w:szCs w:val="21"/>
                <w:lang w:val="es-ES"/>
              </w:rPr>
            </w:pPr>
            <w:r w:rsidRPr="00AA3F16">
              <w:rPr>
                <w:rFonts w:cs="Arial"/>
                <w:sz w:val="21"/>
                <w:szCs w:val="21"/>
                <w:lang w:val="es-ES"/>
              </w:rPr>
              <w:t>11.1</w:t>
            </w:r>
          </w:p>
        </w:tc>
        <w:tc>
          <w:tcPr>
            <w:tcW w:w="2351" w:type="pct"/>
          </w:tcPr>
          <w:p w14:paraId="6B903430"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Oeste de Cerdeña</w:t>
            </w:r>
          </w:p>
        </w:tc>
        <w:tc>
          <w:tcPr>
            <w:tcW w:w="2201" w:type="pct"/>
          </w:tcPr>
          <w:p w14:paraId="162F0A67"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Presencia no segura</w:t>
            </w:r>
          </w:p>
        </w:tc>
      </w:tr>
      <w:tr w:rsidR="00FA5B33" w:rsidRPr="00AA3F16" w14:paraId="6F05113C" w14:textId="77777777" w:rsidTr="00FA5B33">
        <w:trPr>
          <w:trHeight w:val="276"/>
        </w:trPr>
        <w:tc>
          <w:tcPr>
            <w:cnfStyle w:val="001000000000" w:firstRow="0" w:lastRow="0" w:firstColumn="1" w:lastColumn="0" w:oddVBand="0" w:evenVBand="0" w:oddHBand="0" w:evenHBand="0" w:firstRowFirstColumn="0" w:firstRowLastColumn="0" w:lastRowFirstColumn="0" w:lastRowLastColumn="0"/>
            <w:tcW w:w="447" w:type="pct"/>
          </w:tcPr>
          <w:p w14:paraId="3FE372E9" w14:textId="77777777" w:rsidR="00FA5B33" w:rsidRPr="00AA3F16" w:rsidRDefault="00FA5B33" w:rsidP="00FA5B33">
            <w:pPr>
              <w:rPr>
                <w:rFonts w:cs="Arial"/>
                <w:sz w:val="21"/>
                <w:szCs w:val="21"/>
                <w:lang w:val="es-ES"/>
              </w:rPr>
            </w:pPr>
            <w:r w:rsidRPr="00AA3F16">
              <w:rPr>
                <w:rFonts w:cs="Arial"/>
                <w:sz w:val="21"/>
                <w:szCs w:val="21"/>
                <w:lang w:val="es-ES"/>
              </w:rPr>
              <w:t>11.2</w:t>
            </w:r>
          </w:p>
        </w:tc>
        <w:tc>
          <w:tcPr>
            <w:tcW w:w="2351" w:type="pct"/>
          </w:tcPr>
          <w:p w14:paraId="13BC3348"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Este de Cerdeña</w:t>
            </w:r>
          </w:p>
        </w:tc>
        <w:tc>
          <w:tcPr>
            <w:tcW w:w="2201" w:type="pct"/>
          </w:tcPr>
          <w:p w14:paraId="36081471"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footnoteReference w:id="18"/>
            </w:r>
          </w:p>
        </w:tc>
      </w:tr>
      <w:tr w:rsidR="00FA5B33" w:rsidRPr="00AA3F16" w14:paraId="3A945C3E" w14:textId="77777777" w:rsidTr="00FA5B3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47" w:type="pct"/>
          </w:tcPr>
          <w:p w14:paraId="30731100" w14:textId="77777777" w:rsidR="00FA5B33" w:rsidRPr="00AA3F16" w:rsidRDefault="00FA5B33" w:rsidP="00FA5B33">
            <w:pPr>
              <w:rPr>
                <w:rFonts w:cs="Arial"/>
                <w:sz w:val="21"/>
                <w:szCs w:val="21"/>
                <w:lang w:val="es-ES"/>
              </w:rPr>
            </w:pPr>
            <w:r w:rsidRPr="00AA3F16">
              <w:rPr>
                <w:rFonts w:cs="Arial"/>
                <w:sz w:val="21"/>
                <w:szCs w:val="21"/>
                <w:lang w:val="es-ES"/>
              </w:rPr>
              <w:t>12</w:t>
            </w:r>
          </w:p>
        </w:tc>
        <w:tc>
          <w:tcPr>
            <w:tcW w:w="2351" w:type="pct"/>
          </w:tcPr>
          <w:p w14:paraId="495FFD8C"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Norte de Túnez</w:t>
            </w:r>
          </w:p>
        </w:tc>
        <w:tc>
          <w:tcPr>
            <w:tcW w:w="2201" w:type="pct"/>
          </w:tcPr>
          <w:p w14:paraId="028EC7D1"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t>13</w:t>
            </w:r>
            <w:r w:rsidRPr="00AA3F16">
              <w:rPr>
                <w:rFonts w:cs="Arial"/>
                <w:sz w:val="21"/>
                <w:szCs w:val="21"/>
                <w:lang w:val="es-ES"/>
              </w:rPr>
              <w:t xml:space="preserve"> </w:t>
            </w:r>
          </w:p>
        </w:tc>
      </w:tr>
      <w:tr w:rsidR="00FA5B33" w:rsidRPr="00AA3F16" w14:paraId="5DD94C85" w14:textId="77777777" w:rsidTr="00FA5B33">
        <w:trPr>
          <w:trHeight w:val="275"/>
        </w:trPr>
        <w:tc>
          <w:tcPr>
            <w:cnfStyle w:val="001000000000" w:firstRow="0" w:lastRow="0" w:firstColumn="1" w:lastColumn="0" w:oddVBand="0" w:evenVBand="0" w:oddHBand="0" w:evenHBand="0" w:firstRowFirstColumn="0" w:firstRowLastColumn="0" w:lastRowFirstColumn="0" w:lastRowLastColumn="0"/>
            <w:tcW w:w="447" w:type="pct"/>
          </w:tcPr>
          <w:p w14:paraId="68A37CA8" w14:textId="77777777" w:rsidR="00FA5B33" w:rsidRPr="00AA3F16" w:rsidRDefault="00FA5B33" w:rsidP="00FA5B33">
            <w:pPr>
              <w:rPr>
                <w:rFonts w:cs="Arial"/>
                <w:sz w:val="21"/>
                <w:szCs w:val="21"/>
                <w:lang w:val="es-ES"/>
              </w:rPr>
            </w:pPr>
            <w:r w:rsidRPr="00AA3F16">
              <w:rPr>
                <w:rFonts w:cs="Arial"/>
                <w:sz w:val="21"/>
                <w:szCs w:val="21"/>
                <w:lang w:val="es-ES"/>
              </w:rPr>
              <w:t>13</w:t>
            </w:r>
          </w:p>
        </w:tc>
        <w:tc>
          <w:tcPr>
            <w:tcW w:w="2351" w:type="pct"/>
          </w:tcPr>
          <w:p w14:paraId="62F22A79"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 xml:space="preserve">Golfo de </w:t>
            </w:r>
            <w:proofErr w:type="spellStart"/>
            <w:r w:rsidRPr="00AA3F16">
              <w:rPr>
                <w:rFonts w:cs="Arial"/>
                <w:sz w:val="21"/>
                <w:szCs w:val="21"/>
                <w:lang w:val="es-ES"/>
              </w:rPr>
              <w:t>Hamamet</w:t>
            </w:r>
            <w:proofErr w:type="spellEnd"/>
          </w:p>
        </w:tc>
        <w:tc>
          <w:tcPr>
            <w:tcW w:w="2201" w:type="pct"/>
          </w:tcPr>
          <w:p w14:paraId="7F543DF1"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t>13</w:t>
            </w:r>
          </w:p>
        </w:tc>
      </w:tr>
      <w:tr w:rsidR="00FA5B33" w:rsidRPr="00AA3F16" w14:paraId="7935406A" w14:textId="77777777" w:rsidTr="00FA5B3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47" w:type="pct"/>
          </w:tcPr>
          <w:p w14:paraId="745981D3" w14:textId="77777777" w:rsidR="00FA5B33" w:rsidRPr="00AA3F16" w:rsidRDefault="00FA5B33" w:rsidP="00FA5B33">
            <w:pPr>
              <w:rPr>
                <w:rFonts w:cs="Arial"/>
                <w:sz w:val="21"/>
                <w:szCs w:val="21"/>
                <w:lang w:val="es-ES"/>
              </w:rPr>
            </w:pPr>
            <w:r w:rsidRPr="00AA3F16">
              <w:rPr>
                <w:rFonts w:cs="Arial"/>
                <w:sz w:val="21"/>
                <w:szCs w:val="21"/>
                <w:lang w:val="es-ES"/>
              </w:rPr>
              <w:t>14</w:t>
            </w:r>
          </w:p>
        </w:tc>
        <w:tc>
          <w:tcPr>
            <w:tcW w:w="2351" w:type="pct"/>
          </w:tcPr>
          <w:p w14:paraId="28D670FE"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Golfo de Gabés</w:t>
            </w:r>
          </w:p>
        </w:tc>
        <w:tc>
          <w:tcPr>
            <w:tcW w:w="2201" w:type="pct"/>
          </w:tcPr>
          <w:p w14:paraId="45B98522"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t>13</w:t>
            </w:r>
          </w:p>
        </w:tc>
      </w:tr>
      <w:tr w:rsidR="00FA5B33" w:rsidRPr="00AA3F16" w14:paraId="128029F1"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0AF52543" w14:textId="77777777" w:rsidR="00FA5B33" w:rsidRPr="00AA3F16" w:rsidRDefault="00FA5B33" w:rsidP="00FA5B33">
            <w:pPr>
              <w:rPr>
                <w:rFonts w:cs="Arial"/>
                <w:sz w:val="21"/>
                <w:szCs w:val="21"/>
                <w:lang w:val="es-ES"/>
              </w:rPr>
            </w:pPr>
            <w:r w:rsidRPr="00AA3F16">
              <w:rPr>
                <w:rFonts w:cs="Arial"/>
                <w:sz w:val="21"/>
                <w:szCs w:val="21"/>
                <w:lang w:val="es-ES"/>
              </w:rPr>
              <w:t>15</w:t>
            </w:r>
          </w:p>
        </w:tc>
        <w:tc>
          <w:tcPr>
            <w:tcW w:w="2351" w:type="pct"/>
          </w:tcPr>
          <w:p w14:paraId="79A32D77"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Malta</w:t>
            </w:r>
          </w:p>
        </w:tc>
        <w:tc>
          <w:tcPr>
            <w:tcW w:w="2201" w:type="pct"/>
          </w:tcPr>
          <w:p w14:paraId="04141BEE"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59EBE7E0" w14:textId="77777777" w:rsidTr="00FA5B3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7" w:type="pct"/>
          </w:tcPr>
          <w:p w14:paraId="59D5CA08" w14:textId="77777777" w:rsidR="00FA5B33" w:rsidRPr="00AA3F16" w:rsidRDefault="00FA5B33" w:rsidP="00FA5B33">
            <w:pPr>
              <w:rPr>
                <w:rFonts w:cs="Arial"/>
                <w:sz w:val="21"/>
                <w:szCs w:val="21"/>
                <w:lang w:val="es-ES"/>
              </w:rPr>
            </w:pPr>
            <w:r w:rsidRPr="00AA3F16">
              <w:rPr>
                <w:rFonts w:cs="Arial"/>
                <w:sz w:val="21"/>
                <w:szCs w:val="21"/>
                <w:lang w:val="es-ES"/>
              </w:rPr>
              <w:t>16</w:t>
            </w:r>
          </w:p>
        </w:tc>
        <w:tc>
          <w:tcPr>
            <w:tcW w:w="2351" w:type="pct"/>
          </w:tcPr>
          <w:p w14:paraId="79B479AE"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Sur de Sicilia</w:t>
            </w:r>
          </w:p>
        </w:tc>
        <w:tc>
          <w:tcPr>
            <w:tcW w:w="2201" w:type="pct"/>
          </w:tcPr>
          <w:p w14:paraId="1BAD142E"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footnoteReference w:id="19"/>
            </w:r>
          </w:p>
        </w:tc>
      </w:tr>
      <w:tr w:rsidR="00FA5B33" w:rsidRPr="00AA3F16" w14:paraId="177D9F74" w14:textId="77777777" w:rsidTr="00FA5B33">
        <w:trPr>
          <w:trHeight w:val="269"/>
        </w:trPr>
        <w:tc>
          <w:tcPr>
            <w:cnfStyle w:val="001000000000" w:firstRow="0" w:lastRow="0" w:firstColumn="1" w:lastColumn="0" w:oddVBand="0" w:evenVBand="0" w:oddHBand="0" w:evenHBand="0" w:firstRowFirstColumn="0" w:firstRowLastColumn="0" w:lastRowFirstColumn="0" w:lastRowLastColumn="0"/>
            <w:tcW w:w="447" w:type="pct"/>
          </w:tcPr>
          <w:p w14:paraId="4A2B5AEF" w14:textId="77777777" w:rsidR="00FA5B33" w:rsidRPr="00AA3F16" w:rsidRDefault="00FA5B33" w:rsidP="00FA5B33">
            <w:pPr>
              <w:rPr>
                <w:rFonts w:cs="Arial"/>
                <w:sz w:val="21"/>
                <w:szCs w:val="21"/>
                <w:lang w:val="es-ES"/>
              </w:rPr>
            </w:pPr>
            <w:r w:rsidRPr="00AA3F16">
              <w:rPr>
                <w:rFonts w:cs="Arial"/>
                <w:sz w:val="21"/>
                <w:szCs w:val="21"/>
                <w:lang w:val="es-ES"/>
              </w:rPr>
              <w:t>17</w:t>
            </w:r>
          </w:p>
        </w:tc>
        <w:tc>
          <w:tcPr>
            <w:tcW w:w="2351" w:type="pct"/>
          </w:tcPr>
          <w:p w14:paraId="7C4C6580"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Norte del mar Adriático</w:t>
            </w:r>
          </w:p>
        </w:tc>
        <w:tc>
          <w:tcPr>
            <w:tcW w:w="2201" w:type="pct"/>
          </w:tcPr>
          <w:p w14:paraId="19DEE82C"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3274C713" w14:textId="77777777" w:rsidTr="00FA5B3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7" w:type="pct"/>
          </w:tcPr>
          <w:p w14:paraId="495AD2D9" w14:textId="77777777" w:rsidR="00FA5B33" w:rsidRPr="00AA3F16" w:rsidRDefault="00FA5B33" w:rsidP="00FA5B33">
            <w:pPr>
              <w:rPr>
                <w:rFonts w:cs="Arial"/>
                <w:sz w:val="21"/>
                <w:szCs w:val="21"/>
                <w:lang w:val="es-ES"/>
              </w:rPr>
            </w:pPr>
            <w:r w:rsidRPr="00AA3F16">
              <w:rPr>
                <w:rFonts w:cs="Arial"/>
                <w:sz w:val="21"/>
                <w:szCs w:val="21"/>
                <w:lang w:val="es-ES"/>
              </w:rPr>
              <w:t>18</w:t>
            </w:r>
          </w:p>
        </w:tc>
        <w:tc>
          <w:tcPr>
            <w:tcW w:w="2351" w:type="pct"/>
          </w:tcPr>
          <w:p w14:paraId="3C57A107"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Sur del mar Adriático (parte)</w:t>
            </w:r>
          </w:p>
        </w:tc>
        <w:tc>
          <w:tcPr>
            <w:tcW w:w="2201" w:type="pct"/>
          </w:tcPr>
          <w:p w14:paraId="08C96D5A"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7085B149"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4505F247" w14:textId="77777777" w:rsidR="00FA5B33" w:rsidRPr="00AA3F16" w:rsidRDefault="00FA5B33" w:rsidP="00FA5B33">
            <w:pPr>
              <w:rPr>
                <w:rFonts w:cs="Arial"/>
                <w:sz w:val="21"/>
                <w:szCs w:val="21"/>
                <w:lang w:val="es-ES"/>
              </w:rPr>
            </w:pPr>
            <w:r w:rsidRPr="00AA3F16">
              <w:rPr>
                <w:rFonts w:cs="Arial"/>
                <w:sz w:val="21"/>
                <w:szCs w:val="21"/>
                <w:lang w:val="es-ES"/>
              </w:rPr>
              <w:t>19</w:t>
            </w:r>
          </w:p>
        </w:tc>
        <w:tc>
          <w:tcPr>
            <w:tcW w:w="2351" w:type="pct"/>
          </w:tcPr>
          <w:p w14:paraId="102C677C"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Oeste del mar Jónico</w:t>
            </w:r>
          </w:p>
        </w:tc>
        <w:tc>
          <w:tcPr>
            <w:tcW w:w="2201" w:type="pct"/>
          </w:tcPr>
          <w:p w14:paraId="128AC3C9"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29EA1A8A"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3EF315C" w14:textId="77777777" w:rsidR="00FA5B33" w:rsidRPr="00AA3F16" w:rsidRDefault="00FA5B33" w:rsidP="00FA5B33">
            <w:pPr>
              <w:rPr>
                <w:rFonts w:cs="Arial"/>
                <w:sz w:val="21"/>
                <w:szCs w:val="21"/>
                <w:lang w:val="es-ES"/>
              </w:rPr>
            </w:pPr>
            <w:r w:rsidRPr="00AA3F16">
              <w:rPr>
                <w:rFonts w:cs="Arial"/>
                <w:sz w:val="21"/>
                <w:szCs w:val="21"/>
                <w:lang w:val="es-ES"/>
              </w:rPr>
              <w:t>20</w:t>
            </w:r>
          </w:p>
        </w:tc>
        <w:tc>
          <w:tcPr>
            <w:tcW w:w="2351" w:type="pct"/>
          </w:tcPr>
          <w:p w14:paraId="1A45695F"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Este del mar Jónico</w:t>
            </w:r>
          </w:p>
        </w:tc>
        <w:tc>
          <w:tcPr>
            <w:tcW w:w="2201" w:type="pct"/>
          </w:tcPr>
          <w:p w14:paraId="73E817E8"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Presencia no segura</w:t>
            </w:r>
          </w:p>
        </w:tc>
      </w:tr>
      <w:tr w:rsidR="00FA5B33" w:rsidRPr="00AA3F16" w14:paraId="2677B0C8"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1508F255" w14:textId="77777777" w:rsidR="00FA5B33" w:rsidRPr="00AA3F16" w:rsidRDefault="00FA5B33" w:rsidP="00FA5B33">
            <w:pPr>
              <w:rPr>
                <w:rFonts w:cs="Arial"/>
                <w:sz w:val="21"/>
                <w:szCs w:val="21"/>
                <w:lang w:val="es-ES"/>
              </w:rPr>
            </w:pPr>
            <w:r w:rsidRPr="00AA3F16">
              <w:rPr>
                <w:rFonts w:cs="Arial"/>
                <w:sz w:val="21"/>
                <w:szCs w:val="21"/>
                <w:lang w:val="es-ES"/>
              </w:rPr>
              <w:t>21</w:t>
            </w:r>
          </w:p>
        </w:tc>
        <w:tc>
          <w:tcPr>
            <w:tcW w:w="2351" w:type="pct"/>
          </w:tcPr>
          <w:p w14:paraId="13456453"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Sur del mar Jónico</w:t>
            </w:r>
          </w:p>
        </w:tc>
        <w:tc>
          <w:tcPr>
            <w:tcW w:w="2201" w:type="pct"/>
          </w:tcPr>
          <w:p w14:paraId="68267587"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4E119FAD"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8C5C258" w14:textId="77777777" w:rsidR="00FA5B33" w:rsidRPr="00AA3F16" w:rsidRDefault="00FA5B33" w:rsidP="00FA5B33">
            <w:pPr>
              <w:rPr>
                <w:rFonts w:cs="Arial"/>
                <w:sz w:val="21"/>
                <w:szCs w:val="21"/>
                <w:lang w:val="es-ES"/>
              </w:rPr>
            </w:pPr>
            <w:r w:rsidRPr="00AA3F16">
              <w:rPr>
                <w:rFonts w:cs="Arial"/>
                <w:sz w:val="21"/>
                <w:szCs w:val="21"/>
                <w:lang w:val="es-ES"/>
              </w:rPr>
              <w:t>22</w:t>
            </w:r>
          </w:p>
        </w:tc>
        <w:tc>
          <w:tcPr>
            <w:tcW w:w="2351" w:type="pct"/>
          </w:tcPr>
          <w:p w14:paraId="35BD9411"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Mar Egeo</w:t>
            </w:r>
          </w:p>
        </w:tc>
        <w:tc>
          <w:tcPr>
            <w:tcW w:w="2201" w:type="pct"/>
          </w:tcPr>
          <w:p w14:paraId="44E631CF"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298EF8FB"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152782A5" w14:textId="77777777" w:rsidR="00FA5B33" w:rsidRPr="00AA3F16" w:rsidRDefault="00FA5B33" w:rsidP="00FA5B33">
            <w:pPr>
              <w:rPr>
                <w:rFonts w:cs="Arial"/>
                <w:sz w:val="21"/>
                <w:szCs w:val="21"/>
                <w:lang w:val="es-ES"/>
              </w:rPr>
            </w:pPr>
            <w:r w:rsidRPr="00AA3F16">
              <w:rPr>
                <w:rFonts w:cs="Arial"/>
                <w:sz w:val="21"/>
                <w:szCs w:val="21"/>
                <w:lang w:val="es-ES"/>
              </w:rPr>
              <w:t>23</w:t>
            </w:r>
          </w:p>
        </w:tc>
        <w:tc>
          <w:tcPr>
            <w:tcW w:w="2351" w:type="pct"/>
          </w:tcPr>
          <w:p w14:paraId="27CBC2C5"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Creta</w:t>
            </w:r>
          </w:p>
        </w:tc>
        <w:tc>
          <w:tcPr>
            <w:tcW w:w="2201" w:type="pct"/>
          </w:tcPr>
          <w:p w14:paraId="4EFBB657"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Presencia no segura</w:t>
            </w:r>
          </w:p>
        </w:tc>
      </w:tr>
      <w:tr w:rsidR="00FA5B33" w:rsidRPr="00AA3F16" w14:paraId="41EA4A12"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CF272B3" w14:textId="77777777" w:rsidR="00FA5B33" w:rsidRPr="00AA3F16" w:rsidRDefault="00FA5B33" w:rsidP="00FA5B33">
            <w:pPr>
              <w:rPr>
                <w:rFonts w:cs="Arial"/>
                <w:sz w:val="21"/>
                <w:szCs w:val="21"/>
                <w:lang w:val="es-ES"/>
              </w:rPr>
            </w:pPr>
            <w:r w:rsidRPr="00AA3F16">
              <w:rPr>
                <w:rFonts w:cs="Arial"/>
                <w:sz w:val="21"/>
                <w:szCs w:val="21"/>
                <w:lang w:val="es-ES"/>
              </w:rPr>
              <w:t>24</w:t>
            </w:r>
          </w:p>
        </w:tc>
        <w:tc>
          <w:tcPr>
            <w:tcW w:w="2351" w:type="pct"/>
          </w:tcPr>
          <w:p w14:paraId="2C271BBD"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Norte del mar de Levante</w:t>
            </w:r>
          </w:p>
        </w:tc>
        <w:tc>
          <w:tcPr>
            <w:tcW w:w="2201" w:type="pct"/>
          </w:tcPr>
          <w:p w14:paraId="735FEBE9"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4E6C0E5F"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54287B44" w14:textId="77777777" w:rsidR="00FA5B33" w:rsidRPr="00AA3F16" w:rsidRDefault="00FA5B33" w:rsidP="00FA5B33">
            <w:pPr>
              <w:rPr>
                <w:rFonts w:cs="Arial"/>
                <w:sz w:val="21"/>
                <w:szCs w:val="21"/>
                <w:lang w:val="es-ES"/>
              </w:rPr>
            </w:pPr>
            <w:r w:rsidRPr="00AA3F16">
              <w:rPr>
                <w:rFonts w:cs="Arial"/>
                <w:sz w:val="21"/>
                <w:szCs w:val="21"/>
                <w:lang w:val="es-ES"/>
              </w:rPr>
              <w:t>25</w:t>
            </w:r>
          </w:p>
        </w:tc>
        <w:tc>
          <w:tcPr>
            <w:tcW w:w="2351" w:type="pct"/>
          </w:tcPr>
          <w:p w14:paraId="300DBAAB"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Chipre</w:t>
            </w:r>
          </w:p>
        </w:tc>
        <w:tc>
          <w:tcPr>
            <w:tcW w:w="2201" w:type="pct"/>
          </w:tcPr>
          <w:p w14:paraId="19BEF93B"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t>11</w:t>
            </w:r>
          </w:p>
        </w:tc>
      </w:tr>
      <w:tr w:rsidR="00FA5B33" w:rsidRPr="00AA3F16" w14:paraId="63595923"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2270265C" w14:textId="77777777" w:rsidR="00FA5B33" w:rsidRPr="00AA3F16" w:rsidRDefault="00FA5B33" w:rsidP="00FA5B33">
            <w:pPr>
              <w:rPr>
                <w:rFonts w:cs="Arial"/>
                <w:sz w:val="21"/>
                <w:szCs w:val="21"/>
                <w:lang w:val="es-ES"/>
              </w:rPr>
            </w:pPr>
            <w:r w:rsidRPr="00AA3F16">
              <w:rPr>
                <w:rFonts w:cs="Arial"/>
                <w:sz w:val="21"/>
                <w:szCs w:val="21"/>
                <w:lang w:val="es-ES"/>
              </w:rPr>
              <w:t>26</w:t>
            </w:r>
          </w:p>
        </w:tc>
        <w:tc>
          <w:tcPr>
            <w:tcW w:w="2351" w:type="pct"/>
          </w:tcPr>
          <w:p w14:paraId="437C54B7"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Sur del mar de Levante</w:t>
            </w:r>
          </w:p>
        </w:tc>
        <w:tc>
          <w:tcPr>
            <w:tcW w:w="2201" w:type="pct"/>
          </w:tcPr>
          <w:p w14:paraId="13CABA4A"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Presencia no segura</w:t>
            </w:r>
          </w:p>
        </w:tc>
      </w:tr>
      <w:tr w:rsidR="00FA5B33" w:rsidRPr="00AA3F16" w14:paraId="6CF34CC1" w14:textId="77777777" w:rsidTr="00FA5B33">
        <w:trPr>
          <w:trHeight w:val="201"/>
        </w:trPr>
        <w:tc>
          <w:tcPr>
            <w:cnfStyle w:val="001000000000" w:firstRow="0" w:lastRow="0" w:firstColumn="1" w:lastColumn="0" w:oddVBand="0" w:evenVBand="0" w:oddHBand="0" w:evenHBand="0" w:firstRowFirstColumn="0" w:firstRowLastColumn="0" w:lastRowFirstColumn="0" w:lastRowLastColumn="0"/>
            <w:tcW w:w="447" w:type="pct"/>
          </w:tcPr>
          <w:p w14:paraId="75BD6CA7" w14:textId="77777777" w:rsidR="00FA5B33" w:rsidRPr="00AA3F16" w:rsidRDefault="00FA5B33" w:rsidP="00FA5B33">
            <w:pPr>
              <w:rPr>
                <w:rFonts w:cs="Arial"/>
                <w:sz w:val="21"/>
                <w:szCs w:val="21"/>
                <w:lang w:val="es-ES"/>
              </w:rPr>
            </w:pPr>
            <w:r w:rsidRPr="00AA3F16">
              <w:rPr>
                <w:rFonts w:cs="Arial"/>
                <w:sz w:val="21"/>
                <w:szCs w:val="21"/>
                <w:lang w:val="es-ES"/>
              </w:rPr>
              <w:t>27</w:t>
            </w:r>
          </w:p>
        </w:tc>
        <w:tc>
          <w:tcPr>
            <w:tcW w:w="2351" w:type="pct"/>
          </w:tcPr>
          <w:p w14:paraId="7EFE33CE"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Este del mar de Levante</w:t>
            </w:r>
          </w:p>
        </w:tc>
        <w:tc>
          <w:tcPr>
            <w:tcW w:w="2201" w:type="pct"/>
          </w:tcPr>
          <w:p w14:paraId="791670D3"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008CF842"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4CD47CED" w14:textId="77777777" w:rsidR="00FA5B33" w:rsidRPr="00AA3F16" w:rsidRDefault="00FA5B33" w:rsidP="00FA5B33">
            <w:pPr>
              <w:rPr>
                <w:rFonts w:cs="Arial"/>
                <w:sz w:val="21"/>
                <w:szCs w:val="21"/>
                <w:lang w:val="es-ES"/>
              </w:rPr>
            </w:pPr>
            <w:r w:rsidRPr="00AA3F16">
              <w:rPr>
                <w:rFonts w:cs="Arial"/>
                <w:sz w:val="21"/>
                <w:szCs w:val="21"/>
                <w:lang w:val="es-ES"/>
              </w:rPr>
              <w:t>28</w:t>
            </w:r>
          </w:p>
        </w:tc>
        <w:tc>
          <w:tcPr>
            <w:tcW w:w="2351" w:type="pct"/>
          </w:tcPr>
          <w:p w14:paraId="0EC970D5"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Mar de Mármara</w:t>
            </w:r>
          </w:p>
        </w:tc>
        <w:tc>
          <w:tcPr>
            <w:tcW w:w="2201" w:type="pct"/>
          </w:tcPr>
          <w:p w14:paraId="60FA61F6"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Conservado</w:t>
            </w:r>
          </w:p>
        </w:tc>
      </w:tr>
      <w:tr w:rsidR="00FA5B33" w:rsidRPr="00AA3F16" w14:paraId="4A6E3B1B" w14:textId="77777777" w:rsidTr="00FA5B33">
        <w:trPr>
          <w:trHeight w:val="201"/>
        </w:trPr>
        <w:tc>
          <w:tcPr>
            <w:cnfStyle w:val="001000000000" w:firstRow="0" w:lastRow="0" w:firstColumn="1" w:lastColumn="0" w:oddVBand="0" w:evenVBand="0" w:oddHBand="0" w:evenHBand="0" w:firstRowFirstColumn="0" w:firstRowLastColumn="0" w:lastRowFirstColumn="0" w:lastRowLastColumn="0"/>
            <w:tcW w:w="447" w:type="pct"/>
          </w:tcPr>
          <w:p w14:paraId="3B1C9FF1" w14:textId="77777777" w:rsidR="00FA5B33" w:rsidRPr="00AA3F16" w:rsidRDefault="00FA5B33" w:rsidP="00FA5B33">
            <w:pPr>
              <w:rPr>
                <w:rFonts w:cs="Arial"/>
                <w:sz w:val="21"/>
                <w:szCs w:val="21"/>
                <w:lang w:val="es-ES"/>
              </w:rPr>
            </w:pPr>
            <w:r w:rsidRPr="00AA3F16">
              <w:rPr>
                <w:rFonts w:cs="Arial"/>
                <w:sz w:val="21"/>
                <w:szCs w:val="21"/>
                <w:lang w:val="es-ES"/>
              </w:rPr>
              <w:t>29</w:t>
            </w:r>
          </w:p>
        </w:tc>
        <w:tc>
          <w:tcPr>
            <w:tcW w:w="2351" w:type="pct"/>
          </w:tcPr>
          <w:p w14:paraId="5430C195"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Mar Negro</w:t>
            </w:r>
          </w:p>
        </w:tc>
        <w:tc>
          <w:tcPr>
            <w:tcW w:w="2201" w:type="pct"/>
          </w:tcPr>
          <w:p w14:paraId="6D7F5F0C" w14:textId="77777777" w:rsidR="00FA5B33" w:rsidRPr="00AA3F16"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s-ES"/>
              </w:rPr>
            </w:pPr>
            <w:r w:rsidRPr="00AA3F16">
              <w:rPr>
                <w:rFonts w:cs="Arial"/>
                <w:sz w:val="21"/>
                <w:szCs w:val="21"/>
                <w:lang w:val="es-ES"/>
              </w:rPr>
              <w:t>Conservado</w:t>
            </w:r>
            <w:r w:rsidRPr="00AA3F16">
              <w:rPr>
                <w:rFonts w:cs="Arial"/>
                <w:sz w:val="21"/>
                <w:szCs w:val="21"/>
                <w:vertAlign w:val="superscript"/>
                <w:lang w:val="es-ES"/>
              </w:rPr>
              <w:footnoteReference w:id="20"/>
            </w:r>
          </w:p>
        </w:tc>
      </w:tr>
      <w:tr w:rsidR="00FA5B33" w:rsidRPr="009E0427" w14:paraId="75793EEE"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01DE5C72" w14:textId="77777777" w:rsidR="00FA5B33" w:rsidRPr="00AA3F16" w:rsidRDefault="00FA5B33" w:rsidP="00FA5B33">
            <w:pPr>
              <w:rPr>
                <w:rFonts w:cs="Arial"/>
                <w:sz w:val="21"/>
                <w:szCs w:val="21"/>
                <w:lang w:val="es-ES"/>
              </w:rPr>
            </w:pPr>
            <w:r w:rsidRPr="00AA3F16">
              <w:rPr>
                <w:rFonts w:cs="Arial"/>
                <w:sz w:val="21"/>
                <w:szCs w:val="21"/>
                <w:lang w:val="es-ES"/>
              </w:rPr>
              <w:t>30</w:t>
            </w:r>
          </w:p>
        </w:tc>
        <w:tc>
          <w:tcPr>
            <w:tcW w:w="2351" w:type="pct"/>
          </w:tcPr>
          <w:p w14:paraId="4A8D2887"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Mar de Azov</w:t>
            </w:r>
          </w:p>
        </w:tc>
        <w:tc>
          <w:tcPr>
            <w:tcW w:w="2201" w:type="pct"/>
          </w:tcPr>
          <w:p w14:paraId="245895D8" w14:textId="77777777" w:rsidR="00FA5B33" w:rsidRPr="00AA3F16"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s-ES"/>
              </w:rPr>
            </w:pPr>
            <w:r w:rsidRPr="00AA3F16">
              <w:rPr>
                <w:rFonts w:cs="Arial"/>
                <w:sz w:val="21"/>
                <w:szCs w:val="21"/>
                <w:lang w:val="es-ES"/>
              </w:rPr>
              <w:t>La especie no se da</w:t>
            </w:r>
          </w:p>
        </w:tc>
      </w:tr>
    </w:tbl>
    <w:p w14:paraId="47702AE5" w14:textId="77777777" w:rsidR="00FA5B33" w:rsidRPr="00AA3F16" w:rsidRDefault="00FA5B33" w:rsidP="00FA5B33">
      <w:pPr>
        <w:rPr>
          <w:rFonts w:eastAsia="Times New Roman" w:cs="Arial"/>
          <w:lang w:val="es-ES" w:eastAsia="en-GB"/>
        </w:rPr>
      </w:pPr>
    </w:p>
    <w:p w14:paraId="352A658A" w14:textId="77777777" w:rsidR="00FA5B33" w:rsidRPr="00AA3F16" w:rsidRDefault="00FA5B33" w:rsidP="00FA5B33">
      <w:pPr>
        <w:rPr>
          <w:rFonts w:eastAsia="Times New Roman" w:cs="Arial"/>
          <w:lang w:val="es-ES" w:eastAsia="en-GB"/>
        </w:rPr>
      </w:pPr>
    </w:p>
    <w:p w14:paraId="36862A83" w14:textId="77777777" w:rsidR="00FA5B33" w:rsidRPr="00AA3F16" w:rsidRDefault="00FA5B33" w:rsidP="00FA5B33">
      <w:pPr>
        <w:rPr>
          <w:rFonts w:eastAsia="Times New Roman" w:cs="Arial"/>
          <w:lang w:val="es-ES" w:eastAsia="en-GB"/>
        </w:rPr>
      </w:pPr>
    </w:p>
    <w:p w14:paraId="5419B316" w14:textId="77777777" w:rsidR="00FA5B33" w:rsidRPr="00AA3F16" w:rsidRDefault="00FA5B33" w:rsidP="002A4E27">
      <w:pPr>
        <w:keepNext/>
        <w:keepLines/>
        <w:numPr>
          <w:ilvl w:val="1"/>
          <w:numId w:val="19"/>
        </w:numPr>
        <w:spacing w:before="360" w:after="80" w:line="276" w:lineRule="auto"/>
        <w:ind w:left="540" w:hanging="540"/>
        <w:outlineLvl w:val="1"/>
        <w:rPr>
          <w:rFonts w:eastAsia="Times New Roman" w:cs="Arial"/>
          <w:b/>
          <w:iCs/>
          <w:lang w:val="es-ES" w:eastAsia="en-GB"/>
        </w:rPr>
      </w:pPr>
      <w:bookmarkStart w:id="36" w:name="_Toc108701935"/>
      <w:bookmarkStart w:id="37" w:name="_Toc118277543"/>
      <w:r w:rsidRPr="00AA3F16">
        <w:rPr>
          <w:rFonts w:eastAsia="Times New Roman" w:cs="Arial"/>
          <w:b/>
          <w:iCs/>
          <w:lang w:val="es-ES" w:eastAsia="es-ES"/>
        </w:rPr>
        <w:t>Organizaciones relevantes operativas dentro del ámbito del Angelote</w:t>
      </w:r>
      <w:bookmarkEnd w:id="36"/>
      <w:bookmarkEnd w:id="37"/>
    </w:p>
    <w:p w14:paraId="78F8487A" w14:textId="77777777" w:rsidR="00FA5B33" w:rsidRPr="00AA3F16" w:rsidRDefault="00FA5B33" w:rsidP="00FA5B33">
      <w:pPr>
        <w:widowControl w:val="0"/>
        <w:pBdr>
          <w:top w:val="nil"/>
          <w:left w:val="nil"/>
          <w:bottom w:val="nil"/>
          <w:right w:val="nil"/>
          <w:between w:val="nil"/>
        </w:pBdr>
        <w:spacing w:line="276" w:lineRule="auto"/>
        <w:jc w:val="both"/>
        <w:rPr>
          <w:rFonts w:eastAsia="Arial" w:cs="Arial"/>
          <w:color w:val="000000"/>
          <w:lang w:val="es-ES" w:eastAsia="en-GB"/>
        </w:rPr>
      </w:pPr>
    </w:p>
    <w:p w14:paraId="68016954"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CPACO:</w:t>
      </w:r>
      <w:r w:rsidRPr="00AA3F16">
        <w:rPr>
          <w:rFonts w:eastAsia="Arial" w:cs="Arial"/>
          <w:color w:val="000000"/>
          <w:lang w:val="es-ES" w:eastAsia="es-ES"/>
        </w:rPr>
        <w:tab/>
        <w:t>Comité de Pesca para el Atlántico central oriental</w:t>
      </w:r>
    </w:p>
    <w:p w14:paraId="1932A2D8" w14:textId="49B457B1" w:rsidR="00FA5B33" w:rsidRPr="00AA3F16" w:rsidRDefault="00FA5B33" w:rsidP="003F6C3E">
      <w:pPr>
        <w:widowControl w:val="0"/>
        <w:pBdr>
          <w:top w:val="nil"/>
          <w:left w:val="nil"/>
          <w:bottom w:val="nil"/>
          <w:right w:val="nil"/>
          <w:between w:val="nil"/>
        </w:pBdr>
        <w:ind w:left="1440" w:hanging="1440"/>
        <w:jc w:val="both"/>
        <w:rPr>
          <w:rFonts w:eastAsia="Arial" w:cs="Arial"/>
          <w:color w:val="000000"/>
          <w:lang w:val="es-ES" w:eastAsia="en-GB"/>
        </w:rPr>
      </w:pPr>
      <w:r w:rsidRPr="00AA3F16">
        <w:rPr>
          <w:rFonts w:eastAsia="Arial" w:cs="Arial"/>
          <w:color w:val="000000"/>
          <w:lang w:val="es-ES" w:eastAsia="es-ES"/>
        </w:rPr>
        <w:t>CMS:</w:t>
      </w:r>
      <w:r w:rsidRPr="00AA3F16">
        <w:rPr>
          <w:rFonts w:eastAsia="Arial" w:cs="Arial"/>
          <w:color w:val="000000"/>
          <w:lang w:val="es-ES" w:eastAsia="es-ES"/>
        </w:rPr>
        <w:tab/>
        <w:t xml:space="preserve">Convención para la Conservación de las Especies Migratorias de los Animales Silvestres </w:t>
      </w:r>
    </w:p>
    <w:p w14:paraId="469DFE74"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CDB:</w:t>
      </w:r>
      <w:r w:rsidRPr="00AA3F16">
        <w:rPr>
          <w:rFonts w:eastAsia="Arial" w:cs="Arial"/>
          <w:color w:val="000000"/>
          <w:lang w:val="es-ES" w:eastAsia="es-ES"/>
        </w:rPr>
        <w:tab/>
      </w:r>
      <w:r w:rsidRPr="00AA3F16">
        <w:rPr>
          <w:rFonts w:eastAsia="Arial" w:cs="Arial"/>
          <w:color w:val="000000"/>
          <w:lang w:val="es-ES" w:eastAsia="es-ES"/>
        </w:rPr>
        <w:tab/>
        <w:t xml:space="preserve">Convención sobre la Diversidad Biológica </w:t>
      </w:r>
    </w:p>
    <w:p w14:paraId="363774A5" w14:textId="77777777" w:rsidR="00FA5B33" w:rsidRPr="00AA3F16" w:rsidRDefault="00FA5B33" w:rsidP="00FA5B33">
      <w:pPr>
        <w:widowControl w:val="0"/>
        <w:pBdr>
          <w:top w:val="nil"/>
          <w:left w:val="nil"/>
          <w:bottom w:val="nil"/>
          <w:right w:val="nil"/>
          <w:between w:val="nil"/>
        </w:pBdr>
        <w:ind w:left="1440" w:hanging="1440"/>
        <w:jc w:val="both"/>
        <w:rPr>
          <w:rFonts w:eastAsia="Arial" w:cs="Arial"/>
          <w:color w:val="000000"/>
          <w:lang w:val="es-ES" w:eastAsia="en-GB"/>
        </w:rPr>
      </w:pPr>
      <w:r w:rsidRPr="00AA3F16">
        <w:rPr>
          <w:rFonts w:eastAsia="Arial" w:cs="Arial"/>
          <w:color w:val="000000"/>
          <w:lang w:val="es-ES" w:eastAsia="es-ES"/>
        </w:rPr>
        <w:t>UE:</w:t>
      </w:r>
      <w:r w:rsidRPr="00AA3F16">
        <w:rPr>
          <w:rFonts w:eastAsia="Arial" w:cs="Arial"/>
          <w:color w:val="000000"/>
          <w:lang w:val="es-ES" w:eastAsia="es-ES"/>
        </w:rPr>
        <w:tab/>
        <w:t>Unión Europea</w:t>
      </w:r>
    </w:p>
    <w:p w14:paraId="0882A2E1" w14:textId="77777777" w:rsidR="00FA5B33" w:rsidRPr="00AA3F16" w:rsidRDefault="00FA5B33" w:rsidP="00FA5B33">
      <w:pPr>
        <w:widowControl w:val="0"/>
        <w:pBdr>
          <w:top w:val="nil"/>
          <w:left w:val="nil"/>
          <w:bottom w:val="nil"/>
          <w:right w:val="nil"/>
          <w:between w:val="nil"/>
        </w:pBdr>
        <w:ind w:left="1440" w:hanging="1440"/>
        <w:jc w:val="both"/>
        <w:rPr>
          <w:rFonts w:eastAsia="Arial" w:cs="Arial"/>
          <w:color w:val="000000"/>
          <w:lang w:val="es-ES" w:eastAsia="en-GB"/>
        </w:rPr>
      </w:pPr>
      <w:r w:rsidRPr="00AA3F16">
        <w:rPr>
          <w:rFonts w:eastAsia="Arial" w:cs="Arial"/>
          <w:color w:val="000000"/>
          <w:lang w:val="es-ES" w:eastAsia="es-ES"/>
        </w:rPr>
        <w:t>CGPM:</w:t>
      </w:r>
      <w:r w:rsidRPr="00AA3F16">
        <w:rPr>
          <w:rFonts w:eastAsia="Arial" w:cs="Arial"/>
          <w:color w:val="000000"/>
          <w:lang w:val="es-ES" w:eastAsia="es-ES"/>
        </w:rPr>
        <w:tab/>
        <w:t>Consejo General de Pesca del Mediterráneo</w:t>
      </w:r>
    </w:p>
    <w:p w14:paraId="16AF496A"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CIEM:</w:t>
      </w:r>
      <w:r w:rsidRPr="00AA3F16">
        <w:rPr>
          <w:rFonts w:eastAsia="Arial" w:cs="Arial"/>
          <w:color w:val="000000"/>
          <w:lang w:val="es-ES" w:eastAsia="es-ES"/>
        </w:rPr>
        <w:tab/>
      </w:r>
      <w:r w:rsidRPr="00AA3F16">
        <w:rPr>
          <w:rFonts w:eastAsia="Arial" w:cs="Arial"/>
          <w:color w:val="000000"/>
          <w:lang w:val="es-ES" w:eastAsia="es-ES"/>
        </w:rPr>
        <w:tab/>
        <w:t>Consejo Internacional para la Exploración del Mar</w:t>
      </w:r>
    </w:p>
    <w:p w14:paraId="5DA01969" w14:textId="77777777" w:rsidR="00FA5B33" w:rsidRPr="00AA3F16" w:rsidRDefault="00FA5B33" w:rsidP="00FA5B33">
      <w:pPr>
        <w:widowControl w:val="0"/>
        <w:pBdr>
          <w:top w:val="nil"/>
          <w:left w:val="nil"/>
          <w:bottom w:val="nil"/>
          <w:right w:val="nil"/>
          <w:between w:val="nil"/>
        </w:pBdr>
        <w:ind w:left="1440" w:hanging="1440"/>
        <w:jc w:val="both"/>
        <w:rPr>
          <w:rFonts w:eastAsia="Arial" w:cs="Arial"/>
          <w:color w:val="000000"/>
          <w:lang w:val="es-ES" w:eastAsia="en-GB"/>
        </w:rPr>
      </w:pPr>
      <w:r w:rsidRPr="00AA3F16">
        <w:rPr>
          <w:rFonts w:eastAsia="Arial" w:cs="Arial"/>
          <w:color w:val="000000"/>
          <w:lang w:val="es-ES" w:eastAsia="es-ES"/>
        </w:rPr>
        <w:t>OSPAR:</w:t>
      </w:r>
      <w:r w:rsidRPr="00AA3F16">
        <w:rPr>
          <w:rFonts w:eastAsia="Arial" w:cs="Arial"/>
          <w:color w:val="000000"/>
          <w:lang w:val="es-ES" w:eastAsia="es-ES"/>
        </w:rPr>
        <w:tab/>
        <w:t>Convención para la Protección del Entorno Marino del Atlántico Nororiental</w:t>
      </w:r>
    </w:p>
    <w:p w14:paraId="1D8F8562" w14:textId="56064954" w:rsidR="00BC49CE" w:rsidRPr="00AA3F16" w:rsidRDefault="00FA5B33" w:rsidP="00FA5B33">
      <w:pPr>
        <w:ind w:left="1440"/>
        <w:jc w:val="both"/>
        <w:rPr>
          <w:rFonts w:eastAsia="Arial" w:cs="Arial"/>
          <w:color w:val="000000"/>
          <w:lang w:val="es-ES" w:eastAsia="en-GB"/>
        </w:rPr>
      </w:pPr>
      <w:r w:rsidRPr="00AA3F16">
        <w:rPr>
          <w:rFonts w:eastAsia="Arial" w:cs="Arial"/>
          <w:color w:val="000000"/>
          <w:lang w:val="es-ES" w:eastAsia="es-ES"/>
        </w:rPr>
        <w:t>PNUMA-PAM:</w:t>
      </w:r>
      <w:r w:rsidRPr="00AA3F16">
        <w:rPr>
          <w:rFonts w:eastAsia="Arial" w:cs="Arial"/>
          <w:color w:val="000000"/>
          <w:lang w:val="es-ES" w:eastAsia="es-ES"/>
        </w:rPr>
        <w:tab/>
        <w:t>Programa de las Naciones Unidas para el Medio Ambiente -Plan de Acción del Mediterráneo (Convención de Barcelona)</w:t>
      </w:r>
    </w:p>
    <w:p w14:paraId="4A37FA4D" w14:textId="6078149B" w:rsidR="00FA5B33" w:rsidRPr="00AA3F16" w:rsidRDefault="00FA5B33">
      <w:pPr>
        <w:rPr>
          <w:rFonts w:cs="Arial"/>
          <w:spacing w:val="-2"/>
          <w:lang w:val="es-ES" w:eastAsia="en-GB"/>
        </w:rPr>
      </w:pPr>
    </w:p>
    <w:p w14:paraId="4CB0140A" w14:textId="77777777" w:rsidR="00FA5B33" w:rsidRPr="00AA3F16" w:rsidRDefault="00FA5B33" w:rsidP="002A4E27">
      <w:pPr>
        <w:keepNext/>
        <w:keepLines/>
        <w:numPr>
          <w:ilvl w:val="1"/>
          <w:numId w:val="19"/>
        </w:numPr>
        <w:ind w:left="540" w:hanging="540"/>
        <w:outlineLvl w:val="1"/>
        <w:rPr>
          <w:rFonts w:eastAsia="Times New Roman" w:cs="Arial"/>
          <w:b/>
          <w:iCs/>
          <w:lang w:val="es-ES" w:eastAsia="en-GB"/>
        </w:rPr>
      </w:pPr>
      <w:bookmarkStart w:id="38" w:name="_Toc108701936"/>
      <w:bookmarkStart w:id="39" w:name="_Toc118277544"/>
      <w:r w:rsidRPr="00AA3F16">
        <w:rPr>
          <w:rFonts w:eastAsia="Times New Roman" w:cs="Arial"/>
          <w:b/>
          <w:iCs/>
          <w:lang w:val="es-ES" w:eastAsia="es-ES"/>
        </w:rPr>
        <w:t>Legislación de la UE/nacional y medidas de gestión específicas del Angelote</w:t>
      </w:r>
      <w:bookmarkEnd w:id="38"/>
      <w:bookmarkEnd w:id="39"/>
    </w:p>
    <w:p w14:paraId="19FD9622" w14:textId="77777777" w:rsidR="00FA5B33" w:rsidRPr="00AA3F16" w:rsidRDefault="00FA5B33" w:rsidP="00FA5B33">
      <w:pPr>
        <w:widowControl w:val="0"/>
        <w:pBdr>
          <w:top w:val="nil"/>
          <w:left w:val="nil"/>
          <w:bottom w:val="nil"/>
          <w:right w:val="nil"/>
          <w:between w:val="nil"/>
        </w:pBdr>
        <w:rPr>
          <w:rFonts w:eastAsia="Arial" w:cs="Arial"/>
          <w:b/>
          <w:i/>
          <w:color w:val="000000"/>
          <w:lang w:val="es-ES" w:eastAsia="en-GB"/>
        </w:rPr>
      </w:pPr>
    </w:p>
    <w:p w14:paraId="3075494E" w14:textId="77777777" w:rsidR="00FA5B33" w:rsidRPr="00AA3F16" w:rsidRDefault="00FA5B33" w:rsidP="00FA5B33">
      <w:pPr>
        <w:jc w:val="both"/>
        <w:rPr>
          <w:rFonts w:eastAsia="Arial" w:cs="Arial"/>
          <w:lang w:val="es-ES" w:eastAsia="en-GB"/>
        </w:rPr>
      </w:pPr>
      <w:r w:rsidRPr="00AA3F16">
        <w:rPr>
          <w:rFonts w:eastAsia="Arial" w:cs="Arial"/>
          <w:lang w:val="es-ES" w:eastAsia="es-ES"/>
        </w:rPr>
        <w:t xml:space="preserve">El Anexo III proporciona una panorámica de la legislación de la UE y nacional, incluyendo medidas de gestión de los Estados del área de distribución en el Mediterráneo que son directa o indirectamente relevantes para la conservación del Angelote. </w:t>
      </w:r>
    </w:p>
    <w:p w14:paraId="2EAC2318"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1CCB1B53" w14:textId="77777777" w:rsidR="00FA5B33" w:rsidRPr="00AA3F16" w:rsidRDefault="00FA5B33" w:rsidP="00FA5B33">
      <w:pPr>
        <w:keepNext/>
        <w:keepLines/>
        <w:numPr>
          <w:ilvl w:val="0"/>
          <w:numId w:val="19"/>
        </w:numPr>
        <w:ind w:left="540" w:hanging="540"/>
        <w:outlineLvl w:val="0"/>
        <w:rPr>
          <w:rFonts w:eastAsia="Times New Roman" w:cs="Arial"/>
          <w:b/>
          <w:lang w:val="es-ES" w:eastAsia="en-GB"/>
        </w:rPr>
      </w:pPr>
      <w:bookmarkStart w:id="40" w:name="_Toc108701937"/>
      <w:bookmarkStart w:id="41" w:name="_Toc118277545"/>
      <w:r w:rsidRPr="00AA3F16">
        <w:rPr>
          <w:rFonts w:eastAsia="Times New Roman" w:cs="Arial"/>
          <w:b/>
          <w:lang w:val="es-ES" w:eastAsia="es-ES"/>
        </w:rPr>
        <w:t>MARCO DE ACCIÓN</w:t>
      </w:r>
      <w:bookmarkEnd w:id="40"/>
      <w:bookmarkEnd w:id="41"/>
    </w:p>
    <w:p w14:paraId="36E3FD32" w14:textId="77777777" w:rsidR="00FA5B33" w:rsidRPr="00AA3F16" w:rsidRDefault="00FA5B33" w:rsidP="00FA5B33">
      <w:pPr>
        <w:rPr>
          <w:rFonts w:eastAsia="Times New Roman" w:cs="Arial"/>
          <w:lang w:val="es-ES" w:eastAsia="en-GB"/>
        </w:rPr>
      </w:pPr>
    </w:p>
    <w:p w14:paraId="637529EC" w14:textId="5688EE15" w:rsidR="00FA5B33" w:rsidRPr="00AA3F16" w:rsidRDefault="00FA5B33" w:rsidP="00FA5B33">
      <w:pPr>
        <w:jc w:val="both"/>
        <w:rPr>
          <w:rFonts w:eastAsia="Times New Roman" w:cs="Arial"/>
          <w:lang w:val="es-ES" w:eastAsia="en-GB"/>
        </w:rPr>
      </w:pPr>
      <w:r w:rsidRPr="00AA3F16">
        <w:rPr>
          <w:rFonts w:eastAsia="Times New Roman" w:cs="Arial"/>
          <w:lang w:val="es-ES" w:eastAsia="es-ES"/>
        </w:rPr>
        <w:t>Las amenazas para la abundancia y distribución del Angelote fueron identificadas y se les atribuyó un nivel de riesgo utilizando la matriz de amenazas (véase Tabla 2). El siguiente marco de acción se centró en las amenazas clasificadas como de muy alto riesgo.</w:t>
      </w:r>
    </w:p>
    <w:p w14:paraId="20D63CDF" w14:textId="77777777" w:rsidR="00FA5B33" w:rsidRPr="00AA3F16" w:rsidRDefault="00FA5B33" w:rsidP="00FA5B33">
      <w:pPr>
        <w:rPr>
          <w:rFonts w:eastAsia="Times New Roman" w:cs="Arial"/>
          <w:lang w:val="es-ES" w:eastAsia="en-GB"/>
        </w:rPr>
      </w:pPr>
    </w:p>
    <w:p w14:paraId="55E9ED55" w14:textId="0488169F" w:rsidR="00FA5B33" w:rsidRPr="00AA3F16" w:rsidRDefault="00FA5B33" w:rsidP="002A4E27">
      <w:pPr>
        <w:keepNext/>
        <w:keepLines/>
        <w:ind w:left="540" w:hanging="540"/>
        <w:outlineLvl w:val="1"/>
        <w:rPr>
          <w:rFonts w:eastAsia="Times New Roman" w:cs="Arial"/>
          <w:b/>
          <w:i/>
          <w:lang w:val="es-ES" w:eastAsia="en-GB"/>
        </w:rPr>
      </w:pPr>
      <w:bookmarkStart w:id="42" w:name="_Toc108701938"/>
      <w:bookmarkStart w:id="43" w:name="_Toc118277546"/>
      <w:r w:rsidRPr="00AA3F16">
        <w:rPr>
          <w:rFonts w:eastAsia="Times New Roman" w:cs="Arial"/>
          <w:b/>
          <w:iCs/>
          <w:lang w:val="es-ES" w:eastAsia="es-ES"/>
        </w:rPr>
        <w:t>4.1.</w:t>
      </w:r>
      <w:r w:rsidRPr="00AA3F16">
        <w:rPr>
          <w:rFonts w:eastAsia="Times New Roman" w:cs="Arial"/>
          <w:b/>
          <w:i/>
          <w:lang w:val="es-ES" w:eastAsia="es-ES"/>
        </w:rPr>
        <w:t xml:space="preserve"> </w:t>
      </w:r>
      <w:r w:rsidRPr="00AA3F16">
        <w:rPr>
          <w:rFonts w:eastAsia="Times New Roman" w:cs="Arial"/>
          <w:b/>
          <w:iCs/>
          <w:lang w:val="es-ES" w:eastAsia="es-ES"/>
        </w:rPr>
        <w:tab/>
        <w:t>Meta</w:t>
      </w:r>
      <w:bookmarkEnd w:id="42"/>
      <w:bookmarkEnd w:id="43"/>
    </w:p>
    <w:p w14:paraId="73D89173" w14:textId="77777777" w:rsidR="00FA5B33" w:rsidRPr="00AA3F16" w:rsidRDefault="00FA5B33" w:rsidP="00FA5B33">
      <w:pPr>
        <w:keepNext/>
        <w:keepLines/>
        <w:outlineLvl w:val="1"/>
        <w:rPr>
          <w:rFonts w:eastAsia="Times New Roman" w:cs="Arial"/>
          <w:b/>
          <w:i/>
          <w:lang w:val="es-ES" w:eastAsia="en-GB"/>
        </w:rPr>
      </w:pPr>
    </w:p>
    <w:p w14:paraId="0A42CA2C"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Reforzar la </w:t>
      </w:r>
      <w:r w:rsidRPr="00AA3F16">
        <w:rPr>
          <w:rFonts w:eastAsia="Arial" w:cs="Arial"/>
          <w:lang w:val="es-ES" w:eastAsia="es-ES"/>
        </w:rPr>
        <w:t>coordinación</w:t>
      </w:r>
      <w:r w:rsidRPr="00AA3F16">
        <w:rPr>
          <w:rFonts w:eastAsia="Arial" w:cs="Arial"/>
          <w:color w:val="000000"/>
          <w:lang w:val="es-ES" w:eastAsia="es-ES"/>
        </w:rPr>
        <w:t>, armonización, la transmisión de los datos recogidos, la conservación y los esfuerzos de gestión dirigidos al Angelote en todo su ámbito dentro del mar Mediterráneo.</w:t>
      </w:r>
    </w:p>
    <w:p w14:paraId="3F52A9DD"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614B5FBF" w14:textId="4EB3DF72" w:rsidR="00FA5B33" w:rsidRPr="00AA3F16" w:rsidRDefault="00FA5B33" w:rsidP="002A4E27">
      <w:pPr>
        <w:keepNext/>
        <w:keepLines/>
        <w:numPr>
          <w:ilvl w:val="1"/>
          <w:numId w:val="19"/>
        </w:numPr>
        <w:ind w:left="540" w:hanging="540"/>
        <w:outlineLvl w:val="1"/>
        <w:rPr>
          <w:rFonts w:eastAsia="Times New Roman" w:cs="Arial"/>
          <w:b/>
          <w:iCs/>
          <w:lang w:val="es-ES" w:eastAsia="en-GB"/>
        </w:rPr>
      </w:pPr>
      <w:bookmarkStart w:id="44" w:name="_Toc108701939"/>
      <w:bookmarkStart w:id="45" w:name="_Toc118277547"/>
      <w:r w:rsidRPr="00AA3F16">
        <w:rPr>
          <w:rFonts w:eastAsia="Times New Roman" w:cs="Arial"/>
          <w:b/>
          <w:iCs/>
          <w:lang w:val="es-ES" w:eastAsia="es-ES"/>
        </w:rPr>
        <w:t>Objetivos, acciones y resultados</w:t>
      </w:r>
      <w:bookmarkEnd w:id="44"/>
      <w:bookmarkEnd w:id="45"/>
    </w:p>
    <w:p w14:paraId="65900249" w14:textId="77777777" w:rsidR="00FA5B33" w:rsidRPr="00AA3F16" w:rsidRDefault="00FA5B33" w:rsidP="00FA5B33">
      <w:pPr>
        <w:keepNext/>
        <w:keepLines/>
        <w:outlineLvl w:val="1"/>
        <w:rPr>
          <w:rFonts w:eastAsia="Times New Roman" w:cs="Arial"/>
          <w:b/>
          <w:iCs/>
          <w:lang w:val="es-ES" w:eastAsia="en-GB"/>
        </w:rPr>
      </w:pPr>
    </w:p>
    <w:p w14:paraId="23A501C6" w14:textId="77777777" w:rsidR="00FA5B33" w:rsidRPr="00AA3F16" w:rsidRDefault="00FA5B33" w:rsidP="00FA5B33">
      <w:pPr>
        <w:widowControl w:val="0"/>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 xml:space="preserve">En 2019, se desarrolló un Plan de Acción regional colaborativo para las tres especies de Angelote en el Mediterráneo (Gordon </w:t>
      </w:r>
      <w:r w:rsidRPr="00AA3F16">
        <w:rPr>
          <w:rFonts w:eastAsia="Arial" w:cs="Arial"/>
          <w:i/>
          <w:color w:val="000000"/>
          <w:lang w:val="es-ES" w:eastAsia="es-ES"/>
        </w:rPr>
        <w:t>et al</w:t>
      </w:r>
      <w:r w:rsidRPr="00AA3F16">
        <w:rPr>
          <w:rFonts w:eastAsia="Arial" w:cs="Arial"/>
          <w:color w:val="000000"/>
          <w:lang w:val="es-ES" w:eastAsia="es-ES"/>
        </w:rPr>
        <w:t>., 2019) y, según este, las acciones recomendadas se difundieron ampliamente por tres metas de nivel superior; a saber:</w:t>
      </w:r>
    </w:p>
    <w:p w14:paraId="52360452" w14:textId="77777777" w:rsidR="00FA5B33" w:rsidRPr="00AA3F16" w:rsidRDefault="00FA5B33" w:rsidP="00FA5B33">
      <w:pPr>
        <w:widowControl w:val="0"/>
        <w:numPr>
          <w:ilvl w:val="0"/>
          <w:numId w:val="23"/>
        </w:numPr>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La legislación nacional para la especie Angelote se establece, implementa y entra en vigor;</w:t>
      </w:r>
    </w:p>
    <w:p w14:paraId="7D50A7BC" w14:textId="77777777" w:rsidR="00FA5B33" w:rsidRPr="00AA3F16" w:rsidRDefault="00FA5B33" w:rsidP="00FA5B33">
      <w:pPr>
        <w:widowControl w:val="0"/>
        <w:numPr>
          <w:ilvl w:val="0"/>
          <w:numId w:val="23"/>
        </w:numPr>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La mortalidad de la especie Angelote basada en las pesquerías se minimiza en el Mediterráneo; y</w:t>
      </w:r>
    </w:p>
    <w:p w14:paraId="1A3FD15C" w14:textId="77777777" w:rsidR="00FA5B33" w:rsidRPr="00AA3F16" w:rsidRDefault="00FA5B33" w:rsidP="00FA5B33">
      <w:pPr>
        <w:widowControl w:val="0"/>
        <w:numPr>
          <w:ilvl w:val="0"/>
          <w:numId w:val="23"/>
        </w:num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El hábitat de la especie Angelote se identifica y protege.</w:t>
      </w:r>
    </w:p>
    <w:p w14:paraId="1D4F65DB"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0A033537"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Los distintos objetivos y acciones identificados en este primer Plan de Acción regional (Gordon </w:t>
      </w:r>
      <w:r w:rsidRPr="00AA3F16">
        <w:rPr>
          <w:rFonts w:eastAsia="Arial" w:cs="Arial"/>
          <w:i/>
          <w:iCs/>
          <w:color w:val="000000"/>
          <w:lang w:val="es-ES" w:eastAsia="es-ES"/>
        </w:rPr>
        <w:t>et al.,</w:t>
      </w:r>
      <w:r w:rsidRPr="00AA3F16">
        <w:rPr>
          <w:rFonts w:eastAsia="Arial" w:cs="Arial"/>
          <w:color w:val="000000"/>
          <w:lang w:val="es-ES" w:eastAsia="es-ES"/>
        </w:rPr>
        <w:t xml:space="preserve"> 2019), según el cual los gobiernos y las Partes de la CMS habían sido identificados como los mejores situados para actuar en algunas acciones seleccionadas, se resumen en el Anexo I.</w:t>
      </w:r>
    </w:p>
    <w:p w14:paraId="381D2A5D"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51EF1224" w14:textId="77777777" w:rsidR="00FA5B33" w:rsidRPr="00AA3F16" w:rsidRDefault="00FA5B33" w:rsidP="00FA5B33">
      <w:pPr>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 xml:space="preserve">En consecuencia, las Partes de la CMS pudieron considerar positivamente más trabajo centrado en el Angelote, </w:t>
      </w:r>
      <w:proofErr w:type="spellStart"/>
      <w:r w:rsidRPr="00AA3F16">
        <w:rPr>
          <w:rFonts w:eastAsia="Arial" w:cs="Arial"/>
          <w:i/>
          <w:color w:val="000000"/>
          <w:lang w:val="es-ES" w:eastAsia="es-ES"/>
        </w:rPr>
        <w:t>Squatina</w:t>
      </w:r>
      <w:proofErr w:type="spellEnd"/>
      <w:r w:rsidRPr="00AA3F16">
        <w:rPr>
          <w:rFonts w:eastAsia="Arial" w:cs="Arial"/>
          <w:i/>
          <w:color w:val="000000"/>
          <w:lang w:val="es-ES" w:eastAsia="es-ES"/>
        </w:rPr>
        <w:t xml:space="preserve"> </w:t>
      </w:r>
      <w:proofErr w:type="spellStart"/>
      <w:r w:rsidRPr="00AA3F16">
        <w:rPr>
          <w:rFonts w:eastAsia="Arial" w:cs="Arial"/>
          <w:i/>
          <w:color w:val="000000"/>
          <w:lang w:val="es-ES" w:eastAsia="es-ES"/>
        </w:rPr>
        <w:t>squatina</w:t>
      </w:r>
      <w:proofErr w:type="spellEnd"/>
      <w:r w:rsidRPr="00AA3F16">
        <w:rPr>
          <w:rFonts w:eastAsia="Arial" w:cs="Arial"/>
          <w:color w:val="000000"/>
          <w:lang w:val="es-ES" w:eastAsia="es-ES"/>
        </w:rPr>
        <w:t>, que incluía avanzar en el progreso de la Acción concertada para el Angelote en el mar Mediterráneo, en concreto, en relación con:</w:t>
      </w:r>
    </w:p>
    <w:p w14:paraId="5B97DF8B" w14:textId="77777777" w:rsidR="00FA5B33" w:rsidRPr="00AA3F16" w:rsidRDefault="00FA5B33" w:rsidP="00FA5B33">
      <w:pPr>
        <w:numPr>
          <w:ilvl w:val="0"/>
          <w:numId w:val="22"/>
        </w:numPr>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lastRenderedPageBreak/>
        <w:t>Protección de la especie</w:t>
      </w:r>
    </w:p>
    <w:p w14:paraId="6C67C9FC" w14:textId="77777777" w:rsidR="00FA5B33" w:rsidRPr="00AA3F16" w:rsidRDefault="00FA5B33" w:rsidP="00FA5B33">
      <w:pPr>
        <w:numPr>
          <w:ilvl w:val="0"/>
          <w:numId w:val="22"/>
        </w:numPr>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Identificación de las áreas críticas de la especie Angelote (CASA) así como gestión del espacio, si es necesario</w:t>
      </w:r>
    </w:p>
    <w:p w14:paraId="64BCB75D" w14:textId="77777777" w:rsidR="00FA5B33" w:rsidRPr="00AA3F16" w:rsidRDefault="00FA5B33" w:rsidP="00FA5B33">
      <w:pPr>
        <w:widowControl w:val="0"/>
        <w:numPr>
          <w:ilvl w:val="0"/>
          <w:numId w:val="22"/>
        </w:numPr>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Estudios científicos y recogida de datos</w:t>
      </w:r>
    </w:p>
    <w:p w14:paraId="36D35D80" w14:textId="77777777" w:rsidR="00FA5B33" w:rsidRPr="00AA3F16" w:rsidRDefault="00FA5B33" w:rsidP="00FA5B33">
      <w:pPr>
        <w:widowControl w:val="0"/>
        <w:numPr>
          <w:ilvl w:val="0"/>
          <w:numId w:val="22"/>
        </w:num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Asegurar recursos adicionales </w:t>
      </w:r>
    </w:p>
    <w:p w14:paraId="65B6D4DC"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3210E233"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Estos cuatro extensos temas, que también abordarían las distintas acciones potenciales (tal como indicó el Plan de Acción regional), estarían en su conjunto alineados con el Texto de la Convención de la CMS y demostrarían el compromiso de las Partes hacia el Plan de Acción concertada.</w:t>
      </w:r>
    </w:p>
    <w:p w14:paraId="4CC2960B"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600303D4" w14:textId="2B9BA46E"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Los objetivos y las acciones y resultados correspondientes se establecen en las siguientes tablas (Tablas 6, 7, 8 y 9) para las amenazas identificadas para el Angelote. </w:t>
      </w:r>
    </w:p>
    <w:p w14:paraId="6EB6C211"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743FEF26" w14:textId="53786279" w:rsidR="00FA5B33" w:rsidRPr="00AA3F16" w:rsidRDefault="00FA5B33" w:rsidP="002A4E27">
      <w:pPr>
        <w:keepNext/>
        <w:keepLines/>
        <w:numPr>
          <w:ilvl w:val="1"/>
          <w:numId w:val="19"/>
        </w:numPr>
        <w:ind w:left="540" w:hanging="540"/>
        <w:outlineLvl w:val="1"/>
        <w:rPr>
          <w:rFonts w:eastAsia="Times New Roman" w:cs="Arial"/>
          <w:b/>
          <w:iCs/>
          <w:lang w:val="es-ES" w:eastAsia="en-GB"/>
        </w:rPr>
      </w:pPr>
      <w:bookmarkStart w:id="46" w:name="_Toc108701940"/>
      <w:bookmarkStart w:id="47" w:name="_Toc118277548"/>
      <w:r w:rsidRPr="00AA3F16">
        <w:rPr>
          <w:rFonts w:eastAsia="Times New Roman" w:cs="Arial"/>
          <w:b/>
          <w:iCs/>
          <w:lang w:val="es-ES" w:eastAsia="es-ES"/>
        </w:rPr>
        <w:t>Protección de la especie</w:t>
      </w:r>
      <w:bookmarkEnd w:id="46"/>
      <w:bookmarkEnd w:id="47"/>
    </w:p>
    <w:p w14:paraId="4C66A5D5" w14:textId="77777777" w:rsidR="00FA5B33" w:rsidRPr="00AA3F16" w:rsidRDefault="00FA5B33" w:rsidP="00FA5B33">
      <w:pPr>
        <w:keepNext/>
        <w:keepLines/>
        <w:outlineLvl w:val="1"/>
        <w:rPr>
          <w:rFonts w:eastAsia="Times New Roman" w:cs="Arial"/>
          <w:b/>
          <w:iCs/>
          <w:lang w:val="es-ES" w:eastAsia="en-GB"/>
        </w:rPr>
      </w:pPr>
    </w:p>
    <w:p w14:paraId="53C67113" w14:textId="104DB75D"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Se prevé que las principales fuentes antropogénicas de mortalidad del Angelote sean el resultado de (i) pesquerías comerciales (incluyendo la pesca tradicional y de subsistencia), y las (</w:t>
      </w:r>
      <w:proofErr w:type="spellStart"/>
      <w:r w:rsidRPr="00AA3F16">
        <w:rPr>
          <w:rFonts w:eastAsia="Arial" w:cs="Arial"/>
          <w:color w:val="000000"/>
          <w:lang w:val="es-ES" w:eastAsia="es-ES"/>
        </w:rPr>
        <w:t>ii</w:t>
      </w:r>
      <w:proofErr w:type="spellEnd"/>
      <w:r w:rsidRPr="00AA3F16">
        <w:rPr>
          <w:rFonts w:eastAsia="Arial" w:cs="Arial"/>
          <w:color w:val="000000"/>
          <w:lang w:val="es-ES" w:eastAsia="es-ES"/>
        </w:rPr>
        <w:t>) pesquerías recreacionales.</w:t>
      </w:r>
    </w:p>
    <w:p w14:paraId="10802096"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p>
    <w:p w14:paraId="7EECD1DF" w14:textId="1E6EDE01"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bookmarkStart w:id="48" w:name="_Hlk92895699"/>
      <w:r w:rsidRPr="00AA3F16">
        <w:rPr>
          <w:rFonts w:eastAsia="Arial" w:cs="Arial"/>
          <w:color w:val="000000"/>
          <w:lang w:val="es-ES" w:eastAsia="es-ES"/>
        </w:rPr>
        <w:t>La Recomendación CGPM/42/2018/2</w:t>
      </w:r>
      <w:bookmarkEnd w:id="48"/>
      <w:r w:rsidRPr="00AA3F16">
        <w:rPr>
          <w:rFonts w:eastAsia="Arial" w:cs="Arial"/>
          <w:color w:val="000000"/>
          <w:lang w:val="es-ES" w:eastAsia="es-ES"/>
        </w:rPr>
        <w:t xml:space="preserve"> indica que "los especímenes de las especies de tiburones enumeradas en el Anexo II del Protocolo SPA/DB no se retendrán a bordo, ni se transportarán en la embarcación, desembarcarán, transferirán, almacenarán, venderán ni se expondrán u ofrecerán para la venta”</w:t>
      </w:r>
      <w:r w:rsidRPr="00AA3F16">
        <w:rPr>
          <w:rFonts w:eastAsia="Arial" w:cs="Arial"/>
          <w:color w:val="000000"/>
          <w:vertAlign w:val="superscript"/>
          <w:lang w:val="es-ES" w:eastAsia="es-ES"/>
        </w:rPr>
        <w:footnoteReference w:id="21"/>
      </w:r>
      <w:r w:rsidRPr="00AA3F16">
        <w:rPr>
          <w:rFonts w:eastAsia="Arial" w:cs="Arial"/>
          <w:color w:val="000000"/>
          <w:lang w:val="es-ES" w:eastAsia="es-ES"/>
        </w:rPr>
        <w:t xml:space="preserve">. En función de la lista para el </w:t>
      </w:r>
      <w:r w:rsidRPr="00AA3F16">
        <w:rPr>
          <w:rFonts w:eastAsia="Arial" w:cs="Arial"/>
          <w:i/>
          <w:color w:val="000000"/>
          <w:lang w:val="es-ES" w:eastAsia="es-ES"/>
        </w:rPr>
        <w:t xml:space="preserve">S. </w:t>
      </w:r>
      <w:proofErr w:type="spellStart"/>
      <w:r w:rsidRPr="00AA3F16">
        <w:rPr>
          <w:rFonts w:eastAsia="Arial" w:cs="Arial"/>
          <w:i/>
          <w:color w:val="000000"/>
          <w:lang w:val="es-ES" w:eastAsia="es-ES"/>
        </w:rPr>
        <w:t>squatina</w:t>
      </w:r>
      <w:proofErr w:type="spellEnd"/>
      <w:r w:rsidRPr="00AA3F16">
        <w:rPr>
          <w:rFonts w:eastAsia="Arial" w:cs="Arial"/>
          <w:color w:val="000000"/>
          <w:lang w:val="es-ES" w:eastAsia="es-ES"/>
        </w:rPr>
        <w:t xml:space="preserve"> en la Convención de Barcelona, se indica que esta debería ser una "especie prohibida" en relación con la pesca comercial. </w:t>
      </w:r>
    </w:p>
    <w:p w14:paraId="1E479918" w14:textId="77777777" w:rsidR="00FA5B33" w:rsidRPr="00AA3F16" w:rsidRDefault="00FA5B33" w:rsidP="00FA5B33">
      <w:pPr>
        <w:widowControl w:val="0"/>
        <w:pBdr>
          <w:top w:val="nil"/>
          <w:left w:val="nil"/>
          <w:bottom w:val="nil"/>
          <w:right w:val="nil"/>
          <w:between w:val="nil"/>
        </w:pBdr>
        <w:jc w:val="both"/>
        <w:rPr>
          <w:rFonts w:eastAsia="Arial" w:cs="Arial"/>
          <w:color w:val="000000"/>
          <w:lang w:val="es-ES" w:eastAsia="en-GB"/>
        </w:rPr>
      </w:pPr>
    </w:p>
    <w:p w14:paraId="5E3C4E66" w14:textId="3E5ED592"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Mientras que la CGPM/42/2018/2 y la legislación a la que se hace referencia en el Anexo III dan un cierto grado de protección de la especie, en función de los niveles de formación, supervisión, cumplimiento, entrada en vigor e implementación, estos pueden no otorgar una protección total. Por ejemplo, el Angelote también puede tenerse en cuenta en el ámbito de las pesquerías recreacionales, incluidas </w:t>
      </w:r>
      <w:r w:rsidR="00DB5E78">
        <w:rPr>
          <w:rFonts w:eastAsia="Arial" w:cs="Arial"/>
          <w:color w:val="000000"/>
          <w:lang w:val="es-ES" w:eastAsia="es-ES"/>
        </w:rPr>
        <w:t>la</w:t>
      </w:r>
      <w:r w:rsidRPr="00AA3F16">
        <w:rPr>
          <w:rFonts w:eastAsia="Arial" w:cs="Arial"/>
          <w:color w:val="000000"/>
          <w:lang w:val="es-ES" w:eastAsia="es-ES"/>
        </w:rPr>
        <w:t xml:space="preserve"> pesca con caña y sedal y la pesca submarina.</w:t>
      </w:r>
    </w:p>
    <w:p w14:paraId="24740CD7"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p>
    <w:p w14:paraId="4A987898" w14:textId="131D4722"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Además, la CGPM/44/2021/16 refuerza la recomendación de la CGPM 42/2018/2 puesto que solicita que las partes contractuales adopten medidas de mitigación adicionales, incluyendo medidas de mitigación de capturas incidentales dentro tanto de las pesquerías comerciales como recreacionales y a fin de mejorar las medidas y el estado de conservación para mitigar o eliminar, en lo posible, el riesgo de capturas accidentales del elasmobranquio, incluyendo el Angelote. Se invita a los CPC a solicitar apoyo para el desarrollo de los proyectos piloto.</w:t>
      </w:r>
    </w:p>
    <w:p w14:paraId="653EB193"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p>
    <w:p w14:paraId="56573B61" w14:textId="312F4685"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Por lo tanto, existe una justificación para las Partes a fin de determinar si se dan otros instrumentos legislativos nacionales que puedan ofrecer protección a la especie en un ámbito más amplio. Además, una formación actualizada, una supervisión, junto con su aplicación para facilitar su cumplimiento por parte de los pescadores también puede ser necesario.</w:t>
      </w:r>
    </w:p>
    <w:p w14:paraId="7DB1284A"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p>
    <w:p w14:paraId="6B8DE21C" w14:textId="1063A622"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Dichos esfuerzos se alinearían con la Convención (Artículo II, Sección 3[b]; Artículo III, Sección 5). </w:t>
      </w:r>
    </w:p>
    <w:p w14:paraId="59E91495"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p>
    <w:p w14:paraId="3D283F43" w14:textId="5D47E7EA" w:rsidR="00FA5B33" w:rsidRPr="00AA3F16" w:rsidRDefault="00FA5B33" w:rsidP="002A4E27">
      <w:pPr>
        <w:keepNext/>
        <w:keepLines/>
        <w:numPr>
          <w:ilvl w:val="1"/>
          <w:numId w:val="19"/>
        </w:numPr>
        <w:ind w:left="540" w:hanging="540"/>
        <w:outlineLvl w:val="1"/>
        <w:rPr>
          <w:rFonts w:eastAsia="Times New Roman" w:cs="Arial"/>
          <w:b/>
          <w:iCs/>
          <w:color w:val="000000"/>
          <w:lang w:val="es-ES" w:eastAsia="en-GB"/>
        </w:rPr>
      </w:pPr>
      <w:bookmarkStart w:id="49" w:name="_Toc108701941"/>
      <w:bookmarkStart w:id="50" w:name="_Toc118277549"/>
      <w:r w:rsidRPr="00AA3F16">
        <w:rPr>
          <w:rFonts w:eastAsia="Times New Roman" w:cs="Arial"/>
          <w:b/>
          <w:iCs/>
          <w:lang w:val="es-ES" w:eastAsia="es-ES"/>
        </w:rPr>
        <w:lastRenderedPageBreak/>
        <w:t>Identificación de áreas críticas de la especie Angelote (CASA)</w:t>
      </w:r>
      <w:bookmarkEnd w:id="49"/>
      <w:bookmarkEnd w:id="50"/>
    </w:p>
    <w:p w14:paraId="2A98D3DD" w14:textId="77777777" w:rsidR="00FA5B33" w:rsidRPr="00AA3F16" w:rsidRDefault="00FA5B33" w:rsidP="00FA5B33">
      <w:pPr>
        <w:keepNext/>
        <w:keepLines/>
        <w:outlineLvl w:val="1"/>
        <w:rPr>
          <w:rFonts w:eastAsia="Times New Roman" w:cs="Arial"/>
          <w:b/>
          <w:iCs/>
          <w:color w:val="000000"/>
          <w:lang w:val="es-ES" w:eastAsia="en-GB"/>
        </w:rPr>
      </w:pPr>
    </w:p>
    <w:p w14:paraId="4C0FC72E" w14:textId="76C510AE"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Una serie de estudios científicos </w:t>
      </w:r>
      <w:r w:rsidRPr="00AA3F16">
        <w:rPr>
          <w:rFonts w:eastAsia="Arial" w:cs="Arial"/>
          <w:lang w:val="es-ES" w:eastAsia="es-ES"/>
        </w:rPr>
        <w:t>han</w:t>
      </w:r>
      <w:r w:rsidRPr="00AA3F16">
        <w:rPr>
          <w:rFonts w:eastAsia="Arial" w:cs="Arial"/>
          <w:color w:val="000000"/>
          <w:lang w:val="es-ES" w:eastAsia="es-ES"/>
        </w:rPr>
        <w:t xml:space="preserve"> proporcionado panorámicas de datos sobre la </w:t>
      </w:r>
      <w:r w:rsidRPr="00AA3F16">
        <w:rPr>
          <w:rFonts w:eastAsia="Arial" w:cs="Arial"/>
          <w:lang w:val="es-ES" w:eastAsia="es-ES"/>
        </w:rPr>
        <w:t>ocurrencia</w:t>
      </w:r>
      <w:r w:rsidRPr="00AA3F16">
        <w:rPr>
          <w:rFonts w:eastAsia="Arial" w:cs="Arial"/>
          <w:color w:val="000000"/>
          <w:lang w:val="es-ES" w:eastAsia="es-ES"/>
        </w:rPr>
        <w:t xml:space="preserve"> respecto al Angelote. Sin embargo, muchos estudios pueden no haber tenido un acceso completo al total de datos nacionales disponibles, tanto históricos como de carácter reciente.</w:t>
      </w:r>
    </w:p>
    <w:p w14:paraId="011DC991"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p>
    <w:p w14:paraId="14590163" w14:textId="780D19A9" w:rsidR="00FA5B33" w:rsidRPr="00AA3F16" w:rsidRDefault="00FA5B33" w:rsidP="00FA5B33">
      <w:pPr>
        <w:jc w:val="both"/>
        <w:rPr>
          <w:rFonts w:eastAsia="Arial" w:cs="Arial"/>
          <w:color w:val="000000"/>
          <w:lang w:val="es-ES" w:eastAsia="en-GB"/>
        </w:rPr>
      </w:pPr>
      <w:r w:rsidRPr="00AA3F16">
        <w:rPr>
          <w:rFonts w:eastAsia="Arial" w:cs="Arial"/>
          <w:color w:val="000000"/>
          <w:lang w:val="es-ES" w:eastAsia="es-ES"/>
        </w:rPr>
        <w:t>Por ello, los programas nacionales orientados a recabar información sobre los lugares de ocurrencia del Angelote (tanto históricos como recientes) serían útiles, con fuentes de datos potenciales, incluyendo: informes de pesquerías, desembarques comerciales y datos del observador, cuentas históricas, conocimiento del pescador, programas de ciencia ciudadana, redes sociales, conocimiento ecológico local (CEL) y análisis específicos no destructivas. La modelización del hábitat y el ADN medioambiental (</w:t>
      </w:r>
      <w:proofErr w:type="spellStart"/>
      <w:r w:rsidRPr="00AA3F16">
        <w:rPr>
          <w:rFonts w:eastAsia="Arial" w:cs="Arial"/>
          <w:color w:val="000000"/>
          <w:lang w:val="es-ES" w:eastAsia="es-ES"/>
        </w:rPr>
        <w:t>eDNA</w:t>
      </w:r>
      <w:proofErr w:type="spellEnd"/>
      <w:r w:rsidRPr="00AA3F16">
        <w:rPr>
          <w:rFonts w:eastAsia="Arial" w:cs="Arial"/>
          <w:color w:val="000000"/>
          <w:lang w:val="es-ES" w:eastAsia="es-ES"/>
        </w:rPr>
        <w:t xml:space="preserve">) también podrían ser herramientas útiles para identificar lugares potenciales de ocurrencia. La recopilación de datos nacionales (en formato estandarizado) permitiría a las Partes determinar la ocurrencia actual de los </w:t>
      </w:r>
      <w:proofErr w:type="gramStart"/>
      <w:r w:rsidRPr="00AA3F16">
        <w:rPr>
          <w:rFonts w:eastAsia="Arial" w:cs="Arial"/>
          <w:color w:val="000000"/>
          <w:lang w:val="es-ES" w:eastAsia="es-ES"/>
        </w:rPr>
        <w:t>Angelotes</w:t>
      </w:r>
      <w:proofErr w:type="gramEnd"/>
      <w:r w:rsidRPr="00AA3F16">
        <w:rPr>
          <w:rFonts w:eastAsia="Arial" w:cs="Arial"/>
          <w:color w:val="000000"/>
          <w:lang w:val="es-ES" w:eastAsia="es-ES"/>
        </w:rPr>
        <w:t xml:space="preserve"> así como los hábitats adecuados del Angelote tanto en aguas nacionales como en mares regionales, y permitiría la reunión posterior de datos disponibles para la región mediterránea más amplia. Tales datos podrían ser utilizados así para informar sobre (1) la modelización del hábitat y la identificación de otros lugares potenciales, (2) la función potencial de la gestión del espacio y (3) aquellas opciones en las encuestas no destructivas orientadas a supervisar tendencias en el tamaño de las existencias. Tales esfuerzos se alinearían con la Convención (Artículo III, Sección 4[a]).</w:t>
      </w:r>
    </w:p>
    <w:p w14:paraId="3596E5FE" w14:textId="77777777" w:rsidR="00FA5B33" w:rsidRPr="00AA3F16" w:rsidRDefault="00FA5B33" w:rsidP="00FA5B33">
      <w:pPr>
        <w:jc w:val="both"/>
        <w:rPr>
          <w:rFonts w:eastAsia="Arial" w:cs="Arial"/>
          <w:color w:val="000000"/>
          <w:lang w:val="es-ES" w:eastAsia="en-GB"/>
        </w:rPr>
      </w:pPr>
    </w:p>
    <w:p w14:paraId="79020F7F" w14:textId="0880460A" w:rsidR="00FA5B33" w:rsidRPr="00AA3F16" w:rsidRDefault="00FA5B33" w:rsidP="002A4E27">
      <w:pPr>
        <w:keepNext/>
        <w:keepLines/>
        <w:numPr>
          <w:ilvl w:val="1"/>
          <w:numId w:val="19"/>
        </w:numPr>
        <w:ind w:left="540" w:hanging="540"/>
        <w:outlineLvl w:val="1"/>
        <w:rPr>
          <w:rFonts w:eastAsia="Times New Roman" w:cs="Arial"/>
          <w:b/>
          <w:iCs/>
          <w:lang w:val="es-ES" w:eastAsia="en-GB"/>
        </w:rPr>
      </w:pPr>
      <w:r w:rsidRPr="00AA3F16">
        <w:rPr>
          <w:rFonts w:eastAsia="Times New Roman" w:cs="Arial"/>
          <w:b/>
          <w:i/>
          <w:lang w:val="es-ES" w:eastAsia="es-ES"/>
        </w:rPr>
        <w:t xml:space="preserve"> </w:t>
      </w:r>
      <w:bookmarkStart w:id="51" w:name="_Toc108701942"/>
      <w:bookmarkStart w:id="52" w:name="_Toc118277550"/>
      <w:r w:rsidRPr="00AA3F16">
        <w:rPr>
          <w:rFonts w:eastAsia="Times New Roman" w:cs="Arial"/>
          <w:b/>
          <w:iCs/>
          <w:lang w:val="es-ES" w:eastAsia="es-ES"/>
        </w:rPr>
        <w:t>Estudios científicos, recogida de datos y enlace con el sector pesquero</w:t>
      </w:r>
      <w:bookmarkEnd w:id="51"/>
      <w:bookmarkEnd w:id="52"/>
    </w:p>
    <w:p w14:paraId="3C0BAC6C" w14:textId="77777777" w:rsidR="00C96867" w:rsidRPr="00AA3F16" w:rsidRDefault="00C96867" w:rsidP="00C96867">
      <w:pPr>
        <w:keepNext/>
        <w:keepLines/>
        <w:outlineLvl w:val="1"/>
        <w:rPr>
          <w:rFonts w:eastAsia="Times New Roman" w:cs="Arial"/>
          <w:b/>
          <w:iCs/>
          <w:lang w:val="es-ES" w:eastAsia="en-GB"/>
        </w:rPr>
      </w:pPr>
    </w:p>
    <w:p w14:paraId="5F196D40" w14:textId="77777777"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En apoyo al Plan de Acción concertado, existe una justificación para los programas nacionales para la mejora de la recogida de datos científicos además de para un enlace mejorado de los científicos de las pesquerías con el sector pesquero y sus comunidades (incluyéndose la pesca tradicional y de subsistencia, así como la pesca recreacional).</w:t>
      </w:r>
    </w:p>
    <w:p w14:paraId="6D8122AA" w14:textId="26E28D51"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Tales iniciativas podrían facilitar un conocimiento mejorado de la distribución histórica y reciente acerca del Angelote, una mejor comprensión de los niveles actuales de captura incidental, y el cálculo de pescados descartados (incluyendo las piezas descartadas tanto vivas como muertas). </w:t>
      </w:r>
    </w:p>
    <w:p w14:paraId="5C542D59" w14:textId="77777777" w:rsidR="00C96867" w:rsidRPr="00AA3F16" w:rsidRDefault="00C96867" w:rsidP="00FA5B33">
      <w:pPr>
        <w:pBdr>
          <w:top w:val="nil"/>
          <w:left w:val="nil"/>
          <w:bottom w:val="nil"/>
          <w:right w:val="nil"/>
          <w:between w:val="nil"/>
        </w:pBdr>
        <w:jc w:val="both"/>
        <w:rPr>
          <w:rFonts w:eastAsia="Arial" w:cs="Arial"/>
          <w:color w:val="000000"/>
          <w:lang w:val="es-ES" w:eastAsia="en-GB"/>
        </w:rPr>
      </w:pPr>
    </w:p>
    <w:p w14:paraId="0E1BBB9D" w14:textId="245C8FC4"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Los proyectos que implican una colaboración entre pescadores y ciencia pueden aumentar la recogida de datos científicos y proporcionar ayuda con iniciativas formativas (p, ej., en relación con las recomendaciones del CGPM y cualesquiera otras medidas de gestión nacionales).</w:t>
      </w:r>
    </w:p>
    <w:p w14:paraId="0E042347" w14:textId="77777777" w:rsidR="00C96867" w:rsidRPr="00AA3F16" w:rsidRDefault="00C96867" w:rsidP="00FA5B33">
      <w:pPr>
        <w:pBdr>
          <w:top w:val="nil"/>
          <w:left w:val="nil"/>
          <w:bottom w:val="nil"/>
          <w:right w:val="nil"/>
          <w:between w:val="nil"/>
        </w:pBdr>
        <w:jc w:val="both"/>
        <w:rPr>
          <w:rFonts w:eastAsia="Arial" w:cs="Arial"/>
          <w:color w:val="000000"/>
          <w:lang w:val="es-ES" w:eastAsia="en-GB"/>
        </w:rPr>
      </w:pPr>
    </w:p>
    <w:p w14:paraId="58F92038" w14:textId="4FCA22CC"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Hay también una sólida justificación para que los resultados de los estudios científicos se usen en estudios científicos colaborativos con otras Partes. En particular, la genética de poblaciones podría revelar aportaciones acerca de la conectividad entre las poblaciones fragmentadas.</w:t>
      </w:r>
    </w:p>
    <w:p w14:paraId="18A5DB4E" w14:textId="77777777" w:rsidR="00C96867" w:rsidRPr="00AA3F16" w:rsidRDefault="00C96867" w:rsidP="00FA5B33">
      <w:pPr>
        <w:pBdr>
          <w:top w:val="nil"/>
          <w:left w:val="nil"/>
          <w:bottom w:val="nil"/>
          <w:right w:val="nil"/>
          <w:between w:val="nil"/>
        </w:pBdr>
        <w:jc w:val="both"/>
        <w:rPr>
          <w:rFonts w:eastAsia="Arial" w:cs="Arial"/>
          <w:color w:val="000000"/>
          <w:lang w:val="es-ES" w:eastAsia="en-GB"/>
        </w:rPr>
      </w:pPr>
    </w:p>
    <w:p w14:paraId="6855E84C" w14:textId="2DDB0818"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Dichos esfuerzos se alinearían con la Convención (Artículo II, Sección 3[b]).</w:t>
      </w:r>
    </w:p>
    <w:p w14:paraId="46D24281" w14:textId="77777777" w:rsidR="00C96867" w:rsidRPr="00AA3F16" w:rsidRDefault="00C96867" w:rsidP="00FA5B33">
      <w:pPr>
        <w:pBdr>
          <w:top w:val="nil"/>
          <w:left w:val="nil"/>
          <w:bottom w:val="nil"/>
          <w:right w:val="nil"/>
          <w:between w:val="nil"/>
        </w:pBdr>
        <w:jc w:val="both"/>
        <w:rPr>
          <w:rFonts w:eastAsia="Arial" w:cs="Arial"/>
          <w:color w:val="000000"/>
          <w:lang w:val="es-ES" w:eastAsia="en-GB"/>
        </w:rPr>
      </w:pPr>
    </w:p>
    <w:p w14:paraId="42BD914A" w14:textId="0B4E3B23" w:rsidR="00FA5B33" w:rsidRPr="00AA3F16" w:rsidRDefault="00FA5B33" w:rsidP="002A4E27">
      <w:pPr>
        <w:keepNext/>
        <w:keepLines/>
        <w:numPr>
          <w:ilvl w:val="1"/>
          <w:numId w:val="19"/>
        </w:numPr>
        <w:ind w:left="540" w:hanging="540"/>
        <w:outlineLvl w:val="1"/>
        <w:rPr>
          <w:rFonts w:eastAsia="Times New Roman" w:cs="Arial"/>
          <w:b/>
          <w:iCs/>
          <w:lang w:val="es-ES" w:eastAsia="en-GB"/>
        </w:rPr>
      </w:pPr>
      <w:bookmarkStart w:id="53" w:name="_Toc108701943"/>
      <w:bookmarkStart w:id="54" w:name="_Toc118277551"/>
      <w:r w:rsidRPr="00AA3F16">
        <w:rPr>
          <w:rFonts w:eastAsia="Times New Roman" w:cs="Arial"/>
          <w:b/>
          <w:iCs/>
          <w:lang w:val="es-ES" w:eastAsia="es-ES"/>
        </w:rPr>
        <w:t>Asegurar recursos suficientes para la conservación continuada del Angelote</w:t>
      </w:r>
      <w:bookmarkEnd w:id="53"/>
      <w:bookmarkEnd w:id="54"/>
    </w:p>
    <w:p w14:paraId="533F733F" w14:textId="77777777" w:rsidR="00C96867" w:rsidRPr="00AA3F16" w:rsidRDefault="00C96867" w:rsidP="00C96867">
      <w:pPr>
        <w:keepNext/>
        <w:keepLines/>
        <w:outlineLvl w:val="1"/>
        <w:rPr>
          <w:rFonts w:eastAsia="Times New Roman" w:cs="Arial"/>
          <w:b/>
          <w:iCs/>
          <w:lang w:val="es-ES" w:eastAsia="en-GB"/>
        </w:rPr>
      </w:pPr>
    </w:p>
    <w:p w14:paraId="7D7B8A03" w14:textId="4435274E" w:rsidR="00FA5B33" w:rsidRPr="00AA3F16" w:rsidRDefault="00FA5B33" w:rsidP="00FA5B33">
      <w:pPr>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Para lograr con éxito los resultados de este Plan de Acción, es necesario asegurar recursos suficientes para implementar las acciones a escala nacional y regional. Las Partes podrían considerar establecer grupos de trabajo nacionales compuestos de partes interesadas y expertos locales para que respaldaran la implementación a nivel nacional.</w:t>
      </w:r>
    </w:p>
    <w:p w14:paraId="4631B8FF" w14:textId="77777777" w:rsidR="00C96867" w:rsidRPr="00AA3F16" w:rsidRDefault="00C96867" w:rsidP="00FA5B33">
      <w:pPr>
        <w:pBdr>
          <w:top w:val="nil"/>
          <w:left w:val="nil"/>
          <w:bottom w:val="nil"/>
          <w:right w:val="nil"/>
          <w:between w:val="nil"/>
        </w:pBdr>
        <w:jc w:val="both"/>
        <w:rPr>
          <w:rFonts w:eastAsia="Arial" w:cs="Arial"/>
          <w:color w:val="000000"/>
          <w:lang w:val="es-ES" w:eastAsia="en-GB"/>
        </w:rPr>
      </w:pPr>
    </w:p>
    <w:p w14:paraId="076A95E5" w14:textId="7C92EA6C" w:rsidR="00FA5B33" w:rsidRPr="00AA3F16"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es-ES" w:eastAsia="en-GB"/>
        </w:rPr>
      </w:pPr>
      <w:bookmarkStart w:id="55" w:name="_Toc108701944"/>
      <w:bookmarkStart w:id="56" w:name="_Toc118277552"/>
      <w:r w:rsidRPr="00AA3F16">
        <w:rPr>
          <w:rFonts w:eastAsia="Times New Roman" w:cs="Arial"/>
          <w:b/>
          <w:iCs/>
          <w:lang w:val="es-ES" w:eastAsia="es-ES"/>
        </w:rPr>
        <w:t>Marco de objetivos</w:t>
      </w:r>
      <w:bookmarkEnd w:id="55"/>
      <w:bookmarkEnd w:id="56"/>
    </w:p>
    <w:p w14:paraId="2B381EA2" w14:textId="77777777" w:rsidR="00C96867" w:rsidRPr="00AA3F16" w:rsidRDefault="00C96867" w:rsidP="00C96867">
      <w:pPr>
        <w:keepNext/>
        <w:keepLines/>
        <w:pBdr>
          <w:top w:val="nil"/>
          <w:left w:val="nil"/>
          <w:bottom w:val="nil"/>
          <w:right w:val="nil"/>
          <w:between w:val="nil"/>
        </w:pBdr>
        <w:jc w:val="both"/>
        <w:outlineLvl w:val="1"/>
        <w:rPr>
          <w:rFonts w:eastAsia="Times New Roman" w:cs="Arial"/>
          <w:b/>
          <w:iCs/>
          <w:lang w:val="es-ES" w:eastAsia="en-GB"/>
        </w:rPr>
      </w:pPr>
    </w:p>
    <w:p w14:paraId="1F052EF6" w14:textId="2E93A158" w:rsidR="00FA5B33" w:rsidRPr="00AA3F16" w:rsidRDefault="00FA5B33" w:rsidP="00FA5B33">
      <w:pPr>
        <w:jc w:val="both"/>
        <w:rPr>
          <w:rFonts w:eastAsia="Arial" w:cs="Arial"/>
          <w:lang w:val="es-ES" w:eastAsia="en-GB"/>
        </w:rPr>
      </w:pPr>
      <w:r w:rsidRPr="00AA3F16">
        <w:rPr>
          <w:rFonts w:eastAsia="Arial" w:cs="Arial"/>
          <w:lang w:val="es-ES" w:eastAsia="es-ES"/>
        </w:rPr>
        <w:t xml:space="preserve">Para abordar los objetivos, acciones y resultados, tal como se presentan en la sección 4.2, se ha creado el siguiente marco de aplicación (Tablas 6, 7, 8 y 9). Para cada objetivo, existe un resultado previsto que se alcanzará a través de diferentes acciones, cada una de las cuales con una </w:t>
      </w:r>
      <w:r w:rsidRPr="00AA3F16">
        <w:rPr>
          <w:rFonts w:eastAsia="Arial" w:cs="Arial"/>
          <w:lang w:val="es-ES" w:eastAsia="es-ES"/>
        </w:rPr>
        <w:lastRenderedPageBreak/>
        <w:t>prioridad, escala temporal y Estados del área de distribución responsables para la acción concreta. El apartado "Estados del área de distribución responsables" contiene dos categorías, "Todos los Estados del área de distribución" y "Estados del área de distribución donde se conserva el Angelote", la clasificación de los Estados de distribución se refleja en la Tabla 4.</w:t>
      </w:r>
    </w:p>
    <w:p w14:paraId="24E752C2" w14:textId="77777777" w:rsidR="00FA5B33" w:rsidRPr="00AA3F16" w:rsidRDefault="00FA5B33" w:rsidP="00FA5B33">
      <w:pPr>
        <w:rPr>
          <w:rFonts w:eastAsia="Arial" w:cs="Arial"/>
          <w:lang w:val="es-ES" w:eastAsia="en-GB"/>
        </w:rPr>
      </w:pPr>
    </w:p>
    <w:p w14:paraId="595EA994" w14:textId="77777777" w:rsidR="00FA5B33" w:rsidRPr="00AA3F16" w:rsidRDefault="00FA5B33" w:rsidP="00C96867">
      <w:pPr>
        <w:widowControl w:val="0"/>
        <w:pBdr>
          <w:top w:val="nil"/>
          <w:left w:val="nil"/>
          <w:bottom w:val="nil"/>
          <w:right w:val="nil"/>
          <w:between w:val="nil"/>
        </w:pBdr>
        <w:spacing w:after="80"/>
        <w:jc w:val="both"/>
        <w:rPr>
          <w:rFonts w:eastAsia="Arial" w:cs="Arial"/>
          <w:color w:val="000000"/>
          <w:lang w:val="es-ES" w:eastAsia="en-GB"/>
        </w:rPr>
      </w:pPr>
      <w:r w:rsidRPr="00AA3F16">
        <w:rPr>
          <w:rFonts w:eastAsia="Arial" w:cs="Arial"/>
          <w:lang w:val="es-ES" w:eastAsia="es-ES"/>
        </w:rPr>
        <w:t xml:space="preserve">Las siguientes </w:t>
      </w:r>
      <w:r w:rsidRPr="00AA3F16">
        <w:rPr>
          <w:rFonts w:eastAsia="Arial" w:cs="Arial"/>
          <w:b/>
          <w:color w:val="000000"/>
          <w:lang w:val="es-ES" w:eastAsia="es-ES"/>
        </w:rPr>
        <w:t>Acciones</w:t>
      </w:r>
      <w:r w:rsidRPr="00AA3F16">
        <w:rPr>
          <w:rFonts w:eastAsia="Arial" w:cs="Arial"/>
          <w:lang w:val="es-ES" w:eastAsia="es-ES"/>
        </w:rPr>
        <w:t xml:space="preserve"> se han</w:t>
      </w:r>
      <w:r w:rsidRPr="00AA3F16">
        <w:rPr>
          <w:rFonts w:eastAsia="Arial" w:cs="Arial"/>
          <w:color w:val="000000"/>
          <w:lang w:val="es-ES" w:eastAsia="es-ES"/>
        </w:rPr>
        <w:t xml:space="preserve"> priorizado como:</w:t>
      </w:r>
    </w:p>
    <w:p w14:paraId="1F9C6916" w14:textId="77777777" w:rsidR="00FA5B33" w:rsidRPr="00AA3F16" w:rsidRDefault="00FA5B33" w:rsidP="00C96867">
      <w:pPr>
        <w:widowControl w:val="0"/>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Esenciales</w:t>
      </w:r>
    </w:p>
    <w:p w14:paraId="4E782E0F" w14:textId="77777777" w:rsidR="00FA5B33" w:rsidRPr="00AA3F16" w:rsidRDefault="00FA5B33" w:rsidP="00C96867">
      <w:pPr>
        <w:widowControl w:val="0"/>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Importantes</w:t>
      </w:r>
    </w:p>
    <w:p w14:paraId="738BD0B6" w14:textId="77777777" w:rsidR="00FA5B33" w:rsidRPr="00AA3F16" w:rsidRDefault="00FA5B33" w:rsidP="00C96867">
      <w:pPr>
        <w:widowControl w:val="0"/>
        <w:pBdr>
          <w:top w:val="nil"/>
          <w:left w:val="nil"/>
          <w:bottom w:val="nil"/>
          <w:right w:val="nil"/>
          <w:between w:val="nil"/>
        </w:pBdr>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Medias</w:t>
      </w:r>
    </w:p>
    <w:p w14:paraId="55D2B919" w14:textId="77777777" w:rsidR="00FA5B33" w:rsidRPr="00AA3F16" w:rsidRDefault="00FA5B33" w:rsidP="00C96867">
      <w:pPr>
        <w:widowControl w:val="0"/>
        <w:pBdr>
          <w:top w:val="nil"/>
          <w:left w:val="nil"/>
          <w:bottom w:val="nil"/>
          <w:right w:val="nil"/>
          <w:between w:val="nil"/>
        </w:pBdr>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Bajas</w:t>
      </w:r>
    </w:p>
    <w:p w14:paraId="1013CBFA" w14:textId="77777777" w:rsidR="00FA5B33" w:rsidRPr="00AA3F16" w:rsidRDefault="00FA5B33" w:rsidP="00C96867">
      <w:pPr>
        <w:widowControl w:val="0"/>
        <w:pBdr>
          <w:top w:val="nil"/>
          <w:left w:val="nil"/>
          <w:bottom w:val="nil"/>
          <w:right w:val="nil"/>
          <w:between w:val="nil"/>
        </w:pBdr>
        <w:jc w:val="both"/>
        <w:rPr>
          <w:rFonts w:eastAsia="Arial" w:cs="Arial"/>
          <w:color w:val="000000"/>
          <w:lang w:val="es-ES" w:eastAsia="en-GB"/>
        </w:rPr>
      </w:pPr>
    </w:p>
    <w:p w14:paraId="6284EBC4" w14:textId="77777777" w:rsidR="00FA5B33" w:rsidRPr="00AA3F16" w:rsidRDefault="00FA5B33" w:rsidP="00C96867">
      <w:pPr>
        <w:widowControl w:val="0"/>
        <w:pBdr>
          <w:top w:val="nil"/>
          <w:left w:val="nil"/>
          <w:bottom w:val="nil"/>
          <w:right w:val="nil"/>
          <w:between w:val="nil"/>
        </w:pBdr>
        <w:spacing w:after="80"/>
        <w:jc w:val="both"/>
        <w:rPr>
          <w:rFonts w:eastAsia="Arial" w:cs="Arial"/>
          <w:color w:val="000000"/>
          <w:lang w:val="es-ES" w:eastAsia="en-GB"/>
        </w:rPr>
      </w:pPr>
      <w:r w:rsidRPr="00AA3F16">
        <w:rPr>
          <w:rFonts w:eastAsia="Arial" w:cs="Arial"/>
          <w:b/>
          <w:color w:val="000000"/>
          <w:lang w:val="es-ES" w:eastAsia="es-ES"/>
        </w:rPr>
        <w:t>Las Escalas temporales</w:t>
      </w:r>
      <w:r w:rsidRPr="00AA3F16">
        <w:rPr>
          <w:rFonts w:eastAsia="Arial" w:cs="Arial"/>
          <w:color w:val="000000"/>
          <w:lang w:val="es-ES" w:eastAsia="es-ES"/>
        </w:rPr>
        <w:t xml:space="preserve"> también se han vinculado a cada Acción mediante la siguiente clasificación:</w:t>
      </w:r>
    </w:p>
    <w:p w14:paraId="2055B604" w14:textId="77777777" w:rsidR="00FA5B33" w:rsidRPr="00AA3F16"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Inmediata:</w:t>
      </w:r>
      <w:r w:rsidRPr="00AA3F16">
        <w:rPr>
          <w:rFonts w:eastAsia="Arial" w:cs="Arial"/>
          <w:color w:val="000000"/>
          <w:lang w:val="es-ES" w:eastAsia="es-ES"/>
        </w:rPr>
        <w:tab/>
        <w:t>completada dentro del próximo año</w:t>
      </w:r>
    </w:p>
    <w:p w14:paraId="13347BF1" w14:textId="77777777" w:rsidR="00FA5B33" w:rsidRPr="00AA3F16"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Breve:</w:t>
      </w:r>
      <w:r w:rsidRPr="00AA3F16">
        <w:rPr>
          <w:rFonts w:eastAsia="Arial" w:cs="Arial"/>
          <w:color w:val="000000"/>
          <w:lang w:val="es-ES" w:eastAsia="es-ES"/>
        </w:rPr>
        <w:tab/>
        <w:t>completada dentro de los siguientes 3 años</w:t>
      </w:r>
    </w:p>
    <w:p w14:paraId="5F8380C6" w14:textId="77777777" w:rsidR="00FA5B33" w:rsidRPr="00AA3F16"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Media:</w:t>
      </w:r>
      <w:r w:rsidRPr="00AA3F16">
        <w:rPr>
          <w:rFonts w:eastAsia="Arial" w:cs="Arial"/>
          <w:color w:val="000000"/>
          <w:lang w:val="es-ES" w:eastAsia="es-ES"/>
        </w:rPr>
        <w:tab/>
        <w:t>completada dentro de los siguientes 5 años</w:t>
      </w:r>
    </w:p>
    <w:p w14:paraId="52F01CEC" w14:textId="77777777" w:rsidR="00FA5B33" w:rsidRPr="00AA3F16"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Larga:</w:t>
      </w:r>
      <w:r w:rsidRPr="00AA3F16">
        <w:rPr>
          <w:rFonts w:eastAsia="Arial" w:cs="Arial"/>
          <w:color w:val="000000"/>
          <w:lang w:val="es-ES" w:eastAsia="es-ES"/>
        </w:rPr>
        <w:tab/>
        <w:t>completada dentro de los siguientes 10 años</w:t>
      </w:r>
    </w:p>
    <w:p w14:paraId="60926046" w14:textId="77777777" w:rsidR="00FA5B33" w:rsidRPr="00AA3F16"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En curso:</w:t>
      </w:r>
      <w:r w:rsidRPr="00AA3F16">
        <w:rPr>
          <w:rFonts w:eastAsia="Arial" w:cs="Arial"/>
          <w:color w:val="000000"/>
          <w:lang w:val="es-ES" w:eastAsia="es-ES"/>
        </w:rPr>
        <w:tab/>
        <w:t>actualmente implementándose y debiendo continuar</w:t>
      </w:r>
    </w:p>
    <w:p w14:paraId="6A8455C3" w14:textId="77777777" w:rsidR="00FA5B33" w:rsidRPr="00AA3F16" w:rsidRDefault="00FA5B33" w:rsidP="00C96867">
      <w:pPr>
        <w:widowControl w:val="0"/>
        <w:pBdr>
          <w:top w:val="nil"/>
          <w:left w:val="nil"/>
          <w:bottom w:val="nil"/>
          <w:right w:val="nil"/>
          <w:between w:val="nil"/>
        </w:pBdr>
        <w:tabs>
          <w:tab w:val="left" w:pos="709"/>
          <w:tab w:val="left" w:pos="2127"/>
        </w:tabs>
        <w:jc w:val="both"/>
        <w:rPr>
          <w:rFonts w:eastAsia="Arial" w:cs="Arial"/>
          <w:color w:val="000000"/>
          <w:lang w:val="es-ES" w:eastAsia="en-GB"/>
        </w:rPr>
      </w:pPr>
      <w:r w:rsidRPr="00AA3F16">
        <w:rPr>
          <w:rFonts w:eastAsia="Arial" w:cs="Arial"/>
          <w:color w:val="000000"/>
          <w:lang w:val="es-ES" w:eastAsia="es-ES"/>
        </w:rPr>
        <w:t xml:space="preserve"> - </w:t>
      </w:r>
      <w:r w:rsidRPr="00AA3F16">
        <w:rPr>
          <w:rFonts w:eastAsia="Arial" w:cs="Arial"/>
          <w:color w:val="000000"/>
          <w:lang w:val="es-ES" w:eastAsia="es-ES"/>
        </w:rPr>
        <w:tab/>
        <w:t>Completada:</w:t>
      </w:r>
      <w:r w:rsidRPr="00AA3F16">
        <w:rPr>
          <w:rFonts w:eastAsia="Arial" w:cs="Arial"/>
          <w:color w:val="000000"/>
          <w:lang w:val="es-ES" w:eastAsia="es-ES"/>
        </w:rPr>
        <w:tab/>
        <w:t>completada durante la revisión del Plan de Acción</w:t>
      </w:r>
    </w:p>
    <w:p w14:paraId="71DB0F1A" w14:textId="77777777" w:rsidR="00FA5B33" w:rsidRPr="00AA3F16" w:rsidRDefault="00FA5B33" w:rsidP="00FA5B33">
      <w:pPr>
        <w:widowControl w:val="0"/>
        <w:pBdr>
          <w:top w:val="nil"/>
          <w:left w:val="nil"/>
          <w:bottom w:val="nil"/>
          <w:right w:val="nil"/>
          <w:between w:val="nil"/>
        </w:pBdr>
        <w:tabs>
          <w:tab w:val="left" w:pos="709"/>
          <w:tab w:val="left" w:pos="2127"/>
        </w:tabs>
        <w:rPr>
          <w:rFonts w:eastAsia="Arial" w:cs="Arial"/>
          <w:lang w:val="es-ES" w:eastAsia="en-GB"/>
        </w:rPr>
      </w:pPr>
    </w:p>
    <w:p w14:paraId="7BDF3C8C" w14:textId="77777777" w:rsidR="00FA5B33" w:rsidRPr="00AA3F16" w:rsidRDefault="00FA5B33" w:rsidP="00C96867">
      <w:pPr>
        <w:widowControl w:val="0"/>
        <w:pBdr>
          <w:top w:val="nil"/>
          <w:left w:val="nil"/>
          <w:bottom w:val="nil"/>
          <w:right w:val="nil"/>
          <w:between w:val="nil"/>
        </w:pBdr>
        <w:tabs>
          <w:tab w:val="left" w:pos="709"/>
          <w:tab w:val="left" w:pos="2127"/>
        </w:tabs>
        <w:jc w:val="both"/>
        <w:rPr>
          <w:rFonts w:eastAsia="Arial" w:cs="Arial"/>
          <w:lang w:val="es-ES" w:eastAsia="en-GB"/>
        </w:rPr>
      </w:pPr>
      <w:r w:rsidRPr="00AA3F16">
        <w:rPr>
          <w:rFonts w:eastAsia="Arial" w:cs="Arial"/>
          <w:lang w:val="es-ES" w:eastAsia="es-ES"/>
        </w:rPr>
        <w:t xml:space="preserve">Todos los Estados del área de distribución deben orientarse a emprender las Acciones 1.1-1.4, las Acciones 2.1-2.3, la Acción 3.1 y las Acciones 4.1 y 4.2. Los resultados de estas Acciones informarán de los aspectos prácticos y méritos de emprender las Acciones posteriores en aguas nacionales, además de cómo podrían realizarse estudios regionales más colaborativos.  </w:t>
      </w:r>
    </w:p>
    <w:p w14:paraId="55589849" w14:textId="77777777" w:rsidR="00FA5B33" w:rsidRPr="00AA3F16" w:rsidRDefault="00FA5B33" w:rsidP="00FA5B33">
      <w:pPr>
        <w:widowControl w:val="0"/>
        <w:pBdr>
          <w:top w:val="nil"/>
          <w:left w:val="nil"/>
          <w:bottom w:val="nil"/>
          <w:right w:val="nil"/>
          <w:between w:val="nil"/>
        </w:pBdr>
        <w:tabs>
          <w:tab w:val="left" w:pos="709"/>
          <w:tab w:val="left" w:pos="2127"/>
        </w:tabs>
        <w:rPr>
          <w:rFonts w:eastAsia="Arial" w:cs="Arial"/>
          <w:lang w:val="es-ES" w:eastAsia="en-GB"/>
        </w:rPr>
      </w:pPr>
    </w:p>
    <w:p w14:paraId="42D70AAD" w14:textId="63D39742" w:rsidR="00FA5B33" w:rsidRPr="00AA3F16"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es-ES" w:eastAsia="en-GB"/>
        </w:rPr>
      </w:pPr>
      <w:bookmarkStart w:id="57" w:name="_Toc108701945"/>
      <w:bookmarkStart w:id="58" w:name="_Toc118277553"/>
      <w:r w:rsidRPr="00AA3F16">
        <w:rPr>
          <w:rFonts w:eastAsia="Times New Roman" w:cs="Arial"/>
          <w:b/>
          <w:iCs/>
          <w:lang w:val="es-ES" w:eastAsia="es-ES"/>
        </w:rPr>
        <w:t>Implementación nacional</w:t>
      </w:r>
      <w:bookmarkEnd w:id="57"/>
      <w:bookmarkEnd w:id="58"/>
    </w:p>
    <w:p w14:paraId="4EC166BD" w14:textId="77777777" w:rsidR="00FA5B33" w:rsidRPr="00AA3F16" w:rsidRDefault="00FA5B33" w:rsidP="00C96867">
      <w:pPr>
        <w:rPr>
          <w:rFonts w:eastAsia="Times New Roman" w:cs="Arial"/>
          <w:i/>
          <w:iCs/>
          <w:sz w:val="24"/>
          <w:szCs w:val="24"/>
          <w:lang w:val="es-ES" w:eastAsia="en-GB"/>
        </w:rPr>
      </w:pPr>
    </w:p>
    <w:p w14:paraId="6C8F3CF8" w14:textId="5734161C" w:rsidR="00FA5B33" w:rsidRPr="00AA3F16" w:rsidRDefault="00FA5B33" w:rsidP="00C96867">
      <w:pPr>
        <w:jc w:val="both"/>
        <w:rPr>
          <w:rFonts w:eastAsia="Times New Roman" w:cs="Arial"/>
          <w:sz w:val="24"/>
          <w:szCs w:val="24"/>
          <w:lang w:val="es-ES" w:eastAsia="en-GB"/>
        </w:rPr>
      </w:pPr>
      <w:r w:rsidRPr="00AA3F16">
        <w:rPr>
          <w:rFonts w:eastAsia="Times New Roman" w:cs="Arial"/>
          <w:sz w:val="24"/>
          <w:szCs w:val="24"/>
          <w:lang w:val="es-ES" w:eastAsia="es-ES"/>
        </w:rPr>
        <w:t xml:space="preserve">Este plan sirve de guía para todos los Estados del área de </w:t>
      </w:r>
      <w:proofErr w:type="gramStart"/>
      <w:r w:rsidRPr="00AA3F16">
        <w:rPr>
          <w:rFonts w:eastAsia="Times New Roman" w:cs="Arial"/>
          <w:sz w:val="24"/>
          <w:szCs w:val="24"/>
          <w:lang w:val="es-ES" w:eastAsia="es-ES"/>
        </w:rPr>
        <w:t>distribución</w:t>
      </w:r>
      <w:proofErr w:type="gramEnd"/>
      <w:r w:rsidRPr="00AA3F16">
        <w:rPr>
          <w:rFonts w:eastAsia="Times New Roman" w:cs="Arial"/>
          <w:sz w:val="24"/>
          <w:szCs w:val="24"/>
          <w:lang w:val="es-ES" w:eastAsia="es-ES"/>
        </w:rPr>
        <w:t xml:space="preserve"> así como para otras partes interesadas. No todos los aspectos </w:t>
      </w:r>
      <w:proofErr w:type="gramStart"/>
      <w:r w:rsidRPr="00AA3F16">
        <w:rPr>
          <w:rFonts w:eastAsia="Times New Roman" w:cs="Arial"/>
          <w:sz w:val="24"/>
          <w:szCs w:val="24"/>
          <w:lang w:val="es-ES" w:eastAsia="es-ES"/>
        </w:rPr>
        <w:t>serán de aplicación</w:t>
      </w:r>
      <w:proofErr w:type="gramEnd"/>
      <w:r w:rsidRPr="00AA3F16">
        <w:rPr>
          <w:rFonts w:eastAsia="Times New Roman" w:cs="Arial"/>
          <w:sz w:val="24"/>
          <w:szCs w:val="24"/>
          <w:lang w:val="es-ES" w:eastAsia="es-ES"/>
        </w:rPr>
        <w:t xml:space="preserve"> a todos los países. Además, algunos gobiernos nacionales pueden necesitar crear capacidades adicionales para poder emprender algunos aspectos de este plan. Se insta a los gobiernos a desarrollar su</w:t>
      </w:r>
      <w:r w:rsidR="00DB5E78">
        <w:rPr>
          <w:rFonts w:eastAsia="Times New Roman" w:cs="Arial"/>
          <w:sz w:val="24"/>
          <w:szCs w:val="24"/>
          <w:lang w:val="es-ES" w:eastAsia="es-ES"/>
        </w:rPr>
        <w:t>s</w:t>
      </w:r>
      <w:r w:rsidRPr="00AA3F16">
        <w:rPr>
          <w:rFonts w:eastAsia="Times New Roman" w:cs="Arial"/>
          <w:sz w:val="24"/>
          <w:szCs w:val="24"/>
          <w:lang w:val="es-ES" w:eastAsia="es-ES"/>
        </w:rPr>
        <w:t xml:space="preserve"> propios planes de trabajo para organizar la implementación nacional guiada por el Plan de Acción de especie única junto a las prioridades acordadas y de conformidad con las medidas de gestión nacionales vigentes. </w:t>
      </w:r>
    </w:p>
    <w:p w14:paraId="2D0DA1D8" w14:textId="77777777" w:rsidR="00FA5B33" w:rsidRPr="00AA3F16" w:rsidRDefault="00FA5B33" w:rsidP="00C96867">
      <w:pPr>
        <w:widowControl w:val="0"/>
        <w:pBdr>
          <w:top w:val="nil"/>
          <w:left w:val="nil"/>
          <w:bottom w:val="nil"/>
          <w:right w:val="nil"/>
          <w:between w:val="nil"/>
        </w:pBdr>
        <w:tabs>
          <w:tab w:val="left" w:pos="709"/>
          <w:tab w:val="left" w:pos="2127"/>
        </w:tabs>
        <w:rPr>
          <w:rFonts w:eastAsia="Arial" w:cs="Arial"/>
          <w:lang w:val="es-ES" w:eastAsia="en-GB"/>
        </w:rPr>
      </w:pPr>
    </w:p>
    <w:p w14:paraId="7F0696A9" w14:textId="77777777" w:rsidR="00FA5B33" w:rsidRPr="00AA3F16"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es-ES" w:eastAsia="en-GB"/>
        </w:rPr>
      </w:pPr>
      <w:bookmarkStart w:id="59" w:name="_Toc108701946"/>
      <w:bookmarkStart w:id="60" w:name="_Toc118277554"/>
      <w:r w:rsidRPr="00AA3F16">
        <w:rPr>
          <w:rFonts w:eastAsia="Times New Roman" w:cs="Arial"/>
          <w:b/>
          <w:iCs/>
          <w:lang w:val="es-ES" w:eastAsia="es-ES"/>
        </w:rPr>
        <w:t>Recursos, directrices y herramientas disponibles</w:t>
      </w:r>
      <w:bookmarkEnd w:id="59"/>
      <w:bookmarkEnd w:id="60"/>
    </w:p>
    <w:p w14:paraId="3ACEBE44" w14:textId="77777777" w:rsidR="00FA5B33" w:rsidRPr="00AA3F16" w:rsidRDefault="00FA5B33" w:rsidP="00C96867">
      <w:pPr>
        <w:rPr>
          <w:rFonts w:eastAsia="Times New Roman" w:cs="Arial"/>
          <w:sz w:val="24"/>
          <w:szCs w:val="24"/>
          <w:lang w:val="es-ES" w:eastAsia="en-GB"/>
        </w:rPr>
      </w:pPr>
    </w:p>
    <w:p w14:paraId="28660DB2" w14:textId="77777777" w:rsidR="00FA5B33" w:rsidRPr="00AA3F16" w:rsidRDefault="00FA5B33" w:rsidP="00C96867">
      <w:pPr>
        <w:jc w:val="both"/>
        <w:rPr>
          <w:rFonts w:eastAsia="Times New Roman" w:cs="Arial"/>
          <w:sz w:val="24"/>
          <w:szCs w:val="24"/>
          <w:lang w:val="es-ES" w:eastAsia="en-GB"/>
        </w:rPr>
      </w:pPr>
      <w:r w:rsidRPr="00AA3F16">
        <w:rPr>
          <w:rFonts w:eastAsia="Times New Roman" w:cs="Arial"/>
          <w:sz w:val="24"/>
          <w:szCs w:val="24"/>
          <w:lang w:val="es-ES" w:eastAsia="es-ES"/>
        </w:rPr>
        <w:t>Con objeto de racionalizar los esfuerzos en todo el ámbito, las Partes y los asociados ejecutantes harán todo lo posible para aplicar las herramientas y las pautas disponibles ya desarrolladas por los miembros de la Red de Conservación de la especie Angelote (ASCN, por sus siglas en inglés). Aquí se incluyen las directrices de las pesquerías, los protocolos y técnicas de investigación acordes a un estándar éticamente aprobado. En el Anexo IV a este documento, se ofrece un panorama completo de los recursos disponibles.</w:t>
      </w:r>
    </w:p>
    <w:p w14:paraId="6E283B14" w14:textId="77777777" w:rsidR="00FA5B33" w:rsidRPr="00AA3F16" w:rsidRDefault="00FA5B33" w:rsidP="00C96867">
      <w:pPr>
        <w:jc w:val="both"/>
        <w:rPr>
          <w:rFonts w:eastAsia="Times New Roman" w:cs="Arial"/>
          <w:sz w:val="24"/>
          <w:szCs w:val="24"/>
          <w:lang w:val="es-ES" w:eastAsia="en-GB"/>
        </w:rPr>
      </w:pPr>
      <w:r w:rsidRPr="00AA3F16">
        <w:rPr>
          <w:rFonts w:eastAsia="Times New Roman" w:cs="Arial"/>
          <w:sz w:val="24"/>
          <w:szCs w:val="24"/>
          <w:lang w:val="es-ES" w:eastAsia="es-ES"/>
        </w:rPr>
        <w:t> </w:t>
      </w:r>
    </w:p>
    <w:p w14:paraId="186F712B" w14:textId="77777777" w:rsidR="00FA5B33" w:rsidRPr="00AA3F16" w:rsidRDefault="00FA5B33" w:rsidP="00C96867">
      <w:pPr>
        <w:jc w:val="both"/>
        <w:rPr>
          <w:rFonts w:eastAsia="Times New Roman" w:cs="Arial"/>
          <w:sz w:val="24"/>
          <w:szCs w:val="24"/>
          <w:lang w:val="es-ES"/>
        </w:rPr>
      </w:pPr>
      <w:r w:rsidRPr="00AA3F16">
        <w:rPr>
          <w:rFonts w:eastAsia="Times New Roman" w:cs="Arial"/>
          <w:sz w:val="24"/>
          <w:szCs w:val="24"/>
          <w:lang w:val="es-ES" w:eastAsia="es-ES"/>
        </w:rPr>
        <w:t>La ASCN también puede servir como asociado de referencia y órgano consultor para el desarrollo de cualesquiera materiales orientativos adicionales, protocolos y materiales de capacitación que ayuden a los países en la implementación del SAAP.</w:t>
      </w:r>
    </w:p>
    <w:p w14:paraId="79EB2324" w14:textId="0339D88B" w:rsidR="00FA5B33" w:rsidRPr="00AA3F16" w:rsidRDefault="00FA5B33" w:rsidP="00FA5B33">
      <w:pPr>
        <w:jc w:val="both"/>
        <w:rPr>
          <w:rFonts w:cs="Arial"/>
          <w:spacing w:val="-2"/>
          <w:lang w:val="es-ES" w:eastAsia="en-GB"/>
        </w:rPr>
      </w:pPr>
    </w:p>
    <w:p w14:paraId="56C27451" w14:textId="77777777" w:rsidR="00B9436A" w:rsidRPr="00AA3F16" w:rsidRDefault="00B9436A" w:rsidP="00FA5B33">
      <w:pPr>
        <w:jc w:val="both"/>
        <w:rPr>
          <w:rFonts w:cs="Arial"/>
          <w:spacing w:val="-2"/>
          <w:lang w:val="es-ES" w:eastAsia="en-GB"/>
        </w:rPr>
        <w:sectPr w:rsidR="00B9436A" w:rsidRPr="00AA3F16" w:rsidSect="00BC49CE">
          <w:pgSz w:w="12240" w:h="15840"/>
          <w:pgMar w:top="810" w:right="1440" w:bottom="1170" w:left="1260" w:header="720" w:footer="580" w:gutter="0"/>
          <w:cols w:space="720"/>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3366"/>
        <w:gridCol w:w="5933"/>
        <w:gridCol w:w="1213"/>
        <w:gridCol w:w="1485"/>
        <w:gridCol w:w="1853"/>
      </w:tblGrid>
      <w:tr w:rsidR="00B9436A" w:rsidRPr="009E0427" w14:paraId="69FC5B49" w14:textId="77777777" w:rsidTr="00B9436A">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0347866B" w14:textId="0A023243" w:rsidR="00B9436A" w:rsidRPr="00AA3F16" w:rsidRDefault="00B9436A" w:rsidP="00B9436A">
            <w:pPr>
              <w:widowControl w:val="0"/>
              <w:pBdr>
                <w:top w:val="nil"/>
                <w:left w:val="nil"/>
                <w:bottom w:val="nil"/>
                <w:right w:val="nil"/>
                <w:between w:val="nil"/>
              </w:pBdr>
              <w:rPr>
                <w:rFonts w:eastAsia="Arial" w:cs="Arial"/>
                <w:b/>
                <w:i/>
                <w:color w:val="000000"/>
                <w:sz w:val="21"/>
                <w:szCs w:val="21"/>
                <w:lang w:val="es-ES" w:eastAsia="en-GB"/>
              </w:rPr>
            </w:pPr>
            <w:r w:rsidRPr="00AA3F16">
              <w:rPr>
                <w:rFonts w:eastAsia="Arial" w:cs="Arial"/>
                <w:b/>
                <w:iCs/>
                <w:color w:val="000000"/>
                <w:sz w:val="21"/>
                <w:szCs w:val="21"/>
                <w:lang w:val="es-ES" w:eastAsia="es-ES"/>
              </w:rPr>
              <w:lastRenderedPageBreak/>
              <w:t>Tabla 6:</w:t>
            </w:r>
            <w:r w:rsidRPr="00AA3F16">
              <w:rPr>
                <w:rFonts w:eastAsia="Arial" w:cs="Arial"/>
                <w:b/>
                <w:i/>
                <w:color w:val="000000"/>
                <w:sz w:val="21"/>
                <w:szCs w:val="21"/>
                <w:lang w:val="es-ES" w:eastAsia="es-ES"/>
              </w:rPr>
              <w:t xml:space="preserve"> Objetivo 1 – </w:t>
            </w:r>
            <w:r w:rsidRPr="00AA3F16">
              <w:rPr>
                <w:rFonts w:eastAsia="Arial" w:cs="Arial"/>
                <w:b/>
                <w:iCs/>
                <w:color w:val="000000"/>
                <w:sz w:val="21"/>
                <w:szCs w:val="21"/>
                <w:lang w:val="es-ES" w:eastAsia="es-ES"/>
              </w:rPr>
              <w:t xml:space="preserve">Asegurar la protección adecuada a nivel de especie para el Angelote </w:t>
            </w:r>
            <w:proofErr w:type="spellStart"/>
            <w:r w:rsidRPr="00AA3F16">
              <w:rPr>
                <w:rFonts w:eastAsia="Arial" w:cs="Arial"/>
                <w:b/>
                <w:i/>
                <w:color w:val="000000"/>
                <w:sz w:val="21"/>
                <w:szCs w:val="21"/>
                <w:lang w:val="es-ES" w:eastAsia="es-ES"/>
              </w:rPr>
              <w:t>Squatina</w:t>
            </w:r>
            <w:proofErr w:type="spellEnd"/>
            <w:r w:rsidRPr="00AA3F16">
              <w:rPr>
                <w:rFonts w:eastAsia="Arial" w:cs="Arial"/>
                <w:b/>
                <w:i/>
                <w:color w:val="000000"/>
                <w:sz w:val="21"/>
                <w:szCs w:val="21"/>
                <w:lang w:val="es-ES" w:eastAsia="es-ES"/>
              </w:rPr>
              <w:t xml:space="preserve"> </w:t>
            </w:r>
            <w:proofErr w:type="spellStart"/>
            <w:r w:rsidRPr="00AA3F16">
              <w:rPr>
                <w:rFonts w:eastAsia="Arial" w:cs="Arial"/>
                <w:b/>
                <w:i/>
                <w:color w:val="000000"/>
                <w:sz w:val="21"/>
                <w:szCs w:val="21"/>
                <w:lang w:val="es-ES" w:eastAsia="es-ES"/>
              </w:rPr>
              <w:t>squatina</w:t>
            </w:r>
            <w:proofErr w:type="spellEnd"/>
            <w:r w:rsidRPr="00AA3F16">
              <w:rPr>
                <w:rFonts w:eastAsia="Arial" w:cs="Arial"/>
                <w:b/>
                <w:i/>
                <w:color w:val="000000"/>
                <w:sz w:val="21"/>
                <w:szCs w:val="21"/>
                <w:lang w:val="es-ES" w:eastAsia="es-ES"/>
              </w:rPr>
              <w:t xml:space="preserve"> </w:t>
            </w:r>
          </w:p>
        </w:tc>
      </w:tr>
      <w:tr w:rsidR="00B9436A" w:rsidRPr="009E0427" w14:paraId="17B6222D" w14:textId="77777777" w:rsidTr="00B9436A">
        <w:tc>
          <w:tcPr>
            <w:tcW w:w="1215" w:type="pct"/>
            <w:tcBorders>
              <w:top w:val="single" w:sz="4" w:space="0" w:color="000000"/>
              <w:left w:val="single" w:sz="4" w:space="0" w:color="000000"/>
              <w:bottom w:val="single" w:sz="4" w:space="0" w:color="000000"/>
              <w:right w:val="single" w:sz="4" w:space="0" w:color="000000"/>
            </w:tcBorders>
          </w:tcPr>
          <w:p w14:paraId="1146E401"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Resultado</w:t>
            </w:r>
          </w:p>
        </w:tc>
        <w:tc>
          <w:tcPr>
            <w:tcW w:w="2142" w:type="pct"/>
            <w:tcBorders>
              <w:top w:val="single" w:sz="4" w:space="0" w:color="000000"/>
              <w:left w:val="single" w:sz="4" w:space="0" w:color="000000"/>
              <w:bottom w:val="single" w:sz="4" w:space="0" w:color="000000"/>
              <w:right w:val="single" w:sz="4" w:space="0" w:color="000000"/>
            </w:tcBorders>
          </w:tcPr>
          <w:p w14:paraId="67A5B4BB"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Acción</w:t>
            </w:r>
          </w:p>
        </w:tc>
        <w:tc>
          <w:tcPr>
            <w:tcW w:w="438" w:type="pct"/>
            <w:tcBorders>
              <w:top w:val="single" w:sz="4" w:space="0" w:color="000000"/>
              <w:left w:val="single" w:sz="4" w:space="0" w:color="000000"/>
              <w:bottom w:val="single" w:sz="4" w:space="0" w:color="000000"/>
              <w:right w:val="single" w:sz="4" w:space="0" w:color="000000"/>
            </w:tcBorders>
          </w:tcPr>
          <w:p w14:paraId="5B1356E1"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Prioridad</w:t>
            </w:r>
          </w:p>
        </w:tc>
        <w:tc>
          <w:tcPr>
            <w:tcW w:w="536" w:type="pct"/>
            <w:tcBorders>
              <w:top w:val="single" w:sz="4" w:space="0" w:color="000000"/>
              <w:left w:val="single" w:sz="4" w:space="0" w:color="000000"/>
              <w:bottom w:val="single" w:sz="4" w:space="0" w:color="000000"/>
              <w:right w:val="single" w:sz="4" w:space="0" w:color="000000"/>
            </w:tcBorders>
          </w:tcPr>
          <w:p w14:paraId="0FF8D3A0"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Escala temporal</w:t>
            </w:r>
          </w:p>
        </w:tc>
        <w:tc>
          <w:tcPr>
            <w:tcW w:w="669" w:type="pct"/>
            <w:tcBorders>
              <w:top w:val="single" w:sz="4" w:space="0" w:color="000000"/>
              <w:left w:val="single" w:sz="4" w:space="0" w:color="000000"/>
              <w:bottom w:val="single" w:sz="4" w:space="0" w:color="000000"/>
              <w:right w:val="single" w:sz="4" w:space="0" w:color="000000"/>
            </w:tcBorders>
          </w:tcPr>
          <w:p w14:paraId="57DB6B74" w14:textId="77777777" w:rsidR="00B9436A" w:rsidRPr="00AA3F16" w:rsidRDefault="00B9436A" w:rsidP="00B9436A">
            <w:pPr>
              <w:widowControl w:val="0"/>
              <w:pBdr>
                <w:top w:val="nil"/>
                <w:left w:val="nil"/>
                <w:bottom w:val="nil"/>
                <w:right w:val="nil"/>
                <w:between w:val="nil"/>
              </w:pBdr>
              <w:rPr>
                <w:rFonts w:eastAsia="Times New Roman" w:cs="Arial"/>
                <w:b/>
                <w:bCs/>
                <w:i/>
                <w:iCs/>
                <w:sz w:val="21"/>
                <w:szCs w:val="21"/>
                <w:lang w:val="es-ES" w:eastAsia="en-GB"/>
              </w:rPr>
            </w:pPr>
            <w:r w:rsidRPr="00AA3F16">
              <w:rPr>
                <w:rFonts w:eastAsia="Times New Roman" w:cs="Arial"/>
                <w:b/>
                <w:bCs/>
                <w:i/>
                <w:iCs/>
                <w:sz w:val="21"/>
                <w:szCs w:val="21"/>
                <w:lang w:val="es-ES" w:eastAsia="es-ES"/>
              </w:rPr>
              <w:t>Estados del área de distribución responsables</w:t>
            </w:r>
          </w:p>
        </w:tc>
      </w:tr>
      <w:tr w:rsidR="00B9436A" w:rsidRPr="009E0427" w14:paraId="4386094D" w14:textId="77777777" w:rsidTr="00B9436A">
        <w:trPr>
          <w:trHeight w:val="772"/>
        </w:trPr>
        <w:tc>
          <w:tcPr>
            <w:tcW w:w="1215" w:type="pct"/>
            <w:vMerge w:val="restart"/>
            <w:tcBorders>
              <w:top w:val="single" w:sz="4" w:space="0" w:color="000000"/>
              <w:left w:val="single" w:sz="4" w:space="0" w:color="000000"/>
              <w:bottom w:val="single" w:sz="4" w:space="0" w:color="000000"/>
              <w:right w:val="single" w:sz="4" w:space="0" w:color="000000"/>
            </w:tcBorders>
          </w:tcPr>
          <w:p w14:paraId="4149D471"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 xml:space="preserve">Protección apropiada de la especie en línea con lo enumerado en el Anexo I de la CMS y aplicación o presentación de las recomendaciones del CGPM (CGPM/42/2018/2 y CGPM/44/2021/16) para el Angelote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 xml:space="preserve">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w:t>
            </w:r>
            <w:r w:rsidRPr="00AA3F16">
              <w:rPr>
                <w:rFonts w:eastAsia="Arial" w:cs="Arial"/>
                <w:color w:val="000000"/>
                <w:sz w:val="21"/>
                <w:szCs w:val="21"/>
                <w:lang w:val="es-ES" w:eastAsia="es-ES"/>
              </w:rPr>
              <w:t xml:space="preserve">. </w:t>
            </w:r>
          </w:p>
          <w:p w14:paraId="4867C074"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p>
          <w:p w14:paraId="4F4EEDF8"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Puede ser necesario aplicar dicha protección tanto a las pesquerías comerciales como recreacionales (debiéndose considerar también otras fuentes potenciales de mortalidad antropogénicas), a fin de cumplir totalmente con las obligaciones de protección de las especies enumeradas en el Anexo I de la CMS.</w:t>
            </w:r>
          </w:p>
          <w:p w14:paraId="220C160B"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p>
          <w:p w14:paraId="44B65A65"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Un programa de concienciación que garantice que las partes interesadas son conocedoras de la normativa que protege a los Angelotes, junto con la supervisión posterior del cumplimiento y entrada en vigor, en caso necesario.</w:t>
            </w:r>
          </w:p>
          <w:p w14:paraId="22B6A996"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p>
          <w:p w14:paraId="5494B19D"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p>
          <w:p w14:paraId="676EB0DF"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p>
          <w:p w14:paraId="1C8436E0"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lastRenderedPageBreak/>
              <w:t>[* y otras especies relevantes]</w:t>
            </w:r>
          </w:p>
        </w:tc>
        <w:tc>
          <w:tcPr>
            <w:tcW w:w="2142" w:type="pct"/>
            <w:tcBorders>
              <w:top w:val="single" w:sz="4" w:space="0" w:color="000000"/>
              <w:left w:val="single" w:sz="4" w:space="0" w:color="000000"/>
              <w:bottom w:val="single" w:sz="4" w:space="0" w:color="000000"/>
              <w:right w:val="single" w:sz="4" w:space="0" w:color="000000"/>
            </w:tcBorders>
          </w:tcPr>
          <w:p w14:paraId="1739FD61" w14:textId="19908094"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lastRenderedPageBreak/>
              <w:t>1.1 Prohibición en las normativas pesqueras: garantizar que las normativas pesqueras garanticen la prohibición de pescar, retener, transportar en embarcación, y desembarcar la especie Angelote (</w:t>
            </w:r>
            <w:proofErr w:type="spellStart"/>
            <w:r w:rsidRPr="00AA3F16">
              <w:rPr>
                <w:rFonts w:eastAsia="Arial" w:cs="Arial"/>
                <w:i/>
                <w:iCs/>
                <w:color w:val="000000"/>
                <w:sz w:val="21"/>
                <w:szCs w:val="21"/>
                <w:lang w:val="es-ES" w:eastAsia="es-ES"/>
              </w:rPr>
              <w:t>Squatina</w:t>
            </w:r>
            <w:proofErr w:type="spellEnd"/>
            <w:r w:rsidRPr="00AA3F16">
              <w:rPr>
                <w:rFonts w:eastAsia="Arial" w:cs="Arial"/>
                <w:i/>
                <w:iCs/>
                <w:color w:val="000000"/>
                <w:sz w:val="21"/>
                <w:szCs w:val="21"/>
                <w:lang w:val="es-ES" w:eastAsia="es-ES"/>
              </w:rPr>
              <w:t xml:space="preserve"> </w:t>
            </w:r>
            <w:proofErr w:type="spellStart"/>
            <w:r w:rsidRPr="00AA3F16">
              <w:rPr>
                <w:rFonts w:eastAsia="Arial" w:cs="Arial"/>
                <w:color w:val="000000"/>
                <w:sz w:val="21"/>
                <w:szCs w:val="21"/>
                <w:lang w:val="es-ES" w:eastAsia="es-ES"/>
              </w:rPr>
              <w:t>spp</w:t>
            </w:r>
            <w:proofErr w:type="spellEnd"/>
            <w:r w:rsidRPr="00AA3F16">
              <w:rPr>
                <w:rFonts w:eastAsia="Arial" w:cs="Arial"/>
                <w:color w:val="000000"/>
                <w:sz w:val="21"/>
                <w:szCs w:val="21"/>
                <w:lang w:val="es-ES" w:eastAsia="es-ES"/>
              </w:rPr>
              <w:t>.) en apoyo a las recomendaciones de la CGPM: CGPM/42/2018/2 y CGPM/44/2021/16. Deberá tenerse en cuenta también la prohibición de capturas accidentales del Angelote Manchado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 xml:space="preserve"> </w:t>
            </w:r>
            <w:r w:rsidR="000C52AC" w:rsidRPr="00AA3F16">
              <w:rPr>
                <w:rFonts w:eastAsia="Arial" w:cs="Arial"/>
                <w:i/>
                <w:sz w:val="21"/>
                <w:szCs w:val="21"/>
                <w:lang w:val="es-ES" w:eastAsia="es-ES"/>
              </w:rPr>
              <w:pgNum/>
            </w:r>
            <w:proofErr w:type="spellStart"/>
            <w:r w:rsidR="000C52AC" w:rsidRPr="00AA3F16">
              <w:rPr>
                <w:rFonts w:eastAsia="Arial" w:cs="Arial"/>
                <w:i/>
                <w:sz w:val="21"/>
                <w:szCs w:val="21"/>
                <w:lang w:val="es-ES" w:eastAsia="es-ES"/>
              </w:rPr>
              <w:t>culate</w:t>
            </w:r>
            <w:proofErr w:type="spellEnd"/>
            <w:r w:rsidRPr="00AA3F16">
              <w:rPr>
                <w:rFonts w:eastAsia="Arial" w:cs="Arial"/>
                <w:i/>
                <w:color w:val="000000"/>
                <w:sz w:val="21"/>
                <w:szCs w:val="21"/>
                <w:lang w:val="es-ES" w:eastAsia="es-ES"/>
              </w:rPr>
              <w:t xml:space="preserve">) </w:t>
            </w:r>
            <w:r w:rsidRPr="00AA3F16">
              <w:rPr>
                <w:rFonts w:eastAsia="Arial" w:cs="Arial"/>
                <w:color w:val="000000"/>
                <w:sz w:val="21"/>
                <w:szCs w:val="21"/>
                <w:lang w:val="es-ES" w:eastAsia="es-ES"/>
              </w:rPr>
              <w:t>y el Angelote Espinado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 xml:space="preserve"> </w:t>
            </w:r>
            <w:proofErr w:type="spellStart"/>
            <w:r w:rsidRPr="00AA3F16">
              <w:rPr>
                <w:rFonts w:eastAsia="Arial" w:cs="Arial"/>
                <w:i/>
                <w:color w:val="000000"/>
                <w:sz w:val="21"/>
                <w:szCs w:val="21"/>
                <w:lang w:val="es-ES" w:eastAsia="es-ES"/>
              </w:rPr>
              <w:t>aculeata</w:t>
            </w:r>
            <w:proofErr w:type="spellEnd"/>
            <w:r w:rsidRPr="00AA3F16">
              <w:rPr>
                <w:rFonts w:eastAsia="Arial" w:cs="Arial"/>
                <w:i/>
                <w:color w:val="000000"/>
                <w:sz w:val="21"/>
                <w:szCs w:val="21"/>
                <w:lang w:val="es-ES" w:eastAsia="es-ES"/>
              </w:rPr>
              <w:t>)</w:t>
            </w:r>
            <w:r w:rsidRPr="00AA3F16">
              <w:rPr>
                <w:rFonts w:eastAsia="Arial" w:cs="Arial"/>
                <w:color w:val="000000"/>
                <w:sz w:val="21"/>
                <w:szCs w:val="21"/>
                <w:lang w:val="es-ES" w:eastAsia="es-ES"/>
              </w:rPr>
              <w:t xml:space="preserve"> debido a la dificultad para identificar y distinguir las tres especies de Angelotes que se encuentran en el Mediterráneo. </w:t>
            </w:r>
          </w:p>
        </w:tc>
        <w:tc>
          <w:tcPr>
            <w:tcW w:w="438" w:type="pct"/>
            <w:tcBorders>
              <w:top w:val="single" w:sz="4" w:space="0" w:color="000000"/>
              <w:left w:val="single" w:sz="4" w:space="0" w:color="000000"/>
              <w:bottom w:val="single" w:sz="4" w:space="0" w:color="000000"/>
              <w:right w:val="single" w:sz="4" w:space="0" w:color="000000"/>
            </w:tcBorders>
          </w:tcPr>
          <w:p w14:paraId="26BA2916"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Esencial</w:t>
            </w:r>
          </w:p>
        </w:tc>
        <w:tc>
          <w:tcPr>
            <w:tcW w:w="536" w:type="pct"/>
            <w:tcBorders>
              <w:top w:val="single" w:sz="4" w:space="0" w:color="000000"/>
              <w:left w:val="single" w:sz="4" w:space="0" w:color="000000"/>
              <w:bottom w:val="single" w:sz="4" w:space="0" w:color="000000"/>
              <w:right w:val="single" w:sz="4" w:space="0" w:color="000000"/>
            </w:tcBorders>
          </w:tcPr>
          <w:p w14:paraId="4EC70955"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Inmediata</w:t>
            </w:r>
          </w:p>
        </w:tc>
        <w:tc>
          <w:tcPr>
            <w:tcW w:w="669" w:type="pct"/>
            <w:tcBorders>
              <w:top w:val="single" w:sz="4" w:space="0" w:color="000000"/>
              <w:left w:val="single" w:sz="4" w:space="0" w:color="000000"/>
              <w:bottom w:val="single" w:sz="4" w:space="0" w:color="000000"/>
              <w:right w:val="single" w:sz="4" w:space="0" w:color="000000"/>
            </w:tcBorders>
          </w:tcPr>
          <w:p w14:paraId="44BDE1A3"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B9436A" w:rsidRPr="009E0427" w14:paraId="0A781D2D" w14:textId="77777777" w:rsidTr="00B9436A">
        <w:trPr>
          <w:trHeight w:val="1060"/>
        </w:trPr>
        <w:tc>
          <w:tcPr>
            <w:tcW w:w="1215" w:type="pct"/>
            <w:vMerge/>
            <w:tcBorders>
              <w:top w:val="single" w:sz="4" w:space="0" w:color="000000"/>
              <w:left w:val="single" w:sz="4" w:space="0" w:color="000000"/>
              <w:bottom w:val="single" w:sz="4" w:space="0" w:color="000000"/>
              <w:right w:val="single" w:sz="4" w:space="0" w:color="000000"/>
            </w:tcBorders>
          </w:tcPr>
          <w:p w14:paraId="081F95B5" w14:textId="77777777" w:rsidR="00B9436A" w:rsidRPr="00AA3F16" w:rsidRDefault="00B9436A" w:rsidP="00B9436A">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2" w:type="pct"/>
            <w:tcBorders>
              <w:top w:val="single" w:sz="4" w:space="0" w:color="000000"/>
              <w:left w:val="single" w:sz="4" w:space="0" w:color="000000"/>
              <w:bottom w:val="single" w:sz="4" w:space="0" w:color="000000"/>
              <w:right w:val="single" w:sz="4" w:space="0" w:color="000000"/>
            </w:tcBorders>
          </w:tcPr>
          <w:p w14:paraId="3EBF0636"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1.2 Protección de la especie: establecer protección nacional a nivel de especie frente al daño, captura y pesca deliberada del Angelote. Esto es de particular importancia para aquellas naciones donde las normativas de especies prohibidas (véase 1.1) solo se aplican a las embarcaciones pesqueras comerciales, puesto que puede requerirse protección adicional frente a otras fuentes de mortalidad potencial (p. ej., pesquerías de tipo tradicional o recreacional).</w:t>
            </w:r>
          </w:p>
        </w:tc>
        <w:tc>
          <w:tcPr>
            <w:tcW w:w="438" w:type="pct"/>
            <w:tcBorders>
              <w:top w:val="single" w:sz="4" w:space="0" w:color="000000"/>
              <w:left w:val="single" w:sz="4" w:space="0" w:color="000000"/>
              <w:bottom w:val="single" w:sz="4" w:space="0" w:color="000000"/>
              <w:right w:val="single" w:sz="4" w:space="0" w:color="000000"/>
            </w:tcBorders>
          </w:tcPr>
          <w:p w14:paraId="415E2E11"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Esencial</w:t>
            </w:r>
          </w:p>
        </w:tc>
        <w:tc>
          <w:tcPr>
            <w:tcW w:w="536" w:type="pct"/>
            <w:tcBorders>
              <w:top w:val="single" w:sz="4" w:space="0" w:color="000000"/>
              <w:left w:val="single" w:sz="4" w:space="0" w:color="000000"/>
              <w:bottom w:val="single" w:sz="4" w:space="0" w:color="000000"/>
              <w:right w:val="single" w:sz="4" w:space="0" w:color="000000"/>
            </w:tcBorders>
          </w:tcPr>
          <w:p w14:paraId="551A23F5"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Breve</w:t>
            </w:r>
          </w:p>
        </w:tc>
        <w:tc>
          <w:tcPr>
            <w:tcW w:w="669" w:type="pct"/>
            <w:tcBorders>
              <w:top w:val="single" w:sz="4" w:space="0" w:color="000000"/>
              <w:left w:val="single" w:sz="4" w:space="0" w:color="000000"/>
              <w:bottom w:val="single" w:sz="4" w:space="0" w:color="000000"/>
              <w:right w:val="single" w:sz="4" w:space="0" w:color="000000"/>
            </w:tcBorders>
          </w:tcPr>
          <w:p w14:paraId="1227586E" w14:textId="16F87B08" w:rsidR="00B9436A" w:rsidRPr="00AA3F16" w:rsidRDefault="00B9436A" w:rsidP="00FB553F">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B9436A" w:rsidRPr="009E0427" w14:paraId="30AF0D06" w14:textId="77777777" w:rsidTr="00B9436A">
        <w:trPr>
          <w:trHeight w:val="801"/>
        </w:trPr>
        <w:tc>
          <w:tcPr>
            <w:tcW w:w="1215" w:type="pct"/>
            <w:vMerge/>
            <w:tcBorders>
              <w:top w:val="single" w:sz="4" w:space="0" w:color="000000"/>
              <w:left w:val="single" w:sz="4" w:space="0" w:color="000000"/>
              <w:bottom w:val="single" w:sz="4" w:space="0" w:color="000000"/>
              <w:right w:val="single" w:sz="4" w:space="0" w:color="000000"/>
            </w:tcBorders>
          </w:tcPr>
          <w:p w14:paraId="3D03F714" w14:textId="77777777" w:rsidR="00B9436A" w:rsidRPr="00AA3F16" w:rsidRDefault="00B9436A" w:rsidP="00B9436A">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2" w:type="pct"/>
            <w:tcBorders>
              <w:top w:val="single" w:sz="4" w:space="0" w:color="000000"/>
              <w:left w:val="single" w:sz="4" w:space="0" w:color="000000"/>
              <w:bottom w:val="single" w:sz="4" w:space="0" w:color="000000"/>
              <w:right w:val="single" w:sz="4" w:space="0" w:color="000000"/>
            </w:tcBorders>
          </w:tcPr>
          <w:p w14:paraId="5C2A88CA"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 xml:space="preserve">1.3 Programas de concienciación: iniciar programas de formación y concienciación con los grupos de partes interesadas relevantes tanto en el sector pesquero (p. ej., agentes de la autoridad, industria pesquera, mercados de pescado) como en el sector recreacional (p. ej., pescadores recreacionales, practicantes de pesca submarina y buceadores aficionados) en referencia al estado protegido y/o de prohibición de los Angelotes centrándose en particular en la identificación de las especies para distinguir entre los tres tipos de </w:t>
            </w:r>
            <w:proofErr w:type="spellStart"/>
            <w:r w:rsidRPr="00AA3F16">
              <w:rPr>
                <w:rFonts w:eastAsia="Arial" w:cs="Arial"/>
                <w:i/>
                <w:iCs/>
                <w:color w:val="000000"/>
                <w:sz w:val="21"/>
                <w:szCs w:val="21"/>
                <w:lang w:val="es-ES" w:eastAsia="es-ES"/>
              </w:rPr>
              <w:t>Squatina</w:t>
            </w:r>
            <w:proofErr w:type="spellEnd"/>
            <w:r w:rsidRPr="00AA3F16">
              <w:rPr>
                <w:rFonts w:eastAsia="Arial" w:cs="Arial"/>
                <w:i/>
                <w:iCs/>
                <w:color w:val="000000"/>
                <w:sz w:val="21"/>
                <w:szCs w:val="21"/>
                <w:lang w:val="es-ES" w:eastAsia="es-ES"/>
              </w:rPr>
              <w:t xml:space="preserve"> </w:t>
            </w:r>
            <w:proofErr w:type="spellStart"/>
            <w:r w:rsidRPr="00AA3F16">
              <w:rPr>
                <w:rFonts w:eastAsia="Arial" w:cs="Arial"/>
                <w:color w:val="000000"/>
                <w:sz w:val="21"/>
                <w:szCs w:val="21"/>
                <w:lang w:val="es-ES" w:eastAsia="es-ES"/>
              </w:rPr>
              <w:t>spp</w:t>
            </w:r>
            <w:proofErr w:type="spellEnd"/>
            <w:r w:rsidRPr="00AA3F16">
              <w:rPr>
                <w:rFonts w:eastAsia="Arial" w:cs="Arial"/>
                <w:color w:val="000000"/>
                <w:sz w:val="21"/>
                <w:szCs w:val="21"/>
                <w:lang w:val="es-ES" w:eastAsia="es-ES"/>
              </w:rPr>
              <w:t>.</w:t>
            </w:r>
            <w:r w:rsidRPr="00AA3F16">
              <w:rPr>
                <w:rFonts w:eastAsia="Arial" w:cs="Arial"/>
                <w:i/>
                <w:iCs/>
                <w:color w:val="000000"/>
                <w:sz w:val="21"/>
                <w:szCs w:val="21"/>
                <w:lang w:val="es-ES" w:eastAsia="es-ES"/>
              </w:rPr>
              <w:t>,</w:t>
            </w:r>
            <w:r w:rsidRPr="00AA3F16">
              <w:rPr>
                <w:rFonts w:eastAsia="Arial" w:cs="Arial"/>
                <w:color w:val="000000"/>
                <w:sz w:val="21"/>
                <w:szCs w:val="21"/>
                <w:lang w:val="es-ES" w:eastAsia="es-ES"/>
              </w:rPr>
              <w:t xml:space="preserve"> pero también con objeto de clasificación puesto que normalmente se informa de los </w:t>
            </w:r>
            <w:r w:rsidRPr="00AA3F16">
              <w:rPr>
                <w:rFonts w:eastAsia="Arial" w:cs="Arial"/>
                <w:color w:val="000000"/>
                <w:sz w:val="21"/>
                <w:szCs w:val="21"/>
                <w:lang w:val="es-ES" w:eastAsia="es-ES"/>
              </w:rPr>
              <w:lastRenderedPageBreak/>
              <w:t xml:space="preserve">Angelotes como mantarrayas </w:t>
            </w:r>
            <w:r w:rsidRPr="00AA3F16">
              <w:rPr>
                <w:rFonts w:eastAsia="Arial" w:cs="Arial"/>
                <w:sz w:val="21"/>
                <w:szCs w:val="21"/>
                <w:lang w:val="es-ES" w:eastAsia="es-ES"/>
              </w:rPr>
              <w:t xml:space="preserve">y no como tiburones. Compartir recursos ya desarrollados por el Proyecto de la especie Angelote para </w:t>
            </w:r>
            <w:hyperlink r:id="rId30" w:history="1">
              <w:r w:rsidRPr="00AA3F16">
                <w:rPr>
                  <w:rFonts w:eastAsia="Arial" w:cs="Arial"/>
                  <w:sz w:val="21"/>
                  <w:szCs w:val="21"/>
                  <w:u w:val="single"/>
                  <w:lang w:val="es-ES" w:eastAsia="es-ES"/>
                </w:rPr>
                <w:t>una mejor práctica en la liberación segura de los Angelotes</w:t>
              </w:r>
            </w:hyperlink>
            <w:r w:rsidRPr="00AA3F16">
              <w:rPr>
                <w:rFonts w:eastAsia="Arial" w:cs="Arial"/>
                <w:sz w:val="21"/>
                <w:szCs w:val="21"/>
                <w:lang w:val="es-ES" w:eastAsia="es-ES"/>
              </w:rPr>
              <w:t>, en caso de ser capturados incidentalmente y respecto a un mapa de avistamiento de la especie Angelote para informar de los avistamientos.</w:t>
            </w:r>
          </w:p>
        </w:tc>
        <w:tc>
          <w:tcPr>
            <w:tcW w:w="438" w:type="pct"/>
            <w:tcBorders>
              <w:top w:val="single" w:sz="4" w:space="0" w:color="000000"/>
              <w:left w:val="single" w:sz="4" w:space="0" w:color="000000"/>
              <w:bottom w:val="single" w:sz="4" w:space="0" w:color="000000"/>
              <w:right w:val="single" w:sz="4" w:space="0" w:color="000000"/>
            </w:tcBorders>
          </w:tcPr>
          <w:p w14:paraId="66CE9502"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lastRenderedPageBreak/>
              <w:t>Esencial</w:t>
            </w:r>
          </w:p>
        </w:tc>
        <w:tc>
          <w:tcPr>
            <w:tcW w:w="536" w:type="pct"/>
            <w:tcBorders>
              <w:top w:val="single" w:sz="4" w:space="0" w:color="000000"/>
              <w:left w:val="single" w:sz="4" w:space="0" w:color="000000"/>
              <w:bottom w:val="single" w:sz="4" w:space="0" w:color="000000"/>
              <w:right w:val="single" w:sz="4" w:space="0" w:color="000000"/>
            </w:tcBorders>
          </w:tcPr>
          <w:p w14:paraId="1E374F96"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 xml:space="preserve"> Media </w:t>
            </w:r>
          </w:p>
        </w:tc>
        <w:tc>
          <w:tcPr>
            <w:tcW w:w="669" w:type="pct"/>
            <w:tcBorders>
              <w:top w:val="single" w:sz="4" w:space="0" w:color="000000"/>
              <w:left w:val="single" w:sz="4" w:space="0" w:color="000000"/>
              <w:bottom w:val="single" w:sz="4" w:space="0" w:color="000000"/>
              <w:right w:val="single" w:sz="4" w:space="0" w:color="000000"/>
            </w:tcBorders>
          </w:tcPr>
          <w:p w14:paraId="4AF4E982"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B9436A" w:rsidRPr="009E0427" w14:paraId="326E2AFC" w14:textId="77777777" w:rsidTr="00B9436A">
        <w:trPr>
          <w:trHeight w:val="1235"/>
        </w:trPr>
        <w:tc>
          <w:tcPr>
            <w:tcW w:w="1215" w:type="pct"/>
            <w:vMerge/>
            <w:tcBorders>
              <w:top w:val="single" w:sz="4" w:space="0" w:color="000000"/>
              <w:left w:val="single" w:sz="4" w:space="0" w:color="000000"/>
              <w:bottom w:val="single" w:sz="4" w:space="0" w:color="000000"/>
              <w:right w:val="single" w:sz="4" w:space="0" w:color="000000"/>
            </w:tcBorders>
          </w:tcPr>
          <w:p w14:paraId="46936F21" w14:textId="77777777" w:rsidR="00B9436A" w:rsidRPr="00AA3F16" w:rsidRDefault="00B9436A" w:rsidP="00B9436A">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2" w:type="pct"/>
            <w:tcBorders>
              <w:top w:val="single" w:sz="4" w:space="0" w:color="000000"/>
              <w:left w:val="single" w:sz="4" w:space="0" w:color="000000"/>
              <w:bottom w:val="single" w:sz="4" w:space="0" w:color="000000"/>
              <w:right w:val="single" w:sz="4" w:space="0" w:color="000000"/>
            </w:tcBorders>
          </w:tcPr>
          <w:p w14:paraId="211B1790"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1.4 Supervisión y aplicación: asegurar que los encargados de aplicar la ley emprenden una supervisión apropiada de las pesquerías y desembarques comerciales, en particular, en relación con aquellas flotas que tienen más probabilidad de encontrarse Angelotes. Desarrollar, o ampliar, el marco de información nacional para recopilar el número de inspecciones realizadas (por puerto, flota y mes) y aquellas situaciones de infracción al respecto del Angelote.</w:t>
            </w:r>
          </w:p>
        </w:tc>
        <w:tc>
          <w:tcPr>
            <w:tcW w:w="438" w:type="pct"/>
            <w:tcBorders>
              <w:top w:val="single" w:sz="4" w:space="0" w:color="000000"/>
              <w:left w:val="single" w:sz="4" w:space="0" w:color="000000"/>
              <w:bottom w:val="single" w:sz="4" w:space="0" w:color="000000"/>
              <w:right w:val="single" w:sz="4" w:space="0" w:color="000000"/>
            </w:tcBorders>
          </w:tcPr>
          <w:p w14:paraId="2763A93C"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36" w:type="pct"/>
            <w:tcBorders>
              <w:top w:val="single" w:sz="4" w:space="0" w:color="000000"/>
              <w:left w:val="single" w:sz="4" w:space="0" w:color="000000"/>
              <w:bottom w:val="single" w:sz="4" w:space="0" w:color="000000"/>
              <w:right w:val="single" w:sz="4" w:space="0" w:color="000000"/>
            </w:tcBorders>
          </w:tcPr>
          <w:p w14:paraId="356025EF"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w:t>
            </w:r>
          </w:p>
        </w:tc>
        <w:tc>
          <w:tcPr>
            <w:tcW w:w="669" w:type="pct"/>
            <w:tcBorders>
              <w:top w:val="single" w:sz="4" w:space="0" w:color="000000"/>
              <w:left w:val="single" w:sz="4" w:space="0" w:color="000000"/>
              <w:bottom w:val="single" w:sz="4" w:space="0" w:color="000000"/>
              <w:right w:val="single" w:sz="4" w:space="0" w:color="000000"/>
            </w:tcBorders>
          </w:tcPr>
          <w:p w14:paraId="449C1213"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bl>
    <w:p w14:paraId="5D3509B6" w14:textId="7D0B7126" w:rsidR="00B9436A" w:rsidRPr="00AA3F16" w:rsidRDefault="00B9436A" w:rsidP="00FA5B33">
      <w:pPr>
        <w:jc w:val="both"/>
        <w:rPr>
          <w:rFonts w:cs="Arial"/>
          <w:spacing w:val="-2"/>
          <w:lang w:val="es-ES"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72" w:type="dxa"/>
          <w:right w:w="86" w:type="dxa"/>
        </w:tblCellMar>
        <w:tblLook w:val="0000" w:firstRow="0" w:lastRow="0" w:firstColumn="0" w:lastColumn="0" w:noHBand="0" w:noVBand="0"/>
      </w:tblPr>
      <w:tblGrid>
        <w:gridCol w:w="3360"/>
        <w:gridCol w:w="5928"/>
        <w:gridCol w:w="1208"/>
        <w:gridCol w:w="1504"/>
        <w:gridCol w:w="1850"/>
      </w:tblGrid>
      <w:tr w:rsidR="00B9436A" w:rsidRPr="009E0427" w14:paraId="394B54F2" w14:textId="77777777" w:rsidTr="008F749D">
        <w:trPr>
          <w:trHeight w:val="347"/>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A982188" w14:textId="64A67E7F" w:rsidR="00B9436A" w:rsidRPr="00AA3F16" w:rsidRDefault="00B9436A" w:rsidP="00B9436A">
            <w:pPr>
              <w:widowControl w:val="0"/>
              <w:pBdr>
                <w:top w:val="nil"/>
                <w:left w:val="nil"/>
                <w:bottom w:val="nil"/>
                <w:right w:val="nil"/>
                <w:between w:val="nil"/>
              </w:pBdr>
              <w:rPr>
                <w:rFonts w:eastAsia="Arial" w:cs="Arial"/>
                <w:b/>
                <w:i/>
                <w:color w:val="000000"/>
                <w:sz w:val="21"/>
                <w:szCs w:val="21"/>
                <w:lang w:val="es-ES" w:eastAsia="en-GB"/>
              </w:rPr>
            </w:pPr>
            <w:r w:rsidRPr="00AA3F16">
              <w:rPr>
                <w:rFonts w:eastAsia="Arial" w:cs="Arial"/>
                <w:b/>
                <w:iCs/>
                <w:color w:val="000000"/>
                <w:sz w:val="21"/>
                <w:szCs w:val="21"/>
                <w:lang w:val="es-ES" w:eastAsia="es-ES"/>
              </w:rPr>
              <w:lastRenderedPageBreak/>
              <w:t>Tabla 7:</w:t>
            </w:r>
            <w:r w:rsidRPr="00AA3F16">
              <w:rPr>
                <w:rFonts w:eastAsia="Arial" w:cs="Arial"/>
                <w:b/>
                <w:i/>
                <w:color w:val="000000"/>
                <w:sz w:val="21"/>
                <w:szCs w:val="21"/>
                <w:lang w:val="es-ES" w:eastAsia="es-ES"/>
              </w:rPr>
              <w:t xml:space="preserve"> Objetivo 2 – </w:t>
            </w:r>
            <w:r w:rsidRPr="00AA3F16">
              <w:rPr>
                <w:rFonts w:eastAsia="Arial" w:cs="Arial"/>
                <w:b/>
                <w:color w:val="000000"/>
                <w:sz w:val="21"/>
                <w:szCs w:val="21"/>
                <w:lang w:val="es-ES" w:eastAsia="es-ES"/>
              </w:rPr>
              <w:t xml:space="preserve">Identificación de lugares y hábitats del Angelote </w:t>
            </w:r>
            <w:proofErr w:type="spellStart"/>
            <w:r w:rsidRPr="00AA3F16">
              <w:rPr>
                <w:rFonts w:eastAsia="Arial" w:cs="Arial"/>
                <w:b/>
                <w:i/>
                <w:color w:val="000000"/>
                <w:sz w:val="21"/>
                <w:szCs w:val="21"/>
                <w:lang w:val="es-ES" w:eastAsia="es-ES"/>
              </w:rPr>
              <w:t>Squatina</w:t>
            </w:r>
            <w:proofErr w:type="spellEnd"/>
            <w:r w:rsidRPr="00AA3F16">
              <w:rPr>
                <w:rFonts w:eastAsia="Arial" w:cs="Arial"/>
                <w:b/>
                <w:i/>
                <w:color w:val="000000"/>
                <w:sz w:val="21"/>
                <w:szCs w:val="21"/>
                <w:lang w:val="es-ES" w:eastAsia="es-ES"/>
              </w:rPr>
              <w:t xml:space="preserve"> </w:t>
            </w:r>
            <w:proofErr w:type="spellStart"/>
            <w:r w:rsidRPr="00AA3F16">
              <w:rPr>
                <w:rFonts w:eastAsia="Arial" w:cs="Arial"/>
                <w:b/>
                <w:i/>
                <w:color w:val="000000"/>
                <w:sz w:val="21"/>
                <w:szCs w:val="21"/>
                <w:lang w:val="es-ES" w:eastAsia="es-ES"/>
              </w:rPr>
              <w:t>squatina</w:t>
            </w:r>
            <w:proofErr w:type="spellEnd"/>
          </w:p>
        </w:tc>
      </w:tr>
      <w:tr w:rsidR="00B9436A" w:rsidRPr="009E0427" w14:paraId="0371B75F" w14:textId="77777777" w:rsidTr="008F749D">
        <w:trPr>
          <w:trHeight w:val="406"/>
          <w:tblHeader/>
        </w:trPr>
        <w:tc>
          <w:tcPr>
            <w:tcW w:w="1213" w:type="pct"/>
            <w:tcBorders>
              <w:top w:val="single" w:sz="4" w:space="0" w:color="000000"/>
              <w:left w:val="single" w:sz="4" w:space="0" w:color="000000"/>
              <w:bottom w:val="single" w:sz="4" w:space="0" w:color="000000"/>
              <w:right w:val="single" w:sz="4" w:space="0" w:color="000000"/>
            </w:tcBorders>
            <w:vAlign w:val="center"/>
          </w:tcPr>
          <w:p w14:paraId="1A06892E"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Resultado</w:t>
            </w:r>
          </w:p>
        </w:tc>
        <w:tc>
          <w:tcPr>
            <w:tcW w:w="2140" w:type="pct"/>
            <w:tcBorders>
              <w:top w:val="single" w:sz="4" w:space="0" w:color="000000"/>
              <w:left w:val="single" w:sz="4" w:space="0" w:color="000000"/>
              <w:bottom w:val="single" w:sz="4" w:space="0" w:color="000000"/>
              <w:right w:val="single" w:sz="4" w:space="0" w:color="000000"/>
            </w:tcBorders>
            <w:vAlign w:val="center"/>
          </w:tcPr>
          <w:p w14:paraId="07C96535"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Acción</w:t>
            </w:r>
          </w:p>
        </w:tc>
        <w:tc>
          <w:tcPr>
            <w:tcW w:w="436" w:type="pct"/>
            <w:tcBorders>
              <w:top w:val="single" w:sz="4" w:space="0" w:color="000000"/>
              <w:left w:val="single" w:sz="4" w:space="0" w:color="000000"/>
              <w:bottom w:val="single" w:sz="4" w:space="0" w:color="000000"/>
              <w:right w:val="single" w:sz="4" w:space="0" w:color="000000"/>
            </w:tcBorders>
            <w:vAlign w:val="center"/>
          </w:tcPr>
          <w:p w14:paraId="543C5E45"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Prioridad</w:t>
            </w:r>
          </w:p>
        </w:tc>
        <w:tc>
          <w:tcPr>
            <w:tcW w:w="543" w:type="pct"/>
            <w:tcBorders>
              <w:top w:val="single" w:sz="4" w:space="0" w:color="000000"/>
              <w:left w:val="single" w:sz="4" w:space="0" w:color="000000"/>
              <w:bottom w:val="single" w:sz="4" w:space="0" w:color="000000"/>
              <w:right w:val="single" w:sz="4" w:space="0" w:color="000000"/>
            </w:tcBorders>
            <w:vAlign w:val="center"/>
          </w:tcPr>
          <w:p w14:paraId="2AF969DD"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Escala temporal</w:t>
            </w:r>
          </w:p>
        </w:tc>
        <w:tc>
          <w:tcPr>
            <w:tcW w:w="667" w:type="pct"/>
            <w:tcBorders>
              <w:top w:val="single" w:sz="4" w:space="0" w:color="000000"/>
              <w:left w:val="single" w:sz="4" w:space="0" w:color="000000"/>
              <w:bottom w:val="single" w:sz="4" w:space="0" w:color="000000"/>
              <w:right w:val="single" w:sz="4" w:space="0" w:color="000000"/>
            </w:tcBorders>
            <w:vAlign w:val="center"/>
          </w:tcPr>
          <w:p w14:paraId="3D5F133C" w14:textId="77777777" w:rsidR="00B9436A" w:rsidRPr="00AA3F16" w:rsidRDefault="00B9436A" w:rsidP="00B9436A">
            <w:pPr>
              <w:widowControl w:val="0"/>
              <w:pBdr>
                <w:top w:val="nil"/>
                <w:left w:val="nil"/>
                <w:bottom w:val="nil"/>
                <w:right w:val="nil"/>
                <w:between w:val="nil"/>
              </w:pBdr>
              <w:rPr>
                <w:rFonts w:eastAsia="Arial" w:cs="Arial"/>
                <w:b/>
                <w:i/>
                <w:color w:val="000000"/>
                <w:sz w:val="21"/>
                <w:szCs w:val="21"/>
                <w:lang w:val="es-ES" w:eastAsia="en-GB"/>
              </w:rPr>
            </w:pPr>
            <w:r w:rsidRPr="00AA3F16">
              <w:rPr>
                <w:rFonts w:eastAsia="Arial" w:cs="Arial"/>
                <w:b/>
                <w:i/>
                <w:color w:val="000000"/>
                <w:sz w:val="21"/>
                <w:szCs w:val="21"/>
                <w:lang w:val="es-ES" w:eastAsia="es-ES"/>
              </w:rPr>
              <w:t>Estados del área de distribución responsables</w:t>
            </w:r>
          </w:p>
        </w:tc>
      </w:tr>
      <w:tr w:rsidR="00B9436A" w:rsidRPr="009E0427" w14:paraId="59E51E8C" w14:textId="77777777" w:rsidTr="008F749D">
        <w:trPr>
          <w:trHeight w:val="4397"/>
        </w:trPr>
        <w:tc>
          <w:tcPr>
            <w:tcW w:w="1213" w:type="pct"/>
            <w:vMerge w:val="restart"/>
            <w:tcBorders>
              <w:top w:val="single" w:sz="4" w:space="0" w:color="000000"/>
              <w:left w:val="single" w:sz="4" w:space="0" w:color="000000"/>
              <w:right w:val="single" w:sz="4" w:space="0" w:color="000000"/>
            </w:tcBorders>
          </w:tcPr>
          <w:p w14:paraId="3C94716F" w14:textId="77777777" w:rsidR="00B9436A" w:rsidRPr="00AA3F16" w:rsidRDefault="00B9436A" w:rsidP="00B9436A">
            <w:pPr>
              <w:widowControl w:val="0"/>
              <w:pBdr>
                <w:top w:val="nil"/>
                <w:left w:val="nil"/>
                <w:bottom w:val="nil"/>
                <w:right w:val="nil"/>
                <w:between w:val="nil"/>
              </w:pBdr>
              <w:spacing w:before="120"/>
              <w:rPr>
                <w:rFonts w:eastAsia="Arial" w:cs="Arial"/>
                <w:color w:val="000000"/>
                <w:sz w:val="21"/>
                <w:szCs w:val="21"/>
                <w:lang w:val="es-ES" w:eastAsia="en-GB"/>
              </w:rPr>
            </w:pPr>
            <w:r w:rsidRPr="00AA3F16">
              <w:rPr>
                <w:rFonts w:eastAsia="Arial" w:cs="Arial"/>
                <w:color w:val="000000"/>
                <w:sz w:val="21"/>
                <w:szCs w:val="21"/>
                <w:lang w:val="es-ES" w:eastAsia="es-ES"/>
              </w:rPr>
              <w:t>Identificar las Áreas críticas potenciales del Angelote (CASA), tanto anteriores como actuales, y determinar el estado del Angelote en estas áreas.</w:t>
            </w:r>
          </w:p>
        </w:tc>
        <w:tc>
          <w:tcPr>
            <w:tcW w:w="2140" w:type="pct"/>
            <w:tcBorders>
              <w:top w:val="single" w:sz="4" w:space="0" w:color="000000"/>
              <w:left w:val="single" w:sz="4" w:space="0" w:color="000000"/>
              <w:bottom w:val="single" w:sz="4" w:space="0" w:color="000000"/>
              <w:right w:val="single" w:sz="4" w:space="0" w:color="000000"/>
            </w:tcBorders>
            <w:vAlign w:val="center"/>
          </w:tcPr>
          <w:p w14:paraId="25D07276"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 xml:space="preserve">2.1 Recogida de datos: Recoger datos nacionales (incluyendo tanto fuentes históricas como recientes) en relación con la presencia de Angelotes </w:t>
            </w:r>
            <w:proofErr w:type="spellStart"/>
            <w:r w:rsidRPr="00AA3F16">
              <w:rPr>
                <w:rFonts w:eastAsia="Arial" w:cs="Arial"/>
                <w:i/>
                <w:color w:val="000000"/>
                <w:sz w:val="21"/>
                <w:szCs w:val="21"/>
                <w:lang w:val="es-ES" w:eastAsia="es-ES"/>
              </w:rPr>
              <w:t>Squatina</w:t>
            </w:r>
            <w:proofErr w:type="spellEnd"/>
            <w:r w:rsidRPr="00AA3F16">
              <w:rPr>
                <w:rFonts w:eastAsia="Arial" w:cs="Arial"/>
                <w:i/>
                <w:color w:val="000000"/>
                <w:sz w:val="21"/>
                <w:szCs w:val="21"/>
                <w:lang w:val="es-ES" w:eastAsia="es-ES"/>
              </w:rPr>
              <w:t xml:space="preserve"> </w:t>
            </w:r>
            <w:proofErr w:type="spellStart"/>
            <w:r w:rsidRPr="00AA3F16">
              <w:rPr>
                <w:rFonts w:eastAsia="Arial" w:cs="Arial"/>
                <w:i/>
                <w:color w:val="000000"/>
                <w:sz w:val="21"/>
                <w:szCs w:val="21"/>
                <w:lang w:val="es-ES" w:eastAsia="es-ES"/>
              </w:rPr>
              <w:t>squatina</w:t>
            </w:r>
            <w:proofErr w:type="spellEnd"/>
            <w:r w:rsidRPr="00AA3F16">
              <w:rPr>
                <w:rFonts w:eastAsia="Arial" w:cs="Arial"/>
                <w:color w:val="000000"/>
                <w:sz w:val="21"/>
                <w:szCs w:val="21"/>
                <w:lang w:val="es-ES" w:eastAsia="es-ES"/>
              </w:rPr>
              <w:t xml:space="preserve"> (y sus taxones hermanos) de fuentes relevantes (incluyendo estudios publicados, datos de pesquerías comerciales y recreacionales, datos del mercado del pescado, entrevistas con pescadores y buceadores, programas de ciencia ciudadana, datos de estudios de pesca de arrastre, datos de observadores descartados, especímenes de museos, recursos históricos y datos de estudios sobre el Angelote) para documentar mejor la ocurrencia histórica y reciente de los Angelotes en aguas nacionales. Tales datos también se podrán completar a través de datos recabados sobre la presencia actual del Angelote haciendo uso de las redes sociales.</w:t>
            </w:r>
          </w:p>
          <w:p w14:paraId="48C3E91D"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p>
          <w:p w14:paraId="1ED2EBFB" w14:textId="77777777" w:rsidR="00B9436A" w:rsidRPr="00AA3F16" w:rsidRDefault="00B9436A" w:rsidP="00B9436A">
            <w:pPr>
              <w:widowControl w:val="0"/>
              <w:pBdr>
                <w:top w:val="nil"/>
                <w:left w:val="nil"/>
                <w:bottom w:val="nil"/>
                <w:right w:val="nil"/>
                <w:between w:val="nil"/>
              </w:pBdr>
              <w:jc w:val="both"/>
              <w:rPr>
                <w:rFonts w:eastAsia="Arial" w:cs="Arial"/>
                <w:iCs/>
                <w:color w:val="000000"/>
                <w:sz w:val="21"/>
                <w:szCs w:val="21"/>
                <w:lang w:val="es-ES" w:eastAsia="en-GB"/>
              </w:rPr>
            </w:pPr>
            <w:r w:rsidRPr="00AA3F16">
              <w:rPr>
                <w:rFonts w:eastAsia="Arial" w:cs="Arial"/>
                <w:color w:val="000000"/>
                <w:sz w:val="21"/>
                <w:szCs w:val="21"/>
                <w:lang w:val="es-ES" w:eastAsia="es-ES"/>
              </w:rPr>
              <w:t xml:space="preserve">Dichos datos podrían recopilarse de forma práctica en un formato común (véase el Anexo II), con institutos que recaben datos nacionales colaborando con otros institutos nacionales a fin de contar con datos más sólidos y de carácter regional. También debería realizarse la recopilación de datos comparativos de otras especies de Angelotes, con objeto de ayudar en la interpretación de </w:t>
            </w:r>
            <w:r w:rsidRPr="00AA3F16">
              <w:rPr>
                <w:rFonts w:eastAsia="Arial" w:cs="Arial"/>
                <w:sz w:val="21"/>
                <w:szCs w:val="21"/>
                <w:lang w:val="es-ES" w:eastAsia="es-ES"/>
              </w:rPr>
              <w:t xml:space="preserve">datos acerca del </w:t>
            </w:r>
            <w:proofErr w:type="spellStart"/>
            <w:r w:rsidRPr="00AA3F16">
              <w:rPr>
                <w:rFonts w:eastAsia="Arial" w:cs="Arial"/>
                <w:i/>
                <w:sz w:val="21"/>
                <w:szCs w:val="21"/>
                <w:lang w:val="es-ES" w:eastAsia="es-ES"/>
              </w:rPr>
              <w:t>Squatina</w:t>
            </w:r>
            <w:proofErr w:type="spellEnd"/>
            <w:r w:rsidRPr="00AA3F16">
              <w:rPr>
                <w:rFonts w:eastAsia="Arial" w:cs="Arial"/>
                <w:i/>
                <w:sz w:val="21"/>
                <w:szCs w:val="21"/>
                <w:lang w:val="es-ES" w:eastAsia="es-ES"/>
              </w:rPr>
              <w:t xml:space="preserve"> </w:t>
            </w:r>
            <w:proofErr w:type="spellStart"/>
            <w:r w:rsidRPr="00AA3F16">
              <w:rPr>
                <w:rFonts w:eastAsia="Arial" w:cs="Arial"/>
                <w:i/>
                <w:sz w:val="21"/>
                <w:szCs w:val="21"/>
                <w:lang w:val="es-ES" w:eastAsia="es-ES"/>
              </w:rPr>
              <w:t>squatina</w:t>
            </w:r>
            <w:proofErr w:type="spellEnd"/>
            <w:r w:rsidRPr="00AA3F16">
              <w:rPr>
                <w:rFonts w:eastAsia="Arial" w:cs="Arial"/>
                <w:i/>
                <w:sz w:val="21"/>
                <w:szCs w:val="21"/>
                <w:lang w:val="es-ES" w:eastAsia="es-ES"/>
              </w:rPr>
              <w:t xml:space="preserve">. </w:t>
            </w:r>
            <w:r w:rsidRPr="00AA3F16">
              <w:rPr>
                <w:rFonts w:eastAsia="Arial" w:cs="Arial"/>
                <w:iCs/>
                <w:sz w:val="21"/>
                <w:szCs w:val="21"/>
                <w:lang w:val="es-ES" w:eastAsia="es-ES"/>
              </w:rPr>
              <w:t xml:space="preserve">El </w:t>
            </w:r>
            <w:hyperlink r:id="rId31" w:history="1">
              <w:r w:rsidRPr="00AA3F16">
                <w:rPr>
                  <w:rFonts w:eastAsia="Arial" w:cs="Arial"/>
                  <w:iCs/>
                  <w:sz w:val="21"/>
                  <w:szCs w:val="21"/>
                  <w:u w:val="single"/>
                  <w:lang w:val="es-ES" w:eastAsia="es-ES"/>
                </w:rPr>
                <w:t>Mapa de avistamientos de la especie Angelote</w:t>
              </w:r>
            </w:hyperlink>
            <w:bookmarkStart w:id="61" w:name="_Ref111203274"/>
            <w:r w:rsidRPr="00AA3F16">
              <w:rPr>
                <w:rFonts w:eastAsia="Arial" w:cs="Arial"/>
                <w:iCs/>
                <w:sz w:val="21"/>
                <w:szCs w:val="21"/>
                <w:u w:val="single"/>
                <w:vertAlign w:val="superscript"/>
                <w:lang w:val="es-ES" w:eastAsia="es-ES"/>
              </w:rPr>
              <w:footnoteReference w:id="22"/>
            </w:r>
            <w:bookmarkEnd w:id="61"/>
            <w:r w:rsidRPr="00AA3F16">
              <w:rPr>
                <w:rFonts w:eastAsia="Arial" w:cs="Arial"/>
                <w:iCs/>
                <w:sz w:val="21"/>
                <w:szCs w:val="21"/>
                <w:lang w:val="es-ES" w:eastAsia="es-ES"/>
              </w:rPr>
              <w:t xml:space="preserve">, como iniciativa de la Red de Conservación de la especie Angelote, ya ha logrado establecerse, con acceso abierto y con un amplio uso, </w:t>
            </w:r>
            <w:r w:rsidRPr="00AA3F16">
              <w:rPr>
                <w:rFonts w:eastAsia="Arial" w:cs="Arial"/>
                <w:iCs/>
                <w:color w:val="000000"/>
                <w:sz w:val="21"/>
                <w:szCs w:val="21"/>
                <w:lang w:val="es-ES" w:eastAsia="es-ES"/>
              </w:rPr>
              <w:t>el cual podría usarse para este propósito.</w:t>
            </w:r>
          </w:p>
        </w:tc>
        <w:tc>
          <w:tcPr>
            <w:tcW w:w="436" w:type="pct"/>
            <w:tcBorders>
              <w:top w:val="single" w:sz="4" w:space="0" w:color="000000"/>
              <w:left w:val="single" w:sz="4" w:space="0" w:color="000000"/>
              <w:bottom w:val="single" w:sz="4" w:space="0" w:color="000000"/>
              <w:right w:val="single" w:sz="4" w:space="0" w:color="000000"/>
            </w:tcBorders>
          </w:tcPr>
          <w:p w14:paraId="1CB3CBFC"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43" w:type="pct"/>
            <w:tcBorders>
              <w:top w:val="single" w:sz="4" w:space="0" w:color="000000"/>
              <w:left w:val="single" w:sz="4" w:space="0" w:color="000000"/>
              <w:bottom w:val="single" w:sz="4" w:space="0" w:color="000000"/>
              <w:right w:val="single" w:sz="4" w:space="0" w:color="000000"/>
            </w:tcBorders>
          </w:tcPr>
          <w:p w14:paraId="38A5472F"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w:t>
            </w:r>
          </w:p>
        </w:tc>
        <w:tc>
          <w:tcPr>
            <w:tcW w:w="667" w:type="pct"/>
            <w:tcBorders>
              <w:top w:val="single" w:sz="4" w:space="0" w:color="000000"/>
              <w:left w:val="single" w:sz="4" w:space="0" w:color="000000"/>
              <w:bottom w:val="single" w:sz="4" w:space="0" w:color="000000"/>
              <w:right w:val="single" w:sz="4" w:space="0" w:color="000000"/>
            </w:tcBorders>
          </w:tcPr>
          <w:p w14:paraId="37A8983D"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B9436A" w:rsidRPr="009E0427" w14:paraId="40B65DE7" w14:textId="77777777" w:rsidTr="008F749D">
        <w:trPr>
          <w:trHeight w:val="1539"/>
        </w:trPr>
        <w:tc>
          <w:tcPr>
            <w:tcW w:w="1213" w:type="pct"/>
            <w:vMerge/>
            <w:tcBorders>
              <w:left w:val="single" w:sz="4" w:space="0" w:color="000000"/>
              <w:right w:val="single" w:sz="4" w:space="0" w:color="000000"/>
            </w:tcBorders>
          </w:tcPr>
          <w:p w14:paraId="45D1B827" w14:textId="77777777" w:rsidR="00B9436A" w:rsidRPr="00AA3F16" w:rsidRDefault="00B9436A" w:rsidP="00B9436A">
            <w:pPr>
              <w:widowControl w:val="0"/>
              <w:spacing w:line="276" w:lineRule="auto"/>
              <w:rPr>
                <w:rFonts w:eastAsia="Arial" w:cs="Arial"/>
                <w:color w:val="000000"/>
                <w:sz w:val="21"/>
                <w:szCs w:val="21"/>
                <w:lang w:val="es-ES"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19927B19"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 xml:space="preserve">2.2 Modelización del hábitat: en función de los datos de la Acción 2.1, se llevaría a cabo la modelización del hábitat del Angelote en aguas nacionales y mares regionales, a fin de comprender y predecir mejor las Áreas críticas de la especie Angelote (CASA), incluyendo sus hábitats usados por etapas clave en el ciclo vital, como la alimentación, los suelos de hibernación y crianza, y los suelos de apareamiento. </w:t>
            </w:r>
          </w:p>
        </w:tc>
        <w:tc>
          <w:tcPr>
            <w:tcW w:w="436" w:type="pct"/>
            <w:tcBorders>
              <w:top w:val="single" w:sz="4" w:space="0" w:color="000000"/>
              <w:left w:val="single" w:sz="4" w:space="0" w:color="000000"/>
              <w:bottom w:val="single" w:sz="4" w:space="0" w:color="000000"/>
              <w:right w:val="single" w:sz="4" w:space="0" w:color="000000"/>
            </w:tcBorders>
          </w:tcPr>
          <w:p w14:paraId="23893A23"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43" w:type="pct"/>
            <w:tcBorders>
              <w:top w:val="single" w:sz="4" w:space="0" w:color="000000"/>
              <w:left w:val="single" w:sz="4" w:space="0" w:color="000000"/>
              <w:bottom w:val="single" w:sz="4" w:space="0" w:color="000000"/>
              <w:right w:val="single" w:sz="4" w:space="0" w:color="000000"/>
            </w:tcBorders>
          </w:tcPr>
          <w:p w14:paraId="62881233"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w:t>
            </w:r>
          </w:p>
        </w:tc>
        <w:tc>
          <w:tcPr>
            <w:tcW w:w="667" w:type="pct"/>
            <w:tcBorders>
              <w:top w:val="single" w:sz="4" w:space="0" w:color="000000"/>
              <w:left w:val="single" w:sz="4" w:space="0" w:color="000000"/>
              <w:bottom w:val="single" w:sz="4" w:space="0" w:color="000000"/>
              <w:right w:val="single" w:sz="4" w:space="0" w:color="000000"/>
            </w:tcBorders>
          </w:tcPr>
          <w:p w14:paraId="192F254B" w14:textId="77777777" w:rsidR="00B9436A" w:rsidRPr="00AA3F16" w:rsidRDefault="00B9436A" w:rsidP="00B9436A">
            <w:pPr>
              <w:widowControl w:val="0"/>
              <w:pBdr>
                <w:top w:val="nil"/>
                <w:left w:val="nil"/>
                <w:bottom w:val="nil"/>
                <w:right w:val="nil"/>
                <w:between w:val="nil"/>
              </w:pBdr>
              <w:rPr>
                <w:rFonts w:eastAsia="Times New Roman" w:cs="Arial"/>
                <w:sz w:val="21"/>
                <w:szCs w:val="21"/>
                <w:lang w:val="es-ES" w:eastAsia="en-GB"/>
              </w:rPr>
            </w:pPr>
            <w:r w:rsidRPr="00AA3F16">
              <w:rPr>
                <w:rFonts w:eastAsia="Arial" w:cs="Arial"/>
                <w:color w:val="000000"/>
                <w:sz w:val="21"/>
                <w:szCs w:val="21"/>
                <w:lang w:val="es-ES" w:eastAsia="es-ES"/>
              </w:rPr>
              <w:t>Todos los Estados del área de distribución.</w:t>
            </w:r>
          </w:p>
        </w:tc>
      </w:tr>
      <w:tr w:rsidR="00B9436A" w:rsidRPr="009E0427" w14:paraId="59039B82" w14:textId="77777777" w:rsidTr="008F749D">
        <w:trPr>
          <w:trHeight w:val="981"/>
        </w:trPr>
        <w:tc>
          <w:tcPr>
            <w:tcW w:w="1213" w:type="pct"/>
            <w:vMerge/>
            <w:tcBorders>
              <w:left w:val="single" w:sz="4" w:space="0" w:color="000000"/>
              <w:right w:val="single" w:sz="4" w:space="0" w:color="000000"/>
            </w:tcBorders>
          </w:tcPr>
          <w:p w14:paraId="2F3D2E7A" w14:textId="77777777" w:rsidR="00B9436A" w:rsidRPr="00AA3F16" w:rsidRDefault="00B9436A" w:rsidP="00B9436A">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592CC3B4"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2.</w:t>
            </w:r>
            <w:r w:rsidRPr="00AA3F16">
              <w:rPr>
                <w:rFonts w:eastAsia="Arial" w:cs="Arial"/>
                <w:sz w:val="21"/>
                <w:szCs w:val="21"/>
                <w:lang w:val="es-ES" w:eastAsia="es-ES"/>
              </w:rPr>
              <w:t>3</w:t>
            </w:r>
            <w:r w:rsidRPr="00AA3F16">
              <w:rPr>
                <w:rFonts w:eastAsia="Arial" w:cs="Arial"/>
                <w:color w:val="000000"/>
                <w:sz w:val="21"/>
                <w:szCs w:val="21"/>
                <w:lang w:val="es-ES" w:eastAsia="es-ES"/>
              </w:rPr>
              <w:t xml:space="preserve"> Muestras de ADN medioambiental (</w:t>
            </w:r>
            <w:proofErr w:type="spellStart"/>
            <w:r w:rsidRPr="00AA3F16">
              <w:rPr>
                <w:rFonts w:eastAsia="Arial" w:cs="Arial"/>
                <w:color w:val="000000"/>
                <w:sz w:val="21"/>
                <w:szCs w:val="21"/>
                <w:lang w:val="es-ES" w:eastAsia="es-ES"/>
              </w:rPr>
              <w:t>eDNA</w:t>
            </w:r>
            <w:proofErr w:type="spellEnd"/>
            <w:r w:rsidRPr="00AA3F16">
              <w:rPr>
                <w:rFonts w:eastAsia="Arial" w:cs="Arial"/>
                <w:color w:val="000000"/>
                <w:sz w:val="21"/>
                <w:szCs w:val="21"/>
                <w:lang w:val="es-ES" w:eastAsia="es-ES"/>
              </w:rPr>
              <w:t xml:space="preserve">): realizar un muestreo de </w:t>
            </w:r>
            <w:proofErr w:type="spellStart"/>
            <w:r w:rsidRPr="00AA3F16">
              <w:rPr>
                <w:rFonts w:eastAsia="Arial" w:cs="Arial"/>
                <w:color w:val="000000"/>
                <w:sz w:val="21"/>
                <w:szCs w:val="21"/>
                <w:lang w:val="es-ES" w:eastAsia="es-ES"/>
              </w:rPr>
              <w:t>eDNA</w:t>
            </w:r>
            <w:proofErr w:type="spellEnd"/>
            <w:r w:rsidRPr="00AA3F16">
              <w:rPr>
                <w:rFonts w:eastAsia="Arial" w:cs="Arial"/>
                <w:color w:val="000000"/>
                <w:sz w:val="21"/>
                <w:szCs w:val="21"/>
                <w:lang w:val="es-ES" w:eastAsia="es-ES"/>
              </w:rPr>
              <w:t xml:space="preserve"> en las zonas apropiadas (es decir, en los hábitats actuales y potenciales del Angelote</w:t>
            </w:r>
            <w:sdt>
              <w:sdtPr>
                <w:rPr>
                  <w:rFonts w:eastAsia="Times New Roman" w:cs="Arial"/>
                  <w:sz w:val="21"/>
                  <w:szCs w:val="21"/>
                  <w:lang w:val="es-ES" w:eastAsia="en-GB"/>
                </w:rPr>
                <w:tag w:val="goog_rdk_198"/>
                <w:id w:val="667836888"/>
              </w:sdtPr>
              <w:sdtEndPr/>
              <w:sdtContent>
                <w:r w:rsidRPr="00AA3F16">
                  <w:rPr>
                    <w:rFonts w:eastAsia="Arial" w:cs="Arial"/>
                    <w:color w:val="000000"/>
                    <w:sz w:val="21"/>
                    <w:szCs w:val="21"/>
                    <w:lang w:val="es-ES" w:eastAsia="es-ES"/>
                  </w:rPr>
                  <w:t xml:space="preserve"> identificados en 2.2</w:t>
                </w:r>
              </w:sdtContent>
            </w:sdt>
            <w:r w:rsidRPr="00AA3F16">
              <w:rPr>
                <w:rFonts w:eastAsia="Arial" w:cs="Arial"/>
                <w:color w:val="000000"/>
                <w:sz w:val="21"/>
                <w:szCs w:val="21"/>
                <w:lang w:val="es-ES" w:eastAsia="es-ES"/>
              </w:rPr>
              <w:t>) para cuantificar la presencia potencial del Angelote en la región.</w:t>
            </w:r>
          </w:p>
        </w:tc>
        <w:tc>
          <w:tcPr>
            <w:tcW w:w="436" w:type="pct"/>
            <w:tcBorders>
              <w:top w:val="single" w:sz="4" w:space="0" w:color="000000"/>
              <w:left w:val="single" w:sz="4" w:space="0" w:color="000000"/>
              <w:bottom w:val="single" w:sz="4" w:space="0" w:color="000000"/>
              <w:right w:val="single" w:sz="4" w:space="0" w:color="000000"/>
            </w:tcBorders>
          </w:tcPr>
          <w:p w14:paraId="255CB1E0"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543" w:type="pct"/>
            <w:tcBorders>
              <w:top w:val="single" w:sz="4" w:space="0" w:color="000000"/>
              <w:left w:val="single" w:sz="4" w:space="0" w:color="000000"/>
              <w:bottom w:val="single" w:sz="4" w:space="0" w:color="000000"/>
              <w:right w:val="single" w:sz="4" w:space="0" w:color="000000"/>
            </w:tcBorders>
          </w:tcPr>
          <w:p w14:paraId="70209DE9"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667" w:type="pct"/>
            <w:tcBorders>
              <w:top w:val="single" w:sz="4" w:space="0" w:color="000000"/>
              <w:left w:val="single" w:sz="4" w:space="0" w:color="000000"/>
              <w:bottom w:val="single" w:sz="4" w:space="0" w:color="000000"/>
              <w:right w:val="single" w:sz="4" w:space="0" w:color="000000"/>
            </w:tcBorders>
          </w:tcPr>
          <w:p w14:paraId="2E56F50C"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B9436A" w:rsidRPr="009E0427" w14:paraId="47746E3A" w14:textId="77777777" w:rsidTr="008F749D">
        <w:trPr>
          <w:trHeight w:val="801"/>
        </w:trPr>
        <w:tc>
          <w:tcPr>
            <w:tcW w:w="1213" w:type="pct"/>
            <w:vMerge/>
            <w:tcBorders>
              <w:left w:val="single" w:sz="4" w:space="0" w:color="000000"/>
              <w:right w:val="single" w:sz="4" w:space="0" w:color="000000"/>
            </w:tcBorders>
          </w:tcPr>
          <w:p w14:paraId="7A71B55F" w14:textId="77777777" w:rsidR="00B9436A" w:rsidRPr="00AA3F16" w:rsidRDefault="00B9436A" w:rsidP="00B9436A">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7747F3F8"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2.</w:t>
            </w:r>
            <w:r w:rsidRPr="00AA3F16">
              <w:rPr>
                <w:rFonts w:eastAsia="Arial" w:cs="Arial"/>
                <w:sz w:val="21"/>
                <w:szCs w:val="21"/>
                <w:lang w:val="es-ES" w:eastAsia="es-ES"/>
              </w:rPr>
              <w:t>4</w:t>
            </w:r>
            <w:r w:rsidRPr="00AA3F16">
              <w:rPr>
                <w:rFonts w:eastAsia="Arial" w:cs="Arial"/>
                <w:color w:val="000000"/>
                <w:sz w:val="21"/>
                <w:szCs w:val="21"/>
                <w:lang w:val="es-ES" w:eastAsia="es-ES"/>
              </w:rPr>
              <w:t xml:space="preserve"> Muestreo no destructivo de lugares: en función de los resultados en 2.1, 2.2, y/o 2.3, llevar a cabo análisis no destructivos (p. ej., un censo visual de aguas subterráneas) del hábitat reciente/potencial del Angelote para determinar si podrían desarrollarse programas efectivos no extractivos sobre el terreno con objeto de supervisar poblaciones localizadas de Angelotes.</w:t>
            </w:r>
          </w:p>
        </w:tc>
        <w:tc>
          <w:tcPr>
            <w:tcW w:w="436" w:type="pct"/>
            <w:tcBorders>
              <w:top w:val="single" w:sz="4" w:space="0" w:color="000000"/>
              <w:left w:val="single" w:sz="4" w:space="0" w:color="000000"/>
              <w:bottom w:val="single" w:sz="4" w:space="0" w:color="000000"/>
              <w:right w:val="single" w:sz="4" w:space="0" w:color="000000"/>
            </w:tcBorders>
          </w:tcPr>
          <w:p w14:paraId="1E67780B"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43" w:type="pct"/>
            <w:tcBorders>
              <w:top w:val="single" w:sz="4" w:space="0" w:color="000000"/>
              <w:left w:val="single" w:sz="4" w:space="0" w:color="000000"/>
              <w:bottom w:val="single" w:sz="4" w:space="0" w:color="000000"/>
              <w:right w:val="single" w:sz="4" w:space="0" w:color="000000"/>
            </w:tcBorders>
          </w:tcPr>
          <w:p w14:paraId="0274F6B9"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Media/Larga</w:t>
            </w:r>
          </w:p>
        </w:tc>
        <w:tc>
          <w:tcPr>
            <w:tcW w:w="667" w:type="pct"/>
            <w:tcBorders>
              <w:top w:val="single" w:sz="4" w:space="0" w:color="000000"/>
              <w:left w:val="single" w:sz="4" w:space="0" w:color="000000"/>
              <w:bottom w:val="single" w:sz="4" w:space="0" w:color="000000"/>
              <w:right w:val="single" w:sz="4" w:space="0" w:color="000000"/>
            </w:tcBorders>
          </w:tcPr>
          <w:p w14:paraId="5C29B793"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B9436A" w:rsidRPr="009E0427" w14:paraId="3B6ECBA6" w14:textId="77777777" w:rsidTr="008F749D">
        <w:trPr>
          <w:trHeight w:val="1407"/>
        </w:trPr>
        <w:tc>
          <w:tcPr>
            <w:tcW w:w="1213" w:type="pct"/>
            <w:vMerge/>
            <w:tcBorders>
              <w:left w:val="single" w:sz="4" w:space="0" w:color="000000"/>
              <w:right w:val="single" w:sz="4" w:space="0" w:color="000000"/>
            </w:tcBorders>
          </w:tcPr>
          <w:p w14:paraId="58B58029" w14:textId="77777777" w:rsidR="00B9436A" w:rsidRPr="00AA3F16" w:rsidRDefault="00B9436A" w:rsidP="00B9436A">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46027D9C" w14:textId="77777777" w:rsidR="00B9436A" w:rsidRPr="00AA3F16" w:rsidRDefault="00B9436A" w:rsidP="00B9436A">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2.</w:t>
            </w:r>
            <w:r w:rsidRPr="00AA3F16">
              <w:rPr>
                <w:rFonts w:eastAsia="Arial" w:cs="Arial"/>
                <w:sz w:val="21"/>
                <w:szCs w:val="21"/>
                <w:lang w:val="es-ES" w:eastAsia="es-ES"/>
              </w:rPr>
              <w:t>5</w:t>
            </w:r>
            <w:r w:rsidRPr="00AA3F16">
              <w:rPr>
                <w:rFonts w:eastAsia="Arial" w:cs="Arial"/>
                <w:color w:val="000000"/>
                <w:sz w:val="21"/>
                <w:szCs w:val="21"/>
                <w:lang w:val="es-ES" w:eastAsia="es-ES"/>
              </w:rPr>
              <w:t xml:space="preserve"> Función de la red de APM actual: emprender pruebas adecuadas (p. ej., un muestreo de </w:t>
            </w:r>
            <w:proofErr w:type="spellStart"/>
            <w:r w:rsidRPr="00AA3F16">
              <w:rPr>
                <w:rFonts w:eastAsia="Arial" w:cs="Arial"/>
                <w:color w:val="000000"/>
                <w:sz w:val="21"/>
                <w:szCs w:val="21"/>
                <w:lang w:val="es-ES" w:eastAsia="es-ES"/>
              </w:rPr>
              <w:t>eDNA</w:t>
            </w:r>
            <w:proofErr w:type="spellEnd"/>
            <w:r w:rsidRPr="00AA3F16">
              <w:rPr>
                <w:rFonts w:eastAsia="Arial" w:cs="Arial"/>
                <w:color w:val="000000"/>
                <w:sz w:val="21"/>
                <w:szCs w:val="21"/>
                <w:lang w:val="es-ES" w:eastAsia="es-ES"/>
              </w:rPr>
              <w:t>, un censo visual de aguas subterráneas) de las Áreas Protegidas Marinas existentes que puedan proporcionar un hábitat apropiado para el Angelote, con objeto de determinar la probabilidad de presencia/ausencia del Angelote y su eficacia en las medidas de conservación aplicadas en la red de APM actual.</w:t>
            </w:r>
          </w:p>
        </w:tc>
        <w:tc>
          <w:tcPr>
            <w:tcW w:w="436" w:type="pct"/>
            <w:tcBorders>
              <w:top w:val="single" w:sz="4" w:space="0" w:color="000000"/>
              <w:left w:val="single" w:sz="4" w:space="0" w:color="000000"/>
              <w:bottom w:val="single" w:sz="4" w:space="0" w:color="000000"/>
              <w:right w:val="single" w:sz="4" w:space="0" w:color="000000"/>
            </w:tcBorders>
          </w:tcPr>
          <w:p w14:paraId="6899A5E8"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543" w:type="pct"/>
            <w:tcBorders>
              <w:top w:val="single" w:sz="4" w:space="0" w:color="000000"/>
              <w:left w:val="single" w:sz="4" w:space="0" w:color="000000"/>
              <w:bottom w:val="single" w:sz="4" w:space="0" w:color="000000"/>
              <w:right w:val="single" w:sz="4" w:space="0" w:color="000000"/>
            </w:tcBorders>
          </w:tcPr>
          <w:p w14:paraId="697EA61F"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Larga</w:t>
            </w:r>
          </w:p>
        </w:tc>
        <w:tc>
          <w:tcPr>
            <w:tcW w:w="667" w:type="pct"/>
            <w:tcBorders>
              <w:top w:val="single" w:sz="4" w:space="0" w:color="000000"/>
              <w:left w:val="single" w:sz="4" w:space="0" w:color="000000"/>
              <w:bottom w:val="single" w:sz="4" w:space="0" w:color="000000"/>
              <w:right w:val="single" w:sz="4" w:space="0" w:color="000000"/>
            </w:tcBorders>
          </w:tcPr>
          <w:p w14:paraId="3AB7E23B" w14:textId="77777777" w:rsidR="00B9436A" w:rsidRPr="00AA3F16" w:rsidRDefault="00B9436A" w:rsidP="00B9436A">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bl>
    <w:p w14:paraId="3B00B258" w14:textId="6DA413C2" w:rsidR="00564AA1" w:rsidRPr="00AA3F16" w:rsidRDefault="00564AA1" w:rsidP="00FA5B33">
      <w:pPr>
        <w:jc w:val="both"/>
        <w:rPr>
          <w:rFonts w:cs="Arial"/>
          <w:spacing w:val="-2"/>
          <w:lang w:val="es-ES" w:eastAsia="en-GB"/>
        </w:rPr>
      </w:pPr>
    </w:p>
    <w:p w14:paraId="4A96DA6F" w14:textId="77777777" w:rsidR="00564AA1" w:rsidRPr="00AA3F16" w:rsidRDefault="00564AA1">
      <w:pPr>
        <w:rPr>
          <w:rFonts w:cs="Arial"/>
          <w:spacing w:val="-2"/>
          <w:lang w:val="es-ES" w:eastAsia="en-GB"/>
        </w:rPr>
      </w:pPr>
      <w:r w:rsidRPr="00AA3F16">
        <w:rPr>
          <w:rFonts w:cs="Arial"/>
          <w:lang w:val="es-ES" w:eastAsia="es-E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3324"/>
        <w:gridCol w:w="5939"/>
        <w:gridCol w:w="1263"/>
        <w:gridCol w:w="1562"/>
        <w:gridCol w:w="1762"/>
      </w:tblGrid>
      <w:tr w:rsidR="003D4195" w:rsidRPr="009E0427" w14:paraId="521BF83D" w14:textId="77777777" w:rsidTr="00564AA1">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1BCAE766" w14:textId="272DB980" w:rsidR="003D4195" w:rsidRPr="00AA3F16" w:rsidRDefault="003D4195" w:rsidP="003D4195">
            <w:pPr>
              <w:widowControl w:val="0"/>
              <w:pBdr>
                <w:top w:val="nil"/>
                <w:left w:val="nil"/>
                <w:bottom w:val="nil"/>
                <w:right w:val="nil"/>
                <w:between w:val="nil"/>
              </w:pBdr>
              <w:rPr>
                <w:rFonts w:eastAsia="Arial" w:cs="Arial"/>
                <w:b/>
                <w:i/>
                <w:color w:val="000000"/>
                <w:sz w:val="21"/>
                <w:szCs w:val="21"/>
                <w:lang w:val="es-ES" w:eastAsia="en-GB"/>
              </w:rPr>
            </w:pPr>
            <w:r w:rsidRPr="00AA3F16">
              <w:rPr>
                <w:rFonts w:eastAsia="Arial" w:cs="Arial"/>
                <w:b/>
                <w:iCs/>
                <w:color w:val="000000"/>
                <w:sz w:val="21"/>
                <w:szCs w:val="21"/>
                <w:lang w:val="es-ES" w:eastAsia="es-ES"/>
              </w:rPr>
              <w:lastRenderedPageBreak/>
              <w:t>Tabla 8:</w:t>
            </w:r>
            <w:r w:rsidRPr="00AA3F16">
              <w:rPr>
                <w:rFonts w:eastAsia="Arial" w:cs="Arial"/>
                <w:b/>
                <w:i/>
                <w:color w:val="000000"/>
                <w:sz w:val="21"/>
                <w:szCs w:val="21"/>
                <w:lang w:val="es-ES" w:eastAsia="es-ES"/>
              </w:rPr>
              <w:t xml:space="preserve"> Objetivo 3 – </w:t>
            </w:r>
            <w:r w:rsidRPr="00AA3F16">
              <w:rPr>
                <w:rFonts w:eastAsia="Arial" w:cs="Arial"/>
                <w:b/>
                <w:color w:val="000000"/>
                <w:sz w:val="21"/>
                <w:szCs w:val="21"/>
                <w:lang w:val="es-ES" w:eastAsia="es-ES"/>
              </w:rPr>
              <w:t xml:space="preserve">Apoyo y realización de estudios científicos, incluida la recopilación de datos y el enlace con el sector pesquero, para mejorar el conocimiento científico sobre los Angelotes </w:t>
            </w:r>
            <w:proofErr w:type="spellStart"/>
            <w:r w:rsidRPr="00AA3F16">
              <w:rPr>
                <w:rFonts w:eastAsia="Arial" w:cs="Arial"/>
                <w:b/>
                <w:i/>
                <w:iCs/>
                <w:color w:val="000000"/>
                <w:sz w:val="21"/>
                <w:szCs w:val="21"/>
                <w:lang w:val="es-ES" w:eastAsia="es-ES"/>
              </w:rPr>
              <w:t>Squatina</w:t>
            </w:r>
            <w:proofErr w:type="spellEnd"/>
            <w:r w:rsidRPr="00AA3F16">
              <w:rPr>
                <w:rFonts w:eastAsia="Arial" w:cs="Arial"/>
                <w:b/>
                <w:i/>
                <w:iCs/>
                <w:color w:val="000000"/>
                <w:sz w:val="21"/>
                <w:szCs w:val="21"/>
                <w:lang w:val="es-ES" w:eastAsia="es-ES"/>
              </w:rPr>
              <w:t xml:space="preserve"> </w:t>
            </w:r>
            <w:proofErr w:type="spellStart"/>
            <w:r w:rsidRPr="00AA3F16">
              <w:rPr>
                <w:rFonts w:eastAsia="Arial" w:cs="Arial"/>
                <w:b/>
                <w:i/>
                <w:iCs/>
                <w:color w:val="000000"/>
                <w:sz w:val="21"/>
                <w:szCs w:val="21"/>
                <w:lang w:val="es-ES" w:eastAsia="es-ES"/>
              </w:rPr>
              <w:t>squatina</w:t>
            </w:r>
            <w:proofErr w:type="spellEnd"/>
            <w:r w:rsidRPr="00AA3F16">
              <w:rPr>
                <w:rFonts w:eastAsia="Arial" w:cs="Arial"/>
                <w:b/>
                <w:color w:val="000000"/>
                <w:sz w:val="21"/>
                <w:szCs w:val="21"/>
                <w:lang w:val="es-ES" w:eastAsia="es-ES"/>
              </w:rPr>
              <w:t>, sin olvidar sus tendencias poblacionales.</w:t>
            </w:r>
          </w:p>
        </w:tc>
      </w:tr>
      <w:tr w:rsidR="00564AA1" w:rsidRPr="009E0427" w14:paraId="3D6686F9" w14:textId="77777777" w:rsidTr="00564AA1">
        <w:tc>
          <w:tcPr>
            <w:tcW w:w="1200" w:type="pct"/>
            <w:tcBorders>
              <w:top w:val="single" w:sz="4" w:space="0" w:color="000000"/>
              <w:left w:val="single" w:sz="4" w:space="0" w:color="000000"/>
              <w:bottom w:val="single" w:sz="4" w:space="0" w:color="000000"/>
              <w:right w:val="single" w:sz="4" w:space="0" w:color="000000"/>
            </w:tcBorders>
          </w:tcPr>
          <w:p w14:paraId="160F213E"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Resultado</w:t>
            </w:r>
          </w:p>
        </w:tc>
        <w:tc>
          <w:tcPr>
            <w:tcW w:w="2144" w:type="pct"/>
            <w:tcBorders>
              <w:top w:val="single" w:sz="4" w:space="0" w:color="000000"/>
              <w:left w:val="single" w:sz="4" w:space="0" w:color="000000"/>
              <w:bottom w:val="single" w:sz="4" w:space="0" w:color="000000"/>
              <w:right w:val="single" w:sz="4" w:space="0" w:color="000000"/>
            </w:tcBorders>
          </w:tcPr>
          <w:p w14:paraId="5D7AFC46"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Acción</w:t>
            </w:r>
            <w:sdt>
              <w:sdtPr>
                <w:rPr>
                  <w:rFonts w:eastAsia="Times New Roman" w:cs="Arial"/>
                  <w:sz w:val="21"/>
                  <w:szCs w:val="21"/>
                  <w:lang w:val="es-ES" w:eastAsia="en-GB"/>
                </w:rPr>
                <w:tag w:val="goog_rdk_210"/>
                <w:id w:val="-1675960176"/>
                <w:showingPlcHdr/>
              </w:sdtPr>
              <w:sdtEndPr/>
              <w:sdtContent>
                <w:r w:rsidRPr="00AA3F16">
                  <w:rPr>
                    <w:rFonts w:eastAsia="Times New Roman" w:cs="Arial"/>
                    <w:sz w:val="21"/>
                    <w:szCs w:val="21"/>
                    <w:lang w:val="es-ES" w:eastAsia="es-ES"/>
                  </w:rPr>
                  <w:t xml:space="preserve">     </w:t>
                </w:r>
              </w:sdtContent>
            </w:sdt>
          </w:p>
        </w:tc>
        <w:tc>
          <w:tcPr>
            <w:tcW w:w="456" w:type="pct"/>
            <w:tcBorders>
              <w:top w:val="single" w:sz="4" w:space="0" w:color="000000"/>
              <w:left w:val="single" w:sz="4" w:space="0" w:color="000000"/>
              <w:bottom w:val="single" w:sz="4" w:space="0" w:color="000000"/>
              <w:right w:val="single" w:sz="4" w:space="0" w:color="000000"/>
            </w:tcBorders>
          </w:tcPr>
          <w:p w14:paraId="522CDE79"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Prioridad</w:t>
            </w:r>
          </w:p>
        </w:tc>
        <w:tc>
          <w:tcPr>
            <w:tcW w:w="564" w:type="pct"/>
            <w:tcBorders>
              <w:top w:val="single" w:sz="4" w:space="0" w:color="000000"/>
              <w:left w:val="single" w:sz="4" w:space="0" w:color="000000"/>
              <w:bottom w:val="single" w:sz="4" w:space="0" w:color="000000"/>
              <w:right w:val="single" w:sz="4" w:space="0" w:color="000000"/>
            </w:tcBorders>
          </w:tcPr>
          <w:p w14:paraId="1E5FA804"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Escala temporal</w:t>
            </w:r>
          </w:p>
        </w:tc>
        <w:tc>
          <w:tcPr>
            <w:tcW w:w="636" w:type="pct"/>
            <w:tcBorders>
              <w:top w:val="single" w:sz="4" w:space="0" w:color="000000"/>
              <w:left w:val="single" w:sz="4" w:space="0" w:color="000000"/>
              <w:bottom w:val="single" w:sz="4" w:space="0" w:color="000000"/>
              <w:right w:val="single" w:sz="4" w:space="0" w:color="000000"/>
            </w:tcBorders>
          </w:tcPr>
          <w:p w14:paraId="56BD760C" w14:textId="77777777" w:rsidR="003D4195" w:rsidRPr="00AA3F16" w:rsidRDefault="003D4195" w:rsidP="003D4195">
            <w:pPr>
              <w:widowControl w:val="0"/>
              <w:pBdr>
                <w:top w:val="nil"/>
                <w:left w:val="nil"/>
                <w:bottom w:val="nil"/>
                <w:right w:val="nil"/>
                <w:between w:val="nil"/>
              </w:pBdr>
              <w:rPr>
                <w:rFonts w:eastAsia="Arial" w:cs="Arial"/>
                <w:b/>
                <w:i/>
                <w:color w:val="000000"/>
                <w:sz w:val="21"/>
                <w:szCs w:val="21"/>
                <w:lang w:val="es-ES" w:eastAsia="en-GB"/>
              </w:rPr>
            </w:pPr>
            <w:r w:rsidRPr="00AA3F16">
              <w:rPr>
                <w:rFonts w:eastAsia="Arial" w:cs="Arial"/>
                <w:b/>
                <w:i/>
                <w:color w:val="000000"/>
                <w:sz w:val="21"/>
                <w:szCs w:val="21"/>
                <w:lang w:val="es-ES" w:eastAsia="es-ES"/>
              </w:rPr>
              <w:t>Estados del área de distribución responsables</w:t>
            </w:r>
          </w:p>
        </w:tc>
      </w:tr>
      <w:tr w:rsidR="00564AA1" w:rsidRPr="009E0427" w14:paraId="12BE26F2" w14:textId="77777777" w:rsidTr="00564AA1">
        <w:trPr>
          <w:trHeight w:val="520"/>
        </w:trPr>
        <w:tc>
          <w:tcPr>
            <w:tcW w:w="1200" w:type="pct"/>
            <w:tcBorders>
              <w:top w:val="single" w:sz="4" w:space="0" w:color="000000"/>
              <w:left w:val="single" w:sz="4" w:space="0" w:color="000000"/>
              <w:bottom w:val="single" w:sz="4" w:space="0" w:color="000000"/>
              <w:right w:val="single" w:sz="4" w:space="0" w:color="000000"/>
            </w:tcBorders>
          </w:tcPr>
          <w:p w14:paraId="2154C56B"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vAlign w:val="center"/>
          </w:tcPr>
          <w:p w14:paraId="4C264DDF"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3.1 Supervisión científica: basado en los resultados de 2.1, 2.2 y/o 2.3, iniciar (o ampliar) los programas de observación científica para garantizar una cobertura de observadores sólida y específica respecto a aquellas flotas comerciales que puedan interactuar con el Angelote, abarcando los hábitats del Angelote con objeto de mejorar los datos actuales sobre la presencia del Angelote y sus interacciones con la pesquería, además de información biológica asociada (longitud, sexo, hembras en cinta o que paren).</w:t>
            </w:r>
          </w:p>
        </w:tc>
        <w:tc>
          <w:tcPr>
            <w:tcW w:w="456" w:type="pct"/>
            <w:tcBorders>
              <w:top w:val="single" w:sz="4" w:space="0" w:color="000000"/>
              <w:left w:val="single" w:sz="4" w:space="0" w:color="000000"/>
              <w:bottom w:val="single" w:sz="4" w:space="0" w:color="000000"/>
              <w:right w:val="single" w:sz="4" w:space="0" w:color="000000"/>
            </w:tcBorders>
          </w:tcPr>
          <w:p w14:paraId="74864019"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64" w:type="pct"/>
            <w:tcBorders>
              <w:top w:val="single" w:sz="4" w:space="0" w:color="000000"/>
              <w:left w:val="single" w:sz="4" w:space="0" w:color="000000"/>
              <w:bottom w:val="single" w:sz="4" w:space="0" w:color="000000"/>
              <w:right w:val="single" w:sz="4" w:space="0" w:color="000000"/>
            </w:tcBorders>
          </w:tcPr>
          <w:p w14:paraId="5D55E1FC"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636" w:type="pct"/>
            <w:tcBorders>
              <w:top w:val="single" w:sz="4" w:space="0" w:color="000000"/>
              <w:left w:val="single" w:sz="4" w:space="0" w:color="000000"/>
              <w:bottom w:val="single" w:sz="4" w:space="0" w:color="000000"/>
              <w:right w:val="single" w:sz="4" w:space="0" w:color="000000"/>
            </w:tcBorders>
          </w:tcPr>
          <w:p w14:paraId="42CB77C2"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564AA1" w:rsidRPr="009E0427" w14:paraId="0DAB6867" w14:textId="77777777" w:rsidTr="00564AA1">
        <w:trPr>
          <w:trHeight w:val="772"/>
        </w:trPr>
        <w:tc>
          <w:tcPr>
            <w:tcW w:w="1200" w:type="pct"/>
            <w:vMerge w:val="restart"/>
            <w:tcBorders>
              <w:top w:val="single" w:sz="4" w:space="0" w:color="000000"/>
              <w:left w:val="single" w:sz="4" w:space="0" w:color="000000"/>
              <w:bottom w:val="single" w:sz="4" w:space="0" w:color="000000"/>
              <w:right w:val="single" w:sz="4" w:space="0" w:color="000000"/>
            </w:tcBorders>
          </w:tcPr>
          <w:p w14:paraId="23E8C0BF"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 xml:space="preserve">Se logra disponibilidad de datos científicos mejorados a partir de pesquerías comerciales de Angelotes, para informar del estado de la especie y sus presiones y para permitir una supervisión más sólida de las tendencias poblacionales. </w:t>
            </w:r>
          </w:p>
          <w:p w14:paraId="33372705"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p>
          <w:p w14:paraId="65E0B72B"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Se logra disponibilidad de datos científicos adicionales a partir de pesquerías recreacionales y otras actividades de ocio acerca de los Angelotes, para informar del estado de la especie y sus presiones y para permitir una supervisión más sólida de las tendencias poblacionales.</w:t>
            </w:r>
          </w:p>
        </w:tc>
        <w:tc>
          <w:tcPr>
            <w:tcW w:w="2144" w:type="pct"/>
            <w:tcBorders>
              <w:top w:val="single" w:sz="4" w:space="0" w:color="000000"/>
              <w:left w:val="single" w:sz="4" w:space="0" w:color="000000"/>
              <w:bottom w:val="single" w:sz="4" w:space="0" w:color="000000"/>
              <w:right w:val="single" w:sz="4" w:space="0" w:color="000000"/>
            </w:tcBorders>
          </w:tcPr>
          <w:p w14:paraId="78DFC9FB"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3.2 Datos sobre esfuerzos en las capturas por ejemplar dependientes de pesquerías comerciales: Información mejorada de las interacciones con las flotas de pesca comerciales, incluyendo datos del número de Angelotes capturados, su destino (descartados vivos o descartados muertos). Datos comparativos sobre esfuerzos en pesca, en especial también deberían registrarse para aquellas flotas que se espera tengan un mayor número de interacciones con los Angelotes. Tal trabajo podría utilizar los requisitos de información existentes del CGPM y centrarse potencialmente en una "flota de referencia" particular como caso práctico.</w:t>
            </w:r>
            <w:r w:rsidRPr="00AA3F16">
              <w:rPr>
                <w:rFonts w:eastAsia="Arial" w:cs="Arial"/>
                <w:sz w:val="21"/>
                <w:szCs w:val="21"/>
                <w:lang w:val="es-ES" w:eastAsia="es-ES"/>
              </w:rPr>
              <w:t xml:space="preserve">     </w:t>
            </w:r>
            <w:r w:rsidRPr="00AA3F16">
              <w:rPr>
                <w:rFonts w:eastAsia="Arial" w:cs="Arial"/>
                <w:color w:val="000000"/>
                <w:sz w:val="21"/>
                <w:szCs w:val="21"/>
                <w:lang w:val="es-ES" w:eastAsia="es-ES"/>
              </w:rPr>
              <w:t xml:space="preserve">  </w:t>
            </w:r>
          </w:p>
        </w:tc>
        <w:tc>
          <w:tcPr>
            <w:tcW w:w="456" w:type="pct"/>
            <w:tcBorders>
              <w:top w:val="single" w:sz="4" w:space="0" w:color="000000"/>
              <w:left w:val="single" w:sz="4" w:space="0" w:color="000000"/>
              <w:bottom w:val="single" w:sz="4" w:space="0" w:color="000000"/>
              <w:right w:val="single" w:sz="4" w:space="0" w:color="000000"/>
            </w:tcBorders>
          </w:tcPr>
          <w:p w14:paraId="3C548876"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64" w:type="pct"/>
            <w:tcBorders>
              <w:top w:val="single" w:sz="4" w:space="0" w:color="000000"/>
              <w:left w:val="single" w:sz="4" w:space="0" w:color="000000"/>
              <w:bottom w:val="single" w:sz="4" w:space="0" w:color="000000"/>
              <w:right w:val="single" w:sz="4" w:space="0" w:color="000000"/>
            </w:tcBorders>
          </w:tcPr>
          <w:p w14:paraId="1203EE76"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 xml:space="preserve">Breve (implementación) </w:t>
            </w:r>
          </w:p>
          <w:p w14:paraId="3BDFE54E"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p>
          <w:p w14:paraId="176CC345"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 (supervisión)</w:t>
            </w:r>
          </w:p>
        </w:tc>
        <w:tc>
          <w:tcPr>
            <w:tcW w:w="636" w:type="pct"/>
            <w:tcBorders>
              <w:top w:val="single" w:sz="4" w:space="0" w:color="000000"/>
              <w:left w:val="single" w:sz="4" w:space="0" w:color="000000"/>
              <w:bottom w:val="single" w:sz="4" w:space="0" w:color="000000"/>
              <w:right w:val="single" w:sz="4" w:space="0" w:color="000000"/>
            </w:tcBorders>
          </w:tcPr>
          <w:p w14:paraId="428BF10D"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564AA1" w:rsidRPr="009E0427" w14:paraId="10BD39AD" w14:textId="77777777" w:rsidTr="00564AA1">
        <w:trPr>
          <w:trHeight w:val="1060"/>
        </w:trPr>
        <w:tc>
          <w:tcPr>
            <w:tcW w:w="1200" w:type="pct"/>
            <w:vMerge/>
            <w:tcBorders>
              <w:top w:val="single" w:sz="4" w:space="0" w:color="000000"/>
              <w:left w:val="single" w:sz="4" w:space="0" w:color="000000"/>
              <w:bottom w:val="single" w:sz="4" w:space="0" w:color="000000"/>
              <w:right w:val="single" w:sz="4" w:space="0" w:color="000000"/>
            </w:tcBorders>
          </w:tcPr>
          <w:p w14:paraId="03D0E162"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7F631549" w14:textId="37436B0F" w:rsidR="003D4195" w:rsidRPr="00AA3F16" w:rsidRDefault="003D4195" w:rsidP="003D4195">
            <w:pPr>
              <w:widowControl w:val="0"/>
              <w:pBdr>
                <w:top w:val="nil"/>
                <w:left w:val="nil"/>
                <w:bottom w:val="nil"/>
                <w:right w:val="nil"/>
                <w:between w:val="nil"/>
              </w:pBdr>
              <w:jc w:val="both"/>
              <w:rPr>
                <w:rFonts w:eastAsia="Times New Roman" w:cs="Arial"/>
                <w:sz w:val="21"/>
                <w:szCs w:val="21"/>
                <w:lang w:val="es-ES" w:eastAsia="en-GB"/>
              </w:rPr>
            </w:pPr>
            <w:bookmarkStart w:id="62" w:name="_Hlk107927802"/>
            <w:r w:rsidRPr="00AA3F16">
              <w:rPr>
                <w:rFonts w:eastAsia="Times New Roman" w:cs="Arial"/>
                <w:sz w:val="21"/>
                <w:szCs w:val="21"/>
                <w:lang w:val="es-ES" w:eastAsia="es-ES"/>
              </w:rPr>
              <w:t xml:space="preserve">3.3 Pesca recreacional: instar a la comunicación de avistamientos tanto a los institutos de pesca nacionales relevantes como al </w:t>
            </w:r>
            <w:hyperlink r:id="rId32" w:history="1">
              <w:r w:rsidRPr="00AA3F16">
                <w:rPr>
                  <w:rFonts w:eastAsia="Arial" w:cs="Arial"/>
                  <w:iCs/>
                  <w:sz w:val="21"/>
                  <w:szCs w:val="21"/>
                  <w:u w:val="single"/>
                  <w:lang w:val="es-ES" w:eastAsia="es-ES"/>
                </w:rPr>
                <w:t>Mapa de avistamientos de la especie Angelote</w:t>
              </w:r>
            </w:hyperlink>
            <w:r w:rsidRPr="00AA3F16">
              <w:rPr>
                <w:rFonts w:eastAsia="Arial" w:cs="Arial"/>
                <w:iCs/>
                <w:sz w:val="21"/>
                <w:szCs w:val="21"/>
                <w:u w:val="single"/>
                <w:vertAlign w:val="superscript"/>
                <w:lang w:val="es-ES" w:eastAsia="es-ES"/>
              </w:rPr>
              <w:fldChar w:fldCharType="begin"/>
            </w:r>
            <w:r w:rsidRPr="00AA3F16">
              <w:rPr>
                <w:rFonts w:eastAsia="Arial" w:cs="Arial"/>
                <w:iCs/>
                <w:sz w:val="21"/>
                <w:szCs w:val="21"/>
                <w:u w:val="single"/>
                <w:vertAlign w:val="superscript"/>
                <w:lang w:val="es-ES" w:eastAsia="es-ES"/>
              </w:rPr>
              <w:instrText xml:space="preserve"> NOTEREF _Ref111203274 \h  \* MERGEFORMAT </w:instrText>
            </w:r>
            <w:r w:rsidRPr="00AA3F16">
              <w:rPr>
                <w:rFonts w:eastAsia="Arial" w:cs="Arial"/>
                <w:iCs/>
                <w:sz w:val="21"/>
                <w:szCs w:val="21"/>
                <w:u w:val="single"/>
                <w:vertAlign w:val="superscript"/>
                <w:lang w:val="es-ES" w:eastAsia="es-ES"/>
              </w:rPr>
            </w:r>
            <w:r w:rsidRPr="00AA3F16">
              <w:rPr>
                <w:rFonts w:eastAsia="Arial" w:cs="Arial"/>
                <w:iCs/>
                <w:sz w:val="21"/>
                <w:szCs w:val="21"/>
                <w:u w:val="single"/>
                <w:vertAlign w:val="superscript"/>
                <w:lang w:val="es-ES" w:eastAsia="es-ES"/>
              </w:rPr>
              <w:fldChar w:fldCharType="separate"/>
            </w:r>
            <w:r w:rsidR="002B2D11" w:rsidRPr="00AA3F16">
              <w:rPr>
                <w:rFonts w:eastAsia="Arial" w:cs="Arial"/>
                <w:iCs/>
                <w:sz w:val="21"/>
                <w:szCs w:val="21"/>
                <w:u w:val="single"/>
                <w:vertAlign w:val="superscript"/>
                <w:lang w:val="es-ES" w:eastAsia="es-ES"/>
              </w:rPr>
              <w:t>22</w:t>
            </w:r>
            <w:r w:rsidRPr="00AA3F16">
              <w:rPr>
                <w:rFonts w:eastAsia="Arial" w:cs="Arial"/>
                <w:iCs/>
                <w:sz w:val="21"/>
                <w:szCs w:val="21"/>
                <w:u w:val="single"/>
                <w:vertAlign w:val="superscript"/>
                <w:lang w:val="es-ES" w:eastAsia="es-ES"/>
              </w:rPr>
              <w:fldChar w:fldCharType="end"/>
            </w:r>
            <w:r w:rsidRPr="00AA3F16">
              <w:rPr>
                <w:rFonts w:eastAsia="Times New Roman" w:cs="Arial"/>
                <w:sz w:val="21"/>
                <w:szCs w:val="21"/>
                <w:lang w:val="es-ES" w:eastAsia="es-ES"/>
              </w:rPr>
              <w:t>. Adaptar y distribuir un Código de conducta para liberar con seguridad a los Angelotes si son accidentalmente capturados (ya desarrollado por el Proyecto sobre la especie Angelote) para la comunidad de pesca recreacional.</w:t>
            </w:r>
            <w:bookmarkEnd w:id="62"/>
            <w:r w:rsidRPr="00AA3F16">
              <w:rPr>
                <w:rFonts w:eastAsia="Times New Roman" w:cs="Arial"/>
                <w:sz w:val="21"/>
                <w:szCs w:val="21"/>
                <w:lang w:val="es-ES" w:eastAsia="es-ES"/>
              </w:rPr>
              <w:t xml:space="preserve"> </w:t>
            </w:r>
          </w:p>
        </w:tc>
        <w:tc>
          <w:tcPr>
            <w:tcW w:w="456" w:type="pct"/>
            <w:tcBorders>
              <w:top w:val="single" w:sz="4" w:space="0" w:color="000000"/>
              <w:left w:val="single" w:sz="4" w:space="0" w:color="000000"/>
              <w:bottom w:val="single" w:sz="4" w:space="0" w:color="000000"/>
              <w:right w:val="single" w:sz="4" w:space="0" w:color="000000"/>
            </w:tcBorders>
          </w:tcPr>
          <w:p w14:paraId="17348390" w14:textId="77777777" w:rsidR="003D4195" w:rsidRPr="00AA3F16" w:rsidRDefault="003D4195" w:rsidP="003D4195">
            <w:pPr>
              <w:widowControl w:val="0"/>
              <w:pBdr>
                <w:top w:val="nil"/>
                <w:left w:val="nil"/>
                <w:bottom w:val="nil"/>
                <w:right w:val="nil"/>
                <w:between w:val="nil"/>
              </w:pBdr>
              <w:rPr>
                <w:rFonts w:eastAsia="Times New Roman" w:cs="Arial"/>
                <w:sz w:val="21"/>
                <w:szCs w:val="21"/>
                <w:lang w:val="es-ES" w:eastAsia="en-GB"/>
              </w:rPr>
            </w:pPr>
            <w:r w:rsidRPr="00AA3F16">
              <w:rPr>
                <w:rFonts w:eastAsia="Times New Roman" w:cs="Arial"/>
                <w:sz w:val="21"/>
                <w:szCs w:val="21"/>
                <w:lang w:val="es-ES" w:eastAsia="es-ES"/>
              </w:rPr>
              <w:t>Alta</w:t>
            </w:r>
          </w:p>
        </w:tc>
        <w:tc>
          <w:tcPr>
            <w:tcW w:w="564" w:type="pct"/>
            <w:tcBorders>
              <w:top w:val="single" w:sz="4" w:space="0" w:color="000000"/>
              <w:left w:val="single" w:sz="4" w:space="0" w:color="000000"/>
              <w:bottom w:val="single" w:sz="4" w:space="0" w:color="000000"/>
              <w:right w:val="single" w:sz="4" w:space="0" w:color="000000"/>
            </w:tcBorders>
          </w:tcPr>
          <w:p w14:paraId="54A7F078" w14:textId="77777777" w:rsidR="003D4195" w:rsidRPr="00AA3F16" w:rsidRDefault="003D4195" w:rsidP="003D4195">
            <w:pPr>
              <w:widowControl w:val="0"/>
              <w:pBdr>
                <w:top w:val="nil"/>
                <w:left w:val="nil"/>
                <w:bottom w:val="nil"/>
                <w:right w:val="nil"/>
                <w:between w:val="nil"/>
              </w:pBdr>
              <w:rPr>
                <w:rFonts w:eastAsia="Times New Roman" w:cs="Arial"/>
                <w:sz w:val="21"/>
                <w:szCs w:val="21"/>
                <w:lang w:val="es-ES" w:eastAsia="en-GB"/>
              </w:rPr>
            </w:pPr>
            <w:r w:rsidRPr="00AA3F16">
              <w:rPr>
                <w:rFonts w:eastAsia="Times New Roman" w:cs="Arial"/>
                <w:sz w:val="21"/>
                <w:szCs w:val="21"/>
                <w:lang w:val="es-ES" w:eastAsia="es-ES"/>
              </w:rPr>
              <w:t>En curso</w:t>
            </w:r>
          </w:p>
        </w:tc>
        <w:tc>
          <w:tcPr>
            <w:tcW w:w="636" w:type="pct"/>
            <w:tcBorders>
              <w:top w:val="single" w:sz="4" w:space="0" w:color="000000"/>
              <w:left w:val="single" w:sz="4" w:space="0" w:color="000000"/>
              <w:bottom w:val="single" w:sz="4" w:space="0" w:color="000000"/>
              <w:right w:val="single" w:sz="4" w:space="0" w:color="000000"/>
            </w:tcBorders>
          </w:tcPr>
          <w:p w14:paraId="49C11E89" w14:textId="77777777" w:rsidR="003D4195" w:rsidRPr="00AA3F16" w:rsidRDefault="003D4195" w:rsidP="003D4195">
            <w:pPr>
              <w:widowControl w:val="0"/>
              <w:pBdr>
                <w:top w:val="nil"/>
                <w:left w:val="nil"/>
                <w:bottom w:val="nil"/>
                <w:right w:val="nil"/>
                <w:between w:val="nil"/>
              </w:pBdr>
              <w:rPr>
                <w:rFonts w:eastAsia="Times New Roman" w:cs="Arial"/>
                <w:sz w:val="21"/>
                <w:szCs w:val="21"/>
                <w:lang w:val="es-ES" w:eastAsia="en-GB"/>
              </w:rPr>
            </w:pPr>
            <w:r w:rsidRPr="00AA3F16">
              <w:rPr>
                <w:rFonts w:eastAsia="Arial" w:cs="Arial"/>
                <w:color w:val="000000"/>
                <w:sz w:val="21"/>
                <w:szCs w:val="21"/>
                <w:lang w:val="es-ES" w:eastAsia="es-ES"/>
              </w:rPr>
              <w:t>Estados del área de distribución</w:t>
            </w:r>
            <w:r w:rsidRPr="00AA3F16">
              <w:rPr>
                <w:rFonts w:eastAsia="Times New Roman" w:cs="Arial"/>
                <w:sz w:val="21"/>
                <w:szCs w:val="21"/>
                <w:lang w:val="es-ES" w:eastAsia="es-ES"/>
              </w:rPr>
              <w:t xml:space="preserve"> donde se conservan los Angelotes</w:t>
            </w:r>
          </w:p>
        </w:tc>
      </w:tr>
      <w:tr w:rsidR="00564AA1" w:rsidRPr="009E0427" w14:paraId="51730E64" w14:textId="77777777" w:rsidTr="00564AA1">
        <w:trPr>
          <w:trHeight w:val="610"/>
        </w:trPr>
        <w:tc>
          <w:tcPr>
            <w:tcW w:w="1200" w:type="pct"/>
            <w:vMerge/>
            <w:tcBorders>
              <w:top w:val="single" w:sz="4" w:space="0" w:color="000000"/>
              <w:left w:val="single" w:sz="4" w:space="0" w:color="000000"/>
              <w:bottom w:val="single" w:sz="4" w:space="0" w:color="000000"/>
              <w:right w:val="single" w:sz="4" w:space="0" w:color="000000"/>
            </w:tcBorders>
          </w:tcPr>
          <w:p w14:paraId="465A5566"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128B02B3" w14:textId="1E6C0916" w:rsidR="003D4195" w:rsidRPr="00AA3F16" w:rsidRDefault="003D4195" w:rsidP="003D4195">
            <w:pPr>
              <w:widowControl w:val="0"/>
              <w:pBdr>
                <w:top w:val="nil"/>
                <w:left w:val="nil"/>
                <w:bottom w:val="nil"/>
                <w:right w:val="nil"/>
                <w:between w:val="nil"/>
              </w:pBdr>
              <w:jc w:val="both"/>
              <w:rPr>
                <w:rFonts w:eastAsia="Arial" w:cs="Arial"/>
                <w:sz w:val="21"/>
                <w:szCs w:val="21"/>
                <w:lang w:val="es-ES" w:eastAsia="en-GB"/>
              </w:rPr>
            </w:pPr>
            <w:r w:rsidRPr="00AA3F16">
              <w:rPr>
                <w:rFonts w:eastAsia="Arial" w:cs="Arial"/>
                <w:sz w:val="21"/>
                <w:szCs w:val="21"/>
                <w:lang w:val="es-ES" w:eastAsia="es-ES"/>
              </w:rPr>
              <w:t>3.4 Ciencia ciudadana Mediante programas de concienciación desarrollados en la Acción 1.3, se insta a la comunicación de avistamientos de Angelotes tanto a los institutos de pesca nacionales relevantes como al</w:t>
            </w:r>
            <w:hyperlink r:id="rId33" w:anchor="map" w:history="1">
              <w:r w:rsidRPr="00AA3F16">
                <w:rPr>
                  <w:rFonts w:eastAsia="Arial" w:cs="Arial"/>
                  <w:sz w:val="21"/>
                  <w:szCs w:val="21"/>
                  <w:u w:val="single"/>
                  <w:lang w:val="es-ES" w:eastAsia="es-ES"/>
                </w:rPr>
                <w:t xml:space="preserve"> Mapa de avistamientos de la especie Angelote</w:t>
              </w:r>
            </w:hyperlink>
            <w:r w:rsidRPr="00AA3F16">
              <w:rPr>
                <w:rFonts w:eastAsia="Arial" w:cs="Arial"/>
                <w:sz w:val="21"/>
                <w:szCs w:val="21"/>
                <w:u w:val="single"/>
                <w:vertAlign w:val="superscript"/>
                <w:lang w:val="es-ES" w:eastAsia="es-ES"/>
              </w:rPr>
              <w:fldChar w:fldCharType="begin"/>
            </w:r>
            <w:r w:rsidRPr="00AA3F16">
              <w:rPr>
                <w:rFonts w:eastAsia="Arial" w:cs="Arial"/>
                <w:sz w:val="21"/>
                <w:szCs w:val="21"/>
                <w:u w:val="single"/>
                <w:vertAlign w:val="superscript"/>
                <w:lang w:val="es-ES" w:eastAsia="es-ES"/>
              </w:rPr>
              <w:instrText xml:space="preserve"> NOTEREF _Ref111203274 \h  \* MERGEFORMAT </w:instrText>
            </w:r>
            <w:r w:rsidRPr="00AA3F16">
              <w:rPr>
                <w:rFonts w:eastAsia="Arial" w:cs="Arial"/>
                <w:sz w:val="21"/>
                <w:szCs w:val="21"/>
                <w:u w:val="single"/>
                <w:vertAlign w:val="superscript"/>
                <w:lang w:val="es-ES" w:eastAsia="es-ES"/>
              </w:rPr>
            </w:r>
            <w:r w:rsidRPr="00AA3F16">
              <w:rPr>
                <w:rFonts w:eastAsia="Arial" w:cs="Arial"/>
                <w:sz w:val="21"/>
                <w:szCs w:val="21"/>
                <w:u w:val="single"/>
                <w:vertAlign w:val="superscript"/>
                <w:lang w:val="es-ES" w:eastAsia="es-ES"/>
              </w:rPr>
              <w:fldChar w:fldCharType="separate"/>
            </w:r>
            <w:r w:rsidR="002B2D11" w:rsidRPr="00AA3F16">
              <w:rPr>
                <w:rFonts w:eastAsia="Arial" w:cs="Arial"/>
                <w:sz w:val="21"/>
                <w:szCs w:val="21"/>
                <w:u w:val="single"/>
                <w:vertAlign w:val="superscript"/>
                <w:lang w:val="es-ES" w:eastAsia="es-ES"/>
              </w:rPr>
              <w:t>22</w:t>
            </w:r>
            <w:r w:rsidRPr="00AA3F16">
              <w:rPr>
                <w:rFonts w:eastAsia="Arial" w:cs="Arial"/>
                <w:sz w:val="21"/>
                <w:szCs w:val="21"/>
                <w:u w:val="single"/>
                <w:vertAlign w:val="superscript"/>
                <w:lang w:val="es-ES" w:eastAsia="es-ES"/>
              </w:rPr>
              <w:fldChar w:fldCharType="end"/>
            </w:r>
            <w:r w:rsidRPr="00AA3F16">
              <w:rPr>
                <w:rFonts w:eastAsia="Arial" w:cs="Arial"/>
                <w:sz w:val="21"/>
                <w:szCs w:val="21"/>
                <w:lang w:val="es-ES" w:eastAsia="es-ES"/>
              </w:rPr>
              <w:t>, ya sean buceadores aficionados o comerciales, pescadores recreacionales o alguien que los vea en un mercado.</w:t>
            </w:r>
          </w:p>
          <w:p w14:paraId="79F33BEE" w14:textId="77777777" w:rsidR="003D4195" w:rsidRPr="00AA3F16" w:rsidRDefault="003D4195" w:rsidP="003D4195">
            <w:pPr>
              <w:widowControl w:val="0"/>
              <w:pBdr>
                <w:top w:val="nil"/>
                <w:left w:val="nil"/>
                <w:bottom w:val="nil"/>
                <w:right w:val="nil"/>
                <w:between w:val="nil"/>
              </w:pBdr>
              <w:jc w:val="both"/>
              <w:rPr>
                <w:rFonts w:eastAsia="Arial" w:cs="Arial"/>
                <w:sz w:val="21"/>
                <w:szCs w:val="21"/>
                <w:lang w:val="es-ES" w:eastAsia="en-GB"/>
              </w:rPr>
            </w:pPr>
            <w:r w:rsidRPr="00AA3F16">
              <w:rPr>
                <w:rFonts w:eastAsia="Arial" w:cs="Arial"/>
                <w:sz w:val="21"/>
                <w:szCs w:val="21"/>
                <w:lang w:val="es-ES" w:eastAsia="es-ES"/>
              </w:rPr>
              <w:t xml:space="preserve">Adaptar y compartir un </w:t>
            </w:r>
            <w:hyperlink r:id="rId34" w:history="1">
              <w:r w:rsidRPr="00AA3F16">
                <w:rPr>
                  <w:rFonts w:eastAsia="Arial" w:cs="Arial"/>
                  <w:sz w:val="21"/>
                  <w:szCs w:val="21"/>
                  <w:u w:val="single"/>
                  <w:lang w:val="es-ES" w:eastAsia="es-ES"/>
                </w:rPr>
                <w:t>Código de conducta para el buceo con esnórquel</w:t>
              </w:r>
            </w:hyperlink>
            <w:r w:rsidRPr="00AA3F16">
              <w:rPr>
                <w:rFonts w:eastAsia="Arial" w:cs="Arial"/>
                <w:sz w:val="21"/>
                <w:szCs w:val="21"/>
                <w:u w:val="single"/>
                <w:vertAlign w:val="superscript"/>
                <w:lang w:val="es-ES" w:eastAsia="es-ES"/>
              </w:rPr>
              <w:footnoteReference w:id="23"/>
            </w:r>
            <w:r w:rsidRPr="00AA3F16">
              <w:rPr>
                <w:rFonts w:eastAsia="Arial" w:cs="Arial"/>
                <w:sz w:val="21"/>
                <w:szCs w:val="21"/>
                <w:lang w:val="es-ES" w:eastAsia="es-ES"/>
              </w:rPr>
              <w:t xml:space="preserve"> (ya desarrollado por el Proyecto sobre la especie Angelote) con la comunidad de buceadores.</w:t>
            </w:r>
          </w:p>
        </w:tc>
        <w:tc>
          <w:tcPr>
            <w:tcW w:w="456" w:type="pct"/>
            <w:tcBorders>
              <w:top w:val="single" w:sz="4" w:space="0" w:color="000000"/>
              <w:left w:val="single" w:sz="4" w:space="0" w:color="000000"/>
              <w:bottom w:val="single" w:sz="4" w:space="0" w:color="000000"/>
              <w:right w:val="single" w:sz="4" w:space="0" w:color="000000"/>
            </w:tcBorders>
          </w:tcPr>
          <w:p w14:paraId="034F0E6E" w14:textId="77777777" w:rsidR="003D4195" w:rsidRPr="00AA3F16" w:rsidRDefault="009E0427" w:rsidP="003D4195">
            <w:pPr>
              <w:widowControl w:val="0"/>
              <w:pBdr>
                <w:top w:val="nil"/>
                <w:left w:val="nil"/>
                <w:bottom w:val="nil"/>
                <w:right w:val="nil"/>
                <w:between w:val="nil"/>
              </w:pBdr>
              <w:rPr>
                <w:rFonts w:eastAsia="Arial" w:cs="Arial"/>
                <w:color w:val="000000"/>
                <w:sz w:val="21"/>
                <w:szCs w:val="21"/>
                <w:lang w:val="es-ES" w:eastAsia="en-GB"/>
              </w:rPr>
            </w:pPr>
            <w:sdt>
              <w:sdtPr>
                <w:rPr>
                  <w:rFonts w:eastAsia="Times New Roman" w:cs="Arial"/>
                  <w:sz w:val="21"/>
                  <w:szCs w:val="21"/>
                  <w:lang w:val="es-ES" w:eastAsia="en-GB"/>
                </w:rPr>
                <w:tag w:val="goog_rdk_222"/>
                <w:id w:val="-1333366776"/>
              </w:sdtPr>
              <w:sdtEndPr/>
              <w:sdtContent>
                <w:sdt>
                  <w:sdtPr>
                    <w:rPr>
                      <w:rFonts w:eastAsia="Times New Roman" w:cs="Arial"/>
                      <w:sz w:val="21"/>
                      <w:szCs w:val="21"/>
                      <w:lang w:val="es-ES" w:eastAsia="en-GB"/>
                    </w:rPr>
                    <w:tag w:val="goog_rdk_223"/>
                    <w:id w:val="-39829416"/>
                  </w:sdtPr>
                  <w:sdtEndPr/>
                  <w:sdtContent/>
                </w:sdt>
              </w:sdtContent>
            </w:sdt>
            <w:r w:rsidR="003D4195" w:rsidRPr="00AA3F16">
              <w:rPr>
                <w:rFonts w:eastAsia="Times New Roman" w:cs="Arial"/>
                <w:sz w:val="21"/>
                <w:szCs w:val="21"/>
                <w:lang w:val="es-ES" w:eastAsia="es-ES"/>
              </w:rPr>
              <w:t xml:space="preserve"> Media</w:t>
            </w:r>
          </w:p>
        </w:tc>
        <w:tc>
          <w:tcPr>
            <w:tcW w:w="564" w:type="pct"/>
            <w:tcBorders>
              <w:top w:val="single" w:sz="4" w:space="0" w:color="000000"/>
              <w:left w:val="single" w:sz="4" w:space="0" w:color="000000"/>
              <w:bottom w:val="single" w:sz="4" w:space="0" w:color="000000"/>
              <w:right w:val="single" w:sz="4" w:space="0" w:color="000000"/>
            </w:tcBorders>
          </w:tcPr>
          <w:p w14:paraId="0AE933E8"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Times New Roman" w:cs="Arial"/>
                <w:sz w:val="21"/>
                <w:szCs w:val="21"/>
                <w:lang w:val="es-ES" w:eastAsia="es-ES"/>
              </w:rPr>
              <w:t>En curso</w:t>
            </w:r>
          </w:p>
        </w:tc>
        <w:tc>
          <w:tcPr>
            <w:tcW w:w="636" w:type="pct"/>
            <w:tcBorders>
              <w:top w:val="single" w:sz="4" w:space="0" w:color="000000"/>
              <w:left w:val="single" w:sz="4" w:space="0" w:color="000000"/>
              <w:bottom w:val="single" w:sz="4" w:space="0" w:color="000000"/>
              <w:right w:val="single" w:sz="4" w:space="0" w:color="000000"/>
            </w:tcBorders>
          </w:tcPr>
          <w:p w14:paraId="2F7909A0" w14:textId="77777777" w:rsidR="003D4195" w:rsidRPr="00AA3F16" w:rsidRDefault="003D4195" w:rsidP="003D4195">
            <w:pPr>
              <w:widowControl w:val="0"/>
              <w:pBdr>
                <w:top w:val="nil"/>
                <w:left w:val="nil"/>
                <w:bottom w:val="nil"/>
                <w:right w:val="nil"/>
                <w:between w:val="nil"/>
              </w:pBdr>
              <w:rPr>
                <w:rFonts w:eastAsia="Times New Roman" w:cs="Arial"/>
                <w:sz w:val="21"/>
                <w:szCs w:val="21"/>
                <w:lang w:val="es-ES" w:eastAsia="en-GB"/>
              </w:rPr>
            </w:pPr>
            <w:r w:rsidRPr="00AA3F16">
              <w:rPr>
                <w:rFonts w:eastAsia="Arial" w:cs="Arial"/>
                <w:color w:val="000000"/>
                <w:sz w:val="21"/>
                <w:szCs w:val="21"/>
                <w:lang w:val="es-ES" w:eastAsia="es-ES"/>
              </w:rPr>
              <w:t>Estados del área de distribución</w:t>
            </w:r>
            <w:r w:rsidRPr="00AA3F16">
              <w:rPr>
                <w:rFonts w:eastAsia="Times New Roman" w:cs="Arial"/>
                <w:sz w:val="21"/>
                <w:szCs w:val="21"/>
                <w:lang w:val="es-ES" w:eastAsia="es-ES"/>
              </w:rPr>
              <w:t xml:space="preserve"> donde se conservan los Angelotes</w:t>
            </w:r>
          </w:p>
        </w:tc>
      </w:tr>
      <w:tr w:rsidR="00564AA1" w:rsidRPr="009E0427" w14:paraId="12EB6EBC" w14:textId="77777777" w:rsidTr="00564AA1">
        <w:trPr>
          <w:trHeight w:val="801"/>
        </w:trPr>
        <w:tc>
          <w:tcPr>
            <w:tcW w:w="1200" w:type="pct"/>
            <w:vMerge/>
            <w:tcBorders>
              <w:top w:val="single" w:sz="4" w:space="0" w:color="000000"/>
              <w:left w:val="single" w:sz="4" w:space="0" w:color="000000"/>
              <w:bottom w:val="single" w:sz="4" w:space="0" w:color="000000"/>
              <w:right w:val="single" w:sz="4" w:space="0" w:color="000000"/>
            </w:tcBorders>
          </w:tcPr>
          <w:p w14:paraId="45FBE3AA"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6B59BDEE"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3.5 Tendencias de estudios independientes sobre pesca: Para algunas áreas de abundancia del Angelote localizadas o el hábitat del Angelote adecuado (tal como se estudia en las Acciones 2.2, 2.3 y 2.4), iniciar programas de supervisión no destructivos, estandarizados y a largo plazo para comprender las tendencias estacionales y anuales en la presencia y abundancia relativa de los Angelotes. Dicho trabajo podría suponer estudios colaborativos con grupos de partes interesadas relevantes (p.ej., pescadores comerciales, pescadores recreacionales, buceadores, etc.).</w:t>
            </w:r>
          </w:p>
        </w:tc>
        <w:tc>
          <w:tcPr>
            <w:tcW w:w="456" w:type="pct"/>
            <w:tcBorders>
              <w:top w:val="single" w:sz="4" w:space="0" w:color="000000"/>
              <w:left w:val="single" w:sz="4" w:space="0" w:color="000000"/>
              <w:bottom w:val="single" w:sz="4" w:space="0" w:color="000000"/>
              <w:right w:val="single" w:sz="4" w:space="0" w:color="000000"/>
            </w:tcBorders>
          </w:tcPr>
          <w:p w14:paraId="6CD8571C"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64" w:type="pct"/>
            <w:tcBorders>
              <w:top w:val="single" w:sz="4" w:space="0" w:color="000000"/>
              <w:left w:val="single" w:sz="4" w:space="0" w:color="000000"/>
              <w:bottom w:val="single" w:sz="4" w:space="0" w:color="000000"/>
              <w:right w:val="single" w:sz="4" w:space="0" w:color="000000"/>
            </w:tcBorders>
          </w:tcPr>
          <w:p w14:paraId="4292AC8E"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 xml:space="preserve">Media (implementación) </w:t>
            </w:r>
          </w:p>
          <w:p w14:paraId="0FF2A645"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p>
          <w:p w14:paraId="6AE16102"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 (supervisión)</w:t>
            </w:r>
          </w:p>
        </w:tc>
        <w:tc>
          <w:tcPr>
            <w:tcW w:w="636" w:type="pct"/>
            <w:tcBorders>
              <w:top w:val="single" w:sz="4" w:space="0" w:color="000000"/>
              <w:left w:val="single" w:sz="4" w:space="0" w:color="000000"/>
              <w:bottom w:val="single" w:sz="4" w:space="0" w:color="000000"/>
              <w:right w:val="single" w:sz="4" w:space="0" w:color="000000"/>
            </w:tcBorders>
          </w:tcPr>
          <w:p w14:paraId="63536F8D"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564AA1" w:rsidRPr="009E0427" w14:paraId="252E3B5B" w14:textId="77777777" w:rsidTr="00564AA1">
        <w:trPr>
          <w:trHeight w:val="796"/>
        </w:trPr>
        <w:tc>
          <w:tcPr>
            <w:tcW w:w="1200" w:type="pct"/>
            <w:vMerge/>
            <w:tcBorders>
              <w:top w:val="single" w:sz="4" w:space="0" w:color="000000"/>
              <w:left w:val="single" w:sz="4" w:space="0" w:color="000000"/>
              <w:bottom w:val="single" w:sz="4" w:space="0" w:color="000000"/>
              <w:right w:val="single" w:sz="4" w:space="0" w:color="000000"/>
            </w:tcBorders>
          </w:tcPr>
          <w:p w14:paraId="6D03D519"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4712FFC4" w14:textId="31A54764" w:rsidR="003D4195" w:rsidRPr="00AA3F16" w:rsidRDefault="003D4195" w:rsidP="003D4195">
            <w:pPr>
              <w:widowControl w:val="0"/>
              <w:jc w:val="both"/>
              <w:rPr>
                <w:rFonts w:eastAsia="Arial" w:cs="Arial"/>
                <w:color w:val="000000"/>
                <w:sz w:val="21"/>
                <w:szCs w:val="21"/>
                <w:lang w:val="es-ES" w:eastAsia="en-GB"/>
              </w:rPr>
            </w:pPr>
            <w:r w:rsidRPr="00AA3F16">
              <w:rPr>
                <w:rFonts w:eastAsia="Arial" w:cs="Arial"/>
                <w:color w:val="000000"/>
                <w:sz w:val="21"/>
                <w:szCs w:val="21"/>
                <w:lang w:val="es-ES" w:eastAsia="es-ES"/>
              </w:rPr>
              <w:t>3.6 Cuantificación y caracterización de la supervivencia de los Angelotes descartados y opciones para minimizar la mortalidad referente al descarte: en función de los resultados de la Acción 3.1 y 3.2, son necesarios estudios detallados para proporcionar unos cálculos más sólidos sobre la supervivencia referente al descarte (mortalidad en la embarcación y mortalidad tras el descarte) de los Angelotes a partir de flotas comerciales. Tal trabajo debería realizarse en coordinación con los asociados y niveles actuales de la actividad de flotas y deberían diseñarse de forma que disminuyeran la mortalidad en la pesca respecto a los Angelotes. Dicho trabajo también debería</w:t>
            </w:r>
            <w:r w:rsidRPr="00AA3F16">
              <w:rPr>
                <w:rFonts w:eastAsia="Arial" w:cs="Arial"/>
                <w:sz w:val="21"/>
                <w:szCs w:val="21"/>
                <w:lang w:val="es-ES" w:eastAsia="es-ES"/>
              </w:rPr>
              <w:t xml:space="preserve"> </w:t>
            </w:r>
            <w:r w:rsidRPr="00AA3F16">
              <w:rPr>
                <w:rFonts w:eastAsia="Arial" w:cs="Arial"/>
                <w:color w:val="000000"/>
                <w:sz w:val="21"/>
                <w:szCs w:val="21"/>
                <w:lang w:val="es-ES" w:eastAsia="es-ES"/>
              </w:rPr>
              <w:t>identificar cuándo los cambios en el comportamiento del pescador (p.ej., tiempo de inmersión de las redes) logran evitar o minimizar la mortalidad o la captura accidental del Angelote.</w:t>
            </w:r>
          </w:p>
        </w:tc>
        <w:tc>
          <w:tcPr>
            <w:tcW w:w="456" w:type="pct"/>
            <w:tcBorders>
              <w:top w:val="single" w:sz="4" w:space="0" w:color="000000"/>
              <w:left w:val="single" w:sz="4" w:space="0" w:color="000000"/>
              <w:bottom w:val="single" w:sz="4" w:space="0" w:color="000000"/>
              <w:right w:val="single" w:sz="4" w:space="0" w:color="000000"/>
            </w:tcBorders>
          </w:tcPr>
          <w:p w14:paraId="3EEADA65"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564" w:type="pct"/>
            <w:tcBorders>
              <w:top w:val="single" w:sz="4" w:space="0" w:color="000000"/>
              <w:left w:val="single" w:sz="4" w:space="0" w:color="000000"/>
              <w:bottom w:val="single" w:sz="4" w:space="0" w:color="000000"/>
              <w:right w:val="single" w:sz="4" w:space="0" w:color="000000"/>
            </w:tcBorders>
          </w:tcPr>
          <w:p w14:paraId="52C92683"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Larga</w:t>
            </w:r>
          </w:p>
        </w:tc>
        <w:tc>
          <w:tcPr>
            <w:tcW w:w="636" w:type="pct"/>
            <w:tcBorders>
              <w:top w:val="single" w:sz="4" w:space="0" w:color="000000"/>
              <w:left w:val="single" w:sz="4" w:space="0" w:color="000000"/>
              <w:bottom w:val="single" w:sz="4" w:space="0" w:color="000000"/>
              <w:right w:val="single" w:sz="4" w:space="0" w:color="000000"/>
            </w:tcBorders>
          </w:tcPr>
          <w:p w14:paraId="09D756EB"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564AA1" w:rsidRPr="009E0427" w14:paraId="3447BB97" w14:textId="77777777" w:rsidTr="00564AA1">
        <w:trPr>
          <w:trHeight w:val="796"/>
        </w:trPr>
        <w:tc>
          <w:tcPr>
            <w:tcW w:w="1200" w:type="pct"/>
            <w:vMerge/>
            <w:tcBorders>
              <w:top w:val="single" w:sz="4" w:space="0" w:color="000000"/>
              <w:left w:val="single" w:sz="4" w:space="0" w:color="000000"/>
              <w:bottom w:val="single" w:sz="4" w:space="0" w:color="000000"/>
              <w:right w:val="single" w:sz="4" w:space="0" w:color="000000"/>
            </w:tcBorders>
          </w:tcPr>
          <w:p w14:paraId="79A7DE8F"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3811FF3F"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3.7 Etiquetado: para las áreas de abundancia del Angelote localizadas (según se ha estudiado en la Acción 2.4), considerar la utilidad de un etiquetado visual y</w:t>
            </w:r>
            <w:r w:rsidRPr="00AA3F16">
              <w:rPr>
                <w:rFonts w:eastAsia="Arial" w:cs="Arial"/>
                <w:sz w:val="21"/>
                <w:szCs w:val="21"/>
                <w:lang w:val="es-ES" w:eastAsia="es-ES"/>
              </w:rPr>
              <w:t xml:space="preserve">/o </w:t>
            </w:r>
            <w:r w:rsidRPr="00AA3F16">
              <w:rPr>
                <w:rFonts w:eastAsia="Arial" w:cs="Arial"/>
                <w:color w:val="000000"/>
                <w:sz w:val="21"/>
                <w:szCs w:val="21"/>
                <w:lang w:val="es-ES" w:eastAsia="es-ES"/>
              </w:rPr>
              <w:t xml:space="preserve">electrónico para informar de su movimiento, distribución estacional, uso del hábitat y ámbito de su estancia. Dichos estudios deberían diseñarse detenidamente y seguir un </w:t>
            </w:r>
            <w:r w:rsidRPr="00AA3F16">
              <w:rPr>
                <w:rFonts w:eastAsia="Arial" w:cs="Arial"/>
                <w:sz w:val="21"/>
                <w:szCs w:val="21"/>
                <w:lang w:val="es-ES" w:eastAsia="es-ES"/>
              </w:rPr>
              <w:t>proceso de revisión ética</w:t>
            </w:r>
            <w:r w:rsidRPr="00AA3F16">
              <w:rPr>
                <w:rFonts w:eastAsia="Arial" w:cs="Arial"/>
                <w:color w:val="000000"/>
                <w:sz w:val="21"/>
                <w:szCs w:val="21"/>
                <w:lang w:val="es-ES" w:eastAsia="es-ES"/>
              </w:rPr>
              <w:t xml:space="preserve"> para evitar un aumento de la mortalidad.</w:t>
            </w:r>
          </w:p>
        </w:tc>
        <w:tc>
          <w:tcPr>
            <w:tcW w:w="456" w:type="pct"/>
            <w:tcBorders>
              <w:top w:val="single" w:sz="4" w:space="0" w:color="000000"/>
              <w:left w:val="single" w:sz="4" w:space="0" w:color="000000"/>
              <w:bottom w:val="single" w:sz="4" w:space="0" w:color="000000"/>
              <w:right w:val="single" w:sz="4" w:space="0" w:color="000000"/>
            </w:tcBorders>
          </w:tcPr>
          <w:p w14:paraId="2579F1EC"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564" w:type="pct"/>
            <w:tcBorders>
              <w:top w:val="single" w:sz="4" w:space="0" w:color="000000"/>
              <w:left w:val="single" w:sz="4" w:space="0" w:color="000000"/>
              <w:bottom w:val="single" w:sz="4" w:space="0" w:color="000000"/>
              <w:right w:val="single" w:sz="4" w:space="0" w:color="000000"/>
            </w:tcBorders>
          </w:tcPr>
          <w:p w14:paraId="5242C300"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Larga</w:t>
            </w:r>
          </w:p>
        </w:tc>
        <w:tc>
          <w:tcPr>
            <w:tcW w:w="636" w:type="pct"/>
            <w:tcBorders>
              <w:top w:val="single" w:sz="4" w:space="0" w:color="000000"/>
              <w:left w:val="single" w:sz="4" w:space="0" w:color="000000"/>
              <w:bottom w:val="single" w:sz="4" w:space="0" w:color="000000"/>
              <w:right w:val="single" w:sz="4" w:space="0" w:color="000000"/>
            </w:tcBorders>
          </w:tcPr>
          <w:p w14:paraId="663FAFCA"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564AA1" w:rsidRPr="009E0427" w14:paraId="2460931F" w14:textId="77777777" w:rsidTr="00564AA1">
        <w:trPr>
          <w:trHeight w:val="416"/>
        </w:trPr>
        <w:tc>
          <w:tcPr>
            <w:tcW w:w="1200" w:type="pct"/>
            <w:vMerge/>
            <w:tcBorders>
              <w:top w:val="single" w:sz="4" w:space="0" w:color="000000"/>
              <w:left w:val="single" w:sz="4" w:space="0" w:color="000000"/>
              <w:bottom w:val="single" w:sz="4" w:space="0" w:color="000000"/>
              <w:right w:val="single" w:sz="4" w:space="0" w:color="000000"/>
            </w:tcBorders>
          </w:tcPr>
          <w:p w14:paraId="3EF45637"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3E9C44F6" w14:textId="63592F80"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 xml:space="preserve">3.8 Conectividad y estructura de la población: recopilar muestras de tejido aleatorias (p. ej., de capturas incidentales muertas) y asegurarse de un archivado y almacenamiento apropiado a largo plazo. Las submuestras de este material deberían estar disponibles para estudios científicos a fin de facilitar </w:t>
            </w:r>
            <w:r w:rsidR="008F2B37">
              <w:rPr>
                <w:rFonts w:eastAsia="Arial" w:cs="Arial"/>
                <w:color w:val="000000"/>
                <w:sz w:val="21"/>
                <w:szCs w:val="21"/>
                <w:lang w:val="es-ES" w:eastAsia="es-ES"/>
              </w:rPr>
              <w:t>los</w:t>
            </w:r>
            <w:r w:rsidRPr="00AA3F16">
              <w:rPr>
                <w:rFonts w:eastAsia="Arial" w:cs="Arial"/>
                <w:color w:val="000000"/>
                <w:sz w:val="21"/>
                <w:szCs w:val="21"/>
                <w:lang w:val="es-ES" w:eastAsia="es-ES"/>
              </w:rPr>
              <w:t xml:space="preserve"> análisis genéticos atlántico-mediterráneos para entender la conectividad del Angelote en su ámbito global y regional.</w:t>
            </w:r>
          </w:p>
        </w:tc>
        <w:tc>
          <w:tcPr>
            <w:tcW w:w="456" w:type="pct"/>
            <w:tcBorders>
              <w:top w:val="single" w:sz="4" w:space="0" w:color="000000"/>
              <w:left w:val="single" w:sz="4" w:space="0" w:color="000000"/>
              <w:bottom w:val="single" w:sz="4" w:space="0" w:color="000000"/>
              <w:right w:val="single" w:sz="4" w:space="0" w:color="000000"/>
            </w:tcBorders>
          </w:tcPr>
          <w:p w14:paraId="0C0E6810"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 xml:space="preserve"> Media</w:t>
            </w:r>
          </w:p>
        </w:tc>
        <w:tc>
          <w:tcPr>
            <w:tcW w:w="564" w:type="pct"/>
            <w:tcBorders>
              <w:top w:val="single" w:sz="4" w:space="0" w:color="000000"/>
              <w:left w:val="single" w:sz="4" w:space="0" w:color="000000"/>
              <w:bottom w:val="single" w:sz="4" w:space="0" w:color="000000"/>
              <w:right w:val="single" w:sz="4" w:space="0" w:color="000000"/>
            </w:tcBorders>
          </w:tcPr>
          <w:p w14:paraId="1FBAE75C"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Larga</w:t>
            </w:r>
          </w:p>
        </w:tc>
        <w:tc>
          <w:tcPr>
            <w:tcW w:w="636" w:type="pct"/>
            <w:tcBorders>
              <w:top w:val="single" w:sz="4" w:space="0" w:color="000000"/>
              <w:left w:val="single" w:sz="4" w:space="0" w:color="000000"/>
              <w:bottom w:val="single" w:sz="4" w:space="0" w:color="000000"/>
              <w:right w:val="single" w:sz="4" w:space="0" w:color="000000"/>
            </w:tcBorders>
          </w:tcPr>
          <w:p w14:paraId="604A7B14"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564AA1" w:rsidRPr="009E0427" w14:paraId="0EC79997" w14:textId="77777777" w:rsidTr="00564AA1">
        <w:trPr>
          <w:trHeight w:val="416"/>
        </w:trPr>
        <w:tc>
          <w:tcPr>
            <w:tcW w:w="1200" w:type="pct"/>
            <w:vMerge/>
            <w:tcBorders>
              <w:top w:val="single" w:sz="4" w:space="0" w:color="000000"/>
              <w:left w:val="single" w:sz="4" w:space="0" w:color="000000"/>
              <w:bottom w:val="single" w:sz="4" w:space="0" w:color="000000"/>
              <w:right w:val="single" w:sz="4" w:space="0" w:color="000000"/>
            </w:tcBorders>
          </w:tcPr>
          <w:p w14:paraId="27F8D279"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0FAF2701" w14:textId="6F802FA4"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3.9 Estudios del ciclo de vida En función de los estudios realizados según el Plan de Acción concertado, los institutos nacionales relevantes podrían recopilar información práctica sobre el ciclo de vida (duración, sexo, peso, madurez, con la recogida de material biológico para estudios adicionales, incluyendo muestra</w:t>
            </w:r>
            <w:r w:rsidR="008F2B37">
              <w:rPr>
                <w:rFonts w:eastAsia="Arial" w:cs="Arial"/>
                <w:color w:val="000000"/>
                <w:sz w:val="21"/>
                <w:szCs w:val="21"/>
                <w:lang w:val="es-ES" w:eastAsia="es-ES"/>
              </w:rPr>
              <w:t>s</w:t>
            </w:r>
            <w:r w:rsidRPr="00AA3F16">
              <w:rPr>
                <w:rFonts w:eastAsia="Arial" w:cs="Arial"/>
                <w:color w:val="000000"/>
                <w:sz w:val="21"/>
                <w:szCs w:val="21"/>
                <w:lang w:val="es-ES" w:eastAsia="es-ES"/>
              </w:rPr>
              <w:t xml:space="preserve"> genéticas, contenido del estómago, muestras de tejidos, y parásitos). De conformidad con la regla "no coger" descrita en el Artículo III (5</w:t>
            </w:r>
            <w:r w:rsidRPr="00AA3F16">
              <w:rPr>
                <w:rFonts w:eastAsia="Arial" w:cs="Arial"/>
                <w:color w:val="000000"/>
                <w:sz w:val="21"/>
                <w:szCs w:val="21"/>
                <w:vertAlign w:val="superscript"/>
                <w:lang w:val="es-ES" w:eastAsia="es-ES"/>
              </w:rPr>
              <w:footnoteReference w:id="24"/>
            </w:r>
            <w:r w:rsidRPr="00AA3F16">
              <w:rPr>
                <w:rFonts w:eastAsia="Arial" w:cs="Arial"/>
                <w:color w:val="000000"/>
                <w:sz w:val="21"/>
                <w:szCs w:val="21"/>
                <w:lang w:val="es-ES" w:eastAsia="es-ES"/>
              </w:rPr>
              <w:t xml:space="preserve">), solo debería realizarse tal trabajo cuando en función de especímenes muertos por accidente o captura incidental y según la derogación autorizada de marcos normativos nacionales relevantes (véase Objetivo 1).  </w:t>
            </w:r>
          </w:p>
        </w:tc>
        <w:tc>
          <w:tcPr>
            <w:tcW w:w="456" w:type="pct"/>
            <w:tcBorders>
              <w:top w:val="single" w:sz="4" w:space="0" w:color="000000"/>
              <w:left w:val="single" w:sz="4" w:space="0" w:color="000000"/>
              <w:bottom w:val="single" w:sz="4" w:space="0" w:color="000000"/>
              <w:right w:val="single" w:sz="4" w:space="0" w:color="000000"/>
            </w:tcBorders>
          </w:tcPr>
          <w:p w14:paraId="4D7809EF"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564" w:type="pct"/>
            <w:tcBorders>
              <w:top w:val="single" w:sz="4" w:space="0" w:color="000000"/>
              <w:left w:val="single" w:sz="4" w:space="0" w:color="000000"/>
              <w:bottom w:val="single" w:sz="4" w:space="0" w:color="000000"/>
              <w:right w:val="single" w:sz="4" w:space="0" w:color="000000"/>
            </w:tcBorders>
          </w:tcPr>
          <w:p w14:paraId="1121F4FD"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w:t>
            </w:r>
          </w:p>
        </w:tc>
        <w:tc>
          <w:tcPr>
            <w:tcW w:w="636" w:type="pct"/>
            <w:tcBorders>
              <w:top w:val="single" w:sz="4" w:space="0" w:color="000000"/>
              <w:left w:val="single" w:sz="4" w:space="0" w:color="000000"/>
              <w:bottom w:val="single" w:sz="4" w:space="0" w:color="000000"/>
              <w:right w:val="single" w:sz="4" w:space="0" w:color="000000"/>
            </w:tcBorders>
          </w:tcPr>
          <w:p w14:paraId="5EC0353F"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Estados del área de distribución donde se conservan Angelotes.</w:t>
            </w:r>
          </w:p>
        </w:tc>
      </w:tr>
      <w:tr w:rsidR="00564AA1" w:rsidRPr="009E0427" w14:paraId="0077A9FD" w14:textId="77777777" w:rsidTr="00564AA1">
        <w:trPr>
          <w:trHeight w:val="796"/>
        </w:trPr>
        <w:tc>
          <w:tcPr>
            <w:tcW w:w="1200" w:type="pct"/>
            <w:vMerge/>
            <w:tcBorders>
              <w:top w:val="single" w:sz="4" w:space="0" w:color="000000"/>
              <w:left w:val="single" w:sz="4" w:space="0" w:color="000000"/>
              <w:bottom w:val="single" w:sz="4" w:space="0" w:color="000000"/>
              <w:right w:val="single" w:sz="4" w:space="0" w:color="000000"/>
            </w:tcBorders>
          </w:tcPr>
          <w:p w14:paraId="1A5BF852"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44" w:type="pct"/>
            <w:tcBorders>
              <w:top w:val="single" w:sz="4" w:space="0" w:color="000000"/>
              <w:left w:val="single" w:sz="4" w:space="0" w:color="000000"/>
              <w:bottom w:val="single" w:sz="4" w:space="0" w:color="000000"/>
              <w:right w:val="single" w:sz="4" w:space="0" w:color="000000"/>
            </w:tcBorders>
          </w:tcPr>
          <w:p w14:paraId="555219AF"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3.10 Dinámica de población histórica a más largo plazo: Dependiendo de los datos disponibles (véase la Acción 2.1), llevar a cabo análisis de las tendencias de la población a mayor plazo para los Angelotes en aguas nacionales y mares regionales para entender las tendencias de población históricas.</w:t>
            </w:r>
          </w:p>
        </w:tc>
        <w:tc>
          <w:tcPr>
            <w:tcW w:w="456" w:type="pct"/>
            <w:tcBorders>
              <w:top w:val="single" w:sz="4" w:space="0" w:color="000000"/>
              <w:left w:val="single" w:sz="4" w:space="0" w:color="000000"/>
              <w:bottom w:val="single" w:sz="4" w:space="0" w:color="000000"/>
              <w:right w:val="single" w:sz="4" w:space="0" w:color="000000"/>
            </w:tcBorders>
          </w:tcPr>
          <w:p w14:paraId="49B03BBF"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Baja</w:t>
            </w:r>
          </w:p>
        </w:tc>
        <w:tc>
          <w:tcPr>
            <w:tcW w:w="564" w:type="pct"/>
            <w:tcBorders>
              <w:top w:val="single" w:sz="4" w:space="0" w:color="000000"/>
              <w:left w:val="single" w:sz="4" w:space="0" w:color="000000"/>
              <w:bottom w:val="single" w:sz="4" w:space="0" w:color="000000"/>
              <w:right w:val="single" w:sz="4" w:space="0" w:color="000000"/>
            </w:tcBorders>
          </w:tcPr>
          <w:p w14:paraId="08F0DAD1"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Larga</w:t>
            </w:r>
          </w:p>
        </w:tc>
        <w:tc>
          <w:tcPr>
            <w:tcW w:w="636" w:type="pct"/>
            <w:tcBorders>
              <w:top w:val="single" w:sz="4" w:space="0" w:color="000000"/>
              <w:left w:val="single" w:sz="4" w:space="0" w:color="000000"/>
              <w:bottom w:val="single" w:sz="4" w:space="0" w:color="000000"/>
              <w:right w:val="single" w:sz="4" w:space="0" w:color="000000"/>
            </w:tcBorders>
          </w:tcPr>
          <w:p w14:paraId="1B0741E5"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bl>
    <w:p w14:paraId="09C10071" w14:textId="77777777" w:rsidR="003D4195" w:rsidRPr="00AA3F16" w:rsidRDefault="003D4195" w:rsidP="003D4195">
      <w:pPr>
        <w:rPr>
          <w:rFonts w:ascii="Times New Roman" w:eastAsia="Times New Roman" w:hAnsi="Times New Roman" w:cs="Times New Roman"/>
          <w:sz w:val="24"/>
          <w:szCs w:val="24"/>
          <w:lang w:val="es-ES" w:eastAsia="en-GB"/>
        </w:rPr>
      </w:pPr>
      <w:r w:rsidRPr="00AA3F16">
        <w:rPr>
          <w:rFonts w:ascii="Times New Roman" w:eastAsia="Times New Roman" w:hAnsi="Times New Roman" w:cs="Times New Roman"/>
          <w:sz w:val="24"/>
          <w:szCs w:val="24"/>
          <w:lang w:val="es-ES" w:eastAsia="es-E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86" w:type="dxa"/>
          <w:right w:w="86" w:type="dxa"/>
        </w:tblCellMar>
        <w:tblLook w:val="0000" w:firstRow="0" w:lastRow="0" w:firstColumn="0" w:lastColumn="0" w:noHBand="0" w:noVBand="0"/>
      </w:tblPr>
      <w:tblGrid>
        <w:gridCol w:w="3326"/>
        <w:gridCol w:w="5856"/>
        <w:gridCol w:w="1219"/>
        <w:gridCol w:w="1831"/>
        <w:gridCol w:w="1618"/>
      </w:tblGrid>
      <w:tr w:rsidR="003D4195" w:rsidRPr="009E0427" w14:paraId="00D8CDF4" w14:textId="77777777" w:rsidTr="008D4DCA">
        <w:trPr>
          <w:trHeight w:val="3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4C3AA500" w14:textId="3EEFCC3D" w:rsidR="003D4195" w:rsidRPr="00AA3F16" w:rsidRDefault="003D4195" w:rsidP="003D4195">
            <w:pPr>
              <w:widowControl w:val="0"/>
              <w:pBdr>
                <w:top w:val="nil"/>
                <w:left w:val="nil"/>
                <w:bottom w:val="nil"/>
                <w:right w:val="nil"/>
                <w:between w:val="nil"/>
              </w:pBdr>
              <w:rPr>
                <w:rFonts w:eastAsia="Arial" w:cs="Arial"/>
                <w:b/>
                <w:i/>
                <w:color w:val="000000"/>
                <w:sz w:val="21"/>
                <w:szCs w:val="21"/>
                <w:lang w:val="es-ES" w:eastAsia="en-GB"/>
              </w:rPr>
            </w:pPr>
            <w:r w:rsidRPr="00AA3F16">
              <w:rPr>
                <w:rFonts w:eastAsia="Arial" w:cs="Arial"/>
                <w:b/>
                <w:iCs/>
                <w:color w:val="000000"/>
                <w:sz w:val="21"/>
                <w:szCs w:val="21"/>
                <w:lang w:val="es-ES" w:eastAsia="es-ES"/>
              </w:rPr>
              <w:lastRenderedPageBreak/>
              <w:t>Tabla 9:</w:t>
            </w:r>
            <w:r w:rsidRPr="00AA3F16">
              <w:rPr>
                <w:rFonts w:eastAsia="Arial" w:cs="Arial"/>
                <w:b/>
                <w:i/>
                <w:color w:val="000000"/>
                <w:sz w:val="21"/>
                <w:szCs w:val="21"/>
                <w:lang w:val="es-ES" w:eastAsia="es-ES"/>
              </w:rPr>
              <w:t xml:space="preserve"> Objetivo 4 – </w:t>
            </w:r>
            <w:r w:rsidRPr="00AA3F16">
              <w:rPr>
                <w:rFonts w:eastAsia="Arial" w:cs="Arial"/>
                <w:b/>
                <w:iCs/>
                <w:color w:val="000000"/>
                <w:sz w:val="21"/>
                <w:szCs w:val="21"/>
                <w:lang w:val="es-ES" w:eastAsia="es-ES"/>
              </w:rPr>
              <w:t xml:space="preserve">Acciones de conservación para asegurar suficientes recursos a largo plazo para el Angelote </w:t>
            </w:r>
            <w:proofErr w:type="spellStart"/>
            <w:r w:rsidRPr="00AA3F16">
              <w:rPr>
                <w:rFonts w:eastAsia="Arial" w:cs="Arial"/>
                <w:b/>
                <w:i/>
                <w:color w:val="000000"/>
                <w:sz w:val="21"/>
                <w:szCs w:val="21"/>
                <w:lang w:val="es-ES" w:eastAsia="es-ES"/>
              </w:rPr>
              <w:t>Squatina</w:t>
            </w:r>
            <w:proofErr w:type="spellEnd"/>
            <w:r w:rsidRPr="00AA3F16">
              <w:rPr>
                <w:rFonts w:eastAsia="Arial" w:cs="Arial"/>
                <w:b/>
                <w:i/>
                <w:color w:val="000000"/>
                <w:sz w:val="21"/>
                <w:szCs w:val="21"/>
                <w:lang w:val="es-ES" w:eastAsia="es-ES"/>
              </w:rPr>
              <w:t xml:space="preserve"> </w:t>
            </w:r>
            <w:proofErr w:type="spellStart"/>
            <w:r w:rsidRPr="00AA3F16">
              <w:rPr>
                <w:rFonts w:eastAsia="Arial" w:cs="Arial"/>
                <w:b/>
                <w:i/>
                <w:color w:val="000000"/>
                <w:sz w:val="21"/>
                <w:szCs w:val="21"/>
                <w:lang w:val="es-ES" w:eastAsia="es-ES"/>
              </w:rPr>
              <w:t>squatina</w:t>
            </w:r>
            <w:proofErr w:type="spellEnd"/>
          </w:p>
        </w:tc>
      </w:tr>
      <w:tr w:rsidR="003D4195" w:rsidRPr="009E0427" w14:paraId="24F8FB0C" w14:textId="77777777" w:rsidTr="008D4DCA">
        <w:tc>
          <w:tcPr>
            <w:tcW w:w="1201" w:type="pct"/>
            <w:tcBorders>
              <w:top w:val="single" w:sz="4" w:space="0" w:color="000000"/>
              <w:left w:val="single" w:sz="4" w:space="0" w:color="000000"/>
              <w:bottom w:val="single" w:sz="4" w:space="0" w:color="000000"/>
              <w:right w:val="single" w:sz="4" w:space="0" w:color="000000"/>
            </w:tcBorders>
          </w:tcPr>
          <w:p w14:paraId="1861B673"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Resultado</w:t>
            </w:r>
          </w:p>
        </w:tc>
        <w:tc>
          <w:tcPr>
            <w:tcW w:w="2114" w:type="pct"/>
            <w:tcBorders>
              <w:top w:val="single" w:sz="4" w:space="0" w:color="000000"/>
              <w:left w:val="single" w:sz="4" w:space="0" w:color="000000"/>
              <w:bottom w:val="single" w:sz="4" w:space="0" w:color="000000"/>
              <w:right w:val="single" w:sz="4" w:space="0" w:color="000000"/>
            </w:tcBorders>
          </w:tcPr>
          <w:p w14:paraId="77A12514"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Acción</w:t>
            </w:r>
          </w:p>
        </w:tc>
        <w:tc>
          <w:tcPr>
            <w:tcW w:w="440" w:type="pct"/>
            <w:tcBorders>
              <w:top w:val="single" w:sz="4" w:space="0" w:color="000000"/>
              <w:left w:val="single" w:sz="4" w:space="0" w:color="000000"/>
              <w:bottom w:val="single" w:sz="4" w:space="0" w:color="000000"/>
              <w:right w:val="single" w:sz="4" w:space="0" w:color="000000"/>
            </w:tcBorders>
          </w:tcPr>
          <w:p w14:paraId="7C186AA8"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Prioridad</w:t>
            </w:r>
          </w:p>
        </w:tc>
        <w:tc>
          <w:tcPr>
            <w:tcW w:w="661" w:type="pct"/>
            <w:tcBorders>
              <w:top w:val="single" w:sz="4" w:space="0" w:color="000000"/>
              <w:left w:val="single" w:sz="4" w:space="0" w:color="000000"/>
              <w:bottom w:val="single" w:sz="4" w:space="0" w:color="000000"/>
              <w:right w:val="single" w:sz="4" w:space="0" w:color="000000"/>
            </w:tcBorders>
          </w:tcPr>
          <w:p w14:paraId="4FC0B753"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b/>
                <w:i/>
                <w:color w:val="000000"/>
                <w:sz w:val="21"/>
                <w:szCs w:val="21"/>
                <w:lang w:val="es-ES" w:eastAsia="es-ES"/>
              </w:rPr>
              <w:t>Escala temporal</w:t>
            </w:r>
          </w:p>
        </w:tc>
        <w:tc>
          <w:tcPr>
            <w:tcW w:w="584" w:type="pct"/>
            <w:tcBorders>
              <w:top w:val="single" w:sz="4" w:space="0" w:color="000000"/>
              <w:left w:val="single" w:sz="4" w:space="0" w:color="000000"/>
              <w:bottom w:val="single" w:sz="4" w:space="0" w:color="000000"/>
              <w:right w:val="single" w:sz="4" w:space="0" w:color="000000"/>
            </w:tcBorders>
          </w:tcPr>
          <w:p w14:paraId="2F45D494" w14:textId="77777777" w:rsidR="003D4195" w:rsidRPr="00AA3F16" w:rsidRDefault="003D4195" w:rsidP="003D4195">
            <w:pPr>
              <w:widowControl w:val="0"/>
              <w:pBdr>
                <w:top w:val="nil"/>
                <w:left w:val="nil"/>
                <w:bottom w:val="nil"/>
                <w:right w:val="nil"/>
                <w:between w:val="nil"/>
              </w:pBdr>
              <w:rPr>
                <w:rFonts w:eastAsia="Times New Roman" w:cs="Arial"/>
                <w:b/>
                <w:bCs/>
                <w:i/>
                <w:iCs/>
                <w:sz w:val="21"/>
                <w:szCs w:val="21"/>
                <w:lang w:val="es-ES" w:eastAsia="en-GB"/>
              </w:rPr>
            </w:pPr>
            <w:r w:rsidRPr="00AA3F16">
              <w:rPr>
                <w:rFonts w:eastAsia="Times New Roman" w:cs="Arial"/>
                <w:b/>
                <w:bCs/>
                <w:i/>
                <w:iCs/>
                <w:sz w:val="21"/>
                <w:szCs w:val="21"/>
                <w:lang w:val="es-ES" w:eastAsia="es-ES"/>
              </w:rPr>
              <w:t>Estados del área de distribución responsables</w:t>
            </w:r>
          </w:p>
        </w:tc>
      </w:tr>
      <w:tr w:rsidR="003D4195" w:rsidRPr="009E0427" w14:paraId="6C30383F" w14:textId="77777777" w:rsidTr="008D4DCA">
        <w:trPr>
          <w:trHeight w:val="772"/>
        </w:trPr>
        <w:tc>
          <w:tcPr>
            <w:tcW w:w="1201" w:type="pct"/>
            <w:vMerge w:val="restart"/>
            <w:tcBorders>
              <w:top w:val="single" w:sz="4" w:space="0" w:color="000000"/>
              <w:left w:val="single" w:sz="4" w:space="0" w:color="000000"/>
              <w:bottom w:val="single" w:sz="4" w:space="0" w:color="000000"/>
              <w:right w:val="single" w:sz="4" w:space="0" w:color="000000"/>
            </w:tcBorders>
          </w:tcPr>
          <w:p w14:paraId="7EC3C78F"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Los recursos se garantizarán a largo plazo para la implementación del Plan de Acción de especie única.</w:t>
            </w:r>
          </w:p>
        </w:tc>
        <w:tc>
          <w:tcPr>
            <w:tcW w:w="2114" w:type="pct"/>
            <w:tcBorders>
              <w:top w:val="single" w:sz="4" w:space="0" w:color="000000"/>
              <w:left w:val="single" w:sz="4" w:space="0" w:color="000000"/>
              <w:bottom w:val="single" w:sz="4" w:space="0" w:color="000000"/>
              <w:right w:val="single" w:sz="4" w:space="0" w:color="000000"/>
            </w:tcBorders>
          </w:tcPr>
          <w:p w14:paraId="37CBAEBD"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4.1 Proporcionar recursos: los gobiernos nacionales y regionales garantizarán los fondos necesarios para la implementación de las acciones a nivel nacional y regional. Las Partes harán todo lo posible por proporcionar fondos para implementar las acciones prioritarias en el plan y contribuirán económicamente a la coordinación y tiempo del trabajo.</w:t>
            </w:r>
          </w:p>
        </w:tc>
        <w:tc>
          <w:tcPr>
            <w:tcW w:w="440" w:type="pct"/>
            <w:tcBorders>
              <w:top w:val="single" w:sz="4" w:space="0" w:color="000000"/>
              <w:left w:val="single" w:sz="4" w:space="0" w:color="000000"/>
              <w:bottom w:val="single" w:sz="4" w:space="0" w:color="000000"/>
              <w:right w:val="single" w:sz="4" w:space="0" w:color="000000"/>
            </w:tcBorders>
          </w:tcPr>
          <w:p w14:paraId="1BFB50D2"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661" w:type="pct"/>
            <w:tcBorders>
              <w:top w:val="single" w:sz="4" w:space="0" w:color="000000"/>
              <w:left w:val="single" w:sz="4" w:space="0" w:color="000000"/>
              <w:bottom w:val="single" w:sz="4" w:space="0" w:color="000000"/>
              <w:right w:val="single" w:sz="4" w:space="0" w:color="000000"/>
            </w:tcBorders>
          </w:tcPr>
          <w:p w14:paraId="135838B2"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w:t>
            </w:r>
          </w:p>
        </w:tc>
        <w:tc>
          <w:tcPr>
            <w:tcW w:w="584" w:type="pct"/>
            <w:tcBorders>
              <w:top w:val="single" w:sz="4" w:space="0" w:color="000000"/>
              <w:left w:val="single" w:sz="4" w:space="0" w:color="000000"/>
              <w:bottom w:val="single" w:sz="4" w:space="0" w:color="000000"/>
              <w:right w:val="single" w:sz="4" w:space="0" w:color="000000"/>
            </w:tcBorders>
          </w:tcPr>
          <w:p w14:paraId="3A83C52E"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3D4195" w:rsidRPr="009E0427" w14:paraId="2DD9C459" w14:textId="77777777" w:rsidTr="008D4DCA">
        <w:trPr>
          <w:trHeight w:val="772"/>
        </w:trPr>
        <w:tc>
          <w:tcPr>
            <w:tcW w:w="1201" w:type="pct"/>
            <w:vMerge/>
            <w:tcBorders>
              <w:top w:val="single" w:sz="4" w:space="0" w:color="000000"/>
              <w:left w:val="single" w:sz="4" w:space="0" w:color="000000"/>
              <w:bottom w:val="single" w:sz="4" w:space="0" w:color="000000"/>
              <w:right w:val="single" w:sz="4" w:space="0" w:color="000000"/>
            </w:tcBorders>
          </w:tcPr>
          <w:p w14:paraId="10EAAE1E"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p>
        </w:tc>
        <w:tc>
          <w:tcPr>
            <w:tcW w:w="2114" w:type="pct"/>
            <w:tcBorders>
              <w:top w:val="single" w:sz="4" w:space="0" w:color="000000"/>
              <w:left w:val="single" w:sz="4" w:space="0" w:color="000000"/>
              <w:bottom w:val="single" w:sz="4" w:space="0" w:color="000000"/>
              <w:right w:val="single" w:sz="4" w:space="0" w:color="000000"/>
            </w:tcBorders>
          </w:tcPr>
          <w:p w14:paraId="162677AA" w14:textId="398E2A2B"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4.2 Establecer un grupo de trabajo internacional (</w:t>
            </w:r>
            <w:proofErr w:type="spellStart"/>
            <w:r w:rsidRPr="00AA3F16">
              <w:rPr>
                <w:rFonts w:eastAsia="Arial" w:cs="Arial"/>
                <w:color w:val="000000"/>
                <w:sz w:val="21"/>
                <w:szCs w:val="21"/>
                <w:lang w:val="es-ES" w:eastAsia="es-ES"/>
              </w:rPr>
              <w:t>IntWG</w:t>
            </w:r>
            <w:proofErr w:type="spellEnd"/>
            <w:r w:rsidRPr="00AA3F16">
              <w:rPr>
                <w:rFonts w:eastAsia="Arial" w:cs="Arial"/>
                <w:color w:val="000000"/>
                <w:sz w:val="21"/>
                <w:szCs w:val="21"/>
                <w:lang w:val="es-ES" w:eastAsia="es-ES"/>
              </w:rPr>
              <w:t>) para la región mediterránea: Se establecerá un grupo de trabajo (</w:t>
            </w:r>
            <w:proofErr w:type="spellStart"/>
            <w:r w:rsidRPr="00AA3F16">
              <w:rPr>
                <w:rFonts w:eastAsia="Arial" w:cs="Arial"/>
                <w:color w:val="000000"/>
                <w:sz w:val="21"/>
                <w:szCs w:val="21"/>
                <w:lang w:val="es-ES" w:eastAsia="es-ES"/>
              </w:rPr>
              <w:t>IntWG</w:t>
            </w:r>
            <w:proofErr w:type="spellEnd"/>
            <w:r w:rsidRPr="00AA3F16">
              <w:rPr>
                <w:rFonts w:eastAsia="Arial" w:cs="Arial"/>
                <w:color w:val="000000"/>
                <w:sz w:val="21"/>
                <w:szCs w:val="21"/>
                <w:lang w:val="es-ES" w:eastAsia="es-ES"/>
              </w:rPr>
              <w:t>, por su</w:t>
            </w:r>
            <w:r w:rsidR="00CA61F8">
              <w:rPr>
                <w:rFonts w:eastAsia="Arial" w:cs="Arial"/>
                <w:color w:val="000000"/>
                <w:sz w:val="21"/>
                <w:szCs w:val="21"/>
                <w:lang w:val="es-ES" w:eastAsia="es-ES"/>
              </w:rPr>
              <w:t>s</w:t>
            </w:r>
            <w:r w:rsidRPr="00AA3F16">
              <w:rPr>
                <w:rFonts w:eastAsia="Arial" w:cs="Arial"/>
                <w:color w:val="000000"/>
                <w:sz w:val="21"/>
                <w:szCs w:val="21"/>
                <w:lang w:val="es-ES" w:eastAsia="es-ES"/>
              </w:rPr>
              <w:t xml:space="preserve"> siglas en inglés) para coordinar y supervisar la implementación de este Plan de Acción de especie única.</w:t>
            </w:r>
          </w:p>
        </w:tc>
        <w:tc>
          <w:tcPr>
            <w:tcW w:w="440" w:type="pct"/>
            <w:tcBorders>
              <w:top w:val="single" w:sz="4" w:space="0" w:color="000000"/>
              <w:left w:val="single" w:sz="4" w:space="0" w:color="000000"/>
              <w:bottom w:val="single" w:sz="4" w:space="0" w:color="000000"/>
              <w:right w:val="single" w:sz="4" w:space="0" w:color="000000"/>
            </w:tcBorders>
          </w:tcPr>
          <w:p w14:paraId="5CC9622A"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Alta</w:t>
            </w:r>
          </w:p>
        </w:tc>
        <w:tc>
          <w:tcPr>
            <w:tcW w:w="661" w:type="pct"/>
            <w:tcBorders>
              <w:top w:val="single" w:sz="4" w:space="0" w:color="000000"/>
              <w:left w:val="single" w:sz="4" w:space="0" w:color="000000"/>
              <w:bottom w:val="single" w:sz="4" w:space="0" w:color="000000"/>
              <w:right w:val="single" w:sz="4" w:space="0" w:color="000000"/>
            </w:tcBorders>
          </w:tcPr>
          <w:p w14:paraId="34C7C1F2"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En curso</w:t>
            </w:r>
          </w:p>
        </w:tc>
        <w:tc>
          <w:tcPr>
            <w:tcW w:w="584" w:type="pct"/>
            <w:tcBorders>
              <w:top w:val="single" w:sz="4" w:space="0" w:color="000000"/>
              <w:left w:val="single" w:sz="4" w:space="0" w:color="000000"/>
              <w:bottom w:val="single" w:sz="4" w:space="0" w:color="000000"/>
              <w:right w:val="single" w:sz="4" w:space="0" w:color="000000"/>
            </w:tcBorders>
          </w:tcPr>
          <w:p w14:paraId="6E682ED6"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r w:rsidR="003D4195" w:rsidRPr="009E0427" w14:paraId="05C86A60" w14:textId="77777777" w:rsidTr="008D4DCA">
        <w:trPr>
          <w:trHeight w:val="801"/>
        </w:trPr>
        <w:tc>
          <w:tcPr>
            <w:tcW w:w="1201" w:type="pct"/>
            <w:vMerge/>
            <w:tcBorders>
              <w:top w:val="single" w:sz="4" w:space="0" w:color="000000"/>
              <w:left w:val="single" w:sz="4" w:space="0" w:color="000000"/>
              <w:bottom w:val="single" w:sz="4" w:space="0" w:color="000000"/>
              <w:right w:val="single" w:sz="4" w:space="0" w:color="000000"/>
            </w:tcBorders>
          </w:tcPr>
          <w:p w14:paraId="164E66DF" w14:textId="77777777" w:rsidR="003D4195" w:rsidRPr="00AA3F16" w:rsidRDefault="003D4195" w:rsidP="003D4195">
            <w:pPr>
              <w:widowControl w:val="0"/>
              <w:pBdr>
                <w:top w:val="nil"/>
                <w:left w:val="nil"/>
                <w:bottom w:val="nil"/>
                <w:right w:val="nil"/>
                <w:between w:val="nil"/>
              </w:pBdr>
              <w:spacing w:line="276" w:lineRule="auto"/>
              <w:rPr>
                <w:rFonts w:eastAsia="Arial" w:cs="Arial"/>
                <w:color w:val="000000"/>
                <w:sz w:val="21"/>
                <w:szCs w:val="21"/>
                <w:lang w:val="es-ES" w:eastAsia="en-GB"/>
              </w:rPr>
            </w:pPr>
          </w:p>
        </w:tc>
        <w:tc>
          <w:tcPr>
            <w:tcW w:w="2114" w:type="pct"/>
            <w:tcBorders>
              <w:top w:val="single" w:sz="4" w:space="0" w:color="000000"/>
              <w:left w:val="single" w:sz="4" w:space="0" w:color="000000"/>
              <w:bottom w:val="single" w:sz="4" w:space="0" w:color="000000"/>
              <w:right w:val="single" w:sz="4" w:space="0" w:color="000000"/>
            </w:tcBorders>
          </w:tcPr>
          <w:p w14:paraId="58CD3900" w14:textId="77777777" w:rsidR="003D4195" w:rsidRPr="00AA3F16" w:rsidRDefault="003D4195" w:rsidP="003D4195">
            <w:pPr>
              <w:widowControl w:val="0"/>
              <w:pBdr>
                <w:top w:val="nil"/>
                <w:left w:val="nil"/>
                <w:bottom w:val="nil"/>
                <w:right w:val="nil"/>
                <w:between w:val="nil"/>
              </w:pBdr>
              <w:jc w:val="both"/>
              <w:rPr>
                <w:rFonts w:eastAsia="Arial" w:cs="Arial"/>
                <w:color w:val="000000"/>
                <w:sz w:val="21"/>
                <w:szCs w:val="21"/>
                <w:lang w:val="es-ES" w:eastAsia="en-GB"/>
              </w:rPr>
            </w:pPr>
            <w:r w:rsidRPr="00AA3F16">
              <w:rPr>
                <w:rFonts w:eastAsia="Arial" w:cs="Arial"/>
                <w:color w:val="000000"/>
                <w:sz w:val="21"/>
                <w:szCs w:val="21"/>
                <w:lang w:val="es-ES" w:eastAsia="es-ES"/>
              </w:rPr>
              <w:t>4.3 Valorar las áreas protegidas: Ampliar la red de APM existentes para incluir cualquier CASA identificada y supervisar de forma continuada la efectividad de las redes de APM.</w:t>
            </w:r>
          </w:p>
        </w:tc>
        <w:tc>
          <w:tcPr>
            <w:tcW w:w="440" w:type="pct"/>
            <w:tcBorders>
              <w:top w:val="single" w:sz="4" w:space="0" w:color="000000"/>
              <w:left w:val="single" w:sz="4" w:space="0" w:color="000000"/>
              <w:bottom w:val="single" w:sz="4" w:space="0" w:color="000000"/>
              <w:right w:val="single" w:sz="4" w:space="0" w:color="000000"/>
            </w:tcBorders>
          </w:tcPr>
          <w:p w14:paraId="5410937C"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Media</w:t>
            </w:r>
          </w:p>
        </w:tc>
        <w:tc>
          <w:tcPr>
            <w:tcW w:w="661" w:type="pct"/>
            <w:tcBorders>
              <w:top w:val="single" w:sz="4" w:space="0" w:color="000000"/>
              <w:left w:val="single" w:sz="4" w:space="0" w:color="000000"/>
              <w:bottom w:val="single" w:sz="4" w:space="0" w:color="000000"/>
              <w:right w:val="single" w:sz="4" w:space="0" w:color="000000"/>
            </w:tcBorders>
          </w:tcPr>
          <w:p w14:paraId="1AF6D7C3"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Larga</w:t>
            </w:r>
          </w:p>
        </w:tc>
        <w:tc>
          <w:tcPr>
            <w:tcW w:w="584" w:type="pct"/>
            <w:tcBorders>
              <w:top w:val="single" w:sz="4" w:space="0" w:color="000000"/>
              <w:left w:val="single" w:sz="4" w:space="0" w:color="000000"/>
              <w:bottom w:val="single" w:sz="4" w:space="0" w:color="000000"/>
              <w:right w:val="single" w:sz="4" w:space="0" w:color="000000"/>
            </w:tcBorders>
          </w:tcPr>
          <w:p w14:paraId="0AC013E8" w14:textId="77777777" w:rsidR="003D4195" w:rsidRPr="00AA3F16" w:rsidRDefault="003D4195" w:rsidP="003D4195">
            <w:pPr>
              <w:widowControl w:val="0"/>
              <w:pBdr>
                <w:top w:val="nil"/>
                <w:left w:val="nil"/>
                <w:bottom w:val="nil"/>
                <w:right w:val="nil"/>
                <w:between w:val="nil"/>
              </w:pBdr>
              <w:rPr>
                <w:rFonts w:eastAsia="Arial" w:cs="Arial"/>
                <w:color w:val="000000"/>
                <w:sz w:val="21"/>
                <w:szCs w:val="21"/>
                <w:lang w:val="es-ES" w:eastAsia="en-GB"/>
              </w:rPr>
            </w:pPr>
            <w:r w:rsidRPr="00AA3F16">
              <w:rPr>
                <w:rFonts w:eastAsia="Arial" w:cs="Arial"/>
                <w:color w:val="000000"/>
                <w:sz w:val="21"/>
                <w:szCs w:val="21"/>
                <w:lang w:val="es-ES" w:eastAsia="es-ES"/>
              </w:rPr>
              <w:t>Todos los Estados del área de distribución.</w:t>
            </w:r>
          </w:p>
        </w:tc>
      </w:tr>
    </w:tbl>
    <w:p w14:paraId="2DF63884" w14:textId="4D133931" w:rsidR="00564AA1" w:rsidRPr="00AA3F16" w:rsidRDefault="00564AA1" w:rsidP="00020F61">
      <w:pPr>
        <w:keepNext/>
        <w:keepLines/>
        <w:jc w:val="both"/>
        <w:outlineLvl w:val="0"/>
        <w:rPr>
          <w:rStyle w:val="Heading2Char"/>
          <w:rFonts w:ascii="Arial" w:eastAsiaTheme="minorHAnsi" w:hAnsi="Arial" w:cs="Arial"/>
          <w:b w:val="0"/>
          <w:bCs w:val="0"/>
          <w:szCs w:val="22"/>
          <w:lang w:val="es-ES"/>
        </w:rPr>
      </w:pPr>
    </w:p>
    <w:sectPr w:rsidR="00564AA1" w:rsidRPr="00AA3F16" w:rsidSect="00020F61">
      <w:pgSz w:w="15840" w:h="12240" w:orient="landscape"/>
      <w:pgMar w:top="1440" w:right="1170" w:bottom="1260" w:left="810"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2F42" w14:textId="77777777" w:rsidR="009272F7" w:rsidRDefault="009272F7" w:rsidP="008562CA">
      <w:r>
        <w:separator/>
      </w:r>
    </w:p>
  </w:endnote>
  <w:endnote w:type="continuationSeparator" w:id="0">
    <w:p w14:paraId="5CE15853" w14:textId="77777777" w:rsidR="009272F7" w:rsidRDefault="009272F7" w:rsidP="0085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01848836"/>
      <w:docPartObj>
        <w:docPartGallery w:val="Page Numbers (Bottom of Page)"/>
        <w:docPartUnique/>
      </w:docPartObj>
    </w:sdtPr>
    <w:sdtEndPr>
      <w:rPr>
        <w:noProof/>
        <w:sz w:val="18"/>
        <w:szCs w:val="18"/>
      </w:rPr>
    </w:sdtEndPr>
    <w:sdtContent>
      <w:p w14:paraId="0BA60067" w14:textId="77777777" w:rsidR="001F56E8" w:rsidRPr="009E1EED" w:rsidRDefault="001F56E8" w:rsidP="001F56E8">
        <w:pPr>
          <w:pStyle w:val="Footer"/>
          <w:jc w:val="center"/>
          <w:rPr>
            <w:sz w:val="18"/>
            <w:szCs w:val="18"/>
          </w:rPr>
        </w:pPr>
        <w:r w:rsidRPr="009E1EED">
          <w:rPr>
            <w:sz w:val="18"/>
            <w:szCs w:val="18"/>
          </w:rPr>
          <w:fldChar w:fldCharType="begin"/>
        </w:r>
        <w:r w:rsidRPr="009E1EED">
          <w:rPr>
            <w:sz w:val="18"/>
            <w:szCs w:val="18"/>
          </w:rPr>
          <w:instrText xml:space="preserve"> PAGE   \* MERGEFORMAT </w:instrText>
        </w:r>
        <w:r w:rsidRPr="009E1EED">
          <w:rPr>
            <w:sz w:val="18"/>
            <w:szCs w:val="18"/>
          </w:rPr>
          <w:fldChar w:fldCharType="separate"/>
        </w:r>
        <w:r w:rsidR="00A40CC0" w:rsidRPr="009E1EED">
          <w:rPr>
            <w:noProof/>
            <w:sz w:val="18"/>
            <w:szCs w:val="18"/>
          </w:rPr>
          <w:t>2</w:t>
        </w:r>
        <w:r w:rsidRPr="009E1EED">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206383"/>
      <w:docPartObj>
        <w:docPartGallery w:val="Page Numbers (Bottom of Page)"/>
        <w:docPartUnique/>
      </w:docPartObj>
    </w:sdtPr>
    <w:sdtEndPr>
      <w:rPr>
        <w:noProof/>
        <w:sz w:val="18"/>
        <w:szCs w:val="18"/>
      </w:rPr>
    </w:sdtEndPr>
    <w:sdtContent>
      <w:p w14:paraId="078DC5FC" w14:textId="7C96A4CF" w:rsidR="009E0427" w:rsidRPr="009E0427" w:rsidRDefault="009E0427">
        <w:pPr>
          <w:pStyle w:val="Footer"/>
          <w:jc w:val="center"/>
          <w:rPr>
            <w:sz w:val="18"/>
            <w:szCs w:val="18"/>
          </w:rPr>
        </w:pPr>
        <w:r w:rsidRPr="009E0427">
          <w:rPr>
            <w:sz w:val="18"/>
            <w:szCs w:val="18"/>
          </w:rPr>
          <w:fldChar w:fldCharType="begin"/>
        </w:r>
        <w:r w:rsidRPr="009E0427">
          <w:rPr>
            <w:sz w:val="18"/>
            <w:szCs w:val="18"/>
          </w:rPr>
          <w:instrText xml:space="preserve"> PAGE   \* MERGEFORMAT </w:instrText>
        </w:r>
        <w:r w:rsidRPr="009E0427">
          <w:rPr>
            <w:sz w:val="18"/>
            <w:szCs w:val="18"/>
          </w:rPr>
          <w:fldChar w:fldCharType="separate"/>
        </w:r>
        <w:r w:rsidRPr="009E0427">
          <w:rPr>
            <w:noProof/>
            <w:sz w:val="18"/>
            <w:szCs w:val="18"/>
          </w:rPr>
          <w:t>2</w:t>
        </w:r>
        <w:r w:rsidRPr="009E0427">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344A" w14:textId="77777777" w:rsidR="00966666" w:rsidRPr="00C515BD" w:rsidRDefault="00966666" w:rsidP="00966666">
    <w:pPr>
      <w:pBdr>
        <w:top w:val="single" w:sz="4" w:space="1" w:color="auto"/>
      </w:pBdr>
      <w:ind w:left="-270"/>
      <w:rPr>
        <w:rFonts w:cs="Arial"/>
        <w:sz w:val="6"/>
        <w:szCs w:val="6"/>
        <w:lang w:val="de-DE"/>
      </w:rPr>
    </w:pPr>
  </w:p>
  <w:p w14:paraId="37ABD88B" w14:textId="1BFB97C9" w:rsidR="00966666" w:rsidRPr="007D2850" w:rsidRDefault="00352E4D" w:rsidP="00966666">
    <w:pPr>
      <w:ind w:right="-648"/>
      <w:rPr>
        <w:rFonts w:cs="Arial"/>
        <w:sz w:val="18"/>
        <w:szCs w:val="18"/>
        <w:lang w:val="es-ES"/>
      </w:rPr>
    </w:pPr>
    <w:r w:rsidRPr="007D2850">
      <w:rPr>
        <w:rFonts w:cs="Arial"/>
        <w:sz w:val="18"/>
        <w:szCs w:val="18"/>
        <w:lang w:val="es-ES"/>
      </w:rPr>
      <w:t xml:space="preserve">        Secretaría de la CMS   ●   UN Campus   ●   </w:t>
    </w:r>
    <w:proofErr w:type="spellStart"/>
    <w:r w:rsidRPr="007D2850">
      <w:rPr>
        <w:rFonts w:cs="Arial"/>
        <w:sz w:val="18"/>
        <w:szCs w:val="18"/>
        <w:lang w:val="es-ES"/>
      </w:rPr>
      <w:t>Platz</w:t>
    </w:r>
    <w:proofErr w:type="spellEnd"/>
    <w:r w:rsidRPr="007D2850">
      <w:rPr>
        <w:rFonts w:cs="Arial"/>
        <w:sz w:val="18"/>
        <w:szCs w:val="18"/>
        <w:lang w:val="es-ES"/>
      </w:rPr>
      <w:t xml:space="preserve"> der </w:t>
    </w:r>
    <w:proofErr w:type="spellStart"/>
    <w:r w:rsidRPr="007D2850">
      <w:rPr>
        <w:rFonts w:cs="Arial"/>
        <w:sz w:val="18"/>
        <w:szCs w:val="18"/>
        <w:lang w:val="es-ES"/>
      </w:rPr>
      <w:t>Vereinten</w:t>
    </w:r>
    <w:proofErr w:type="spellEnd"/>
    <w:r w:rsidRPr="007D2850">
      <w:rPr>
        <w:rFonts w:cs="Arial"/>
        <w:sz w:val="18"/>
        <w:szCs w:val="18"/>
        <w:lang w:val="es-ES"/>
      </w:rPr>
      <w:t xml:space="preserve"> </w:t>
    </w:r>
    <w:proofErr w:type="spellStart"/>
    <w:r w:rsidRPr="007D2850">
      <w:rPr>
        <w:rFonts w:cs="Arial"/>
        <w:sz w:val="18"/>
        <w:szCs w:val="18"/>
        <w:lang w:val="es-ES"/>
      </w:rPr>
      <w:t>Nationen</w:t>
    </w:r>
    <w:proofErr w:type="spellEnd"/>
    <w:r w:rsidRPr="007D2850">
      <w:rPr>
        <w:rFonts w:cs="Arial"/>
        <w:sz w:val="18"/>
        <w:szCs w:val="18"/>
        <w:lang w:val="es-ES"/>
      </w:rPr>
      <w:t xml:space="preserve"> 1   ●   53113 Bonn   ●   Alemania</w:t>
    </w:r>
  </w:p>
  <w:p w14:paraId="569F2848" w14:textId="77777777" w:rsidR="00D3197C" w:rsidRPr="007D2850" w:rsidRDefault="00966666" w:rsidP="00966666">
    <w:pPr>
      <w:ind w:left="-270" w:right="-1114"/>
      <w:jc w:val="both"/>
      <w:rPr>
        <w:rFonts w:cs="Arial"/>
        <w:sz w:val="18"/>
        <w:szCs w:val="18"/>
        <w:lang w:val="es-ES"/>
      </w:rPr>
    </w:pPr>
    <w:r w:rsidRPr="007D2850">
      <w:rPr>
        <w:rFonts w:cs="Arial"/>
        <w:sz w:val="18"/>
        <w:szCs w:val="18"/>
        <w:lang w:val="es-ES"/>
      </w:rPr>
      <w:t>Tel.: (+49 228) 815-2401   ●   Fax: (+49 228) 815-2449   ●   Correo electrónico: cms.secretariat@cms.int    ●   Sitio web: www.cms.int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050954"/>
      <w:docPartObj>
        <w:docPartGallery w:val="Page Numbers (Bottom of Page)"/>
        <w:docPartUnique/>
      </w:docPartObj>
    </w:sdtPr>
    <w:sdtEndPr>
      <w:rPr>
        <w:noProof/>
        <w:sz w:val="18"/>
        <w:szCs w:val="18"/>
      </w:rPr>
    </w:sdtEndPr>
    <w:sdtContent>
      <w:p w14:paraId="09754346" w14:textId="61ABF0C9" w:rsidR="009E1EED" w:rsidRPr="009E1EED" w:rsidRDefault="009E1EED">
        <w:pPr>
          <w:pStyle w:val="Footer"/>
          <w:jc w:val="center"/>
          <w:rPr>
            <w:sz w:val="18"/>
            <w:szCs w:val="18"/>
          </w:rPr>
        </w:pPr>
        <w:r w:rsidRPr="009E1EED">
          <w:rPr>
            <w:sz w:val="18"/>
            <w:szCs w:val="18"/>
          </w:rPr>
          <w:fldChar w:fldCharType="begin"/>
        </w:r>
        <w:r w:rsidRPr="009E1EED">
          <w:rPr>
            <w:sz w:val="18"/>
            <w:szCs w:val="18"/>
          </w:rPr>
          <w:instrText xml:space="preserve"> PAGE   \* MERGEFORMAT </w:instrText>
        </w:r>
        <w:r w:rsidRPr="009E1EED">
          <w:rPr>
            <w:sz w:val="18"/>
            <w:szCs w:val="18"/>
          </w:rPr>
          <w:fldChar w:fldCharType="separate"/>
        </w:r>
        <w:r w:rsidRPr="009E1EED">
          <w:rPr>
            <w:noProof/>
            <w:sz w:val="18"/>
            <w:szCs w:val="18"/>
          </w:rPr>
          <w:t>2</w:t>
        </w:r>
        <w:r w:rsidRPr="009E1EED">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6C5F" w14:textId="77777777" w:rsidR="009272F7" w:rsidRDefault="009272F7" w:rsidP="008562CA">
      <w:r>
        <w:separator/>
      </w:r>
    </w:p>
  </w:footnote>
  <w:footnote w:type="continuationSeparator" w:id="0">
    <w:p w14:paraId="24D41C82" w14:textId="77777777" w:rsidR="009272F7" w:rsidRDefault="009272F7" w:rsidP="008562CA">
      <w:r>
        <w:continuationSeparator/>
      </w:r>
    </w:p>
  </w:footnote>
  <w:footnote w:id="1">
    <w:p w14:paraId="6144A14A" w14:textId="463FF3CE" w:rsidR="00BE571E" w:rsidRPr="007D2850" w:rsidRDefault="00BE571E" w:rsidP="009E0427">
      <w:pPr>
        <w:pStyle w:val="FootnoteText"/>
        <w:rPr>
          <w:rFonts w:ascii="Arial" w:hAnsi="Arial" w:cs="Arial"/>
          <w:sz w:val="16"/>
          <w:szCs w:val="16"/>
          <w:lang w:val="es-ES"/>
        </w:rPr>
      </w:pPr>
      <w:r w:rsidRPr="00BE571E">
        <w:rPr>
          <w:rStyle w:val="FootnoteReference"/>
          <w:rFonts w:ascii="Arial" w:hAnsi="Arial" w:cs="Arial"/>
          <w:sz w:val="16"/>
          <w:szCs w:val="16"/>
        </w:rPr>
        <w:footnoteRef/>
      </w:r>
      <w:r w:rsidRPr="007D2850">
        <w:rPr>
          <w:rFonts w:ascii="Arial" w:hAnsi="Arial" w:cs="Arial"/>
          <w:sz w:val="16"/>
          <w:szCs w:val="16"/>
          <w:lang w:val="es-ES"/>
        </w:rPr>
        <w:t xml:space="preserve"> Acción concertada 12.5 (Rev. COP13): </w:t>
      </w:r>
      <w:r w:rsidR="009E0427">
        <w:fldChar w:fldCharType="begin"/>
      </w:r>
      <w:r w:rsidR="009E0427" w:rsidRPr="009E0427">
        <w:rPr>
          <w:lang w:val="es-ES"/>
        </w:rPr>
        <w:instrText xml:space="preserve"> HYPERLINK "https://www.cms.int/en/document/concerted-action-angelshark-squatina-squatina-1" </w:instrText>
      </w:r>
      <w:r w:rsidR="009E0427">
        <w:fldChar w:fldCharType="separate"/>
      </w:r>
      <w:r w:rsidR="00DE5AC2" w:rsidRPr="007D2850">
        <w:rPr>
          <w:rStyle w:val="Hyperlink"/>
          <w:rFonts w:ascii="Arial" w:hAnsi="Arial" w:cs="Arial"/>
          <w:sz w:val="16"/>
          <w:szCs w:val="16"/>
          <w:lang w:val="es-ES"/>
        </w:rPr>
        <w:t>https://www.cms.int/en/document/concerted-action-angelshark-squatina-squatina-1</w:t>
      </w:r>
      <w:r w:rsidR="009E0427">
        <w:rPr>
          <w:rStyle w:val="Hyperlink"/>
          <w:rFonts w:ascii="Arial" w:hAnsi="Arial" w:cs="Arial"/>
          <w:sz w:val="16"/>
          <w:szCs w:val="16"/>
          <w:lang w:val="es-ES"/>
        </w:rPr>
        <w:fldChar w:fldCharType="end"/>
      </w:r>
      <w:r w:rsidR="00DE5AC2" w:rsidRPr="007D2850">
        <w:rPr>
          <w:rFonts w:ascii="Arial" w:hAnsi="Arial" w:cs="Arial"/>
          <w:sz w:val="16"/>
          <w:szCs w:val="16"/>
          <w:lang w:val="es-ES"/>
        </w:rPr>
        <w:t xml:space="preserve"> </w:t>
      </w:r>
    </w:p>
  </w:footnote>
  <w:footnote w:id="2">
    <w:p w14:paraId="20EC8A32" w14:textId="77777777" w:rsidR="00BE571E" w:rsidRPr="007D2850" w:rsidRDefault="00BE571E" w:rsidP="009E0427">
      <w:pPr>
        <w:pStyle w:val="FootnoteText"/>
        <w:rPr>
          <w:rFonts w:ascii="Arial" w:hAnsi="Arial" w:cs="Arial"/>
          <w:lang w:val="es-ES"/>
        </w:rPr>
      </w:pPr>
      <w:r w:rsidRPr="00BE571E">
        <w:rPr>
          <w:rStyle w:val="FootnoteReference"/>
          <w:rFonts w:ascii="Arial" w:hAnsi="Arial" w:cs="Arial"/>
          <w:sz w:val="16"/>
          <w:szCs w:val="16"/>
        </w:rPr>
        <w:footnoteRef/>
      </w:r>
      <w:r w:rsidRPr="007D2850">
        <w:rPr>
          <w:rFonts w:ascii="Arial" w:hAnsi="Arial" w:cs="Arial"/>
          <w:sz w:val="16"/>
          <w:szCs w:val="16"/>
          <w:lang w:val="es-ES"/>
        </w:rPr>
        <w:t xml:space="preserve"> La especie Angelote mediterránea: Plan de Acción regional (Gordon </w:t>
      </w:r>
      <w:r w:rsidRPr="007D2850">
        <w:rPr>
          <w:rFonts w:ascii="Arial" w:hAnsi="Arial" w:cs="Arial"/>
          <w:i/>
          <w:iCs/>
          <w:sz w:val="16"/>
          <w:szCs w:val="16"/>
          <w:lang w:val="es-ES"/>
        </w:rPr>
        <w:t>et al.</w:t>
      </w:r>
      <w:r w:rsidRPr="007D2850">
        <w:rPr>
          <w:rFonts w:ascii="Arial" w:hAnsi="Arial" w:cs="Arial"/>
          <w:sz w:val="16"/>
          <w:szCs w:val="16"/>
          <w:lang w:val="es-ES"/>
        </w:rPr>
        <w:t xml:space="preserve"> 2019): https://www.cms.int/sites/default/files/document/Med-Angel-Sharks-Regional-Action-Plan_2019_EN.pdf</w:t>
      </w:r>
    </w:p>
  </w:footnote>
  <w:footnote w:id="3">
    <w:p w14:paraId="4069349D" w14:textId="77777777" w:rsidR="003D260B" w:rsidRPr="007D2850" w:rsidRDefault="003D260B" w:rsidP="003D260B">
      <w:pPr>
        <w:pStyle w:val="FootnoteText"/>
        <w:jc w:val="both"/>
        <w:rPr>
          <w:rFonts w:ascii="Arial" w:hAnsi="Arial" w:cs="Arial"/>
          <w:sz w:val="16"/>
          <w:szCs w:val="16"/>
          <w:lang w:val="es-ES"/>
        </w:rPr>
      </w:pPr>
      <w:r w:rsidRPr="003D260B">
        <w:rPr>
          <w:rStyle w:val="FootnoteReference"/>
          <w:rFonts w:ascii="Arial" w:hAnsi="Arial" w:cs="Arial"/>
          <w:sz w:val="16"/>
          <w:szCs w:val="16"/>
        </w:rPr>
        <w:footnoteRef/>
      </w:r>
      <w:r w:rsidRPr="007D2850">
        <w:rPr>
          <w:rFonts w:ascii="Arial" w:hAnsi="Arial" w:cs="Arial"/>
          <w:sz w:val="16"/>
          <w:szCs w:val="16"/>
          <w:lang w:val="es-ES"/>
        </w:rPr>
        <w:t xml:space="preserve"> Clasificación taxonómica según Fricke </w:t>
      </w:r>
      <w:r w:rsidRPr="003D260B">
        <w:rPr>
          <w:rFonts w:ascii="Arial" w:hAnsi="Arial" w:cs="Arial"/>
          <w:i/>
          <w:iCs/>
          <w:sz w:val="16"/>
          <w:szCs w:val="16"/>
          <w:lang w:val="es-ES"/>
        </w:rPr>
        <w:t>et al.</w:t>
      </w:r>
      <w:r w:rsidRPr="003D260B">
        <w:rPr>
          <w:rFonts w:ascii="Arial" w:hAnsi="Arial" w:cs="Arial"/>
          <w:sz w:val="16"/>
          <w:szCs w:val="16"/>
          <w:lang w:val="es-ES"/>
        </w:rPr>
        <w:t xml:space="preserve"> (2022).</w:t>
      </w:r>
    </w:p>
  </w:footnote>
  <w:footnote w:id="4">
    <w:p w14:paraId="6513B488" w14:textId="697F871A" w:rsidR="003D260B" w:rsidRPr="007D2850" w:rsidRDefault="003D260B" w:rsidP="003D260B">
      <w:pPr>
        <w:jc w:val="both"/>
        <w:rPr>
          <w:sz w:val="16"/>
          <w:szCs w:val="16"/>
          <w:lang w:val="es-ES"/>
        </w:rPr>
      </w:pPr>
      <w:r w:rsidRPr="003D260B">
        <w:rPr>
          <w:rStyle w:val="FootnoteReference"/>
          <w:rFonts w:cs="Arial"/>
          <w:sz w:val="16"/>
          <w:szCs w:val="16"/>
        </w:rPr>
        <w:footnoteRef/>
      </w:r>
      <w:r w:rsidRPr="007D2850">
        <w:rPr>
          <w:rFonts w:cs="Arial"/>
          <w:sz w:val="16"/>
          <w:szCs w:val="16"/>
          <w:lang w:val="es-ES"/>
        </w:rPr>
        <w:t xml:space="preserve"> Nombres comunes en los idiomas oficiales de la ONU. Para denominaciones en otros idiomas, por favor, véase el Capítulo 2 (página 9) del MedRAP (Gordon </w:t>
      </w:r>
      <w:r w:rsidRPr="003D260B">
        <w:rPr>
          <w:rFonts w:cs="Arial"/>
          <w:i/>
          <w:iCs/>
          <w:sz w:val="16"/>
          <w:szCs w:val="16"/>
          <w:lang w:val="es-ES"/>
        </w:rPr>
        <w:t>et al.</w:t>
      </w:r>
      <w:r w:rsidRPr="003D260B">
        <w:rPr>
          <w:rFonts w:cs="Arial"/>
          <w:sz w:val="16"/>
          <w:szCs w:val="16"/>
          <w:lang w:val="es-ES"/>
        </w:rPr>
        <w:t xml:space="preserve">, 2019) o busque en </w:t>
      </w:r>
      <w:r w:rsidR="009E0427">
        <w:fldChar w:fldCharType="begin"/>
      </w:r>
      <w:r w:rsidR="009E0427" w:rsidRPr="009E0427">
        <w:rPr>
          <w:lang w:val="es-ES"/>
        </w:rPr>
        <w:instrText xml:space="preserve"> HYPERLINK "https://www.fishbase.se/search.php" </w:instrText>
      </w:r>
      <w:r w:rsidR="009E0427">
        <w:fldChar w:fldCharType="separate"/>
      </w:r>
      <w:proofErr w:type="spellStart"/>
      <w:r w:rsidRPr="003D260B">
        <w:rPr>
          <w:rStyle w:val="Hyperlink"/>
          <w:rFonts w:cs="Arial"/>
          <w:sz w:val="16"/>
          <w:szCs w:val="16"/>
          <w:lang w:val="es-ES"/>
        </w:rPr>
        <w:t>FishBase</w:t>
      </w:r>
      <w:proofErr w:type="spellEnd"/>
      <w:r w:rsidR="009E0427">
        <w:rPr>
          <w:rStyle w:val="Hyperlink"/>
          <w:rFonts w:cs="Arial"/>
          <w:sz w:val="16"/>
          <w:szCs w:val="16"/>
          <w:lang w:val="es-ES"/>
        </w:rPr>
        <w:fldChar w:fldCharType="end"/>
      </w:r>
      <w:r w:rsidRPr="003D260B">
        <w:rPr>
          <w:rFonts w:cs="Arial"/>
          <w:sz w:val="16"/>
          <w:szCs w:val="16"/>
          <w:lang w:val="es-ES"/>
        </w:rPr>
        <w:t>..</w:t>
      </w:r>
    </w:p>
  </w:footnote>
  <w:footnote w:id="5">
    <w:p w14:paraId="3F6D106D" w14:textId="1B2DDAC3" w:rsidR="003D260B" w:rsidRPr="007D2850" w:rsidRDefault="003D260B" w:rsidP="00FF5284">
      <w:pPr>
        <w:pBdr>
          <w:top w:val="nil"/>
          <w:left w:val="nil"/>
          <w:bottom w:val="nil"/>
          <w:right w:val="nil"/>
          <w:between w:val="nil"/>
        </w:pBdr>
        <w:jc w:val="both"/>
        <w:rPr>
          <w:rFonts w:eastAsia="Calibri" w:cs="Arial"/>
          <w:color w:val="000000"/>
          <w:sz w:val="16"/>
          <w:szCs w:val="16"/>
          <w:lang w:val="es-ES"/>
        </w:rPr>
      </w:pPr>
      <w:r w:rsidRPr="00C867C5">
        <w:rPr>
          <w:rFonts w:cs="Arial"/>
          <w:sz w:val="16"/>
          <w:szCs w:val="16"/>
          <w:vertAlign w:val="superscript"/>
        </w:rPr>
        <w:footnoteRef/>
      </w:r>
      <w:r w:rsidRPr="007D2850">
        <w:rPr>
          <w:rFonts w:eastAsia="Calibri" w:cs="Arial"/>
          <w:color w:val="000000"/>
          <w:sz w:val="16"/>
          <w:szCs w:val="16"/>
          <w:lang w:val="es-ES"/>
        </w:rPr>
        <w:t xml:space="preserve"> La distribución del Angelote mostrada arriba (Morey</w:t>
      </w:r>
      <w:r w:rsidR="00FF5284" w:rsidRPr="007D2850">
        <w:rPr>
          <w:rStyle w:val="apple-converted-space"/>
          <w:rFonts w:cs="Arial"/>
          <w:color w:val="000000"/>
          <w:sz w:val="16"/>
          <w:szCs w:val="16"/>
          <w:lang w:val="es-ES"/>
        </w:rPr>
        <w:t> </w:t>
      </w:r>
      <w:r w:rsidR="00FF5284" w:rsidRPr="007D2850">
        <w:rPr>
          <w:rFonts w:cs="Arial"/>
          <w:i/>
          <w:iCs/>
          <w:color w:val="000000"/>
          <w:sz w:val="16"/>
          <w:szCs w:val="16"/>
          <w:lang w:val="es-ES"/>
        </w:rPr>
        <w:t>et al.,</w:t>
      </w:r>
      <w:r w:rsidR="00FF5284" w:rsidRPr="007D2850">
        <w:rPr>
          <w:rStyle w:val="apple-converted-space"/>
          <w:rFonts w:cs="Arial"/>
          <w:i/>
          <w:iCs/>
          <w:color w:val="000000"/>
          <w:sz w:val="16"/>
          <w:szCs w:val="16"/>
          <w:lang w:val="es-ES"/>
        </w:rPr>
        <w:t> </w:t>
      </w:r>
      <w:r w:rsidR="00FF5284" w:rsidRPr="007D2850">
        <w:rPr>
          <w:rFonts w:cs="Arial"/>
          <w:color w:val="000000"/>
          <w:sz w:val="16"/>
          <w:szCs w:val="16"/>
          <w:lang w:val="es-ES"/>
        </w:rPr>
        <w:t>2019) fue redefinida en un estudio posterior en el que trabajaron muchos de los mismos autores (Lawson</w:t>
      </w:r>
      <w:r w:rsidR="00FF5284" w:rsidRPr="007D2850">
        <w:rPr>
          <w:rStyle w:val="apple-converted-space"/>
          <w:rFonts w:cs="Arial"/>
          <w:color w:val="000000"/>
          <w:sz w:val="16"/>
          <w:szCs w:val="16"/>
          <w:lang w:val="es-ES"/>
        </w:rPr>
        <w:t> </w:t>
      </w:r>
      <w:r w:rsidR="00FF5284" w:rsidRPr="007D2850">
        <w:rPr>
          <w:rFonts w:cs="Arial"/>
          <w:i/>
          <w:iCs/>
          <w:color w:val="000000"/>
          <w:sz w:val="16"/>
          <w:szCs w:val="16"/>
          <w:lang w:val="es-ES"/>
        </w:rPr>
        <w:t>et al</w:t>
      </w:r>
      <w:r w:rsidR="00FF5284" w:rsidRPr="007D2850">
        <w:rPr>
          <w:rFonts w:cs="Arial"/>
          <w:color w:val="000000"/>
          <w:sz w:val="16"/>
          <w:szCs w:val="16"/>
          <w:lang w:val="es-ES"/>
        </w:rPr>
        <w:t>., 2020). La distribución revisada por Lawson</w:t>
      </w:r>
      <w:r w:rsidR="00FF5284" w:rsidRPr="007D2850">
        <w:rPr>
          <w:rStyle w:val="apple-converted-space"/>
          <w:rFonts w:cs="Arial"/>
          <w:color w:val="000000"/>
          <w:sz w:val="16"/>
          <w:szCs w:val="16"/>
          <w:lang w:val="es-ES"/>
        </w:rPr>
        <w:t> </w:t>
      </w:r>
      <w:r w:rsidR="00FF5284" w:rsidRPr="007D2850">
        <w:rPr>
          <w:rFonts w:cs="Arial"/>
          <w:i/>
          <w:iCs/>
          <w:color w:val="000000"/>
          <w:sz w:val="16"/>
          <w:szCs w:val="16"/>
          <w:lang w:val="es-ES"/>
        </w:rPr>
        <w:t>et al</w:t>
      </w:r>
      <w:r w:rsidR="00FF5284" w:rsidRPr="007D2850">
        <w:rPr>
          <w:rFonts w:cs="Arial"/>
          <w:color w:val="000000"/>
          <w:sz w:val="16"/>
          <w:szCs w:val="16"/>
          <w:lang w:val="es-ES"/>
        </w:rPr>
        <w:t>. (2020) informó de que el Angelote se conservaba en el mar Jónico oriental y en la zona suroccidental del mar Negro. Es de destacar que la distribución del Angelote en el mar Negro se limita a las aguas costeras de Turquía y cerca del sistema de Estrechos turcos, aunque no se constata que se dé en las zonas más norteñas y del este del mar Negro.</w:t>
      </w:r>
    </w:p>
  </w:footnote>
  <w:footnote w:id="6">
    <w:p w14:paraId="1AD4AC04" w14:textId="77777777" w:rsidR="009E1EED" w:rsidRPr="007D2850" w:rsidRDefault="009E1EED" w:rsidP="009E1EED">
      <w:pPr>
        <w:pStyle w:val="FootnoteText"/>
        <w:jc w:val="both"/>
        <w:rPr>
          <w:rFonts w:ascii="Arial" w:hAnsi="Arial" w:cs="Arial"/>
          <w:sz w:val="16"/>
          <w:szCs w:val="16"/>
          <w:lang w:val="es-ES"/>
        </w:rPr>
      </w:pPr>
      <w:r w:rsidRPr="00D2367E">
        <w:rPr>
          <w:rStyle w:val="FootnoteReference"/>
          <w:rFonts w:ascii="Arial" w:hAnsi="Arial" w:cs="Arial"/>
          <w:sz w:val="16"/>
          <w:szCs w:val="16"/>
        </w:rPr>
        <w:footnoteRef/>
      </w:r>
      <w:r w:rsidRPr="007D2850">
        <w:rPr>
          <w:rFonts w:ascii="Arial" w:hAnsi="Arial" w:cs="Arial"/>
          <w:sz w:val="16"/>
          <w:szCs w:val="16"/>
          <w:lang w:val="es-ES"/>
        </w:rPr>
        <w:t xml:space="preserve"> La mortalidad por captura incidental incluye la proporción de muerte cuando se retira el aparejo de pesca (mortalidad en la embarcación y la proporción de especímenes liberados vivos que posteriormente mueren a causa del proceso de captura (mortalidad posterior a la liberación).</w:t>
      </w:r>
    </w:p>
  </w:footnote>
  <w:footnote w:id="7">
    <w:p w14:paraId="6BD7E373" w14:textId="77777777" w:rsidR="009E1EED" w:rsidRPr="007D2850" w:rsidRDefault="009E1EED" w:rsidP="009E1EED">
      <w:pPr>
        <w:pStyle w:val="FootnoteText"/>
        <w:jc w:val="both"/>
        <w:rPr>
          <w:rFonts w:ascii="Arial" w:hAnsi="Arial" w:cs="Arial"/>
          <w:sz w:val="16"/>
          <w:szCs w:val="16"/>
          <w:lang w:val="es-ES"/>
        </w:rPr>
      </w:pPr>
      <w:r w:rsidRPr="00D2367E">
        <w:rPr>
          <w:rStyle w:val="FootnoteReference"/>
          <w:rFonts w:ascii="Arial" w:hAnsi="Arial" w:cs="Arial"/>
          <w:sz w:val="16"/>
          <w:szCs w:val="16"/>
        </w:rPr>
        <w:footnoteRef/>
      </w:r>
      <w:r w:rsidRPr="00D2367E">
        <w:rPr>
          <w:rFonts w:ascii="Arial" w:hAnsi="Arial" w:cs="Arial"/>
          <w:sz w:val="16"/>
          <w:szCs w:val="16"/>
          <w:lang w:val="es-ES"/>
        </w:rPr>
        <w:t xml:space="preserve"> El impacto producido por la contaminación de plásticos no se entiende totalmente en la actualidad. Es necesario realizar mayores investigaciones y, además, la categoría del riesgo puede revisarse con información adicional.</w:t>
      </w:r>
    </w:p>
  </w:footnote>
  <w:footnote w:id="8">
    <w:p w14:paraId="543DB65A" w14:textId="77777777" w:rsidR="009E1EED" w:rsidRPr="007D2850" w:rsidRDefault="009E1EED" w:rsidP="009E1EED">
      <w:pPr>
        <w:pStyle w:val="FootnoteText"/>
        <w:jc w:val="both"/>
        <w:rPr>
          <w:rFonts w:ascii="Arial" w:hAnsi="Arial" w:cs="Arial"/>
          <w:sz w:val="16"/>
          <w:szCs w:val="16"/>
          <w:lang w:val="es-ES"/>
        </w:rPr>
      </w:pPr>
      <w:r w:rsidRPr="00C867C5">
        <w:rPr>
          <w:rStyle w:val="FootnoteReference"/>
          <w:rFonts w:ascii="Arial" w:hAnsi="Arial" w:cs="Arial"/>
          <w:sz w:val="16"/>
          <w:szCs w:val="16"/>
        </w:rPr>
        <w:footnoteRef/>
      </w:r>
      <w:r w:rsidRPr="00C867C5">
        <w:rPr>
          <w:rFonts w:ascii="Arial" w:hAnsi="Arial" w:cs="Arial"/>
          <w:sz w:val="16"/>
          <w:szCs w:val="16"/>
          <w:lang w:val="es-ES"/>
        </w:rPr>
        <w:t xml:space="preserve"> Cualquier pesca excesiva localizada puede convertirse en una amenaza mayor a escala local.</w:t>
      </w:r>
    </w:p>
  </w:footnote>
  <w:footnote w:id="9">
    <w:p w14:paraId="5E897309" w14:textId="77777777" w:rsidR="009E1EED" w:rsidRPr="007D2850" w:rsidRDefault="009E1EED" w:rsidP="009E1EED">
      <w:pPr>
        <w:pStyle w:val="FootnoteText"/>
        <w:rPr>
          <w:rFonts w:ascii="Arial" w:hAnsi="Arial" w:cs="Arial"/>
          <w:sz w:val="16"/>
          <w:szCs w:val="16"/>
          <w:lang w:val="es-ES"/>
        </w:rPr>
      </w:pPr>
      <w:r w:rsidRPr="00B83D34">
        <w:rPr>
          <w:rStyle w:val="FootnoteReference"/>
          <w:rFonts w:ascii="Arial" w:hAnsi="Arial" w:cs="Arial"/>
          <w:sz w:val="16"/>
          <w:szCs w:val="16"/>
        </w:rPr>
        <w:footnoteRef/>
      </w:r>
      <w:r w:rsidRPr="007D2850">
        <w:rPr>
          <w:rFonts w:ascii="Arial" w:hAnsi="Arial" w:cs="Arial"/>
          <w:sz w:val="16"/>
          <w:szCs w:val="16"/>
          <w:lang w:val="es-ES"/>
        </w:rPr>
        <w:t xml:space="preserve"> La UICN consideró al Angelote como una especie en peligro crítico de extinción a nivel mundial.</w:t>
      </w:r>
    </w:p>
  </w:footnote>
  <w:footnote w:id="10">
    <w:p w14:paraId="5A0F0007" w14:textId="77777777" w:rsidR="009E1EED" w:rsidRPr="007D2850" w:rsidRDefault="009E1EED" w:rsidP="009E1EED">
      <w:pPr>
        <w:rPr>
          <w:rFonts w:cs="Arial"/>
          <w:sz w:val="16"/>
          <w:szCs w:val="16"/>
          <w:lang w:val="es-ES"/>
        </w:rPr>
      </w:pPr>
      <w:r w:rsidRPr="00B83D34">
        <w:rPr>
          <w:rStyle w:val="FootnoteReference"/>
          <w:rFonts w:cs="Arial"/>
          <w:sz w:val="16"/>
          <w:szCs w:val="16"/>
        </w:rPr>
        <w:footnoteRef/>
      </w:r>
      <w:r w:rsidRPr="00B83D34">
        <w:rPr>
          <w:rFonts w:cs="Arial"/>
          <w:sz w:val="16"/>
          <w:szCs w:val="16"/>
          <w:lang w:val="es-ES"/>
        </w:rPr>
        <w:t xml:space="preserve"> Véase Accobams/GFCM/FAO: una Guía de buenas prácticas para el manejo de tiburones y mantarrayas capturados de forma accidental en las pesquerías http://www.fao.org/gfcm/publications/projectsandinitiatives/en/</w:t>
      </w:r>
    </w:p>
    <w:p w14:paraId="0C80EBA1" w14:textId="77777777" w:rsidR="009E1EED" w:rsidRPr="007D2850" w:rsidRDefault="009E1EED" w:rsidP="009E1EED">
      <w:pPr>
        <w:pStyle w:val="FootnoteText"/>
        <w:rPr>
          <w:lang w:val="es-ES"/>
        </w:rPr>
      </w:pPr>
    </w:p>
  </w:footnote>
  <w:footnote w:id="11">
    <w:p w14:paraId="797AA3B4" w14:textId="3FEFFBEC" w:rsidR="00BC49CE" w:rsidRPr="007D2850" w:rsidRDefault="00BC49CE" w:rsidP="00FA5B33">
      <w:pPr>
        <w:jc w:val="both"/>
        <w:rPr>
          <w:rFonts w:cs="Arial"/>
          <w:sz w:val="16"/>
          <w:szCs w:val="16"/>
          <w:lang w:val="es-ES"/>
        </w:rPr>
      </w:pPr>
      <w:r w:rsidRPr="00BC49CE">
        <w:rPr>
          <w:rStyle w:val="FootnoteReference"/>
          <w:rFonts w:cs="Arial"/>
          <w:sz w:val="16"/>
          <w:szCs w:val="16"/>
        </w:rPr>
        <w:footnoteRef/>
      </w:r>
      <w:r w:rsidR="00B83D34">
        <w:rPr>
          <w:rFonts w:cs="Arial"/>
          <w:sz w:val="16"/>
          <w:szCs w:val="16"/>
          <w:lang w:val="es-ES"/>
        </w:rPr>
        <w:t xml:space="preserve"> Posiblemente conservado según Morey et al. (2019). No obstante, ha habido mayores constancias del </w:t>
      </w:r>
      <w:r w:rsidRPr="00BC49CE">
        <w:rPr>
          <w:rFonts w:cs="Arial"/>
          <w:i/>
          <w:iCs/>
          <w:sz w:val="16"/>
          <w:szCs w:val="16"/>
          <w:lang w:val="es-ES"/>
        </w:rPr>
        <w:t>S. squatina</w:t>
      </w:r>
      <w:r w:rsidRPr="00BC49CE">
        <w:rPr>
          <w:rFonts w:cs="Arial"/>
          <w:sz w:val="16"/>
          <w:szCs w:val="16"/>
          <w:lang w:val="es-ES"/>
        </w:rPr>
        <w:t xml:space="preserve"> en Chipre, tal como han documentado los Planes de Acción subregionales para la SAG 25 (Giovos </w:t>
      </w:r>
      <w:r w:rsidRPr="00BC49CE">
        <w:rPr>
          <w:rFonts w:cs="Arial"/>
          <w:i/>
          <w:iCs/>
          <w:sz w:val="16"/>
          <w:szCs w:val="16"/>
          <w:lang w:val="es-ES"/>
        </w:rPr>
        <w:t>et al.</w:t>
      </w:r>
      <w:r w:rsidRPr="00BC49CE">
        <w:rPr>
          <w:rFonts w:cs="Arial"/>
          <w:sz w:val="16"/>
          <w:szCs w:val="16"/>
          <w:lang w:val="es-ES"/>
        </w:rPr>
        <w:t xml:space="preserve">, 2021 y Bengil </w:t>
      </w:r>
      <w:r w:rsidRPr="00BC49CE">
        <w:rPr>
          <w:rFonts w:cs="Arial"/>
          <w:i/>
          <w:iCs/>
          <w:sz w:val="16"/>
          <w:szCs w:val="16"/>
          <w:lang w:val="es-ES"/>
        </w:rPr>
        <w:t>et al.</w:t>
      </w:r>
      <w:r w:rsidRPr="00BC49CE">
        <w:rPr>
          <w:rFonts w:cs="Arial"/>
          <w:sz w:val="16"/>
          <w:szCs w:val="16"/>
          <w:lang w:val="es-ES"/>
        </w:rPr>
        <w:t>, 2021).</w:t>
      </w:r>
    </w:p>
    <w:p w14:paraId="70E72341" w14:textId="77777777" w:rsidR="00BC49CE" w:rsidRPr="007D2850" w:rsidRDefault="00BC49CE" w:rsidP="00BC49CE">
      <w:pPr>
        <w:pStyle w:val="FootnoteText"/>
        <w:rPr>
          <w:rFonts w:ascii="Arial" w:hAnsi="Arial" w:cs="Arial"/>
          <w:sz w:val="18"/>
          <w:szCs w:val="18"/>
          <w:lang w:val="es-ES"/>
        </w:rPr>
      </w:pPr>
    </w:p>
  </w:footnote>
  <w:footnote w:id="12">
    <w:p w14:paraId="6E405FFC" w14:textId="2FB796C4" w:rsidR="00BC49CE" w:rsidRPr="007D2850" w:rsidRDefault="00BC49CE" w:rsidP="00FA5B33">
      <w:pPr>
        <w:pStyle w:val="FootnoteText"/>
        <w:jc w:val="both"/>
        <w:rPr>
          <w:rFonts w:ascii="Arial" w:hAnsi="Arial" w:cs="Arial"/>
          <w:sz w:val="16"/>
          <w:szCs w:val="16"/>
          <w:lang w:val="es-ES"/>
        </w:rPr>
      </w:pPr>
      <w:r w:rsidRPr="00BC49CE">
        <w:rPr>
          <w:rStyle w:val="FootnoteReference"/>
          <w:rFonts w:ascii="Arial" w:hAnsi="Arial" w:cs="Arial"/>
          <w:sz w:val="16"/>
          <w:szCs w:val="16"/>
        </w:rPr>
        <w:footnoteRef/>
      </w:r>
      <w:r w:rsidRPr="007D2850">
        <w:rPr>
          <w:rFonts w:ascii="Arial" w:hAnsi="Arial" w:cs="Arial"/>
          <w:sz w:val="16"/>
          <w:szCs w:val="16"/>
          <w:lang w:val="es-ES"/>
        </w:rPr>
        <w:t xml:space="preserve"> Presencia no segura según Lawson </w:t>
      </w:r>
      <w:r w:rsidRPr="007D2850">
        <w:rPr>
          <w:rFonts w:ascii="Arial" w:hAnsi="Arial" w:cs="Arial"/>
          <w:i/>
          <w:iCs/>
          <w:sz w:val="16"/>
          <w:szCs w:val="16"/>
          <w:lang w:val="es-ES"/>
        </w:rPr>
        <w:t>et al.</w:t>
      </w:r>
      <w:r w:rsidRPr="007D2850">
        <w:rPr>
          <w:rFonts w:ascii="Arial" w:hAnsi="Arial" w:cs="Arial"/>
          <w:sz w:val="16"/>
          <w:szCs w:val="16"/>
          <w:lang w:val="es-ES"/>
        </w:rPr>
        <w:t xml:space="preserve"> (2020) y Morey </w:t>
      </w:r>
      <w:r w:rsidRPr="007D2850">
        <w:rPr>
          <w:rFonts w:ascii="Arial" w:hAnsi="Arial" w:cs="Arial"/>
          <w:i/>
          <w:iCs/>
          <w:sz w:val="16"/>
          <w:szCs w:val="16"/>
          <w:lang w:val="es-ES"/>
        </w:rPr>
        <w:t>et al.</w:t>
      </w:r>
      <w:r w:rsidRPr="007D2850">
        <w:rPr>
          <w:rFonts w:ascii="Arial" w:hAnsi="Arial" w:cs="Arial"/>
          <w:sz w:val="16"/>
          <w:szCs w:val="16"/>
          <w:lang w:val="es-ES"/>
        </w:rPr>
        <w:t xml:space="preserve"> (2019). Sin embargo, se considera "conservado" según bibliografía reciente y por informaciones en las redes sociales que dan cuenta de ocurrencias de la especie en aguas del este de Cerdeña y sur de Sicilia (Marino Vacchi, comunicación personal) y cerca de la Isla de Lampedusa (Bottaro et al.,en preparación).</w:t>
      </w:r>
    </w:p>
  </w:footnote>
  <w:footnote w:id="13">
    <w:p w14:paraId="36AF2BA0" w14:textId="0A028914" w:rsidR="00BC49CE" w:rsidRPr="007D2850" w:rsidRDefault="00BC49CE" w:rsidP="00FA5B33">
      <w:pPr>
        <w:pStyle w:val="CommentText"/>
        <w:jc w:val="both"/>
        <w:rPr>
          <w:sz w:val="16"/>
          <w:szCs w:val="16"/>
          <w:lang w:val="es-ES"/>
        </w:rPr>
      </w:pPr>
      <w:r w:rsidRPr="00BC49CE">
        <w:rPr>
          <w:rStyle w:val="FootnoteReference"/>
          <w:sz w:val="16"/>
          <w:szCs w:val="16"/>
        </w:rPr>
        <w:footnoteRef/>
      </w:r>
      <w:r w:rsidRPr="007D2850">
        <w:rPr>
          <w:rFonts w:cs="Arial"/>
          <w:sz w:val="16"/>
          <w:szCs w:val="16"/>
          <w:lang w:val="es-ES"/>
        </w:rPr>
        <w:t xml:space="preserve">Presencia de las tres especies de Angelote en Siria comunicada en período que abarcó 2001 a 2004: </w:t>
      </w:r>
      <w:r w:rsidR="009E0427">
        <w:fldChar w:fldCharType="begin"/>
      </w:r>
      <w:r w:rsidR="009E0427" w:rsidRPr="009E0427">
        <w:rPr>
          <w:lang w:val="es-ES"/>
        </w:rPr>
        <w:instrText xml:space="preserve"> HYPERLINK "https://www.researchgate.net/publication/282171575_Shark_exploitation_and_conservation_</w:instrText>
      </w:r>
      <w:r w:rsidR="009E0427" w:rsidRPr="009E0427">
        <w:rPr>
          <w:lang w:val="es-ES"/>
        </w:rPr>
        <w:instrText xml:space="preserve">in_Syria" </w:instrText>
      </w:r>
      <w:r w:rsidR="009E0427">
        <w:fldChar w:fldCharType="separate"/>
      </w:r>
      <w:r w:rsidRPr="007D2850">
        <w:rPr>
          <w:rStyle w:val="Hyperlink"/>
          <w:sz w:val="16"/>
          <w:szCs w:val="16"/>
          <w:lang w:val="es-ES"/>
        </w:rPr>
        <w:t>https://www.researchgate.net/publication/282171575_Shark_exploitation_and_conservation_in_Syria</w:t>
      </w:r>
      <w:r w:rsidR="009E0427">
        <w:rPr>
          <w:rStyle w:val="Hyperlink"/>
          <w:sz w:val="16"/>
          <w:szCs w:val="16"/>
          <w:lang w:val="es-ES"/>
        </w:rPr>
        <w:fldChar w:fldCharType="end"/>
      </w:r>
    </w:p>
  </w:footnote>
  <w:footnote w:id="14">
    <w:p w14:paraId="7929744F" w14:textId="77777777" w:rsidR="00BC49CE" w:rsidRPr="007D2850" w:rsidRDefault="00BC49CE" w:rsidP="00FA5B33">
      <w:pPr>
        <w:pStyle w:val="FootnoteText"/>
        <w:jc w:val="both"/>
        <w:rPr>
          <w:rFonts w:ascii="Arial" w:hAnsi="Arial" w:cs="Arial"/>
          <w:sz w:val="16"/>
          <w:szCs w:val="16"/>
          <w:lang w:val="es-ES"/>
        </w:rPr>
      </w:pPr>
      <w:r w:rsidRPr="00BC49CE">
        <w:rPr>
          <w:rStyle w:val="FootnoteReference"/>
          <w:rFonts w:ascii="Arial" w:hAnsi="Arial" w:cs="Arial"/>
          <w:sz w:val="16"/>
          <w:szCs w:val="16"/>
        </w:rPr>
        <w:footnoteRef/>
      </w:r>
      <w:r w:rsidRPr="007D2850">
        <w:rPr>
          <w:rFonts w:ascii="Arial" w:hAnsi="Arial" w:cs="Arial"/>
          <w:sz w:val="16"/>
          <w:szCs w:val="16"/>
          <w:lang w:val="es-ES"/>
        </w:rPr>
        <w:t xml:space="preserve"> "Presencia no segura" según Morey et al. (2019). Sin embargo, durante el taller del MedRAP, la presencia se confirmó en esta región (Mohamed Nejmeddine Bradai, comunicación personal).</w:t>
      </w:r>
    </w:p>
  </w:footnote>
  <w:footnote w:id="15">
    <w:p w14:paraId="465FFD13" w14:textId="77777777" w:rsidR="00BC49CE" w:rsidRPr="007D2850" w:rsidRDefault="00BC49CE" w:rsidP="00FA5B33">
      <w:pPr>
        <w:pStyle w:val="FootnoteText"/>
        <w:jc w:val="both"/>
        <w:rPr>
          <w:rFonts w:ascii="Arial" w:hAnsi="Arial" w:cs="Arial"/>
          <w:sz w:val="16"/>
          <w:szCs w:val="16"/>
          <w:lang w:val="es-ES"/>
        </w:rPr>
      </w:pPr>
      <w:r w:rsidRPr="00BC49CE">
        <w:rPr>
          <w:rStyle w:val="FootnoteReference"/>
          <w:rFonts w:ascii="Arial" w:hAnsi="Arial" w:cs="Arial"/>
          <w:sz w:val="16"/>
          <w:szCs w:val="16"/>
        </w:rPr>
        <w:footnoteRef/>
      </w:r>
      <w:r w:rsidRPr="007D2850">
        <w:rPr>
          <w:rFonts w:ascii="Arial" w:hAnsi="Arial" w:cs="Arial"/>
          <w:sz w:val="16"/>
          <w:szCs w:val="16"/>
          <w:lang w:val="es-ES"/>
        </w:rPr>
        <w:t xml:space="preserve"> Morey et al. (2019) no han valorado el estado de los Angelotes en Gibraltar.</w:t>
      </w:r>
    </w:p>
  </w:footnote>
  <w:footnote w:id="16">
    <w:p w14:paraId="6B7C9DD6" w14:textId="77777777" w:rsidR="00BC49CE" w:rsidRPr="007D2850" w:rsidRDefault="00BC49CE" w:rsidP="00FA5B33">
      <w:pPr>
        <w:pStyle w:val="FootnoteText"/>
        <w:jc w:val="both"/>
        <w:rPr>
          <w:sz w:val="16"/>
          <w:szCs w:val="16"/>
          <w:lang w:val="es-ES"/>
        </w:rPr>
      </w:pPr>
      <w:r w:rsidRPr="00BC49CE">
        <w:rPr>
          <w:rStyle w:val="FootnoteReference"/>
          <w:rFonts w:ascii="Arial" w:hAnsi="Arial" w:cs="Arial"/>
          <w:sz w:val="16"/>
          <w:szCs w:val="16"/>
        </w:rPr>
        <w:footnoteRef/>
      </w:r>
      <w:r w:rsidRPr="007D2850">
        <w:rPr>
          <w:rFonts w:ascii="Arial" w:hAnsi="Arial" w:cs="Arial"/>
          <w:sz w:val="16"/>
          <w:szCs w:val="16"/>
          <w:lang w:val="es-ES"/>
        </w:rPr>
        <w:t xml:space="preserve"> Su presencia no se ha evaluado para las zonas de soberanía de Acrotiri y Dhekelia, dado que se conserva en algún lugar cerca de la Isla de Chipre.</w:t>
      </w:r>
    </w:p>
  </w:footnote>
  <w:footnote w:id="17">
    <w:p w14:paraId="6D340FAE" w14:textId="77777777" w:rsidR="00FA5B33" w:rsidRPr="007D2850" w:rsidRDefault="00FA5B33" w:rsidP="00FA5B33">
      <w:pPr>
        <w:spacing w:line="276" w:lineRule="auto"/>
        <w:rPr>
          <w:rFonts w:cs="Arial"/>
          <w:sz w:val="18"/>
          <w:szCs w:val="18"/>
          <w:lang w:val="es-ES"/>
        </w:rPr>
      </w:pPr>
      <w:r w:rsidRPr="00EA422D">
        <w:rPr>
          <w:rStyle w:val="FootnoteReference"/>
          <w:rFonts w:cs="Arial"/>
          <w:sz w:val="18"/>
          <w:szCs w:val="18"/>
        </w:rPr>
        <w:footnoteRef/>
      </w:r>
      <w:r w:rsidRPr="007D2850">
        <w:rPr>
          <w:rFonts w:cs="Arial"/>
          <w:sz w:val="18"/>
          <w:szCs w:val="18"/>
          <w:lang w:val="es-ES"/>
        </w:rPr>
        <w:t xml:space="preserve"> </w:t>
      </w:r>
      <w:r w:rsidR="009E0427">
        <w:fldChar w:fldCharType="begin"/>
      </w:r>
      <w:r w:rsidR="009E0427" w:rsidRPr="009E0427">
        <w:rPr>
          <w:lang w:val="es-ES"/>
        </w:rPr>
        <w:instrText xml:space="preserve"> HYPERLINK "https://www.fao.org/documents/card/en/c/cb2429en" </w:instrText>
      </w:r>
      <w:r w:rsidR="009E0427">
        <w:fldChar w:fldCharType="separate"/>
      </w:r>
      <w:r w:rsidRPr="007D2850">
        <w:rPr>
          <w:rStyle w:val="Hyperlink"/>
          <w:rFonts w:cs="Arial"/>
          <w:sz w:val="16"/>
          <w:szCs w:val="16"/>
          <w:lang w:val="es-ES"/>
        </w:rPr>
        <w:t>https://www.fao.org/documents/card/en/c/cb2429en</w:t>
      </w:r>
      <w:r w:rsidR="009E0427">
        <w:rPr>
          <w:rStyle w:val="Hyperlink"/>
          <w:rFonts w:cs="Arial"/>
          <w:sz w:val="16"/>
          <w:szCs w:val="16"/>
          <w:lang w:val="es-ES"/>
        </w:rPr>
        <w:fldChar w:fldCharType="end"/>
      </w:r>
      <w:r w:rsidRPr="007D2850">
        <w:rPr>
          <w:rFonts w:cs="Arial"/>
          <w:sz w:val="18"/>
          <w:szCs w:val="18"/>
          <w:lang w:val="es-ES"/>
        </w:rPr>
        <w:t xml:space="preserve">  </w:t>
      </w:r>
    </w:p>
  </w:footnote>
  <w:footnote w:id="18">
    <w:p w14:paraId="014A8345" w14:textId="75328D84" w:rsidR="00FA5B33" w:rsidRPr="007D2850" w:rsidRDefault="00FA5B33" w:rsidP="00FA5B33">
      <w:pPr>
        <w:pStyle w:val="FootnoteText"/>
        <w:jc w:val="both"/>
        <w:rPr>
          <w:rFonts w:ascii="Arial" w:hAnsi="Arial" w:cs="Arial"/>
          <w:sz w:val="16"/>
          <w:szCs w:val="16"/>
          <w:lang w:val="es-ES"/>
        </w:rPr>
      </w:pPr>
      <w:r w:rsidRPr="007D2850">
        <w:rPr>
          <w:rFonts w:ascii="Arial" w:hAnsi="Arial" w:cs="Arial"/>
          <w:sz w:val="16"/>
          <w:szCs w:val="16"/>
          <w:vertAlign w:val="superscript"/>
          <w:lang w:val="es-ES"/>
        </w:rPr>
        <w:t>18</w:t>
      </w:r>
      <w:r w:rsidRPr="007D2850">
        <w:rPr>
          <w:rFonts w:ascii="Arial" w:hAnsi="Arial" w:cs="Arial"/>
          <w:sz w:val="16"/>
          <w:szCs w:val="16"/>
          <w:lang w:val="es-ES"/>
        </w:rPr>
        <w:t xml:space="preserve"> "Presencia no segura" según Lawson </w:t>
      </w:r>
      <w:r w:rsidRPr="007D2850">
        <w:rPr>
          <w:rFonts w:ascii="Arial" w:hAnsi="Arial" w:cs="Arial"/>
          <w:i/>
          <w:iCs/>
          <w:sz w:val="16"/>
          <w:szCs w:val="16"/>
          <w:lang w:val="es-ES"/>
        </w:rPr>
        <w:t>et al.</w:t>
      </w:r>
      <w:r w:rsidRPr="007D2850">
        <w:rPr>
          <w:rFonts w:ascii="Arial" w:hAnsi="Arial" w:cs="Arial"/>
          <w:sz w:val="16"/>
          <w:szCs w:val="16"/>
          <w:lang w:val="es-ES"/>
        </w:rPr>
        <w:t xml:space="preserve"> (2020) y Morey </w:t>
      </w:r>
      <w:r w:rsidRPr="007D2850">
        <w:rPr>
          <w:rFonts w:ascii="Arial" w:hAnsi="Arial" w:cs="Arial"/>
          <w:i/>
          <w:iCs/>
          <w:sz w:val="16"/>
          <w:szCs w:val="16"/>
          <w:lang w:val="es-ES"/>
        </w:rPr>
        <w:t>et al.</w:t>
      </w:r>
      <w:r w:rsidRPr="007D2850">
        <w:rPr>
          <w:rFonts w:ascii="Arial" w:hAnsi="Arial" w:cs="Arial"/>
          <w:sz w:val="16"/>
          <w:szCs w:val="16"/>
          <w:lang w:val="es-ES"/>
        </w:rPr>
        <w:t xml:space="preserve"> (2019). Sin embargo, se considera "conservado" según bibliografía reciente y por informaciones en las redes sociales que dan cuenta de ocurrencias de la especie en aguas del este de Cerdeña (Marino Vacchi, comunicación personal).</w:t>
      </w:r>
    </w:p>
  </w:footnote>
  <w:footnote w:id="19">
    <w:p w14:paraId="229AA7B0" w14:textId="46A7A000" w:rsidR="00FA5B33" w:rsidRPr="007D2850" w:rsidRDefault="00FA5B33" w:rsidP="00FA5B33">
      <w:pPr>
        <w:pStyle w:val="FootnoteText"/>
        <w:jc w:val="both"/>
        <w:rPr>
          <w:rFonts w:ascii="Arial" w:hAnsi="Arial" w:cs="Arial"/>
          <w:sz w:val="16"/>
          <w:szCs w:val="16"/>
          <w:lang w:val="es-ES"/>
        </w:rPr>
      </w:pPr>
      <w:r w:rsidRPr="00FA5B33">
        <w:rPr>
          <w:rStyle w:val="FootnoteReference"/>
          <w:rFonts w:ascii="Arial" w:hAnsi="Arial" w:cs="Arial"/>
          <w:sz w:val="16"/>
          <w:szCs w:val="16"/>
        </w:rPr>
        <w:footnoteRef/>
      </w:r>
      <w:r w:rsidRPr="007D2850">
        <w:rPr>
          <w:rFonts w:ascii="Arial" w:hAnsi="Arial" w:cs="Arial"/>
          <w:sz w:val="16"/>
          <w:szCs w:val="16"/>
          <w:lang w:val="es-ES"/>
        </w:rPr>
        <w:t xml:space="preserve"> No se ha valorado el Angelote en el área ni por parte de Morey </w:t>
      </w:r>
      <w:r w:rsidRPr="007D2850">
        <w:rPr>
          <w:rFonts w:ascii="Arial" w:hAnsi="Arial" w:cs="Arial"/>
          <w:i/>
          <w:iCs/>
          <w:sz w:val="16"/>
          <w:szCs w:val="16"/>
          <w:lang w:val="es-ES"/>
        </w:rPr>
        <w:t>et al.</w:t>
      </w:r>
      <w:r w:rsidRPr="007D2850">
        <w:rPr>
          <w:rFonts w:ascii="Arial" w:hAnsi="Arial" w:cs="Arial"/>
          <w:sz w:val="16"/>
          <w:szCs w:val="16"/>
          <w:lang w:val="es-ES"/>
        </w:rPr>
        <w:t xml:space="preserve"> (2019) ni por Lawson </w:t>
      </w:r>
      <w:r w:rsidRPr="00FA5B33">
        <w:rPr>
          <w:rFonts w:ascii="Arial" w:hAnsi="Arial" w:cs="Arial"/>
          <w:i/>
          <w:iCs/>
          <w:sz w:val="16"/>
          <w:szCs w:val="16"/>
          <w:lang w:val="es-ES"/>
        </w:rPr>
        <w:t xml:space="preserve">et al. </w:t>
      </w:r>
      <w:r w:rsidRPr="00FA5B33">
        <w:rPr>
          <w:rFonts w:ascii="Arial" w:hAnsi="Arial" w:cs="Arial"/>
          <w:sz w:val="16"/>
          <w:szCs w:val="16"/>
          <w:lang w:val="es-ES"/>
        </w:rPr>
        <w:t>(2020). Sin embargo, se considera "conservado" según bibliografía reciente y por informaciones en las redes sociales que dan cuenta de ocurrencias de la especie en aguas del sur de Sicilia (Marino Vacchi, comunicación personal).</w:t>
      </w:r>
    </w:p>
  </w:footnote>
  <w:footnote w:id="20">
    <w:p w14:paraId="221FD891" w14:textId="77777777" w:rsidR="00FA5B33" w:rsidRPr="007D2850" w:rsidRDefault="00FA5B33" w:rsidP="00FA5B33">
      <w:pPr>
        <w:pStyle w:val="FootnoteText"/>
        <w:jc w:val="both"/>
        <w:rPr>
          <w:rFonts w:ascii="Arial" w:hAnsi="Arial" w:cs="Arial"/>
          <w:sz w:val="16"/>
          <w:szCs w:val="16"/>
          <w:lang w:val="es-ES"/>
        </w:rPr>
      </w:pPr>
      <w:r w:rsidRPr="00FA5B33">
        <w:rPr>
          <w:rStyle w:val="FootnoteReference"/>
          <w:rFonts w:ascii="Arial" w:hAnsi="Arial" w:cs="Arial"/>
          <w:sz w:val="16"/>
          <w:szCs w:val="16"/>
        </w:rPr>
        <w:footnoteRef/>
      </w:r>
      <w:r w:rsidRPr="007D2850">
        <w:rPr>
          <w:rFonts w:ascii="Arial" w:hAnsi="Arial" w:cs="Arial"/>
          <w:sz w:val="16"/>
          <w:szCs w:val="16"/>
          <w:lang w:val="es-ES"/>
        </w:rPr>
        <w:t xml:space="preserve"> Presente, aunque solo de forma muy próxima al SAG-CGPM 28 (Jim Ellis, comunicación personal).</w:t>
      </w:r>
    </w:p>
  </w:footnote>
  <w:footnote w:id="21">
    <w:p w14:paraId="06553EB0" w14:textId="77777777" w:rsidR="00FA5B33" w:rsidRPr="007D2850" w:rsidRDefault="00FA5B33" w:rsidP="00C96867">
      <w:pPr>
        <w:pBdr>
          <w:top w:val="nil"/>
          <w:left w:val="nil"/>
          <w:bottom w:val="nil"/>
          <w:right w:val="nil"/>
          <w:between w:val="nil"/>
        </w:pBdr>
        <w:spacing w:after="200" w:line="276" w:lineRule="auto"/>
        <w:jc w:val="both"/>
        <w:rPr>
          <w:rFonts w:eastAsia="Calibri" w:cs="Arial"/>
          <w:color w:val="000000"/>
          <w:sz w:val="16"/>
          <w:szCs w:val="16"/>
          <w:lang w:val="es-ES"/>
        </w:rPr>
      </w:pPr>
      <w:r w:rsidRPr="00C867C5">
        <w:rPr>
          <w:rFonts w:cs="Arial"/>
          <w:sz w:val="16"/>
          <w:szCs w:val="16"/>
          <w:vertAlign w:val="superscript"/>
        </w:rPr>
        <w:footnoteRef/>
      </w:r>
      <w:r w:rsidRPr="007D2850">
        <w:rPr>
          <w:rFonts w:eastAsia="Calibri" w:cs="Arial"/>
          <w:color w:val="000000"/>
          <w:sz w:val="16"/>
          <w:szCs w:val="16"/>
          <w:lang w:val="es-ES"/>
        </w:rPr>
        <w:t xml:space="preserve"> Recomendación CGPM/42/2018/2, sobre medidas de gestión de pesquerías para la conservación de los tiburones y las mantarrayas en el área de aplicación del CGPM, con enmienda a la Recomendación CGPM/36/2012/3.</w:t>
      </w:r>
    </w:p>
  </w:footnote>
  <w:footnote w:id="22">
    <w:p w14:paraId="24876D75" w14:textId="77777777" w:rsidR="00B9436A" w:rsidRPr="007D2850" w:rsidRDefault="00B9436A" w:rsidP="00B9436A">
      <w:pPr>
        <w:pStyle w:val="FootnoteText"/>
        <w:rPr>
          <w:rFonts w:ascii="Arial" w:hAnsi="Arial" w:cs="Arial"/>
          <w:sz w:val="16"/>
          <w:szCs w:val="16"/>
          <w:lang w:val="es-ES"/>
        </w:rPr>
      </w:pPr>
      <w:r w:rsidRPr="00C867C5">
        <w:rPr>
          <w:rStyle w:val="FootnoteReference"/>
          <w:rFonts w:ascii="Arial" w:hAnsi="Arial" w:cs="Arial"/>
          <w:sz w:val="16"/>
          <w:szCs w:val="16"/>
        </w:rPr>
        <w:footnoteRef/>
      </w:r>
      <w:r w:rsidRPr="007D2850">
        <w:rPr>
          <w:rFonts w:ascii="Arial" w:hAnsi="Arial" w:cs="Arial"/>
          <w:sz w:val="16"/>
          <w:szCs w:val="16"/>
          <w:lang w:val="es-ES"/>
        </w:rPr>
        <w:t xml:space="preserve"> Mapa de Avistamientos de la especie Angelote: https://angelsharknetwork.com/#map</w:t>
      </w:r>
    </w:p>
  </w:footnote>
  <w:footnote w:id="23">
    <w:p w14:paraId="74A5961A" w14:textId="77777777" w:rsidR="003D4195" w:rsidRPr="007D2850" w:rsidRDefault="003D4195" w:rsidP="003D4195">
      <w:pPr>
        <w:pStyle w:val="FootnoteText"/>
        <w:rPr>
          <w:lang w:val="es-ES"/>
        </w:rPr>
      </w:pPr>
      <w:r w:rsidRPr="00C867C5">
        <w:rPr>
          <w:rStyle w:val="FootnoteReference"/>
          <w:rFonts w:ascii="Arial" w:hAnsi="Arial" w:cs="Arial"/>
          <w:sz w:val="16"/>
          <w:szCs w:val="16"/>
        </w:rPr>
        <w:footnoteRef/>
      </w:r>
      <w:r w:rsidRPr="007D2850">
        <w:rPr>
          <w:rFonts w:ascii="Arial" w:hAnsi="Arial" w:cs="Arial"/>
          <w:sz w:val="16"/>
          <w:szCs w:val="16"/>
          <w:lang w:val="es-ES"/>
        </w:rPr>
        <w:t xml:space="preserve"> Código de conducta para buceo con esnórquel: https://angelsharknetwork.com/wp-content/uploads/sites/16/2018/08/Code-of-Conduct-English.pdf</w:t>
      </w:r>
    </w:p>
  </w:footnote>
  <w:footnote w:id="24">
    <w:p w14:paraId="0F7C4A40" w14:textId="77777777" w:rsidR="003D4195" w:rsidRPr="007D2850" w:rsidRDefault="003D4195" w:rsidP="003D4195">
      <w:pPr>
        <w:shd w:val="clear" w:color="auto" w:fill="FFFFFF"/>
        <w:rPr>
          <w:rFonts w:eastAsia="Arial" w:cs="Arial"/>
          <w:color w:val="000000"/>
          <w:sz w:val="16"/>
          <w:szCs w:val="16"/>
          <w:lang w:val="es-ES"/>
        </w:rPr>
      </w:pPr>
      <w:r w:rsidRPr="00C867C5">
        <w:rPr>
          <w:rFonts w:cs="Arial"/>
          <w:sz w:val="16"/>
          <w:szCs w:val="16"/>
          <w:vertAlign w:val="superscript"/>
        </w:rPr>
        <w:footnoteRef/>
      </w:r>
      <w:r w:rsidRPr="007D2850">
        <w:rPr>
          <w:rFonts w:eastAsia="Arial" w:cs="Arial"/>
          <w:sz w:val="16"/>
          <w:szCs w:val="16"/>
          <w:lang w:val="es-ES"/>
        </w:rPr>
        <w:t xml:space="preserve"> </w:t>
      </w:r>
      <w:r w:rsidRPr="007D2850">
        <w:rPr>
          <w:rFonts w:eastAsia="Arial" w:cs="Arial"/>
          <w:color w:val="000000"/>
          <w:sz w:val="16"/>
          <w:szCs w:val="16"/>
          <w:lang w:val="es-ES"/>
        </w:rPr>
        <w:t xml:space="preserve">Artículo III (5) de la CMS: </w:t>
      </w:r>
    </w:p>
    <w:p w14:paraId="2E3934D2" w14:textId="77777777" w:rsidR="003D4195" w:rsidRPr="007D2850" w:rsidRDefault="003D4195" w:rsidP="003D4195">
      <w:pPr>
        <w:shd w:val="clear" w:color="auto" w:fill="FFFFFF"/>
        <w:rPr>
          <w:rFonts w:eastAsia="Arial" w:cs="Arial"/>
          <w:color w:val="000000"/>
          <w:sz w:val="16"/>
          <w:szCs w:val="16"/>
          <w:lang w:val="es-ES"/>
        </w:rPr>
      </w:pPr>
      <w:r w:rsidRPr="007D2850">
        <w:rPr>
          <w:rFonts w:eastAsia="Arial" w:cs="Arial"/>
          <w:color w:val="000000"/>
          <w:sz w:val="16"/>
          <w:szCs w:val="16"/>
          <w:lang w:val="es-ES"/>
        </w:rPr>
        <w:t>Las Partes que sean Estados del área de distribución de especies migratorias enumeradas en el Anexo I prohibirán la captura de animales que pertenezcan a dichas especies. Habrá excepciones a esta prohibición solo en el caso de que:</w:t>
      </w:r>
    </w:p>
    <w:p w14:paraId="63AC1F46" w14:textId="77777777" w:rsidR="003D4195" w:rsidRPr="007D2850" w:rsidRDefault="003D4195" w:rsidP="003D4195">
      <w:pPr>
        <w:shd w:val="clear" w:color="auto" w:fill="FFFFFF"/>
        <w:ind w:left="720"/>
        <w:rPr>
          <w:rFonts w:eastAsia="Arial" w:cs="Arial"/>
          <w:color w:val="000000"/>
          <w:sz w:val="16"/>
          <w:szCs w:val="16"/>
          <w:lang w:val="es-ES"/>
        </w:rPr>
      </w:pPr>
      <w:r w:rsidRPr="007D2850">
        <w:rPr>
          <w:rFonts w:eastAsia="Arial" w:cs="Arial"/>
          <w:color w:val="000000"/>
          <w:sz w:val="16"/>
          <w:szCs w:val="16"/>
          <w:lang w:val="es-ES"/>
        </w:rPr>
        <w:t>a) La captura se realice con fines científicos.</w:t>
      </w:r>
    </w:p>
    <w:p w14:paraId="5D38A91A" w14:textId="77777777" w:rsidR="003D4195" w:rsidRPr="007D2850" w:rsidRDefault="003D4195" w:rsidP="003D4195">
      <w:pPr>
        <w:shd w:val="clear" w:color="auto" w:fill="FFFFFF"/>
        <w:ind w:left="720"/>
        <w:rPr>
          <w:rFonts w:eastAsia="Arial" w:cs="Arial"/>
          <w:color w:val="000000"/>
          <w:sz w:val="16"/>
          <w:szCs w:val="16"/>
          <w:lang w:val="es-ES"/>
        </w:rPr>
      </w:pPr>
      <w:r w:rsidRPr="007D2850">
        <w:rPr>
          <w:rFonts w:eastAsia="Arial" w:cs="Arial"/>
          <w:color w:val="000000"/>
          <w:sz w:val="16"/>
          <w:szCs w:val="16"/>
          <w:lang w:val="es-ES"/>
        </w:rPr>
        <w:t>b) La captura sea con el propósito de aumentar la expansión o supervivencia de la especie afectada.</w:t>
      </w:r>
    </w:p>
    <w:p w14:paraId="61BC4121" w14:textId="77777777" w:rsidR="003D4195" w:rsidRPr="007D2850" w:rsidRDefault="003D4195" w:rsidP="003D4195">
      <w:pPr>
        <w:shd w:val="clear" w:color="auto" w:fill="FFFFFF"/>
        <w:ind w:left="720"/>
        <w:rPr>
          <w:rFonts w:eastAsia="Arial" w:cs="Arial"/>
          <w:color w:val="000000"/>
          <w:sz w:val="16"/>
          <w:szCs w:val="16"/>
          <w:lang w:val="es-ES"/>
        </w:rPr>
      </w:pPr>
      <w:r w:rsidRPr="007D2850">
        <w:rPr>
          <w:rFonts w:eastAsia="Arial" w:cs="Arial"/>
          <w:color w:val="000000"/>
          <w:sz w:val="16"/>
          <w:szCs w:val="16"/>
          <w:lang w:val="es-ES"/>
        </w:rPr>
        <w:t>c) La captura sirva para adaptar las necesidades de subsistencia tradicionales de los usuarios a tal especie, o</w:t>
      </w:r>
    </w:p>
    <w:p w14:paraId="0E1B8467" w14:textId="77777777" w:rsidR="003D4195" w:rsidRPr="007D2850" w:rsidRDefault="003D4195" w:rsidP="003D4195">
      <w:pPr>
        <w:shd w:val="clear" w:color="auto" w:fill="FFFFFF"/>
        <w:ind w:left="720"/>
        <w:rPr>
          <w:rFonts w:eastAsia="Arial" w:cs="Arial"/>
          <w:b/>
          <w:bCs/>
          <w:color w:val="000000"/>
          <w:sz w:val="16"/>
          <w:szCs w:val="16"/>
          <w:lang w:val="es-ES"/>
        </w:rPr>
      </w:pPr>
      <w:r w:rsidRPr="007D2850">
        <w:rPr>
          <w:rFonts w:eastAsia="Arial" w:cs="Arial"/>
          <w:color w:val="000000"/>
          <w:sz w:val="16"/>
          <w:szCs w:val="16"/>
          <w:lang w:val="es-ES"/>
        </w:rPr>
        <w:t>d) así lo requieran circunstancias extraordinarias.</w:t>
      </w:r>
    </w:p>
    <w:p w14:paraId="50B32F18" w14:textId="77777777" w:rsidR="003D4195" w:rsidRPr="007D2850" w:rsidRDefault="003D4195" w:rsidP="003D4195">
      <w:pPr>
        <w:pBdr>
          <w:top w:val="nil"/>
          <w:left w:val="nil"/>
          <w:bottom w:val="nil"/>
          <w:right w:val="nil"/>
          <w:between w:val="nil"/>
        </w:pBdr>
        <w:rPr>
          <w:rFonts w:cs="Arial"/>
          <w:color w:val="000000"/>
          <w:sz w:val="20"/>
          <w:szCs w:val="20"/>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0A4B" w14:textId="448B1442" w:rsidR="0080497D" w:rsidRPr="00A92DE2" w:rsidRDefault="0080497D" w:rsidP="0080497D">
    <w:pPr>
      <w:pStyle w:val="Heading1"/>
      <w:keepNext w:val="0"/>
      <w:pBdr>
        <w:bottom w:val="single" w:sz="4" w:space="1" w:color="auto"/>
      </w:pBdr>
      <w:spacing w:before="0"/>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.1/Anex</w:t>
    </w:r>
    <w:r w:rsidR="009E0427">
      <w:rPr>
        <w:rFonts w:ascii="Arial" w:hAnsi="Arial" w:cs="Arial"/>
        <w:i/>
        <w:color w:val="auto"/>
        <w:sz w:val="18"/>
        <w:szCs w:val="18"/>
      </w:rPr>
      <w:t>o</w:t>
    </w:r>
    <w:r w:rsidRPr="005F5E37">
      <w:rPr>
        <w:rFonts w:ascii="Arial" w:hAnsi="Arial" w:cs="Arial"/>
        <w:i/>
        <w:color w:val="auto"/>
        <w:sz w:val="18"/>
        <w:szCs w:val="18"/>
      </w:rPr>
      <w:t>.</w:t>
    </w:r>
    <w:r>
      <w:rPr>
        <w:rFonts w:ascii="Arial" w:hAnsi="Arial" w:cs="Arial"/>
        <w:i/>
        <w:color w:val="auto"/>
        <w:sz w:val="18"/>
        <w:szCs w:val="18"/>
      </w:rPr>
      <w:t>2</w:t>
    </w:r>
  </w:p>
  <w:p w14:paraId="2F528A45" w14:textId="77777777" w:rsidR="0024178B" w:rsidRPr="007D2850" w:rsidRDefault="002417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EBEB" w14:textId="55F5943D" w:rsidR="0080497D" w:rsidRPr="00A92DE2" w:rsidRDefault="0080497D" w:rsidP="0080497D">
    <w:pPr>
      <w:pStyle w:val="Heading1"/>
      <w:keepNext w:val="0"/>
      <w:pBdr>
        <w:bottom w:val="single" w:sz="4" w:space="1" w:color="auto"/>
      </w:pBdr>
      <w:spacing w:before="0"/>
      <w:jc w:val="right"/>
      <w:rPr>
        <w:color w:val="auto"/>
      </w:rPr>
    </w:pPr>
    <w:bookmarkStart w:id="26" w:name="_Hlk122606521"/>
    <w:bookmarkStart w:id="27" w:name="_Hlk122606522"/>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.1/Anex</w:t>
    </w:r>
    <w:r>
      <w:rPr>
        <w:rFonts w:ascii="Arial" w:hAnsi="Arial" w:cs="Arial"/>
        <w:i/>
        <w:color w:val="auto"/>
        <w:sz w:val="18"/>
        <w:szCs w:val="18"/>
      </w:rPr>
      <w:t>o</w:t>
    </w:r>
    <w:r w:rsidRPr="005F5E37">
      <w:rPr>
        <w:rFonts w:ascii="Arial" w:hAnsi="Arial" w:cs="Arial"/>
        <w:i/>
        <w:color w:val="auto"/>
        <w:sz w:val="18"/>
        <w:szCs w:val="18"/>
      </w:rPr>
      <w:t>.</w:t>
    </w:r>
    <w:bookmarkEnd w:id="26"/>
    <w:bookmarkEnd w:id="27"/>
    <w:r>
      <w:rPr>
        <w:rFonts w:ascii="Arial" w:hAnsi="Arial" w:cs="Arial"/>
        <w:i/>
        <w:color w:val="auto"/>
        <w:sz w:val="18"/>
        <w:szCs w:val="18"/>
      </w:rPr>
      <w:t>2</w:t>
    </w:r>
  </w:p>
  <w:p w14:paraId="483DCE91" w14:textId="77777777" w:rsidR="00681F52" w:rsidRPr="007D2850" w:rsidRDefault="00681F52" w:rsidP="00681F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326D" w14:textId="6D41F75F" w:rsidR="00313EB2" w:rsidRPr="00A92DE2" w:rsidRDefault="00313EB2" w:rsidP="00313EB2">
    <w:pPr>
      <w:pStyle w:val="Heading1"/>
      <w:keepNext w:val="0"/>
      <w:pBdr>
        <w:bottom w:val="single" w:sz="4" w:space="1" w:color="auto"/>
      </w:pBdr>
      <w:spacing w:before="0"/>
      <w:jc w:val="right"/>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.1/Anex</w:t>
    </w:r>
    <w:r w:rsidR="009E0427">
      <w:rPr>
        <w:rFonts w:ascii="Arial" w:hAnsi="Arial" w:cs="Arial"/>
        <w:i/>
        <w:color w:val="auto"/>
        <w:sz w:val="18"/>
        <w:szCs w:val="18"/>
      </w:rPr>
      <w:t>o</w:t>
    </w:r>
    <w:r w:rsidRPr="005F5E37">
      <w:rPr>
        <w:rFonts w:ascii="Arial" w:hAnsi="Arial" w:cs="Arial"/>
        <w:i/>
        <w:color w:val="auto"/>
        <w:sz w:val="18"/>
        <w:szCs w:val="18"/>
      </w:rPr>
      <w:t>.</w:t>
    </w:r>
    <w:r>
      <w:rPr>
        <w:rFonts w:ascii="Arial" w:hAnsi="Arial" w:cs="Arial"/>
        <w:i/>
        <w:color w:val="auto"/>
        <w:sz w:val="18"/>
        <w:szCs w:val="18"/>
      </w:rPr>
      <w:t>2</w:t>
    </w:r>
  </w:p>
  <w:p w14:paraId="3CCCAE3F" w14:textId="77777777" w:rsidR="001F56E8" w:rsidRPr="00D3197C" w:rsidRDefault="001F56E8" w:rsidP="00D31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4D82" w14:textId="77777777" w:rsidR="00313EB2" w:rsidRPr="00A92DE2" w:rsidRDefault="00313EB2" w:rsidP="00313EB2">
    <w:pPr>
      <w:pStyle w:val="Heading1"/>
      <w:keepNext w:val="0"/>
      <w:pBdr>
        <w:bottom w:val="single" w:sz="4" w:space="1" w:color="auto"/>
      </w:pBdr>
      <w:spacing w:before="0"/>
      <w:jc w:val="right"/>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.1/Annex.</w:t>
    </w:r>
    <w:r>
      <w:rPr>
        <w:rFonts w:ascii="Arial" w:hAnsi="Arial" w:cs="Arial"/>
        <w:i/>
        <w:color w:val="auto"/>
        <w:sz w:val="18"/>
        <w:szCs w:val="18"/>
      </w:rPr>
      <w:t>2</w:t>
    </w:r>
  </w:p>
  <w:p w14:paraId="59C31022" w14:textId="422687ED" w:rsidR="009E1EED" w:rsidRPr="009A0838" w:rsidRDefault="009E1EED" w:rsidP="009A0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610B8"/>
    <w:multiLevelType w:val="hybridMultilevel"/>
    <w:tmpl w:val="BE3A71C2"/>
    <w:lvl w:ilvl="0" w:tplc="44446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E50E6"/>
    <w:multiLevelType w:val="multilevel"/>
    <w:tmpl w:val="9D568D0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1E65808"/>
    <w:multiLevelType w:val="hybridMultilevel"/>
    <w:tmpl w:val="1430BA22"/>
    <w:lvl w:ilvl="0" w:tplc="AA4A8C5C">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763FA"/>
    <w:multiLevelType w:val="multilevel"/>
    <w:tmpl w:val="75BC37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22B23"/>
    <w:multiLevelType w:val="hybridMultilevel"/>
    <w:tmpl w:val="8C9CCD12"/>
    <w:lvl w:ilvl="0" w:tplc="B734F76C">
      <w:start w:val="4"/>
      <w:numFmt w:val="bullet"/>
      <w:lvlText w:val="-"/>
      <w:lvlJc w:val="left"/>
      <w:pPr>
        <w:ind w:left="720" w:hanging="360"/>
      </w:pPr>
      <w:rPr>
        <w:rFonts w:ascii="Arial" w:eastAsiaTheme="minorHAnsi"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754D2F"/>
    <w:multiLevelType w:val="multilevel"/>
    <w:tmpl w:val="ADFE8A3C"/>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19" w15:restartNumberingAfterBreak="0">
    <w:nsid w:val="621A4FCB"/>
    <w:multiLevelType w:val="hybridMultilevel"/>
    <w:tmpl w:val="CFD49080"/>
    <w:lvl w:ilvl="0" w:tplc="ADE84E8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777F1755"/>
    <w:multiLevelType w:val="multilevel"/>
    <w:tmpl w:val="91E47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5C3A81"/>
    <w:multiLevelType w:val="hybridMultilevel"/>
    <w:tmpl w:val="03448E2A"/>
    <w:lvl w:ilvl="0" w:tplc="F8A8C916">
      <w:numFmt w:val="bullet"/>
      <w:lvlText w:val="-"/>
      <w:lvlJc w:val="left"/>
      <w:pPr>
        <w:ind w:left="720" w:hanging="360"/>
      </w:pPr>
      <w:rPr>
        <w:rFonts w:ascii="Arial" w:eastAsia="Times New Roman"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37894474">
    <w:abstractNumId w:val="18"/>
  </w:num>
  <w:num w:numId="2" w16cid:durableId="474952085">
    <w:abstractNumId w:val="14"/>
  </w:num>
  <w:num w:numId="3" w16cid:durableId="843787312">
    <w:abstractNumId w:val="23"/>
  </w:num>
  <w:num w:numId="4" w16cid:durableId="247232903">
    <w:abstractNumId w:val="13"/>
  </w:num>
  <w:num w:numId="5" w16cid:durableId="934091008">
    <w:abstractNumId w:val="10"/>
  </w:num>
  <w:num w:numId="6" w16cid:durableId="210577582">
    <w:abstractNumId w:val="8"/>
  </w:num>
  <w:num w:numId="7" w16cid:durableId="1573655229">
    <w:abstractNumId w:val="20"/>
  </w:num>
  <w:num w:numId="8" w16cid:durableId="1312295652">
    <w:abstractNumId w:val="17"/>
  </w:num>
  <w:num w:numId="9" w16cid:durableId="1868828510">
    <w:abstractNumId w:val="12"/>
  </w:num>
  <w:num w:numId="10" w16cid:durableId="1545950262">
    <w:abstractNumId w:val="9"/>
  </w:num>
  <w:num w:numId="11" w16cid:durableId="159784340">
    <w:abstractNumId w:val="0"/>
  </w:num>
  <w:num w:numId="12" w16cid:durableId="207114188">
    <w:abstractNumId w:val="4"/>
  </w:num>
  <w:num w:numId="13" w16cid:durableId="394165254">
    <w:abstractNumId w:val="21"/>
  </w:num>
  <w:num w:numId="14" w16cid:durableId="1849444965">
    <w:abstractNumId w:val="15"/>
  </w:num>
  <w:num w:numId="15" w16cid:durableId="22289627">
    <w:abstractNumId w:val="16"/>
  </w:num>
  <w:num w:numId="16" w16cid:durableId="1637492424">
    <w:abstractNumId w:val="6"/>
  </w:num>
  <w:num w:numId="17" w16cid:durableId="502936275">
    <w:abstractNumId w:val="22"/>
  </w:num>
  <w:num w:numId="18" w16cid:durableId="408962052">
    <w:abstractNumId w:val="1"/>
  </w:num>
  <w:num w:numId="19" w16cid:durableId="1072778515">
    <w:abstractNumId w:val="11"/>
  </w:num>
  <w:num w:numId="20" w16cid:durableId="1286698265">
    <w:abstractNumId w:val="3"/>
  </w:num>
  <w:num w:numId="21" w16cid:durableId="1596015618">
    <w:abstractNumId w:val="19"/>
  </w:num>
  <w:num w:numId="22" w16cid:durableId="1382510018">
    <w:abstractNumId w:val="5"/>
  </w:num>
  <w:num w:numId="23" w16cid:durableId="468590321">
    <w:abstractNumId w:val="2"/>
  </w:num>
  <w:num w:numId="24" w16cid:durableId="845630266">
    <w:abstractNumId w:val="7"/>
  </w:num>
  <w:num w:numId="25" w16cid:durableId="5691963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W0MDQwtzQwsDQxNjFS0lEKTi0uzszPAykwrgUAudvLfiwAAAA="/>
  </w:docVars>
  <w:rsids>
    <w:rsidRoot w:val="008562CA"/>
    <w:rsid w:val="00020F61"/>
    <w:rsid w:val="000306AF"/>
    <w:rsid w:val="00034F7E"/>
    <w:rsid w:val="00051664"/>
    <w:rsid w:val="00063003"/>
    <w:rsid w:val="00083C86"/>
    <w:rsid w:val="000A52F9"/>
    <w:rsid w:val="000C2262"/>
    <w:rsid w:val="000C2708"/>
    <w:rsid w:val="000C52AC"/>
    <w:rsid w:val="000F4744"/>
    <w:rsid w:val="00105D7E"/>
    <w:rsid w:val="0011008C"/>
    <w:rsid w:val="00111823"/>
    <w:rsid w:val="001162F9"/>
    <w:rsid w:val="00136910"/>
    <w:rsid w:val="001372AC"/>
    <w:rsid w:val="00137B67"/>
    <w:rsid w:val="00174506"/>
    <w:rsid w:val="001B12B6"/>
    <w:rsid w:val="001B7C41"/>
    <w:rsid w:val="001C3E14"/>
    <w:rsid w:val="001F56E8"/>
    <w:rsid w:val="001F6FA1"/>
    <w:rsid w:val="001F7509"/>
    <w:rsid w:val="0024178B"/>
    <w:rsid w:val="00247498"/>
    <w:rsid w:val="002A3F8E"/>
    <w:rsid w:val="002A42A5"/>
    <w:rsid w:val="002A4E27"/>
    <w:rsid w:val="002B102B"/>
    <w:rsid w:val="002B2D11"/>
    <w:rsid w:val="002F2584"/>
    <w:rsid w:val="00313EB2"/>
    <w:rsid w:val="0034558A"/>
    <w:rsid w:val="00352CB9"/>
    <w:rsid w:val="00352E4D"/>
    <w:rsid w:val="003C1A96"/>
    <w:rsid w:val="003D260B"/>
    <w:rsid w:val="003D4195"/>
    <w:rsid w:val="003D7753"/>
    <w:rsid w:val="003F6C3E"/>
    <w:rsid w:val="00423FBC"/>
    <w:rsid w:val="0042470E"/>
    <w:rsid w:val="00446874"/>
    <w:rsid w:val="004860A4"/>
    <w:rsid w:val="00490FF8"/>
    <w:rsid w:val="004919F0"/>
    <w:rsid w:val="004F08DB"/>
    <w:rsid w:val="00541A93"/>
    <w:rsid w:val="005576EE"/>
    <w:rsid w:val="00564AA1"/>
    <w:rsid w:val="00570382"/>
    <w:rsid w:val="005A6560"/>
    <w:rsid w:val="005D00EE"/>
    <w:rsid w:val="005E1A0D"/>
    <w:rsid w:val="005E626B"/>
    <w:rsid w:val="005F745A"/>
    <w:rsid w:val="00621863"/>
    <w:rsid w:val="0063251A"/>
    <w:rsid w:val="00642269"/>
    <w:rsid w:val="006625CF"/>
    <w:rsid w:val="00681F52"/>
    <w:rsid w:val="00693C47"/>
    <w:rsid w:val="006B0385"/>
    <w:rsid w:val="006D0254"/>
    <w:rsid w:val="006E310E"/>
    <w:rsid w:val="006F26E4"/>
    <w:rsid w:val="007070BE"/>
    <w:rsid w:val="00710B9F"/>
    <w:rsid w:val="0071781C"/>
    <w:rsid w:val="007371B8"/>
    <w:rsid w:val="00763277"/>
    <w:rsid w:val="007920F4"/>
    <w:rsid w:val="007A7326"/>
    <w:rsid w:val="007B4C44"/>
    <w:rsid w:val="007C17C0"/>
    <w:rsid w:val="007C3DC7"/>
    <w:rsid w:val="007D2850"/>
    <w:rsid w:val="007E238D"/>
    <w:rsid w:val="007F6EBD"/>
    <w:rsid w:val="0080497D"/>
    <w:rsid w:val="00806BFA"/>
    <w:rsid w:val="00822E98"/>
    <w:rsid w:val="00824C8B"/>
    <w:rsid w:val="00844E8C"/>
    <w:rsid w:val="00844F23"/>
    <w:rsid w:val="008562CA"/>
    <w:rsid w:val="00871EFA"/>
    <w:rsid w:val="008745FB"/>
    <w:rsid w:val="008A27A2"/>
    <w:rsid w:val="008A3627"/>
    <w:rsid w:val="008B2D63"/>
    <w:rsid w:val="008B6442"/>
    <w:rsid w:val="008C5422"/>
    <w:rsid w:val="008D7252"/>
    <w:rsid w:val="008F2B37"/>
    <w:rsid w:val="008F749D"/>
    <w:rsid w:val="00911CBF"/>
    <w:rsid w:val="009272F7"/>
    <w:rsid w:val="0093269D"/>
    <w:rsid w:val="009449E1"/>
    <w:rsid w:val="00966666"/>
    <w:rsid w:val="009827B6"/>
    <w:rsid w:val="0098599D"/>
    <w:rsid w:val="009A012D"/>
    <w:rsid w:val="009A0838"/>
    <w:rsid w:val="009A0DD0"/>
    <w:rsid w:val="009A40F8"/>
    <w:rsid w:val="009C19C3"/>
    <w:rsid w:val="009E00F7"/>
    <w:rsid w:val="009E0427"/>
    <w:rsid w:val="009E1EED"/>
    <w:rsid w:val="009E57F1"/>
    <w:rsid w:val="009F415B"/>
    <w:rsid w:val="00A036C5"/>
    <w:rsid w:val="00A16862"/>
    <w:rsid w:val="00A21B78"/>
    <w:rsid w:val="00A258AE"/>
    <w:rsid w:val="00A40CC0"/>
    <w:rsid w:val="00A51B0B"/>
    <w:rsid w:val="00AA3F16"/>
    <w:rsid w:val="00AA5114"/>
    <w:rsid w:val="00AB7979"/>
    <w:rsid w:val="00AC2D26"/>
    <w:rsid w:val="00B062A8"/>
    <w:rsid w:val="00B215D7"/>
    <w:rsid w:val="00B43FA1"/>
    <w:rsid w:val="00B51DCE"/>
    <w:rsid w:val="00B62615"/>
    <w:rsid w:val="00B71032"/>
    <w:rsid w:val="00B83D34"/>
    <w:rsid w:val="00B91A73"/>
    <w:rsid w:val="00B9436A"/>
    <w:rsid w:val="00BC49CE"/>
    <w:rsid w:val="00BE55C4"/>
    <w:rsid w:val="00BE571E"/>
    <w:rsid w:val="00BE7C6B"/>
    <w:rsid w:val="00C058EB"/>
    <w:rsid w:val="00C31D4B"/>
    <w:rsid w:val="00C37847"/>
    <w:rsid w:val="00C401F5"/>
    <w:rsid w:val="00C437E9"/>
    <w:rsid w:val="00C51531"/>
    <w:rsid w:val="00C515BD"/>
    <w:rsid w:val="00C768B1"/>
    <w:rsid w:val="00C96867"/>
    <w:rsid w:val="00CA61F8"/>
    <w:rsid w:val="00CA7D66"/>
    <w:rsid w:val="00CB655F"/>
    <w:rsid w:val="00D04566"/>
    <w:rsid w:val="00D1123A"/>
    <w:rsid w:val="00D15371"/>
    <w:rsid w:val="00D259A6"/>
    <w:rsid w:val="00D3197C"/>
    <w:rsid w:val="00D71D20"/>
    <w:rsid w:val="00D759C3"/>
    <w:rsid w:val="00DA207A"/>
    <w:rsid w:val="00DA3BC7"/>
    <w:rsid w:val="00DB5E78"/>
    <w:rsid w:val="00DB5F96"/>
    <w:rsid w:val="00DC7969"/>
    <w:rsid w:val="00DD224F"/>
    <w:rsid w:val="00DD5B36"/>
    <w:rsid w:val="00DE5AC2"/>
    <w:rsid w:val="00E200C4"/>
    <w:rsid w:val="00E74866"/>
    <w:rsid w:val="00E92814"/>
    <w:rsid w:val="00E95E0B"/>
    <w:rsid w:val="00EC7958"/>
    <w:rsid w:val="00EE305D"/>
    <w:rsid w:val="00F01E83"/>
    <w:rsid w:val="00F27407"/>
    <w:rsid w:val="00F34196"/>
    <w:rsid w:val="00F4206A"/>
    <w:rsid w:val="00F73E72"/>
    <w:rsid w:val="00FA46BB"/>
    <w:rsid w:val="00FA5B33"/>
    <w:rsid w:val="00FB2460"/>
    <w:rsid w:val="00FB553F"/>
    <w:rsid w:val="00FC641D"/>
    <w:rsid w:val="00FF19C5"/>
    <w:rsid w:val="00FF52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1162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styleId="FootnoteText">
    <w:name w:val="footnote text"/>
    <w:basedOn w:val="Normal"/>
    <w:link w:val="FootnoteTextChar"/>
    <w:uiPriority w:val="99"/>
    <w:unhideWhenUsed/>
    <w:rsid w:val="00BE571E"/>
    <w:rPr>
      <w:rFonts w:ascii="Times New Roman" w:eastAsia="Times New Roman" w:hAnsi="Times New Roman" w:cs="Times New Roman"/>
      <w:sz w:val="20"/>
      <w:szCs w:val="20"/>
      <w:lang w:val="en-CA" w:eastAsia="en-GB"/>
    </w:rPr>
  </w:style>
  <w:style w:type="character" w:customStyle="1" w:styleId="FootnoteTextChar">
    <w:name w:val="Footnote Text Char"/>
    <w:basedOn w:val="DefaultParagraphFont"/>
    <w:link w:val="FootnoteText"/>
    <w:uiPriority w:val="99"/>
    <w:rsid w:val="00BE571E"/>
    <w:rPr>
      <w:rFonts w:ascii="Times New Roman" w:eastAsia="Times New Roman" w:hAnsi="Times New Roman" w:cs="Times New Roman"/>
      <w:sz w:val="20"/>
      <w:szCs w:val="20"/>
      <w:lang w:val="en-CA" w:eastAsia="en-GB"/>
    </w:rPr>
  </w:style>
  <w:style w:type="character" w:styleId="FootnoteReference">
    <w:name w:val="footnote reference"/>
    <w:basedOn w:val="DefaultParagraphFont"/>
    <w:uiPriority w:val="99"/>
    <w:unhideWhenUsed/>
    <w:rsid w:val="00BE571E"/>
    <w:rPr>
      <w:vertAlign w:val="superscript"/>
    </w:rPr>
  </w:style>
  <w:style w:type="character" w:customStyle="1" w:styleId="Heading1Char">
    <w:name w:val="Heading 1 Char"/>
    <w:basedOn w:val="DefaultParagraphFont"/>
    <w:link w:val="Heading1"/>
    <w:uiPriority w:val="9"/>
    <w:rsid w:val="001162F9"/>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3D260B"/>
    <w:rPr>
      <w:rFonts w:eastAsia="Times New Roman" w:cs="Times New Roman"/>
      <w:sz w:val="24"/>
      <w:szCs w:val="24"/>
      <w:lang w:val="en-CA" w:eastAsia="en-GB"/>
    </w:rPr>
  </w:style>
  <w:style w:type="character" w:customStyle="1" w:styleId="CommentTextChar">
    <w:name w:val="Comment Text Char"/>
    <w:basedOn w:val="DefaultParagraphFont"/>
    <w:link w:val="CommentText"/>
    <w:uiPriority w:val="99"/>
    <w:rsid w:val="003D260B"/>
    <w:rPr>
      <w:rFonts w:ascii="Arial" w:eastAsia="Times New Roman" w:hAnsi="Arial" w:cs="Times New Roman"/>
      <w:sz w:val="24"/>
      <w:szCs w:val="24"/>
      <w:lang w:val="en-CA" w:eastAsia="en-GB"/>
    </w:rPr>
  </w:style>
  <w:style w:type="character" w:styleId="CommentReference">
    <w:name w:val="annotation reference"/>
    <w:basedOn w:val="DefaultParagraphFont"/>
    <w:uiPriority w:val="99"/>
    <w:semiHidden/>
    <w:unhideWhenUsed/>
    <w:rsid w:val="003D260B"/>
    <w:rPr>
      <w:sz w:val="16"/>
      <w:szCs w:val="16"/>
    </w:rPr>
  </w:style>
  <w:style w:type="table" w:styleId="TableGrid">
    <w:name w:val="Table Grid"/>
    <w:basedOn w:val="TableNormal"/>
    <w:uiPriority w:val="39"/>
    <w:rsid w:val="009E1EED"/>
    <w:rPr>
      <w:rFonts w:ascii="Times New Roman" w:eastAsia="Times New Roman" w:hAnsi="Times New Roman" w:cs="Times New Roman"/>
      <w:sz w:val="24"/>
      <w:szCs w:val="24"/>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FA5B33"/>
    <w:rPr>
      <w:rFonts w:ascii="Times New Roman" w:eastAsia="Times New Roman" w:hAnsi="Times New Roman" w:cs="Times New Roman"/>
      <w:sz w:val="24"/>
      <w:szCs w:val="24"/>
      <w:lang w:val="en-CA"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A5B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6E310E"/>
    <w:pPr>
      <w:spacing w:line="259" w:lineRule="auto"/>
      <w:outlineLvl w:val="9"/>
    </w:pPr>
  </w:style>
  <w:style w:type="paragraph" w:styleId="TOC1">
    <w:name w:val="toc 1"/>
    <w:basedOn w:val="Normal"/>
    <w:next w:val="Normal"/>
    <w:autoRedefine/>
    <w:uiPriority w:val="39"/>
    <w:unhideWhenUsed/>
    <w:rsid w:val="006E310E"/>
    <w:pPr>
      <w:spacing w:after="100"/>
    </w:pPr>
  </w:style>
  <w:style w:type="paragraph" w:styleId="TOC2">
    <w:name w:val="toc 2"/>
    <w:basedOn w:val="Normal"/>
    <w:next w:val="Normal"/>
    <w:autoRedefine/>
    <w:uiPriority w:val="39"/>
    <w:unhideWhenUsed/>
    <w:rsid w:val="006E310E"/>
    <w:pPr>
      <w:spacing w:after="100"/>
      <w:ind w:left="220"/>
    </w:pPr>
  </w:style>
  <w:style w:type="paragraph" w:styleId="TOC3">
    <w:name w:val="toc 3"/>
    <w:basedOn w:val="Normal"/>
    <w:next w:val="Normal"/>
    <w:autoRedefine/>
    <w:uiPriority w:val="39"/>
    <w:unhideWhenUsed/>
    <w:rsid w:val="00844E8C"/>
    <w:pPr>
      <w:spacing w:after="100" w:line="259" w:lineRule="auto"/>
      <w:ind w:left="440"/>
    </w:pPr>
    <w:rPr>
      <w:rFonts w:asciiTheme="minorHAnsi" w:eastAsiaTheme="minorEastAsia" w:hAnsiTheme="minorHAnsi" w:cs="Times New Roman"/>
    </w:rPr>
  </w:style>
  <w:style w:type="character" w:customStyle="1" w:styleId="apple-converted-space">
    <w:name w:val="apple-converted-space"/>
    <w:basedOn w:val="DefaultParagraphFont"/>
    <w:rsid w:val="00FF5284"/>
  </w:style>
  <w:style w:type="paragraph" w:styleId="CommentSubject">
    <w:name w:val="annotation subject"/>
    <w:basedOn w:val="CommentText"/>
    <w:next w:val="CommentText"/>
    <w:link w:val="CommentSubjectChar"/>
    <w:uiPriority w:val="99"/>
    <w:semiHidden/>
    <w:unhideWhenUsed/>
    <w:rsid w:val="0063251A"/>
    <w:rPr>
      <w:rFonts w:eastAsia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63251A"/>
    <w:rPr>
      <w:rFonts w:ascii="Arial" w:eastAsia="Times New Roman" w:hAnsi="Arial" w:cs="Times New Roman"/>
      <w:b/>
      <w:bCs/>
      <w:sz w:val="20"/>
      <w:szCs w:val="20"/>
      <w:lang w:val="en-CA" w:eastAsia="en-GB"/>
    </w:rPr>
  </w:style>
  <w:style w:type="paragraph" w:styleId="Revision">
    <w:name w:val="Revision"/>
    <w:hidden/>
    <w:uiPriority w:val="99"/>
    <w:semiHidden/>
    <w:rsid w:val="0063251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cms.int/sites/default/files/document/cms_cop13_ca.12.5_rev.cop13_e.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angelsharknetwork.com/wp-content/uploads/sites/16/2018/08/Code-of-Conduct-English.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ms.int/sites/default/files/document/Med-Angel-Sharks-Regional-Action-Plan_2019_EN.pdf" TargetMode="External"/><Relationship Id="rId25" Type="http://schemas.openxmlformats.org/officeDocument/2006/relationships/header" Target="header3.xml"/><Relationship Id="rId33" Type="http://schemas.openxmlformats.org/officeDocument/2006/relationships/hyperlink" Target="https://angelsharknetwork.com/" TargetMode="External"/><Relationship Id="rId2" Type="http://schemas.openxmlformats.org/officeDocument/2006/relationships/customXml" Target="../customXml/item2.xml"/><Relationship Id="rId16" Type="http://schemas.openxmlformats.org/officeDocument/2006/relationships/hyperlink" Target="https://www.cms.int/en/document/concerted-action-angelshark-squatina-squatina-1" TargetMode="External"/><Relationship Id="rId20"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angelsharksmap.zsl.or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ngelsharksmap.zs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yperlink" Target="https://angelsharknetwork.com/wp-content/uploads/sites/16/2019/11/2019_Recreational-Best-Practice-Guide_EN_WEB.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MariaJoseOrtiz xmlns="a7b50396-0b06-45c1-b28e-46f86d566a10" xsi:nil="true"/>
    <Reviewer xmlns="a7b50396-0b06-45c1-b28e-46f86d566a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8E563-C92A-4337-8568-30EEBA8B9ACA}">
  <ds:schemaRefs>
    <ds:schemaRef ds:uri="http://schemas.microsoft.com/sharepoint/v3/contenttype/forms"/>
  </ds:schemaRefs>
</ds:datastoreItem>
</file>

<file path=customXml/itemProps2.xml><?xml version="1.0" encoding="utf-8"?>
<ds:datastoreItem xmlns:ds="http://schemas.openxmlformats.org/officeDocument/2006/customXml" ds:itemID="{32632B75-B773-4D44-BC66-F6FB282936F2}">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3.xml><?xml version="1.0" encoding="utf-8"?>
<ds:datastoreItem xmlns:ds="http://schemas.openxmlformats.org/officeDocument/2006/customXml" ds:itemID="{8A30C358-0340-4FBD-A58F-E9D2BF4DB03F}">
  <ds:schemaRefs>
    <ds:schemaRef ds:uri="http://schemas.openxmlformats.org/officeDocument/2006/bibliography"/>
  </ds:schemaRefs>
</ds:datastoreItem>
</file>

<file path=customXml/itemProps4.xml><?xml version="1.0" encoding="utf-8"?>
<ds:datastoreItem xmlns:ds="http://schemas.openxmlformats.org/officeDocument/2006/customXml" ds:itemID="{967754D3-37E3-4F3D-BF75-201A4792A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10654</Words>
  <Characters>60732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9</cp:revision>
  <cp:lastPrinted>2022-09-20T08:48:00Z</cp:lastPrinted>
  <dcterms:created xsi:type="dcterms:W3CDTF">2022-12-27T10:34:00Z</dcterms:created>
  <dcterms:modified xsi:type="dcterms:W3CDTF">2023-06-29T13:07:00Z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