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DE37B8" w:rsidRPr="00260772" w:rsidRDefault="00DE37B8" w:rsidP="00DE37B8">
      <w:pPr>
        <w:tabs>
          <w:tab w:val="left" w:pos="-1057"/>
          <w:tab w:val="left" w:pos="-720"/>
        </w:tabs>
        <w:rPr>
          <w:rFonts w:cs="Arial"/>
          <w:sz w:val="22"/>
          <w:szCs w:val="22"/>
          <w:lang w:val="fr-FR"/>
        </w:rPr>
      </w:pPr>
      <w:r w:rsidRPr="00260772">
        <w:rPr>
          <w:rFonts w:cs="Arial"/>
          <w:sz w:val="22"/>
          <w:szCs w:val="22"/>
          <w:lang w:val="fr-FR"/>
        </w:rPr>
        <w:t>12</w:t>
      </w:r>
      <w:r w:rsidRPr="00260772">
        <w:rPr>
          <w:rFonts w:cs="Arial"/>
          <w:sz w:val="22"/>
          <w:szCs w:val="22"/>
          <w:vertAlign w:val="superscript"/>
          <w:lang w:val="fr-FR"/>
        </w:rPr>
        <w:t>ème</w:t>
      </w:r>
      <w:r w:rsidRPr="00260772">
        <w:rPr>
          <w:rFonts w:cs="Arial"/>
          <w:sz w:val="22"/>
          <w:szCs w:val="22"/>
          <w:lang w:val="fr-FR"/>
        </w:rPr>
        <w:t xml:space="preserve"> SESSION DE LA CONFÉRENCE DES PARTIES</w:t>
      </w:r>
    </w:p>
    <w:p w:rsidR="00DE37B8" w:rsidRPr="001E7B2E" w:rsidRDefault="00DE37B8" w:rsidP="002973EB">
      <w:pPr>
        <w:pStyle w:val="Heading2"/>
        <w:keepNext w:val="0"/>
        <w:rPr>
          <w:rFonts w:cs="Arial"/>
          <w:b w:val="0"/>
          <w:bCs w:val="0"/>
          <w:sz w:val="22"/>
          <w:szCs w:val="22"/>
          <w:lang w:val="pt-PT"/>
        </w:rPr>
      </w:pPr>
      <w:r w:rsidRPr="001E7B2E">
        <w:rPr>
          <w:rFonts w:cs="Arial"/>
          <w:b w:val="0"/>
          <w:sz w:val="22"/>
          <w:szCs w:val="22"/>
          <w:lang w:val="pt-PT"/>
        </w:rPr>
        <w:t>Manille, P</w:t>
      </w:r>
      <w:r>
        <w:rPr>
          <w:rFonts w:cs="Arial"/>
          <w:b w:val="0"/>
          <w:sz w:val="22"/>
          <w:szCs w:val="22"/>
          <w:lang w:val="pt-PT"/>
        </w:rPr>
        <w:t>hilippines, 23 - 28 octobre 2017</w:t>
      </w:r>
    </w:p>
    <w:p w:rsidR="00DE37B8" w:rsidRPr="001E7B2E" w:rsidRDefault="00DE37B8" w:rsidP="002973EB">
      <w:pPr>
        <w:rPr>
          <w:rFonts w:cs="Arial"/>
          <w:iCs/>
          <w:sz w:val="22"/>
          <w:szCs w:val="22"/>
          <w:lang w:val="pt-PT"/>
        </w:rPr>
      </w:pPr>
      <w:r w:rsidRPr="001E7B2E">
        <w:rPr>
          <w:rFonts w:cs="Arial"/>
          <w:iCs/>
          <w:sz w:val="22"/>
          <w:szCs w:val="22"/>
          <w:lang w:val="pt-PT"/>
        </w:rPr>
        <w:t>Point</w:t>
      </w:r>
      <w:r>
        <w:rPr>
          <w:rFonts w:cs="Arial"/>
          <w:iCs/>
          <w:sz w:val="22"/>
          <w:szCs w:val="22"/>
          <w:lang w:val="pt-PT"/>
        </w:rPr>
        <w:t xml:space="preserve"> 14.2 </w:t>
      </w:r>
      <w:r w:rsidRPr="001E7B2E">
        <w:rPr>
          <w:rFonts w:cs="Arial"/>
          <w:iCs/>
          <w:sz w:val="22"/>
          <w:szCs w:val="22"/>
          <w:lang w:val="pt-PT"/>
        </w:rPr>
        <w:t>de l’ordre du jour</w:t>
      </w:r>
    </w:p>
    <w:p w:rsidR="00DE37B8" w:rsidRPr="00B138E6" w:rsidRDefault="00DE37B8" w:rsidP="002973EB">
      <w:pPr>
        <w:tabs>
          <w:tab w:val="left" w:pos="-1057"/>
          <w:tab w:val="left" w:pos="-720"/>
        </w:tabs>
        <w:rPr>
          <w:rFonts w:cs="Arial"/>
          <w:sz w:val="22"/>
          <w:szCs w:val="22"/>
          <w:lang w:val="fr-FR"/>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2973EB">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B138E6">
              <w:rPr>
                <w:rFonts w:cs="Arial"/>
                <w:b/>
                <w:sz w:val="28"/>
                <w:szCs w:val="28"/>
                <w:lang w:val="fr-FR"/>
              </w:rPr>
              <w:tab/>
            </w:r>
            <w:r w:rsidRPr="00B138E6">
              <w:rPr>
                <w:rFonts w:cs="Arial"/>
                <w:b/>
                <w:sz w:val="28"/>
                <w:szCs w:val="28"/>
                <w:lang w:val="fr-FR"/>
              </w:rPr>
              <w:tab/>
            </w:r>
            <w:r w:rsidRPr="00B138E6">
              <w:rPr>
                <w:rFonts w:cs="Arial"/>
                <w:b/>
                <w:sz w:val="28"/>
                <w:szCs w:val="28"/>
                <w:lang w:val="fr-FR"/>
              </w:rPr>
              <w:tab/>
            </w:r>
            <w:r w:rsidRPr="00B138E6">
              <w:rPr>
                <w:rFonts w:cs="Arial"/>
                <w:b/>
                <w:sz w:val="28"/>
                <w:szCs w:val="28"/>
                <w:lang w:val="fr-FR"/>
              </w:rPr>
              <w:tab/>
            </w:r>
            <w:r w:rsidR="00FA61AF" w:rsidRPr="002F6F9B">
              <w:rPr>
                <w:rFonts w:cs="Arial"/>
                <w:b/>
                <w:sz w:val="28"/>
                <w:szCs w:val="28"/>
                <w:lang w:val="en-GB"/>
              </w:rPr>
              <w:t>CMS</w:t>
            </w:r>
          </w:p>
          <w:p w:rsidR="00FA61AF" w:rsidRPr="002F6F9B" w:rsidRDefault="00FA61AF" w:rsidP="002973EB">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rsidP="002973EB">
            <w:pPr>
              <w:rPr>
                <w:rFonts w:cs="Arial"/>
                <w:sz w:val="22"/>
                <w:szCs w:val="22"/>
                <w:lang w:val="en-GB"/>
              </w:rPr>
            </w:pPr>
            <w:r w:rsidRPr="00682B31">
              <w:rPr>
                <w:rFonts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rsidP="002973EB">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2973EB">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B138E6" w:rsidRPr="00667726" w:rsidRDefault="00B138E6" w:rsidP="00B138E6">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CONVENTION SUR</w:t>
            </w:r>
          </w:p>
          <w:p w:rsidR="00B138E6" w:rsidRPr="00667726" w:rsidRDefault="00B138E6" w:rsidP="00B138E6">
            <w:pPr>
              <w:pStyle w:val="Heading2"/>
              <w:pBdr>
                <w:top w:val="none" w:sz="0" w:space="0" w:color="auto"/>
                <w:left w:val="none" w:sz="0" w:space="0" w:color="auto"/>
                <w:bottom w:val="none" w:sz="0" w:space="0" w:color="auto"/>
                <w:right w:val="none" w:sz="0" w:space="0" w:color="auto"/>
              </w:pBdr>
              <w:ind w:left="-108"/>
              <w:rPr>
                <w:rFonts w:cs="Arial"/>
                <w:bCs w:val="0"/>
                <w:sz w:val="28"/>
                <w:szCs w:val="28"/>
                <w:lang w:val="fr-FR"/>
              </w:rPr>
            </w:pPr>
            <w:r w:rsidRPr="00667726">
              <w:rPr>
                <w:rFonts w:cs="Arial"/>
                <w:bCs w:val="0"/>
                <w:sz w:val="28"/>
                <w:szCs w:val="28"/>
                <w:lang w:val="fr-FR"/>
              </w:rPr>
              <w:t>LES ESPÈCES</w:t>
            </w:r>
          </w:p>
          <w:p w:rsidR="0081600F" w:rsidRPr="00682B31" w:rsidRDefault="00B138E6" w:rsidP="00B138E6">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667726">
              <w:rPr>
                <w:rFonts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B138E6" w:rsidRDefault="00682B31" w:rsidP="002973EB">
            <w:pPr>
              <w:tabs>
                <w:tab w:val="left" w:pos="5040"/>
                <w:tab w:val="left" w:pos="5760"/>
                <w:tab w:val="left" w:pos="6008"/>
                <w:tab w:val="left" w:pos="6480"/>
                <w:tab w:val="left" w:pos="7200"/>
                <w:tab w:val="left" w:pos="7920"/>
                <w:tab w:val="left" w:pos="8640"/>
              </w:tabs>
              <w:rPr>
                <w:rFonts w:cs="Arial"/>
                <w:sz w:val="12"/>
                <w:szCs w:val="12"/>
                <w:lang w:val="fr-FR"/>
              </w:rPr>
            </w:pPr>
          </w:p>
          <w:p w:rsidR="0081600F" w:rsidRPr="00B138E6" w:rsidRDefault="0081600F" w:rsidP="002973EB">
            <w:pPr>
              <w:tabs>
                <w:tab w:val="left" w:pos="5040"/>
                <w:tab w:val="left" w:pos="5760"/>
                <w:tab w:val="left" w:pos="6008"/>
                <w:tab w:val="left" w:pos="6480"/>
                <w:tab w:val="left" w:pos="7200"/>
                <w:tab w:val="left" w:pos="7920"/>
                <w:tab w:val="left" w:pos="8640"/>
              </w:tabs>
              <w:rPr>
                <w:rFonts w:cs="Arial"/>
                <w:sz w:val="22"/>
                <w:szCs w:val="22"/>
                <w:lang w:val="fr-FR"/>
              </w:rPr>
            </w:pPr>
            <w:r w:rsidRPr="00B138E6">
              <w:rPr>
                <w:rFonts w:cs="Arial"/>
                <w:sz w:val="22"/>
                <w:szCs w:val="22"/>
                <w:lang w:val="fr-FR"/>
              </w:rPr>
              <w:t>Distribution: G</w:t>
            </w:r>
            <w:r w:rsidR="00DE37B8" w:rsidRPr="00B138E6">
              <w:rPr>
                <w:rFonts w:cs="Arial"/>
                <w:sz w:val="22"/>
                <w:szCs w:val="22"/>
                <w:lang w:val="fr-FR"/>
              </w:rPr>
              <w:t>énérale</w:t>
            </w:r>
          </w:p>
          <w:p w:rsidR="0081600F" w:rsidRPr="00B138E6" w:rsidRDefault="0081600F" w:rsidP="002973EB">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rsidR="0081600F" w:rsidRPr="00B138E6" w:rsidRDefault="00921D62" w:rsidP="002973EB">
            <w:pPr>
              <w:tabs>
                <w:tab w:val="left" w:pos="5040"/>
                <w:tab w:val="left" w:pos="5760"/>
                <w:tab w:val="left" w:pos="6008"/>
                <w:tab w:val="left" w:pos="6480"/>
                <w:tab w:val="left" w:pos="7200"/>
                <w:tab w:val="left" w:pos="7920"/>
                <w:tab w:val="left" w:pos="8640"/>
              </w:tabs>
              <w:rPr>
                <w:rFonts w:cs="Arial"/>
                <w:sz w:val="22"/>
                <w:szCs w:val="22"/>
                <w:lang w:val="fr-FR"/>
              </w:rPr>
            </w:pPr>
            <w:r w:rsidRPr="00B138E6">
              <w:rPr>
                <w:rFonts w:cs="Arial"/>
                <w:sz w:val="22"/>
                <w:szCs w:val="22"/>
                <w:lang w:val="fr-FR"/>
              </w:rPr>
              <w:t>UNEP/CMS/</w:t>
            </w:r>
            <w:r w:rsidR="00ED02D3" w:rsidRPr="00B138E6">
              <w:rPr>
                <w:rFonts w:cs="Arial"/>
                <w:sz w:val="22"/>
                <w:szCs w:val="22"/>
                <w:lang w:val="fr-FR"/>
              </w:rPr>
              <w:t>COP12</w:t>
            </w:r>
            <w:r w:rsidR="00A27BE3" w:rsidRPr="00B138E6">
              <w:rPr>
                <w:rFonts w:cs="Arial"/>
                <w:sz w:val="22"/>
                <w:szCs w:val="22"/>
                <w:lang w:val="fr-FR"/>
              </w:rPr>
              <w:t>/</w:t>
            </w:r>
            <w:r w:rsidR="0079075D" w:rsidRPr="00B138E6">
              <w:rPr>
                <w:rFonts w:cs="Arial"/>
                <w:sz w:val="22"/>
                <w:szCs w:val="22"/>
                <w:lang w:val="fr-FR"/>
              </w:rPr>
              <w:t>Doc.</w:t>
            </w:r>
            <w:r w:rsidR="00232C88" w:rsidRPr="00B138E6">
              <w:rPr>
                <w:rFonts w:cs="Arial"/>
                <w:sz w:val="22"/>
                <w:szCs w:val="22"/>
                <w:lang w:val="fr-FR"/>
              </w:rPr>
              <w:t>14.2</w:t>
            </w:r>
          </w:p>
          <w:p w:rsidR="0081600F" w:rsidRPr="00420040" w:rsidRDefault="00AD0FE5" w:rsidP="002973EB">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24 </w:t>
            </w:r>
            <w:r w:rsidR="00DE37B8">
              <w:rPr>
                <w:rFonts w:cs="Arial"/>
                <w:sz w:val="22"/>
                <w:szCs w:val="22"/>
                <w:lang w:val="en-GB"/>
              </w:rPr>
              <w:t>juillet</w:t>
            </w:r>
            <w:r w:rsidR="0079075D" w:rsidRPr="00420040">
              <w:rPr>
                <w:rFonts w:cs="Arial"/>
                <w:sz w:val="22"/>
                <w:szCs w:val="22"/>
                <w:lang w:val="en-GB"/>
              </w:rPr>
              <w:t xml:space="preserve"> </w:t>
            </w:r>
            <w:r w:rsidR="00EA0B88">
              <w:rPr>
                <w:rFonts w:cs="Arial"/>
                <w:sz w:val="22"/>
                <w:szCs w:val="22"/>
                <w:lang w:val="en-GB"/>
              </w:rPr>
              <w:t>2017</w:t>
            </w:r>
          </w:p>
          <w:p w:rsidR="00E8776E" w:rsidRPr="00420040" w:rsidRDefault="00E8776E" w:rsidP="002973EB">
            <w:pPr>
              <w:rPr>
                <w:rFonts w:cs="Arial"/>
                <w:sz w:val="12"/>
                <w:szCs w:val="12"/>
                <w:lang w:val="en-GB"/>
              </w:rPr>
            </w:pPr>
          </w:p>
          <w:p w:rsidR="00B138E6" w:rsidRPr="001E7B2E" w:rsidRDefault="00B138E6" w:rsidP="00B138E6">
            <w:pPr>
              <w:rPr>
                <w:rFonts w:cs="Arial"/>
                <w:sz w:val="22"/>
                <w:szCs w:val="22"/>
                <w:lang w:val="fr-FR"/>
              </w:rPr>
            </w:pPr>
            <w:r w:rsidRPr="001E7B2E">
              <w:rPr>
                <w:rFonts w:cs="Arial"/>
                <w:sz w:val="22"/>
                <w:szCs w:val="22"/>
                <w:lang w:val="fr-FR"/>
              </w:rPr>
              <w:t>Français</w:t>
            </w:r>
          </w:p>
          <w:p w:rsidR="0081600F" w:rsidRPr="00420040" w:rsidRDefault="00B138E6" w:rsidP="00B138E6">
            <w:pPr>
              <w:rPr>
                <w:rFonts w:cs="Arial"/>
                <w:sz w:val="22"/>
                <w:szCs w:val="22"/>
                <w:lang w:val="en-GB"/>
              </w:rPr>
            </w:pPr>
            <w:r w:rsidRPr="005B42D9">
              <w:rPr>
                <w:rFonts w:cs="Arial"/>
                <w:sz w:val="22"/>
                <w:szCs w:val="22"/>
                <w:lang w:val="fr-FR"/>
              </w:rPr>
              <w:t>Original: Anglais</w:t>
            </w:r>
          </w:p>
          <w:p w:rsidR="00682B31" w:rsidRPr="00682B31" w:rsidRDefault="00682B31" w:rsidP="002973EB">
            <w:pPr>
              <w:rPr>
                <w:rFonts w:cs="Arial"/>
                <w:sz w:val="12"/>
                <w:szCs w:val="12"/>
                <w:lang w:val="en-GB"/>
              </w:rPr>
            </w:pPr>
          </w:p>
        </w:tc>
      </w:tr>
    </w:tbl>
    <w:p w:rsidR="0052082F" w:rsidRPr="00682B31" w:rsidRDefault="0052082F" w:rsidP="002973EB">
      <w:pPr>
        <w:rPr>
          <w:rFonts w:cs="Arial"/>
          <w:sz w:val="22"/>
          <w:szCs w:val="22"/>
        </w:rPr>
      </w:pPr>
    </w:p>
    <w:p w:rsidR="00B64904" w:rsidRPr="00195164" w:rsidRDefault="00AD0FE5" w:rsidP="002973EB">
      <w:pPr>
        <w:pStyle w:val="Heading2"/>
        <w:keepNext w:val="0"/>
        <w:ind w:left="-90" w:right="-367"/>
        <w:jc w:val="center"/>
        <w:rPr>
          <w:rFonts w:cs="Arial"/>
          <w:sz w:val="22"/>
          <w:szCs w:val="22"/>
          <w:lang w:val="fr-FR"/>
        </w:rPr>
      </w:pPr>
      <w:r w:rsidRPr="00195164">
        <w:rPr>
          <w:rFonts w:cs="Arial"/>
          <w:caps/>
          <w:sz w:val="22"/>
          <w:szCs w:val="22"/>
          <w:lang w:val="fr-FR"/>
        </w:rPr>
        <w:t xml:space="preserve">Budget </w:t>
      </w:r>
      <w:r w:rsidR="00195164" w:rsidRPr="00195164">
        <w:rPr>
          <w:rFonts w:cs="Arial"/>
          <w:caps/>
          <w:sz w:val="22"/>
          <w:szCs w:val="22"/>
          <w:lang w:val="fr-FR"/>
        </w:rPr>
        <w:t>ET</w:t>
      </w:r>
      <w:r w:rsidRPr="00195164">
        <w:rPr>
          <w:rFonts w:cs="Arial"/>
          <w:caps/>
          <w:sz w:val="22"/>
          <w:szCs w:val="22"/>
          <w:lang w:val="fr-FR"/>
        </w:rPr>
        <w:t xml:space="preserve"> Programme </w:t>
      </w:r>
      <w:r w:rsidR="00195164" w:rsidRPr="00195164">
        <w:rPr>
          <w:rFonts w:cs="Arial"/>
          <w:caps/>
          <w:sz w:val="22"/>
          <w:szCs w:val="22"/>
          <w:lang w:val="fr-FR"/>
        </w:rPr>
        <w:t xml:space="preserve">DE TRAVAIL </w:t>
      </w:r>
      <w:r w:rsidRPr="00195164">
        <w:rPr>
          <w:rFonts w:cs="Arial"/>
          <w:caps/>
          <w:sz w:val="22"/>
          <w:szCs w:val="22"/>
          <w:lang w:val="fr-FR"/>
        </w:rPr>
        <w:t>2018-2020</w:t>
      </w:r>
    </w:p>
    <w:p w:rsidR="00593736" w:rsidRPr="00195164" w:rsidRDefault="00593736" w:rsidP="002973EB">
      <w:pPr>
        <w:rPr>
          <w:sz w:val="8"/>
          <w:szCs w:val="8"/>
          <w:lang w:val="fr-FR"/>
        </w:rPr>
      </w:pPr>
    </w:p>
    <w:p w:rsidR="00B64904" w:rsidRPr="00803854" w:rsidRDefault="00B64904" w:rsidP="002973EB">
      <w:pPr>
        <w:jc w:val="center"/>
        <w:rPr>
          <w:rFonts w:cs="Arial"/>
          <w:i/>
          <w:sz w:val="22"/>
          <w:szCs w:val="22"/>
          <w:lang w:val="fr-FR"/>
        </w:rPr>
      </w:pPr>
      <w:r w:rsidRPr="00803854">
        <w:rPr>
          <w:rFonts w:cs="Arial"/>
          <w:i/>
          <w:sz w:val="22"/>
          <w:szCs w:val="22"/>
          <w:lang w:val="fr-FR"/>
        </w:rPr>
        <w:t>(</w:t>
      </w:r>
      <w:r w:rsidR="00F11793" w:rsidRPr="00803854">
        <w:rPr>
          <w:rFonts w:cs="Arial"/>
          <w:i/>
          <w:sz w:val="22"/>
          <w:szCs w:val="22"/>
          <w:lang w:val="fr-FR"/>
        </w:rPr>
        <w:t>P</w:t>
      </w:r>
      <w:r w:rsidR="0079075D" w:rsidRPr="00803854">
        <w:rPr>
          <w:rFonts w:cs="Arial"/>
          <w:i/>
          <w:sz w:val="22"/>
          <w:szCs w:val="22"/>
          <w:lang w:val="fr-FR"/>
        </w:rPr>
        <w:t>r</w:t>
      </w:r>
      <w:r w:rsidR="00195164" w:rsidRPr="00803854">
        <w:rPr>
          <w:rFonts w:cs="Arial"/>
          <w:i/>
          <w:sz w:val="22"/>
          <w:szCs w:val="22"/>
          <w:lang w:val="fr-FR"/>
        </w:rPr>
        <w:t>éparé par le</w:t>
      </w:r>
      <w:r w:rsidR="00870FB9" w:rsidRPr="00803854">
        <w:rPr>
          <w:rFonts w:cs="Arial"/>
          <w:i/>
          <w:sz w:val="22"/>
          <w:szCs w:val="22"/>
          <w:lang w:val="fr-FR"/>
        </w:rPr>
        <w:t xml:space="preserve"> Secr</w:t>
      </w:r>
      <w:r w:rsidR="00195164" w:rsidRPr="00803854">
        <w:rPr>
          <w:rFonts w:cs="Arial"/>
          <w:i/>
          <w:sz w:val="22"/>
          <w:szCs w:val="22"/>
          <w:lang w:val="fr-FR"/>
        </w:rPr>
        <w:t>é</w:t>
      </w:r>
      <w:r w:rsidR="00870FB9" w:rsidRPr="00803854">
        <w:rPr>
          <w:rFonts w:cs="Arial"/>
          <w:i/>
          <w:sz w:val="22"/>
          <w:szCs w:val="22"/>
          <w:lang w:val="fr-FR"/>
        </w:rPr>
        <w:t>tariat</w:t>
      </w:r>
      <w:r w:rsidRPr="00803854">
        <w:rPr>
          <w:rFonts w:cs="Arial"/>
          <w:i/>
          <w:sz w:val="22"/>
          <w:szCs w:val="22"/>
          <w:lang w:val="fr-FR"/>
        </w:rPr>
        <w:t>)</w:t>
      </w:r>
      <w:r w:rsidR="00497E66" w:rsidRPr="00803854">
        <w:rPr>
          <w:rFonts w:cs="Arial"/>
          <w:i/>
          <w:sz w:val="22"/>
          <w:szCs w:val="22"/>
          <w:lang w:val="fr-FR"/>
        </w:rPr>
        <w:t xml:space="preserve"> </w:t>
      </w:r>
    </w:p>
    <w:p w:rsidR="00870FB9" w:rsidRPr="00803854" w:rsidRDefault="00870FB9" w:rsidP="002973EB">
      <w:pPr>
        <w:rPr>
          <w:sz w:val="8"/>
          <w:szCs w:val="8"/>
          <w:lang w:val="fr-FR"/>
        </w:rPr>
      </w:pPr>
    </w:p>
    <w:p w:rsidR="00870FB9" w:rsidRPr="00803854" w:rsidRDefault="00870FB9" w:rsidP="002973EB">
      <w:pPr>
        <w:jc w:val="center"/>
        <w:rPr>
          <w:rFonts w:cs="Arial"/>
          <w:i/>
          <w:sz w:val="22"/>
          <w:szCs w:val="22"/>
          <w:lang w:val="fr-FR"/>
        </w:rPr>
      </w:pPr>
    </w:p>
    <w:p w:rsidR="001764E6" w:rsidRPr="00803854" w:rsidRDefault="001764E6" w:rsidP="002973EB">
      <w:pPr>
        <w:jc w:val="both"/>
        <w:rPr>
          <w:rFonts w:cs="Arial"/>
          <w:sz w:val="21"/>
          <w:szCs w:val="21"/>
          <w:lang w:val="fr-FR"/>
        </w:rPr>
      </w:pPr>
    </w:p>
    <w:p w:rsidR="001764E6" w:rsidRPr="00803854" w:rsidRDefault="001764E6" w:rsidP="002973EB">
      <w:pPr>
        <w:tabs>
          <w:tab w:val="left" w:pos="8295"/>
        </w:tabs>
        <w:jc w:val="both"/>
        <w:rPr>
          <w:rFonts w:cs="Arial"/>
          <w:sz w:val="21"/>
          <w:szCs w:val="21"/>
          <w:lang w:val="fr-FR"/>
        </w:rPr>
      </w:pPr>
    </w:p>
    <w:p w:rsidR="00D605A4" w:rsidRPr="00803854" w:rsidRDefault="00B40951" w:rsidP="002973EB">
      <w:pPr>
        <w:rPr>
          <w:rFonts w:cs="Arial"/>
          <w:sz w:val="21"/>
          <w:szCs w:val="21"/>
          <w:lang w:val="fr-FR"/>
        </w:rPr>
      </w:pPr>
      <w:r>
        <w:rPr>
          <w:rFonts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144780</wp:posOffset>
                </wp:positionV>
                <wp:extent cx="4305300" cy="2628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628900"/>
                        </a:xfrm>
                        <a:prstGeom prst="rect">
                          <a:avLst/>
                        </a:prstGeom>
                        <a:solidFill>
                          <a:srgbClr val="FFFFFF"/>
                        </a:solidFill>
                        <a:ln w="3175">
                          <a:solidFill>
                            <a:srgbClr val="000000"/>
                          </a:solidFill>
                          <a:miter lim="800000"/>
                          <a:headEnd/>
                          <a:tailEnd/>
                        </a:ln>
                      </wps:spPr>
                      <wps:txbx>
                        <w:txbxContent>
                          <w:p w:rsidR="00D16DA1" w:rsidRPr="00D16DA1" w:rsidRDefault="00D16DA1" w:rsidP="00E475D4">
                            <w:pPr>
                              <w:rPr>
                                <w:rFonts w:cs="Arial"/>
                                <w:sz w:val="22"/>
                                <w:szCs w:val="22"/>
                                <w:lang w:val="fr-FR"/>
                              </w:rPr>
                            </w:pPr>
                            <w:r w:rsidRPr="00D16DA1">
                              <w:rPr>
                                <w:rFonts w:cs="Arial"/>
                                <w:sz w:val="22"/>
                                <w:szCs w:val="22"/>
                                <w:lang w:val="fr-FR"/>
                              </w:rPr>
                              <w:t>Résumé:</w:t>
                            </w:r>
                          </w:p>
                          <w:p w:rsidR="00D16DA1" w:rsidRPr="00D16DA1" w:rsidRDefault="00D16DA1" w:rsidP="00E8776E">
                            <w:pPr>
                              <w:rPr>
                                <w:rFonts w:cs="Arial"/>
                                <w:i/>
                                <w:sz w:val="22"/>
                                <w:szCs w:val="22"/>
                                <w:lang w:val="fr-FR"/>
                              </w:rPr>
                            </w:pPr>
                          </w:p>
                          <w:p w:rsidR="00D16DA1" w:rsidRPr="00D16DA1" w:rsidRDefault="00D16DA1" w:rsidP="00AD0FE5">
                            <w:pPr>
                              <w:jc w:val="both"/>
                              <w:rPr>
                                <w:rFonts w:cs="Arial"/>
                                <w:sz w:val="22"/>
                                <w:szCs w:val="22"/>
                                <w:lang w:val="fr-FR"/>
                              </w:rPr>
                            </w:pPr>
                            <w:r w:rsidRPr="00D16DA1">
                              <w:rPr>
                                <w:rFonts w:cs="Arial"/>
                                <w:sz w:val="22"/>
                                <w:szCs w:val="22"/>
                                <w:lang w:val="fr-FR"/>
                              </w:rPr>
                              <w:t>Comme le demande la Résolution 11.1. Questions financières et administratives de la Conférence des Parties à sa 11</w:t>
                            </w:r>
                            <w:r w:rsidRPr="00D16DA1">
                              <w:rPr>
                                <w:rFonts w:cs="Arial"/>
                                <w:sz w:val="22"/>
                                <w:szCs w:val="22"/>
                                <w:vertAlign w:val="superscript"/>
                                <w:lang w:val="fr-FR"/>
                              </w:rPr>
                              <w:t>ème</w:t>
                            </w:r>
                            <w:r w:rsidRPr="00D16DA1">
                              <w:rPr>
                                <w:rFonts w:cs="Arial"/>
                                <w:sz w:val="22"/>
                                <w:szCs w:val="22"/>
                                <w:lang w:val="fr-FR"/>
                              </w:rPr>
                              <w:t xml:space="preserve"> session, le Secrétariat a préparé trois scénarios de budget : un scénario de croissance nominale zéro et un scénario de croissance réelle zéro ainsi qu’un troisième scénario pour la période triennale 2018-2020.</w:t>
                            </w:r>
                          </w:p>
                          <w:p w:rsidR="00D16DA1" w:rsidRPr="00D16DA1" w:rsidRDefault="00D16DA1" w:rsidP="00AD0FE5">
                            <w:pPr>
                              <w:jc w:val="both"/>
                              <w:rPr>
                                <w:rFonts w:cs="Arial"/>
                                <w:sz w:val="22"/>
                                <w:szCs w:val="22"/>
                                <w:lang w:val="fr-FR"/>
                              </w:rPr>
                            </w:pPr>
                          </w:p>
                          <w:p w:rsidR="00D16DA1" w:rsidRPr="00D16DA1" w:rsidRDefault="00D16DA1" w:rsidP="00AD0FE5">
                            <w:pPr>
                              <w:jc w:val="both"/>
                              <w:rPr>
                                <w:rFonts w:cs="Arial"/>
                                <w:sz w:val="22"/>
                                <w:szCs w:val="22"/>
                                <w:lang w:val="fr-FR"/>
                              </w:rPr>
                            </w:pPr>
                            <w:r w:rsidRPr="00D16DA1">
                              <w:rPr>
                                <w:rFonts w:cs="Arial"/>
                                <w:sz w:val="22"/>
                                <w:szCs w:val="22"/>
                                <w:lang w:val="fr-FR"/>
                              </w:rPr>
                              <w:t>En outre, le Secrétariat a élaboré un Programme de travail pour 2018-2020.</w:t>
                            </w:r>
                          </w:p>
                          <w:p w:rsidR="00D16DA1" w:rsidRPr="00D16DA1" w:rsidRDefault="00D16DA1" w:rsidP="00AD0FE5">
                            <w:pPr>
                              <w:jc w:val="both"/>
                              <w:rPr>
                                <w:rFonts w:cs="Arial"/>
                                <w:sz w:val="22"/>
                                <w:szCs w:val="22"/>
                                <w:lang w:val="fr-FR"/>
                              </w:rPr>
                            </w:pPr>
                          </w:p>
                          <w:p w:rsidR="00D16DA1" w:rsidRPr="00D16DA1" w:rsidRDefault="00D16DA1" w:rsidP="00DA28FC">
                            <w:pPr>
                              <w:jc w:val="both"/>
                              <w:rPr>
                                <w:rFonts w:cs="Arial"/>
                                <w:sz w:val="22"/>
                                <w:szCs w:val="22"/>
                                <w:lang w:val="fr-FR"/>
                              </w:rPr>
                            </w:pPr>
                            <w:r w:rsidRPr="00D16DA1">
                              <w:rPr>
                                <w:rFonts w:cs="Arial"/>
                                <w:spacing w:val="-4"/>
                                <w:sz w:val="22"/>
                                <w:szCs w:val="22"/>
                                <w:lang w:val="fr-FR"/>
                              </w:rPr>
                              <w:t>Le présent document doit être examiné conjointement avec les documents: UNEP/CMS/COP12/Doc.14.1 sur l’exécution du budget de la CMS pour 2015-2017 et UNEP/CMS/COP12/Doc.14.3 sur la mobilisation de ressources.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4pt;width:339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owKQIAAFE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" strokeweight=".25pt">
                <v:textbox>
                  <w:txbxContent>
                    <w:p w:rsidR="00D16DA1" w:rsidRPr="00D16DA1" w:rsidRDefault="00D16DA1" w:rsidP="00E475D4">
                      <w:pPr>
                        <w:rPr>
                          <w:rFonts w:cs="Arial"/>
                          <w:sz w:val="22"/>
                          <w:szCs w:val="22"/>
                          <w:lang w:val="fr-FR"/>
                        </w:rPr>
                      </w:pPr>
                      <w:proofErr w:type="gramStart"/>
                      <w:r w:rsidRPr="00D16DA1">
                        <w:rPr>
                          <w:rFonts w:cs="Arial"/>
                          <w:sz w:val="22"/>
                          <w:szCs w:val="22"/>
                          <w:lang w:val="fr-FR"/>
                        </w:rPr>
                        <w:t>Résumé:</w:t>
                      </w:r>
                      <w:proofErr w:type="gramEnd"/>
                    </w:p>
                    <w:p w:rsidR="00D16DA1" w:rsidRPr="00D16DA1" w:rsidRDefault="00D16DA1" w:rsidP="00E8776E">
                      <w:pPr>
                        <w:rPr>
                          <w:rFonts w:cs="Arial"/>
                          <w:i/>
                          <w:sz w:val="22"/>
                          <w:szCs w:val="22"/>
                          <w:lang w:val="fr-FR"/>
                        </w:rPr>
                      </w:pPr>
                    </w:p>
                    <w:p w:rsidR="00D16DA1" w:rsidRPr="00D16DA1" w:rsidRDefault="00D16DA1" w:rsidP="00AD0FE5">
                      <w:pPr>
                        <w:jc w:val="both"/>
                        <w:rPr>
                          <w:rFonts w:cs="Arial"/>
                          <w:sz w:val="22"/>
                          <w:szCs w:val="22"/>
                          <w:lang w:val="fr-FR"/>
                        </w:rPr>
                      </w:pPr>
                      <w:r w:rsidRPr="00D16DA1">
                        <w:rPr>
                          <w:rFonts w:cs="Arial"/>
                          <w:sz w:val="22"/>
                          <w:szCs w:val="22"/>
                          <w:lang w:val="fr-FR"/>
                        </w:rPr>
                        <w:t>Comme le demande la Résolution 11.1. Questions financières et administratives de la Conférence des Parties à sa 11</w:t>
                      </w:r>
                      <w:r w:rsidRPr="00D16DA1">
                        <w:rPr>
                          <w:rFonts w:cs="Arial"/>
                          <w:sz w:val="22"/>
                          <w:szCs w:val="22"/>
                          <w:vertAlign w:val="superscript"/>
                          <w:lang w:val="fr-FR"/>
                        </w:rPr>
                        <w:t>ème</w:t>
                      </w:r>
                      <w:r w:rsidRPr="00D16DA1">
                        <w:rPr>
                          <w:rFonts w:cs="Arial"/>
                          <w:sz w:val="22"/>
                          <w:szCs w:val="22"/>
                          <w:lang w:val="fr-FR"/>
                        </w:rPr>
                        <w:t xml:space="preserve"> session, le Secrétariat a préparé trois scénarios de budget : un scénario de croissance nominale zéro et un scénario de croissance réelle zéro ainsi qu’un troisième scénario pour la période triennale 2018-2020.</w:t>
                      </w:r>
                    </w:p>
                    <w:p w:rsidR="00D16DA1" w:rsidRPr="00D16DA1" w:rsidRDefault="00D16DA1" w:rsidP="00AD0FE5">
                      <w:pPr>
                        <w:jc w:val="both"/>
                        <w:rPr>
                          <w:rFonts w:cs="Arial"/>
                          <w:sz w:val="22"/>
                          <w:szCs w:val="22"/>
                          <w:lang w:val="fr-FR"/>
                        </w:rPr>
                      </w:pPr>
                    </w:p>
                    <w:p w:rsidR="00D16DA1" w:rsidRPr="00D16DA1" w:rsidRDefault="00D16DA1" w:rsidP="00AD0FE5">
                      <w:pPr>
                        <w:jc w:val="both"/>
                        <w:rPr>
                          <w:rFonts w:cs="Arial"/>
                          <w:sz w:val="22"/>
                          <w:szCs w:val="22"/>
                          <w:lang w:val="fr-FR"/>
                        </w:rPr>
                      </w:pPr>
                      <w:r w:rsidRPr="00D16DA1">
                        <w:rPr>
                          <w:rFonts w:cs="Arial"/>
                          <w:sz w:val="22"/>
                          <w:szCs w:val="22"/>
                          <w:lang w:val="fr-FR"/>
                        </w:rPr>
                        <w:t>En outre, le Secrétariat a élaboré un Programme de travail pour 2018-2020.</w:t>
                      </w:r>
                    </w:p>
                    <w:p w:rsidR="00D16DA1" w:rsidRPr="00D16DA1" w:rsidRDefault="00D16DA1" w:rsidP="00AD0FE5">
                      <w:pPr>
                        <w:jc w:val="both"/>
                        <w:rPr>
                          <w:rFonts w:cs="Arial"/>
                          <w:sz w:val="22"/>
                          <w:szCs w:val="22"/>
                          <w:lang w:val="fr-FR"/>
                        </w:rPr>
                      </w:pPr>
                    </w:p>
                    <w:p w:rsidR="00D16DA1" w:rsidRPr="00D16DA1" w:rsidRDefault="00D16DA1" w:rsidP="00DA28FC">
                      <w:pPr>
                        <w:jc w:val="both"/>
                        <w:rPr>
                          <w:rFonts w:cs="Arial"/>
                          <w:sz w:val="22"/>
                          <w:szCs w:val="22"/>
                          <w:lang w:val="fr-FR"/>
                        </w:rPr>
                      </w:pPr>
                      <w:r w:rsidRPr="00D16DA1">
                        <w:rPr>
                          <w:rFonts w:cs="Arial"/>
                          <w:spacing w:val="-4"/>
                          <w:sz w:val="22"/>
                          <w:szCs w:val="22"/>
                          <w:lang w:val="fr-FR"/>
                        </w:rPr>
                        <w:t xml:space="preserve">Le présent document doit être examiné conjointement avec les </w:t>
                      </w:r>
                      <w:proofErr w:type="gramStart"/>
                      <w:r w:rsidRPr="00D16DA1">
                        <w:rPr>
                          <w:rFonts w:cs="Arial"/>
                          <w:spacing w:val="-4"/>
                          <w:sz w:val="22"/>
                          <w:szCs w:val="22"/>
                          <w:lang w:val="fr-FR"/>
                        </w:rPr>
                        <w:t>documents:</w:t>
                      </w:r>
                      <w:proofErr w:type="gramEnd"/>
                      <w:r w:rsidRPr="00D16DA1">
                        <w:rPr>
                          <w:rFonts w:cs="Arial"/>
                          <w:spacing w:val="-4"/>
                          <w:sz w:val="22"/>
                          <w:szCs w:val="22"/>
                          <w:lang w:val="fr-FR"/>
                        </w:rPr>
                        <w:t xml:space="preserve"> UNEP/CMS/COP12/Doc.14.1 sur l’exécution du budget de la CMS pour 2015-2017 et UNEP/CMS/COP12/Doc.14.3 sur la mobilisation de ressources.</w:t>
                      </w:r>
                    </w:p>
                  </w:txbxContent>
                </v:textbox>
              </v:shape>
            </w:pict>
          </mc:Fallback>
        </mc:AlternateContent>
      </w: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1"/>
          <w:szCs w:val="21"/>
          <w:lang w:val="fr-FR"/>
        </w:rPr>
      </w:pPr>
    </w:p>
    <w:p w:rsidR="00D605A4" w:rsidRPr="00803854" w:rsidRDefault="00D605A4"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031A88" w:rsidRPr="00803854" w:rsidRDefault="00031A88" w:rsidP="002973EB">
      <w:pPr>
        <w:rPr>
          <w:rFonts w:cs="Arial"/>
          <w:sz w:val="22"/>
          <w:szCs w:val="22"/>
          <w:lang w:val="fr-FR"/>
        </w:rPr>
      </w:pPr>
    </w:p>
    <w:p w:rsidR="00D605A4" w:rsidRPr="00803854" w:rsidRDefault="00D605A4" w:rsidP="002973EB">
      <w:pPr>
        <w:rPr>
          <w:rFonts w:cs="Arial"/>
          <w:sz w:val="22"/>
          <w:szCs w:val="22"/>
          <w:lang w:val="fr-FR"/>
        </w:rPr>
      </w:pPr>
    </w:p>
    <w:p w:rsidR="00D605A4" w:rsidRPr="00803854" w:rsidRDefault="00D605A4" w:rsidP="002973EB">
      <w:pPr>
        <w:tabs>
          <w:tab w:val="left" w:pos="1020"/>
        </w:tabs>
        <w:rPr>
          <w:rFonts w:cs="Arial"/>
          <w:sz w:val="22"/>
          <w:szCs w:val="22"/>
          <w:lang w:val="fr-FR"/>
        </w:rPr>
        <w:sectPr w:rsidR="00D605A4" w:rsidRPr="0080385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7910DD" w:rsidRPr="00803854" w:rsidRDefault="00DA28FC" w:rsidP="002973EB">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sidRPr="00803854">
        <w:rPr>
          <w:rFonts w:cs="Arial"/>
          <w:b/>
          <w:caps/>
          <w:sz w:val="22"/>
          <w:szCs w:val="22"/>
          <w:lang w:val="fr-FR"/>
        </w:rPr>
        <w:lastRenderedPageBreak/>
        <w:t xml:space="preserve">BUDGET </w:t>
      </w:r>
      <w:r w:rsidR="00803854" w:rsidRPr="00803854">
        <w:rPr>
          <w:rFonts w:cs="Arial"/>
          <w:b/>
          <w:caps/>
          <w:sz w:val="22"/>
          <w:szCs w:val="22"/>
          <w:lang w:val="fr-FR"/>
        </w:rPr>
        <w:t xml:space="preserve">ET PROGRAMME DE TRAVAIL </w:t>
      </w:r>
      <w:r w:rsidRPr="00803854">
        <w:rPr>
          <w:rFonts w:cs="Arial"/>
          <w:b/>
          <w:caps/>
          <w:sz w:val="22"/>
          <w:szCs w:val="22"/>
          <w:lang w:val="fr-FR"/>
        </w:rPr>
        <w:t>2018-2020</w:t>
      </w:r>
    </w:p>
    <w:p w:rsidR="007910DD" w:rsidRPr="00803854" w:rsidRDefault="007910DD" w:rsidP="002973EB">
      <w:pPr>
        <w:jc w:val="center"/>
        <w:rPr>
          <w:rFonts w:cs="Arial"/>
          <w:sz w:val="22"/>
          <w:szCs w:val="22"/>
          <w:lang w:val="fr-FR"/>
        </w:rPr>
      </w:pPr>
    </w:p>
    <w:p w:rsidR="007910DD" w:rsidRPr="00803854" w:rsidRDefault="007910DD" w:rsidP="002973EB">
      <w:pPr>
        <w:jc w:val="both"/>
        <w:rPr>
          <w:rFonts w:cs="Arial"/>
          <w:sz w:val="22"/>
          <w:szCs w:val="22"/>
          <w:lang w:val="fr-FR"/>
        </w:rPr>
      </w:pPr>
    </w:p>
    <w:p w:rsidR="007910DD" w:rsidRPr="00CD0FE9" w:rsidRDefault="00803854" w:rsidP="002973EB">
      <w:pPr>
        <w:jc w:val="both"/>
        <w:rPr>
          <w:rFonts w:cs="Arial"/>
          <w:sz w:val="22"/>
          <w:szCs w:val="22"/>
          <w:u w:val="single"/>
          <w:lang w:val="en-GB"/>
        </w:rPr>
      </w:pPr>
      <w:r>
        <w:rPr>
          <w:rFonts w:cs="Arial"/>
          <w:sz w:val="22"/>
          <w:szCs w:val="22"/>
          <w:u w:val="single"/>
          <w:lang w:val="en-GB"/>
        </w:rPr>
        <w:t>Contexte</w:t>
      </w:r>
    </w:p>
    <w:p w:rsidR="007910DD" w:rsidRPr="00CD0FE9" w:rsidRDefault="007910DD" w:rsidP="002973EB">
      <w:pPr>
        <w:jc w:val="both"/>
        <w:rPr>
          <w:rFonts w:cs="Arial"/>
          <w:sz w:val="22"/>
          <w:szCs w:val="22"/>
          <w:lang w:val="en-GB"/>
        </w:rPr>
      </w:pPr>
    </w:p>
    <w:p w:rsidR="0033299A" w:rsidRPr="008571AD" w:rsidRDefault="008571AD" w:rsidP="002973EB">
      <w:pPr>
        <w:numPr>
          <w:ilvl w:val="0"/>
          <w:numId w:val="2"/>
        </w:numPr>
        <w:contextualSpacing/>
        <w:jc w:val="both"/>
        <w:rPr>
          <w:rFonts w:cs="Arial"/>
          <w:sz w:val="22"/>
          <w:szCs w:val="22"/>
          <w:lang w:val="fr-FR"/>
        </w:rPr>
      </w:pPr>
      <w:r w:rsidRPr="008571AD">
        <w:rPr>
          <w:rFonts w:cs="Arial"/>
          <w:sz w:val="22"/>
          <w:szCs w:val="22"/>
          <w:lang w:val="fr-FR"/>
        </w:rPr>
        <w:t>Le présent d</w:t>
      </w:r>
      <w:r>
        <w:rPr>
          <w:rFonts w:cs="Arial"/>
          <w:sz w:val="22"/>
          <w:szCs w:val="22"/>
          <w:lang w:val="fr-FR"/>
        </w:rPr>
        <w:t>ocument</w:t>
      </w:r>
      <w:r w:rsidRPr="008571AD">
        <w:rPr>
          <w:rFonts w:cs="Arial"/>
          <w:sz w:val="22"/>
          <w:szCs w:val="22"/>
          <w:lang w:val="fr-FR"/>
        </w:rPr>
        <w:t xml:space="preserve"> </w:t>
      </w:r>
      <w:r w:rsidR="00930581">
        <w:rPr>
          <w:rFonts w:cs="Arial"/>
          <w:sz w:val="22"/>
          <w:szCs w:val="22"/>
          <w:lang w:val="fr-FR"/>
        </w:rPr>
        <w:t>fait suite au</w:t>
      </w:r>
      <w:r>
        <w:rPr>
          <w:rFonts w:cs="Arial"/>
          <w:sz w:val="22"/>
          <w:szCs w:val="22"/>
          <w:lang w:val="fr-FR"/>
        </w:rPr>
        <w:t xml:space="preserve"> paragraphe 28 de la</w:t>
      </w:r>
      <w:r w:rsidR="0033299A" w:rsidRPr="008571AD">
        <w:rPr>
          <w:rFonts w:cs="Arial"/>
          <w:sz w:val="22"/>
          <w:szCs w:val="22"/>
          <w:lang w:val="fr-FR"/>
        </w:rPr>
        <w:t xml:space="preserve"> </w:t>
      </w:r>
      <w:r w:rsidRPr="008571AD">
        <w:rPr>
          <w:rFonts w:cs="Arial"/>
          <w:sz w:val="22"/>
          <w:szCs w:val="22"/>
          <w:lang w:val="fr-FR"/>
        </w:rPr>
        <w:t>Résolution</w:t>
      </w:r>
      <w:r w:rsidR="0033299A" w:rsidRPr="008571AD">
        <w:rPr>
          <w:rFonts w:cs="Arial"/>
          <w:sz w:val="22"/>
          <w:szCs w:val="22"/>
          <w:lang w:val="fr-FR"/>
        </w:rPr>
        <w:t xml:space="preserve"> 11.1. </w:t>
      </w:r>
      <w:r w:rsidRPr="008571AD">
        <w:rPr>
          <w:rFonts w:cs="Arial"/>
          <w:sz w:val="22"/>
          <w:szCs w:val="22"/>
          <w:lang w:val="fr-FR"/>
        </w:rPr>
        <w:t>Questions financières et administratives de la Conférence des Parties</w:t>
      </w:r>
      <w:r w:rsidR="0033299A" w:rsidRPr="008571AD">
        <w:rPr>
          <w:rFonts w:cs="Arial"/>
          <w:sz w:val="22"/>
          <w:szCs w:val="22"/>
          <w:lang w:val="fr-FR"/>
        </w:rPr>
        <w:t xml:space="preserve"> (COP) </w:t>
      </w:r>
      <w:r w:rsidRPr="008571AD">
        <w:rPr>
          <w:rFonts w:eastAsia="Palatino Linotype"/>
          <w:sz w:val="22"/>
          <w:szCs w:val="22"/>
          <w:lang w:val="fr-FR"/>
        </w:rPr>
        <w:t xml:space="preserve">par lequel il a été décidé qu’une proposition de budget triennal doit être </w:t>
      </w:r>
      <w:r w:rsidR="00930581">
        <w:rPr>
          <w:rFonts w:eastAsia="Palatino Linotype"/>
          <w:sz w:val="22"/>
          <w:szCs w:val="22"/>
          <w:lang w:val="fr-FR"/>
        </w:rPr>
        <w:t>fournie</w:t>
      </w:r>
      <w:r w:rsidRPr="008571AD">
        <w:rPr>
          <w:rFonts w:eastAsia="Palatino Linotype"/>
          <w:sz w:val="22"/>
          <w:szCs w:val="22"/>
          <w:lang w:val="fr-FR"/>
        </w:rPr>
        <w:t xml:space="preserve"> par le Secrétariat et mise à la disposition des Parties 90 jours avant la réunion de la COP</w:t>
      </w:r>
      <w:r w:rsidR="0033299A" w:rsidRPr="008571AD">
        <w:rPr>
          <w:rFonts w:cs="Arial"/>
          <w:sz w:val="22"/>
          <w:szCs w:val="22"/>
          <w:lang w:val="fr-FR"/>
        </w:rPr>
        <w:t>.</w:t>
      </w:r>
    </w:p>
    <w:p w:rsidR="0033299A" w:rsidRPr="008571AD" w:rsidRDefault="0033299A" w:rsidP="002973EB">
      <w:pPr>
        <w:ind w:left="360"/>
        <w:contextualSpacing/>
        <w:jc w:val="both"/>
        <w:rPr>
          <w:rFonts w:cs="Arial"/>
          <w:sz w:val="22"/>
          <w:szCs w:val="22"/>
          <w:lang w:val="fr-FR"/>
        </w:rPr>
      </w:pPr>
    </w:p>
    <w:p w:rsidR="0033299A" w:rsidRPr="00713E35" w:rsidRDefault="00713E35" w:rsidP="002973EB">
      <w:pPr>
        <w:numPr>
          <w:ilvl w:val="0"/>
          <w:numId w:val="2"/>
        </w:numPr>
        <w:contextualSpacing/>
        <w:jc w:val="both"/>
        <w:rPr>
          <w:rFonts w:cs="Arial"/>
          <w:sz w:val="22"/>
          <w:szCs w:val="22"/>
          <w:lang w:val="fr-FR"/>
        </w:rPr>
      </w:pPr>
      <w:r w:rsidRPr="00713E35">
        <w:rPr>
          <w:rFonts w:cs="Arial"/>
          <w:sz w:val="22"/>
          <w:szCs w:val="22"/>
          <w:lang w:val="fr-FR"/>
        </w:rPr>
        <w:t>La Rés</w:t>
      </w:r>
      <w:r w:rsidR="0033299A" w:rsidRPr="00713E35">
        <w:rPr>
          <w:rFonts w:cs="Arial"/>
          <w:sz w:val="22"/>
          <w:szCs w:val="22"/>
          <w:lang w:val="fr-FR"/>
        </w:rPr>
        <w:t>olution 11.1</w:t>
      </w:r>
      <w:r w:rsidRPr="00713E35">
        <w:rPr>
          <w:rFonts w:cs="Arial"/>
          <w:sz w:val="22"/>
          <w:szCs w:val="22"/>
          <w:lang w:val="fr-FR"/>
        </w:rPr>
        <w:t xml:space="preserve"> invitait le</w:t>
      </w:r>
      <w:r w:rsidR="0033299A" w:rsidRPr="00713E35">
        <w:rPr>
          <w:rFonts w:cs="Arial"/>
          <w:sz w:val="22"/>
          <w:szCs w:val="22"/>
          <w:lang w:val="fr-FR"/>
        </w:rPr>
        <w:t xml:space="preserve"> Secr</w:t>
      </w:r>
      <w:r w:rsidRPr="00713E35">
        <w:rPr>
          <w:rFonts w:cs="Arial"/>
          <w:sz w:val="22"/>
          <w:szCs w:val="22"/>
          <w:lang w:val="fr-FR"/>
        </w:rPr>
        <w:t>é</w:t>
      </w:r>
      <w:r w:rsidR="0033299A" w:rsidRPr="00713E35">
        <w:rPr>
          <w:rFonts w:cs="Arial"/>
          <w:sz w:val="22"/>
          <w:szCs w:val="22"/>
          <w:lang w:val="fr-FR"/>
        </w:rPr>
        <w:t xml:space="preserve">tariat </w:t>
      </w:r>
      <w:r w:rsidRPr="00713E35">
        <w:rPr>
          <w:rFonts w:cs="Arial"/>
          <w:sz w:val="22"/>
          <w:szCs w:val="22"/>
          <w:lang w:val="fr-FR"/>
        </w:rPr>
        <w:t>à préparer un</w:t>
      </w:r>
      <w:r>
        <w:rPr>
          <w:rFonts w:cs="Arial"/>
          <w:sz w:val="22"/>
          <w:szCs w:val="22"/>
          <w:lang w:val="fr-FR"/>
        </w:rPr>
        <w:t>e</w:t>
      </w:r>
      <w:r w:rsidRPr="00713E35">
        <w:rPr>
          <w:rFonts w:cs="Arial"/>
          <w:sz w:val="22"/>
          <w:szCs w:val="22"/>
          <w:lang w:val="fr-FR"/>
        </w:rPr>
        <w:t xml:space="preserve"> série de scénarios</w:t>
      </w:r>
      <w:r>
        <w:rPr>
          <w:rFonts w:cs="Arial"/>
          <w:sz w:val="22"/>
          <w:szCs w:val="22"/>
          <w:lang w:val="fr-FR"/>
        </w:rPr>
        <w:t xml:space="preserve"> d</w:t>
      </w:r>
      <w:r w:rsidRPr="00713E35">
        <w:rPr>
          <w:rFonts w:cs="Arial"/>
          <w:sz w:val="22"/>
          <w:szCs w:val="22"/>
          <w:lang w:val="fr-FR"/>
        </w:rPr>
        <w:t>e</w:t>
      </w:r>
      <w:r>
        <w:rPr>
          <w:rFonts w:cs="Arial"/>
          <w:sz w:val="22"/>
          <w:szCs w:val="22"/>
          <w:lang w:val="fr-FR"/>
        </w:rPr>
        <w:t xml:space="preserve"> </w:t>
      </w:r>
      <w:r w:rsidRPr="00713E35">
        <w:rPr>
          <w:rFonts w:cs="Arial"/>
          <w:sz w:val="22"/>
          <w:szCs w:val="22"/>
          <w:lang w:val="fr-FR"/>
        </w:rPr>
        <w:t xml:space="preserve">budget, </w:t>
      </w:r>
      <w:r>
        <w:rPr>
          <w:rFonts w:cs="Arial"/>
          <w:sz w:val="22"/>
          <w:szCs w:val="22"/>
          <w:lang w:val="fr-FR"/>
        </w:rPr>
        <w:t>comprenant</w:t>
      </w:r>
      <w:r w:rsidRPr="00713E35">
        <w:rPr>
          <w:rFonts w:cs="Arial"/>
          <w:sz w:val="22"/>
          <w:szCs w:val="22"/>
          <w:lang w:val="fr-FR"/>
        </w:rPr>
        <w:t xml:space="preserve"> au </w:t>
      </w:r>
      <w:r w:rsidR="00DE44D1">
        <w:rPr>
          <w:rFonts w:cs="Arial"/>
          <w:sz w:val="22"/>
          <w:szCs w:val="22"/>
          <w:lang w:val="fr-FR"/>
        </w:rPr>
        <w:t>moins</w:t>
      </w:r>
      <w:r w:rsidRPr="00713E35">
        <w:rPr>
          <w:rFonts w:cs="Arial"/>
          <w:sz w:val="22"/>
          <w:szCs w:val="22"/>
          <w:lang w:val="fr-FR"/>
        </w:rPr>
        <w:t xml:space="preserve"> un scénario de croissance nominale zéro, un scénario de croissance réelle zéro et</w:t>
      </w:r>
      <w:r>
        <w:rPr>
          <w:rFonts w:cs="Arial"/>
          <w:sz w:val="22"/>
          <w:szCs w:val="22"/>
          <w:lang w:val="fr-FR"/>
        </w:rPr>
        <w:t>,</w:t>
      </w:r>
      <w:r w:rsidRPr="00713E35">
        <w:rPr>
          <w:rFonts w:cs="Arial"/>
          <w:sz w:val="22"/>
          <w:szCs w:val="22"/>
          <w:lang w:val="fr-FR"/>
        </w:rPr>
        <w:t xml:space="preserve"> en consultation avec le Sous-</w:t>
      </w:r>
      <w:r>
        <w:rPr>
          <w:rFonts w:cs="Arial"/>
          <w:sz w:val="22"/>
          <w:szCs w:val="22"/>
          <w:lang w:val="fr-FR"/>
        </w:rPr>
        <w:t>C</w:t>
      </w:r>
      <w:r w:rsidRPr="00713E35">
        <w:rPr>
          <w:rFonts w:cs="Arial"/>
          <w:sz w:val="22"/>
          <w:szCs w:val="22"/>
          <w:lang w:val="fr-FR"/>
        </w:rPr>
        <w:t xml:space="preserve">omité des finances </w:t>
      </w:r>
      <w:r>
        <w:rPr>
          <w:rFonts w:cs="Arial"/>
          <w:sz w:val="22"/>
          <w:szCs w:val="22"/>
          <w:lang w:val="fr-FR"/>
        </w:rPr>
        <w:t>et du budget, le cas échéant,</w:t>
      </w:r>
      <w:r w:rsidRPr="00713E35">
        <w:rPr>
          <w:rFonts w:cs="Arial"/>
          <w:sz w:val="22"/>
          <w:szCs w:val="22"/>
          <w:lang w:val="fr-FR"/>
        </w:rPr>
        <w:t xml:space="preserve"> un </w:t>
      </w:r>
      <w:r>
        <w:rPr>
          <w:rFonts w:cs="Arial"/>
          <w:sz w:val="22"/>
          <w:szCs w:val="22"/>
          <w:lang w:val="fr-FR"/>
        </w:rPr>
        <w:t xml:space="preserve">troisième scénario </w:t>
      </w:r>
      <w:r w:rsidR="00930581">
        <w:rPr>
          <w:rFonts w:cs="Arial"/>
          <w:sz w:val="22"/>
          <w:szCs w:val="22"/>
          <w:lang w:val="fr-FR"/>
        </w:rPr>
        <w:t xml:space="preserve">à soumettre à l’examen de </w:t>
      </w:r>
      <w:r>
        <w:rPr>
          <w:rFonts w:cs="Arial"/>
          <w:sz w:val="22"/>
          <w:szCs w:val="22"/>
          <w:lang w:val="fr-FR"/>
        </w:rPr>
        <w:t>la COP12.</w:t>
      </w:r>
      <w:r w:rsidR="0033299A" w:rsidRPr="00713E35">
        <w:rPr>
          <w:rFonts w:cs="Arial"/>
          <w:sz w:val="22"/>
          <w:szCs w:val="22"/>
          <w:lang w:val="fr-FR"/>
        </w:rPr>
        <w:t xml:space="preserve"> </w:t>
      </w:r>
    </w:p>
    <w:p w:rsidR="0033299A" w:rsidRPr="00713E35" w:rsidRDefault="0033299A" w:rsidP="002973EB">
      <w:pPr>
        <w:ind w:left="360"/>
        <w:contextualSpacing/>
        <w:jc w:val="both"/>
        <w:rPr>
          <w:rFonts w:cs="Arial"/>
          <w:sz w:val="22"/>
          <w:szCs w:val="22"/>
          <w:lang w:val="fr-FR"/>
        </w:rPr>
      </w:pPr>
    </w:p>
    <w:p w:rsidR="00A14313" w:rsidRPr="00713E35" w:rsidRDefault="00713E35" w:rsidP="002973EB">
      <w:pPr>
        <w:numPr>
          <w:ilvl w:val="0"/>
          <w:numId w:val="2"/>
        </w:numPr>
        <w:contextualSpacing/>
        <w:jc w:val="both"/>
        <w:rPr>
          <w:rFonts w:cs="Arial"/>
          <w:sz w:val="22"/>
          <w:szCs w:val="22"/>
          <w:lang w:val="fr-FR"/>
        </w:rPr>
      </w:pPr>
      <w:r w:rsidRPr="00713E35">
        <w:rPr>
          <w:rFonts w:cs="Arial"/>
          <w:sz w:val="22"/>
          <w:szCs w:val="22"/>
          <w:lang w:val="fr-FR"/>
        </w:rPr>
        <w:t>Pour la préparation des propositions de budget à s</w:t>
      </w:r>
      <w:r>
        <w:rPr>
          <w:rFonts w:cs="Arial"/>
          <w:sz w:val="22"/>
          <w:szCs w:val="22"/>
          <w:lang w:val="fr-FR"/>
        </w:rPr>
        <w:t>o</w:t>
      </w:r>
      <w:r w:rsidRPr="00713E35">
        <w:rPr>
          <w:rFonts w:cs="Arial"/>
          <w:sz w:val="22"/>
          <w:szCs w:val="22"/>
          <w:lang w:val="fr-FR"/>
        </w:rPr>
        <w:t xml:space="preserve">umettre à la COP12, le </w:t>
      </w:r>
      <w:r>
        <w:rPr>
          <w:rFonts w:cs="Arial"/>
          <w:sz w:val="22"/>
          <w:szCs w:val="22"/>
          <w:lang w:val="fr-FR"/>
        </w:rPr>
        <w:t>S</w:t>
      </w:r>
      <w:r w:rsidRPr="00713E35">
        <w:rPr>
          <w:rFonts w:cs="Arial"/>
          <w:sz w:val="22"/>
          <w:szCs w:val="22"/>
          <w:lang w:val="fr-FR"/>
        </w:rPr>
        <w:t>ecrétariat s’est penché sur plusieurs scé</w:t>
      </w:r>
      <w:r>
        <w:rPr>
          <w:rFonts w:cs="Arial"/>
          <w:sz w:val="22"/>
          <w:szCs w:val="22"/>
          <w:lang w:val="fr-FR"/>
        </w:rPr>
        <w:t>narios</w:t>
      </w:r>
      <w:r w:rsidRPr="00713E35">
        <w:rPr>
          <w:rFonts w:cs="Arial"/>
          <w:sz w:val="22"/>
          <w:szCs w:val="22"/>
          <w:lang w:val="fr-FR"/>
        </w:rPr>
        <w:t xml:space="preserve"> de  budget avec le Sous-Comité des finances et du budget </w:t>
      </w:r>
      <w:r>
        <w:rPr>
          <w:rFonts w:cs="Arial"/>
          <w:sz w:val="22"/>
          <w:szCs w:val="22"/>
          <w:lang w:val="fr-FR"/>
        </w:rPr>
        <w:t>d</w:t>
      </w:r>
      <w:r w:rsidRPr="00713E35">
        <w:rPr>
          <w:rFonts w:cs="Arial"/>
          <w:sz w:val="22"/>
          <w:szCs w:val="22"/>
          <w:lang w:val="fr-FR"/>
        </w:rPr>
        <w:t xml:space="preserve">urant </w:t>
      </w:r>
      <w:r>
        <w:rPr>
          <w:rFonts w:cs="Arial"/>
          <w:sz w:val="22"/>
          <w:szCs w:val="22"/>
          <w:lang w:val="fr-FR"/>
        </w:rPr>
        <w:t>l</w:t>
      </w:r>
      <w:r w:rsidRPr="00713E35">
        <w:rPr>
          <w:rFonts w:cs="Arial"/>
          <w:sz w:val="22"/>
          <w:szCs w:val="22"/>
          <w:lang w:val="fr-FR"/>
        </w:rPr>
        <w:t>a 45</w:t>
      </w:r>
      <w:r w:rsidRPr="00713E35">
        <w:rPr>
          <w:rFonts w:cs="Arial"/>
          <w:sz w:val="22"/>
          <w:szCs w:val="22"/>
          <w:vertAlign w:val="superscript"/>
          <w:lang w:val="fr-FR"/>
        </w:rPr>
        <w:t>ème</w:t>
      </w:r>
      <w:r w:rsidR="0033299A" w:rsidRPr="00713E35">
        <w:rPr>
          <w:rFonts w:cs="Arial"/>
          <w:sz w:val="22"/>
          <w:szCs w:val="22"/>
          <w:lang w:val="fr-FR"/>
        </w:rPr>
        <w:t xml:space="preserve"> </w:t>
      </w:r>
      <w:r>
        <w:rPr>
          <w:rFonts w:cs="Arial"/>
          <w:sz w:val="22"/>
          <w:szCs w:val="22"/>
          <w:lang w:val="fr-FR"/>
        </w:rPr>
        <w:t>réunion du Comité permanent en novembre</w:t>
      </w:r>
      <w:r w:rsidR="0033299A" w:rsidRPr="00713E35">
        <w:rPr>
          <w:rFonts w:cs="Arial"/>
          <w:sz w:val="22"/>
          <w:szCs w:val="22"/>
          <w:lang w:val="fr-FR"/>
        </w:rPr>
        <w:t xml:space="preserve"> 2016. </w:t>
      </w:r>
      <w:r w:rsidRPr="00713E35">
        <w:rPr>
          <w:rFonts w:cs="Arial"/>
          <w:sz w:val="22"/>
          <w:szCs w:val="22"/>
          <w:lang w:val="fr-FR"/>
        </w:rPr>
        <w:t>Le Sous-Comité a recommandé que trois scénarios de budget soient s</w:t>
      </w:r>
      <w:r>
        <w:rPr>
          <w:rFonts w:cs="Arial"/>
          <w:sz w:val="22"/>
          <w:szCs w:val="22"/>
          <w:lang w:val="fr-FR"/>
        </w:rPr>
        <w:t>o</w:t>
      </w:r>
      <w:r w:rsidRPr="00713E35">
        <w:rPr>
          <w:rFonts w:cs="Arial"/>
          <w:sz w:val="22"/>
          <w:szCs w:val="22"/>
          <w:lang w:val="fr-FR"/>
        </w:rPr>
        <w:t>umis pour examen à la COP12. Au cours de la réu</w:t>
      </w:r>
      <w:r>
        <w:rPr>
          <w:rFonts w:cs="Arial"/>
          <w:sz w:val="22"/>
          <w:szCs w:val="22"/>
          <w:lang w:val="fr-FR"/>
        </w:rPr>
        <w:t>n</w:t>
      </w:r>
      <w:r w:rsidRPr="00713E35">
        <w:rPr>
          <w:rFonts w:cs="Arial"/>
          <w:sz w:val="22"/>
          <w:szCs w:val="22"/>
          <w:lang w:val="fr-FR"/>
        </w:rPr>
        <w:t>ion ave</w:t>
      </w:r>
      <w:r>
        <w:rPr>
          <w:rFonts w:cs="Arial"/>
          <w:sz w:val="22"/>
          <w:szCs w:val="22"/>
          <w:lang w:val="fr-FR"/>
        </w:rPr>
        <w:t>c</w:t>
      </w:r>
      <w:r w:rsidRPr="00713E35">
        <w:rPr>
          <w:rFonts w:cs="Arial"/>
          <w:sz w:val="22"/>
          <w:szCs w:val="22"/>
          <w:lang w:val="fr-FR"/>
        </w:rPr>
        <w:t xml:space="preserve"> le Sous-Comit</w:t>
      </w:r>
      <w:r>
        <w:rPr>
          <w:rFonts w:cs="Arial"/>
          <w:sz w:val="22"/>
          <w:szCs w:val="22"/>
          <w:lang w:val="fr-FR"/>
        </w:rPr>
        <w:t>é</w:t>
      </w:r>
      <w:r w:rsidRPr="00713E35">
        <w:rPr>
          <w:rFonts w:cs="Arial"/>
          <w:sz w:val="22"/>
          <w:szCs w:val="22"/>
          <w:lang w:val="fr-FR"/>
        </w:rPr>
        <w:t xml:space="preserve"> des finances et</w:t>
      </w:r>
      <w:r>
        <w:rPr>
          <w:rFonts w:cs="Arial"/>
          <w:sz w:val="22"/>
          <w:szCs w:val="22"/>
          <w:lang w:val="fr-FR"/>
        </w:rPr>
        <w:t xml:space="preserve"> </w:t>
      </w:r>
      <w:r w:rsidRPr="00713E35">
        <w:rPr>
          <w:rFonts w:cs="Arial"/>
          <w:sz w:val="22"/>
          <w:szCs w:val="22"/>
          <w:lang w:val="fr-FR"/>
        </w:rPr>
        <w:t xml:space="preserve">du budget en novembre 2016, le </w:t>
      </w:r>
      <w:r w:rsidR="0033299A" w:rsidRPr="00713E35">
        <w:rPr>
          <w:rFonts w:cs="Arial"/>
          <w:sz w:val="22"/>
          <w:szCs w:val="22"/>
          <w:lang w:val="fr-FR"/>
        </w:rPr>
        <w:t>Secr</w:t>
      </w:r>
      <w:r w:rsidRPr="00713E35">
        <w:rPr>
          <w:rFonts w:cs="Arial"/>
          <w:sz w:val="22"/>
          <w:szCs w:val="22"/>
          <w:lang w:val="fr-FR"/>
        </w:rPr>
        <w:t>é</w:t>
      </w:r>
      <w:r w:rsidR="0033299A" w:rsidRPr="00713E35">
        <w:rPr>
          <w:rFonts w:cs="Arial"/>
          <w:sz w:val="22"/>
          <w:szCs w:val="22"/>
          <w:lang w:val="fr-FR"/>
        </w:rPr>
        <w:t xml:space="preserve">tariat </w:t>
      </w:r>
      <w:r>
        <w:rPr>
          <w:rFonts w:cs="Arial"/>
          <w:sz w:val="22"/>
          <w:szCs w:val="22"/>
          <w:lang w:val="fr-FR"/>
        </w:rPr>
        <w:t>a présenté oralement</w:t>
      </w:r>
      <w:r w:rsidRPr="00713E35">
        <w:rPr>
          <w:rFonts w:cs="Arial"/>
          <w:sz w:val="22"/>
          <w:szCs w:val="22"/>
          <w:lang w:val="fr-FR"/>
        </w:rPr>
        <w:t xml:space="preserve"> un nou</w:t>
      </w:r>
      <w:r>
        <w:rPr>
          <w:rFonts w:cs="Arial"/>
          <w:sz w:val="22"/>
          <w:szCs w:val="22"/>
          <w:lang w:val="fr-FR"/>
        </w:rPr>
        <w:t>veau</w:t>
      </w:r>
      <w:r w:rsidRPr="00713E35">
        <w:rPr>
          <w:rFonts w:cs="Arial"/>
          <w:sz w:val="22"/>
          <w:szCs w:val="22"/>
          <w:lang w:val="fr-FR"/>
        </w:rPr>
        <w:t xml:space="preserve"> mo</w:t>
      </w:r>
      <w:r>
        <w:rPr>
          <w:rFonts w:cs="Arial"/>
          <w:sz w:val="22"/>
          <w:szCs w:val="22"/>
          <w:lang w:val="fr-FR"/>
        </w:rPr>
        <w:t>dèle</w:t>
      </w:r>
      <w:r w:rsidRPr="00713E35">
        <w:rPr>
          <w:rFonts w:cs="Arial"/>
          <w:sz w:val="22"/>
          <w:szCs w:val="22"/>
          <w:lang w:val="fr-FR"/>
        </w:rPr>
        <w:t xml:space="preserve"> de présent</w:t>
      </w:r>
      <w:r>
        <w:rPr>
          <w:rFonts w:cs="Arial"/>
          <w:sz w:val="22"/>
          <w:szCs w:val="22"/>
          <w:lang w:val="fr-FR"/>
        </w:rPr>
        <w:t xml:space="preserve">ation </w:t>
      </w:r>
      <w:r w:rsidRPr="00713E35">
        <w:rPr>
          <w:rFonts w:cs="Arial"/>
          <w:sz w:val="22"/>
          <w:szCs w:val="22"/>
          <w:lang w:val="fr-FR"/>
        </w:rPr>
        <w:t xml:space="preserve">de budget pour la période triennale </w:t>
      </w:r>
      <w:r w:rsidR="00BA4513">
        <w:rPr>
          <w:rFonts w:cs="Arial"/>
          <w:sz w:val="22"/>
          <w:szCs w:val="22"/>
          <w:lang w:val="fr-FR"/>
        </w:rPr>
        <w:t>2018-202</w:t>
      </w:r>
      <w:bookmarkStart w:id="0" w:name="_GoBack"/>
      <w:bookmarkEnd w:id="0"/>
      <w:r>
        <w:rPr>
          <w:rFonts w:cs="Arial"/>
          <w:sz w:val="22"/>
          <w:szCs w:val="22"/>
          <w:lang w:val="fr-FR"/>
        </w:rPr>
        <w:t>0 qui est compatible av</w:t>
      </w:r>
      <w:r w:rsidRPr="00713E35">
        <w:rPr>
          <w:rFonts w:cs="Arial"/>
          <w:sz w:val="22"/>
          <w:szCs w:val="22"/>
          <w:lang w:val="fr-FR"/>
        </w:rPr>
        <w:t>e</w:t>
      </w:r>
      <w:r>
        <w:rPr>
          <w:rFonts w:cs="Arial"/>
          <w:sz w:val="22"/>
          <w:szCs w:val="22"/>
          <w:lang w:val="fr-FR"/>
        </w:rPr>
        <w:t>c</w:t>
      </w:r>
      <w:r w:rsidRPr="00713E35">
        <w:rPr>
          <w:rFonts w:cs="Arial"/>
          <w:sz w:val="22"/>
          <w:szCs w:val="22"/>
          <w:lang w:val="fr-FR"/>
        </w:rPr>
        <w:t xml:space="preserve"> </w:t>
      </w:r>
      <w:r>
        <w:rPr>
          <w:rFonts w:cs="Arial"/>
          <w:sz w:val="22"/>
          <w:szCs w:val="22"/>
          <w:lang w:val="fr-FR"/>
        </w:rPr>
        <w:t xml:space="preserve">« Umoja » </w:t>
      </w:r>
      <w:r w:rsidRPr="00713E35">
        <w:rPr>
          <w:rFonts w:cs="Arial"/>
          <w:sz w:val="22"/>
          <w:szCs w:val="22"/>
          <w:lang w:val="fr-FR"/>
        </w:rPr>
        <w:t xml:space="preserve">le nouveau </w:t>
      </w:r>
      <w:r w:rsidR="000F4B7D">
        <w:rPr>
          <w:rFonts w:cs="Arial"/>
          <w:sz w:val="22"/>
          <w:szCs w:val="22"/>
          <w:lang w:val="fr-FR"/>
        </w:rPr>
        <w:t>progiciel de gestion intégré</w:t>
      </w:r>
      <w:r>
        <w:rPr>
          <w:rFonts w:cs="Arial"/>
          <w:sz w:val="22"/>
          <w:szCs w:val="22"/>
          <w:lang w:val="fr-FR"/>
        </w:rPr>
        <w:t xml:space="preserve"> du Secrétariat des Nation</w:t>
      </w:r>
      <w:r w:rsidRPr="00713E35">
        <w:rPr>
          <w:rFonts w:cs="Arial"/>
          <w:sz w:val="22"/>
          <w:szCs w:val="22"/>
          <w:lang w:val="fr-FR"/>
        </w:rPr>
        <w:t>s</w:t>
      </w:r>
      <w:r>
        <w:rPr>
          <w:rFonts w:cs="Arial"/>
          <w:sz w:val="22"/>
          <w:szCs w:val="22"/>
          <w:lang w:val="fr-FR"/>
        </w:rPr>
        <w:t xml:space="preserve"> </w:t>
      </w:r>
      <w:r w:rsidRPr="00713E35">
        <w:rPr>
          <w:rFonts w:cs="Arial"/>
          <w:sz w:val="22"/>
          <w:szCs w:val="22"/>
          <w:lang w:val="fr-FR"/>
        </w:rPr>
        <w:t>Unies</w:t>
      </w:r>
      <w:r w:rsidR="0033299A" w:rsidRPr="00713E35">
        <w:rPr>
          <w:rFonts w:cs="Arial"/>
          <w:sz w:val="22"/>
          <w:szCs w:val="22"/>
          <w:lang w:val="fr-FR"/>
        </w:rPr>
        <w:t xml:space="preserve">. </w:t>
      </w:r>
    </w:p>
    <w:p w:rsidR="008879C1" w:rsidRPr="00713E35" w:rsidRDefault="008879C1" w:rsidP="002973EB">
      <w:pPr>
        <w:pStyle w:val="ListParagraph"/>
        <w:rPr>
          <w:rFonts w:cs="Arial"/>
          <w:sz w:val="22"/>
          <w:szCs w:val="22"/>
          <w:lang w:val="fr-FR"/>
        </w:rPr>
      </w:pPr>
    </w:p>
    <w:p w:rsidR="008879C1" w:rsidRPr="008571AD" w:rsidRDefault="000F4B7D" w:rsidP="002973EB">
      <w:pPr>
        <w:numPr>
          <w:ilvl w:val="0"/>
          <w:numId w:val="2"/>
        </w:numPr>
        <w:contextualSpacing/>
        <w:jc w:val="both"/>
        <w:rPr>
          <w:rFonts w:cs="Arial"/>
          <w:sz w:val="22"/>
          <w:szCs w:val="22"/>
          <w:lang w:val="fr-FR"/>
        </w:rPr>
      </w:pPr>
      <w:r>
        <w:rPr>
          <w:rFonts w:cs="Arial"/>
          <w:sz w:val="22"/>
          <w:szCs w:val="22"/>
          <w:lang w:val="fr-FR"/>
        </w:rPr>
        <w:t>Dans le cadre de</w:t>
      </w:r>
      <w:r w:rsidR="008571AD" w:rsidRPr="008571AD">
        <w:rPr>
          <w:rFonts w:cs="Arial"/>
          <w:sz w:val="22"/>
          <w:szCs w:val="22"/>
          <w:lang w:val="fr-FR"/>
        </w:rPr>
        <w:t xml:space="preserve"> la préparation du </w:t>
      </w:r>
      <w:r>
        <w:rPr>
          <w:rFonts w:cs="Arial"/>
          <w:sz w:val="22"/>
          <w:szCs w:val="22"/>
          <w:lang w:val="fr-FR"/>
        </w:rPr>
        <w:t>projet de programme de travail</w:t>
      </w:r>
      <w:r w:rsidR="008571AD" w:rsidRPr="008571AD">
        <w:rPr>
          <w:rFonts w:cs="Arial"/>
          <w:sz w:val="22"/>
          <w:szCs w:val="22"/>
          <w:lang w:val="fr-FR"/>
        </w:rPr>
        <w:t xml:space="preserve">, le Secrétariat a </w:t>
      </w:r>
      <w:r>
        <w:rPr>
          <w:rFonts w:cs="Arial"/>
          <w:sz w:val="22"/>
          <w:szCs w:val="22"/>
          <w:lang w:val="fr-FR"/>
        </w:rPr>
        <w:t>mis au point</w:t>
      </w:r>
      <w:r w:rsidR="008571AD" w:rsidRPr="008571AD">
        <w:rPr>
          <w:rFonts w:cs="Arial"/>
          <w:sz w:val="22"/>
          <w:szCs w:val="22"/>
          <w:lang w:val="fr-FR"/>
        </w:rPr>
        <w:t xml:space="preserve"> un no</w:t>
      </w:r>
      <w:r w:rsidR="008571AD">
        <w:rPr>
          <w:rFonts w:cs="Arial"/>
          <w:sz w:val="22"/>
          <w:szCs w:val="22"/>
          <w:lang w:val="fr-FR"/>
        </w:rPr>
        <w:t>u</w:t>
      </w:r>
      <w:r w:rsidR="008571AD" w:rsidRPr="008571AD">
        <w:rPr>
          <w:rFonts w:cs="Arial"/>
          <w:sz w:val="22"/>
          <w:szCs w:val="22"/>
          <w:lang w:val="fr-FR"/>
        </w:rPr>
        <w:t xml:space="preserve">veau modèle </w:t>
      </w:r>
      <w:r w:rsidR="00DE44D1">
        <w:rPr>
          <w:rFonts w:cs="Arial"/>
          <w:sz w:val="22"/>
          <w:szCs w:val="22"/>
          <w:lang w:val="fr-FR"/>
        </w:rPr>
        <w:t xml:space="preserve">de présentation </w:t>
      </w:r>
      <w:r w:rsidR="008571AD" w:rsidRPr="008571AD">
        <w:rPr>
          <w:rFonts w:cs="Arial"/>
          <w:sz w:val="22"/>
          <w:szCs w:val="22"/>
          <w:lang w:val="fr-FR"/>
        </w:rPr>
        <w:t xml:space="preserve">qui a été </w:t>
      </w:r>
      <w:r w:rsidR="00713E35" w:rsidRPr="008571AD">
        <w:rPr>
          <w:rFonts w:cs="Arial"/>
          <w:sz w:val="22"/>
          <w:szCs w:val="22"/>
          <w:lang w:val="fr-FR"/>
        </w:rPr>
        <w:t>révisé</w:t>
      </w:r>
      <w:r w:rsidR="008571AD" w:rsidRPr="008571AD">
        <w:rPr>
          <w:rFonts w:cs="Arial"/>
          <w:sz w:val="22"/>
          <w:szCs w:val="22"/>
          <w:lang w:val="fr-FR"/>
        </w:rPr>
        <w:t xml:space="preserve"> et approuvé par le Comité permanent à sa 45</w:t>
      </w:r>
      <w:r w:rsidR="008571AD" w:rsidRPr="008571AD">
        <w:rPr>
          <w:rFonts w:cs="Arial"/>
          <w:sz w:val="22"/>
          <w:szCs w:val="22"/>
          <w:vertAlign w:val="superscript"/>
          <w:lang w:val="fr-FR"/>
        </w:rPr>
        <w:t>ème</w:t>
      </w:r>
      <w:r w:rsidR="008571AD">
        <w:rPr>
          <w:rFonts w:cs="Arial"/>
          <w:sz w:val="22"/>
          <w:szCs w:val="22"/>
          <w:lang w:val="fr-FR"/>
        </w:rPr>
        <w:t xml:space="preserve"> Réunion</w:t>
      </w:r>
      <w:r w:rsidR="008879C1" w:rsidRPr="008571AD">
        <w:rPr>
          <w:rFonts w:cs="Arial"/>
          <w:sz w:val="22"/>
          <w:szCs w:val="22"/>
          <w:lang w:val="fr-FR"/>
        </w:rPr>
        <w:t>.</w:t>
      </w:r>
    </w:p>
    <w:p w:rsidR="007910DD" w:rsidRPr="008571AD" w:rsidRDefault="007910DD" w:rsidP="002973EB">
      <w:pPr>
        <w:rPr>
          <w:rFonts w:cs="Arial"/>
          <w:sz w:val="22"/>
          <w:szCs w:val="22"/>
          <w:lang w:val="fr-FR"/>
        </w:rPr>
      </w:pPr>
    </w:p>
    <w:p w:rsidR="007910DD" w:rsidRPr="00803854" w:rsidRDefault="00803854" w:rsidP="002973EB">
      <w:pPr>
        <w:jc w:val="both"/>
        <w:rPr>
          <w:rFonts w:cs="Arial"/>
          <w:sz w:val="22"/>
          <w:szCs w:val="22"/>
          <w:u w:val="single"/>
          <w:lang w:val="fr-FR"/>
        </w:rPr>
      </w:pPr>
      <w:r w:rsidRPr="00803854">
        <w:rPr>
          <w:rFonts w:cs="Arial"/>
          <w:sz w:val="22"/>
          <w:szCs w:val="22"/>
          <w:u w:val="single"/>
          <w:lang w:val="fr-FR"/>
        </w:rPr>
        <w:t>Avant-projet de budget pour</w:t>
      </w:r>
      <w:r w:rsidR="0033299A" w:rsidRPr="00803854">
        <w:rPr>
          <w:rFonts w:cs="Arial"/>
          <w:sz w:val="22"/>
          <w:szCs w:val="22"/>
          <w:u w:val="single"/>
          <w:lang w:val="fr-FR"/>
        </w:rPr>
        <w:t xml:space="preserve"> 2018-2020</w:t>
      </w:r>
    </w:p>
    <w:p w:rsidR="0033299A" w:rsidRPr="00803854" w:rsidRDefault="0033299A" w:rsidP="002973EB">
      <w:pPr>
        <w:jc w:val="both"/>
        <w:rPr>
          <w:rFonts w:cs="Arial"/>
          <w:sz w:val="22"/>
          <w:szCs w:val="22"/>
          <w:u w:val="single"/>
          <w:lang w:val="fr-FR"/>
        </w:rPr>
      </w:pPr>
    </w:p>
    <w:p w:rsidR="0033299A" w:rsidRPr="00903B7F" w:rsidRDefault="00803854" w:rsidP="002973EB">
      <w:pPr>
        <w:rPr>
          <w:rFonts w:cs="Arial"/>
          <w:b/>
          <w:sz w:val="22"/>
          <w:szCs w:val="22"/>
          <w:lang w:val="en-GB"/>
        </w:rPr>
      </w:pPr>
      <w:r>
        <w:rPr>
          <w:rFonts w:cs="Arial"/>
          <w:b/>
          <w:sz w:val="22"/>
          <w:szCs w:val="22"/>
          <w:lang w:val="fr-FR"/>
        </w:rPr>
        <w:t>I</w:t>
      </w:r>
      <w:r w:rsidR="0033299A" w:rsidRPr="00903B7F">
        <w:rPr>
          <w:rFonts w:cs="Arial"/>
          <w:b/>
          <w:sz w:val="22"/>
          <w:szCs w:val="22"/>
          <w:lang w:val="en-GB"/>
        </w:rPr>
        <w:t>ntroduction</w:t>
      </w:r>
      <w:r>
        <w:rPr>
          <w:rFonts w:cs="Arial"/>
          <w:b/>
          <w:sz w:val="22"/>
          <w:szCs w:val="22"/>
          <w:lang w:val="en-GB"/>
        </w:rPr>
        <w:t xml:space="preserve"> générale</w:t>
      </w:r>
    </w:p>
    <w:p w:rsidR="0033299A" w:rsidRPr="00903B7F" w:rsidRDefault="0033299A" w:rsidP="002973EB">
      <w:pPr>
        <w:pStyle w:val="NoSpacing"/>
        <w:jc w:val="both"/>
        <w:rPr>
          <w:rFonts w:ascii="Arial" w:hAnsi="Arial" w:cs="Arial"/>
          <w:lang w:val="en-GB"/>
        </w:rPr>
      </w:pPr>
    </w:p>
    <w:p w:rsidR="0033299A" w:rsidRPr="008571AD" w:rsidRDefault="008571AD" w:rsidP="002973EB">
      <w:pPr>
        <w:numPr>
          <w:ilvl w:val="0"/>
          <w:numId w:val="2"/>
        </w:numPr>
        <w:contextualSpacing/>
        <w:jc w:val="both"/>
        <w:rPr>
          <w:rFonts w:cs="Arial"/>
          <w:sz w:val="22"/>
          <w:szCs w:val="22"/>
          <w:lang w:val="fr-FR"/>
        </w:rPr>
      </w:pPr>
      <w:r w:rsidRPr="008571AD">
        <w:rPr>
          <w:rFonts w:cs="Arial"/>
          <w:sz w:val="22"/>
          <w:szCs w:val="22"/>
          <w:lang w:val="fr-FR"/>
        </w:rPr>
        <w:t>Sur la base du  budget 2015-2017 adopté par la COP11 et du Rapport sur l’ex</w:t>
      </w:r>
      <w:r>
        <w:rPr>
          <w:rFonts w:cs="Arial"/>
          <w:sz w:val="22"/>
          <w:szCs w:val="22"/>
          <w:lang w:val="fr-FR"/>
        </w:rPr>
        <w:t>é</w:t>
      </w:r>
      <w:r w:rsidRPr="008571AD">
        <w:rPr>
          <w:rFonts w:cs="Arial"/>
          <w:sz w:val="22"/>
          <w:szCs w:val="22"/>
          <w:lang w:val="fr-FR"/>
        </w:rPr>
        <w:t>cution du budget</w:t>
      </w:r>
      <w:r w:rsidR="0033299A" w:rsidRPr="008571AD">
        <w:rPr>
          <w:rFonts w:cs="Arial"/>
          <w:sz w:val="22"/>
          <w:szCs w:val="22"/>
          <w:lang w:val="fr-FR"/>
        </w:rPr>
        <w:t xml:space="preserve"> 2015-2017, </w:t>
      </w:r>
      <w:r>
        <w:rPr>
          <w:rFonts w:cs="Arial"/>
          <w:sz w:val="22"/>
          <w:szCs w:val="22"/>
          <w:lang w:val="fr-FR"/>
        </w:rPr>
        <w:t>la pré</w:t>
      </w:r>
      <w:r w:rsidRPr="008571AD">
        <w:rPr>
          <w:rFonts w:cs="Arial"/>
          <w:sz w:val="22"/>
          <w:szCs w:val="22"/>
          <w:lang w:val="fr-FR"/>
        </w:rPr>
        <w:t>sente proposition comprend tr</w:t>
      </w:r>
      <w:r>
        <w:rPr>
          <w:rFonts w:cs="Arial"/>
          <w:sz w:val="22"/>
          <w:szCs w:val="22"/>
          <w:lang w:val="fr-FR"/>
        </w:rPr>
        <w:t>ois</w:t>
      </w:r>
      <w:r w:rsidRPr="008571AD">
        <w:rPr>
          <w:rFonts w:cs="Arial"/>
          <w:sz w:val="22"/>
          <w:szCs w:val="22"/>
          <w:lang w:val="fr-FR"/>
        </w:rPr>
        <w:t xml:space="preserve"> scénarios diff</w:t>
      </w:r>
      <w:r>
        <w:rPr>
          <w:rFonts w:cs="Arial"/>
          <w:sz w:val="22"/>
          <w:szCs w:val="22"/>
          <w:lang w:val="fr-FR"/>
        </w:rPr>
        <w:t>érents pour le</w:t>
      </w:r>
      <w:r w:rsidRPr="008571AD">
        <w:rPr>
          <w:rFonts w:cs="Arial"/>
          <w:sz w:val="22"/>
          <w:szCs w:val="22"/>
          <w:lang w:val="fr-FR"/>
        </w:rPr>
        <w:t xml:space="preserve"> budget de la période triennale 2018-2020</w:t>
      </w:r>
      <w:r w:rsidR="00D04A58">
        <w:rPr>
          <w:rFonts w:cs="Arial"/>
          <w:sz w:val="22"/>
          <w:szCs w:val="22"/>
          <w:lang w:val="fr-FR"/>
        </w:rPr>
        <w:t xml:space="preserve"> comme suit</w:t>
      </w:r>
      <w:r w:rsidR="0033299A" w:rsidRPr="008571AD">
        <w:rPr>
          <w:rFonts w:cs="Arial"/>
          <w:sz w:val="22"/>
          <w:szCs w:val="22"/>
          <w:lang w:val="fr-FR"/>
        </w:rPr>
        <w:t xml:space="preserve">: </w:t>
      </w:r>
    </w:p>
    <w:p w:rsidR="0033299A" w:rsidRPr="00BE7F50" w:rsidRDefault="00D04A58" w:rsidP="00AA2D9E">
      <w:pPr>
        <w:pStyle w:val="NoSpacing"/>
        <w:numPr>
          <w:ilvl w:val="0"/>
          <w:numId w:val="4"/>
        </w:numPr>
        <w:spacing w:before="60" w:after="60"/>
        <w:jc w:val="both"/>
        <w:rPr>
          <w:rFonts w:ascii="Arial" w:hAnsi="Arial" w:cs="Arial"/>
          <w:lang w:val="fr-FR"/>
        </w:rPr>
      </w:pPr>
      <w:r w:rsidRPr="00BE7F50">
        <w:rPr>
          <w:rFonts w:ascii="Arial" w:hAnsi="Arial" w:cs="Arial"/>
          <w:lang w:val="fr-FR"/>
        </w:rPr>
        <w:t>Scé</w:t>
      </w:r>
      <w:r w:rsidR="0033299A" w:rsidRPr="00BE7F50">
        <w:rPr>
          <w:rFonts w:ascii="Arial" w:hAnsi="Arial" w:cs="Arial"/>
          <w:lang w:val="fr-FR"/>
        </w:rPr>
        <w:t xml:space="preserve">nario 1: </w:t>
      </w:r>
      <w:r w:rsidR="00BE7F50" w:rsidRPr="00BE7F50">
        <w:rPr>
          <w:rFonts w:ascii="Arial" w:hAnsi="Arial" w:cs="Arial"/>
          <w:lang w:val="fr-FR"/>
        </w:rPr>
        <w:t xml:space="preserve">croissance nominale </w:t>
      </w:r>
      <w:r w:rsidR="00823BAD">
        <w:rPr>
          <w:rFonts w:ascii="Arial" w:hAnsi="Arial" w:cs="Arial"/>
          <w:lang w:val="fr-FR"/>
        </w:rPr>
        <w:t>zé</w:t>
      </w:r>
      <w:r w:rsidR="00BE7F50" w:rsidRPr="00BE7F50">
        <w:rPr>
          <w:rFonts w:ascii="Arial" w:hAnsi="Arial" w:cs="Arial"/>
          <w:lang w:val="fr-FR"/>
        </w:rPr>
        <w:t>ro par rapport  au bud</w:t>
      </w:r>
      <w:r w:rsidR="00BE7F50">
        <w:rPr>
          <w:rFonts w:ascii="Arial" w:hAnsi="Arial" w:cs="Arial"/>
          <w:lang w:val="fr-FR"/>
        </w:rPr>
        <w:t>g</w:t>
      </w:r>
      <w:r w:rsidR="00BE7F50" w:rsidRPr="00BE7F50">
        <w:rPr>
          <w:rFonts w:ascii="Arial" w:hAnsi="Arial" w:cs="Arial"/>
          <w:lang w:val="fr-FR"/>
        </w:rPr>
        <w:t xml:space="preserve">et </w:t>
      </w:r>
      <w:r w:rsidR="0033299A" w:rsidRPr="00BE7F50">
        <w:rPr>
          <w:rFonts w:ascii="Arial" w:hAnsi="Arial" w:cs="Arial"/>
          <w:lang w:val="fr-FR"/>
        </w:rPr>
        <w:t xml:space="preserve">2015-2017 </w:t>
      </w:r>
    </w:p>
    <w:p w:rsidR="0033299A" w:rsidRPr="00BE7F50" w:rsidRDefault="00D04A58" w:rsidP="00AA2D9E">
      <w:pPr>
        <w:pStyle w:val="NoSpacing"/>
        <w:numPr>
          <w:ilvl w:val="0"/>
          <w:numId w:val="4"/>
        </w:numPr>
        <w:spacing w:before="60" w:after="60"/>
        <w:jc w:val="both"/>
        <w:rPr>
          <w:rFonts w:ascii="Arial" w:hAnsi="Arial" w:cs="Arial"/>
          <w:lang w:val="fr-FR"/>
        </w:rPr>
      </w:pPr>
      <w:r w:rsidRPr="00BE7F50">
        <w:rPr>
          <w:rFonts w:ascii="Arial" w:hAnsi="Arial" w:cs="Arial"/>
          <w:lang w:val="fr-FR"/>
        </w:rPr>
        <w:t>Scé</w:t>
      </w:r>
      <w:r w:rsidR="0033299A" w:rsidRPr="00BE7F50">
        <w:rPr>
          <w:rFonts w:ascii="Arial" w:hAnsi="Arial" w:cs="Arial"/>
          <w:lang w:val="fr-FR"/>
        </w:rPr>
        <w:t xml:space="preserve">nario 2: </w:t>
      </w:r>
      <w:r w:rsidR="00BE7F50" w:rsidRPr="00BE7F50">
        <w:rPr>
          <w:rFonts w:ascii="Arial" w:hAnsi="Arial" w:cs="Arial"/>
          <w:lang w:val="fr-FR"/>
        </w:rPr>
        <w:t>croissance réelle z</w:t>
      </w:r>
      <w:r w:rsidR="00823BAD">
        <w:rPr>
          <w:rFonts w:ascii="Arial" w:hAnsi="Arial" w:cs="Arial"/>
          <w:lang w:val="fr-FR"/>
        </w:rPr>
        <w:t>é</w:t>
      </w:r>
      <w:r w:rsidR="00BE7F50" w:rsidRPr="00BE7F50">
        <w:rPr>
          <w:rFonts w:ascii="Arial" w:hAnsi="Arial" w:cs="Arial"/>
          <w:lang w:val="fr-FR"/>
        </w:rPr>
        <w:t>ro par rapport au budget 2</w:t>
      </w:r>
      <w:r w:rsidR="0033299A" w:rsidRPr="00BE7F50">
        <w:rPr>
          <w:rFonts w:ascii="Arial" w:hAnsi="Arial" w:cs="Arial"/>
          <w:lang w:val="fr-FR"/>
        </w:rPr>
        <w:t>015-2017</w:t>
      </w:r>
    </w:p>
    <w:p w:rsidR="0033299A" w:rsidRPr="00823BAD" w:rsidRDefault="00D04A58" w:rsidP="00AA2D9E">
      <w:pPr>
        <w:pStyle w:val="NoSpacing"/>
        <w:numPr>
          <w:ilvl w:val="0"/>
          <w:numId w:val="4"/>
        </w:numPr>
        <w:spacing w:before="60" w:after="60"/>
        <w:jc w:val="both"/>
        <w:rPr>
          <w:rFonts w:ascii="Arial" w:hAnsi="Arial" w:cs="Arial"/>
          <w:lang w:val="fr-FR"/>
        </w:rPr>
      </w:pPr>
      <w:r w:rsidRPr="00823BAD">
        <w:rPr>
          <w:rFonts w:ascii="Arial" w:hAnsi="Arial" w:cs="Arial"/>
          <w:lang w:val="fr-FR"/>
        </w:rPr>
        <w:t>Scé</w:t>
      </w:r>
      <w:r w:rsidR="0033299A" w:rsidRPr="00823BAD">
        <w:rPr>
          <w:rFonts w:ascii="Arial" w:hAnsi="Arial" w:cs="Arial"/>
          <w:lang w:val="fr-FR"/>
        </w:rPr>
        <w:t xml:space="preserve">nario 3: </w:t>
      </w:r>
      <w:r w:rsidR="00BE7F50" w:rsidRPr="00823BAD">
        <w:rPr>
          <w:rFonts w:ascii="Arial" w:hAnsi="Arial" w:cs="Arial"/>
          <w:lang w:val="fr-FR"/>
        </w:rPr>
        <w:t xml:space="preserve">augmentation de </w:t>
      </w:r>
      <w:r w:rsidR="0033299A" w:rsidRPr="00823BAD">
        <w:rPr>
          <w:rFonts w:ascii="Arial" w:hAnsi="Arial" w:cs="Arial"/>
          <w:lang w:val="fr-FR"/>
        </w:rPr>
        <w:t>4 p</w:t>
      </w:r>
      <w:r w:rsidR="00BE7F50" w:rsidRPr="00823BAD">
        <w:rPr>
          <w:rFonts w:ascii="Arial" w:hAnsi="Arial" w:cs="Arial"/>
          <w:lang w:val="fr-FR"/>
        </w:rPr>
        <w:t xml:space="preserve">our cent </w:t>
      </w:r>
      <w:r w:rsidR="00823BAD">
        <w:rPr>
          <w:rFonts w:ascii="Arial" w:hAnsi="Arial" w:cs="Arial"/>
          <w:lang w:val="fr-FR"/>
        </w:rPr>
        <w:t>p</w:t>
      </w:r>
      <w:r w:rsidR="00305903">
        <w:rPr>
          <w:rFonts w:ascii="Arial" w:hAnsi="Arial" w:cs="Arial"/>
          <w:lang w:val="fr-FR"/>
        </w:rPr>
        <w:t>a</w:t>
      </w:r>
      <w:r w:rsidR="00BE7F50" w:rsidRPr="00823BAD">
        <w:rPr>
          <w:rFonts w:ascii="Arial" w:hAnsi="Arial" w:cs="Arial"/>
          <w:lang w:val="fr-FR"/>
        </w:rPr>
        <w:t>r rapport au sc</w:t>
      </w:r>
      <w:r w:rsidR="00823BAD">
        <w:rPr>
          <w:rFonts w:ascii="Arial" w:hAnsi="Arial" w:cs="Arial"/>
          <w:lang w:val="fr-FR"/>
        </w:rPr>
        <w:t>é</w:t>
      </w:r>
      <w:r w:rsidR="00BE7F50" w:rsidRPr="00823BAD">
        <w:rPr>
          <w:rFonts w:ascii="Arial" w:hAnsi="Arial" w:cs="Arial"/>
          <w:lang w:val="fr-FR"/>
        </w:rPr>
        <w:t>nario 2 ci-dessus</w:t>
      </w:r>
      <w:r w:rsidR="0033299A" w:rsidRPr="00823BAD">
        <w:rPr>
          <w:rFonts w:ascii="Arial" w:hAnsi="Arial" w:cs="Arial"/>
          <w:lang w:val="fr-FR"/>
        </w:rPr>
        <w:t xml:space="preserve"> </w:t>
      </w:r>
    </w:p>
    <w:p w:rsidR="008F58F6" w:rsidRPr="00823BAD" w:rsidRDefault="008F58F6" w:rsidP="002973EB">
      <w:pPr>
        <w:pStyle w:val="NoSpacing"/>
        <w:ind w:left="360"/>
        <w:jc w:val="both"/>
        <w:rPr>
          <w:rFonts w:ascii="Arial" w:hAnsi="Arial" w:cs="Arial"/>
          <w:lang w:val="fr-FR"/>
        </w:rPr>
      </w:pPr>
    </w:p>
    <w:p w:rsidR="0033299A" w:rsidRPr="00823BAD" w:rsidRDefault="00823BAD" w:rsidP="002973EB">
      <w:pPr>
        <w:numPr>
          <w:ilvl w:val="0"/>
          <w:numId w:val="2"/>
        </w:numPr>
        <w:contextualSpacing/>
        <w:jc w:val="both"/>
        <w:rPr>
          <w:rFonts w:cs="Arial"/>
          <w:sz w:val="22"/>
          <w:szCs w:val="22"/>
          <w:lang w:val="fr-FR"/>
        </w:rPr>
      </w:pPr>
      <w:r>
        <w:rPr>
          <w:rFonts w:cs="Arial"/>
          <w:sz w:val="22"/>
          <w:szCs w:val="22"/>
          <w:lang w:val="fr-FR"/>
        </w:rPr>
        <w:t>Des dé</w:t>
      </w:r>
      <w:r w:rsidR="0033299A" w:rsidRPr="00823BAD">
        <w:rPr>
          <w:rFonts w:cs="Arial"/>
          <w:sz w:val="22"/>
          <w:szCs w:val="22"/>
          <w:lang w:val="fr-FR"/>
        </w:rPr>
        <w:t xml:space="preserve">tails </w:t>
      </w:r>
      <w:r w:rsidRPr="00823BAD">
        <w:rPr>
          <w:rFonts w:cs="Arial"/>
          <w:sz w:val="22"/>
          <w:szCs w:val="22"/>
          <w:lang w:val="fr-FR"/>
        </w:rPr>
        <w:t xml:space="preserve">du </w:t>
      </w:r>
      <w:r w:rsidR="00653899">
        <w:rPr>
          <w:rFonts w:cs="Arial"/>
          <w:sz w:val="22"/>
          <w:szCs w:val="22"/>
          <w:lang w:val="fr-FR"/>
        </w:rPr>
        <w:t>fondement</w:t>
      </w:r>
      <w:r w:rsidRPr="00823BAD">
        <w:rPr>
          <w:rFonts w:cs="Arial"/>
          <w:sz w:val="22"/>
          <w:szCs w:val="22"/>
          <w:lang w:val="fr-FR"/>
        </w:rPr>
        <w:t xml:space="preserve"> de chaque sc</w:t>
      </w:r>
      <w:r>
        <w:rPr>
          <w:rFonts w:cs="Arial"/>
          <w:sz w:val="22"/>
          <w:szCs w:val="22"/>
          <w:lang w:val="fr-FR"/>
        </w:rPr>
        <w:t>é</w:t>
      </w:r>
      <w:r w:rsidRPr="00823BAD">
        <w:rPr>
          <w:rFonts w:cs="Arial"/>
          <w:sz w:val="22"/>
          <w:szCs w:val="22"/>
          <w:lang w:val="fr-FR"/>
        </w:rPr>
        <w:t>nario sont donnés dans les sections suivantes du présent document.</w:t>
      </w:r>
      <w:r w:rsidR="0033299A" w:rsidRPr="00823BAD">
        <w:rPr>
          <w:rFonts w:cs="Arial"/>
          <w:sz w:val="22"/>
          <w:szCs w:val="22"/>
          <w:lang w:val="fr-FR"/>
        </w:rPr>
        <w:t xml:space="preserve"> </w:t>
      </w:r>
    </w:p>
    <w:p w:rsidR="0033299A" w:rsidRPr="00823BAD" w:rsidRDefault="0033299A" w:rsidP="002973EB">
      <w:pPr>
        <w:pStyle w:val="NoSpacing"/>
        <w:jc w:val="both"/>
        <w:rPr>
          <w:rFonts w:ascii="Arial" w:hAnsi="Arial" w:cs="Arial"/>
          <w:lang w:val="fr-FR"/>
        </w:rPr>
      </w:pPr>
    </w:p>
    <w:p w:rsidR="0033299A" w:rsidRPr="001E0915" w:rsidRDefault="001E0915" w:rsidP="002973EB">
      <w:pPr>
        <w:numPr>
          <w:ilvl w:val="0"/>
          <w:numId w:val="2"/>
        </w:numPr>
        <w:contextualSpacing/>
        <w:jc w:val="both"/>
        <w:rPr>
          <w:rFonts w:cs="Arial"/>
          <w:sz w:val="22"/>
          <w:szCs w:val="22"/>
          <w:lang w:val="fr-FR"/>
        </w:rPr>
      </w:pPr>
      <w:r w:rsidRPr="001E0915">
        <w:rPr>
          <w:rFonts w:cs="Arial"/>
          <w:sz w:val="22"/>
          <w:szCs w:val="22"/>
          <w:lang w:val="fr-FR"/>
        </w:rPr>
        <w:t>Les scénarios inclus dans cette</w:t>
      </w:r>
      <w:r w:rsidR="0033299A" w:rsidRPr="001E0915">
        <w:rPr>
          <w:rFonts w:cs="Arial"/>
          <w:sz w:val="22"/>
          <w:szCs w:val="22"/>
          <w:lang w:val="fr-FR"/>
        </w:rPr>
        <w:t xml:space="preserve"> propos</w:t>
      </w:r>
      <w:r w:rsidRPr="001E0915">
        <w:rPr>
          <w:rFonts w:cs="Arial"/>
          <w:sz w:val="22"/>
          <w:szCs w:val="22"/>
          <w:lang w:val="fr-FR"/>
        </w:rPr>
        <w:t>ition utilisen</w:t>
      </w:r>
      <w:r>
        <w:rPr>
          <w:rFonts w:cs="Arial"/>
          <w:sz w:val="22"/>
          <w:szCs w:val="22"/>
          <w:lang w:val="fr-FR"/>
        </w:rPr>
        <w:t xml:space="preserve">t </w:t>
      </w:r>
      <w:r w:rsidRPr="001E0915">
        <w:rPr>
          <w:rFonts w:cs="Arial"/>
          <w:sz w:val="22"/>
          <w:szCs w:val="22"/>
          <w:lang w:val="fr-FR"/>
        </w:rPr>
        <w:t>le nouveau modèle de présentation de budget qui est compatible a</w:t>
      </w:r>
      <w:r>
        <w:rPr>
          <w:rFonts w:cs="Arial"/>
          <w:sz w:val="22"/>
          <w:szCs w:val="22"/>
          <w:lang w:val="fr-FR"/>
        </w:rPr>
        <w:t xml:space="preserve">vec le nouveau </w:t>
      </w:r>
      <w:r w:rsidR="00653899">
        <w:rPr>
          <w:rFonts w:cs="Arial"/>
          <w:sz w:val="22"/>
          <w:szCs w:val="22"/>
          <w:lang w:val="fr-FR"/>
        </w:rPr>
        <w:t>progiciel de gestion intégré « </w:t>
      </w:r>
      <w:r w:rsidRPr="001E0915">
        <w:rPr>
          <w:rFonts w:cs="Arial"/>
          <w:sz w:val="22"/>
          <w:szCs w:val="22"/>
          <w:lang w:val="fr-FR"/>
        </w:rPr>
        <w:t>Umoja</w:t>
      </w:r>
      <w:r w:rsidR="00653899">
        <w:rPr>
          <w:rFonts w:cs="Arial"/>
          <w:sz w:val="22"/>
          <w:szCs w:val="22"/>
          <w:lang w:val="fr-FR"/>
        </w:rPr>
        <w:t> »</w:t>
      </w:r>
      <w:r w:rsidRPr="001E0915">
        <w:rPr>
          <w:rFonts w:cs="Arial"/>
          <w:sz w:val="22"/>
          <w:szCs w:val="22"/>
          <w:lang w:val="fr-FR"/>
        </w:rPr>
        <w:t xml:space="preserve"> </w:t>
      </w:r>
      <w:r w:rsidR="00653899">
        <w:rPr>
          <w:rFonts w:cs="Arial"/>
          <w:sz w:val="22"/>
          <w:szCs w:val="22"/>
          <w:lang w:val="fr-FR"/>
        </w:rPr>
        <w:t>visant à</w:t>
      </w:r>
      <w:r w:rsidRPr="001E0915">
        <w:rPr>
          <w:rFonts w:cs="Arial"/>
          <w:sz w:val="22"/>
          <w:szCs w:val="22"/>
          <w:lang w:val="fr-FR"/>
        </w:rPr>
        <w:t xml:space="preserve"> faciliter </w:t>
      </w:r>
      <w:r>
        <w:rPr>
          <w:rFonts w:cs="Arial"/>
          <w:sz w:val="22"/>
          <w:szCs w:val="22"/>
          <w:lang w:val="fr-FR"/>
        </w:rPr>
        <w:t>l’éta</w:t>
      </w:r>
      <w:r w:rsidRPr="001E0915">
        <w:rPr>
          <w:rFonts w:cs="Arial"/>
          <w:sz w:val="22"/>
          <w:szCs w:val="22"/>
          <w:lang w:val="fr-FR"/>
        </w:rPr>
        <w:t>blisse</w:t>
      </w:r>
      <w:r>
        <w:rPr>
          <w:rFonts w:cs="Arial"/>
          <w:sz w:val="22"/>
          <w:szCs w:val="22"/>
          <w:lang w:val="fr-FR"/>
        </w:rPr>
        <w:t>me</w:t>
      </w:r>
      <w:r w:rsidRPr="001E0915">
        <w:rPr>
          <w:rFonts w:cs="Arial"/>
          <w:sz w:val="22"/>
          <w:szCs w:val="22"/>
          <w:lang w:val="fr-FR"/>
        </w:rPr>
        <w:t>nt de rappor</w:t>
      </w:r>
      <w:r>
        <w:rPr>
          <w:rFonts w:cs="Arial"/>
          <w:sz w:val="22"/>
          <w:szCs w:val="22"/>
          <w:lang w:val="fr-FR"/>
        </w:rPr>
        <w:t>t</w:t>
      </w:r>
      <w:r w:rsidRPr="001E0915">
        <w:rPr>
          <w:rFonts w:cs="Arial"/>
          <w:sz w:val="22"/>
          <w:szCs w:val="22"/>
          <w:lang w:val="fr-FR"/>
        </w:rPr>
        <w:t xml:space="preserve">s </w:t>
      </w:r>
      <w:r>
        <w:rPr>
          <w:rFonts w:cs="Arial"/>
          <w:sz w:val="22"/>
          <w:szCs w:val="22"/>
          <w:lang w:val="fr-FR"/>
        </w:rPr>
        <w:t>simplifiés</w:t>
      </w:r>
      <w:r w:rsidRPr="001E0915">
        <w:rPr>
          <w:rFonts w:cs="Arial"/>
          <w:sz w:val="22"/>
          <w:szCs w:val="22"/>
          <w:lang w:val="fr-FR"/>
        </w:rPr>
        <w:t xml:space="preserve"> et cohérent</w:t>
      </w:r>
      <w:r>
        <w:rPr>
          <w:rFonts w:cs="Arial"/>
          <w:sz w:val="22"/>
          <w:szCs w:val="22"/>
          <w:lang w:val="fr-FR"/>
        </w:rPr>
        <w:t xml:space="preserve">s </w:t>
      </w:r>
      <w:r w:rsidR="00653899">
        <w:rPr>
          <w:rFonts w:cs="Arial"/>
          <w:sz w:val="22"/>
          <w:szCs w:val="22"/>
          <w:lang w:val="fr-FR"/>
        </w:rPr>
        <w:t>destinés aux</w:t>
      </w:r>
      <w:r w:rsidRPr="001E0915">
        <w:rPr>
          <w:rFonts w:cs="Arial"/>
          <w:sz w:val="22"/>
          <w:szCs w:val="22"/>
          <w:lang w:val="fr-FR"/>
        </w:rPr>
        <w:t xml:space="preserve"> organ</w:t>
      </w:r>
      <w:r>
        <w:rPr>
          <w:rFonts w:cs="Arial"/>
          <w:sz w:val="22"/>
          <w:szCs w:val="22"/>
          <w:lang w:val="fr-FR"/>
        </w:rPr>
        <w:t>e</w:t>
      </w:r>
      <w:r w:rsidRPr="001E0915">
        <w:rPr>
          <w:rFonts w:cs="Arial"/>
          <w:sz w:val="22"/>
          <w:szCs w:val="22"/>
          <w:lang w:val="fr-FR"/>
        </w:rPr>
        <w:t>s directeurs  tout en répondant aux besoins des Parties.</w:t>
      </w:r>
      <w:r w:rsidR="0033299A" w:rsidRPr="001E0915">
        <w:rPr>
          <w:rFonts w:cs="Arial"/>
          <w:sz w:val="22"/>
          <w:szCs w:val="22"/>
          <w:lang w:val="fr-FR"/>
        </w:rPr>
        <w:t xml:space="preserve"> </w:t>
      </w:r>
    </w:p>
    <w:p w:rsidR="0033299A" w:rsidRPr="001E0915" w:rsidRDefault="0033299A" w:rsidP="002973EB">
      <w:pPr>
        <w:ind w:left="360"/>
        <w:contextualSpacing/>
        <w:jc w:val="both"/>
        <w:rPr>
          <w:rFonts w:cs="Arial"/>
          <w:sz w:val="22"/>
          <w:szCs w:val="22"/>
          <w:lang w:val="fr-FR"/>
        </w:rPr>
      </w:pPr>
    </w:p>
    <w:p w:rsidR="0033299A" w:rsidRPr="001E0915" w:rsidRDefault="008571AD" w:rsidP="002973EB">
      <w:pPr>
        <w:numPr>
          <w:ilvl w:val="0"/>
          <w:numId w:val="2"/>
        </w:numPr>
        <w:contextualSpacing/>
        <w:jc w:val="both"/>
        <w:rPr>
          <w:rFonts w:cs="Arial"/>
          <w:sz w:val="22"/>
          <w:szCs w:val="22"/>
          <w:lang w:val="fr-FR"/>
        </w:rPr>
      </w:pPr>
      <w:r w:rsidRPr="008571AD">
        <w:rPr>
          <w:rFonts w:eastAsia="Palatino Linotype"/>
          <w:sz w:val="22"/>
          <w:szCs w:val="22"/>
          <w:lang w:val="fr-FR"/>
        </w:rPr>
        <w:t>Tous les scénarios intègrent un taux d’inflation de 2</w:t>
      </w:r>
      <w:r w:rsidR="00653899">
        <w:rPr>
          <w:rFonts w:eastAsia="Palatino Linotype"/>
          <w:sz w:val="22"/>
          <w:szCs w:val="22"/>
          <w:lang w:val="fr-FR"/>
        </w:rPr>
        <w:t xml:space="preserve"> pour cent </w:t>
      </w:r>
      <w:r w:rsidRPr="008571AD">
        <w:rPr>
          <w:rFonts w:eastAsia="Palatino Linotype"/>
          <w:sz w:val="22"/>
          <w:szCs w:val="22"/>
          <w:lang w:val="fr-FR"/>
        </w:rPr>
        <w:t>par an, pour tenir compte de l’impact de l’inflation sur les dépenses de personnel statutaire, telles que les indemnités de poste et autres prestations, ainsi que les augmentations et révisions habituelles de traitement à l’intérieur d’une classe</w:t>
      </w:r>
      <w:r w:rsidR="0033299A" w:rsidRPr="008571AD">
        <w:rPr>
          <w:rFonts w:cs="Arial"/>
          <w:sz w:val="22"/>
          <w:szCs w:val="22"/>
          <w:lang w:val="fr-FR"/>
        </w:rPr>
        <w:t xml:space="preserve">. </w:t>
      </w:r>
      <w:r w:rsidR="001E0915">
        <w:rPr>
          <w:rFonts w:cs="Arial"/>
          <w:sz w:val="22"/>
          <w:szCs w:val="22"/>
          <w:lang w:val="fr-FR"/>
        </w:rPr>
        <w:t xml:space="preserve">Le même taux d’inflation de 2 pour cent a été appliqué à tous les autres coûts </w:t>
      </w:r>
      <w:r w:rsidR="00653899">
        <w:rPr>
          <w:rFonts w:cs="Arial"/>
          <w:sz w:val="22"/>
          <w:szCs w:val="22"/>
          <w:lang w:val="fr-FR"/>
        </w:rPr>
        <w:t>de fonctionnement</w:t>
      </w:r>
      <w:r w:rsidR="001E0915">
        <w:rPr>
          <w:rFonts w:cs="Arial"/>
          <w:sz w:val="22"/>
          <w:szCs w:val="22"/>
          <w:lang w:val="fr-FR"/>
        </w:rPr>
        <w:t xml:space="preserve"> tels q</w:t>
      </w:r>
      <w:r w:rsidR="00653899">
        <w:rPr>
          <w:rFonts w:cs="Arial"/>
          <w:sz w:val="22"/>
          <w:szCs w:val="22"/>
          <w:lang w:val="fr-FR"/>
        </w:rPr>
        <w:t>ue les services contractuels, le matériel</w:t>
      </w:r>
      <w:r w:rsidR="001E0915">
        <w:rPr>
          <w:rFonts w:cs="Arial"/>
          <w:sz w:val="22"/>
          <w:szCs w:val="22"/>
          <w:lang w:val="fr-FR"/>
        </w:rPr>
        <w:t>, les fournitures et les voyages.</w:t>
      </w:r>
      <w:r w:rsidR="0033299A" w:rsidRPr="001E0915">
        <w:rPr>
          <w:rFonts w:cs="Arial"/>
          <w:sz w:val="22"/>
          <w:szCs w:val="22"/>
          <w:lang w:val="fr-FR"/>
        </w:rPr>
        <w:t xml:space="preserve"> </w:t>
      </w:r>
    </w:p>
    <w:p w:rsidR="0033299A" w:rsidRPr="001E0915" w:rsidRDefault="0033299A" w:rsidP="002973EB">
      <w:pPr>
        <w:ind w:left="360"/>
        <w:contextualSpacing/>
        <w:jc w:val="both"/>
        <w:rPr>
          <w:rFonts w:cs="Arial"/>
          <w:sz w:val="22"/>
          <w:szCs w:val="22"/>
          <w:lang w:val="fr-FR"/>
        </w:rPr>
      </w:pPr>
    </w:p>
    <w:p w:rsidR="0033299A" w:rsidRPr="009C0557" w:rsidRDefault="008571AD" w:rsidP="002973EB">
      <w:pPr>
        <w:numPr>
          <w:ilvl w:val="0"/>
          <w:numId w:val="2"/>
        </w:numPr>
        <w:contextualSpacing/>
        <w:jc w:val="both"/>
        <w:rPr>
          <w:rFonts w:cs="Arial"/>
          <w:sz w:val="22"/>
          <w:szCs w:val="22"/>
          <w:lang w:val="fr-FR"/>
        </w:rPr>
      </w:pPr>
      <w:r w:rsidRPr="008571AD">
        <w:rPr>
          <w:rFonts w:eastAsia="Palatino Linotype"/>
          <w:sz w:val="22"/>
          <w:szCs w:val="22"/>
          <w:lang w:val="fr-FR"/>
        </w:rPr>
        <w:t xml:space="preserve">Les trois scénarios visent à maintenir toute augmentation au strict minimum, tout en accordant une très grande importance à la nécessité de faire en sorte que les ressources </w:t>
      </w:r>
      <w:r w:rsidRPr="008571AD">
        <w:rPr>
          <w:rFonts w:eastAsia="Palatino Linotype"/>
          <w:sz w:val="22"/>
          <w:szCs w:val="22"/>
          <w:lang w:val="fr-FR"/>
        </w:rPr>
        <w:lastRenderedPageBreak/>
        <w:t>soient utilisées de la façon la plus économique et efficace possible</w:t>
      </w:r>
      <w:r>
        <w:rPr>
          <w:rFonts w:eastAsia="Palatino Linotype"/>
          <w:sz w:val="24"/>
          <w:lang w:val="fr-FR"/>
        </w:rPr>
        <w:t>.</w:t>
      </w:r>
      <w:r w:rsidR="0033299A" w:rsidRPr="008571AD">
        <w:rPr>
          <w:rFonts w:cs="Arial"/>
          <w:sz w:val="22"/>
          <w:szCs w:val="22"/>
          <w:lang w:val="fr-FR"/>
        </w:rPr>
        <w:t xml:space="preserve"> </w:t>
      </w:r>
      <w:r w:rsidR="009C0557">
        <w:rPr>
          <w:rFonts w:cs="Arial"/>
          <w:sz w:val="22"/>
          <w:szCs w:val="22"/>
          <w:lang w:val="fr-FR"/>
        </w:rPr>
        <w:t xml:space="preserve">On notera toutefois qu’en raison de l’inflation, les coûts ont augmenté au cours de la dernière période triennale. </w:t>
      </w:r>
      <w:r w:rsidR="009C0557" w:rsidRPr="009C0557">
        <w:rPr>
          <w:rFonts w:cs="Arial"/>
          <w:sz w:val="22"/>
          <w:szCs w:val="22"/>
          <w:lang w:val="fr-FR"/>
        </w:rPr>
        <w:t xml:space="preserve">Pour l’exercice budgétaire </w:t>
      </w:r>
      <w:r w:rsidR="0033299A" w:rsidRPr="009C0557">
        <w:rPr>
          <w:rFonts w:cs="Arial"/>
          <w:sz w:val="22"/>
          <w:szCs w:val="22"/>
          <w:lang w:val="fr-FR"/>
        </w:rPr>
        <w:t xml:space="preserve">2015-2017, </w:t>
      </w:r>
      <w:r w:rsidR="009C0557" w:rsidRPr="009C0557">
        <w:rPr>
          <w:rFonts w:cs="Arial"/>
          <w:sz w:val="22"/>
          <w:szCs w:val="22"/>
          <w:lang w:val="fr-FR"/>
        </w:rPr>
        <w:t xml:space="preserve">cette augmentation n’a pas </w:t>
      </w:r>
      <w:r w:rsidR="004A03BA" w:rsidRPr="009C0557">
        <w:rPr>
          <w:rFonts w:cs="Arial"/>
          <w:sz w:val="22"/>
          <w:szCs w:val="22"/>
          <w:lang w:val="fr-FR"/>
        </w:rPr>
        <w:t>été</w:t>
      </w:r>
      <w:r w:rsidR="009C0557" w:rsidRPr="009C0557">
        <w:rPr>
          <w:rFonts w:cs="Arial"/>
          <w:sz w:val="22"/>
          <w:szCs w:val="22"/>
          <w:lang w:val="fr-FR"/>
        </w:rPr>
        <w:t xml:space="preserve"> compensée </w:t>
      </w:r>
      <w:r w:rsidR="004A03BA" w:rsidRPr="009C0557">
        <w:rPr>
          <w:rFonts w:cs="Arial"/>
          <w:sz w:val="22"/>
          <w:szCs w:val="22"/>
          <w:lang w:val="fr-FR"/>
        </w:rPr>
        <w:t>par</w:t>
      </w:r>
      <w:r w:rsidR="009C0557" w:rsidRPr="009C0557">
        <w:rPr>
          <w:rFonts w:cs="Arial"/>
          <w:sz w:val="22"/>
          <w:szCs w:val="22"/>
          <w:lang w:val="fr-FR"/>
        </w:rPr>
        <w:t xml:space="preserve"> un </w:t>
      </w:r>
      <w:r w:rsidR="004A03BA" w:rsidRPr="009C0557">
        <w:rPr>
          <w:rFonts w:cs="Arial"/>
          <w:sz w:val="22"/>
          <w:szCs w:val="22"/>
          <w:lang w:val="fr-FR"/>
        </w:rPr>
        <w:t>accroissement</w:t>
      </w:r>
      <w:r w:rsidR="009C0557" w:rsidRPr="009C0557">
        <w:rPr>
          <w:rFonts w:cs="Arial"/>
          <w:sz w:val="22"/>
          <w:szCs w:val="22"/>
          <w:lang w:val="fr-FR"/>
        </w:rPr>
        <w:t xml:space="preserve"> </w:t>
      </w:r>
      <w:r w:rsidR="004A03BA" w:rsidRPr="009C0557">
        <w:rPr>
          <w:rFonts w:cs="Arial"/>
          <w:sz w:val="22"/>
          <w:szCs w:val="22"/>
          <w:lang w:val="fr-FR"/>
        </w:rPr>
        <w:t>correspondant</w:t>
      </w:r>
      <w:r w:rsidR="009C0557" w:rsidRPr="009C0557">
        <w:rPr>
          <w:rFonts w:cs="Arial"/>
          <w:sz w:val="22"/>
          <w:szCs w:val="22"/>
          <w:lang w:val="fr-FR"/>
        </w:rPr>
        <w:t xml:space="preserve"> d</w:t>
      </w:r>
      <w:r w:rsidR="004A03BA">
        <w:rPr>
          <w:rFonts w:cs="Arial"/>
          <w:sz w:val="22"/>
          <w:szCs w:val="22"/>
          <w:lang w:val="fr-FR"/>
        </w:rPr>
        <w:t>u</w:t>
      </w:r>
      <w:r w:rsidR="009C0557" w:rsidRPr="009C0557">
        <w:rPr>
          <w:rFonts w:cs="Arial"/>
          <w:sz w:val="22"/>
          <w:szCs w:val="22"/>
          <w:lang w:val="fr-FR"/>
        </w:rPr>
        <w:t xml:space="preserve"> budge</w:t>
      </w:r>
      <w:r w:rsidR="004A03BA">
        <w:rPr>
          <w:rFonts w:cs="Arial"/>
          <w:sz w:val="22"/>
          <w:szCs w:val="22"/>
          <w:lang w:val="fr-FR"/>
        </w:rPr>
        <w:t>t</w:t>
      </w:r>
      <w:r w:rsidR="009C0557" w:rsidRPr="009C0557">
        <w:rPr>
          <w:rFonts w:cs="Arial"/>
          <w:sz w:val="22"/>
          <w:szCs w:val="22"/>
          <w:lang w:val="fr-FR"/>
        </w:rPr>
        <w:t xml:space="preserve">. Il s’ensuit que si le scénario 1 était </w:t>
      </w:r>
      <w:r w:rsidR="00653899">
        <w:rPr>
          <w:rFonts w:cs="Arial"/>
          <w:sz w:val="22"/>
          <w:szCs w:val="22"/>
          <w:lang w:val="fr-FR"/>
        </w:rPr>
        <w:t>choisi</w:t>
      </w:r>
      <w:r w:rsidR="009C0557" w:rsidRPr="009C0557">
        <w:rPr>
          <w:rFonts w:cs="Arial"/>
          <w:sz w:val="22"/>
          <w:szCs w:val="22"/>
          <w:lang w:val="fr-FR"/>
        </w:rPr>
        <w:t xml:space="preserve">, </w:t>
      </w:r>
      <w:r w:rsidR="00653899">
        <w:rPr>
          <w:rFonts w:cs="Arial"/>
          <w:sz w:val="22"/>
          <w:szCs w:val="22"/>
          <w:lang w:val="fr-FR"/>
        </w:rPr>
        <w:t xml:space="preserve">il faudrait procéder à </w:t>
      </w:r>
      <w:r w:rsidR="009C0557" w:rsidRPr="009C0557">
        <w:rPr>
          <w:rFonts w:cs="Arial"/>
          <w:sz w:val="22"/>
          <w:szCs w:val="22"/>
          <w:lang w:val="fr-FR"/>
        </w:rPr>
        <w:t>des coupes substantie</w:t>
      </w:r>
      <w:r w:rsidR="004A03BA">
        <w:rPr>
          <w:rFonts w:cs="Arial"/>
          <w:sz w:val="22"/>
          <w:szCs w:val="22"/>
          <w:lang w:val="fr-FR"/>
        </w:rPr>
        <w:t>lles,</w:t>
      </w:r>
      <w:r w:rsidR="009C0557" w:rsidRPr="009C0557">
        <w:rPr>
          <w:rFonts w:cs="Arial"/>
          <w:sz w:val="22"/>
          <w:szCs w:val="22"/>
          <w:lang w:val="fr-FR"/>
        </w:rPr>
        <w:t xml:space="preserve"> par ex</w:t>
      </w:r>
      <w:r w:rsidR="004A03BA">
        <w:rPr>
          <w:rFonts w:cs="Arial"/>
          <w:sz w:val="22"/>
          <w:szCs w:val="22"/>
          <w:lang w:val="fr-FR"/>
        </w:rPr>
        <w:t>e</w:t>
      </w:r>
      <w:r w:rsidR="009C0557" w:rsidRPr="009C0557">
        <w:rPr>
          <w:rFonts w:cs="Arial"/>
          <w:sz w:val="22"/>
          <w:szCs w:val="22"/>
          <w:lang w:val="fr-FR"/>
        </w:rPr>
        <w:t>mple da</w:t>
      </w:r>
      <w:r w:rsidR="004A03BA">
        <w:rPr>
          <w:rFonts w:cs="Arial"/>
          <w:sz w:val="22"/>
          <w:szCs w:val="22"/>
          <w:lang w:val="fr-FR"/>
        </w:rPr>
        <w:t>ns les</w:t>
      </w:r>
      <w:r w:rsidR="009C0557" w:rsidRPr="009C0557">
        <w:rPr>
          <w:rFonts w:cs="Arial"/>
          <w:sz w:val="22"/>
          <w:szCs w:val="22"/>
          <w:lang w:val="fr-FR"/>
        </w:rPr>
        <w:t xml:space="preserve"> c</w:t>
      </w:r>
      <w:r w:rsidR="004A03BA">
        <w:rPr>
          <w:rFonts w:cs="Arial"/>
          <w:sz w:val="22"/>
          <w:szCs w:val="22"/>
          <w:lang w:val="fr-FR"/>
        </w:rPr>
        <w:t>o</w:t>
      </w:r>
      <w:r w:rsidR="00653899">
        <w:rPr>
          <w:rFonts w:cs="Arial"/>
          <w:sz w:val="22"/>
          <w:szCs w:val="22"/>
          <w:lang w:val="fr-FR"/>
        </w:rPr>
        <w:t>û</w:t>
      </w:r>
      <w:r w:rsidR="009C0557" w:rsidRPr="009C0557">
        <w:rPr>
          <w:rFonts w:cs="Arial"/>
          <w:sz w:val="22"/>
          <w:szCs w:val="22"/>
          <w:lang w:val="fr-FR"/>
        </w:rPr>
        <w:t xml:space="preserve">ts </w:t>
      </w:r>
      <w:r w:rsidR="00653899">
        <w:rPr>
          <w:rFonts w:cs="Arial"/>
          <w:sz w:val="22"/>
          <w:szCs w:val="22"/>
          <w:lang w:val="fr-FR"/>
        </w:rPr>
        <w:t xml:space="preserve">de fonctionnement </w:t>
      </w:r>
      <w:r w:rsidR="004A03BA">
        <w:rPr>
          <w:rFonts w:cs="Arial"/>
          <w:sz w:val="22"/>
          <w:szCs w:val="22"/>
          <w:lang w:val="fr-FR"/>
        </w:rPr>
        <w:t>d</w:t>
      </w:r>
      <w:r w:rsidR="00653899">
        <w:rPr>
          <w:rFonts w:cs="Arial"/>
          <w:sz w:val="22"/>
          <w:szCs w:val="22"/>
          <w:lang w:val="fr-FR"/>
        </w:rPr>
        <w:t xml:space="preserve">ans les services de </w:t>
      </w:r>
      <w:r w:rsidR="009C0557" w:rsidRPr="009C0557">
        <w:rPr>
          <w:rFonts w:cs="Arial"/>
          <w:sz w:val="22"/>
          <w:szCs w:val="22"/>
          <w:lang w:val="fr-FR"/>
        </w:rPr>
        <w:t xml:space="preserve">la COP13 et </w:t>
      </w:r>
      <w:r w:rsidR="00653899">
        <w:rPr>
          <w:rFonts w:cs="Arial"/>
          <w:sz w:val="22"/>
          <w:szCs w:val="22"/>
          <w:lang w:val="fr-FR"/>
        </w:rPr>
        <w:t>l</w:t>
      </w:r>
      <w:r w:rsidR="009C0557" w:rsidRPr="009C0557">
        <w:rPr>
          <w:rFonts w:cs="Arial"/>
          <w:sz w:val="22"/>
          <w:szCs w:val="22"/>
          <w:lang w:val="fr-FR"/>
        </w:rPr>
        <w:t>es r</w:t>
      </w:r>
      <w:r w:rsidR="004A03BA">
        <w:rPr>
          <w:rFonts w:cs="Arial"/>
          <w:sz w:val="22"/>
          <w:szCs w:val="22"/>
          <w:lang w:val="fr-FR"/>
        </w:rPr>
        <w:t>é</w:t>
      </w:r>
      <w:r w:rsidR="009C0557" w:rsidRPr="009C0557">
        <w:rPr>
          <w:rFonts w:cs="Arial"/>
          <w:sz w:val="22"/>
          <w:szCs w:val="22"/>
          <w:lang w:val="fr-FR"/>
        </w:rPr>
        <w:t xml:space="preserve">unions des </w:t>
      </w:r>
      <w:r w:rsidR="004A03BA" w:rsidRPr="009C0557">
        <w:rPr>
          <w:rFonts w:cs="Arial"/>
          <w:sz w:val="22"/>
          <w:szCs w:val="22"/>
          <w:lang w:val="fr-FR"/>
        </w:rPr>
        <w:t>organes</w:t>
      </w:r>
      <w:r w:rsidR="009C0557" w:rsidRPr="009C0557">
        <w:rPr>
          <w:rFonts w:cs="Arial"/>
          <w:sz w:val="22"/>
          <w:szCs w:val="22"/>
          <w:lang w:val="fr-FR"/>
        </w:rPr>
        <w:t xml:space="preserve"> </w:t>
      </w:r>
      <w:r w:rsidR="004A03BA" w:rsidRPr="009C0557">
        <w:rPr>
          <w:rFonts w:cs="Arial"/>
          <w:sz w:val="22"/>
          <w:szCs w:val="22"/>
          <w:lang w:val="fr-FR"/>
        </w:rPr>
        <w:t>directeurs</w:t>
      </w:r>
      <w:r w:rsidR="009C0557" w:rsidRPr="009C0557">
        <w:rPr>
          <w:rFonts w:cs="Arial"/>
          <w:sz w:val="22"/>
          <w:szCs w:val="22"/>
          <w:lang w:val="fr-FR"/>
        </w:rPr>
        <w:t>.</w:t>
      </w:r>
      <w:r w:rsidR="009C0557">
        <w:rPr>
          <w:rFonts w:cs="Arial"/>
          <w:sz w:val="22"/>
          <w:szCs w:val="22"/>
          <w:lang w:val="fr-FR"/>
        </w:rPr>
        <w:t xml:space="preserve"> </w:t>
      </w:r>
      <w:r w:rsidR="00653899">
        <w:rPr>
          <w:rFonts w:cs="Arial"/>
          <w:sz w:val="22"/>
          <w:szCs w:val="22"/>
          <w:lang w:val="fr-FR"/>
        </w:rPr>
        <w:t>Si</w:t>
      </w:r>
      <w:r w:rsidR="009C0557" w:rsidRPr="009C0557">
        <w:rPr>
          <w:rFonts w:cs="Arial"/>
          <w:sz w:val="22"/>
          <w:szCs w:val="22"/>
          <w:lang w:val="fr-FR"/>
        </w:rPr>
        <w:t xml:space="preserve"> le scénario 2 </w:t>
      </w:r>
      <w:r w:rsidR="00653899">
        <w:rPr>
          <w:rFonts w:cs="Arial"/>
          <w:sz w:val="22"/>
          <w:szCs w:val="22"/>
          <w:lang w:val="fr-FR"/>
        </w:rPr>
        <w:t>était choisi</w:t>
      </w:r>
      <w:r w:rsidR="009C0557" w:rsidRPr="009C0557">
        <w:rPr>
          <w:rFonts w:cs="Arial"/>
          <w:sz w:val="22"/>
          <w:szCs w:val="22"/>
          <w:lang w:val="fr-FR"/>
        </w:rPr>
        <w:t xml:space="preserve">, les </w:t>
      </w:r>
      <w:r w:rsidR="009C0557">
        <w:rPr>
          <w:rFonts w:cs="Arial"/>
          <w:sz w:val="22"/>
          <w:szCs w:val="22"/>
          <w:lang w:val="fr-FR"/>
        </w:rPr>
        <w:t>co</w:t>
      </w:r>
      <w:r w:rsidR="004A03BA">
        <w:rPr>
          <w:rFonts w:cs="Arial"/>
          <w:sz w:val="22"/>
          <w:szCs w:val="22"/>
          <w:lang w:val="fr-FR"/>
        </w:rPr>
        <w:t>û</w:t>
      </w:r>
      <w:r w:rsidR="009C0557">
        <w:rPr>
          <w:rFonts w:cs="Arial"/>
          <w:sz w:val="22"/>
          <w:szCs w:val="22"/>
          <w:lang w:val="fr-FR"/>
        </w:rPr>
        <w:t>ts supplémentaires par</w:t>
      </w:r>
      <w:r w:rsidR="009C0557" w:rsidRPr="009C0557">
        <w:rPr>
          <w:rFonts w:cs="Arial"/>
          <w:sz w:val="22"/>
          <w:szCs w:val="22"/>
          <w:lang w:val="fr-FR"/>
        </w:rPr>
        <w:t xml:space="preserve"> rapport au budg</w:t>
      </w:r>
      <w:r w:rsidR="0033299A" w:rsidRPr="009C0557">
        <w:rPr>
          <w:rFonts w:cs="Arial"/>
          <w:sz w:val="22"/>
          <w:szCs w:val="22"/>
          <w:lang w:val="fr-FR"/>
        </w:rPr>
        <w:t xml:space="preserve">et 2015-2017 </w:t>
      </w:r>
      <w:r w:rsidR="009C0557" w:rsidRPr="009C0557">
        <w:rPr>
          <w:rFonts w:cs="Arial"/>
          <w:sz w:val="22"/>
          <w:szCs w:val="22"/>
          <w:lang w:val="fr-FR"/>
        </w:rPr>
        <w:t>dus à l’</w:t>
      </w:r>
      <w:r w:rsidR="0033299A" w:rsidRPr="009C0557">
        <w:rPr>
          <w:rFonts w:cs="Arial"/>
          <w:sz w:val="22"/>
          <w:szCs w:val="22"/>
          <w:lang w:val="fr-FR"/>
        </w:rPr>
        <w:t xml:space="preserve">inflation </w:t>
      </w:r>
      <w:r w:rsidR="009C0557" w:rsidRPr="009C0557">
        <w:rPr>
          <w:rFonts w:cs="Arial"/>
          <w:sz w:val="22"/>
          <w:szCs w:val="22"/>
          <w:lang w:val="fr-FR"/>
        </w:rPr>
        <w:t>seraient couverts.</w:t>
      </w:r>
      <w:r w:rsidR="009C0557">
        <w:rPr>
          <w:rFonts w:cs="Arial"/>
          <w:sz w:val="22"/>
          <w:szCs w:val="22"/>
          <w:lang w:val="fr-FR"/>
        </w:rPr>
        <w:t xml:space="preserve"> Dans le scénario 3 seulement, une petite </w:t>
      </w:r>
      <w:r w:rsidR="004A03BA">
        <w:rPr>
          <w:rFonts w:cs="Arial"/>
          <w:sz w:val="22"/>
          <w:szCs w:val="22"/>
          <w:lang w:val="fr-FR"/>
        </w:rPr>
        <w:t>augmentation</w:t>
      </w:r>
      <w:r w:rsidR="009C0557">
        <w:rPr>
          <w:rFonts w:cs="Arial"/>
          <w:sz w:val="22"/>
          <w:szCs w:val="22"/>
          <w:lang w:val="fr-FR"/>
        </w:rPr>
        <w:t xml:space="preserve"> de 4 pour cent</w:t>
      </w:r>
      <w:r w:rsidR="004A03BA">
        <w:rPr>
          <w:rFonts w:cs="Arial"/>
          <w:sz w:val="22"/>
          <w:szCs w:val="22"/>
          <w:lang w:val="fr-FR"/>
        </w:rPr>
        <w:t xml:space="preserve"> </w:t>
      </w:r>
      <w:r w:rsidR="009C0557">
        <w:rPr>
          <w:rFonts w:cs="Arial"/>
          <w:sz w:val="22"/>
          <w:szCs w:val="22"/>
          <w:lang w:val="fr-FR"/>
        </w:rPr>
        <w:t>est propos</w:t>
      </w:r>
      <w:r w:rsidR="004A03BA">
        <w:rPr>
          <w:rFonts w:cs="Arial"/>
          <w:sz w:val="22"/>
          <w:szCs w:val="22"/>
          <w:lang w:val="fr-FR"/>
        </w:rPr>
        <w:t>é</w:t>
      </w:r>
      <w:r w:rsidR="009C0557">
        <w:rPr>
          <w:rFonts w:cs="Arial"/>
          <w:sz w:val="22"/>
          <w:szCs w:val="22"/>
          <w:lang w:val="fr-FR"/>
        </w:rPr>
        <w:t>e par rapport au scénario 2 pour couvrir les co</w:t>
      </w:r>
      <w:r w:rsidR="004A03BA">
        <w:rPr>
          <w:rFonts w:cs="Arial"/>
          <w:sz w:val="22"/>
          <w:szCs w:val="22"/>
          <w:lang w:val="fr-FR"/>
        </w:rPr>
        <w:t>û</w:t>
      </w:r>
      <w:r w:rsidR="009C0557">
        <w:rPr>
          <w:rFonts w:cs="Arial"/>
          <w:sz w:val="22"/>
          <w:szCs w:val="22"/>
          <w:lang w:val="fr-FR"/>
        </w:rPr>
        <w:t>ts suppl</w:t>
      </w:r>
      <w:r w:rsidR="004A03BA">
        <w:rPr>
          <w:rFonts w:cs="Arial"/>
          <w:sz w:val="22"/>
          <w:szCs w:val="22"/>
          <w:lang w:val="fr-FR"/>
        </w:rPr>
        <w:t>émentaires</w:t>
      </w:r>
      <w:r w:rsidR="009C0557">
        <w:rPr>
          <w:rFonts w:cs="Arial"/>
          <w:sz w:val="22"/>
          <w:szCs w:val="22"/>
          <w:lang w:val="fr-FR"/>
        </w:rPr>
        <w:t xml:space="preserve"> afin que le</w:t>
      </w:r>
      <w:r w:rsidR="0033299A" w:rsidRPr="009C0557">
        <w:rPr>
          <w:rFonts w:cs="Arial"/>
          <w:sz w:val="22"/>
          <w:szCs w:val="22"/>
          <w:lang w:val="fr-FR"/>
        </w:rPr>
        <w:t xml:space="preserve"> </w:t>
      </w:r>
      <w:r w:rsidR="004A03BA" w:rsidRPr="009C0557">
        <w:rPr>
          <w:rFonts w:cs="Arial"/>
          <w:sz w:val="22"/>
          <w:szCs w:val="22"/>
          <w:lang w:val="fr-FR"/>
        </w:rPr>
        <w:t>Secrétariat</w:t>
      </w:r>
      <w:r w:rsidR="0033299A" w:rsidRPr="009C0557">
        <w:rPr>
          <w:rFonts w:cs="Arial"/>
          <w:sz w:val="22"/>
          <w:szCs w:val="22"/>
          <w:lang w:val="fr-FR"/>
        </w:rPr>
        <w:t xml:space="preserve"> </w:t>
      </w:r>
      <w:r w:rsidR="009C0557" w:rsidRPr="009C0557">
        <w:rPr>
          <w:rFonts w:cs="Arial"/>
          <w:sz w:val="22"/>
          <w:szCs w:val="22"/>
          <w:lang w:val="fr-FR"/>
        </w:rPr>
        <w:t xml:space="preserve">puisse </w:t>
      </w:r>
      <w:r w:rsidR="004A03BA" w:rsidRPr="009C0557">
        <w:rPr>
          <w:rFonts w:cs="Arial"/>
          <w:sz w:val="22"/>
          <w:szCs w:val="22"/>
          <w:lang w:val="fr-FR"/>
        </w:rPr>
        <w:t>mener</w:t>
      </w:r>
      <w:r w:rsidR="009C0557" w:rsidRPr="009C0557">
        <w:rPr>
          <w:rFonts w:cs="Arial"/>
          <w:sz w:val="22"/>
          <w:szCs w:val="22"/>
          <w:lang w:val="fr-FR"/>
        </w:rPr>
        <w:t xml:space="preserve"> à bi</w:t>
      </w:r>
      <w:r w:rsidR="004A03BA">
        <w:rPr>
          <w:rFonts w:cs="Arial"/>
          <w:sz w:val="22"/>
          <w:szCs w:val="22"/>
          <w:lang w:val="fr-FR"/>
        </w:rPr>
        <w:t>e</w:t>
      </w:r>
      <w:r w:rsidR="009C0557" w:rsidRPr="009C0557">
        <w:rPr>
          <w:rFonts w:cs="Arial"/>
          <w:sz w:val="22"/>
          <w:szCs w:val="22"/>
          <w:lang w:val="fr-FR"/>
        </w:rPr>
        <w:t>n le mand</w:t>
      </w:r>
      <w:r w:rsidR="004A03BA">
        <w:rPr>
          <w:rFonts w:cs="Arial"/>
          <w:sz w:val="22"/>
          <w:szCs w:val="22"/>
          <w:lang w:val="fr-FR"/>
        </w:rPr>
        <w:t>at</w:t>
      </w:r>
      <w:r w:rsidR="009C0557" w:rsidRPr="009C0557">
        <w:rPr>
          <w:rFonts w:cs="Arial"/>
          <w:sz w:val="22"/>
          <w:szCs w:val="22"/>
          <w:lang w:val="fr-FR"/>
        </w:rPr>
        <w:t xml:space="preserve"> que lui a confié la COP.</w:t>
      </w:r>
      <w:r w:rsidR="0033299A" w:rsidRPr="009C0557">
        <w:rPr>
          <w:rFonts w:cs="Arial"/>
          <w:sz w:val="22"/>
          <w:szCs w:val="22"/>
          <w:lang w:val="fr-FR"/>
        </w:rPr>
        <w:t xml:space="preserve"> </w:t>
      </w:r>
    </w:p>
    <w:p w:rsidR="0033299A" w:rsidRPr="00D3599E" w:rsidRDefault="0033299A" w:rsidP="002973EB">
      <w:pPr>
        <w:pStyle w:val="NoSpacing"/>
        <w:jc w:val="both"/>
        <w:rPr>
          <w:rFonts w:ascii="Arial" w:hAnsi="Arial" w:cs="Arial"/>
          <w:sz w:val="18"/>
          <w:szCs w:val="18"/>
          <w:lang w:val="fr-FR"/>
        </w:rPr>
      </w:pPr>
    </w:p>
    <w:p w:rsidR="0033299A" w:rsidRPr="004A03BA" w:rsidRDefault="004A03BA" w:rsidP="002973EB">
      <w:pPr>
        <w:rPr>
          <w:rFonts w:cs="Arial"/>
          <w:b/>
          <w:sz w:val="22"/>
          <w:szCs w:val="22"/>
          <w:lang w:val="fr-FR"/>
        </w:rPr>
      </w:pPr>
      <w:r w:rsidRPr="004A03BA">
        <w:rPr>
          <w:rFonts w:cs="Arial"/>
          <w:b/>
          <w:sz w:val="22"/>
          <w:szCs w:val="22"/>
          <w:lang w:val="fr-FR"/>
        </w:rPr>
        <w:t>Éléments clés et aspects concernant l</w:t>
      </w:r>
      <w:r>
        <w:rPr>
          <w:rFonts w:cs="Arial"/>
          <w:b/>
          <w:sz w:val="22"/>
          <w:szCs w:val="22"/>
          <w:lang w:val="fr-FR"/>
        </w:rPr>
        <w:t>’</w:t>
      </w:r>
      <w:r w:rsidRPr="004A03BA">
        <w:rPr>
          <w:rFonts w:cs="Arial"/>
          <w:b/>
          <w:sz w:val="22"/>
          <w:szCs w:val="22"/>
          <w:lang w:val="fr-FR"/>
        </w:rPr>
        <w:t>avant-projet</w:t>
      </w:r>
      <w:r>
        <w:rPr>
          <w:rFonts w:cs="Arial"/>
          <w:b/>
          <w:sz w:val="22"/>
          <w:szCs w:val="22"/>
          <w:lang w:val="fr-FR"/>
        </w:rPr>
        <w:t xml:space="preserve"> </w:t>
      </w:r>
      <w:r w:rsidRPr="004A03BA">
        <w:rPr>
          <w:rFonts w:cs="Arial"/>
          <w:b/>
          <w:sz w:val="22"/>
          <w:szCs w:val="22"/>
          <w:lang w:val="fr-FR"/>
        </w:rPr>
        <w:t>de budget</w:t>
      </w:r>
      <w:r w:rsidR="0033299A" w:rsidRPr="004A03BA">
        <w:rPr>
          <w:rFonts w:cs="Arial"/>
          <w:b/>
          <w:sz w:val="22"/>
          <w:szCs w:val="22"/>
          <w:lang w:val="fr-FR"/>
        </w:rPr>
        <w:t xml:space="preserve"> 2018 – 2020</w:t>
      </w:r>
    </w:p>
    <w:p w:rsidR="0033299A" w:rsidRPr="00D3599E" w:rsidRDefault="0033299A" w:rsidP="002973EB">
      <w:pPr>
        <w:rPr>
          <w:rFonts w:cs="Arial"/>
          <w:szCs w:val="18"/>
          <w:lang w:val="fr-FR"/>
        </w:rPr>
      </w:pPr>
    </w:p>
    <w:p w:rsidR="0033299A" w:rsidRPr="001E0915" w:rsidRDefault="001E0915" w:rsidP="002973EB">
      <w:pPr>
        <w:numPr>
          <w:ilvl w:val="0"/>
          <w:numId w:val="2"/>
        </w:numPr>
        <w:contextualSpacing/>
        <w:jc w:val="both"/>
        <w:rPr>
          <w:rFonts w:cs="Arial"/>
          <w:sz w:val="22"/>
          <w:szCs w:val="22"/>
          <w:lang w:val="fr-FR"/>
        </w:rPr>
      </w:pPr>
      <w:r w:rsidRPr="001E0915">
        <w:rPr>
          <w:rFonts w:cs="Arial"/>
          <w:sz w:val="22"/>
          <w:szCs w:val="22"/>
          <w:lang w:val="fr-FR"/>
        </w:rPr>
        <w:t>Lors de la rédaction des divers sc</w:t>
      </w:r>
      <w:r w:rsidR="004A03BA">
        <w:rPr>
          <w:rFonts w:cs="Arial"/>
          <w:sz w:val="22"/>
          <w:szCs w:val="22"/>
          <w:lang w:val="fr-FR"/>
        </w:rPr>
        <w:t>é</w:t>
      </w:r>
      <w:r w:rsidRPr="001E0915">
        <w:rPr>
          <w:rFonts w:cs="Arial"/>
          <w:sz w:val="22"/>
          <w:szCs w:val="22"/>
          <w:lang w:val="fr-FR"/>
        </w:rPr>
        <w:t>narios, il a été tenu compte d</w:t>
      </w:r>
      <w:r w:rsidR="009C0557">
        <w:rPr>
          <w:rFonts w:cs="Arial"/>
          <w:sz w:val="22"/>
          <w:szCs w:val="22"/>
          <w:lang w:val="fr-FR"/>
        </w:rPr>
        <w:t>’un certain nombre d’</w:t>
      </w:r>
      <w:r w:rsidR="004A03BA">
        <w:rPr>
          <w:rFonts w:cs="Arial"/>
          <w:sz w:val="22"/>
          <w:szCs w:val="22"/>
          <w:lang w:val="fr-FR"/>
        </w:rPr>
        <w:t>éléments</w:t>
      </w:r>
      <w:r w:rsidR="009C0557">
        <w:rPr>
          <w:rFonts w:cs="Arial"/>
          <w:sz w:val="22"/>
          <w:szCs w:val="22"/>
          <w:lang w:val="fr-FR"/>
        </w:rPr>
        <w:t xml:space="preserve"> et d’aspects</w:t>
      </w:r>
      <w:r w:rsidRPr="001E0915">
        <w:rPr>
          <w:rFonts w:cs="Arial"/>
          <w:sz w:val="22"/>
          <w:szCs w:val="22"/>
          <w:lang w:val="fr-FR"/>
        </w:rPr>
        <w:t xml:space="preserve">. </w:t>
      </w:r>
      <w:r>
        <w:rPr>
          <w:rFonts w:cs="Arial"/>
          <w:sz w:val="22"/>
          <w:szCs w:val="22"/>
          <w:lang w:val="fr-FR"/>
        </w:rPr>
        <w:t>Ils sont ré</w:t>
      </w:r>
      <w:r w:rsidRPr="001E0915">
        <w:rPr>
          <w:rFonts w:cs="Arial"/>
          <w:sz w:val="22"/>
          <w:szCs w:val="22"/>
          <w:lang w:val="fr-FR"/>
        </w:rPr>
        <w:t>sumé</w:t>
      </w:r>
      <w:r>
        <w:rPr>
          <w:rFonts w:cs="Arial"/>
          <w:sz w:val="22"/>
          <w:szCs w:val="22"/>
          <w:lang w:val="fr-FR"/>
        </w:rPr>
        <w:t>s</w:t>
      </w:r>
      <w:r w:rsidRPr="001E0915">
        <w:rPr>
          <w:rFonts w:cs="Arial"/>
          <w:sz w:val="22"/>
          <w:szCs w:val="22"/>
          <w:lang w:val="fr-FR"/>
        </w:rPr>
        <w:t xml:space="preserve"> dans la section suivante.</w:t>
      </w:r>
      <w:r w:rsidR="0033299A" w:rsidRPr="001E0915">
        <w:rPr>
          <w:rFonts w:cs="Arial"/>
          <w:sz w:val="22"/>
          <w:szCs w:val="22"/>
          <w:lang w:val="fr-FR"/>
        </w:rPr>
        <w:t xml:space="preserve"> </w:t>
      </w:r>
    </w:p>
    <w:p w:rsidR="0033299A" w:rsidRPr="00D3599E" w:rsidRDefault="0033299A" w:rsidP="002973EB">
      <w:pPr>
        <w:rPr>
          <w:rFonts w:cs="Arial"/>
          <w:szCs w:val="18"/>
          <w:lang w:val="fr-FR"/>
        </w:rPr>
      </w:pPr>
    </w:p>
    <w:p w:rsidR="0033299A" w:rsidRPr="008F58F6" w:rsidRDefault="0033299A" w:rsidP="002973EB">
      <w:pPr>
        <w:pStyle w:val="NoSpacing"/>
        <w:jc w:val="both"/>
        <w:rPr>
          <w:rFonts w:ascii="Arial" w:hAnsi="Arial" w:cs="Arial"/>
          <w:b/>
          <w:i/>
        </w:rPr>
      </w:pPr>
      <w:r w:rsidRPr="008F58F6">
        <w:rPr>
          <w:rFonts w:ascii="Arial" w:hAnsi="Arial" w:cs="Arial"/>
          <w:b/>
          <w:i/>
        </w:rPr>
        <w:t xml:space="preserve">UMOJA </w:t>
      </w:r>
      <w:r w:rsidR="00D04A58">
        <w:rPr>
          <w:rFonts w:ascii="Arial" w:hAnsi="Arial" w:cs="Arial"/>
          <w:b/>
          <w:i/>
        </w:rPr>
        <w:t>et</w:t>
      </w:r>
      <w:r w:rsidRPr="008F58F6">
        <w:rPr>
          <w:rFonts w:ascii="Arial" w:hAnsi="Arial" w:cs="Arial"/>
          <w:b/>
          <w:i/>
        </w:rPr>
        <w:t xml:space="preserve"> IPSAS</w:t>
      </w:r>
    </w:p>
    <w:p w:rsidR="0033299A" w:rsidRPr="00D3599E" w:rsidRDefault="0033299A" w:rsidP="002973EB">
      <w:pPr>
        <w:rPr>
          <w:rFonts w:cs="Arial"/>
          <w:b/>
          <w:szCs w:val="18"/>
        </w:rPr>
      </w:pPr>
    </w:p>
    <w:p w:rsidR="0033299A" w:rsidRPr="00066021" w:rsidRDefault="00066021" w:rsidP="002973EB">
      <w:pPr>
        <w:numPr>
          <w:ilvl w:val="0"/>
          <w:numId w:val="2"/>
        </w:numPr>
        <w:contextualSpacing/>
        <w:jc w:val="both"/>
        <w:rPr>
          <w:rFonts w:cs="Arial"/>
          <w:sz w:val="22"/>
          <w:szCs w:val="22"/>
          <w:lang w:val="fr-FR"/>
        </w:rPr>
      </w:pPr>
      <w:r w:rsidRPr="00066021">
        <w:rPr>
          <w:rFonts w:cs="Arial"/>
          <w:sz w:val="22"/>
          <w:szCs w:val="22"/>
          <w:lang w:val="fr-FR"/>
        </w:rPr>
        <w:t>Dans le cadre d’une réforme administrative, le Secrétariat des Nations Unies a présenté et diffusé un nouveau</w:t>
      </w:r>
      <w:r w:rsidR="009C0557" w:rsidRPr="00066021">
        <w:rPr>
          <w:rFonts w:cs="Arial"/>
          <w:sz w:val="22"/>
          <w:szCs w:val="22"/>
          <w:lang w:val="fr-FR"/>
        </w:rPr>
        <w:t xml:space="preserve"> progiciel de ge</w:t>
      </w:r>
      <w:r w:rsidRPr="00066021">
        <w:rPr>
          <w:rFonts w:cs="Arial"/>
          <w:sz w:val="22"/>
          <w:szCs w:val="22"/>
          <w:lang w:val="fr-FR"/>
        </w:rPr>
        <w:t>s</w:t>
      </w:r>
      <w:r w:rsidR="009C0557" w:rsidRPr="00066021">
        <w:rPr>
          <w:rFonts w:cs="Arial"/>
          <w:sz w:val="22"/>
          <w:szCs w:val="22"/>
          <w:lang w:val="fr-FR"/>
        </w:rPr>
        <w:t>tion intégré</w:t>
      </w:r>
      <w:r w:rsidR="0033299A" w:rsidRPr="00066021">
        <w:rPr>
          <w:rFonts w:cs="Arial"/>
          <w:sz w:val="22"/>
          <w:szCs w:val="22"/>
          <w:lang w:val="fr-FR"/>
        </w:rPr>
        <w:t xml:space="preserve"> </w:t>
      </w:r>
      <w:r w:rsidRPr="00066021">
        <w:rPr>
          <w:rFonts w:cs="Arial"/>
          <w:sz w:val="22"/>
          <w:szCs w:val="22"/>
          <w:lang w:val="fr-FR"/>
        </w:rPr>
        <w:t xml:space="preserve">appelé </w:t>
      </w:r>
      <w:r>
        <w:rPr>
          <w:rFonts w:cs="Arial"/>
          <w:sz w:val="22"/>
          <w:szCs w:val="22"/>
          <w:lang w:val="fr-FR"/>
        </w:rPr>
        <w:t>«Umoja»</w:t>
      </w:r>
      <w:r w:rsidR="0033299A" w:rsidRPr="00066021">
        <w:rPr>
          <w:rFonts w:cs="Arial"/>
          <w:sz w:val="22"/>
          <w:szCs w:val="22"/>
          <w:lang w:val="fr-FR"/>
        </w:rPr>
        <w:t xml:space="preserve"> </w:t>
      </w:r>
      <w:r w:rsidRPr="00066021">
        <w:rPr>
          <w:rFonts w:cs="Arial"/>
          <w:sz w:val="22"/>
          <w:szCs w:val="22"/>
          <w:lang w:val="fr-FR"/>
        </w:rPr>
        <w:t>visant à simplifier les pro</w:t>
      </w:r>
      <w:r w:rsidR="00305903">
        <w:rPr>
          <w:rFonts w:cs="Arial"/>
          <w:sz w:val="22"/>
          <w:szCs w:val="22"/>
          <w:lang w:val="fr-FR"/>
        </w:rPr>
        <w:t>cédures</w:t>
      </w:r>
      <w:r w:rsidRPr="00066021">
        <w:rPr>
          <w:rFonts w:cs="Arial"/>
          <w:sz w:val="22"/>
          <w:szCs w:val="22"/>
          <w:lang w:val="fr-FR"/>
        </w:rPr>
        <w:t xml:space="preserve"> administrati</w:t>
      </w:r>
      <w:r w:rsidR="00305903">
        <w:rPr>
          <w:rFonts w:cs="Arial"/>
          <w:sz w:val="22"/>
          <w:szCs w:val="22"/>
          <w:lang w:val="fr-FR"/>
        </w:rPr>
        <w:t>ves</w:t>
      </w:r>
      <w:r w:rsidRPr="00066021">
        <w:rPr>
          <w:rFonts w:cs="Arial"/>
          <w:sz w:val="22"/>
          <w:szCs w:val="22"/>
          <w:lang w:val="fr-FR"/>
        </w:rPr>
        <w:t xml:space="preserve"> de l’Organisation des </w:t>
      </w:r>
      <w:r>
        <w:rPr>
          <w:rFonts w:cs="Arial"/>
          <w:sz w:val="22"/>
          <w:szCs w:val="22"/>
          <w:lang w:val="fr-FR"/>
        </w:rPr>
        <w:t>N</w:t>
      </w:r>
      <w:r w:rsidRPr="00066021">
        <w:rPr>
          <w:rFonts w:cs="Arial"/>
          <w:sz w:val="22"/>
          <w:szCs w:val="22"/>
          <w:lang w:val="fr-FR"/>
        </w:rPr>
        <w:t xml:space="preserve">ations </w:t>
      </w:r>
      <w:r>
        <w:rPr>
          <w:rFonts w:cs="Arial"/>
          <w:sz w:val="22"/>
          <w:szCs w:val="22"/>
          <w:lang w:val="fr-FR"/>
        </w:rPr>
        <w:t>U</w:t>
      </w:r>
      <w:r w:rsidRPr="00066021">
        <w:rPr>
          <w:rFonts w:cs="Arial"/>
          <w:sz w:val="22"/>
          <w:szCs w:val="22"/>
          <w:lang w:val="fr-FR"/>
        </w:rPr>
        <w:t xml:space="preserve">nies. Du fait qu’il est administré </w:t>
      </w:r>
      <w:r>
        <w:rPr>
          <w:rFonts w:cs="Arial"/>
          <w:sz w:val="22"/>
          <w:szCs w:val="22"/>
          <w:lang w:val="fr-FR"/>
        </w:rPr>
        <w:t>par le</w:t>
      </w:r>
      <w:r w:rsidRPr="00066021">
        <w:rPr>
          <w:rFonts w:cs="Arial"/>
          <w:sz w:val="22"/>
          <w:szCs w:val="22"/>
          <w:lang w:val="fr-FR"/>
        </w:rPr>
        <w:t xml:space="preserve"> Progra</w:t>
      </w:r>
      <w:r>
        <w:rPr>
          <w:rFonts w:cs="Arial"/>
          <w:sz w:val="22"/>
          <w:szCs w:val="22"/>
          <w:lang w:val="fr-FR"/>
        </w:rPr>
        <w:t xml:space="preserve">mme </w:t>
      </w:r>
      <w:r w:rsidRPr="00066021">
        <w:rPr>
          <w:rFonts w:cs="Arial"/>
          <w:sz w:val="22"/>
          <w:szCs w:val="22"/>
          <w:lang w:val="fr-FR"/>
        </w:rPr>
        <w:t>des Nations Unies</w:t>
      </w:r>
      <w:r>
        <w:rPr>
          <w:rFonts w:cs="Arial"/>
          <w:sz w:val="22"/>
          <w:szCs w:val="22"/>
          <w:lang w:val="fr-FR"/>
        </w:rPr>
        <w:t xml:space="preserve"> </w:t>
      </w:r>
      <w:r w:rsidRPr="00066021">
        <w:rPr>
          <w:rFonts w:cs="Arial"/>
          <w:sz w:val="22"/>
          <w:szCs w:val="22"/>
          <w:lang w:val="fr-FR"/>
        </w:rPr>
        <w:t>pour l’environnem</w:t>
      </w:r>
      <w:r>
        <w:rPr>
          <w:rFonts w:cs="Arial"/>
          <w:sz w:val="22"/>
          <w:szCs w:val="22"/>
          <w:lang w:val="fr-FR"/>
        </w:rPr>
        <w:t>ent</w:t>
      </w:r>
      <w:r w:rsidRPr="00066021">
        <w:rPr>
          <w:rFonts w:cs="Arial"/>
          <w:sz w:val="22"/>
          <w:szCs w:val="22"/>
          <w:lang w:val="fr-FR"/>
        </w:rPr>
        <w:t xml:space="preserve"> (PNUE), le Secrétariat</w:t>
      </w:r>
      <w:r>
        <w:rPr>
          <w:rFonts w:cs="Arial"/>
          <w:sz w:val="22"/>
          <w:szCs w:val="22"/>
          <w:lang w:val="fr-FR"/>
        </w:rPr>
        <w:t xml:space="preserve"> de la CMS </w:t>
      </w:r>
      <w:r w:rsidR="00F41650">
        <w:rPr>
          <w:rFonts w:cs="Arial"/>
          <w:sz w:val="22"/>
          <w:szCs w:val="22"/>
          <w:lang w:val="fr-FR"/>
        </w:rPr>
        <w:t>utilise ce progiciel depuis</w:t>
      </w:r>
      <w:r w:rsidRPr="00066021">
        <w:rPr>
          <w:rFonts w:cs="Arial"/>
          <w:sz w:val="22"/>
          <w:szCs w:val="22"/>
          <w:lang w:val="fr-FR"/>
        </w:rPr>
        <w:t xml:space="preserve"> juin 2015.</w:t>
      </w:r>
      <w:r w:rsidR="0033299A" w:rsidRPr="00066021">
        <w:rPr>
          <w:rFonts w:cs="Arial"/>
          <w:sz w:val="22"/>
          <w:szCs w:val="22"/>
          <w:lang w:val="fr-FR"/>
        </w:rPr>
        <w:t xml:space="preserve"> </w:t>
      </w:r>
    </w:p>
    <w:p w:rsidR="0033299A" w:rsidRPr="00D3599E" w:rsidRDefault="0033299A" w:rsidP="002973EB">
      <w:pPr>
        <w:ind w:left="360"/>
        <w:contextualSpacing/>
        <w:jc w:val="both"/>
        <w:rPr>
          <w:rFonts w:cs="Arial"/>
          <w:szCs w:val="18"/>
          <w:lang w:val="fr-FR"/>
        </w:rPr>
      </w:pPr>
    </w:p>
    <w:p w:rsidR="0033299A" w:rsidRPr="00066021" w:rsidRDefault="0033299A" w:rsidP="002973EB">
      <w:pPr>
        <w:numPr>
          <w:ilvl w:val="0"/>
          <w:numId w:val="2"/>
        </w:numPr>
        <w:tabs>
          <w:tab w:val="left" w:pos="270"/>
        </w:tabs>
        <w:contextualSpacing/>
        <w:jc w:val="both"/>
        <w:rPr>
          <w:rFonts w:cs="Arial"/>
          <w:sz w:val="22"/>
          <w:szCs w:val="22"/>
          <w:lang w:val="fr-FR"/>
        </w:rPr>
      </w:pPr>
      <w:r w:rsidRPr="00066021">
        <w:rPr>
          <w:rFonts w:cs="Arial"/>
          <w:sz w:val="22"/>
          <w:szCs w:val="22"/>
          <w:lang w:val="fr-FR"/>
        </w:rPr>
        <w:t xml:space="preserve">Umoja </w:t>
      </w:r>
      <w:r w:rsidR="00066021" w:rsidRPr="00066021">
        <w:rPr>
          <w:rFonts w:cs="Arial"/>
          <w:sz w:val="22"/>
          <w:szCs w:val="22"/>
          <w:lang w:val="fr-FR"/>
        </w:rPr>
        <w:t>est conçu pour appuyer les No</w:t>
      </w:r>
      <w:r w:rsidR="00066021">
        <w:rPr>
          <w:rFonts w:cs="Arial"/>
          <w:sz w:val="22"/>
          <w:szCs w:val="22"/>
          <w:lang w:val="fr-FR"/>
        </w:rPr>
        <w:t>rmes</w:t>
      </w:r>
      <w:r w:rsidR="00066021" w:rsidRPr="00066021">
        <w:rPr>
          <w:rFonts w:cs="Arial"/>
          <w:sz w:val="22"/>
          <w:szCs w:val="22"/>
          <w:lang w:val="fr-FR"/>
        </w:rPr>
        <w:t xml:space="preserve"> c</w:t>
      </w:r>
      <w:r w:rsidR="00066021">
        <w:rPr>
          <w:rFonts w:cs="Arial"/>
          <w:sz w:val="22"/>
          <w:szCs w:val="22"/>
          <w:lang w:val="fr-FR"/>
        </w:rPr>
        <w:t>o</w:t>
      </w:r>
      <w:r w:rsidR="00066021" w:rsidRPr="00066021">
        <w:rPr>
          <w:rFonts w:cs="Arial"/>
          <w:sz w:val="22"/>
          <w:szCs w:val="22"/>
          <w:lang w:val="fr-FR"/>
        </w:rPr>
        <w:t>mptables intern</w:t>
      </w:r>
      <w:r w:rsidR="00066021">
        <w:rPr>
          <w:rFonts w:cs="Arial"/>
          <w:sz w:val="22"/>
          <w:szCs w:val="22"/>
          <w:lang w:val="fr-FR"/>
        </w:rPr>
        <w:t>ationales</w:t>
      </w:r>
      <w:r w:rsidR="00066021" w:rsidRPr="00066021">
        <w:rPr>
          <w:rFonts w:cs="Arial"/>
          <w:sz w:val="22"/>
          <w:szCs w:val="22"/>
          <w:lang w:val="fr-FR"/>
        </w:rPr>
        <w:t xml:space="preserve"> pour le secteur public</w:t>
      </w:r>
      <w:r w:rsidRPr="00066021">
        <w:rPr>
          <w:rFonts w:cs="Arial"/>
          <w:sz w:val="22"/>
          <w:szCs w:val="22"/>
          <w:lang w:val="fr-FR"/>
        </w:rPr>
        <w:t xml:space="preserve"> (IPSAS) </w:t>
      </w:r>
      <w:r w:rsidR="00066021">
        <w:rPr>
          <w:rFonts w:cs="Arial"/>
          <w:sz w:val="22"/>
          <w:szCs w:val="22"/>
          <w:lang w:val="fr-FR"/>
        </w:rPr>
        <w:t xml:space="preserve">qui ont été appliquées avec succès par le PNUE en 2014. </w:t>
      </w:r>
      <w:r w:rsidR="00066021" w:rsidRPr="00066021">
        <w:rPr>
          <w:rFonts w:cs="Arial"/>
          <w:sz w:val="22"/>
          <w:szCs w:val="22"/>
          <w:lang w:val="fr-FR"/>
        </w:rPr>
        <w:t>En conformité avec ces Normes, les Accords multilatéraux sur l’environnement (AME), y co</w:t>
      </w:r>
      <w:r w:rsidR="00066021">
        <w:rPr>
          <w:rFonts w:cs="Arial"/>
          <w:sz w:val="22"/>
          <w:szCs w:val="22"/>
          <w:lang w:val="fr-FR"/>
        </w:rPr>
        <w:t>m</w:t>
      </w:r>
      <w:r w:rsidR="00066021" w:rsidRPr="00066021">
        <w:rPr>
          <w:rFonts w:cs="Arial"/>
          <w:sz w:val="22"/>
          <w:szCs w:val="22"/>
          <w:lang w:val="fr-FR"/>
        </w:rPr>
        <w:t>pris le Secrétariat</w:t>
      </w:r>
      <w:r w:rsidR="00066021">
        <w:rPr>
          <w:rFonts w:cs="Arial"/>
          <w:sz w:val="22"/>
          <w:szCs w:val="22"/>
          <w:lang w:val="fr-FR"/>
        </w:rPr>
        <w:t xml:space="preserve"> </w:t>
      </w:r>
      <w:r w:rsidR="00066021" w:rsidRPr="00066021">
        <w:rPr>
          <w:rFonts w:cs="Arial"/>
          <w:sz w:val="22"/>
          <w:szCs w:val="22"/>
          <w:lang w:val="fr-FR"/>
        </w:rPr>
        <w:t xml:space="preserve">de la CMS, ont été invités à </w:t>
      </w:r>
      <w:r w:rsidR="00066021">
        <w:rPr>
          <w:rFonts w:cs="Arial"/>
          <w:sz w:val="22"/>
          <w:szCs w:val="22"/>
          <w:lang w:val="fr-FR"/>
        </w:rPr>
        <w:t xml:space="preserve">tenir dument compte des </w:t>
      </w:r>
      <w:r w:rsidR="00066021" w:rsidRPr="00066021">
        <w:rPr>
          <w:rFonts w:cs="Arial"/>
          <w:sz w:val="22"/>
          <w:szCs w:val="22"/>
          <w:lang w:val="fr-FR"/>
        </w:rPr>
        <w:t>incidences budgétaires suivantes pour la pr</w:t>
      </w:r>
      <w:r w:rsidR="00066021">
        <w:rPr>
          <w:rFonts w:cs="Arial"/>
          <w:sz w:val="22"/>
          <w:szCs w:val="22"/>
          <w:lang w:val="fr-FR"/>
        </w:rPr>
        <w:t>éparation d</w:t>
      </w:r>
      <w:r w:rsidR="009934D0">
        <w:rPr>
          <w:rFonts w:cs="Arial"/>
          <w:sz w:val="22"/>
          <w:szCs w:val="22"/>
          <w:lang w:val="fr-FR"/>
        </w:rPr>
        <w:t>u projet de</w:t>
      </w:r>
      <w:r w:rsidR="00066021">
        <w:rPr>
          <w:rFonts w:cs="Arial"/>
          <w:sz w:val="22"/>
          <w:szCs w:val="22"/>
          <w:lang w:val="fr-FR"/>
        </w:rPr>
        <w:t xml:space="preserve"> budget</w:t>
      </w:r>
      <w:r w:rsidRPr="00066021">
        <w:rPr>
          <w:rFonts w:cs="Arial"/>
          <w:sz w:val="22"/>
          <w:szCs w:val="22"/>
          <w:lang w:val="fr-FR"/>
        </w:rPr>
        <w:t xml:space="preserve">: </w:t>
      </w:r>
    </w:p>
    <w:p w:rsidR="0033299A" w:rsidRPr="00112EFC" w:rsidRDefault="009934D0" w:rsidP="00AA2D9E">
      <w:pPr>
        <w:pStyle w:val="NoSpacing"/>
        <w:numPr>
          <w:ilvl w:val="0"/>
          <w:numId w:val="4"/>
        </w:numPr>
        <w:spacing w:before="120" w:after="120"/>
        <w:jc w:val="both"/>
        <w:rPr>
          <w:rFonts w:ascii="Arial" w:hAnsi="Arial" w:cs="Arial"/>
          <w:lang w:val="fr-FR"/>
        </w:rPr>
      </w:pPr>
      <w:r>
        <w:rPr>
          <w:rFonts w:ascii="Arial" w:hAnsi="Arial" w:cs="Arial"/>
          <w:lang w:val="fr-FR"/>
        </w:rPr>
        <w:t>Initiative institutionnelle</w:t>
      </w:r>
      <w:r w:rsidR="0033299A" w:rsidRPr="009934D0">
        <w:rPr>
          <w:rFonts w:ascii="Arial" w:hAnsi="Arial" w:cs="Arial"/>
          <w:lang w:val="fr-FR"/>
        </w:rPr>
        <w:t xml:space="preserve"> (</w:t>
      </w:r>
      <w:r w:rsidR="00112EFC">
        <w:rPr>
          <w:rFonts w:ascii="Arial" w:hAnsi="Arial" w:cs="Arial"/>
          <w:lang w:val="fr-FR"/>
        </w:rPr>
        <w:t>droit de licence Umoja</w:t>
      </w:r>
      <w:r w:rsidR="0033299A" w:rsidRPr="009934D0">
        <w:rPr>
          <w:rFonts w:ascii="Arial" w:hAnsi="Arial" w:cs="Arial"/>
          <w:lang w:val="fr-FR"/>
        </w:rPr>
        <w:t xml:space="preserve"> </w:t>
      </w:r>
      <w:r w:rsidR="00112EFC">
        <w:rPr>
          <w:rFonts w:ascii="Arial" w:hAnsi="Arial" w:cs="Arial"/>
          <w:lang w:val="fr-FR"/>
        </w:rPr>
        <w:t>et coût du module sur la prestation des services de santé</w:t>
      </w:r>
      <w:r w:rsidR="0033299A" w:rsidRPr="009934D0">
        <w:rPr>
          <w:rFonts w:ascii="Arial" w:hAnsi="Arial" w:cs="Arial"/>
          <w:lang w:val="fr-FR"/>
        </w:rPr>
        <w:t xml:space="preserve"> (GSDM)): </w:t>
      </w:r>
      <w:r w:rsidR="00112EFC">
        <w:rPr>
          <w:rFonts w:ascii="Arial" w:hAnsi="Arial" w:cs="Arial"/>
          <w:lang w:val="fr-FR"/>
        </w:rPr>
        <w:t>b</w:t>
      </w:r>
      <w:r w:rsidRPr="009934D0">
        <w:rPr>
          <w:rFonts w:ascii="Arial" w:hAnsi="Arial" w:cs="Arial"/>
          <w:lang w:val="fr-FR"/>
        </w:rPr>
        <w:t>ien que l</w:t>
      </w:r>
      <w:r w:rsidR="00112EFC">
        <w:rPr>
          <w:rFonts w:ascii="Arial" w:hAnsi="Arial" w:cs="Arial"/>
          <w:lang w:val="fr-FR"/>
        </w:rPr>
        <w:t>e</w:t>
      </w:r>
      <w:r w:rsidRPr="009934D0">
        <w:rPr>
          <w:rFonts w:ascii="Arial" w:hAnsi="Arial" w:cs="Arial"/>
          <w:lang w:val="fr-FR"/>
        </w:rPr>
        <w:t>s co</w:t>
      </w:r>
      <w:r w:rsidR="00112EFC">
        <w:rPr>
          <w:rFonts w:ascii="Arial" w:hAnsi="Arial" w:cs="Arial"/>
          <w:lang w:val="fr-FR"/>
        </w:rPr>
        <w:t>û</w:t>
      </w:r>
      <w:r w:rsidRPr="009934D0">
        <w:rPr>
          <w:rFonts w:ascii="Arial" w:hAnsi="Arial" w:cs="Arial"/>
          <w:lang w:val="fr-FR"/>
        </w:rPr>
        <w:t xml:space="preserve">ts de </w:t>
      </w:r>
      <w:r w:rsidR="00112EFC" w:rsidRPr="009934D0">
        <w:rPr>
          <w:rFonts w:ascii="Arial" w:hAnsi="Arial" w:cs="Arial"/>
          <w:lang w:val="fr-FR"/>
        </w:rPr>
        <w:t>déploiement</w:t>
      </w:r>
      <w:r w:rsidRPr="009934D0">
        <w:rPr>
          <w:rFonts w:ascii="Arial" w:hAnsi="Arial" w:cs="Arial"/>
          <w:lang w:val="fr-FR"/>
        </w:rPr>
        <w:t xml:space="preserve"> </w:t>
      </w:r>
      <w:r w:rsidR="00826912">
        <w:rPr>
          <w:rFonts w:ascii="Arial" w:hAnsi="Arial" w:cs="Arial"/>
          <w:lang w:val="fr-FR"/>
        </w:rPr>
        <w:t xml:space="preserve">d’Umoja </w:t>
      </w:r>
      <w:r w:rsidRPr="009934D0">
        <w:rPr>
          <w:rFonts w:ascii="Arial" w:hAnsi="Arial" w:cs="Arial"/>
          <w:lang w:val="fr-FR"/>
        </w:rPr>
        <w:t xml:space="preserve">aient été </w:t>
      </w:r>
      <w:r w:rsidR="00112EFC" w:rsidRPr="009934D0">
        <w:rPr>
          <w:rFonts w:ascii="Arial" w:hAnsi="Arial" w:cs="Arial"/>
          <w:lang w:val="fr-FR"/>
        </w:rPr>
        <w:t>initialement</w:t>
      </w:r>
      <w:r w:rsidRPr="009934D0">
        <w:rPr>
          <w:rFonts w:ascii="Arial" w:hAnsi="Arial" w:cs="Arial"/>
          <w:lang w:val="fr-FR"/>
        </w:rPr>
        <w:t xml:space="preserve"> </w:t>
      </w:r>
      <w:r w:rsidR="00112EFC" w:rsidRPr="009934D0">
        <w:rPr>
          <w:rFonts w:ascii="Arial" w:hAnsi="Arial" w:cs="Arial"/>
          <w:lang w:val="fr-FR"/>
        </w:rPr>
        <w:t>absorbés</w:t>
      </w:r>
      <w:r w:rsidRPr="009934D0">
        <w:rPr>
          <w:rFonts w:ascii="Arial" w:hAnsi="Arial" w:cs="Arial"/>
          <w:lang w:val="fr-FR"/>
        </w:rPr>
        <w:t xml:space="preserve"> par le Siège de l’ONU et le PNUE au niveau central, les co</w:t>
      </w:r>
      <w:r w:rsidR="00112EFC">
        <w:rPr>
          <w:rFonts w:ascii="Arial" w:hAnsi="Arial" w:cs="Arial"/>
          <w:lang w:val="fr-FR"/>
        </w:rPr>
        <w:t>û</w:t>
      </w:r>
      <w:r w:rsidRPr="009934D0">
        <w:rPr>
          <w:rFonts w:ascii="Arial" w:hAnsi="Arial" w:cs="Arial"/>
          <w:lang w:val="fr-FR"/>
        </w:rPr>
        <w:t xml:space="preserve">ts futurs </w:t>
      </w:r>
      <w:r w:rsidR="00112EFC" w:rsidRPr="009934D0">
        <w:rPr>
          <w:rFonts w:ascii="Arial" w:hAnsi="Arial" w:cs="Arial"/>
          <w:lang w:val="fr-FR"/>
        </w:rPr>
        <w:t>associés</w:t>
      </w:r>
      <w:r w:rsidRPr="009934D0">
        <w:rPr>
          <w:rFonts w:ascii="Arial" w:hAnsi="Arial" w:cs="Arial"/>
          <w:lang w:val="fr-FR"/>
        </w:rPr>
        <w:t xml:space="preserve"> aux initiatives </w:t>
      </w:r>
      <w:r w:rsidR="00112EFC" w:rsidRPr="009934D0">
        <w:rPr>
          <w:rFonts w:ascii="Arial" w:hAnsi="Arial" w:cs="Arial"/>
          <w:lang w:val="fr-FR"/>
        </w:rPr>
        <w:t>institutionne</w:t>
      </w:r>
      <w:r w:rsidR="00112EFC">
        <w:rPr>
          <w:rFonts w:ascii="Arial" w:hAnsi="Arial" w:cs="Arial"/>
          <w:lang w:val="fr-FR"/>
        </w:rPr>
        <w:t>ll</w:t>
      </w:r>
      <w:r w:rsidR="00112EFC" w:rsidRPr="009934D0">
        <w:rPr>
          <w:rFonts w:ascii="Arial" w:hAnsi="Arial" w:cs="Arial"/>
          <w:lang w:val="fr-FR"/>
        </w:rPr>
        <w:t>es</w:t>
      </w:r>
      <w:r w:rsidRPr="009934D0">
        <w:rPr>
          <w:rFonts w:ascii="Arial" w:hAnsi="Arial" w:cs="Arial"/>
          <w:lang w:val="fr-FR"/>
        </w:rPr>
        <w:t>, à p</w:t>
      </w:r>
      <w:r w:rsidR="00112EFC">
        <w:rPr>
          <w:rFonts w:ascii="Arial" w:hAnsi="Arial" w:cs="Arial"/>
          <w:lang w:val="fr-FR"/>
        </w:rPr>
        <w:t>a</w:t>
      </w:r>
      <w:r w:rsidRPr="009934D0">
        <w:rPr>
          <w:rFonts w:ascii="Arial" w:hAnsi="Arial" w:cs="Arial"/>
          <w:lang w:val="fr-FR"/>
        </w:rPr>
        <w:t>rt</w:t>
      </w:r>
      <w:r w:rsidR="00112EFC">
        <w:rPr>
          <w:rFonts w:ascii="Arial" w:hAnsi="Arial" w:cs="Arial"/>
          <w:lang w:val="fr-FR"/>
        </w:rPr>
        <w:t>i</w:t>
      </w:r>
      <w:r w:rsidRPr="009934D0">
        <w:rPr>
          <w:rFonts w:ascii="Arial" w:hAnsi="Arial" w:cs="Arial"/>
          <w:lang w:val="fr-FR"/>
        </w:rPr>
        <w:t xml:space="preserve">r de 2017, seront </w:t>
      </w:r>
      <w:r w:rsidR="00112EFC">
        <w:rPr>
          <w:rFonts w:ascii="Arial" w:hAnsi="Arial" w:cs="Arial"/>
          <w:lang w:val="fr-FR"/>
        </w:rPr>
        <w:t>à la charge des entité</w:t>
      </w:r>
      <w:r w:rsidRPr="009934D0">
        <w:rPr>
          <w:rFonts w:ascii="Arial" w:hAnsi="Arial" w:cs="Arial"/>
          <w:lang w:val="fr-FR"/>
        </w:rPr>
        <w:t xml:space="preserve">s </w:t>
      </w:r>
      <w:r w:rsidR="00112EFC">
        <w:rPr>
          <w:rFonts w:ascii="Arial" w:hAnsi="Arial" w:cs="Arial"/>
          <w:lang w:val="fr-FR"/>
        </w:rPr>
        <w:t>utilisatrices</w:t>
      </w:r>
      <w:r w:rsidRPr="009934D0">
        <w:rPr>
          <w:rFonts w:ascii="Arial" w:hAnsi="Arial" w:cs="Arial"/>
          <w:lang w:val="fr-FR"/>
        </w:rPr>
        <w:t xml:space="preserve"> sur la base du niveau des </w:t>
      </w:r>
      <w:r w:rsidR="00112EFC" w:rsidRPr="009934D0">
        <w:rPr>
          <w:rFonts w:ascii="Arial" w:hAnsi="Arial" w:cs="Arial"/>
          <w:lang w:val="fr-FR"/>
        </w:rPr>
        <w:t>dépenses</w:t>
      </w:r>
      <w:r w:rsidRPr="009934D0">
        <w:rPr>
          <w:rFonts w:ascii="Arial" w:hAnsi="Arial" w:cs="Arial"/>
          <w:lang w:val="fr-FR"/>
        </w:rPr>
        <w:t xml:space="preserve"> encourues l’</w:t>
      </w:r>
      <w:r w:rsidR="00112EFC" w:rsidRPr="009934D0">
        <w:rPr>
          <w:rFonts w:ascii="Arial" w:hAnsi="Arial" w:cs="Arial"/>
          <w:lang w:val="fr-FR"/>
        </w:rPr>
        <w:t>année</w:t>
      </w:r>
      <w:r w:rsidRPr="009934D0">
        <w:rPr>
          <w:rFonts w:ascii="Arial" w:hAnsi="Arial" w:cs="Arial"/>
          <w:lang w:val="fr-FR"/>
        </w:rPr>
        <w:t xml:space="preserve"> précédente.</w:t>
      </w:r>
      <w:r>
        <w:rPr>
          <w:rFonts w:ascii="Arial" w:hAnsi="Arial" w:cs="Arial"/>
          <w:lang w:val="fr-FR"/>
        </w:rPr>
        <w:t xml:space="preserve"> </w:t>
      </w:r>
      <w:r w:rsidRPr="009934D0">
        <w:rPr>
          <w:rFonts w:ascii="Arial" w:hAnsi="Arial" w:cs="Arial"/>
          <w:lang w:val="fr-FR"/>
        </w:rPr>
        <w:t>En 2017,</w:t>
      </w:r>
      <w:r w:rsidR="0033299A" w:rsidRPr="009934D0">
        <w:rPr>
          <w:rFonts w:ascii="Arial" w:hAnsi="Arial" w:cs="Arial"/>
          <w:lang w:val="fr-FR"/>
        </w:rPr>
        <w:t xml:space="preserve"> </w:t>
      </w:r>
      <w:r w:rsidRPr="009934D0">
        <w:rPr>
          <w:rFonts w:ascii="Arial" w:hAnsi="Arial" w:cs="Arial"/>
          <w:lang w:val="fr-FR"/>
        </w:rPr>
        <w:t>le co</w:t>
      </w:r>
      <w:r w:rsidR="00112EFC">
        <w:rPr>
          <w:rFonts w:ascii="Arial" w:hAnsi="Arial" w:cs="Arial"/>
          <w:lang w:val="fr-FR"/>
        </w:rPr>
        <w:t>û</w:t>
      </w:r>
      <w:r w:rsidRPr="009934D0">
        <w:rPr>
          <w:rFonts w:ascii="Arial" w:hAnsi="Arial" w:cs="Arial"/>
          <w:lang w:val="fr-FR"/>
        </w:rPr>
        <w:t xml:space="preserve">t </w:t>
      </w:r>
      <w:r w:rsidR="00112EFC">
        <w:rPr>
          <w:rFonts w:ascii="Arial" w:hAnsi="Arial" w:cs="Arial"/>
          <w:lang w:val="fr-FR"/>
        </w:rPr>
        <w:t xml:space="preserve">à partager </w:t>
      </w:r>
      <w:r w:rsidRPr="009934D0">
        <w:rPr>
          <w:rFonts w:ascii="Arial" w:hAnsi="Arial" w:cs="Arial"/>
          <w:lang w:val="fr-FR"/>
        </w:rPr>
        <w:t xml:space="preserve">de l’initiative institutionnelle </w:t>
      </w:r>
      <w:r w:rsidR="00112EFC">
        <w:rPr>
          <w:rFonts w:ascii="Arial" w:hAnsi="Arial" w:cs="Arial"/>
          <w:lang w:val="fr-FR"/>
        </w:rPr>
        <w:t>p</w:t>
      </w:r>
      <w:r w:rsidRPr="009934D0">
        <w:rPr>
          <w:rFonts w:ascii="Arial" w:hAnsi="Arial" w:cs="Arial"/>
          <w:lang w:val="fr-FR"/>
        </w:rPr>
        <w:t>our l’e</w:t>
      </w:r>
      <w:r w:rsidR="00112EFC">
        <w:rPr>
          <w:rFonts w:ascii="Arial" w:hAnsi="Arial" w:cs="Arial"/>
          <w:lang w:val="fr-FR"/>
        </w:rPr>
        <w:t>nsemble de la</w:t>
      </w:r>
      <w:r w:rsidRPr="009934D0">
        <w:rPr>
          <w:rFonts w:ascii="Arial" w:hAnsi="Arial" w:cs="Arial"/>
          <w:lang w:val="fr-FR"/>
        </w:rPr>
        <w:t xml:space="preserve"> Fami</w:t>
      </w:r>
      <w:r w:rsidR="00112EFC">
        <w:rPr>
          <w:rFonts w:ascii="Arial" w:hAnsi="Arial" w:cs="Arial"/>
          <w:lang w:val="fr-FR"/>
        </w:rPr>
        <w:t>l</w:t>
      </w:r>
      <w:r w:rsidRPr="009934D0">
        <w:rPr>
          <w:rFonts w:ascii="Arial" w:hAnsi="Arial" w:cs="Arial"/>
          <w:lang w:val="fr-FR"/>
        </w:rPr>
        <w:t>le CMS (</w:t>
      </w:r>
      <w:r w:rsidR="0033299A" w:rsidRPr="009934D0">
        <w:rPr>
          <w:rFonts w:ascii="Arial" w:hAnsi="Arial" w:cs="Arial"/>
          <w:lang w:val="fr-FR"/>
        </w:rPr>
        <w:t>Secr</w:t>
      </w:r>
      <w:r w:rsidRPr="009934D0">
        <w:rPr>
          <w:rFonts w:ascii="Arial" w:hAnsi="Arial" w:cs="Arial"/>
          <w:lang w:val="fr-FR"/>
        </w:rPr>
        <w:t>é</w:t>
      </w:r>
      <w:r w:rsidR="0033299A" w:rsidRPr="009934D0">
        <w:rPr>
          <w:rFonts w:ascii="Arial" w:hAnsi="Arial" w:cs="Arial"/>
          <w:lang w:val="fr-FR"/>
        </w:rPr>
        <w:t xml:space="preserve">tariat </w:t>
      </w:r>
      <w:r w:rsidRPr="009934D0">
        <w:rPr>
          <w:rFonts w:ascii="Arial" w:hAnsi="Arial" w:cs="Arial"/>
          <w:lang w:val="fr-FR"/>
        </w:rPr>
        <w:t xml:space="preserve">de la CMS et tous </w:t>
      </w:r>
      <w:r w:rsidR="00112EFC">
        <w:rPr>
          <w:rFonts w:ascii="Arial" w:hAnsi="Arial" w:cs="Arial"/>
          <w:lang w:val="fr-FR"/>
        </w:rPr>
        <w:t>l</w:t>
      </w:r>
      <w:r w:rsidRPr="009934D0">
        <w:rPr>
          <w:rFonts w:ascii="Arial" w:hAnsi="Arial" w:cs="Arial"/>
          <w:lang w:val="fr-FR"/>
        </w:rPr>
        <w:t>es Acc</w:t>
      </w:r>
      <w:r w:rsidR="00112EFC">
        <w:rPr>
          <w:rFonts w:ascii="Arial" w:hAnsi="Arial" w:cs="Arial"/>
          <w:lang w:val="fr-FR"/>
        </w:rPr>
        <w:t>o</w:t>
      </w:r>
      <w:r w:rsidRPr="009934D0">
        <w:rPr>
          <w:rFonts w:ascii="Arial" w:hAnsi="Arial" w:cs="Arial"/>
          <w:lang w:val="fr-FR"/>
        </w:rPr>
        <w:t>rds tels que</w:t>
      </w:r>
      <w:r w:rsidR="0033299A" w:rsidRPr="009934D0">
        <w:rPr>
          <w:rFonts w:ascii="Arial" w:hAnsi="Arial" w:cs="Arial"/>
          <w:lang w:val="fr-FR"/>
        </w:rPr>
        <w:t xml:space="preserve"> AEWA, ASCOBANS </w:t>
      </w:r>
      <w:r w:rsidRPr="009934D0">
        <w:rPr>
          <w:rFonts w:ascii="Arial" w:hAnsi="Arial" w:cs="Arial"/>
          <w:lang w:val="fr-FR"/>
        </w:rPr>
        <w:t>et</w:t>
      </w:r>
      <w:r w:rsidR="0033299A" w:rsidRPr="009934D0">
        <w:rPr>
          <w:rFonts w:ascii="Arial" w:hAnsi="Arial" w:cs="Arial"/>
          <w:lang w:val="fr-FR"/>
        </w:rPr>
        <w:t xml:space="preserve"> EUROBATS) </w:t>
      </w:r>
      <w:r w:rsidRPr="009934D0">
        <w:rPr>
          <w:rFonts w:ascii="Arial" w:hAnsi="Arial" w:cs="Arial"/>
          <w:lang w:val="fr-FR"/>
        </w:rPr>
        <w:t xml:space="preserve">est estimé à </w:t>
      </w:r>
      <w:r w:rsidR="0033299A" w:rsidRPr="009934D0">
        <w:rPr>
          <w:rFonts w:ascii="Arial" w:hAnsi="Arial" w:cs="Arial"/>
          <w:lang w:val="fr-FR"/>
        </w:rPr>
        <w:t>14</w:t>
      </w:r>
      <w:r>
        <w:rPr>
          <w:rFonts w:ascii="Arial" w:hAnsi="Arial" w:cs="Arial"/>
          <w:lang w:val="fr-FR"/>
        </w:rPr>
        <w:t>.</w:t>
      </w:r>
      <w:r w:rsidR="0033299A" w:rsidRPr="009934D0">
        <w:rPr>
          <w:rFonts w:ascii="Arial" w:hAnsi="Arial" w:cs="Arial"/>
          <w:lang w:val="fr-FR"/>
        </w:rPr>
        <w:t xml:space="preserve">014 </w:t>
      </w:r>
      <w:r>
        <w:rPr>
          <w:rFonts w:ascii="Arial" w:hAnsi="Arial" w:cs="Arial"/>
          <w:lang w:val="fr-FR"/>
        </w:rPr>
        <w:t>US$ sur la base du niveau des dépenses encourues en</w:t>
      </w:r>
      <w:r w:rsidR="0033299A" w:rsidRPr="009934D0">
        <w:rPr>
          <w:rFonts w:ascii="Arial" w:hAnsi="Arial" w:cs="Arial"/>
          <w:lang w:val="fr-FR"/>
        </w:rPr>
        <w:t xml:space="preserve"> 2016. </w:t>
      </w:r>
      <w:r w:rsidRPr="00112EFC">
        <w:rPr>
          <w:rFonts w:ascii="Arial" w:hAnsi="Arial" w:cs="Arial"/>
          <w:lang w:val="fr-FR"/>
        </w:rPr>
        <w:t xml:space="preserve">Toutefois, le Directeur </w:t>
      </w:r>
      <w:r w:rsidR="008E3493" w:rsidRPr="00112EFC">
        <w:rPr>
          <w:rFonts w:ascii="Arial" w:hAnsi="Arial" w:cs="Arial"/>
          <w:lang w:val="fr-FR"/>
        </w:rPr>
        <w:t>exécutif</w:t>
      </w:r>
      <w:r w:rsidRPr="00112EFC">
        <w:rPr>
          <w:rFonts w:ascii="Arial" w:hAnsi="Arial" w:cs="Arial"/>
          <w:lang w:val="fr-FR"/>
        </w:rPr>
        <w:t xml:space="preserve"> d</w:t>
      </w:r>
      <w:r w:rsidR="00826912">
        <w:rPr>
          <w:rFonts w:ascii="Arial" w:hAnsi="Arial" w:cs="Arial"/>
          <w:lang w:val="fr-FR"/>
        </w:rPr>
        <w:t>u PNUE</w:t>
      </w:r>
      <w:r w:rsidRPr="00112EFC">
        <w:rPr>
          <w:rFonts w:ascii="Arial" w:hAnsi="Arial" w:cs="Arial"/>
          <w:lang w:val="fr-FR"/>
        </w:rPr>
        <w:t xml:space="preserve"> a annoncé </w:t>
      </w:r>
      <w:r w:rsidR="00E730BA">
        <w:rPr>
          <w:rFonts w:ascii="Arial" w:hAnsi="Arial" w:cs="Arial"/>
          <w:lang w:val="fr-FR"/>
        </w:rPr>
        <w:t xml:space="preserve">fort généreusement </w:t>
      </w:r>
      <w:r w:rsidRPr="00112EFC">
        <w:rPr>
          <w:rFonts w:ascii="Arial" w:hAnsi="Arial" w:cs="Arial"/>
          <w:lang w:val="fr-FR"/>
        </w:rPr>
        <w:t xml:space="preserve">qu’il </w:t>
      </w:r>
      <w:r w:rsidR="008E3493" w:rsidRPr="00112EFC">
        <w:rPr>
          <w:rFonts w:ascii="Arial" w:hAnsi="Arial" w:cs="Arial"/>
          <w:lang w:val="fr-FR"/>
        </w:rPr>
        <w:t>absorbera</w:t>
      </w:r>
      <w:r w:rsidRPr="00112EFC">
        <w:rPr>
          <w:rFonts w:ascii="Arial" w:hAnsi="Arial" w:cs="Arial"/>
          <w:lang w:val="fr-FR"/>
        </w:rPr>
        <w:t xml:space="preserve"> les co</w:t>
      </w:r>
      <w:r w:rsidR="008E3493">
        <w:rPr>
          <w:rFonts w:ascii="Arial" w:hAnsi="Arial" w:cs="Arial"/>
          <w:lang w:val="fr-FR"/>
        </w:rPr>
        <w:t>û</w:t>
      </w:r>
      <w:r w:rsidRPr="00112EFC">
        <w:rPr>
          <w:rFonts w:ascii="Arial" w:hAnsi="Arial" w:cs="Arial"/>
          <w:lang w:val="fr-FR"/>
        </w:rPr>
        <w:t>ts des initia</w:t>
      </w:r>
      <w:r w:rsidR="008E3493">
        <w:rPr>
          <w:rFonts w:ascii="Arial" w:hAnsi="Arial" w:cs="Arial"/>
          <w:lang w:val="fr-FR"/>
        </w:rPr>
        <w:t>ti</w:t>
      </w:r>
      <w:r w:rsidRPr="00112EFC">
        <w:rPr>
          <w:rFonts w:ascii="Arial" w:hAnsi="Arial" w:cs="Arial"/>
          <w:lang w:val="fr-FR"/>
        </w:rPr>
        <w:t>ves</w:t>
      </w:r>
      <w:r w:rsidR="008E3493">
        <w:rPr>
          <w:rFonts w:ascii="Arial" w:hAnsi="Arial" w:cs="Arial"/>
          <w:lang w:val="fr-FR"/>
        </w:rPr>
        <w:t xml:space="preserve"> </w:t>
      </w:r>
      <w:r w:rsidRPr="00112EFC">
        <w:rPr>
          <w:rFonts w:ascii="Arial" w:hAnsi="Arial" w:cs="Arial"/>
          <w:lang w:val="fr-FR"/>
        </w:rPr>
        <w:t>institutionnelles de tous les AME</w:t>
      </w:r>
      <w:r w:rsidR="00112EFC" w:rsidRPr="00112EFC">
        <w:rPr>
          <w:rFonts w:ascii="Arial" w:hAnsi="Arial" w:cs="Arial"/>
          <w:lang w:val="fr-FR"/>
        </w:rPr>
        <w:t>, y compris la CMS, pour 2017 du fait qu’au</w:t>
      </w:r>
      <w:r w:rsidR="008E3493">
        <w:rPr>
          <w:rFonts w:ascii="Arial" w:hAnsi="Arial" w:cs="Arial"/>
          <w:lang w:val="fr-FR"/>
        </w:rPr>
        <w:t>cun</w:t>
      </w:r>
      <w:r w:rsidR="00112EFC" w:rsidRPr="00112EFC">
        <w:rPr>
          <w:rFonts w:ascii="Arial" w:hAnsi="Arial" w:cs="Arial"/>
          <w:lang w:val="fr-FR"/>
        </w:rPr>
        <w:t xml:space="preserve"> fonds n</w:t>
      </w:r>
      <w:r w:rsidR="008E3493">
        <w:rPr>
          <w:rFonts w:ascii="Arial" w:hAnsi="Arial" w:cs="Arial"/>
          <w:lang w:val="fr-FR"/>
        </w:rPr>
        <w:t>’avait</w:t>
      </w:r>
      <w:r w:rsidR="00112EFC" w:rsidRPr="00112EFC">
        <w:rPr>
          <w:rFonts w:ascii="Arial" w:hAnsi="Arial" w:cs="Arial"/>
          <w:lang w:val="fr-FR"/>
        </w:rPr>
        <w:t xml:space="preserve"> ét</w:t>
      </w:r>
      <w:r w:rsidR="008E3493">
        <w:rPr>
          <w:rFonts w:ascii="Arial" w:hAnsi="Arial" w:cs="Arial"/>
          <w:lang w:val="fr-FR"/>
        </w:rPr>
        <w:t>é alloué à cette fin</w:t>
      </w:r>
      <w:r w:rsidR="00112EFC" w:rsidRPr="00112EFC">
        <w:rPr>
          <w:rFonts w:ascii="Arial" w:hAnsi="Arial" w:cs="Arial"/>
          <w:lang w:val="fr-FR"/>
        </w:rPr>
        <w:t xml:space="preserve"> da</w:t>
      </w:r>
      <w:r w:rsidR="008E3493">
        <w:rPr>
          <w:rFonts w:ascii="Arial" w:hAnsi="Arial" w:cs="Arial"/>
          <w:lang w:val="fr-FR"/>
        </w:rPr>
        <w:t>ns les</w:t>
      </w:r>
      <w:r w:rsidR="00112EFC" w:rsidRPr="00112EFC">
        <w:rPr>
          <w:rFonts w:ascii="Arial" w:hAnsi="Arial" w:cs="Arial"/>
          <w:lang w:val="fr-FR"/>
        </w:rPr>
        <w:t xml:space="preserve"> bu</w:t>
      </w:r>
      <w:r w:rsidR="008E3493">
        <w:rPr>
          <w:rFonts w:ascii="Arial" w:hAnsi="Arial" w:cs="Arial"/>
          <w:lang w:val="fr-FR"/>
        </w:rPr>
        <w:t>d</w:t>
      </w:r>
      <w:r w:rsidR="00112EFC" w:rsidRPr="00112EFC">
        <w:rPr>
          <w:rFonts w:ascii="Arial" w:hAnsi="Arial" w:cs="Arial"/>
          <w:lang w:val="fr-FR"/>
        </w:rPr>
        <w:t xml:space="preserve">gets approuvés pour </w:t>
      </w:r>
      <w:r w:rsidR="00E730BA">
        <w:rPr>
          <w:rFonts w:ascii="Arial" w:hAnsi="Arial" w:cs="Arial"/>
          <w:lang w:val="fr-FR"/>
        </w:rPr>
        <w:t>cette année-là.</w:t>
      </w:r>
      <w:r w:rsidR="00112EFC">
        <w:rPr>
          <w:rFonts w:ascii="Arial" w:hAnsi="Arial" w:cs="Arial"/>
          <w:lang w:val="fr-FR"/>
        </w:rPr>
        <w:t xml:space="preserve"> </w:t>
      </w:r>
      <w:r w:rsidR="00112EFC" w:rsidRPr="00112EFC">
        <w:rPr>
          <w:rFonts w:ascii="Arial" w:hAnsi="Arial" w:cs="Arial"/>
          <w:lang w:val="fr-FR"/>
        </w:rPr>
        <w:t>Pour les tro</w:t>
      </w:r>
      <w:r w:rsidR="008E3493">
        <w:rPr>
          <w:rFonts w:ascii="Arial" w:hAnsi="Arial" w:cs="Arial"/>
          <w:lang w:val="fr-FR"/>
        </w:rPr>
        <w:t>is</w:t>
      </w:r>
      <w:r w:rsidR="00112EFC" w:rsidRPr="00112EFC">
        <w:rPr>
          <w:rFonts w:ascii="Arial" w:hAnsi="Arial" w:cs="Arial"/>
          <w:lang w:val="fr-FR"/>
        </w:rPr>
        <w:t xml:space="preserve"> scénarios de budget </w:t>
      </w:r>
      <w:r w:rsidR="008E3493" w:rsidRPr="00112EFC">
        <w:rPr>
          <w:rFonts w:ascii="Arial" w:hAnsi="Arial" w:cs="Arial"/>
          <w:lang w:val="fr-FR"/>
        </w:rPr>
        <w:t>proposés</w:t>
      </w:r>
      <w:r w:rsidR="00112EFC" w:rsidRPr="00112EFC">
        <w:rPr>
          <w:rFonts w:ascii="Arial" w:hAnsi="Arial" w:cs="Arial"/>
          <w:lang w:val="fr-FR"/>
        </w:rPr>
        <w:t xml:space="preserve">, l’allocation </w:t>
      </w:r>
      <w:r w:rsidR="00E730BA">
        <w:rPr>
          <w:rFonts w:ascii="Arial" w:hAnsi="Arial" w:cs="Arial"/>
          <w:lang w:val="fr-FR"/>
        </w:rPr>
        <w:t>budgétaire prévue</w:t>
      </w:r>
      <w:r w:rsidR="00112EFC" w:rsidRPr="00112EFC">
        <w:rPr>
          <w:rFonts w:ascii="Arial" w:hAnsi="Arial" w:cs="Arial"/>
          <w:lang w:val="fr-FR"/>
        </w:rPr>
        <w:t xml:space="preserve"> </w:t>
      </w:r>
      <w:r w:rsidR="008E3493">
        <w:rPr>
          <w:rFonts w:ascii="Arial" w:hAnsi="Arial" w:cs="Arial"/>
          <w:lang w:val="fr-FR"/>
        </w:rPr>
        <w:t xml:space="preserve">pour les </w:t>
      </w:r>
      <w:r w:rsidR="00112EFC" w:rsidRPr="00112EFC">
        <w:rPr>
          <w:rFonts w:ascii="Arial" w:hAnsi="Arial" w:cs="Arial"/>
          <w:lang w:val="fr-FR"/>
        </w:rPr>
        <w:t xml:space="preserve">initiatives </w:t>
      </w:r>
      <w:r w:rsidR="008E3493" w:rsidRPr="00112EFC">
        <w:rPr>
          <w:rFonts w:ascii="Arial" w:hAnsi="Arial" w:cs="Arial"/>
          <w:lang w:val="fr-FR"/>
        </w:rPr>
        <w:t>institutionnelles</w:t>
      </w:r>
      <w:r w:rsidR="00112EFC" w:rsidRPr="00112EFC">
        <w:rPr>
          <w:rFonts w:ascii="Arial" w:hAnsi="Arial" w:cs="Arial"/>
          <w:lang w:val="fr-FR"/>
        </w:rPr>
        <w:t xml:space="preserve"> es</w:t>
      </w:r>
      <w:r w:rsidR="008E3493">
        <w:rPr>
          <w:rFonts w:ascii="Arial" w:hAnsi="Arial" w:cs="Arial"/>
          <w:lang w:val="fr-FR"/>
        </w:rPr>
        <w:t>t incluse dans les</w:t>
      </w:r>
      <w:r w:rsidR="00112EFC" w:rsidRPr="00112EFC">
        <w:rPr>
          <w:rFonts w:ascii="Arial" w:hAnsi="Arial" w:cs="Arial"/>
          <w:lang w:val="fr-FR"/>
        </w:rPr>
        <w:t xml:space="preserve"> co</w:t>
      </w:r>
      <w:r w:rsidR="008E3493">
        <w:rPr>
          <w:rFonts w:ascii="Arial" w:hAnsi="Arial" w:cs="Arial"/>
          <w:lang w:val="fr-FR"/>
        </w:rPr>
        <w:t>û</w:t>
      </w:r>
      <w:r w:rsidR="00112EFC" w:rsidRPr="00112EFC">
        <w:rPr>
          <w:rFonts w:ascii="Arial" w:hAnsi="Arial" w:cs="Arial"/>
          <w:lang w:val="fr-FR"/>
        </w:rPr>
        <w:t>ts d</w:t>
      </w:r>
      <w:r w:rsidR="00E730BA">
        <w:rPr>
          <w:rFonts w:ascii="Arial" w:hAnsi="Arial" w:cs="Arial"/>
          <w:lang w:val="fr-FR"/>
        </w:rPr>
        <w:t>e fonctionnement</w:t>
      </w:r>
      <w:r w:rsidR="00112EFC" w:rsidRPr="00112EFC">
        <w:rPr>
          <w:rFonts w:ascii="Arial" w:hAnsi="Arial" w:cs="Arial"/>
          <w:lang w:val="fr-FR"/>
        </w:rPr>
        <w:t>.</w:t>
      </w:r>
      <w:r w:rsidR="0033299A" w:rsidRPr="00112EFC">
        <w:rPr>
          <w:rFonts w:ascii="Arial" w:hAnsi="Arial" w:cs="Arial"/>
          <w:lang w:val="fr-FR"/>
        </w:rPr>
        <w:t xml:space="preserve"> </w:t>
      </w:r>
    </w:p>
    <w:p w:rsidR="0033299A" w:rsidRPr="008E3493" w:rsidRDefault="008E3493" w:rsidP="00AA2D9E">
      <w:pPr>
        <w:pStyle w:val="NoSpacing"/>
        <w:numPr>
          <w:ilvl w:val="0"/>
          <w:numId w:val="4"/>
        </w:numPr>
        <w:spacing w:before="120" w:after="120"/>
        <w:jc w:val="both"/>
        <w:rPr>
          <w:rFonts w:ascii="Arial" w:hAnsi="Arial" w:cs="Arial"/>
          <w:lang w:val="fr-FR"/>
        </w:rPr>
      </w:pPr>
      <w:r w:rsidRPr="008E3493">
        <w:rPr>
          <w:rFonts w:ascii="Arial" w:hAnsi="Arial" w:cs="Arial"/>
          <w:lang w:val="fr-FR"/>
        </w:rPr>
        <w:t xml:space="preserve">Gestion stricte des </w:t>
      </w:r>
      <w:r w:rsidR="00715535">
        <w:rPr>
          <w:rFonts w:ascii="Arial" w:hAnsi="Arial" w:cs="Arial"/>
          <w:lang w:val="fr-FR"/>
        </w:rPr>
        <w:t>liquidités</w:t>
      </w:r>
      <w:r w:rsidR="0033299A" w:rsidRPr="008E3493">
        <w:rPr>
          <w:rFonts w:ascii="Arial" w:hAnsi="Arial" w:cs="Arial"/>
          <w:lang w:val="fr-FR"/>
        </w:rPr>
        <w:t xml:space="preserve">: Umoja </w:t>
      </w:r>
      <w:r w:rsidRPr="008E3493">
        <w:rPr>
          <w:rFonts w:ascii="Arial" w:hAnsi="Arial" w:cs="Arial"/>
          <w:lang w:val="fr-FR"/>
        </w:rPr>
        <w:t>appliqu</w:t>
      </w:r>
      <w:r w:rsidR="00715535">
        <w:rPr>
          <w:rFonts w:ascii="Arial" w:hAnsi="Arial" w:cs="Arial"/>
          <w:lang w:val="fr-FR"/>
        </w:rPr>
        <w:t>e</w:t>
      </w:r>
      <w:r w:rsidRPr="008E3493">
        <w:rPr>
          <w:rFonts w:ascii="Arial" w:hAnsi="Arial" w:cs="Arial"/>
          <w:lang w:val="fr-FR"/>
        </w:rPr>
        <w:t xml:space="preserve"> une </w:t>
      </w:r>
      <w:r w:rsidR="00715535" w:rsidRPr="008E3493">
        <w:rPr>
          <w:rFonts w:ascii="Arial" w:hAnsi="Arial" w:cs="Arial"/>
          <w:lang w:val="fr-FR"/>
        </w:rPr>
        <w:t>gestion</w:t>
      </w:r>
      <w:r w:rsidRPr="008E3493">
        <w:rPr>
          <w:rFonts w:ascii="Arial" w:hAnsi="Arial" w:cs="Arial"/>
          <w:lang w:val="fr-FR"/>
        </w:rPr>
        <w:t xml:space="preserve"> </w:t>
      </w:r>
      <w:r w:rsidR="00715535" w:rsidRPr="008E3493">
        <w:rPr>
          <w:rFonts w:ascii="Arial" w:hAnsi="Arial" w:cs="Arial"/>
          <w:lang w:val="fr-FR"/>
        </w:rPr>
        <w:t>stricte</w:t>
      </w:r>
      <w:r w:rsidRPr="008E3493">
        <w:rPr>
          <w:rFonts w:ascii="Arial" w:hAnsi="Arial" w:cs="Arial"/>
          <w:lang w:val="fr-FR"/>
        </w:rPr>
        <w:t xml:space="preserve"> des </w:t>
      </w:r>
      <w:r w:rsidR="00715535">
        <w:rPr>
          <w:rFonts w:ascii="Arial" w:hAnsi="Arial" w:cs="Arial"/>
          <w:lang w:val="fr-FR"/>
        </w:rPr>
        <w:t>liquidités</w:t>
      </w:r>
      <w:r w:rsidRPr="008E3493">
        <w:rPr>
          <w:rFonts w:ascii="Arial" w:hAnsi="Arial" w:cs="Arial"/>
          <w:lang w:val="fr-FR"/>
        </w:rPr>
        <w:t xml:space="preserve"> </w:t>
      </w:r>
      <w:r w:rsidR="00715535">
        <w:rPr>
          <w:rFonts w:ascii="Arial" w:hAnsi="Arial" w:cs="Arial"/>
          <w:lang w:val="fr-FR"/>
        </w:rPr>
        <w:t xml:space="preserve">des </w:t>
      </w:r>
      <w:r w:rsidRPr="008E3493">
        <w:rPr>
          <w:rFonts w:ascii="Arial" w:hAnsi="Arial" w:cs="Arial"/>
          <w:lang w:val="fr-FR"/>
        </w:rPr>
        <w:t>contributions proven</w:t>
      </w:r>
      <w:r w:rsidR="00715535">
        <w:rPr>
          <w:rFonts w:ascii="Arial" w:hAnsi="Arial" w:cs="Arial"/>
          <w:lang w:val="fr-FR"/>
        </w:rPr>
        <w:t xml:space="preserve">ant </w:t>
      </w:r>
      <w:r w:rsidRPr="008E3493">
        <w:rPr>
          <w:rFonts w:ascii="Arial" w:hAnsi="Arial" w:cs="Arial"/>
          <w:lang w:val="fr-FR"/>
        </w:rPr>
        <w:t xml:space="preserve">des Parties; les fonds doivent </w:t>
      </w:r>
      <w:r w:rsidR="00715535" w:rsidRPr="008E3493">
        <w:rPr>
          <w:rFonts w:ascii="Arial" w:hAnsi="Arial" w:cs="Arial"/>
          <w:lang w:val="fr-FR"/>
        </w:rPr>
        <w:t>être</w:t>
      </w:r>
      <w:r w:rsidR="00E730BA">
        <w:rPr>
          <w:rFonts w:ascii="Arial" w:hAnsi="Arial" w:cs="Arial"/>
          <w:lang w:val="fr-FR"/>
        </w:rPr>
        <w:t xml:space="preserve"> engagés</w:t>
      </w:r>
      <w:r w:rsidRPr="008E3493">
        <w:rPr>
          <w:rFonts w:ascii="Arial" w:hAnsi="Arial" w:cs="Arial"/>
          <w:lang w:val="fr-FR"/>
        </w:rPr>
        <w:t xml:space="preserve"> lorsque les contributions sont vers</w:t>
      </w:r>
      <w:r w:rsidR="00715535">
        <w:rPr>
          <w:rFonts w:ascii="Arial" w:hAnsi="Arial" w:cs="Arial"/>
          <w:lang w:val="fr-FR"/>
        </w:rPr>
        <w:t>é</w:t>
      </w:r>
      <w:r w:rsidRPr="008E3493">
        <w:rPr>
          <w:rFonts w:ascii="Arial" w:hAnsi="Arial" w:cs="Arial"/>
          <w:lang w:val="fr-FR"/>
        </w:rPr>
        <w:t>es au Fonds d’</w:t>
      </w:r>
      <w:r w:rsidR="00715535" w:rsidRPr="008E3493">
        <w:rPr>
          <w:rFonts w:ascii="Arial" w:hAnsi="Arial" w:cs="Arial"/>
          <w:lang w:val="fr-FR"/>
        </w:rPr>
        <w:t>affectation</w:t>
      </w:r>
      <w:r w:rsidRPr="008E3493">
        <w:rPr>
          <w:rFonts w:ascii="Arial" w:hAnsi="Arial" w:cs="Arial"/>
          <w:lang w:val="fr-FR"/>
        </w:rPr>
        <w:t xml:space="preserve"> </w:t>
      </w:r>
      <w:r w:rsidR="00715535" w:rsidRPr="008E3493">
        <w:rPr>
          <w:rFonts w:ascii="Arial" w:hAnsi="Arial" w:cs="Arial"/>
          <w:lang w:val="fr-FR"/>
        </w:rPr>
        <w:t>spéciale</w:t>
      </w:r>
      <w:r w:rsidRPr="008E3493">
        <w:rPr>
          <w:rFonts w:ascii="Arial" w:hAnsi="Arial" w:cs="Arial"/>
          <w:lang w:val="fr-FR"/>
        </w:rPr>
        <w:t xml:space="preserve"> c</w:t>
      </w:r>
      <w:r w:rsidR="00715535">
        <w:rPr>
          <w:rFonts w:ascii="Arial" w:hAnsi="Arial" w:cs="Arial"/>
          <w:lang w:val="fr-FR"/>
        </w:rPr>
        <w:t>o</w:t>
      </w:r>
      <w:r w:rsidRPr="008E3493">
        <w:rPr>
          <w:rFonts w:ascii="Arial" w:hAnsi="Arial" w:cs="Arial"/>
          <w:lang w:val="fr-FR"/>
        </w:rPr>
        <w:t xml:space="preserve">mme </w:t>
      </w:r>
      <w:r w:rsidR="00715535">
        <w:rPr>
          <w:rFonts w:ascii="Arial" w:hAnsi="Arial" w:cs="Arial"/>
          <w:lang w:val="fr-FR"/>
        </w:rPr>
        <w:t>liquidités disponibles</w:t>
      </w:r>
      <w:r w:rsidRPr="008E3493">
        <w:rPr>
          <w:rFonts w:ascii="Arial" w:hAnsi="Arial" w:cs="Arial"/>
          <w:lang w:val="fr-FR"/>
        </w:rPr>
        <w:t>.</w:t>
      </w:r>
      <w:r>
        <w:rPr>
          <w:rFonts w:ascii="Arial" w:hAnsi="Arial" w:cs="Arial"/>
          <w:lang w:val="fr-FR"/>
        </w:rPr>
        <w:t xml:space="preserve"> Il </w:t>
      </w:r>
      <w:r w:rsidR="00715535">
        <w:rPr>
          <w:rFonts w:ascii="Arial" w:hAnsi="Arial" w:cs="Arial"/>
          <w:lang w:val="fr-FR"/>
        </w:rPr>
        <w:t>est</w:t>
      </w:r>
      <w:r>
        <w:rPr>
          <w:rFonts w:ascii="Arial" w:hAnsi="Arial" w:cs="Arial"/>
          <w:lang w:val="fr-FR"/>
        </w:rPr>
        <w:t xml:space="preserve"> donc </w:t>
      </w:r>
      <w:r w:rsidR="00715535">
        <w:rPr>
          <w:rFonts w:ascii="Arial" w:hAnsi="Arial" w:cs="Arial"/>
          <w:lang w:val="fr-FR"/>
        </w:rPr>
        <w:t xml:space="preserve">impératif que les </w:t>
      </w:r>
      <w:r>
        <w:rPr>
          <w:rFonts w:ascii="Arial" w:hAnsi="Arial" w:cs="Arial"/>
          <w:lang w:val="fr-FR"/>
        </w:rPr>
        <w:t xml:space="preserve">Parties </w:t>
      </w:r>
      <w:r w:rsidR="00715535">
        <w:rPr>
          <w:rFonts w:ascii="Arial" w:hAnsi="Arial" w:cs="Arial"/>
          <w:lang w:val="fr-FR"/>
        </w:rPr>
        <w:t>versent</w:t>
      </w:r>
      <w:r>
        <w:rPr>
          <w:rFonts w:ascii="Arial" w:hAnsi="Arial" w:cs="Arial"/>
          <w:lang w:val="fr-FR"/>
        </w:rPr>
        <w:t xml:space="preserve"> leurs </w:t>
      </w:r>
      <w:r w:rsidR="00715535">
        <w:rPr>
          <w:rFonts w:ascii="Arial" w:hAnsi="Arial" w:cs="Arial"/>
          <w:lang w:val="fr-FR"/>
        </w:rPr>
        <w:t>contributions</w:t>
      </w:r>
      <w:r>
        <w:rPr>
          <w:rFonts w:ascii="Arial" w:hAnsi="Arial" w:cs="Arial"/>
          <w:lang w:val="fr-FR"/>
        </w:rPr>
        <w:t xml:space="preserve"> dès que possible avant que </w:t>
      </w:r>
      <w:r w:rsidR="00064AFC">
        <w:rPr>
          <w:rFonts w:ascii="Arial" w:hAnsi="Arial" w:cs="Arial"/>
          <w:lang w:val="fr-FR"/>
        </w:rPr>
        <w:t>n</w:t>
      </w:r>
      <w:r>
        <w:rPr>
          <w:rFonts w:ascii="Arial" w:hAnsi="Arial" w:cs="Arial"/>
          <w:lang w:val="fr-FR"/>
        </w:rPr>
        <w:t xml:space="preserve">e commence l’exercice financier en question. Cela s’applique aux </w:t>
      </w:r>
      <w:r w:rsidR="00064AFC">
        <w:rPr>
          <w:rFonts w:ascii="Arial" w:hAnsi="Arial" w:cs="Arial"/>
          <w:lang w:val="fr-FR"/>
        </w:rPr>
        <w:t>engagements</w:t>
      </w:r>
      <w:r>
        <w:rPr>
          <w:rFonts w:ascii="Arial" w:hAnsi="Arial" w:cs="Arial"/>
          <w:lang w:val="fr-FR"/>
        </w:rPr>
        <w:t xml:space="preserve"> liés </w:t>
      </w:r>
      <w:r w:rsidR="00064AFC">
        <w:rPr>
          <w:rFonts w:ascii="Arial" w:hAnsi="Arial" w:cs="Arial"/>
          <w:lang w:val="fr-FR"/>
        </w:rPr>
        <w:t>à la fois aux contributions</w:t>
      </w:r>
      <w:r>
        <w:rPr>
          <w:rFonts w:ascii="Arial" w:hAnsi="Arial" w:cs="Arial"/>
          <w:lang w:val="fr-FR"/>
        </w:rPr>
        <w:t xml:space="preserve"> </w:t>
      </w:r>
      <w:r w:rsidR="00E730BA">
        <w:rPr>
          <w:rFonts w:ascii="Arial" w:hAnsi="Arial" w:cs="Arial"/>
          <w:lang w:val="fr-FR"/>
        </w:rPr>
        <w:t>ordinaires</w:t>
      </w:r>
      <w:r>
        <w:rPr>
          <w:rFonts w:ascii="Arial" w:hAnsi="Arial" w:cs="Arial"/>
          <w:lang w:val="fr-FR"/>
        </w:rPr>
        <w:t xml:space="preserve"> et aux </w:t>
      </w:r>
      <w:r w:rsidR="00064AFC">
        <w:rPr>
          <w:rFonts w:ascii="Arial" w:hAnsi="Arial" w:cs="Arial"/>
          <w:lang w:val="fr-FR"/>
        </w:rPr>
        <w:t>contributions</w:t>
      </w:r>
      <w:r>
        <w:rPr>
          <w:rFonts w:ascii="Arial" w:hAnsi="Arial" w:cs="Arial"/>
          <w:lang w:val="fr-FR"/>
        </w:rPr>
        <w:t xml:space="preserve"> </w:t>
      </w:r>
      <w:r w:rsidR="00064AFC">
        <w:rPr>
          <w:rFonts w:ascii="Arial" w:hAnsi="Arial" w:cs="Arial"/>
          <w:lang w:val="fr-FR"/>
        </w:rPr>
        <w:t>volontaires</w:t>
      </w:r>
      <w:r>
        <w:rPr>
          <w:rFonts w:ascii="Arial" w:hAnsi="Arial" w:cs="Arial"/>
          <w:lang w:val="fr-FR"/>
        </w:rPr>
        <w:t>.</w:t>
      </w:r>
      <w:r w:rsidR="0033299A" w:rsidRPr="008E3493">
        <w:rPr>
          <w:rFonts w:ascii="Arial" w:hAnsi="Arial" w:cs="Arial"/>
          <w:lang w:val="fr-FR"/>
        </w:rPr>
        <w:t xml:space="preserve"> </w:t>
      </w:r>
    </w:p>
    <w:p w:rsidR="0033299A" w:rsidRPr="0029396C" w:rsidRDefault="00B51DBD" w:rsidP="00AA2D9E">
      <w:pPr>
        <w:pStyle w:val="NoSpacing"/>
        <w:numPr>
          <w:ilvl w:val="0"/>
          <w:numId w:val="4"/>
        </w:numPr>
        <w:spacing w:before="120" w:after="120"/>
        <w:jc w:val="both"/>
        <w:rPr>
          <w:rFonts w:ascii="Arial" w:hAnsi="Arial" w:cs="Arial"/>
          <w:lang w:val="fr-FR"/>
        </w:rPr>
      </w:pPr>
      <w:r w:rsidRPr="00B51DBD">
        <w:rPr>
          <w:rFonts w:ascii="Arial" w:hAnsi="Arial" w:cs="Arial"/>
          <w:lang w:val="fr-FR"/>
        </w:rPr>
        <w:t>Exigences en matière de réserve de fonctionnement</w:t>
      </w:r>
      <w:r w:rsidR="0033299A" w:rsidRPr="00B51DBD">
        <w:rPr>
          <w:rFonts w:ascii="Arial" w:hAnsi="Arial" w:cs="Arial"/>
          <w:lang w:val="fr-FR"/>
        </w:rPr>
        <w:t xml:space="preserve">: </w:t>
      </w:r>
      <w:r w:rsidRPr="00B51DBD">
        <w:rPr>
          <w:rFonts w:ascii="Arial" w:hAnsi="Arial" w:cs="Arial"/>
          <w:lang w:val="fr-FR"/>
        </w:rPr>
        <w:t>compte tenu de la gestion str</w:t>
      </w:r>
      <w:r>
        <w:rPr>
          <w:rFonts w:ascii="Arial" w:hAnsi="Arial" w:cs="Arial"/>
          <w:lang w:val="fr-FR"/>
        </w:rPr>
        <w:t>i</w:t>
      </w:r>
      <w:r w:rsidRPr="00B51DBD">
        <w:rPr>
          <w:rFonts w:ascii="Arial" w:hAnsi="Arial" w:cs="Arial"/>
          <w:lang w:val="fr-FR"/>
        </w:rPr>
        <w:t>cte des l</w:t>
      </w:r>
      <w:r>
        <w:rPr>
          <w:rFonts w:ascii="Arial" w:hAnsi="Arial" w:cs="Arial"/>
          <w:lang w:val="fr-FR"/>
        </w:rPr>
        <w:t>iquidités</w:t>
      </w:r>
      <w:r w:rsidRPr="00B51DBD">
        <w:rPr>
          <w:rFonts w:ascii="Arial" w:hAnsi="Arial" w:cs="Arial"/>
          <w:lang w:val="fr-FR"/>
        </w:rPr>
        <w:t>, le Comité des com</w:t>
      </w:r>
      <w:r>
        <w:rPr>
          <w:rFonts w:ascii="Arial" w:hAnsi="Arial" w:cs="Arial"/>
          <w:lang w:val="fr-FR"/>
        </w:rPr>
        <w:t>m</w:t>
      </w:r>
      <w:r w:rsidRPr="00B51DBD">
        <w:rPr>
          <w:rFonts w:ascii="Arial" w:hAnsi="Arial" w:cs="Arial"/>
          <w:lang w:val="fr-FR"/>
        </w:rPr>
        <w:t>issaires aux com</w:t>
      </w:r>
      <w:r>
        <w:rPr>
          <w:rFonts w:ascii="Arial" w:hAnsi="Arial" w:cs="Arial"/>
          <w:lang w:val="fr-FR"/>
        </w:rPr>
        <w:t>p</w:t>
      </w:r>
      <w:r w:rsidRPr="00B51DBD">
        <w:rPr>
          <w:rFonts w:ascii="Arial" w:hAnsi="Arial" w:cs="Arial"/>
          <w:lang w:val="fr-FR"/>
        </w:rPr>
        <w:t>tes de l’ONU a recommandé que tous les AME, y compris le Secrétariat</w:t>
      </w:r>
      <w:r>
        <w:rPr>
          <w:rFonts w:ascii="Arial" w:hAnsi="Arial" w:cs="Arial"/>
          <w:lang w:val="fr-FR"/>
        </w:rPr>
        <w:t xml:space="preserve"> </w:t>
      </w:r>
      <w:r w:rsidRPr="00B51DBD">
        <w:rPr>
          <w:rFonts w:ascii="Arial" w:hAnsi="Arial" w:cs="Arial"/>
          <w:lang w:val="fr-FR"/>
        </w:rPr>
        <w:t>de la CMS,</w:t>
      </w:r>
      <w:r>
        <w:rPr>
          <w:rFonts w:ascii="Arial" w:hAnsi="Arial" w:cs="Arial"/>
          <w:lang w:val="fr-FR"/>
        </w:rPr>
        <w:t xml:space="preserve"> établissent une réserve opérationnelle </w:t>
      </w:r>
      <w:r w:rsidR="00E730BA">
        <w:rPr>
          <w:rFonts w:ascii="Arial" w:hAnsi="Arial" w:cs="Arial"/>
          <w:lang w:val="fr-FR"/>
        </w:rPr>
        <w:t xml:space="preserve">financée </w:t>
      </w:r>
      <w:r>
        <w:rPr>
          <w:rFonts w:ascii="Arial" w:hAnsi="Arial" w:cs="Arial"/>
          <w:lang w:val="fr-FR"/>
        </w:rPr>
        <w:t xml:space="preserve">de 15 pour cent pour </w:t>
      </w:r>
      <w:r w:rsidR="00E730BA">
        <w:rPr>
          <w:rFonts w:ascii="Arial" w:hAnsi="Arial" w:cs="Arial"/>
          <w:lang w:val="fr-FR"/>
        </w:rPr>
        <w:t>amortir</w:t>
      </w:r>
      <w:r w:rsidR="0029396C">
        <w:rPr>
          <w:rFonts w:ascii="Arial" w:hAnsi="Arial" w:cs="Arial"/>
          <w:lang w:val="fr-FR"/>
        </w:rPr>
        <w:t xml:space="preserve"> les flux de trésorerie entrants irréguliers ainsi que les fluctuations des budgets des programmes non prévues, dans les limites fixées par les organes directeurs. </w:t>
      </w:r>
      <w:r w:rsidR="0029396C" w:rsidRPr="0029396C">
        <w:rPr>
          <w:rFonts w:ascii="Arial" w:hAnsi="Arial" w:cs="Arial"/>
          <w:lang w:val="fr-FR"/>
        </w:rPr>
        <w:t>S’agi</w:t>
      </w:r>
      <w:r w:rsidR="0029396C">
        <w:rPr>
          <w:rFonts w:ascii="Arial" w:hAnsi="Arial" w:cs="Arial"/>
          <w:lang w:val="fr-FR"/>
        </w:rPr>
        <w:t>s</w:t>
      </w:r>
      <w:r w:rsidR="0029396C" w:rsidRPr="0029396C">
        <w:rPr>
          <w:rFonts w:ascii="Arial" w:hAnsi="Arial" w:cs="Arial"/>
          <w:lang w:val="fr-FR"/>
        </w:rPr>
        <w:t xml:space="preserve">sant de la Résolution 11.1 de </w:t>
      </w:r>
      <w:r w:rsidR="0029396C">
        <w:rPr>
          <w:rFonts w:ascii="Arial" w:hAnsi="Arial" w:cs="Arial"/>
          <w:lang w:val="fr-FR"/>
        </w:rPr>
        <w:t>l</w:t>
      </w:r>
      <w:r w:rsidR="0029396C" w:rsidRPr="0029396C">
        <w:rPr>
          <w:rFonts w:ascii="Arial" w:hAnsi="Arial" w:cs="Arial"/>
          <w:lang w:val="fr-FR"/>
        </w:rPr>
        <w:t>a CMS Questions financières et a</w:t>
      </w:r>
      <w:r w:rsidR="0029396C">
        <w:rPr>
          <w:rFonts w:ascii="Arial" w:hAnsi="Arial" w:cs="Arial"/>
          <w:lang w:val="fr-FR"/>
        </w:rPr>
        <w:t>d</w:t>
      </w:r>
      <w:r w:rsidR="0029396C" w:rsidRPr="0029396C">
        <w:rPr>
          <w:rFonts w:ascii="Arial" w:hAnsi="Arial" w:cs="Arial"/>
          <w:lang w:val="fr-FR"/>
        </w:rPr>
        <w:t xml:space="preserve">ministratives, la réserve  </w:t>
      </w:r>
      <w:r w:rsidR="00357375">
        <w:rPr>
          <w:rFonts w:ascii="Arial" w:hAnsi="Arial" w:cs="Arial"/>
          <w:lang w:val="fr-FR"/>
        </w:rPr>
        <w:t>opérationnelle</w:t>
      </w:r>
      <w:r w:rsidR="0029396C">
        <w:rPr>
          <w:rFonts w:ascii="Arial" w:hAnsi="Arial" w:cs="Arial"/>
          <w:lang w:val="fr-FR"/>
        </w:rPr>
        <w:t xml:space="preserve"> du</w:t>
      </w:r>
      <w:r w:rsidR="0029396C" w:rsidRPr="0029396C">
        <w:rPr>
          <w:rFonts w:ascii="Arial" w:hAnsi="Arial" w:cs="Arial"/>
          <w:lang w:val="fr-FR"/>
        </w:rPr>
        <w:t xml:space="preserve"> Fonds d’affectation </w:t>
      </w:r>
      <w:r w:rsidR="0029396C">
        <w:rPr>
          <w:rFonts w:ascii="Arial" w:hAnsi="Arial" w:cs="Arial"/>
          <w:lang w:val="fr-FR"/>
        </w:rPr>
        <w:t>spécial</w:t>
      </w:r>
      <w:r w:rsidR="00357375">
        <w:rPr>
          <w:rFonts w:ascii="Arial" w:hAnsi="Arial" w:cs="Arial"/>
          <w:lang w:val="fr-FR"/>
        </w:rPr>
        <w:t>e</w:t>
      </w:r>
      <w:r w:rsidR="0029396C" w:rsidRPr="0029396C">
        <w:rPr>
          <w:rFonts w:ascii="Arial" w:hAnsi="Arial" w:cs="Arial"/>
          <w:lang w:val="fr-FR"/>
        </w:rPr>
        <w:t xml:space="preserve"> devrait être maintenue à un niveau constant d’au moins 15 pour </w:t>
      </w:r>
      <w:r w:rsidR="0029396C" w:rsidRPr="0029396C">
        <w:rPr>
          <w:rFonts w:ascii="Arial" w:hAnsi="Arial" w:cs="Arial"/>
          <w:lang w:val="fr-FR"/>
        </w:rPr>
        <w:lastRenderedPageBreak/>
        <w:t>cent des dépenses annuelles estimées ou 500.000 US$</w:t>
      </w:r>
      <w:r w:rsidR="0033299A" w:rsidRPr="0029396C">
        <w:rPr>
          <w:rFonts w:ascii="Arial" w:hAnsi="Arial" w:cs="Arial"/>
          <w:lang w:val="fr-FR"/>
        </w:rPr>
        <w:t xml:space="preserve">, </w:t>
      </w:r>
      <w:r w:rsidR="00357375">
        <w:rPr>
          <w:rFonts w:ascii="Arial" w:hAnsi="Arial" w:cs="Arial"/>
          <w:lang w:val="fr-FR"/>
        </w:rPr>
        <w:t>le plus élevé de ces deux montants étant retenu</w:t>
      </w:r>
      <w:r w:rsidR="0029396C" w:rsidRPr="0029396C">
        <w:rPr>
          <w:rFonts w:ascii="Arial" w:hAnsi="Arial" w:cs="Arial"/>
          <w:lang w:val="fr-FR"/>
        </w:rPr>
        <w:t>.</w:t>
      </w:r>
      <w:r w:rsidR="0029396C">
        <w:rPr>
          <w:rFonts w:ascii="Arial" w:hAnsi="Arial" w:cs="Arial"/>
          <w:lang w:val="fr-FR"/>
        </w:rPr>
        <w:t xml:space="preserve"> </w:t>
      </w:r>
      <w:r w:rsidR="0029396C" w:rsidRPr="0029396C">
        <w:rPr>
          <w:rFonts w:ascii="Arial" w:hAnsi="Arial" w:cs="Arial"/>
          <w:lang w:val="fr-FR"/>
        </w:rPr>
        <w:t xml:space="preserve">Bien que </w:t>
      </w:r>
      <w:r w:rsidR="00357375">
        <w:rPr>
          <w:rFonts w:ascii="Arial" w:hAnsi="Arial" w:cs="Arial"/>
          <w:lang w:val="fr-FR"/>
        </w:rPr>
        <w:t xml:space="preserve">cette réserve affiche actuellement </w:t>
      </w:r>
      <w:r w:rsidR="0033299A" w:rsidRPr="0029396C">
        <w:rPr>
          <w:rFonts w:ascii="Arial" w:hAnsi="Arial" w:cs="Arial"/>
          <w:lang w:val="fr-FR"/>
        </w:rPr>
        <w:t>500</w:t>
      </w:r>
      <w:r w:rsidR="00D1452D">
        <w:rPr>
          <w:rFonts w:ascii="Arial" w:hAnsi="Arial" w:cs="Arial"/>
          <w:lang w:val="fr-FR"/>
        </w:rPr>
        <w:t>.</w:t>
      </w:r>
      <w:r w:rsidR="0033299A" w:rsidRPr="0029396C">
        <w:rPr>
          <w:rFonts w:ascii="Arial" w:hAnsi="Arial" w:cs="Arial"/>
          <w:lang w:val="fr-FR"/>
        </w:rPr>
        <w:t xml:space="preserve">000 </w:t>
      </w:r>
      <w:r w:rsidR="00D1452D">
        <w:rPr>
          <w:rFonts w:ascii="Arial" w:hAnsi="Arial" w:cs="Arial"/>
          <w:lang w:val="fr-FR"/>
        </w:rPr>
        <w:t xml:space="preserve">US$ pour le Fonds d’affectation </w:t>
      </w:r>
      <w:r w:rsidR="00FF7A2B">
        <w:rPr>
          <w:rFonts w:ascii="Arial" w:hAnsi="Arial" w:cs="Arial"/>
          <w:lang w:val="fr-FR"/>
        </w:rPr>
        <w:t xml:space="preserve">spéciale </w:t>
      </w:r>
      <w:r w:rsidR="00357375">
        <w:rPr>
          <w:rFonts w:ascii="Arial" w:hAnsi="Arial" w:cs="Arial"/>
          <w:lang w:val="fr-FR"/>
        </w:rPr>
        <w:t xml:space="preserve">de la </w:t>
      </w:r>
      <w:r w:rsidR="00D1452D">
        <w:rPr>
          <w:rFonts w:ascii="Arial" w:hAnsi="Arial" w:cs="Arial"/>
          <w:lang w:val="fr-FR"/>
        </w:rPr>
        <w:t>CMS</w:t>
      </w:r>
      <w:r w:rsidR="00357375">
        <w:rPr>
          <w:rFonts w:ascii="Arial" w:hAnsi="Arial" w:cs="Arial"/>
          <w:lang w:val="fr-FR"/>
        </w:rPr>
        <w:t>,</w:t>
      </w:r>
      <w:r w:rsidR="0033299A" w:rsidRPr="0029396C">
        <w:rPr>
          <w:rFonts w:ascii="Arial" w:hAnsi="Arial" w:cs="Arial"/>
          <w:lang w:val="fr-FR"/>
        </w:rPr>
        <w:t xml:space="preserve"> </w:t>
      </w:r>
      <w:r w:rsidR="0029396C">
        <w:rPr>
          <w:rFonts w:ascii="Arial" w:hAnsi="Arial" w:cs="Arial"/>
          <w:lang w:val="fr-FR"/>
        </w:rPr>
        <w:t>p</w:t>
      </w:r>
      <w:r w:rsidR="00D1452D">
        <w:rPr>
          <w:rFonts w:ascii="Arial" w:hAnsi="Arial" w:cs="Arial"/>
          <w:lang w:val="fr-FR"/>
        </w:rPr>
        <w:t>o</w:t>
      </w:r>
      <w:r w:rsidR="0029396C">
        <w:rPr>
          <w:rFonts w:ascii="Arial" w:hAnsi="Arial" w:cs="Arial"/>
          <w:lang w:val="fr-FR"/>
        </w:rPr>
        <w:t xml:space="preserve">ur </w:t>
      </w:r>
      <w:r w:rsidR="00357375">
        <w:rPr>
          <w:rFonts w:ascii="Arial" w:hAnsi="Arial" w:cs="Arial"/>
          <w:lang w:val="fr-FR"/>
        </w:rPr>
        <w:t>qu’elle reste</w:t>
      </w:r>
      <w:r w:rsidR="0029396C">
        <w:rPr>
          <w:rFonts w:ascii="Arial" w:hAnsi="Arial" w:cs="Arial"/>
          <w:lang w:val="fr-FR"/>
        </w:rPr>
        <w:t xml:space="preserve"> opérat</w:t>
      </w:r>
      <w:r w:rsidR="00D1452D">
        <w:rPr>
          <w:rFonts w:ascii="Arial" w:hAnsi="Arial" w:cs="Arial"/>
          <w:lang w:val="fr-FR"/>
        </w:rPr>
        <w:t>ionnel</w:t>
      </w:r>
      <w:r w:rsidR="00357375">
        <w:rPr>
          <w:rFonts w:ascii="Arial" w:hAnsi="Arial" w:cs="Arial"/>
          <w:lang w:val="fr-FR"/>
        </w:rPr>
        <w:t>le</w:t>
      </w:r>
      <w:r w:rsidR="0029396C">
        <w:rPr>
          <w:rFonts w:ascii="Arial" w:hAnsi="Arial" w:cs="Arial"/>
          <w:lang w:val="fr-FR"/>
        </w:rPr>
        <w:t xml:space="preserve"> durant l</w:t>
      </w:r>
      <w:r w:rsidR="00D1452D">
        <w:rPr>
          <w:rFonts w:ascii="Arial" w:hAnsi="Arial" w:cs="Arial"/>
          <w:lang w:val="fr-FR"/>
        </w:rPr>
        <w:t xml:space="preserve">’exercice </w:t>
      </w:r>
      <w:r w:rsidR="0029396C">
        <w:rPr>
          <w:rFonts w:ascii="Arial" w:hAnsi="Arial" w:cs="Arial"/>
          <w:lang w:val="fr-FR"/>
        </w:rPr>
        <w:t>budg</w:t>
      </w:r>
      <w:r w:rsidR="00D1452D">
        <w:rPr>
          <w:rFonts w:ascii="Arial" w:hAnsi="Arial" w:cs="Arial"/>
          <w:lang w:val="fr-FR"/>
        </w:rPr>
        <w:t>étaire</w:t>
      </w:r>
      <w:r w:rsidR="0029396C">
        <w:rPr>
          <w:rFonts w:ascii="Arial" w:hAnsi="Arial" w:cs="Arial"/>
          <w:lang w:val="fr-FR"/>
        </w:rPr>
        <w:t xml:space="preserve"> 2018-2020, le </w:t>
      </w:r>
      <w:r w:rsidR="0033299A" w:rsidRPr="0029396C">
        <w:rPr>
          <w:rFonts w:ascii="Arial" w:hAnsi="Arial" w:cs="Arial"/>
          <w:lang w:val="fr-FR"/>
        </w:rPr>
        <w:t>Secr</w:t>
      </w:r>
      <w:r w:rsidR="0029396C">
        <w:rPr>
          <w:rFonts w:ascii="Arial" w:hAnsi="Arial" w:cs="Arial"/>
          <w:lang w:val="fr-FR"/>
        </w:rPr>
        <w:t>é</w:t>
      </w:r>
      <w:r w:rsidR="0033299A" w:rsidRPr="0029396C">
        <w:rPr>
          <w:rFonts w:ascii="Arial" w:hAnsi="Arial" w:cs="Arial"/>
          <w:lang w:val="fr-FR"/>
        </w:rPr>
        <w:t xml:space="preserve">tariat </w:t>
      </w:r>
      <w:r w:rsidR="0029396C" w:rsidRPr="0029396C">
        <w:rPr>
          <w:rFonts w:ascii="Arial" w:hAnsi="Arial" w:cs="Arial"/>
          <w:lang w:val="fr-FR"/>
        </w:rPr>
        <w:t xml:space="preserve">a </w:t>
      </w:r>
      <w:r w:rsidR="00D1452D" w:rsidRPr="0029396C">
        <w:rPr>
          <w:rFonts w:ascii="Arial" w:hAnsi="Arial" w:cs="Arial"/>
          <w:lang w:val="fr-FR"/>
        </w:rPr>
        <w:t>propos</w:t>
      </w:r>
      <w:r w:rsidR="00D1452D">
        <w:rPr>
          <w:rFonts w:ascii="Arial" w:hAnsi="Arial" w:cs="Arial"/>
          <w:lang w:val="fr-FR"/>
        </w:rPr>
        <w:t xml:space="preserve">é </w:t>
      </w:r>
      <w:r w:rsidR="0029396C" w:rsidRPr="0029396C">
        <w:rPr>
          <w:rFonts w:ascii="Arial" w:hAnsi="Arial" w:cs="Arial"/>
          <w:lang w:val="fr-FR"/>
        </w:rPr>
        <w:t xml:space="preserve">de ne </w:t>
      </w:r>
      <w:r w:rsidR="00FF7A2B">
        <w:rPr>
          <w:rFonts w:ascii="Arial" w:hAnsi="Arial" w:cs="Arial"/>
          <w:lang w:val="fr-FR"/>
        </w:rPr>
        <w:t>prélever</w:t>
      </w:r>
      <w:r w:rsidR="0029396C" w:rsidRPr="0029396C">
        <w:rPr>
          <w:rFonts w:ascii="Arial" w:hAnsi="Arial" w:cs="Arial"/>
          <w:lang w:val="fr-FR"/>
        </w:rPr>
        <w:t xml:space="preserve"> aucun</w:t>
      </w:r>
      <w:r w:rsidR="0029396C">
        <w:rPr>
          <w:rFonts w:ascii="Arial" w:hAnsi="Arial" w:cs="Arial"/>
          <w:lang w:val="fr-FR"/>
        </w:rPr>
        <w:t xml:space="preserve">e somme </w:t>
      </w:r>
      <w:r w:rsidR="00FF7A2B">
        <w:rPr>
          <w:rFonts w:ascii="Arial" w:hAnsi="Arial" w:cs="Arial"/>
          <w:lang w:val="fr-FR"/>
        </w:rPr>
        <w:t>sur</w:t>
      </w:r>
      <w:r w:rsidR="0029396C" w:rsidRPr="0029396C">
        <w:rPr>
          <w:rFonts w:ascii="Arial" w:hAnsi="Arial" w:cs="Arial"/>
          <w:lang w:val="fr-FR"/>
        </w:rPr>
        <w:t xml:space="preserve"> la r</w:t>
      </w:r>
      <w:r w:rsidR="0029396C">
        <w:rPr>
          <w:rFonts w:ascii="Arial" w:hAnsi="Arial" w:cs="Arial"/>
          <w:lang w:val="fr-FR"/>
        </w:rPr>
        <w:t>é</w:t>
      </w:r>
      <w:r w:rsidR="0029396C" w:rsidRPr="0029396C">
        <w:rPr>
          <w:rFonts w:ascii="Arial" w:hAnsi="Arial" w:cs="Arial"/>
          <w:lang w:val="fr-FR"/>
        </w:rPr>
        <w:t xml:space="preserve">serve du Fonds d’affectation </w:t>
      </w:r>
      <w:r w:rsidR="0029396C">
        <w:rPr>
          <w:rFonts w:ascii="Arial" w:hAnsi="Arial" w:cs="Arial"/>
          <w:lang w:val="fr-FR"/>
        </w:rPr>
        <w:t>spécial</w:t>
      </w:r>
      <w:r w:rsidR="00357375">
        <w:rPr>
          <w:rFonts w:ascii="Arial" w:hAnsi="Arial" w:cs="Arial"/>
          <w:lang w:val="fr-FR"/>
        </w:rPr>
        <w:t>e</w:t>
      </w:r>
      <w:r w:rsidR="0029396C" w:rsidRPr="0029396C">
        <w:rPr>
          <w:rFonts w:ascii="Arial" w:hAnsi="Arial" w:cs="Arial"/>
          <w:lang w:val="fr-FR"/>
        </w:rPr>
        <w:t xml:space="preserve"> dan</w:t>
      </w:r>
      <w:r w:rsidR="0029396C">
        <w:rPr>
          <w:rFonts w:ascii="Arial" w:hAnsi="Arial" w:cs="Arial"/>
          <w:lang w:val="fr-FR"/>
        </w:rPr>
        <w:t>s</w:t>
      </w:r>
      <w:r w:rsidR="0029396C" w:rsidRPr="0029396C">
        <w:rPr>
          <w:rFonts w:ascii="Arial" w:hAnsi="Arial" w:cs="Arial"/>
          <w:lang w:val="fr-FR"/>
        </w:rPr>
        <w:t xml:space="preserve"> les </w:t>
      </w:r>
      <w:r w:rsidR="0029396C">
        <w:rPr>
          <w:rFonts w:ascii="Arial" w:hAnsi="Arial" w:cs="Arial"/>
          <w:lang w:val="fr-FR"/>
        </w:rPr>
        <w:t>t</w:t>
      </w:r>
      <w:r w:rsidR="0029396C" w:rsidRPr="0029396C">
        <w:rPr>
          <w:rFonts w:ascii="Arial" w:hAnsi="Arial" w:cs="Arial"/>
          <w:lang w:val="fr-FR"/>
        </w:rPr>
        <w:t>rois sc</w:t>
      </w:r>
      <w:r w:rsidR="0029396C">
        <w:rPr>
          <w:rFonts w:ascii="Arial" w:hAnsi="Arial" w:cs="Arial"/>
          <w:lang w:val="fr-FR"/>
        </w:rPr>
        <w:t>é</w:t>
      </w:r>
      <w:r w:rsidR="0029396C" w:rsidRPr="0029396C">
        <w:rPr>
          <w:rFonts w:ascii="Arial" w:hAnsi="Arial" w:cs="Arial"/>
          <w:lang w:val="fr-FR"/>
        </w:rPr>
        <w:t>narios.</w:t>
      </w:r>
    </w:p>
    <w:p w:rsidR="0033299A" w:rsidRPr="00D3599E" w:rsidRDefault="0033299A" w:rsidP="002973EB">
      <w:pPr>
        <w:rPr>
          <w:rFonts w:cs="Arial"/>
          <w:szCs w:val="18"/>
          <w:lang w:val="fr-FR"/>
        </w:rPr>
      </w:pPr>
    </w:p>
    <w:p w:rsidR="0033299A" w:rsidRPr="008F58F6" w:rsidRDefault="008E3493" w:rsidP="002973EB">
      <w:pPr>
        <w:pStyle w:val="NoSpacing"/>
        <w:jc w:val="both"/>
        <w:rPr>
          <w:rFonts w:ascii="Arial" w:hAnsi="Arial" w:cs="Arial"/>
          <w:b/>
          <w:i/>
        </w:rPr>
      </w:pPr>
      <w:r>
        <w:rPr>
          <w:rFonts w:ascii="Arial" w:hAnsi="Arial" w:cs="Arial"/>
          <w:b/>
          <w:i/>
        </w:rPr>
        <w:t>Coûts salariaux standard</w:t>
      </w:r>
      <w:r w:rsidR="0033299A" w:rsidRPr="008F58F6">
        <w:rPr>
          <w:rFonts w:ascii="Arial" w:hAnsi="Arial" w:cs="Arial"/>
          <w:b/>
          <w:i/>
        </w:rPr>
        <w:t xml:space="preserve"> </w:t>
      </w:r>
    </w:p>
    <w:p w:rsidR="0033299A" w:rsidRPr="00D3599E" w:rsidRDefault="0033299A" w:rsidP="002973EB">
      <w:pPr>
        <w:rPr>
          <w:rFonts w:cs="Arial"/>
          <w:szCs w:val="18"/>
        </w:rPr>
      </w:pPr>
    </w:p>
    <w:p w:rsidR="0033299A" w:rsidRPr="00523632" w:rsidRDefault="00D1452D" w:rsidP="002973EB">
      <w:pPr>
        <w:numPr>
          <w:ilvl w:val="0"/>
          <w:numId w:val="2"/>
        </w:numPr>
        <w:tabs>
          <w:tab w:val="left" w:pos="270"/>
        </w:tabs>
        <w:contextualSpacing/>
        <w:jc w:val="both"/>
        <w:rPr>
          <w:rFonts w:cs="Arial"/>
          <w:sz w:val="22"/>
          <w:szCs w:val="22"/>
          <w:lang w:val="fr-FR"/>
        </w:rPr>
      </w:pPr>
      <w:r w:rsidRPr="00F732A6">
        <w:rPr>
          <w:rFonts w:cs="Arial"/>
          <w:sz w:val="22"/>
          <w:szCs w:val="22"/>
          <w:lang w:val="fr-FR"/>
        </w:rPr>
        <w:t>Le rapport sur l’exécution du budget</w:t>
      </w:r>
      <w:r w:rsidR="0033299A" w:rsidRPr="00F732A6">
        <w:rPr>
          <w:rFonts w:cs="Arial"/>
          <w:sz w:val="22"/>
          <w:szCs w:val="22"/>
          <w:lang w:val="fr-FR"/>
        </w:rPr>
        <w:t xml:space="preserve"> 2015-2017 </w:t>
      </w:r>
      <w:r w:rsidR="00100D0F" w:rsidRPr="00F732A6">
        <w:rPr>
          <w:rFonts w:cs="Arial"/>
          <w:sz w:val="22"/>
          <w:szCs w:val="22"/>
          <w:lang w:val="fr-FR"/>
        </w:rPr>
        <w:t xml:space="preserve">a montré </w:t>
      </w:r>
      <w:r w:rsidR="00523632">
        <w:rPr>
          <w:rFonts w:cs="Arial"/>
          <w:sz w:val="22"/>
          <w:szCs w:val="22"/>
          <w:lang w:val="fr-FR"/>
        </w:rPr>
        <w:t xml:space="preserve">des dépassements de crédits </w:t>
      </w:r>
      <w:r w:rsidR="00EB51F9" w:rsidRPr="00F732A6">
        <w:rPr>
          <w:rFonts w:cs="Arial"/>
          <w:sz w:val="22"/>
          <w:szCs w:val="22"/>
          <w:lang w:val="fr-FR"/>
        </w:rPr>
        <w:t xml:space="preserve">pour certains postes professionnels dus à </w:t>
      </w:r>
      <w:r w:rsidR="00F732A6" w:rsidRPr="00F732A6">
        <w:rPr>
          <w:rFonts w:cs="Arial"/>
          <w:sz w:val="22"/>
          <w:szCs w:val="22"/>
          <w:lang w:val="fr-FR"/>
        </w:rPr>
        <w:t xml:space="preserve">des </w:t>
      </w:r>
      <w:r w:rsidR="00357375">
        <w:rPr>
          <w:rFonts w:cs="Arial"/>
          <w:sz w:val="22"/>
          <w:szCs w:val="22"/>
          <w:lang w:val="fr-FR"/>
        </w:rPr>
        <w:t xml:space="preserve">indemnités sous-estimées </w:t>
      </w:r>
      <w:r w:rsidR="00F732A6" w:rsidRPr="00F732A6">
        <w:rPr>
          <w:rFonts w:cs="Arial"/>
          <w:sz w:val="22"/>
          <w:szCs w:val="22"/>
          <w:lang w:val="fr-FR"/>
        </w:rPr>
        <w:t>appliqué</w:t>
      </w:r>
      <w:r w:rsidR="00357375">
        <w:rPr>
          <w:rFonts w:cs="Arial"/>
          <w:sz w:val="22"/>
          <w:szCs w:val="22"/>
          <w:lang w:val="fr-FR"/>
        </w:rPr>
        <w:t>e</w:t>
      </w:r>
      <w:r w:rsidR="00F732A6" w:rsidRPr="00F732A6">
        <w:rPr>
          <w:rFonts w:cs="Arial"/>
          <w:sz w:val="22"/>
          <w:szCs w:val="22"/>
          <w:lang w:val="fr-FR"/>
        </w:rPr>
        <w:t xml:space="preserve">s à des </w:t>
      </w:r>
      <w:r w:rsidR="00523632" w:rsidRPr="00F732A6">
        <w:rPr>
          <w:rFonts w:cs="Arial"/>
          <w:sz w:val="22"/>
          <w:szCs w:val="22"/>
          <w:lang w:val="fr-FR"/>
        </w:rPr>
        <w:t>membres</w:t>
      </w:r>
      <w:r w:rsidR="00F732A6" w:rsidRPr="00F732A6">
        <w:rPr>
          <w:rFonts w:cs="Arial"/>
          <w:sz w:val="22"/>
          <w:szCs w:val="22"/>
          <w:lang w:val="fr-FR"/>
        </w:rPr>
        <w:t xml:space="preserve"> du personnel </w:t>
      </w:r>
      <w:r w:rsidR="00523632" w:rsidRPr="00F732A6">
        <w:rPr>
          <w:rFonts w:cs="Arial"/>
          <w:sz w:val="22"/>
          <w:szCs w:val="22"/>
          <w:lang w:val="fr-FR"/>
        </w:rPr>
        <w:t>recrutés</w:t>
      </w:r>
      <w:r w:rsidR="00F732A6" w:rsidRPr="00F732A6">
        <w:rPr>
          <w:rFonts w:cs="Arial"/>
          <w:sz w:val="22"/>
          <w:szCs w:val="22"/>
          <w:lang w:val="fr-FR"/>
        </w:rPr>
        <w:t xml:space="preserve"> au niveau inte</w:t>
      </w:r>
      <w:r w:rsidR="00523632">
        <w:rPr>
          <w:rFonts w:cs="Arial"/>
          <w:sz w:val="22"/>
          <w:szCs w:val="22"/>
          <w:lang w:val="fr-FR"/>
        </w:rPr>
        <w:t>rnational</w:t>
      </w:r>
      <w:r w:rsidR="00F732A6" w:rsidRPr="00F732A6">
        <w:rPr>
          <w:rFonts w:cs="Arial"/>
          <w:sz w:val="22"/>
          <w:szCs w:val="22"/>
          <w:lang w:val="fr-FR"/>
        </w:rPr>
        <w:t>.</w:t>
      </w:r>
      <w:r w:rsidR="0033299A" w:rsidRPr="00F732A6">
        <w:rPr>
          <w:rFonts w:cs="Arial"/>
          <w:sz w:val="22"/>
          <w:szCs w:val="22"/>
          <w:lang w:val="fr-FR"/>
        </w:rPr>
        <w:t xml:space="preserve"> </w:t>
      </w:r>
      <w:r w:rsidR="00523632">
        <w:rPr>
          <w:rFonts w:cs="Arial"/>
          <w:sz w:val="22"/>
          <w:szCs w:val="22"/>
          <w:lang w:val="fr-FR"/>
        </w:rPr>
        <w:t>Jusqu’ici, les économies réalisées avec d’autres postes ainsi qu’avec quelques postes vacants ont compensé les dépassements de crédits</w:t>
      </w:r>
      <w:r w:rsidR="0033299A" w:rsidRPr="00523632">
        <w:rPr>
          <w:rFonts w:cs="Arial"/>
          <w:sz w:val="22"/>
          <w:szCs w:val="22"/>
          <w:lang w:val="fr-FR"/>
        </w:rPr>
        <w:t xml:space="preserve">. </w:t>
      </w:r>
      <w:r w:rsidR="00523632" w:rsidRPr="00523632">
        <w:rPr>
          <w:rFonts w:cs="Arial"/>
          <w:sz w:val="22"/>
          <w:szCs w:val="22"/>
          <w:lang w:val="fr-FR"/>
        </w:rPr>
        <w:t>Toutefois, le</w:t>
      </w:r>
      <w:r w:rsidR="0033299A" w:rsidRPr="00523632">
        <w:rPr>
          <w:rFonts w:cs="Arial"/>
          <w:sz w:val="22"/>
          <w:szCs w:val="22"/>
          <w:lang w:val="fr-FR"/>
        </w:rPr>
        <w:t xml:space="preserve"> Secr</w:t>
      </w:r>
      <w:r w:rsidR="00523632" w:rsidRPr="00523632">
        <w:rPr>
          <w:rFonts w:cs="Arial"/>
          <w:sz w:val="22"/>
          <w:szCs w:val="22"/>
          <w:lang w:val="fr-FR"/>
        </w:rPr>
        <w:t>é</w:t>
      </w:r>
      <w:r w:rsidR="0033299A" w:rsidRPr="00523632">
        <w:rPr>
          <w:rFonts w:cs="Arial"/>
          <w:sz w:val="22"/>
          <w:szCs w:val="22"/>
          <w:lang w:val="fr-FR"/>
        </w:rPr>
        <w:t xml:space="preserve">tariat </w:t>
      </w:r>
      <w:r w:rsidR="00523632" w:rsidRPr="00523632">
        <w:rPr>
          <w:rFonts w:cs="Arial"/>
          <w:sz w:val="22"/>
          <w:szCs w:val="22"/>
          <w:lang w:val="fr-FR"/>
        </w:rPr>
        <w:t>n’</w:t>
      </w:r>
      <w:r w:rsidR="00523632">
        <w:rPr>
          <w:rFonts w:cs="Arial"/>
          <w:sz w:val="22"/>
          <w:szCs w:val="22"/>
          <w:lang w:val="fr-FR"/>
        </w:rPr>
        <w:t xml:space="preserve">est </w:t>
      </w:r>
      <w:r w:rsidR="00523632" w:rsidRPr="00523632">
        <w:rPr>
          <w:rFonts w:cs="Arial"/>
          <w:sz w:val="22"/>
          <w:szCs w:val="22"/>
          <w:lang w:val="fr-FR"/>
        </w:rPr>
        <w:t>p</w:t>
      </w:r>
      <w:r w:rsidR="00523632">
        <w:rPr>
          <w:rFonts w:cs="Arial"/>
          <w:sz w:val="22"/>
          <w:szCs w:val="22"/>
          <w:lang w:val="fr-FR"/>
        </w:rPr>
        <w:t>a</w:t>
      </w:r>
      <w:r w:rsidR="00523632" w:rsidRPr="00523632">
        <w:rPr>
          <w:rFonts w:cs="Arial"/>
          <w:sz w:val="22"/>
          <w:szCs w:val="22"/>
          <w:lang w:val="fr-FR"/>
        </w:rPr>
        <w:t>s en me</w:t>
      </w:r>
      <w:r w:rsidR="00523632">
        <w:rPr>
          <w:rFonts w:cs="Arial"/>
          <w:sz w:val="22"/>
          <w:szCs w:val="22"/>
          <w:lang w:val="fr-FR"/>
        </w:rPr>
        <w:t>s</w:t>
      </w:r>
      <w:r w:rsidR="00523632" w:rsidRPr="00523632">
        <w:rPr>
          <w:rFonts w:cs="Arial"/>
          <w:sz w:val="22"/>
          <w:szCs w:val="22"/>
          <w:lang w:val="fr-FR"/>
        </w:rPr>
        <w:t xml:space="preserve">ure de continuer à utiliser le budget 2015-2017 </w:t>
      </w:r>
      <w:r w:rsidR="00523632">
        <w:rPr>
          <w:rFonts w:cs="Arial"/>
          <w:sz w:val="22"/>
          <w:szCs w:val="22"/>
          <w:lang w:val="fr-FR"/>
        </w:rPr>
        <w:t>p</w:t>
      </w:r>
      <w:r w:rsidR="00523632" w:rsidRPr="00523632">
        <w:rPr>
          <w:rFonts w:cs="Arial"/>
          <w:sz w:val="22"/>
          <w:szCs w:val="22"/>
          <w:lang w:val="fr-FR"/>
        </w:rPr>
        <w:t xml:space="preserve">our les </w:t>
      </w:r>
      <w:r w:rsidR="00357375">
        <w:rPr>
          <w:rFonts w:cs="Arial"/>
          <w:sz w:val="22"/>
          <w:szCs w:val="22"/>
          <w:lang w:val="fr-FR"/>
        </w:rPr>
        <w:t>coûts de</w:t>
      </w:r>
      <w:r w:rsidR="00523632" w:rsidRPr="00523632">
        <w:rPr>
          <w:rFonts w:cs="Arial"/>
          <w:sz w:val="22"/>
          <w:szCs w:val="22"/>
          <w:lang w:val="fr-FR"/>
        </w:rPr>
        <w:t xml:space="preserve"> personnel pour la nouvelle période triennale</w:t>
      </w:r>
      <w:r w:rsidR="00357375">
        <w:rPr>
          <w:rFonts w:cs="Arial"/>
          <w:sz w:val="22"/>
          <w:szCs w:val="22"/>
          <w:lang w:val="fr-FR"/>
        </w:rPr>
        <w:t>,</w:t>
      </w:r>
      <w:r w:rsidR="00523632" w:rsidRPr="00523632">
        <w:rPr>
          <w:rFonts w:cs="Arial"/>
          <w:sz w:val="22"/>
          <w:szCs w:val="22"/>
          <w:lang w:val="fr-FR"/>
        </w:rPr>
        <w:t xml:space="preserve"> compte </w:t>
      </w:r>
      <w:r w:rsidR="00357375">
        <w:rPr>
          <w:rFonts w:cs="Arial"/>
          <w:sz w:val="22"/>
          <w:szCs w:val="22"/>
          <w:lang w:val="fr-FR"/>
        </w:rPr>
        <w:t xml:space="preserve">tenu </w:t>
      </w:r>
      <w:r w:rsidR="00523632" w:rsidRPr="00523632">
        <w:rPr>
          <w:rFonts w:cs="Arial"/>
          <w:sz w:val="22"/>
          <w:szCs w:val="22"/>
          <w:lang w:val="fr-FR"/>
        </w:rPr>
        <w:t>du fait q</w:t>
      </w:r>
      <w:r w:rsidR="00523632">
        <w:rPr>
          <w:rFonts w:cs="Arial"/>
          <w:sz w:val="22"/>
          <w:szCs w:val="22"/>
          <w:lang w:val="fr-FR"/>
        </w:rPr>
        <w:t>ue</w:t>
      </w:r>
      <w:r w:rsidR="00523632" w:rsidRPr="00523632">
        <w:rPr>
          <w:rFonts w:cs="Arial"/>
          <w:sz w:val="22"/>
          <w:szCs w:val="22"/>
          <w:lang w:val="fr-FR"/>
        </w:rPr>
        <w:t xml:space="preserve"> tous les po</w:t>
      </w:r>
      <w:r w:rsidR="00523632">
        <w:rPr>
          <w:rFonts w:cs="Arial"/>
          <w:sz w:val="22"/>
          <w:szCs w:val="22"/>
          <w:lang w:val="fr-FR"/>
        </w:rPr>
        <w:t xml:space="preserve">stes </w:t>
      </w:r>
      <w:r w:rsidR="00523632" w:rsidRPr="00523632">
        <w:rPr>
          <w:rFonts w:cs="Arial"/>
          <w:sz w:val="22"/>
          <w:szCs w:val="22"/>
          <w:lang w:val="fr-FR"/>
        </w:rPr>
        <w:t>du Secrétariat devraient être pourvus.</w:t>
      </w:r>
      <w:r w:rsidR="0033299A" w:rsidRPr="00523632">
        <w:rPr>
          <w:rFonts w:cs="Arial"/>
          <w:sz w:val="22"/>
          <w:szCs w:val="22"/>
          <w:lang w:val="fr-FR"/>
        </w:rPr>
        <w:t xml:space="preserve"> </w:t>
      </w:r>
    </w:p>
    <w:p w:rsidR="0033299A" w:rsidRPr="00D3599E" w:rsidRDefault="0033299A" w:rsidP="002973EB">
      <w:pPr>
        <w:tabs>
          <w:tab w:val="left" w:pos="270"/>
        </w:tabs>
        <w:contextualSpacing/>
        <w:jc w:val="both"/>
        <w:rPr>
          <w:rFonts w:cs="Arial"/>
          <w:szCs w:val="18"/>
          <w:lang w:val="fr-FR"/>
        </w:rPr>
      </w:pPr>
    </w:p>
    <w:p w:rsidR="0033299A" w:rsidRPr="00523632" w:rsidRDefault="008F58F6" w:rsidP="002973EB">
      <w:pPr>
        <w:numPr>
          <w:ilvl w:val="0"/>
          <w:numId w:val="2"/>
        </w:numPr>
        <w:tabs>
          <w:tab w:val="left" w:pos="270"/>
        </w:tabs>
        <w:contextualSpacing/>
        <w:jc w:val="both"/>
        <w:rPr>
          <w:rFonts w:cs="Arial"/>
          <w:sz w:val="22"/>
          <w:szCs w:val="22"/>
          <w:lang w:val="fr-FR"/>
        </w:rPr>
      </w:pPr>
      <w:r w:rsidRPr="00523632">
        <w:rPr>
          <w:rFonts w:cs="Arial"/>
          <w:sz w:val="22"/>
          <w:szCs w:val="22"/>
          <w:lang w:val="fr-FR"/>
        </w:rPr>
        <w:t xml:space="preserve"> </w:t>
      </w:r>
      <w:r w:rsidR="00523632">
        <w:rPr>
          <w:rFonts w:cs="Arial"/>
          <w:sz w:val="22"/>
          <w:szCs w:val="22"/>
          <w:lang w:val="fr-FR"/>
        </w:rPr>
        <w:t xml:space="preserve">Pour </w:t>
      </w:r>
      <w:r w:rsidR="00357375">
        <w:rPr>
          <w:rFonts w:cs="Arial"/>
          <w:sz w:val="22"/>
          <w:szCs w:val="22"/>
          <w:lang w:val="fr-FR"/>
        </w:rPr>
        <w:t>assurer une plus grande</w:t>
      </w:r>
      <w:r w:rsidR="00523632">
        <w:rPr>
          <w:rFonts w:cs="Arial"/>
          <w:sz w:val="22"/>
          <w:szCs w:val="22"/>
          <w:lang w:val="fr-FR"/>
        </w:rPr>
        <w:t xml:space="preserve"> cohérence parmi tous les AME administrés par le PNUE, la Famille CMS a déjà commencé à introduire dans ses budgets les co</w:t>
      </w:r>
      <w:r w:rsidR="00FC111C">
        <w:rPr>
          <w:rFonts w:cs="Arial"/>
          <w:sz w:val="22"/>
          <w:szCs w:val="22"/>
          <w:lang w:val="fr-FR"/>
        </w:rPr>
        <w:t>û</w:t>
      </w:r>
      <w:r w:rsidR="00523632">
        <w:rPr>
          <w:rFonts w:cs="Arial"/>
          <w:sz w:val="22"/>
          <w:szCs w:val="22"/>
          <w:lang w:val="fr-FR"/>
        </w:rPr>
        <w:t xml:space="preserve">ts salariaux standard applicables au </w:t>
      </w:r>
      <w:r w:rsidR="004E2D81">
        <w:rPr>
          <w:rFonts w:cs="Arial"/>
          <w:sz w:val="22"/>
          <w:szCs w:val="22"/>
          <w:lang w:val="fr-FR"/>
        </w:rPr>
        <w:t>S</w:t>
      </w:r>
      <w:r w:rsidR="00523632">
        <w:rPr>
          <w:rFonts w:cs="Arial"/>
          <w:sz w:val="22"/>
          <w:szCs w:val="22"/>
          <w:lang w:val="fr-FR"/>
        </w:rPr>
        <w:t>iège à Bonn</w:t>
      </w:r>
      <w:r w:rsidR="0033299A" w:rsidRPr="00523632">
        <w:rPr>
          <w:rFonts w:cs="Arial"/>
          <w:sz w:val="22"/>
          <w:szCs w:val="22"/>
          <w:lang w:val="fr-FR"/>
        </w:rPr>
        <w:t xml:space="preserve">. </w:t>
      </w:r>
      <w:r w:rsidR="00523632">
        <w:rPr>
          <w:rFonts w:cs="Arial"/>
          <w:sz w:val="22"/>
          <w:szCs w:val="22"/>
          <w:lang w:val="fr-FR"/>
        </w:rPr>
        <w:t>À</w:t>
      </w:r>
      <w:r w:rsidR="00523632" w:rsidRPr="00523632">
        <w:rPr>
          <w:rFonts w:cs="Arial"/>
          <w:sz w:val="22"/>
          <w:szCs w:val="22"/>
          <w:lang w:val="fr-FR"/>
        </w:rPr>
        <w:t xml:space="preserve"> la 6</w:t>
      </w:r>
      <w:r w:rsidR="00523632">
        <w:rPr>
          <w:rFonts w:cs="Arial"/>
          <w:sz w:val="22"/>
          <w:szCs w:val="22"/>
          <w:lang w:val="fr-FR"/>
        </w:rPr>
        <w:t>ème session de la</w:t>
      </w:r>
      <w:r w:rsidR="00523632" w:rsidRPr="00523632">
        <w:rPr>
          <w:rFonts w:cs="Arial"/>
          <w:sz w:val="22"/>
          <w:szCs w:val="22"/>
          <w:lang w:val="fr-FR"/>
        </w:rPr>
        <w:t xml:space="preserve"> Réunion des </w:t>
      </w:r>
      <w:r w:rsidR="00523632">
        <w:rPr>
          <w:rFonts w:cs="Arial"/>
          <w:sz w:val="22"/>
          <w:szCs w:val="22"/>
          <w:lang w:val="fr-FR"/>
        </w:rPr>
        <w:t>Parties</w:t>
      </w:r>
      <w:r w:rsidR="00523632" w:rsidRPr="00523632">
        <w:rPr>
          <w:rFonts w:cs="Arial"/>
          <w:sz w:val="22"/>
          <w:szCs w:val="22"/>
          <w:lang w:val="fr-FR"/>
        </w:rPr>
        <w:t xml:space="preserve"> à l’Accord sur la c</w:t>
      </w:r>
      <w:r w:rsidR="0033299A" w:rsidRPr="00523632">
        <w:rPr>
          <w:rFonts w:cs="Arial"/>
          <w:sz w:val="22"/>
          <w:szCs w:val="22"/>
          <w:lang w:val="fr-FR"/>
        </w:rPr>
        <w:t xml:space="preserve">onservation </w:t>
      </w:r>
      <w:r w:rsidR="00523632" w:rsidRPr="00523632">
        <w:rPr>
          <w:rFonts w:cs="Arial"/>
          <w:sz w:val="22"/>
          <w:szCs w:val="22"/>
          <w:lang w:val="fr-FR"/>
        </w:rPr>
        <w:t xml:space="preserve">des oiseaux </w:t>
      </w:r>
      <w:r w:rsidR="00357375">
        <w:rPr>
          <w:rFonts w:cs="Arial"/>
          <w:sz w:val="22"/>
          <w:szCs w:val="22"/>
          <w:lang w:val="fr-FR"/>
        </w:rPr>
        <w:t xml:space="preserve">d’eau </w:t>
      </w:r>
      <w:r w:rsidR="00523632" w:rsidRPr="00523632">
        <w:rPr>
          <w:rFonts w:cs="Arial"/>
          <w:sz w:val="22"/>
          <w:szCs w:val="22"/>
          <w:lang w:val="fr-FR"/>
        </w:rPr>
        <w:t>migrateurs d’Afrique-E</w:t>
      </w:r>
      <w:r w:rsidR="0066148D">
        <w:rPr>
          <w:rFonts w:cs="Arial"/>
          <w:sz w:val="22"/>
          <w:szCs w:val="22"/>
          <w:lang w:val="fr-FR"/>
        </w:rPr>
        <w:t>urasie, les coûts salariaux stan</w:t>
      </w:r>
      <w:r w:rsidR="00523632" w:rsidRPr="00523632">
        <w:rPr>
          <w:rFonts w:cs="Arial"/>
          <w:sz w:val="22"/>
          <w:szCs w:val="22"/>
          <w:lang w:val="fr-FR"/>
        </w:rPr>
        <w:t xml:space="preserve">dard </w:t>
      </w:r>
      <w:r w:rsidR="0066148D" w:rsidRPr="00523632">
        <w:rPr>
          <w:rFonts w:cs="Arial"/>
          <w:sz w:val="22"/>
          <w:szCs w:val="22"/>
          <w:lang w:val="fr-FR"/>
        </w:rPr>
        <w:t>applicables</w:t>
      </w:r>
      <w:r w:rsidR="00523632" w:rsidRPr="00523632">
        <w:rPr>
          <w:rFonts w:cs="Arial"/>
          <w:sz w:val="22"/>
          <w:szCs w:val="22"/>
          <w:lang w:val="fr-FR"/>
        </w:rPr>
        <w:t xml:space="preserve"> au </w:t>
      </w:r>
      <w:r w:rsidR="004E2D81">
        <w:rPr>
          <w:rFonts w:cs="Arial"/>
          <w:sz w:val="22"/>
          <w:szCs w:val="22"/>
          <w:lang w:val="fr-FR"/>
        </w:rPr>
        <w:t>S</w:t>
      </w:r>
      <w:r w:rsidR="0066148D" w:rsidRPr="00523632">
        <w:rPr>
          <w:rFonts w:cs="Arial"/>
          <w:sz w:val="22"/>
          <w:szCs w:val="22"/>
          <w:lang w:val="fr-FR"/>
        </w:rPr>
        <w:t>iège</w:t>
      </w:r>
      <w:r w:rsidR="00523632" w:rsidRPr="00523632">
        <w:rPr>
          <w:rFonts w:cs="Arial"/>
          <w:sz w:val="22"/>
          <w:szCs w:val="22"/>
          <w:lang w:val="fr-FR"/>
        </w:rPr>
        <w:t xml:space="preserve"> à Bonn </w:t>
      </w:r>
      <w:r w:rsidR="0066148D">
        <w:rPr>
          <w:rFonts w:cs="Arial"/>
          <w:sz w:val="22"/>
          <w:szCs w:val="22"/>
          <w:lang w:val="fr-FR"/>
        </w:rPr>
        <w:t>basé</w:t>
      </w:r>
      <w:r w:rsidR="00523632" w:rsidRPr="00523632">
        <w:rPr>
          <w:rFonts w:cs="Arial"/>
          <w:sz w:val="22"/>
          <w:szCs w:val="22"/>
          <w:lang w:val="fr-FR"/>
        </w:rPr>
        <w:t xml:space="preserve">s </w:t>
      </w:r>
      <w:r w:rsidR="0066148D">
        <w:rPr>
          <w:rFonts w:cs="Arial"/>
          <w:sz w:val="22"/>
          <w:szCs w:val="22"/>
          <w:lang w:val="fr-FR"/>
        </w:rPr>
        <w:t>sur le</w:t>
      </w:r>
      <w:r w:rsidR="00523632" w:rsidRPr="00523632">
        <w:rPr>
          <w:rFonts w:cs="Arial"/>
          <w:sz w:val="22"/>
          <w:szCs w:val="22"/>
          <w:lang w:val="fr-FR"/>
        </w:rPr>
        <w:t>s co</w:t>
      </w:r>
      <w:r w:rsidR="0066148D">
        <w:rPr>
          <w:rFonts w:cs="Arial"/>
          <w:sz w:val="22"/>
          <w:szCs w:val="22"/>
          <w:lang w:val="fr-FR"/>
        </w:rPr>
        <w:t>û</w:t>
      </w:r>
      <w:r w:rsidR="00523632" w:rsidRPr="00523632">
        <w:rPr>
          <w:rFonts w:cs="Arial"/>
          <w:sz w:val="22"/>
          <w:szCs w:val="22"/>
          <w:lang w:val="fr-FR"/>
        </w:rPr>
        <w:t>ts r</w:t>
      </w:r>
      <w:r w:rsidR="0066148D">
        <w:rPr>
          <w:rFonts w:cs="Arial"/>
          <w:sz w:val="22"/>
          <w:szCs w:val="22"/>
          <w:lang w:val="fr-FR"/>
        </w:rPr>
        <w:t>é</w:t>
      </w:r>
      <w:r w:rsidR="00523632" w:rsidRPr="00523632">
        <w:rPr>
          <w:rFonts w:cs="Arial"/>
          <w:sz w:val="22"/>
          <w:szCs w:val="22"/>
          <w:lang w:val="fr-FR"/>
        </w:rPr>
        <w:t xml:space="preserve">els </w:t>
      </w:r>
      <w:r w:rsidR="0066148D">
        <w:rPr>
          <w:rFonts w:cs="Arial"/>
          <w:sz w:val="22"/>
          <w:szCs w:val="22"/>
          <w:lang w:val="fr-FR"/>
        </w:rPr>
        <w:t xml:space="preserve">ont </w:t>
      </w:r>
      <w:r w:rsidR="00357375">
        <w:rPr>
          <w:rFonts w:cs="Arial"/>
          <w:sz w:val="22"/>
          <w:szCs w:val="22"/>
          <w:lang w:val="fr-FR"/>
        </w:rPr>
        <w:t xml:space="preserve">été </w:t>
      </w:r>
      <w:r w:rsidR="0066148D">
        <w:rPr>
          <w:rFonts w:cs="Arial"/>
          <w:sz w:val="22"/>
          <w:szCs w:val="22"/>
          <w:lang w:val="fr-FR"/>
        </w:rPr>
        <w:t>pris en compte dans le</w:t>
      </w:r>
      <w:r w:rsidR="00523632" w:rsidRPr="00523632">
        <w:rPr>
          <w:rFonts w:cs="Arial"/>
          <w:sz w:val="22"/>
          <w:szCs w:val="22"/>
          <w:lang w:val="fr-FR"/>
        </w:rPr>
        <w:t xml:space="preserve"> budget propos</w:t>
      </w:r>
      <w:r w:rsidR="0066148D">
        <w:rPr>
          <w:rFonts w:cs="Arial"/>
          <w:sz w:val="22"/>
          <w:szCs w:val="22"/>
          <w:lang w:val="fr-FR"/>
        </w:rPr>
        <w:t>é</w:t>
      </w:r>
      <w:r w:rsidR="00523632" w:rsidRPr="00523632">
        <w:rPr>
          <w:rFonts w:cs="Arial"/>
          <w:sz w:val="22"/>
          <w:szCs w:val="22"/>
          <w:lang w:val="fr-FR"/>
        </w:rPr>
        <w:t xml:space="preserve"> pour 2016-2018, qui a été adopté par la MOP</w:t>
      </w:r>
      <w:r w:rsidR="0033299A" w:rsidRPr="00523632">
        <w:rPr>
          <w:rFonts w:cs="Arial"/>
          <w:sz w:val="22"/>
          <w:szCs w:val="22"/>
          <w:lang w:val="fr-FR"/>
        </w:rPr>
        <w:t xml:space="preserve">. </w:t>
      </w:r>
    </w:p>
    <w:p w:rsidR="0033299A" w:rsidRPr="00D3599E" w:rsidRDefault="0033299A" w:rsidP="002973EB">
      <w:pPr>
        <w:tabs>
          <w:tab w:val="left" w:pos="270"/>
        </w:tabs>
        <w:ind w:left="360"/>
        <w:contextualSpacing/>
        <w:jc w:val="both"/>
        <w:rPr>
          <w:rFonts w:cs="Arial"/>
          <w:szCs w:val="18"/>
          <w:lang w:val="fr-FR"/>
        </w:rPr>
      </w:pPr>
    </w:p>
    <w:p w:rsidR="0033299A" w:rsidRPr="00C60175" w:rsidRDefault="0066148D" w:rsidP="002973EB">
      <w:pPr>
        <w:numPr>
          <w:ilvl w:val="0"/>
          <w:numId w:val="2"/>
        </w:numPr>
        <w:tabs>
          <w:tab w:val="left" w:pos="360"/>
        </w:tabs>
        <w:contextualSpacing/>
        <w:jc w:val="both"/>
        <w:rPr>
          <w:rFonts w:cs="Arial"/>
          <w:sz w:val="22"/>
          <w:szCs w:val="22"/>
          <w:lang w:val="fr-FR"/>
        </w:rPr>
      </w:pPr>
      <w:r w:rsidRPr="0066148D">
        <w:rPr>
          <w:rFonts w:cs="Arial"/>
          <w:sz w:val="22"/>
          <w:szCs w:val="22"/>
          <w:lang w:val="fr-FR"/>
        </w:rPr>
        <w:t>Les coûts salariaux standard applicables au Siège à Bonn ind</w:t>
      </w:r>
      <w:r>
        <w:rPr>
          <w:rFonts w:cs="Arial"/>
          <w:sz w:val="22"/>
          <w:szCs w:val="22"/>
          <w:lang w:val="fr-FR"/>
        </w:rPr>
        <w:t xml:space="preserve">iqués </w:t>
      </w:r>
      <w:r w:rsidRPr="0066148D">
        <w:rPr>
          <w:rFonts w:cs="Arial"/>
          <w:sz w:val="22"/>
          <w:szCs w:val="22"/>
          <w:lang w:val="fr-FR"/>
        </w:rPr>
        <w:t>ci-dessous sont bas</w:t>
      </w:r>
      <w:r>
        <w:rPr>
          <w:rFonts w:cs="Arial"/>
          <w:sz w:val="22"/>
          <w:szCs w:val="22"/>
          <w:lang w:val="fr-FR"/>
        </w:rPr>
        <w:t>é</w:t>
      </w:r>
      <w:r w:rsidRPr="0066148D">
        <w:rPr>
          <w:rFonts w:cs="Arial"/>
          <w:sz w:val="22"/>
          <w:szCs w:val="22"/>
          <w:lang w:val="fr-FR"/>
        </w:rPr>
        <w:t>s sur le co</w:t>
      </w:r>
      <w:r>
        <w:rPr>
          <w:rFonts w:cs="Arial"/>
          <w:sz w:val="22"/>
          <w:szCs w:val="22"/>
          <w:lang w:val="fr-FR"/>
        </w:rPr>
        <w:t>û</w:t>
      </w:r>
      <w:r w:rsidRPr="0066148D">
        <w:rPr>
          <w:rFonts w:cs="Arial"/>
          <w:sz w:val="22"/>
          <w:szCs w:val="22"/>
          <w:lang w:val="fr-FR"/>
        </w:rPr>
        <w:t>t pour chaque catégorie de personnel en</w:t>
      </w:r>
      <w:r w:rsidR="0033299A" w:rsidRPr="0066148D">
        <w:rPr>
          <w:rFonts w:cs="Arial"/>
          <w:sz w:val="22"/>
          <w:szCs w:val="22"/>
          <w:lang w:val="fr-FR"/>
        </w:rPr>
        <w:t xml:space="preserve"> 2018-2020, </w:t>
      </w:r>
      <w:r w:rsidRPr="0066148D">
        <w:rPr>
          <w:rFonts w:cs="Arial"/>
          <w:sz w:val="22"/>
          <w:szCs w:val="22"/>
          <w:lang w:val="fr-FR"/>
        </w:rPr>
        <w:t>y compris tous les co</w:t>
      </w:r>
      <w:r>
        <w:rPr>
          <w:rFonts w:cs="Arial"/>
          <w:sz w:val="22"/>
          <w:szCs w:val="22"/>
          <w:lang w:val="fr-FR"/>
        </w:rPr>
        <w:t>û</w:t>
      </w:r>
      <w:r w:rsidRPr="0066148D">
        <w:rPr>
          <w:rFonts w:cs="Arial"/>
          <w:sz w:val="22"/>
          <w:szCs w:val="22"/>
          <w:lang w:val="fr-FR"/>
        </w:rPr>
        <w:t xml:space="preserve">ts de personnel statutaire </w:t>
      </w:r>
      <w:r>
        <w:rPr>
          <w:rFonts w:cs="Arial"/>
          <w:sz w:val="22"/>
          <w:szCs w:val="22"/>
          <w:lang w:val="fr-FR"/>
        </w:rPr>
        <w:t>tel</w:t>
      </w:r>
      <w:r w:rsidRPr="0066148D">
        <w:rPr>
          <w:rFonts w:cs="Arial"/>
          <w:sz w:val="22"/>
          <w:szCs w:val="22"/>
          <w:lang w:val="fr-FR"/>
        </w:rPr>
        <w:t xml:space="preserve">s que </w:t>
      </w:r>
      <w:r>
        <w:rPr>
          <w:rFonts w:cs="Arial"/>
          <w:sz w:val="22"/>
          <w:szCs w:val="22"/>
          <w:lang w:val="fr-FR"/>
        </w:rPr>
        <w:t xml:space="preserve">les indemnités de poste et d’autres </w:t>
      </w:r>
      <w:r w:rsidR="00C60175">
        <w:rPr>
          <w:rFonts w:cs="Arial"/>
          <w:sz w:val="22"/>
          <w:szCs w:val="22"/>
          <w:lang w:val="fr-FR"/>
        </w:rPr>
        <w:t>indemnités</w:t>
      </w:r>
      <w:r>
        <w:rPr>
          <w:rFonts w:cs="Arial"/>
          <w:sz w:val="22"/>
          <w:szCs w:val="22"/>
          <w:lang w:val="fr-FR"/>
        </w:rPr>
        <w:t xml:space="preserve"> ainsi que les augmentations et les révisions de traitement</w:t>
      </w:r>
      <w:r w:rsidR="0033299A" w:rsidRPr="0066148D">
        <w:rPr>
          <w:rFonts w:cs="Arial"/>
          <w:sz w:val="22"/>
          <w:szCs w:val="22"/>
          <w:lang w:val="fr-FR"/>
        </w:rPr>
        <w:t xml:space="preserve">. </w:t>
      </w:r>
      <w:r w:rsidR="00BD29BA" w:rsidRPr="00100D0F">
        <w:rPr>
          <w:rFonts w:eastAsia="Palatino Linotype"/>
          <w:sz w:val="22"/>
          <w:szCs w:val="22"/>
          <w:lang w:val="fr-FR"/>
        </w:rPr>
        <w:t>Ces augmentations des coûts résultent des normes, directives et calculs à l’échelle du système des Nations Unies, qui sont promulgués par la Commission de la fonction publique internationale (CFPI) et ne sont donc pas discrétionnaires</w:t>
      </w:r>
      <w:r w:rsidR="0033299A" w:rsidRPr="00100D0F">
        <w:rPr>
          <w:rFonts w:cs="Arial"/>
          <w:sz w:val="22"/>
          <w:szCs w:val="22"/>
          <w:lang w:val="fr-FR"/>
        </w:rPr>
        <w:t>.</w:t>
      </w:r>
      <w:r w:rsidR="0033299A" w:rsidRPr="00BD29BA">
        <w:rPr>
          <w:rFonts w:cs="Arial"/>
          <w:sz w:val="22"/>
          <w:szCs w:val="22"/>
          <w:lang w:val="fr-FR"/>
        </w:rPr>
        <w:t xml:space="preserve"> </w:t>
      </w:r>
      <w:r w:rsidR="00100D0F" w:rsidRPr="00C60175">
        <w:rPr>
          <w:rFonts w:cs="Arial"/>
          <w:sz w:val="22"/>
          <w:szCs w:val="22"/>
          <w:lang w:val="fr-FR"/>
        </w:rPr>
        <w:t xml:space="preserve">En outre, </w:t>
      </w:r>
      <w:r w:rsidR="00C60175" w:rsidRPr="00C60175">
        <w:rPr>
          <w:rFonts w:cs="Arial"/>
          <w:sz w:val="22"/>
          <w:szCs w:val="22"/>
          <w:lang w:val="fr-FR"/>
        </w:rPr>
        <w:t>les co</w:t>
      </w:r>
      <w:r w:rsidR="00C60175">
        <w:rPr>
          <w:rFonts w:cs="Arial"/>
          <w:sz w:val="22"/>
          <w:szCs w:val="22"/>
          <w:lang w:val="fr-FR"/>
        </w:rPr>
        <w:t>û</w:t>
      </w:r>
      <w:r w:rsidR="00C60175" w:rsidRPr="00C60175">
        <w:rPr>
          <w:rFonts w:cs="Arial"/>
          <w:sz w:val="22"/>
          <w:szCs w:val="22"/>
          <w:lang w:val="fr-FR"/>
        </w:rPr>
        <w:t>ts salariaux standard comprennent le co</w:t>
      </w:r>
      <w:r w:rsidR="00C60175">
        <w:rPr>
          <w:rFonts w:cs="Arial"/>
          <w:sz w:val="22"/>
          <w:szCs w:val="22"/>
          <w:lang w:val="fr-FR"/>
        </w:rPr>
        <w:t>û</w:t>
      </w:r>
      <w:r w:rsidR="00C60175" w:rsidRPr="00C60175">
        <w:rPr>
          <w:rFonts w:cs="Arial"/>
          <w:sz w:val="22"/>
          <w:szCs w:val="22"/>
          <w:lang w:val="fr-FR"/>
        </w:rPr>
        <w:t>t mensu</w:t>
      </w:r>
      <w:r w:rsidR="00C60175">
        <w:rPr>
          <w:rFonts w:cs="Arial"/>
          <w:sz w:val="22"/>
          <w:szCs w:val="22"/>
          <w:lang w:val="fr-FR"/>
        </w:rPr>
        <w:t xml:space="preserve">el de l’assurance maladie après la cessation de service </w:t>
      </w:r>
      <w:r w:rsidR="00C60175" w:rsidRPr="00C60175">
        <w:rPr>
          <w:rFonts w:cs="Arial"/>
          <w:sz w:val="22"/>
          <w:szCs w:val="22"/>
          <w:lang w:val="fr-FR"/>
        </w:rPr>
        <w:t>qui est appliqué p</w:t>
      </w:r>
      <w:r w:rsidR="00C60175">
        <w:rPr>
          <w:rFonts w:cs="Arial"/>
          <w:sz w:val="22"/>
          <w:szCs w:val="22"/>
          <w:lang w:val="fr-FR"/>
        </w:rPr>
        <w:t>a</w:t>
      </w:r>
      <w:r w:rsidR="00C60175" w:rsidRPr="00C60175">
        <w:rPr>
          <w:rFonts w:cs="Arial"/>
          <w:sz w:val="22"/>
          <w:szCs w:val="22"/>
          <w:lang w:val="fr-FR"/>
        </w:rPr>
        <w:t>r le Secrétariat de l’ONU et est en</w:t>
      </w:r>
      <w:r w:rsidR="00C60175">
        <w:rPr>
          <w:rFonts w:cs="Arial"/>
          <w:sz w:val="22"/>
          <w:szCs w:val="22"/>
          <w:lang w:val="fr-FR"/>
        </w:rPr>
        <w:t xml:space="preserve"> </w:t>
      </w:r>
      <w:r w:rsidR="00C60175" w:rsidRPr="00C60175">
        <w:rPr>
          <w:rFonts w:cs="Arial"/>
          <w:sz w:val="22"/>
          <w:szCs w:val="22"/>
          <w:lang w:val="fr-FR"/>
        </w:rPr>
        <w:t xml:space="preserve">vigueur depuis le 1er janvier 2017, </w:t>
      </w:r>
      <w:r w:rsidR="005F7DB0">
        <w:rPr>
          <w:rFonts w:cs="Arial"/>
          <w:sz w:val="22"/>
          <w:szCs w:val="22"/>
          <w:lang w:val="fr-FR"/>
        </w:rPr>
        <w:t xml:space="preserve">en conformité avec les critères des </w:t>
      </w:r>
      <w:r w:rsidR="00C60175" w:rsidRPr="00C60175">
        <w:rPr>
          <w:rFonts w:cs="Arial"/>
          <w:sz w:val="22"/>
          <w:szCs w:val="22"/>
          <w:lang w:val="fr-FR"/>
        </w:rPr>
        <w:t>IPSAS. Les chiffres utilisé</w:t>
      </w:r>
      <w:r w:rsidR="00C60175">
        <w:rPr>
          <w:rFonts w:cs="Arial"/>
          <w:sz w:val="22"/>
          <w:szCs w:val="22"/>
          <w:lang w:val="fr-FR"/>
        </w:rPr>
        <w:t>s pour calculer les coû</w:t>
      </w:r>
      <w:r w:rsidR="00C60175" w:rsidRPr="00C60175">
        <w:rPr>
          <w:rFonts w:cs="Arial"/>
          <w:sz w:val="22"/>
          <w:szCs w:val="22"/>
          <w:lang w:val="fr-FR"/>
        </w:rPr>
        <w:t>ts de</w:t>
      </w:r>
      <w:r w:rsidR="00C60175">
        <w:rPr>
          <w:rFonts w:cs="Arial"/>
          <w:sz w:val="22"/>
          <w:szCs w:val="22"/>
          <w:lang w:val="fr-FR"/>
        </w:rPr>
        <w:t xml:space="preserve"> </w:t>
      </w:r>
      <w:r w:rsidR="00C60175" w:rsidRPr="00C60175">
        <w:rPr>
          <w:rFonts w:cs="Arial"/>
          <w:sz w:val="22"/>
          <w:szCs w:val="22"/>
          <w:lang w:val="fr-FR"/>
        </w:rPr>
        <w:t>per</w:t>
      </w:r>
      <w:r w:rsidR="00C60175">
        <w:rPr>
          <w:rFonts w:cs="Arial"/>
          <w:sz w:val="22"/>
          <w:szCs w:val="22"/>
          <w:lang w:val="fr-FR"/>
        </w:rPr>
        <w:t>sonnel</w:t>
      </w:r>
      <w:r w:rsidR="00C60175" w:rsidRPr="00C60175">
        <w:rPr>
          <w:rFonts w:cs="Arial"/>
          <w:sz w:val="22"/>
          <w:szCs w:val="22"/>
          <w:lang w:val="fr-FR"/>
        </w:rPr>
        <w:t xml:space="preserve"> sont indiqués dans le tab</w:t>
      </w:r>
      <w:r w:rsidR="00C60175">
        <w:rPr>
          <w:rFonts w:cs="Arial"/>
          <w:sz w:val="22"/>
          <w:szCs w:val="22"/>
          <w:lang w:val="fr-FR"/>
        </w:rPr>
        <w:t xml:space="preserve">leau </w:t>
      </w:r>
      <w:r w:rsidR="00C60175" w:rsidRPr="00C60175">
        <w:rPr>
          <w:rFonts w:cs="Arial"/>
          <w:sz w:val="22"/>
          <w:szCs w:val="22"/>
          <w:lang w:val="fr-FR"/>
        </w:rPr>
        <w:t>1 ci-dessous.</w:t>
      </w:r>
    </w:p>
    <w:p w:rsidR="0033299A" w:rsidRPr="00D3599E" w:rsidRDefault="0033299A" w:rsidP="002973EB">
      <w:pPr>
        <w:pStyle w:val="NoSpacing"/>
        <w:jc w:val="both"/>
        <w:rPr>
          <w:rFonts w:ascii="Arial" w:hAnsi="Arial" w:cs="Arial"/>
          <w:sz w:val="18"/>
          <w:szCs w:val="18"/>
          <w:lang w:val="fr-FR"/>
        </w:rPr>
      </w:pPr>
    </w:p>
    <w:p w:rsidR="0033299A" w:rsidRPr="00100D0F" w:rsidRDefault="0033299A" w:rsidP="002973EB">
      <w:pPr>
        <w:pStyle w:val="NoSpacing"/>
        <w:jc w:val="both"/>
        <w:rPr>
          <w:rFonts w:ascii="Arial" w:hAnsi="Arial" w:cs="Arial"/>
          <w:b/>
          <w:sz w:val="20"/>
          <w:szCs w:val="20"/>
          <w:lang w:val="fr-FR"/>
        </w:rPr>
      </w:pPr>
      <w:r w:rsidRPr="00100D0F">
        <w:rPr>
          <w:rFonts w:ascii="Arial" w:hAnsi="Arial" w:cs="Arial"/>
          <w:b/>
          <w:sz w:val="20"/>
          <w:szCs w:val="20"/>
          <w:lang w:val="fr-FR"/>
        </w:rPr>
        <w:t>Table</w:t>
      </w:r>
      <w:r w:rsidR="00D1452D" w:rsidRPr="00100D0F">
        <w:rPr>
          <w:rFonts w:ascii="Arial" w:hAnsi="Arial" w:cs="Arial"/>
          <w:b/>
          <w:sz w:val="20"/>
          <w:szCs w:val="20"/>
          <w:lang w:val="fr-FR"/>
        </w:rPr>
        <w:t>au</w:t>
      </w:r>
      <w:r w:rsidRPr="00100D0F">
        <w:rPr>
          <w:rFonts w:ascii="Arial" w:hAnsi="Arial" w:cs="Arial"/>
          <w:b/>
          <w:sz w:val="20"/>
          <w:szCs w:val="20"/>
          <w:lang w:val="fr-FR"/>
        </w:rPr>
        <w:t xml:space="preserve"> 1</w:t>
      </w:r>
    </w:p>
    <w:p w:rsidR="0033299A" w:rsidRPr="00100D0F" w:rsidRDefault="00100D0F" w:rsidP="002973EB">
      <w:pPr>
        <w:rPr>
          <w:rFonts w:cs="Arial"/>
          <w:sz w:val="22"/>
          <w:szCs w:val="22"/>
          <w:lang w:val="fr-FR"/>
        </w:rPr>
      </w:pPr>
      <w:r w:rsidRPr="00100D0F">
        <w:rPr>
          <w:rFonts w:cs="Arial"/>
          <w:b/>
          <w:szCs w:val="20"/>
          <w:lang w:val="fr-FR"/>
        </w:rPr>
        <w:t>Co</w:t>
      </w:r>
      <w:r w:rsidR="00C60175">
        <w:rPr>
          <w:rFonts w:cs="Arial"/>
          <w:b/>
          <w:szCs w:val="20"/>
          <w:lang w:val="fr-FR"/>
        </w:rPr>
        <w:t>û</w:t>
      </w:r>
      <w:r w:rsidRPr="00100D0F">
        <w:rPr>
          <w:rFonts w:cs="Arial"/>
          <w:b/>
          <w:szCs w:val="20"/>
          <w:lang w:val="fr-FR"/>
        </w:rPr>
        <w:t>ts salariaux standard</w:t>
      </w:r>
      <w:r w:rsidR="0033299A" w:rsidRPr="00100D0F">
        <w:rPr>
          <w:rFonts w:cs="Arial"/>
          <w:b/>
          <w:szCs w:val="20"/>
          <w:lang w:val="fr-FR"/>
        </w:rPr>
        <w:t xml:space="preserve"> (</w:t>
      </w:r>
      <w:r w:rsidRPr="00100D0F">
        <w:rPr>
          <w:rFonts w:cs="Arial"/>
          <w:b/>
          <w:szCs w:val="20"/>
          <w:lang w:val="fr-FR"/>
        </w:rPr>
        <w:t>en euros</w:t>
      </w:r>
      <w:r w:rsidR="0033299A" w:rsidRPr="00100D0F">
        <w:rPr>
          <w:rFonts w:cs="Arial"/>
          <w:b/>
          <w:szCs w:val="20"/>
          <w:lang w:val="fr-FR"/>
        </w:rPr>
        <w:t>)</w:t>
      </w:r>
    </w:p>
    <w:tbl>
      <w:tblPr>
        <w:tblW w:w="6206" w:type="dxa"/>
        <w:tblInd w:w="1409" w:type="dxa"/>
        <w:tblLayout w:type="fixed"/>
        <w:tblLook w:val="04A0" w:firstRow="1" w:lastRow="0" w:firstColumn="1" w:lastColumn="0" w:noHBand="0" w:noVBand="1"/>
      </w:tblPr>
      <w:tblGrid>
        <w:gridCol w:w="1841"/>
        <w:gridCol w:w="1455"/>
        <w:gridCol w:w="1455"/>
        <w:gridCol w:w="1455"/>
      </w:tblGrid>
      <w:tr w:rsidR="0033299A" w:rsidRPr="004E0206" w:rsidTr="00245E18">
        <w:trPr>
          <w:trHeight w:val="325"/>
        </w:trPr>
        <w:tc>
          <w:tcPr>
            <w:tcW w:w="1841" w:type="dxa"/>
            <w:tcBorders>
              <w:top w:val="nil"/>
              <w:left w:val="nil"/>
              <w:bottom w:val="single" w:sz="12" w:space="0" w:color="auto"/>
              <w:right w:val="nil"/>
            </w:tcBorders>
            <w:shd w:val="clear" w:color="auto" w:fill="auto"/>
            <w:noWrap/>
            <w:vAlign w:val="center"/>
            <w:hideMark/>
          </w:tcPr>
          <w:p w:rsidR="0033299A" w:rsidRPr="000B16A8" w:rsidRDefault="00C60175" w:rsidP="002973EB">
            <w:pPr>
              <w:widowControl/>
              <w:autoSpaceDE/>
              <w:autoSpaceDN/>
              <w:adjustRightInd/>
              <w:jc w:val="center"/>
              <w:rPr>
                <w:rFonts w:cs="Arial"/>
                <w:b/>
                <w:i/>
                <w:iCs/>
                <w:color w:val="000000"/>
                <w:szCs w:val="20"/>
                <w:highlight w:val="cyan"/>
              </w:rPr>
            </w:pPr>
            <w:r>
              <w:rPr>
                <w:rFonts w:cs="Arial"/>
                <w:b/>
                <w:i/>
                <w:iCs/>
                <w:color w:val="000000"/>
                <w:szCs w:val="20"/>
                <w:lang w:val="en-GB"/>
              </w:rPr>
              <w:t>Échelon</w:t>
            </w:r>
          </w:p>
        </w:tc>
        <w:tc>
          <w:tcPr>
            <w:tcW w:w="1455" w:type="dxa"/>
            <w:tcBorders>
              <w:top w:val="nil"/>
              <w:left w:val="nil"/>
              <w:bottom w:val="single" w:sz="12" w:space="0" w:color="auto"/>
              <w:right w:val="nil"/>
            </w:tcBorders>
            <w:shd w:val="clear" w:color="auto" w:fill="auto"/>
            <w:vAlign w:val="center"/>
            <w:hideMark/>
          </w:tcPr>
          <w:p w:rsidR="0033299A" w:rsidRPr="00DF5AF6" w:rsidRDefault="0033299A" w:rsidP="002973EB">
            <w:pPr>
              <w:widowControl/>
              <w:autoSpaceDE/>
              <w:autoSpaceDN/>
              <w:adjustRightInd/>
              <w:jc w:val="center"/>
              <w:rPr>
                <w:rFonts w:cs="Arial"/>
                <w:b/>
                <w:i/>
                <w:iCs/>
                <w:color w:val="000000"/>
                <w:szCs w:val="20"/>
              </w:rPr>
            </w:pPr>
            <w:r w:rsidRPr="00DF5AF6">
              <w:rPr>
                <w:rFonts w:cs="Arial"/>
                <w:b/>
                <w:i/>
                <w:iCs/>
                <w:color w:val="000000"/>
                <w:szCs w:val="20"/>
                <w:lang w:val="en-GB"/>
              </w:rPr>
              <w:t>2018</w:t>
            </w:r>
          </w:p>
        </w:tc>
        <w:tc>
          <w:tcPr>
            <w:tcW w:w="1455" w:type="dxa"/>
            <w:tcBorders>
              <w:top w:val="nil"/>
              <w:left w:val="nil"/>
              <w:bottom w:val="single" w:sz="12" w:space="0" w:color="auto"/>
              <w:right w:val="nil"/>
            </w:tcBorders>
            <w:shd w:val="clear" w:color="auto" w:fill="auto"/>
            <w:vAlign w:val="center"/>
            <w:hideMark/>
          </w:tcPr>
          <w:p w:rsidR="0033299A" w:rsidRPr="000B16A8" w:rsidRDefault="0033299A" w:rsidP="002973EB">
            <w:pPr>
              <w:widowControl/>
              <w:autoSpaceDE/>
              <w:autoSpaceDN/>
              <w:adjustRightInd/>
              <w:jc w:val="center"/>
              <w:rPr>
                <w:rFonts w:cs="Arial"/>
                <w:b/>
                <w:i/>
                <w:iCs/>
                <w:color w:val="000000"/>
                <w:szCs w:val="20"/>
                <w:highlight w:val="cyan"/>
              </w:rPr>
            </w:pPr>
            <w:r w:rsidRPr="00DF5AF6">
              <w:rPr>
                <w:rFonts w:cs="Arial"/>
                <w:b/>
                <w:i/>
                <w:iCs/>
                <w:color w:val="000000"/>
                <w:szCs w:val="20"/>
                <w:lang w:val="en-GB"/>
              </w:rPr>
              <w:t>2019</w:t>
            </w:r>
          </w:p>
        </w:tc>
        <w:tc>
          <w:tcPr>
            <w:tcW w:w="1455" w:type="dxa"/>
            <w:tcBorders>
              <w:top w:val="nil"/>
              <w:left w:val="nil"/>
              <w:bottom w:val="single" w:sz="12" w:space="0" w:color="auto"/>
              <w:right w:val="nil"/>
            </w:tcBorders>
            <w:shd w:val="clear" w:color="auto" w:fill="auto"/>
            <w:vAlign w:val="center"/>
            <w:hideMark/>
          </w:tcPr>
          <w:p w:rsidR="0033299A" w:rsidRPr="000B16A8" w:rsidRDefault="0033299A" w:rsidP="002973EB">
            <w:pPr>
              <w:widowControl/>
              <w:autoSpaceDE/>
              <w:autoSpaceDN/>
              <w:adjustRightInd/>
              <w:jc w:val="center"/>
              <w:rPr>
                <w:rFonts w:cs="Arial"/>
                <w:b/>
                <w:i/>
                <w:iCs/>
                <w:color w:val="000000"/>
                <w:szCs w:val="20"/>
                <w:highlight w:val="cyan"/>
              </w:rPr>
            </w:pPr>
            <w:r w:rsidRPr="00DF5AF6">
              <w:rPr>
                <w:rFonts w:cs="Arial"/>
                <w:b/>
                <w:i/>
                <w:iCs/>
                <w:color w:val="000000"/>
                <w:szCs w:val="20"/>
                <w:lang w:val="en-GB"/>
              </w:rPr>
              <w:t>2020</w:t>
            </w:r>
          </w:p>
        </w:tc>
      </w:tr>
      <w:tr w:rsidR="0033299A" w:rsidRPr="004E0206" w:rsidTr="00245E18">
        <w:trPr>
          <w:trHeight w:val="325"/>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D-1</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213,943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218,222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222,586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P-5</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182,144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185,787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189,503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P-4</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155,926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159,044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162,225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P-3</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130,694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133,308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135,974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P-2</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106,642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108,775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110,950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lang w:val="en-GB"/>
              </w:rPr>
              <w:t>G-7</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86,833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88,569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lang w:val="en-GB"/>
              </w:rPr>
              <w:t xml:space="preserve">         90,341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rPr>
              <w:t>G-6</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76,933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78,472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80,041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rPr>
              <w:t>G-5</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68,106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69,468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70,858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center"/>
              <w:rPr>
                <w:rFonts w:cs="Arial"/>
                <w:color w:val="000000"/>
                <w:szCs w:val="20"/>
              </w:rPr>
            </w:pPr>
            <w:r w:rsidRPr="004E0206">
              <w:rPr>
                <w:rFonts w:cs="Arial"/>
                <w:color w:val="000000"/>
                <w:szCs w:val="20"/>
              </w:rPr>
              <w:t>G-4</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60,215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61,419 </w:t>
            </w:r>
          </w:p>
        </w:tc>
        <w:tc>
          <w:tcPr>
            <w:tcW w:w="1455" w:type="dxa"/>
            <w:tcBorders>
              <w:top w:val="nil"/>
              <w:left w:val="nil"/>
              <w:bottom w:val="nil"/>
              <w:right w:val="nil"/>
            </w:tcBorders>
            <w:shd w:val="clear" w:color="auto" w:fill="auto"/>
            <w:noWrap/>
            <w:vAlign w:val="center"/>
            <w:hideMark/>
          </w:tcPr>
          <w:p w:rsidR="0033299A" w:rsidRPr="004E0206" w:rsidRDefault="0033299A" w:rsidP="002973EB">
            <w:pPr>
              <w:widowControl/>
              <w:autoSpaceDE/>
              <w:autoSpaceDN/>
              <w:adjustRightInd/>
              <w:jc w:val="right"/>
              <w:rPr>
                <w:rFonts w:cs="Arial"/>
                <w:color w:val="000000"/>
                <w:szCs w:val="20"/>
              </w:rPr>
            </w:pPr>
            <w:r w:rsidRPr="004E0206">
              <w:rPr>
                <w:rFonts w:cs="Arial"/>
                <w:color w:val="000000"/>
                <w:szCs w:val="20"/>
              </w:rPr>
              <w:t xml:space="preserve">         62,648 </w:t>
            </w:r>
          </w:p>
        </w:tc>
      </w:tr>
    </w:tbl>
    <w:p w:rsidR="0033299A" w:rsidRPr="00D3599E" w:rsidRDefault="0033299A" w:rsidP="002973EB">
      <w:pPr>
        <w:rPr>
          <w:rFonts w:cs="Arial"/>
          <w:szCs w:val="18"/>
          <w:lang w:val="en-GB"/>
        </w:rPr>
      </w:pPr>
    </w:p>
    <w:p w:rsidR="0033299A" w:rsidRPr="00D3599E" w:rsidRDefault="0033299A" w:rsidP="002973EB">
      <w:pPr>
        <w:ind w:firstLine="360"/>
        <w:rPr>
          <w:rFonts w:cs="Arial"/>
          <w:b/>
          <w:szCs w:val="18"/>
        </w:rPr>
      </w:pPr>
    </w:p>
    <w:p w:rsidR="0033299A" w:rsidRPr="00903B7F" w:rsidRDefault="00D1452D" w:rsidP="002973EB">
      <w:pPr>
        <w:rPr>
          <w:rFonts w:cs="Arial"/>
          <w:b/>
          <w:sz w:val="22"/>
          <w:szCs w:val="22"/>
          <w:lang w:val="en-GB"/>
        </w:rPr>
      </w:pPr>
      <w:r>
        <w:rPr>
          <w:rFonts w:cs="Arial"/>
          <w:b/>
          <w:sz w:val="22"/>
          <w:szCs w:val="22"/>
          <w:lang w:val="en-GB"/>
        </w:rPr>
        <w:t>Scénarios budgétaires pour</w:t>
      </w:r>
      <w:r w:rsidR="0033299A" w:rsidRPr="008F58F6">
        <w:rPr>
          <w:rFonts w:cs="Arial"/>
          <w:b/>
          <w:sz w:val="22"/>
          <w:szCs w:val="22"/>
          <w:lang w:val="en-GB"/>
        </w:rPr>
        <w:t xml:space="preserve"> 2018- 2020</w:t>
      </w:r>
    </w:p>
    <w:p w:rsidR="0033299A" w:rsidRPr="00D3599E" w:rsidRDefault="0033299A" w:rsidP="002973EB">
      <w:pPr>
        <w:pStyle w:val="NoSpacing"/>
        <w:jc w:val="both"/>
        <w:rPr>
          <w:rFonts w:ascii="Arial" w:hAnsi="Arial" w:cs="Arial"/>
          <w:sz w:val="18"/>
          <w:szCs w:val="18"/>
          <w:lang w:val="en-GB"/>
        </w:rPr>
      </w:pPr>
    </w:p>
    <w:p w:rsidR="0033299A" w:rsidRPr="003331F2" w:rsidRDefault="00BD29BA" w:rsidP="002973EB">
      <w:pPr>
        <w:numPr>
          <w:ilvl w:val="0"/>
          <w:numId w:val="2"/>
        </w:numPr>
        <w:tabs>
          <w:tab w:val="left" w:pos="360"/>
        </w:tabs>
        <w:contextualSpacing/>
        <w:jc w:val="both"/>
        <w:rPr>
          <w:rFonts w:cs="Arial"/>
          <w:sz w:val="22"/>
          <w:szCs w:val="22"/>
          <w:lang w:val="fr-FR"/>
        </w:rPr>
      </w:pPr>
      <w:r w:rsidRPr="003331F2">
        <w:rPr>
          <w:rFonts w:cs="Arial"/>
          <w:sz w:val="22"/>
          <w:szCs w:val="22"/>
          <w:lang w:val="fr-FR"/>
        </w:rPr>
        <w:t xml:space="preserve">Pour les </w:t>
      </w:r>
      <w:r w:rsidR="003331F2" w:rsidRPr="003331F2">
        <w:rPr>
          <w:rFonts w:cs="Arial"/>
          <w:sz w:val="22"/>
          <w:szCs w:val="22"/>
          <w:lang w:val="fr-FR"/>
        </w:rPr>
        <w:t>différent</w:t>
      </w:r>
      <w:r w:rsidR="003331F2">
        <w:rPr>
          <w:rFonts w:cs="Arial"/>
          <w:sz w:val="22"/>
          <w:szCs w:val="22"/>
          <w:lang w:val="fr-FR"/>
        </w:rPr>
        <w:t>s</w:t>
      </w:r>
      <w:r w:rsidRPr="003331F2">
        <w:rPr>
          <w:rFonts w:cs="Arial"/>
          <w:sz w:val="22"/>
          <w:szCs w:val="22"/>
          <w:lang w:val="fr-FR"/>
        </w:rPr>
        <w:t xml:space="preserve"> </w:t>
      </w:r>
      <w:r w:rsidR="003331F2">
        <w:rPr>
          <w:rFonts w:cs="Arial"/>
          <w:sz w:val="22"/>
          <w:szCs w:val="22"/>
          <w:lang w:val="fr-FR"/>
        </w:rPr>
        <w:t>scé</w:t>
      </w:r>
      <w:r w:rsidRPr="003331F2">
        <w:rPr>
          <w:rFonts w:cs="Arial"/>
          <w:sz w:val="22"/>
          <w:szCs w:val="22"/>
          <w:lang w:val="fr-FR"/>
        </w:rPr>
        <w:t xml:space="preserve">narios </w:t>
      </w:r>
      <w:r w:rsidR="003331F2" w:rsidRPr="003331F2">
        <w:rPr>
          <w:rFonts w:cs="Arial"/>
          <w:sz w:val="22"/>
          <w:szCs w:val="22"/>
          <w:lang w:val="fr-FR"/>
        </w:rPr>
        <w:t>dé</w:t>
      </w:r>
      <w:r w:rsidRPr="003331F2">
        <w:rPr>
          <w:rFonts w:cs="Arial"/>
          <w:sz w:val="22"/>
          <w:szCs w:val="22"/>
          <w:lang w:val="fr-FR"/>
        </w:rPr>
        <w:t xml:space="preserve">crits ci-dessous, le budget a été </w:t>
      </w:r>
      <w:r w:rsidR="005F7DB0">
        <w:rPr>
          <w:rFonts w:cs="Arial"/>
          <w:sz w:val="22"/>
          <w:szCs w:val="22"/>
          <w:lang w:val="fr-FR"/>
        </w:rPr>
        <w:t>ventilé par catégorie comme suit</w:t>
      </w:r>
      <w:r w:rsidRPr="003331F2">
        <w:rPr>
          <w:rFonts w:cs="Arial"/>
          <w:sz w:val="22"/>
          <w:szCs w:val="22"/>
          <w:lang w:val="fr-FR"/>
        </w:rPr>
        <w:t>:</w:t>
      </w:r>
      <w:r w:rsidR="0033299A" w:rsidRPr="003331F2">
        <w:rPr>
          <w:rFonts w:cs="Arial"/>
          <w:sz w:val="22"/>
          <w:szCs w:val="22"/>
          <w:lang w:val="fr-FR"/>
        </w:rPr>
        <w:t xml:space="preserve"> </w:t>
      </w:r>
    </w:p>
    <w:p w:rsidR="0033299A" w:rsidRPr="00903B7F" w:rsidRDefault="003331F2" w:rsidP="00AA2D9E">
      <w:pPr>
        <w:pStyle w:val="NoSpacing"/>
        <w:numPr>
          <w:ilvl w:val="0"/>
          <w:numId w:val="4"/>
        </w:numPr>
        <w:spacing w:after="60"/>
        <w:jc w:val="both"/>
        <w:rPr>
          <w:rFonts w:ascii="Arial" w:hAnsi="Arial" w:cs="Arial"/>
        </w:rPr>
      </w:pPr>
      <w:r>
        <w:rPr>
          <w:rFonts w:ascii="Arial" w:hAnsi="Arial" w:cs="Arial"/>
          <w:lang w:val="fr-FR"/>
        </w:rPr>
        <w:t>Personnel</w:t>
      </w:r>
      <w:r w:rsidR="0033299A" w:rsidRPr="00903B7F">
        <w:rPr>
          <w:rFonts w:ascii="Arial" w:hAnsi="Arial" w:cs="Arial"/>
        </w:rPr>
        <w:t xml:space="preserve">  </w:t>
      </w:r>
    </w:p>
    <w:p w:rsidR="0033299A" w:rsidRPr="00903B7F" w:rsidRDefault="003331F2" w:rsidP="00AA2D9E">
      <w:pPr>
        <w:pStyle w:val="NoSpacing"/>
        <w:numPr>
          <w:ilvl w:val="0"/>
          <w:numId w:val="4"/>
        </w:numPr>
        <w:spacing w:after="60"/>
        <w:jc w:val="both"/>
        <w:rPr>
          <w:rFonts w:ascii="Arial" w:hAnsi="Arial" w:cs="Arial"/>
        </w:rPr>
      </w:pPr>
      <w:r>
        <w:rPr>
          <w:rFonts w:ascii="Arial" w:hAnsi="Arial" w:cs="Arial"/>
        </w:rPr>
        <w:t>Services contractuels</w:t>
      </w:r>
    </w:p>
    <w:p w:rsidR="0033299A" w:rsidRPr="00903B7F" w:rsidRDefault="003331F2" w:rsidP="00AA2D9E">
      <w:pPr>
        <w:pStyle w:val="NoSpacing"/>
        <w:numPr>
          <w:ilvl w:val="0"/>
          <w:numId w:val="4"/>
        </w:numPr>
        <w:spacing w:after="60"/>
        <w:jc w:val="both"/>
        <w:rPr>
          <w:rFonts w:ascii="Arial" w:hAnsi="Arial" w:cs="Arial"/>
        </w:rPr>
      </w:pPr>
      <w:r>
        <w:rPr>
          <w:rFonts w:ascii="Arial" w:hAnsi="Arial" w:cs="Arial"/>
        </w:rPr>
        <w:t>Coûts d</w:t>
      </w:r>
      <w:r w:rsidR="005F7DB0">
        <w:rPr>
          <w:rFonts w:ascii="Arial" w:hAnsi="Arial" w:cs="Arial"/>
        </w:rPr>
        <w:t>e fonctionnement</w:t>
      </w:r>
      <w:r w:rsidR="0033299A" w:rsidRPr="00903B7F">
        <w:rPr>
          <w:rFonts w:ascii="Arial" w:hAnsi="Arial" w:cs="Arial"/>
        </w:rPr>
        <w:t xml:space="preserve"> </w:t>
      </w:r>
    </w:p>
    <w:p w:rsidR="0033299A" w:rsidRPr="00903B7F" w:rsidRDefault="003331F2" w:rsidP="00AA2D9E">
      <w:pPr>
        <w:pStyle w:val="NoSpacing"/>
        <w:numPr>
          <w:ilvl w:val="0"/>
          <w:numId w:val="4"/>
        </w:numPr>
        <w:spacing w:after="60"/>
        <w:jc w:val="both"/>
        <w:rPr>
          <w:rFonts w:ascii="Arial" w:hAnsi="Arial" w:cs="Arial"/>
        </w:rPr>
      </w:pPr>
      <w:r>
        <w:rPr>
          <w:rFonts w:ascii="Arial" w:hAnsi="Arial" w:cs="Arial"/>
        </w:rPr>
        <w:lastRenderedPageBreak/>
        <w:t>Fournitures</w:t>
      </w:r>
    </w:p>
    <w:p w:rsidR="0033299A" w:rsidRPr="00903B7F" w:rsidRDefault="005F7DB0" w:rsidP="00AA2D9E">
      <w:pPr>
        <w:pStyle w:val="NoSpacing"/>
        <w:numPr>
          <w:ilvl w:val="0"/>
          <w:numId w:val="4"/>
        </w:numPr>
        <w:spacing w:after="60"/>
        <w:jc w:val="both"/>
        <w:rPr>
          <w:rFonts w:ascii="Arial" w:hAnsi="Arial" w:cs="Arial"/>
        </w:rPr>
      </w:pPr>
      <w:r>
        <w:rPr>
          <w:rFonts w:ascii="Arial" w:hAnsi="Arial" w:cs="Arial"/>
        </w:rPr>
        <w:t>Matériel</w:t>
      </w:r>
    </w:p>
    <w:p w:rsidR="0033299A" w:rsidRPr="00903B7F" w:rsidRDefault="003331F2" w:rsidP="00AA2D9E">
      <w:pPr>
        <w:pStyle w:val="NoSpacing"/>
        <w:numPr>
          <w:ilvl w:val="0"/>
          <w:numId w:val="4"/>
        </w:numPr>
        <w:spacing w:after="60"/>
        <w:jc w:val="both"/>
        <w:rPr>
          <w:rFonts w:ascii="Arial" w:hAnsi="Arial" w:cs="Arial"/>
        </w:rPr>
      </w:pPr>
      <w:r>
        <w:rPr>
          <w:rFonts w:ascii="Arial" w:hAnsi="Arial" w:cs="Arial"/>
        </w:rPr>
        <w:t>Voyages</w:t>
      </w:r>
      <w:r w:rsidR="0033299A" w:rsidRPr="00903B7F">
        <w:rPr>
          <w:rFonts w:ascii="Arial" w:hAnsi="Arial" w:cs="Arial"/>
        </w:rPr>
        <w:t xml:space="preserve"> </w:t>
      </w:r>
    </w:p>
    <w:p w:rsidR="0033299A" w:rsidRPr="003331F2" w:rsidRDefault="003331F2" w:rsidP="00AA2D9E">
      <w:pPr>
        <w:pStyle w:val="NoSpacing"/>
        <w:numPr>
          <w:ilvl w:val="0"/>
          <w:numId w:val="4"/>
        </w:numPr>
        <w:spacing w:after="60"/>
        <w:jc w:val="both"/>
        <w:rPr>
          <w:rFonts w:ascii="Arial" w:hAnsi="Arial" w:cs="Arial"/>
          <w:lang w:val="fr-FR"/>
        </w:rPr>
      </w:pPr>
      <w:r w:rsidRPr="003331F2">
        <w:rPr>
          <w:rFonts w:ascii="Arial" w:hAnsi="Arial" w:cs="Arial"/>
          <w:lang w:val="fr-FR"/>
        </w:rPr>
        <w:t>Dépenses d’appui aux programmes</w:t>
      </w:r>
      <w:r w:rsidR="0033299A" w:rsidRPr="003331F2">
        <w:rPr>
          <w:rFonts w:ascii="Arial" w:hAnsi="Arial" w:cs="Arial"/>
          <w:lang w:val="fr-FR"/>
        </w:rPr>
        <w:t xml:space="preserve"> (13 p</w:t>
      </w:r>
      <w:r w:rsidRPr="003331F2">
        <w:rPr>
          <w:rFonts w:ascii="Arial" w:hAnsi="Arial" w:cs="Arial"/>
          <w:lang w:val="fr-FR"/>
        </w:rPr>
        <w:t xml:space="preserve">our cent des </w:t>
      </w:r>
      <w:r>
        <w:rPr>
          <w:rFonts w:ascii="Arial" w:hAnsi="Arial" w:cs="Arial"/>
          <w:lang w:val="fr-FR"/>
        </w:rPr>
        <w:t>frais généraux du PNUE)</w:t>
      </w:r>
    </w:p>
    <w:p w:rsidR="001E0D2C" w:rsidRPr="00D3599E" w:rsidRDefault="001E0D2C" w:rsidP="002973EB">
      <w:pPr>
        <w:pStyle w:val="NoSpacing"/>
        <w:spacing w:before="60" w:after="60"/>
        <w:ind w:left="720"/>
        <w:jc w:val="both"/>
        <w:rPr>
          <w:rFonts w:ascii="Arial" w:hAnsi="Arial" w:cs="Arial"/>
          <w:sz w:val="18"/>
          <w:szCs w:val="18"/>
          <w:lang w:val="fr-FR"/>
        </w:rPr>
      </w:pPr>
    </w:p>
    <w:p w:rsidR="0033299A" w:rsidRPr="00AE1845" w:rsidRDefault="003331F2" w:rsidP="002973EB">
      <w:pPr>
        <w:numPr>
          <w:ilvl w:val="0"/>
          <w:numId w:val="2"/>
        </w:numPr>
        <w:tabs>
          <w:tab w:val="left" w:pos="360"/>
        </w:tabs>
        <w:contextualSpacing/>
        <w:jc w:val="both"/>
        <w:rPr>
          <w:rFonts w:cs="Arial"/>
          <w:sz w:val="22"/>
          <w:szCs w:val="22"/>
          <w:lang w:val="fr-FR"/>
        </w:rPr>
      </w:pPr>
      <w:r w:rsidRPr="003331F2">
        <w:rPr>
          <w:rFonts w:cs="Arial"/>
          <w:sz w:val="22"/>
          <w:szCs w:val="22"/>
          <w:lang w:val="fr-FR"/>
        </w:rPr>
        <w:t xml:space="preserve">D’autres </w:t>
      </w:r>
      <w:r w:rsidR="00AE1845" w:rsidRPr="003331F2">
        <w:rPr>
          <w:rFonts w:cs="Arial"/>
          <w:sz w:val="22"/>
          <w:szCs w:val="22"/>
          <w:lang w:val="fr-FR"/>
        </w:rPr>
        <w:t>détails</w:t>
      </w:r>
      <w:r w:rsidRPr="003331F2">
        <w:rPr>
          <w:rFonts w:cs="Arial"/>
          <w:sz w:val="22"/>
          <w:szCs w:val="22"/>
          <w:lang w:val="fr-FR"/>
        </w:rPr>
        <w:t xml:space="preserve"> sont fournis pour chaque scénario à l’Annexe 1. Les chiffres en rouge dans le </w:t>
      </w:r>
      <w:r w:rsidR="005F7DB0">
        <w:rPr>
          <w:rFonts w:cs="Arial"/>
          <w:sz w:val="22"/>
          <w:szCs w:val="22"/>
          <w:lang w:val="fr-FR"/>
        </w:rPr>
        <w:t>budget proposé</w:t>
      </w:r>
      <w:r w:rsidRPr="003331F2">
        <w:rPr>
          <w:rFonts w:cs="Arial"/>
          <w:sz w:val="22"/>
          <w:szCs w:val="22"/>
          <w:lang w:val="fr-FR"/>
        </w:rPr>
        <w:t xml:space="preserve"> in</w:t>
      </w:r>
      <w:r w:rsidR="00AE1845">
        <w:rPr>
          <w:rFonts w:cs="Arial"/>
          <w:sz w:val="22"/>
          <w:szCs w:val="22"/>
          <w:lang w:val="fr-FR"/>
        </w:rPr>
        <w:t>diquent</w:t>
      </w:r>
      <w:r w:rsidRPr="003331F2">
        <w:rPr>
          <w:rFonts w:cs="Arial"/>
          <w:sz w:val="22"/>
          <w:szCs w:val="22"/>
          <w:lang w:val="fr-FR"/>
        </w:rPr>
        <w:t xml:space="preserve"> qu’une </w:t>
      </w:r>
      <w:r w:rsidR="00AE1845" w:rsidRPr="003331F2">
        <w:rPr>
          <w:rFonts w:cs="Arial"/>
          <w:sz w:val="22"/>
          <w:szCs w:val="22"/>
          <w:lang w:val="fr-FR"/>
        </w:rPr>
        <w:t>augmentation</w:t>
      </w:r>
      <w:r w:rsidRPr="003331F2">
        <w:rPr>
          <w:rFonts w:cs="Arial"/>
          <w:sz w:val="22"/>
          <w:szCs w:val="22"/>
          <w:lang w:val="fr-FR"/>
        </w:rPr>
        <w:t xml:space="preserve"> </w:t>
      </w:r>
      <w:r w:rsidR="00AE1845">
        <w:rPr>
          <w:rFonts w:cs="Arial"/>
          <w:sz w:val="22"/>
          <w:szCs w:val="22"/>
          <w:lang w:val="fr-FR"/>
        </w:rPr>
        <w:t>du mo</w:t>
      </w:r>
      <w:r w:rsidRPr="003331F2">
        <w:rPr>
          <w:rFonts w:cs="Arial"/>
          <w:sz w:val="22"/>
          <w:szCs w:val="22"/>
          <w:lang w:val="fr-FR"/>
        </w:rPr>
        <w:t>ntant d</w:t>
      </w:r>
      <w:r w:rsidR="00DF5829">
        <w:rPr>
          <w:rFonts w:cs="Arial"/>
          <w:sz w:val="22"/>
          <w:szCs w:val="22"/>
          <w:lang w:val="fr-FR"/>
        </w:rPr>
        <w:t>u</w:t>
      </w:r>
      <w:r w:rsidRPr="003331F2">
        <w:rPr>
          <w:rFonts w:cs="Arial"/>
          <w:sz w:val="22"/>
          <w:szCs w:val="22"/>
          <w:lang w:val="fr-FR"/>
        </w:rPr>
        <w:t xml:space="preserve"> poste </w:t>
      </w:r>
      <w:r w:rsidR="00AE1845" w:rsidRPr="003331F2">
        <w:rPr>
          <w:rFonts w:cs="Arial"/>
          <w:sz w:val="22"/>
          <w:szCs w:val="22"/>
          <w:lang w:val="fr-FR"/>
        </w:rPr>
        <w:t>budgétaire</w:t>
      </w:r>
      <w:r w:rsidR="00AE1845">
        <w:rPr>
          <w:rFonts w:cs="Arial"/>
          <w:sz w:val="22"/>
          <w:szCs w:val="22"/>
          <w:lang w:val="fr-FR"/>
        </w:rPr>
        <w:t xml:space="preserve"> </w:t>
      </w:r>
      <w:r w:rsidR="00DF5829">
        <w:rPr>
          <w:rFonts w:cs="Arial"/>
          <w:sz w:val="22"/>
          <w:szCs w:val="22"/>
          <w:lang w:val="fr-FR"/>
        </w:rPr>
        <w:t xml:space="preserve">est proposée </w:t>
      </w:r>
      <w:r w:rsidR="00AE1845">
        <w:rPr>
          <w:rFonts w:cs="Arial"/>
          <w:sz w:val="22"/>
          <w:szCs w:val="22"/>
          <w:lang w:val="fr-FR"/>
        </w:rPr>
        <w:t>p</w:t>
      </w:r>
      <w:r w:rsidRPr="003331F2">
        <w:rPr>
          <w:rFonts w:cs="Arial"/>
          <w:sz w:val="22"/>
          <w:szCs w:val="22"/>
          <w:lang w:val="fr-FR"/>
        </w:rPr>
        <w:t>ar rapport au sc</w:t>
      </w:r>
      <w:r w:rsidR="00AE1845">
        <w:rPr>
          <w:rFonts w:cs="Arial"/>
          <w:sz w:val="22"/>
          <w:szCs w:val="22"/>
          <w:lang w:val="fr-FR"/>
        </w:rPr>
        <w:t>é</w:t>
      </w:r>
      <w:r w:rsidRPr="003331F2">
        <w:rPr>
          <w:rFonts w:cs="Arial"/>
          <w:sz w:val="22"/>
          <w:szCs w:val="22"/>
          <w:lang w:val="fr-FR"/>
        </w:rPr>
        <w:t xml:space="preserve">nario </w:t>
      </w:r>
      <w:r w:rsidR="00AE1845">
        <w:rPr>
          <w:rFonts w:cs="Arial"/>
          <w:sz w:val="22"/>
          <w:szCs w:val="22"/>
          <w:lang w:val="fr-FR"/>
        </w:rPr>
        <w:t>précédent.</w:t>
      </w:r>
      <w:r w:rsidRPr="003331F2">
        <w:rPr>
          <w:rFonts w:cs="Arial"/>
          <w:sz w:val="22"/>
          <w:szCs w:val="22"/>
          <w:lang w:val="fr-FR"/>
        </w:rPr>
        <w:t xml:space="preserve"> L’</w:t>
      </w:r>
      <w:r w:rsidR="00AE1845">
        <w:rPr>
          <w:rFonts w:cs="Arial"/>
          <w:sz w:val="22"/>
          <w:szCs w:val="22"/>
          <w:lang w:val="fr-FR"/>
        </w:rPr>
        <w:t>Annexe 2 don</w:t>
      </w:r>
      <w:r w:rsidRPr="003331F2">
        <w:rPr>
          <w:rFonts w:cs="Arial"/>
          <w:sz w:val="22"/>
          <w:szCs w:val="22"/>
          <w:lang w:val="fr-FR"/>
        </w:rPr>
        <w:t xml:space="preserve">ne un </w:t>
      </w:r>
      <w:r w:rsidR="00AE1845">
        <w:rPr>
          <w:rFonts w:cs="Arial"/>
          <w:sz w:val="22"/>
          <w:szCs w:val="22"/>
          <w:lang w:val="fr-FR"/>
        </w:rPr>
        <w:t>a</w:t>
      </w:r>
      <w:r w:rsidRPr="003331F2">
        <w:rPr>
          <w:rFonts w:cs="Arial"/>
          <w:sz w:val="22"/>
          <w:szCs w:val="22"/>
          <w:lang w:val="fr-FR"/>
        </w:rPr>
        <w:t xml:space="preserve">perçu du </w:t>
      </w:r>
      <w:r w:rsidR="00AE1845" w:rsidRPr="003331F2">
        <w:rPr>
          <w:rFonts w:cs="Arial"/>
          <w:sz w:val="22"/>
          <w:szCs w:val="22"/>
          <w:lang w:val="fr-FR"/>
        </w:rPr>
        <w:t>barème</w:t>
      </w:r>
      <w:r w:rsidRPr="003331F2">
        <w:rPr>
          <w:rFonts w:cs="Arial"/>
          <w:sz w:val="22"/>
          <w:szCs w:val="22"/>
          <w:lang w:val="fr-FR"/>
        </w:rPr>
        <w:t xml:space="preserve"> des </w:t>
      </w:r>
      <w:r w:rsidR="00AE1845">
        <w:rPr>
          <w:rFonts w:cs="Arial"/>
          <w:sz w:val="22"/>
          <w:szCs w:val="22"/>
          <w:lang w:val="fr-FR"/>
        </w:rPr>
        <w:t>c</w:t>
      </w:r>
      <w:r w:rsidRPr="003331F2">
        <w:rPr>
          <w:rFonts w:cs="Arial"/>
          <w:sz w:val="22"/>
          <w:szCs w:val="22"/>
          <w:lang w:val="fr-FR"/>
        </w:rPr>
        <w:t>ontribut</w:t>
      </w:r>
      <w:r w:rsidR="00AE1845">
        <w:rPr>
          <w:rFonts w:cs="Arial"/>
          <w:sz w:val="22"/>
          <w:szCs w:val="22"/>
          <w:lang w:val="fr-FR"/>
        </w:rPr>
        <w:t>i</w:t>
      </w:r>
      <w:r w:rsidRPr="003331F2">
        <w:rPr>
          <w:rFonts w:cs="Arial"/>
          <w:sz w:val="22"/>
          <w:szCs w:val="22"/>
          <w:lang w:val="fr-FR"/>
        </w:rPr>
        <w:t xml:space="preserve">ons </w:t>
      </w:r>
      <w:r w:rsidR="00DF5829">
        <w:rPr>
          <w:rFonts w:cs="Arial"/>
          <w:sz w:val="22"/>
          <w:szCs w:val="22"/>
          <w:lang w:val="fr-FR"/>
        </w:rPr>
        <w:t>annuelles pour les</w:t>
      </w:r>
      <w:r w:rsidRPr="003331F2">
        <w:rPr>
          <w:rFonts w:cs="Arial"/>
          <w:sz w:val="22"/>
          <w:szCs w:val="22"/>
          <w:lang w:val="fr-FR"/>
        </w:rPr>
        <w:t xml:space="preserve"> Parties pour la période 2018-2020 av</w:t>
      </w:r>
      <w:r w:rsidR="00AE1845">
        <w:rPr>
          <w:rFonts w:cs="Arial"/>
          <w:sz w:val="22"/>
          <w:szCs w:val="22"/>
          <w:lang w:val="fr-FR"/>
        </w:rPr>
        <w:t>e</w:t>
      </w:r>
      <w:r w:rsidRPr="003331F2">
        <w:rPr>
          <w:rFonts w:cs="Arial"/>
          <w:sz w:val="22"/>
          <w:szCs w:val="22"/>
          <w:lang w:val="fr-FR"/>
        </w:rPr>
        <w:t>c de</w:t>
      </w:r>
      <w:r w:rsidR="00AE1845">
        <w:rPr>
          <w:rFonts w:cs="Arial"/>
          <w:sz w:val="22"/>
          <w:szCs w:val="22"/>
          <w:lang w:val="fr-FR"/>
        </w:rPr>
        <w:t>s</w:t>
      </w:r>
      <w:r w:rsidRPr="003331F2">
        <w:rPr>
          <w:rFonts w:cs="Arial"/>
          <w:sz w:val="22"/>
          <w:szCs w:val="22"/>
          <w:lang w:val="fr-FR"/>
        </w:rPr>
        <w:t xml:space="preserve"> contributions annuelles moyennes indicatives </w:t>
      </w:r>
      <w:r w:rsidR="00DF5829">
        <w:rPr>
          <w:rFonts w:cs="Arial"/>
          <w:sz w:val="22"/>
          <w:szCs w:val="22"/>
          <w:lang w:val="fr-FR"/>
        </w:rPr>
        <w:t>selon</w:t>
      </w:r>
      <w:r w:rsidRPr="003331F2">
        <w:rPr>
          <w:rFonts w:cs="Arial"/>
          <w:sz w:val="22"/>
          <w:szCs w:val="22"/>
          <w:lang w:val="fr-FR"/>
        </w:rPr>
        <w:t xml:space="preserve"> le </w:t>
      </w:r>
      <w:r w:rsidR="00DF5829">
        <w:rPr>
          <w:rFonts w:cs="Arial"/>
          <w:sz w:val="22"/>
          <w:szCs w:val="22"/>
          <w:lang w:val="fr-FR"/>
        </w:rPr>
        <w:t>budget proposé.</w:t>
      </w:r>
      <w:r w:rsidRPr="003331F2">
        <w:rPr>
          <w:rFonts w:cs="Arial"/>
          <w:sz w:val="22"/>
          <w:szCs w:val="22"/>
          <w:lang w:val="fr-FR"/>
        </w:rPr>
        <w:t xml:space="preserve"> </w:t>
      </w:r>
      <w:r w:rsidRPr="00AE1845">
        <w:rPr>
          <w:rFonts w:cs="Arial"/>
          <w:sz w:val="22"/>
          <w:szCs w:val="22"/>
          <w:lang w:val="fr-FR"/>
        </w:rPr>
        <w:t>Cette annexe</w:t>
      </w:r>
      <w:r w:rsidR="00AE1845">
        <w:rPr>
          <w:rFonts w:cs="Arial"/>
          <w:sz w:val="22"/>
          <w:szCs w:val="22"/>
          <w:lang w:val="fr-FR"/>
        </w:rPr>
        <w:t xml:space="preserve"> indique</w:t>
      </w:r>
      <w:r w:rsidRPr="00AE1845">
        <w:rPr>
          <w:rFonts w:cs="Arial"/>
          <w:sz w:val="22"/>
          <w:szCs w:val="22"/>
          <w:lang w:val="fr-FR"/>
        </w:rPr>
        <w:t xml:space="preserve"> également, pour comparai</w:t>
      </w:r>
      <w:r w:rsidR="00AE1845">
        <w:rPr>
          <w:rFonts w:cs="Arial"/>
          <w:sz w:val="22"/>
          <w:szCs w:val="22"/>
          <w:lang w:val="fr-FR"/>
        </w:rPr>
        <w:t>s</w:t>
      </w:r>
      <w:r w:rsidRPr="00AE1845">
        <w:rPr>
          <w:rFonts w:cs="Arial"/>
          <w:sz w:val="22"/>
          <w:szCs w:val="22"/>
          <w:lang w:val="fr-FR"/>
        </w:rPr>
        <w:t>o</w:t>
      </w:r>
      <w:r w:rsidR="00AE1845">
        <w:rPr>
          <w:rFonts w:cs="Arial"/>
          <w:sz w:val="22"/>
          <w:szCs w:val="22"/>
          <w:lang w:val="fr-FR"/>
        </w:rPr>
        <w:t>n</w:t>
      </w:r>
      <w:r w:rsidRPr="00AE1845">
        <w:rPr>
          <w:rFonts w:cs="Arial"/>
          <w:sz w:val="22"/>
          <w:szCs w:val="22"/>
          <w:lang w:val="fr-FR"/>
        </w:rPr>
        <w:t>, l</w:t>
      </w:r>
      <w:r w:rsidR="00DF5829">
        <w:rPr>
          <w:rFonts w:cs="Arial"/>
          <w:sz w:val="22"/>
          <w:szCs w:val="22"/>
          <w:lang w:val="fr-FR"/>
        </w:rPr>
        <w:t>es</w:t>
      </w:r>
      <w:r w:rsidRPr="00AE1845">
        <w:rPr>
          <w:rFonts w:cs="Arial"/>
          <w:sz w:val="22"/>
          <w:szCs w:val="22"/>
          <w:lang w:val="fr-FR"/>
        </w:rPr>
        <w:t xml:space="preserve"> </w:t>
      </w:r>
      <w:r w:rsidR="00AE1845" w:rsidRPr="00AE1845">
        <w:rPr>
          <w:rFonts w:cs="Arial"/>
          <w:sz w:val="22"/>
          <w:szCs w:val="22"/>
          <w:lang w:val="fr-FR"/>
        </w:rPr>
        <w:t>contribution</w:t>
      </w:r>
      <w:r w:rsidR="00DF5829">
        <w:rPr>
          <w:rFonts w:cs="Arial"/>
          <w:sz w:val="22"/>
          <w:szCs w:val="22"/>
          <w:lang w:val="fr-FR"/>
        </w:rPr>
        <w:t>s ordinaires</w:t>
      </w:r>
      <w:r w:rsidRPr="00AE1845">
        <w:rPr>
          <w:rFonts w:cs="Arial"/>
          <w:sz w:val="22"/>
          <w:szCs w:val="22"/>
          <w:lang w:val="fr-FR"/>
        </w:rPr>
        <w:t xml:space="preserve"> pour la période 2015-2017 et le barème des </w:t>
      </w:r>
      <w:r w:rsidR="00AE1845" w:rsidRPr="00AE1845">
        <w:rPr>
          <w:rFonts w:cs="Arial"/>
          <w:sz w:val="22"/>
          <w:szCs w:val="22"/>
          <w:lang w:val="fr-FR"/>
        </w:rPr>
        <w:t>qu</w:t>
      </w:r>
      <w:r w:rsidR="00AE1845">
        <w:rPr>
          <w:rFonts w:cs="Arial"/>
          <w:sz w:val="22"/>
          <w:szCs w:val="22"/>
          <w:lang w:val="fr-FR"/>
        </w:rPr>
        <w:t>o</w:t>
      </w:r>
      <w:r w:rsidR="00AE1845" w:rsidRPr="00AE1845">
        <w:rPr>
          <w:rFonts w:cs="Arial"/>
          <w:sz w:val="22"/>
          <w:szCs w:val="22"/>
          <w:lang w:val="fr-FR"/>
        </w:rPr>
        <w:t>tes-parts de l’ONU</w:t>
      </w:r>
      <w:r w:rsidR="0033299A" w:rsidRPr="00AE1845">
        <w:rPr>
          <w:rFonts w:cs="Arial"/>
          <w:sz w:val="22"/>
          <w:szCs w:val="22"/>
          <w:lang w:val="fr-FR"/>
        </w:rPr>
        <w:t>.</w:t>
      </w:r>
    </w:p>
    <w:p w:rsidR="0033299A" w:rsidRPr="00D3599E" w:rsidRDefault="0033299A" w:rsidP="002973EB">
      <w:pPr>
        <w:pStyle w:val="NoSpacing"/>
        <w:jc w:val="both"/>
        <w:rPr>
          <w:rFonts w:ascii="Arial" w:hAnsi="Arial" w:cs="Arial"/>
          <w:sz w:val="18"/>
          <w:szCs w:val="18"/>
          <w:lang w:val="fr-FR"/>
        </w:rPr>
      </w:pPr>
    </w:p>
    <w:p w:rsidR="0033299A" w:rsidRPr="00AE1845" w:rsidRDefault="0033299A" w:rsidP="002973EB">
      <w:pPr>
        <w:pStyle w:val="NoSpacing"/>
        <w:jc w:val="both"/>
        <w:rPr>
          <w:rFonts w:ascii="Arial" w:hAnsi="Arial" w:cs="Arial"/>
          <w:b/>
          <w:lang w:val="fr-FR"/>
        </w:rPr>
      </w:pPr>
      <w:r w:rsidRPr="00AE1845">
        <w:rPr>
          <w:rFonts w:ascii="Arial" w:hAnsi="Arial" w:cs="Arial"/>
          <w:b/>
          <w:lang w:val="fr-FR"/>
        </w:rPr>
        <w:t>Sc</w:t>
      </w:r>
      <w:r w:rsidR="00AE1845" w:rsidRPr="00AE1845">
        <w:rPr>
          <w:rFonts w:ascii="Arial" w:hAnsi="Arial" w:cs="Arial"/>
          <w:b/>
          <w:lang w:val="fr-FR"/>
        </w:rPr>
        <w:t>é</w:t>
      </w:r>
      <w:r w:rsidRPr="00AE1845">
        <w:rPr>
          <w:rFonts w:ascii="Arial" w:hAnsi="Arial" w:cs="Arial"/>
          <w:b/>
          <w:lang w:val="fr-FR"/>
        </w:rPr>
        <w:t xml:space="preserve">nario 1: </w:t>
      </w:r>
      <w:r w:rsidR="00AE1845" w:rsidRPr="00AE1845">
        <w:rPr>
          <w:rFonts w:ascii="Arial" w:hAnsi="Arial" w:cs="Arial"/>
          <w:b/>
          <w:lang w:val="fr-FR"/>
        </w:rPr>
        <w:t>Croissance nominale z</w:t>
      </w:r>
      <w:r w:rsidR="00AE1845">
        <w:rPr>
          <w:rFonts w:ascii="Arial" w:hAnsi="Arial" w:cs="Arial"/>
          <w:b/>
          <w:lang w:val="fr-FR"/>
        </w:rPr>
        <w:t>é</w:t>
      </w:r>
      <w:r w:rsidR="00AE1845" w:rsidRPr="00AE1845">
        <w:rPr>
          <w:rFonts w:ascii="Arial" w:hAnsi="Arial" w:cs="Arial"/>
          <w:b/>
          <w:lang w:val="fr-FR"/>
        </w:rPr>
        <w:t xml:space="preserve">ro par rapport au budget </w:t>
      </w:r>
      <w:r w:rsidRPr="00AE1845">
        <w:rPr>
          <w:rFonts w:ascii="Arial" w:hAnsi="Arial" w:cs="Arial"/>
          <w:b/>
          <w:lang w:val="fr-FR"/>
        </w:rPr>
        <w:t>2015 - 2017</w:t>
      </w:r>
    </w:p>
    <w:p w:rsidR="0033299A" w:rsidRPr="00D3599E" w:rsidRDefault="0033299A" w:rsidP="002973EB">
      <w:pPr>
        <w:pStyle w:val="NoSpacing"/>
        <w:jc w:val="both"/>
        <w:rPr>
          <w:rFonts w:ascii="Arial" w:hAnsi="Arial" w:cs="Arial"/>
          <w:b/>
          <w:sz w:val="18"/>
          <w:szCs w:val="18"/>
          <w:lang w:val="fr-FR"/>
        </w:rPr>
      </w:pPr>
    </w:p>
    <w:p w:rsidR="0033299A" w:rsidRPr="006A4C13" w:rsidRDefault="00100D0F" w:rsidP="002973EB">
      <w:pPr>
        <w:numPr>
          <w:ilvl w:val="0"/>
          <w:numId w:val="2"/>
        </w:numPr>
        <w:tabs>
          <w:tab w:val="left" w:pos="360"/>
        </w:tabs>
        <w:contextualSpacing/>
        <w:jc w:val="both"/>
        <w:rPr>
          <w:rFonts w:cs="Arial"/>
          <w:sz w:val="22"/>
          <w:szCs w:val="22"/>
          <w:lang w:val="fr-FR"/>
        </w:rPr>
      </w:pPr>
      <w:r w:rsidRPr="00100D0F">
        <w:rPr>
          <w:rFonts w:cs="Arial"/>
          <w:sz w:val="22"/>
          <w:szCs w:val="22"/>
          <w:lang w:val="fr-FR"/>
        </w:rPr>
        <w:t xml:space="preserve">Sous le scénario 1, aucune augmentation n’est prévue par rapport au budget approuvé pour la période triennale </w:t>
      </w:r>
      <w:r w:rsidR="0033299A" w:rsidRPr="00100D0F">
        <w:rPr>
          <w:rFonts w:cs="Arial"/>
          <w:sz w:val="22"/>
          <w:szCs w:val="22"/>
          <w:lang w:val="fr-FR"/>
        </w:rPr>
        <w:t xml:space="preserve">2015-2017. </w:t>
      </w:r>
      <w:r w:rsidRPr="00100D0F">
        <w:rPr>
          <w:rFonts w:cs="Arial"/>
          <w:sz w:val="22"/>
          <w:szCs w:val="22"/>
          <w:lang w:val="fr-FR"/>
        </w:rPr>
        <w:t>S’agissant du personnel du Secrétariat, cette option prévoit la confirmation de tous les postes existant actuellement comme personnel permanent et  l’application d</w:t>
      </w:r>
      <w:r w:rsidR="006A4C13">
        <w:rPr>
          <w:rFonts w:cs="Arial"/>
          <w:sz w:val="22"/>
          <w:szCs w:val="22"/>
          <w:lang w:val="fr-FR"/>
        </w:rPr>
        <w:t>’</w:t>
      </w:r>
      <w:r w:rsidRPr="00100D0F">
        <w:rPr>
          <w:rFonts w:cs="Arial"/>
          <w:sz w:val="22"/>
          <w:szCs w:val="22"/>
          <w:lang w:val="fr-FR"/>
        </w:rPr>
        <w:t>un sa</w:t>
      </w:r>
      <w:r w:rsidR="006A4C13">
        <w:rPr>
          <w:rFonts w:cs="Arial"/>
          <w:sz w:val="22"/>
          <w:szCs w:val="22"/>
          <w:lang w:val="fr-FR"/>
        </w:rPr>
        <w:t>laire</w:t>
      </w:r>
      <w:r w:rsidRPr="00100D0F">
        <w:rPr>
          <w:rFonts w:cs="Arial"/>
          <w:sz w:val="22"/>
          <w:szCs w:val="22"/>
          <w:lang w:val="fr-FR"/>
        </w:rPr>
        <w:t xml:space="preserve"> st</w:t>
      </w:r>
      <w:r w:rsidR="006A4C13">
        <w:rPr>
          <w:rFonts w:cs="Arial"/>
          <w:sz w:val="22"/>
          <w:szCs w:val="22"/>
          <w:lang w:val="fr-FR"/>
        </w:rPr>
        <w:t>a</w:t>
      </w:r>
      <w:r w:rsidRPr="00100D0F">
        <w:rPr>
          <w:rFonts w:cs="Arial"/>
          <w:sz w:val="22"/>
          <w:szCs w:val="22"/>
          <w:lang w:val="fr-FR"/>
        </w:rPr>
        <w:t>nd</w:t>
      </w:r>
      <w:r w:rsidR="006A4C13">
        <w:rPr>
          <w:rFonts w:cs="Arial"/>
          <w:sz w:val="22"/>
          <w:szCs w:val="22"/>
          <w:lang w:val="fr-FR"/>
        </w:rPr>
        <w:t>a</w:t>
      </w:r>
      <w:r w:rsidRPr="00100D0F">
        <w:rPr>
          <w:rFonts w:cs="Arial"/>
          <w:sz w:val="22"/>
          <w:szCs w:val="22"/>
          <w:lang w:val="fr-FR"/>
        </w:rPr>
        <w:t>rd e</w:t>
      </w:r>
      <w:r w:rsidR="006A4C13">
        <w:rPr>
          <w:rFonts w:cs="Arial"/>
          <w:sz w:val="22"/>
          <w:szCs w:val="22"/>
          <w:lang w:val="fr-FR"/>
        </w:rPr>
        <w:t>t un taux d’inflation de 2 pour cent appliqué à tous les postes budgétaires</w:t>
      </w:r>
      <w:r w:rsidR="0033299A" w:rsidRPr="00100D0F">
        <w:rPr>
          <w:rFonts w:cs="Arial"/>
          <w:sz w:val="22"/>
          <w:szCs w:val="22"/>
          <w:lang w:val="fr-FR"/>
        </w:rPr>
        <w:t xml:space="preserve">. </w:t>
      </w:r>
      <w:r w:rsidR="006A4C13" w:rsidRPr="006A4C13">
        <w:rPr>
          <w:rFonts w:cs="Arial"/>
          <w:sz w:val="22"/>
          <w:szCs w:val="22"/>
          <w:lang w:val="fr-FR"/>
        </w:rPr>
        <w:t>Afin de maintenir le mêm</w:t>
      </w:r>
      <w:r w:rsidR="006A4C13">
        <w:rPr>
          <w:rFonts w:cs="Arial"/>
          <w:sz w:val="22"/>
          <w:szCs w:val="22"/>
          <w:lang w:val="fr-FR"/>
        </w:rPr>
        <w:t>e</w:t>
      </w:r>
      <w:r w:rsidR="006A4C13" w:rsidRPr="006A4C13">
        <w:rPr>
          <w:rFonts w:cs="Arial"/>
          <w:sz w:val="22"/>
          <w:szCs w:val="22"/>
          <w:lang w:val="fr-FR"/>
        </w:rPr>
        <w:t xml:space="preserve"> niveau de</w:t>
      </w:r>
      <w:r w:rsidR="006A4C13">
        <w:rPr>
          <w:rFonts w:cs="Arial"/>
          <w:sz w:val="22"/>
          <w:szCs w:val="22"/>
          <w:lang w:val="fr-FR"/>
        </w:rPr>
        <w:t xml:space="preserve"> </w:t>
      </w:r>
      <w:r w:rsidR="006A4C13" w:rsidRPr="006A4C13">
        <w:rPr>
          <w:rFonts w:cs="Arial"/>
          <w:sz w:val="22"/>
          <w:szCs w:val="22"/>
          <w:lang w:val="fr-FR"/>
        </w:rPr>
        <w:t>budget dans ce scénario, aucun fonds n’</w:t>
      </w:r>
      <w:r w:rsidR="006A4C13">
        <w:rPr>
          <w:rFonts w:cs="Arial"/>
          <w:sz w:val="22"/>
          <w:szCs w:val="22"/>
          <w:lang w:val="fr-FR"/>
        </w:rPr>
        <w:t>a</w:t>
      </w:r>
      <w:r w:rsidR="006A4C13" w:rsidRPr="006A4C13">
        <w:rPr>
          <w:rFonts w:cs="Arial"/>
          <w:sz w:val="22"/>
          <w:szCs w:val="22"/>
          <w:lang w:val="fr-FR"/>
        </w:rPr>
        <w:t xml:space="preserve"> été alloué pour l</w:t>
      </w:r>
      <w:r w:rsidR="006A4C13">
        <w:rPr>
          <w:rFonts w:cs="Arial"/>
          <w:sz w:val="22"/>
          <w:szCs w:val="22"/>
          <w:lang w:val="fr-FR"/>
        </w:rPr>
        <w:t>e</w:t>
      </w:r>
      <w:r w:rsidR="006A4C13" w:rsidRPr="006A4C13">
        <w:rPr>
          <w:rFonts w:cs="Arial"/>
          <w:sz w:val="22"/>
          <w:szCs w:val="22"/>
          <w:lang w:val="fr-FR"/>
        </w:rPr>
        <w:t>s réunions des organes directeurs.</w:t>
      </w:r>
      <w:r w:rsidR="0033299A" w:rsidRPr="006A4C13">
        <w:rPr>
          <w:rFonts w:cs="Arial"/>
          <w:sz w:val="22"/>
          <w:szCs w:val="22"/>
          <w:lang w:val="fr-FR"/>
        </w:rPr>
        <w:t xml:space="preserve">  </w:t>
      </w:r>
      <w:r w:rsidR="006A4C13" w:rsidRPr="006A4C13">
        <w:rPr>
          <w:rFonts w:cs="Arial"/>
          <w:sz w:val="22"/>
          <w:szCs w:val="22"/>
          <w:lang w:val="fr-FR"/>
        </w:rPr>
        <w:t>Le Secrétariat devra donc redoubler d’efforts pour mobiliser</w:t>
      </w:r>
      <w:r w:rsidR="006A4C13">
        <w:rPr>
          <w:rFonts w:cs="Arial"/>
          <w:sz w:val="22"/>
          <w:szCs w:val="22"/>
          <w:lang w:val="fr-FR"/>
        </w:rPr>
        <w:t xml:space="preserve"> des ressources extra</w:t>
      </w:r>
      <w:r w:rsidR="006A4C13" w:rsidRPr="006A4C13">
        <w:rPr>
          <w:rFonts w:cs="Arial"/>
          <w:sz w:val="22"/>
          <w:szCs w:val="22"/>
          <w:lang w:val="fr-FR"/>
        </w:rPr>
        <w:t>budgétaires avant de se lancer dans l’org</w:t>
      </w:r>
      <w:r w:rsidR="006A4C13">
        <w:rPr>
          <w:rFonts w:cs="Arial"/>
          <w:sz w:val="22"/>
          <w:szCs w:val="22"/>
          <w:lang w:val="fr-FR"/>
        </w:rPr>
        <w:t xml:space="preserve">anisation des </w:t>
      </w:r>
      <w:r w:rsidR="006A4C13" w:rsidRPr="006A4C13">
        <w:rPr>
          <w:rFonts w:cs="Arial"/>
          <w:sz w:val="22"/>
          <w:szCs w:val="22"/>
          <w:lang w:val="fr-FR"/>
        </w:rPr>
        <w:t>r</w:t>
      </w:r>
      <w:r w:rsidR="006A4C13">
        <w:rPr>
          <w:rFonts w:cs="Arial"/>
          <w:sz w:val="22"/>
          <w:szCs w:val="22"/>
          <w:lang w:val="fr-FR"/>
        </w:rPr>
        <w:t>é</w:t>
      </w:r>
      <w:r w:rsidR="006A4C13" w:rsidRPr="006A4C13">
        <w:rPr>
          <w:rFonts w:cs="Arial"/>
          <w:sz w:val="22"/>
          <w:szCs w:val="22"/>
          <w:lang w:val="fr-FR"/>
        </w:rPr>
        <w:t>unions des organes directeurs te</w:t>
      </w:r>
      <w:r w:rsidR="006A4C13">
        <w:rPr>
          <w:rFonts w:cs="Arial"/>
          <w:sz w:val="22"/>
          <w:szCs w:val="22"/>
          <w:lang w:val="fr-FR"/>
        </w:rPr>
        <w:t>ls que le Comité de session d</w:t>
      </w:r>
      <w:r w:rsidR="006A4C13" w:rsidRPr="006A4C13">
        <w:rPr>
          <w:rFonts w:cs="Arial"/>
          <w:sz w:val="22"/>
          <w:szCs w:val="22"/>
          <w:lang w:val="fr-FR"/>
        </w:rPr>
        <w:t>u Conseil scientifique e</w:t>
      </w:r>
      <w:r w:rsidR="006A4C13">
        <w:rPr>
          <w:rFonts w:cs="Arial"/>
          <w:sz w:val="22"/>
          <w:szCs w:val="22"/>
          <w:lang w:val="fr-FR"/>
        </w:rPr>
        <w:t>t</w:t>
      </w:r>
      <w:r w:rsidR="006A4C13" w:rsidRPr="006A4C13">
        <w:rPr>
          <w:rFonts w:cs="Arial"/>
          <w:sz w:val="22"/>
          <w:szCs w:val="22"/>
          <w:lang w:val="fr-FR"/>
        </w:rPr>
        <w:t xml:space="preserve"> le Comité permanent.</w:t>
      </w:r>
      <w:r w:rsidR="006A4C13">
        <w:rPr>
          <w:rFonts w:cs="Arial"/>
          <w:sz w:val="22"/>
          <w:szCs w:val="22"/>
          <w:lang w:val="fr-FR"/>
        </w:rPr>
        <w:t xml:space="preserve"> Par ailleurs, aucun fonds ne sera alloué pour les </w:t>
      </w:r>
      <w:r w:rsidR="00DF5829">
        <w:rPr>
          <w:rFonts w:cs="Arial"/>
          <w:sz w:val="22"/>
          <w:szCs w:val="22"/>
          <w:lang w:val="fr-FR"/>
        </w:rPr>
        <w:t>services de</w:t>
      </w:r>
      <w:r w:rsidR="006A4C13">
        <w:rPr>
          <w:rFonts w:cs="Arial"/>
          <w:sz w:val="22"/>
          <w:szCs w:val="22"/>
          <w:lang w:val="fr-FR"/>
        </w:rPr>
        <w:t xml:space="preserve"> la COP13, y compris les services d’interprétation et de rédaction des rapports.</w:t>
      </w:r>
      <w:r w:rsidR="0033299A" w:rsidRPr="006A4C13">
        <w:rPr>
          <w:rFonts w:cs="Arial"/>
          <w:sz w:val="22"/>
          <w:szCs w:val="22"/>
          <w:lang w:val="fr-FR"/>
        </w:rPr>
        <w:t xml:space="preserve">  </w:t>
      </w:r>
    </w:p>
    <w:p w:rsidR="0033299A" w:rsidRPr="00D3599E" w:rsidRDefault="0033299A" w:rsidP="002973EB">
      <w:pPr>
        <w:pStyle w:val="ListParagraph"/>
        <w:widowControl/>
        <w:kinsoku w:val="0"/>
        <w:overflowPunct w:val="0"/>
        <w:autoSpaceDE/>
        <w:autoSpaceDN/>
        <w:adjustRightInd/>
        <w:ind w:left="0"/>
        <w:jc w:val="both"/>
        <w:textAlignment w:val="baseline"/>
        <w:rPr>
          <w:rFonts w:cs="Arial"/>
          <w:szCs w:val="18"/>
          <w:lang w:val="fr-FR"/>
        </w:rPr>
      </w:pPr>
    </w:p>
    <w:tbl>
      <w:tblPr>
        <w:tblW w:w="8041" w:type="dxa"/>
        <w:jc w:val="center"/>
        <w:tblLook w:val="04A0" w:firstRow="1" w:lastRow="0" w:firstColumn="1" w:lastColumn="0" w:noHBand="0" w:noVBand="1"/>
      </w:tblPr>
      <w:tblGrid>
        <w:gridCol w:w="5182"/>
        <w:gridCol w:w="2859"/>
      </w:tblGrid>
      <w:tr w:rsidR="0033299A" w:rsidRPr="00BA4513" w:rsidTr="00245E18">
        <w:trPr>
          <w:trHeight w:val="404"/>
          <w:jc w:val="center"/>
        </w:trPr>
        <w:tc>
          <w:tcPr>
            <w:tcW w:w="804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1A4E0C" w:rsidRDefault="004F1275" w:rsidP="002973EB">
            <w:pPr>
              <w:widowControl/>
              <w:autoSpaceDE/>
              <w:autoSpaceDN/>
              <w:adjustRightInd/>
              <w:rPr>
                <w:rFonts w:cs="Arial"/>
                <w:color w:val="000000"/>
                <w:szCs w:val="20"/>
                <w:lang w:val="fr-FR"/>
              </w:rPr>
            </w:pPr>
            <w:r w:rsidRPr="001A4E0C">
              <w:rPr>
                <w:rFonts w:cs="Arial"/>
                <w:b/>
                <w:bCs/>
                <w:color w:val="000000"/>
                <w:szCs w:val="20"/>
                <w:lang w:val="fr-FR"/>
              </w:rPr>
              <w:t>Co</w:t>
            </w:r>
            <w:r w:rsidR="00DF5829">
              <w:rPr>
                <w:rFonts w:cs="Arial"/>
                <w:b/>
                <w:bCs/>
                <w:color w:val="000000"/>
                <w:szCs w:val="20"/>
                <w:lang w:val="fr-FR"/>
              </w:rPr>
              <w:t>û</w:t>
            </w:r>
            <w:r w:rsidRPr="001A4E0C">
              <w:rPr>
                <w:rFonts w:cs="Arial"/>
                <w:b/>
                <w:bCs/>
                <w:color w:val="000000"/>
                <w:szCs w:val="20"/>
                <w:lang w:val="fr-FR"/>
              </w:rPr>
              <w:t>ts totaux par catégorie pour la</w:t>
            </w:r>
            <w:r w:rsidR="0033299A" w:rsidRPr="001A4E0C">
              <w:rPr>
                <w:rFonts w:cs="Arial"/>
                <w:b/>
                <w:bCs/>
                <w:color w:val="000000"/>
                <w:szCs w:val="20"/>
                <w:lang w:val="fr-FR"/>
              </w:rPr>
              <w:t xml:space="preserve"> p</w:t>
            </w:r>
            <w:r w:rsidRPr="001A4E0C">
              <w:rPr>
                <w:rFonts w:cs="Arial"/>
                <w:b/>
                <w:bCs/>
                <w:color w:val="000000"/>
                <w:szCs w:val="20"/>
                <w:lang w:val="fr-FR"/>
              </w:rPr>
              <w:t>ériode 2018-2020 (e</w:t>
            </w:r>
            <w:r w:rsidR="0033299A" w:rsidRPr="001A4E0C">
              <w:rPr>
                <w:rFonts w:cs="Arial"/>
                <w:b/>
                <w:bCs/>
                <w:color w:val="000000"/>
                <w:szCs w:val="20"/>
                <w:lang w:val="fr-FR"/>
              </w:rPr>
              <w:t xml:space="preserve">n </w:t>
            </w:r>
            <w:r w:rsidR="00DF5829">
              <w:rPr>
                <w:rFonts w:cs="Arial"/>
                <w:b/>
                <w:bCs/>
                <w:color w:val="000000"/>
                <w:szCs w:val="20"/>
                <w:lang w:val="fr-FR"/>
              </w:rPr>
              <w:t>e</w:t>
            </w:r>
            <w:r w:rsidR="0033299A" w:rsidRPr="001A4E0C">
              <w:rPr>
                <w:rFonts w:cs="Arial"/>
                <w:b/>
                <w:bCs/>
                <w:color w:val="000000"/>
                <w:szCs w:val="20"/>
                <w:lang w:val="fr-FR"/>
              </w:rPr>
              <w:t>uros)</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Personnel</w:t>
            </w:r>
            <w:r w:rsidR="0033299A" w:rsidRPr="00903B7F">
              <w:rPr>
                <w:rFonts w:cs="Arial"/>
                <w:color w:val="000000"/>
                <w:szCs w:val="20"/>
              </w:rPr>
              <w:t xml:space="preserve">  </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606</w:t>
            </w:r>
            <w:r>
              <w:rPr>
                <w:rFonts w:cs="Arial"/>
                <w:color w:val="000000"/>
                <w:szCs w:val="20"/>
              </w:rPr>
              <w:t xml:space="preserve"> </w:t>
            </w:r>
            <w:r w:rsidRPr="00903B7F">
              <w:rPr>
                <w:rFonts w:cs="Arial"/>
                <w:color w:val="000000"/>
                <w:szCs w:val="20"/>
              </w:rPr>
              <w:t xml:space="preserve">860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Services contractuels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314</w:t>
            </w:r>
            <w:r>
              <w:rPr>
                <w:rFonts w:cs="Arial"/>
                <w:color w:val="000000"/>
                <w:szCs w:val="20"/>
              </w:rPr>
              <w:t xml:space="preserve"> </w:t>
            </w:r>
            <w:r w:rsidRPr="00903B7F">
              <w:rPr>
                <w:rFonts w:cs="Arial"/>
                <w:color w:val="000000"/>
                <w:szCs w:val="20"/>
              </w:rPr>
              <w:t xml:space="preserve">970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Co</w:t>
            </w:r>
            <w:r w:rsidR="00DF5829">
              <w:rPr>
                <w:rFonts w:cs="Arial"/>
                <w:color w:val="000000"/>
                <w:szCs w:val="20"/>
              </w:rPr>
              <w:t>û</w:t>
            </w:r>
            <w:r>
              <w:rPr>
                <w:rFonts w:cs="Arial"/>
                <w:color w:val="000000"/>
                <w:szCs w:val="20"/>
              </w:rPr>
              <w:t>ts d</w:t>
            </w:r>
            <w:r w:rsidR="00DF5829">
              <w:rPr>
                <w:rFonts w:cs="Arial"/>
                <w:color w:val="000000"/>
                <w:szCs w:val="20"/>
              </w:rPr>
              <w:t>e fonctionnement</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Fournitures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F5829" w:rsidP="002973EB">
            <w:pPr>
              <w:widowControl/>
              <w:autoSpaceDE/>
              <w:autoSpaceDN/>
              <w:adjustRightInd/>
              <w:rPr>
                <w:rFonts w:cs="Arial"/>
                <w:color w:val="000000"/>
                <w:szCs w:val="20"/>
              </w:rPr>
            </w:pPr>
            <w:r>
              <w:rPr>
                <w:rFonts w:cs="Arial"/>
                <w:color w:val="000000"/>
                <w:szCs w:val="20"/>
              </w:rPr>
              <w:t>Matériel</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Voyages</w:t>
            </w:r>
            <w:r w:rsidR="0033299A" w:rsidRPr="00903B7F">
              <w:rPr>
                <w:rFonts w:cs="Arial"/>
                <w:color w:val="000000"/>
                <w:szCs w:val="20"/>
              </w:rPr>
              <w:t xml:space="preserve"> </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246</w:t>
            </w:r>
            <w:r>
              <w:rPr>
                <w:rFonts w:cs="Arial"/>
                <w:color w:val="000000"/>
                <w:szCs w:val="20"/>
              </w:rPr>
              <w:t xml:space="preserve"> </w:t>
            </w:r>
            <w:r w:rsidRPr="00903B7F">
              <w:rPr>
                <w:rFonts w:cs="Arial"/>
                <w:color w:val="000000"/>
                <w:szCs w:val="20"/>
              </w:rPr>
              <w:t xml:space="preserve">152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6A4C13" w:rsidP="002973EB">
            <w:pPr>
              <w:widowControl/>
              <w:autoSpaceDE/>
              <w:autoSpaceDN/>
              <w:adjustRightInd/>
              <w:rPr>
                <w:rFonts w:cs="Arial"/>
                <w:color w:val="000000"/>
                <w:szCs w:val="20"/>
              </w:rPr>
            </w:pPr>
            <w:r>
              <w:rPr>
                <w:rFonts w:cs="Arial"/>
                <w:color w:val="000000"/>
                <w:szCs w:val="20"/>
              </w:rPr>
              <w:t>Dépenses d’appui aux programmes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856</w:t>
            </w:r>
            <w:r>
              <w:rPr>
                <w:rFonts w:cs="Arial"/>
                <w:color w:val="000000"/>
                <w:szCs w:val="20"/>
              </w:rPr>
              <w:t xml:space="preserve"> </w:t>
            </w:r>
            <w:r w:rsidRPr="00903B7F">
              <w:rPr>
                <w:rFonts w:cs="Arial"/>
                <w:color w:val="000000"/>
                <w:szCs w:val="20"/>
              </w:rPr>
              <w:t xml:space="preserve">232 </w:t>
            </w:r>
          </w:p>
        </w:tc>
      </w:tr>
      <w:tr w:rsidR="0033299A" w:rsidRPr="00903B7F" w:rsidTr="00245E18">
        <w:trPr>
          <w:trHeight w:val="309"/>
          <w:jc w:val="center"/>
        </w:trPr>
        <w:tc>
          <w:tcPr>
            <w:tcW w:w="5182" w:type="dxa"/>
            <w:tcBorders>
              <w:top w:val="nil"/>
              <w:left w:val="single" w:sz="8" w:space="0" w:color="auto"/>
              <w:bottom w:val="single" w:sz="8" w:space="0" w:color="auto"/>
              <w:right w:val="single" w:sz="4" w:space="0" w:color="auto"/>
            </w:tcBorders>
            <w:shd w:val="clear" w:color="auto" w:fill="auto"/>
            <w:noWrap/>
            <w:vAlign w:val="center"/>
            <w:hideMark/>
          </w:tcPr>
          <w:p w:rsidR="0033299A" w:rsidRPr="006A4C13" w:rsidRDefault="009B4010" w:rsidP="002973EB">
            <w:pPr>
              <w:widowControl/>
              <w:autoSpaceDE/>
              <w:autoSpaceDN/>
              <w:adjustRightInd/>
              <w:rPr>
                <w:rFonts w:cs="Arial"/>
                <w:b/>
                <w:bCs/>
                <w:color w:val="000000"/>
                <w:szCs w:val="20"/>
                <w:lang w:val="fr-FR"/>
              </w:rPr>
            </w:pPr>
            <w:r>
              <w:rPr>
                <w:rFonts w:cs="Arial"/>
                <w:b/>
                <w:bCs/>
                <w:color w:val="000000"/>
                <w:szCs w:val="20"/>
                <w:lang w:val="fr-FR"/>
              </w:rPr>
              <w:t>Grand total à</w:t>
            </w:r>
            <w:r w:rsidR="006A4C13" w:rsidRPr="006A4C13">
              <w:rPr>
                <w:rFonts w:cs="Arial"/>
                <w:b/>
                <w:bCs/>
                <w:color w:val="000000"/>
                <w:szCs w:val="20"/>
                <w:lang w:val="fr-FR"/>
              </w:rPr>
              <w:t xml:space="preserve"> </w:t>
            </w:r>
            <w:r w:rsidR="00DA14F1">
              <w:rPr>
                <w:rFonts w:cs="Arial"/>
                <w:b/>
                <w:bCs/>
                <w:color w:val="000000"/>
                <w:szCs w:val="20"/>
                <w:lang w:val="fr-FR"/>
              </w:rPr>
              <w:t>diviser</w:t>
            </w:r>
            <w:r w:rsidR="006A4C13" w:rsidRPr="006A4C13">
              <w:rPr>
                <w:rFonts w:cs="Arial"/>
                <w:b/>
                <w:bCs/>
                <w:color w:val="000000"/>
                <w:szCs w:val="20"/>
                <w:lang w:val="fr-FR"/>
              </w:rPr>
              <w:t xml:space="preserve"> </w:t>
            </w:r>
            <w:r>
              <w:rPr>
                <w:rFonts w:cs="Arial"/>
                <w:b/>
                <w:bCs/>
                <w:color w:val="000000"/>
                <w:szCs w:val="20"/>
                <w:lang w:val="fr-FR"/>
              </w:rPr>
              <w:t xml:space="preserve">entre </w:t>
            </w:r>
            <w:r w:rsidR="006A4C13" w:rsidRPr="006A4C13">
              <w:rPr>
                <w:rFonts w:cs="Arial"/>
                <w:b/>
                <w:bCs/>
                <w:color w:val="000000"/>
                <w:szCs w:val="20"/>
                <w:lang w:val="fr-FR"/>
              </w:rPr>
              <w:t>les Parties</w:t>
            </w:r>
          </w:p>
        </w:tc>
        <w:tc>
          <w:tcPr>
            <w:tcW w:w="2859"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b/>
                <w:bCs/>
                <w:color w:val="000000"/>
                <w:szCs w:val="20"/>
              </w:rPr>
            </w:pPr>
            <w:r w:rsidRPr="006A4C13">
              <w:rPr>
                <w:rFonts w:cs="Arial"/>
                <w:b/>
                <w:bCs/>
                <w:color w:val="000000"/>
                <w:szCs w:val="20"/>
                <w:lang w:val="fr-FR"/>
              </w:rPr>
              <w:t xml:space="preserve">                         </w:t>
            </w:r>
            <w:r w:rsidRPr="00903B7F">
              <w:rPr>
                <w:rFonts w:cs="Arial"/>
                <w:b/>
                <w:bCs/>
                <w:color w:val="000000"/>
                <w:szCs w:val="20"/>
              </w:rPr>
              <w:t>7</w:t>
            </w:r>
            <w:r>
              <w:rPr>
                <w:rFonts w:cs="Arial"/>
                <w:b/>
                <w:bCs/>
                <w:color w:val="000000"/>
                <w:szCs w:val="20"/>
              </w:rPr>
              <w:t xml:space="preserve"> </w:t>
            </w:r>
            <w:r w:rsidRPr="00903B7F">
              <w:rPr>
                <w:rFonts w:cs="Arial"/>
                <w:b/>
                <w:bCs/>
                <w:color w:val="000000"/>
                <w:szCs w:val="20"/>
              </w:rPr>
              <w:t>442</w:t>
            </w:r>
            <w:r>
              <w:rPr>
                <w:rFonts w:cs="Arial"/>
                <w:b/>
                <w:bCs/>
                <w:color w:val="000000"/>
                <w:szCs w:val="20"/>
              </w:rPr>
              <w:t xml:space="preserve"> </w:t>
            </w:r>
            <w:r w:rsidRPr="00903B7F">
              <w:rPr>
                <w:rFonts w:cs="Arial"/>
                <w:b/>
                <w:bCs/>
                <w:color w:val="000000"/>
                <w:szCs w:val="20"/>
              </w:rPr>
              <w:t xml:space="preserve">628 </w:t>
            </w:r>
          </w:p>
        </w:tc>
      </w:tr>
    </w:tbl>
    <w:p w:rsidR="0033299A" w:rsidRPr="00D3599E" w:rsidRDefault="0033299A" w:rsidP="002973EB">
      <w:pPr>
        <w:pStyle w:val="ListParagraph"/>
        <w:widowControl/>
        <w:kinsoku w:val="0"/>
        <w:overflowPunct w:val="0"/>
        <w:autoSpaceDE/>
        <w:autoSpaceDN/>
        <w:adjustRightInd/>
        <w:ind w:left="0"/>
        <w:jc w:val="both"/>
        <w:textAlignment w:val="baseline"/>
        <w:rPr>
          <w:rFonts w:cs="Arial"/>
          <w:szCs w:val="18"/>
        </w:rPr>
      </w:pPr>
    </w:p>
    <w:p w:rsidR="0033299A" w:rsidRPr="00D3599E" w:rsidRDefault="0033299A" w:rsidP="002973EB">
      <w:pPr>
        <w:pStyle w:val="NoSpacing"/>
        <w:jc w:val="both"/>
        <w:rPr>
          <w:rFonts w:ascii="Arial" w:hAnsi="Arial" w:cs="Arial"/>
          <w:b/>
          <w:sz w:val="18"/>
          <w:szCs w:val="18"/>
        </w:rPr>
      </w:pPr>
    </w:p>
    <w:p w:rsidR="0033299A" w:rsidRDefault="0033299A" w:rsidP="002973EB">
      <w:pPr>
        <w:pStyle w:val="NoSpacing"/>
        <w:jc w:val="both"/>
        <w:rPr>
          <w:rFonts w:ascii="Arial" w:hAnsi="Arial" w:cs="Arial"/>
          <w:b/>
        </w:rPr>
      </w:pPr>
      <w:r w:rsidRPr="00903B7F">
        <w:rPr>
          <w:rFonts w:ascii="Arial" w:hAnsi="Arial" w:cs="Arial"/>
          <w:b/>
        </w:rPr>
        <w:t>Sc</w:t>
      </w:r>
      <w:r w:rsidR="006A4C13">
        <w:rPr>
          <w:rFonts w:ascii="Arial" w:hAnsi="Arial" w:cs="Arial"/>
          <w:b/>
        </w:rPr>
        <w:t>é</w:t>
      </w:r>
      <w:r w:rsidRPr="00903B7F">
        <w:rPr>
          <w:rFonts w:ascii="Arial" w:hAnsi="Arial" w:cs="Arial"/>
          <w:b/>
        </w:rPr>
        <w:t xml:space="preserve">nario 2: </w:t>
      </w:r>
      <w:r w:rsidR="006A4C13">
        <w:rPr>
          <w:rFonts w:ascii="Arial" w:hAnsi="Arial" w:cs="Arial"/>
          <w:b/>
        </w:rPr>
        <w:t>Croissance réelle zéro</w:t>
      </w:r>
      <w:r w:rsidRPr="00903B7F">
        <w:rPr>
          <w:rFonts w:ascii="Arial" w:hAnsi="Arial" w:cs="Arial"/>
          <w:b/>
        </w:rPr>
        <w:t xml:space="preserve"> </w:t>
      </w:r>
    </w:p>
    <w:p w:rsidR="0033299A" w:rsidRPr="00D3599E" w:rsidRDefault="0033299A" w:rsidP="002973EB">
      <w:pPr>
        <w:pStyle w:val="NoSpacing"/>
        <w:jc w:val="both"/>
        <w:rPr>
          <w:rFonts w:ascii="Arial" w:hAnsi="Arial" w:cs="Arial"/>
          <w:b/>
          <w:sz w:val="18"/>
          <w:szCs w:val="18"/>
        </w:rPr>
      </w:pPr>
    </w:p>
    <w:p w:rsidR="0033299A" w:rsidRPr="00346595" w:rsidRDefault="00C06AEF" w:rsidP="002973EB">
      <w:pPr>
        <w:numPr>
          <w:ilvl w:val="0"/>
          <w:numId w:val="2"/>
        </w:numPr>
        <w:tabs>
          <w:tab w:val="left" w:pos="360"/>
        </w:tabs>
        <w:contextualSpacing/>
        <w:jc w:val="both"/>
        <w:rPr>
          <w:rFonts w:cs="Arial"/>
          <w:sz w:val="22"/>
          <w:szCs w:val="22"/>
          <w:lang w:val="fr-FR"/>
        </w:rPr>
      </w:pPr>
      <w:r w:rsidRPr="00C06AEF">
        <w:rPr>
          <w:rFonts w:cs="Arial"/>
          <w:sz w:val="22"/>
          <w:szCs w:val="22"/>
          <w:lang w:val="fr-FR"/>
        </w:rPr>
        <w:t xml:space="preserve">Le scénario 2 est basé sur le scénario 1 avec l’ajout des fonds pour les </w:t>
      </w:r>
      <w:r w:rsidR="009E000C">
        <w:rPr>
          <w:rFonts w:cs="Arial"/>
          <w:sz w:val="22"/>
          <w:szCs w:val="22"/>
          <w:lang w:val="fr-FR"/>
        </w:rPr>
        <w:t>services de</w:t>
      </w:r>
      <w:r w:rsidRPr="00C06AEF">
        <w:rPr>
          <w:rFonts w:cs="Arial"/>
          <w:sz w:val="22"/>
          <w:szCs w:val="22"/>
          <w:lang w:val="fr-FR"/>
        </w:rPr>
        <w:t xml:space="preserve"> la COP13 et les réunions des organes directeurs. C</w:t>
      </w:r>
      <w:r w:rsidR="00AA2E9E">
        <w:rPr>
          <w:rFonts w:cs="Arial"/>
          <w:sz w:val="22"/>
          <w:szCs w:val="22"/>
          <w:lang w:val="fr-FR"/>
        </w:rPr>
        <w:t>ela</w:t>
      </w:r>
      <w:r w:rsidRPr="00C06AEF">
        <w:rPr>
          <w:rFonts w:cs="Arial"/>
          <w:sz w:val="22"/>
          <w:szCs w:val="22"/>
          <w:lang w:val="fr-FR"/>
        </w:rPr>
        <w:t xml:space="preserve"> signifie que des </w:t>
      </w:r>
      <w:r w:rsidR="00AA2E9E" w:rsidRPr="00C06AEF">
        <w:rPr>
          <w:rFonts w:cs="Arial"/>
          <w:sz w:val="22"/>
          <w:szCs w:val="22"/>
          <w:lang w:val="fr-FR"/>
        </w:rPr>
        <w:t>ressources</w:t>
      </w:r>
      <w:r w:rsidRPr="00C06AEF">
        <w:rPr>
          <w:rFonts w:cs="Arial"/>
          <w:sz w:val="22"/>
          <w:szCs w:val="22"/>
          <w:lang w:val="fr-FR"/>
        </w:rPr>
        <w:t xml:space="preserve"> sont </w:t>
      </w:r>
      <w:r w:rsidR="00AA2E9E" w:rsidRPr="00C06AEF">
        <w:rPr>
          <w:rFonts w:cs="Arial"/>
          <w:sz w:val="22"/>
          <w:szCs w:val="22"/>
          <w:lang w:val="fr-FR"/>
        </w:rPr>
        <w:t>disponibles</w:t>
      </w:r>
      <w:r w:rsidRPr="00C06AEF">
        <w:rPr>
          <w:rFonts w:cs="Arial"/>
          <w:sz w:val="22"/>
          <w:szCs w:val="22"/>
          <w:lang w:val="fr-FR"/>
        </w:rPr>
        <w:t xml:space="preserve"> pour les services liés à la </w:t>
      </w:r>
      <w:r w:rsidR="00AA2E9E" w:rsidRPr="00C06AEF">
        <w:rPr>
          <w:rFonts w:cs="Arial"/>
          <w:sz w:val="22"/>
          <w:szCs w:val="22"/>
          <w:lang w:val="fr-FR"/>
        </w:rPr>
        <w:t>préparation</w:t>
      </w:r>
      <w:r w:rsidRPr="00C06AEF">
        <w:rPr>
          <w:rFonts w:cs="Arial"/>
          <w:sz w:val="22"/>
          <w:szCs w:val="22"/>
          <w:lang w:val="fr-FR"/>
        </w:rPr>
        <w:t xml:space="preserve"> de la COP13</w:t>
      </w:r>
      <w:r>
        <w:rPr>
          <w:rFonts w:cs="Arial"/>
          <w:sz w:val="22"/>
          <w:szCs w:val="22"/>
          <w:lang w:val="fr-FR"/>
        </w:rPr>
        <w:t xml:space="preserve">, y compris la </w:t>
      </w:r>
      <w:r w:rsidR="00AA2E9E">
        <w:rPr>
          <w:rFonts w:cs="Arial"/>
          <w:sz w:val="22"/>
          <w:szCs w:val="22"/>
          <w:lang w:val="fr-FR"/>
        </w:rPr>
        <w:t>traduction</w:t>
      </w:r>
      <w:r>
        <w:rPr>
          <w:rFonts w:cs="Arial"/>
          <w:sz w:val="22"/>
          <w:szCs w:val="22"/>
          <w:lang w:val="fr-FR"/>
        </w:rPr>
        <w:t>, l’interp</w:t>
      </w:r>
      <w:r w:rsidR="00AA2E9E">
        <w:rPr>
          <w:rFonts w:cs="Arial"/>
          <w:sz w:val="22"/>
          <w:szCs w:val="22"/>
          <w:lang w:val="fr-FR"/>
        </w:rPr>
        <w:t>r</w:t>
      </w:r>
      <w:r>
        <w:rPr>
          <w:rFonts w:cs="Arial"/>
          <w:sz w:val="22"/>
          <w:szCs w:val="22"/>
          <w:lang w:val="fr-FR"/>
        </w:rPr>
        <w:t>é</w:t>
      </w:r>
      <w:r w:rsidR="00346595">
        <w:rPr>
          <w:rFonts w:cs="Arial"/>
          <w:sz w:val="22"/>
          <w:szCs w:val="22"/>
          <w:lang w:val="fr-FR"/>
        </w:rPr>
        <w:t>t</w:t>
      </w:r>
      <w:r>
        <w:rPr>
          <w:rFonts w:cs="Arial"/>
          <w:sz w:val="22"/>
          <w:szCs w:val="22"/>
          <w:lang w:val="fr-FR"/>
        </w:rPr>
        <w:t>ation et la r</w:t>
      </w:r>
      <w:r w:rsidR="00346595">
        <w:rPr>
          <w:rFonts w:cs="Arial"/>
          <w:sz w:val="22"/>
          <w:szCs w:val="22"/>
          <w:lang w:val="fr-FR"/>
        </w:rPr>
        <w:t>édaction des</w:t>
      </w:r>
      <w:r>
        <w:rPr>
          <w:rFonts w:cs="Arial"/>
          <w:sz w:val="22"/>
          <w:szCs w:val="22"/>
          <w:lang w:val="fr-FR"/>
        </w:rPr>
        <w:t xml:space="preserve"> rapports.</w:t>
      </w:r>
      <w:r w:rsidR="0033299A" w:rsidRPr="00C06AEF">
        <w:rPr>
          <w:rFonts w:cs="Arial"/>
          <w:sz w:val="22"/>
          <w:szCs w:val="22"/>
          <w:lang w:val="fr-FR"/>
        </w:rPr>
        <w:t xml:space="preserve"> </w:t>
      </w:r>
      <w:r w:rsidR="00346595" w:rsidRPr="009B4010">
        <w:rPr>
          <w:rFonts w:cs="Arial"/>
          <w:sz w:val="22"/>
          <w:szCs w:val="22"/>
          <w:lang w:val="fr-FR"/>
        </w:rPr>
        <w:t>En outre, il couvrira</w:t>
      </w:r>
      <w:r w:rsidR="0033299A" w:rsidRPr="009B4010">
        <w:rPr>
          <w:rFonts w:cs="Arial"/>
          <w:sz w:val="22"/>
          <w:szCs w:val="22"/>
          <w:lang w:val="fr-FR"/>
        </w:rPr>
        <w:t xml:space="preserve"> </w:t>
      </w:r>
      <w:r w:rsidR="00346595" w:rsidRPr="009B4010">
        <w:rPr>
          <w:rFonts w:cs="Arial"/>
          <w:sz w:val="22"/>
          <w:szCs w:val="22"/>
          <w:lang w:val="fr-FR"/>
        </w:rPr>
        <w:t xml:space="preserve">les frais de </w:t>
      </w:r>
      <w:r w:rsidR="009B4010">
        <w:rPr>
          <w:rFonts w:cs="Arial"/>
          <w:sz w:val="22"/>
          <w:szCs w:val="22"/>
          <w:lang w:val="fr-FR"/>
        </w:rPr>
        <w:t>déplacement</w:t>
      </w:r>
      <w:r w:rsidR="00346595" w:rsidRPr="009B4010">
        <w:rPr>
          <w:rFonts w:cs="Arial"/>
          <w:sz w:val="22"/>
          <w:szCs w:val="22"/>
          <w:lang w:val="fr-FR"/>
        </w:rPr>
        <w:t xml:space="preserve"> et </w:t>
      </w:r>
      <w:r w:rsidR="009B4010" w:rsidRPr="009B4010">
        <w:rPr>
          <w:rFonts w:cs="Arial"/>
          <w:sz w:val="22"/>
          <w:szCs w:val="22"/>
          <w:lang w:val="fr-FR"/>
        </w:rPr>
        <w:t>de séjour des me</w:t>
      </w:r>
      <w:r w:rsidR="009B4010">
        <w:rPr>
          <w:rFonts w:cs="Arial"/>
          <w:sz w:val="22"/>
          <w:szCs w:val="22"/>
          <w:lang w:val="fr-FR"/>
        </w:rPr>
        <w:t>m</w:t>
      </w:r>
      <w:r w:rsidR="009B4010" w:rsidRPr="009B4010">
        <w:rPr>
          <w:rFonts w:cs="Arial"/>
          <w:sz w:val="22"/>
          <w:szCs w:val="22"/>
          <w:lang w:val="fr-FR"/>
        </w:rPr>
        <w:t xml:space="preserve">bres </w:t>
      </w:r>
      <w:r w:rsidR="009B4010">
        <w:rPr>
          <w:rFonts w:cs="Arial"/>
          <w:sz w:val="22"/>
          <w:szCs w:val="22"/>
          <w:lang w:val="fr-FR"/>
        </w:rPr>
        <w:t>éligibles</w:t>
      </w:r>
      <w:r w:rsidR="009B4010" w:rsidRPr="009B4010">
        <w:rPr>
          <w:rFonts w:cs="Arial"/>
          <w:sz w:val="22"/>
          <w:szCs w:val="22"/>
          <w:lang w:val="fr-FR"/>
        </w:rPr>
        <w:t xml:space="preserve"> du Comité de session du Conseil scienti</w:t>
      </w:r>
      <w:r w:rsidR="009B4010">
        <w:rPr>
          <w:rFonts w:cs="Arial"/>
          <w:sz w:val="22"/>
          <w:szCs w:val="22"/>
          <w:lang w:val="fr-FR"/>
        </w:rPr>
        <w:t>fi</w:t>
      </w:r>
      <w:r w:rsidR="009B4010" w:rsidRPr="009B4010">
        <w:rPr>
          <w:rFonts w:cs="Arial"/>
          <w:sz w:val="22"/>
          <w:szCs w:val="22"/>
          <w:lang w:val="fr-FR"/>
        </w:rPr>
        <w:t>que et du Comité permanent.</w:t>
      </w:r>
      <w:r w:rsidR="009B4010">
        <w:rPr>
          <w:rFonts w:cs="Arial"/>
          <w:sz w:val="22"/>
          <w:szCs w:val="22"/>
          <w:lang w:val="fr-FR"/>
        </w:rPr>
        <w:t xml:space="preserve"> </w:t>
      </w:r>
      <w:r w:rsidR="00346595" w:rsidRPr="00346595">
        <w:rPr>
          <w:rFonts w:cs="Arial"/>
          <w:sz w:val="22"/>
          <w:szCs w:val="22"/>
          <w:lang w:val="fr-FR"/>
        </w:rPr>
        <w:t xml:space="preserve">Il </w:t>
      </w:r>
      <w:r w:rsidR="009B4010" w:rsidRPr="00346595">
        <w:rPr>
          <w:rFonts w:cs="Arial"/>
          <w:sz w:val="22"/>
          <w:szCs w:val="22"/>
          <w:lang w:val="fr-FR"/>
        </w:rPr>
        <w:t>est</w:t>
      </w:r>
      <w:r w:rsidR="00346595" w:rsidRPr="00346595">
        <w:rPr>
          <w:rFonts w:cs="Arial"/>
          <w:sz w:val="22"/>
          <w:szCs w:val="22"/>
          <w:lang w:val="fr-FR"/>
        </w:rPr>
        <w:t xml:space="preserve"> </w:t>
      </w:r>
      <w:r w:rsidR="009B4010" w:rsidRPr="00346595">
        <w:rPr>
          <w:rFonts w:cs="Arial"/>
          <w:sz w:val="22"/>
          <w:szCs w:val="22"/>
          <w:lang w:val="fr-FR"/>
        </w:rPr>
        <w:t>prévu</w:t>
      </w:r>
      <w:r w:rsidR="00346595" w:rsidRPr="00346595">
        <w:rPr>
          <w:rFonts w:cs="Arial"/>
          <w:sz w:val="22"/>
          <w:szCs w:val="22"/>
          <w:lang w:val="fr-FR"/>
        </w:rPr>
        <w:t xml:space="preserve"> que</w:t>
      </w:r>
      <w:r w:rsidR="009B4010">
        <w:rPr>
          <w:rFonts w:cs="Arial"/>
          <w:sz w:val="22"/>
          <w:szCs w:val="22"/>
          <w:lang w:val="fr-FR"/>
        </w:rPr>
        <w:t xml:space="preserve"> </w:t>
      </w:r>
      <w:r w:rsidR="00346595" w:rsidRPr="00346595">
        <w:rPr>
          <w:rFonts w:cs="Arial"/>
          <w:sz w:val="22"/>
          <w:szCs w:val="22"/>
          <w:lang w:val="fr-FR"/>
        </w:rPr>
        <w:t xml:space="preserve">les deux </w:t>
      </w:r>
      <w:r w:rsidR="009B4010" w:rsidRPr="00346595">
        <w:rPr>
          <w:rFonts w:cs="Arial"/>
          <w:sz w:val="22"/>
          <w:szCs w:val="22"/>
          <w:lang w:val="fr-FR"/>
        </w:rPr>
        <w:t>Comités</w:t>
      </w:r>
      <w:r w:rsidR="00346595" w:rsidRPr="00346595">
        <w:rPr>
          <w:rFonts w:cs="Arial"/>
          <w:sz w:val="22"/>
          <w:szCs w:val="22"/>
          <w:lang w:val="fr-FR"/>
        </w:rPr>
        <w:t xml:space="preserve"> se </w:t>
      </w:r>
      <w:r w:rsidR="009B4010" w:rsidRPr="00346595">
        <w:rPr>
          <w:rFonts w:cs="Arial"/>
          <w:sz w:val="22"/>
          <w:szCs w:val="22"/>
          <w:lang w:val="fr-FR"/>
        </w:rPr>
        <w:t>réuniront</w:t>
      </w:r>
      <w:r w:rsidR="00346595" w:rsidRPr="00346595">
        <w:rPr>
          <w:rFonts w:cs="Arial"/>
          <w:sz w:val="22"/>
          <w:szCs w:val="22"/>
          <w:lang w:val="fr-FR"/>
        </w:rPr>
        <w:t xml:space="preserve"> deux fois </w:t>
      </w:r>
      <w:r w:rsidR="009B4010">
        <w:rPr>
          <w:rFonts w:cs="Arial"/>
          <w:sz w:val="22"/>
          <w:szCs w:val="22"/>
          <w:lang w:val="fr-FR"/>
        </w:rPr>
        <w:t>d</w:t>
      </w:r>
      <w:r w:rsidR="00346595" w:rsidRPr="00346595">
        <w:rPr>
          <w:rFonts w:cs="Arial"/>
          <w:sz w:val="22"/>
          <w:szCs w:val="22"/>
          <w:lang w:val="fr-FR"/>
        </w:rPr>
        <w:t xml:space="preserve">urant la </w:t>
      </w:r>
      <w:r w:rsidR="009B4010" w:rsidRPr="00346595">
        <w:rPr>
          <w:rFonts w:cs="Arial"/>
          <w:sz w:val="22"/>
          <w:szCs w:val="22"/>
          <w:lang w:val="fr-FR"/>
        </w:rPr>
        <w:t>période</w:t>
      </w:r>
      <w:r w:rsidR="00346595" w:rsidRPr="00346595">
        <w:rPr>
          <w:rFonts w:cs="Arial"/>
          <w:sz w:val="22"/>
          <w:szCs w:val="22"/>
          <w:lang w:val="fr-FR"/>
        </w:rPr>
        <w:t xml:space="preserve"> triennale.</w:t>
      </w:r>
      <w:r w:rsidR="0033299A" w:rsidRPr="00346595">
        <w:rPr>
          <w:rFonts w:cs="Arial"/>
          <w:sz w:val="22"/>
          <w:szCs w:val="22"/>
          <w:lang w:val="fr-FR"/>
        </w:rPr>
        <w:t xml:space="preserve"> </w:t>
      </w:r>
    </w:p>
    <w:p w:rsidR="0033299A" w:rsidRPr="00D3599E" w:rsidRDefault="0033299A" w:rsidP="002973EB">
      <w:pPr>
        <w:pStyle w:val="NoSpacing"/>
        <w:jc w:val="both"/>
        <w:rPr>
          <w:rFonts w:ascii="Arial" w:hAnsi="Arial" w:cs="Arial"/>
          <w:sz w:val="18"/>
          <w:szCs w:val="18"/>
          <w:lang w:val="fr-FR"/>
        </w:rPr>
      </w:pPr>
    </w:p>
    <w:tbl>
      <w:tblPr>
        <w:tblW w:w="8093" w:type="dxa"/>
        <w:jc w:val="center"/>
        <w:tblLook w:val="04A0" w:firstRow="1" w:lastRow="0" w:firstColumn="1" w:lastColumn="0" w:noHBand="0" w:noVBand="1"/>
      </w:tblPr>
      <w:tblGrid>
        <w:gridCol w:w="5147"/>
        <w:gridCol w:w="2946"/>
      </w:tblGrid>
      <w:tr w:rsidR="0033299A" w:rsidRPr="00BA4513" w:rsidTr="00245E18">
        <w:trPr>
          <w:trHeight w:val="331"/>
          <w:jc w:val="center"/>
        </w:trPr>
        <w:tc>
          <w:tcPr>
            <w:tcW w:w="809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9B4010" w:rsidRDefault="009B4010" w:rsidP="002973EB">
            <w:pPr>
              <w:widowControl/>
              <w:autoSpaceDE/>
              <w:autoSpaceDN/>
              <w:adjustRightInd/>
              <w:rPr>
                <w:rFonts w:cs="Arial"/>
                <w:b/>
                <w:bCs/>
                <w:color w:val="000000"/>
                <w:szCs w:val="20"/>
                <w:lang w:val="fr-FR"/>
              </w:rPr>
            </w:pPr>
            <w:r w:rsidRPr="009B4010">
              <w:rPr>
                <w:rFonts w:cs="Arial"/>
                <w:b/>
                <w:bCs/>
                <w:color w:val="000000"/>
                <w:szCs w:val="20"/>
                <w:lang w:val="fr-FR"/>
              </w:rPr>
              <w:t>Coûts totaux par catégorie pour la</w:t>
            </w:r>
            <w:r w:rsidR="0033299A" w:rsidRPr="009B4010">
              <w:rPr>
                <w:rFonts w:cs="Arial"/>
                <w:b/>
                <w:bCs/>
                <w:color w:val="000000"/>
                <w:szCs w:val="20"/>
                <w:lang w:val="fr-FR"/>
              </w:rPr>
              <w:t xml:space="preserve"> p</w:t>
            </w:r>
            <w:r w:rsidRPr="009B4010">
              <w:rPr>
                <w:rFonts w:cs="Arial"/>
                <w:b/>
                <w:bCs/>
                <w:color w:val="000000"/>
                <w:szCs w:val="20"/>
                <w:lang w:val="fr-FR"/>
              </w:rPr>
              <w:t>ériode</w:t>
            </w:r>
            <w:r w:rsidR="0033299A" w:rsidRPr="009B4010">
              <w:rPr>
                <w:rFonts w:cs="Arial"/>
                <w:b/>
                <w:bCs/>
                <w:color w:val="000000"/>
                <w:szCs w:val="20"/>
                <w:lang w:val="fr-FR"/>
              </w:rPr>
              <w:t xml:space="preserve"> 2018-2020 (</w:t>
            </w:r>
            <w:r w:rsidRPr="009B4010">
              <w:rPr>
                <w:rFonts w:cs="Arial"/>
                <w:b/>
                <w:bCs/>
                <w:color w:val="000000"/>
                <w:szCs w:val="20"/>
                <w:lang w:val="fr-FR"/>
              </w:rPr>
              <w:t>e</w:t>
            </w:r>
            <w:r w:rsidR="0033299A" w:rsidRPr="009B4010">
              <w:rPr>
                <w:rFonts w:cs="Arial"/>
                <w:b/>
                <w:bCs/>
                <w:color w:val="000000"/>
                <w:szCs w:val="20"/>
                <w:lang w:val="fr-FR"/>
              </w:rPr>
              <w:t xml:space="preserve">n </w:t>
            </w:r>
            <w:r w:rsidRPr="009B4010">
              <w:rPr>
                <w:rFonts w:cs="Arial"/>
                <w:b/>
                <w:bCs/>
                <w:color w:val="000000"/>
                <w:szCs w:val="20"/>
                <w:lang w:val="fr-FR"/>
              </w:rPr>
              <w:t>e</w:t>
            </w:r>
            <w:r w:rsidR="0033299A" w:rsidRPr="009B4010">
              <w:rPr>
                <w:rFonts w:cs="Arial"/>
                <w:b/>
                <w:bCs/>
                <w:color w:val="000000"/>
                <w:szCs w:val="20"/>
                <w:lang w:val="fr-FR"/>
              </w:rPr>
              <w:t>uros)</w:t>
            </w:r>
          </w:p>
        </w:tc>
      </w:tr>
      <w:tr w:rsidR="0033299A" w:rsidRPr="00903B7F" w:rsidTr="00245E18">
        <w:trPr>
          <w:trHeight w:val="5"/>
          <w:jc w:val="center"/>
        </w:trPr>
        <w:tc>
          <w:tcPr>
            <w:tcW w:w="51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Personnel</w:t>
            </w:r>
            <w:r w:rsidR="0033299A" w:rsidRPr="00903B7F">
              <w:rPr>
                <w:rFonts w:cs="Arial"/>
                <w:color w:val="000000"/>
                <w:szCs w:val="20"/>
              </w:rPr>
              <w:t xml:space="preserve"> </w:t>
            </w:r>
          </w:p>
        </w:tc>
        <w:tc>
          <w:tcPr>
            <w:tcW w:w="2946" w:type="dxa"/>
            <w:tcBorders>
              <w:top w:val="single" w:sz="8" w:space="0" w:color="auto"/>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606</w:t>
            </w:r>
            <w:r>
              <w:rPr>
                <w:rFonts w:cs="Arial"/>
                <w:color w:val="000000"/>
                <w:szCs w:val="20"/>
              </w:rPr>
              <w:t xml:space="preserve"> </w:t>
            </w:r>
            <w:r w:rsidRPr="00903B7F">
              <w:rPr>
                <w:rFonts w:cs="Arial"/>
                <w:color w:val="000000"/>
                <w:szCs w:val="20"/>
              </w:rPr>
              <w:t xml:space="preserve">860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Services contractuels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622</w:t>
            </w:r>
            <w:r>
              <w:rPr>
                <w:rFonts w:cs="Arial"/>
                <w:color w:val="000000"/>
                <w:szCs w:val="20"/>
              </w:rPr>
              <w:t xml:space="preserve"> </w:t>
            </w:r>
            <w:r w:rsidRPr="00903B7F">
              <w:rPr>
                <w:rFonts w:cs="Arial"/>
                <w:color w:val="000000"/>
                <w:szCs w:val="20"/>
              </w:rPr>
              <w:t xml:space="preserve">043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Coûts d</w:t>
            </w:r>
            <w:r w:rsidR="009E000C">
              <w:rPr>
                <w:rFonts w:cs="Arial"/>
                <w:color w:val="000000"/>
                <w:szCs w:val="20"/>
              </w:rPr>
              <w:t>e fonctionnement</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Fournitures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E000C" w:rsidP="002973EB">
            <w:pPr>
              <w:widowControl/>
              <w:autoSpaceDE/>
              <w:autoSpaceDN/>
              <w:adjustRightInd/>
              <w:rPr>
                <w:rFonts w:cs="Arial"/>
                <w:color w:val="000000"/>
                <w:szCs w:val="20"/>
              </w:rPr>
            </w:pPr>
            <w:r>
              <w:rPr>
                <w:rFonts w:cs="Arial"/>
                <w:color w:val="000000"/>
                <w:szCs w:val="20"/>
              </w:rPr>
              <w:t>Matériel</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Voyages</w:t>
            </w:r>
            <w:r w:rsidR="0033299A" w:rsidRPr="00903B7F">
              <w:rPr>
                <w:rFonts w:cs="Arial"/>
                <w:color w:val="000000"/>
                <w:szCs w:val="20"/>
              </w:rPr>
              <w:t xml:space="preserve"> </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407</w:t>
            </w:r>
            <w:r>
              <w:rPr>
                <w:rFonts w:cs="Arial"/>
                <w:color w:val="000000"/>
                <w:szCs w:val="20"/>
              </w:rPr>
              <w:t xml:space="preserve"> </w:t>
            </w:r>
            <w:r w:rsidRPr="00903B7F">
              <w:rPr>
                <w:rFonts w:cs="Arial"/>
                <w:color w:val="000000"/>
                <w:szCs w:val="20"/>
              </w:rPr>
              <w:t xml:space="preserve">378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9B4010" w:rsidP="002973EB">
            <w:pPr>
              <w:widowControl/>
              <w:autoSpaceDE/>
              <w:autoSpaceDN/>
              <w:adjustRightInd/>
              <w:rPr>
                <w:rFonts w:cs="Arial"/>
                <w:color w:val="000000"/>
                <w:szCs w:val="20"/>
              </w:rPr>
            </w:pPr>
            <w:r>
              <w:rPr>
                <w:rFonts w:cs="Arial"/>
                <w:color w:val="000000"/>
                <w:szCs w:val="20"/>
              </w:rPr>
              <w:t>Dépenses d’appui aux programmes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917</w:t>
            </w:r>
            <w:r>
              <w:rPr>
                <w:rFonts w:cs="Arial"/>
                <w:color w:val="000000"/>
                <w:szCs w:val="20"/>
              </w:rPr>
              <w:t xml:space="preserve"> </w:t>
            </w:r>
            <w:r w:rsidRPr="00903B7F">
              <w:rPr>
                <w:rFonts w:cs="Arial"/>
                <w:color w:val="000000"/>
                <w:szCs w:val="20"/>
              </w:rPr>
              <w:t xml:space="preserve">110 </w:t>
            </w:r>
          </w:p>
        </w:tc>
      </w:tr>
      <w:tr w:rsidR="0033299A" w:rsidRPr="00903B7F" w:rsidTr="00245E18">
        <w:trPr>
          <w:trHeight w:val="350"/>
          <w:jc w:val="center"/>
        </w:trPr>
        <w:tc>
          <w:tcPr>
            <w:tcW w:w="5147" w:type="dxa"/>
            <w:tcBorders>
              <w:top w:val="nil"/>
              <w:left w:val="single" w:sz="8" w:space="0" w:color="auto"/>
              <w:bottom w:val="single" w:sz="8" w:space="0" w:color="auto"/>
              <w:right w:val="single" w:sz="4" w:space="0" w:color="auto"/>
            </w:tcBorders>
            <w:shd w:val="clear" w:color="auto" w:fill="auto"/>
            <w:noWrap/>
            <w:vAlign w:val="center"/>
            <w:hideMark/>
          </w:tcPr>
          <w:p w:rsidR="0033299A" w:rsidRPr="009B4010" w:rsidRDefault="0033299A" w:rsidP="002973EB">
            <w:pPr>
              <w:widowControl/>
              <w:autoSpaceDE/>
              <w:autoSpaceDN/>
              <w:adjustRightInd/>
              <w:rPr>
                <w:rFonts w:cs="Arial"/>
                <w:b/>
                <w:bCs/>
                <w:color w:val="000000"/>
                <w:szCs w:val="20"/>
                <w:lang w:val="fr-FR"/>
              </w:rPr>
            </w:pPr>
            <w:r w:rsidRPr="009B4010">
              <w:rPr>
                <w:rFonts w:cs="Arial"/>
                <w:b/>
                <w:bCs/>
                <w:color w:val="000000"/>
                <w:szCs w:val="20"/>
                <w:lang w:val="fr-FR"/>
              </w:rPr>
              <w:t xml:space="preserve">Grand total </w:t>
            </w:r>
            <w:r w:rsidR="009B4010" w:rsidRPr="009B4010">
              <w:rPr>
                <w:rFonts w:cs="Arial"/>
                <w:b/>
                <w:bCs/>
                <w:color w:val="000000"/>
                <w:szCs w:val="20"/>
                <w:lang w:val="fr-FR"/>
              </w:rPr>
              <w:t xml:space="preserve">à </w:t>
            </w:r>
            <w:r w:rsidR="00DA14F1">
              <w:rPr>
                <w:rFonts w:cs="Arial"/>
                <w:b/>
                <w:bCs/>
                <w:color w:val="000000"/>
                <w:szCs w:val="20"/>
                <w:lang w:val="fr-FR"/>
              </w:rPr>
              <w:t>diviser</w:t>
            </w:r>
            <w:r w:rsidR="009B4010" w:rsidRPr="009B4010">
              <w:rPr>
                <w:rFonts w:cs="Arial"/>
                <w:b/>
                <w:bCs/>
                <w:color w:val="000000"/>
                <w:szCs w:val="20"/>
                <w:lang w:val="fr-FR"/>
              </w:rPr>
              <w:t xml:space="preserve"> entre les Parties</w:t>
            </w:r>
          </w:p>
        </w:tc>
        <w:tc>
          <w:tcPr>
            <w:tcW w:w="2946"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b/>
                <w:bCs/>
                <w:color w:val="000000"/>
                <w:szCs w:val="20"/>
              </w:rPr>
            </w:pPr>
            <w:r w:rsidRPr="009B4010">
              <w:rPr>
                <w:rFonts w:cs="Arial"/>
                <w:b/>
                <w:bCs/>
                <w:color w:val="000000"/>
                <w:szCs w:val="20"/>
                <w:lang w:val="fr-FR"/>
              </w:rPr>
              <w:t xml:space="preserve">                         </w:t>
            </w:r>
            <w:r w:rsidRPr="00903B7F">
              <w:rPr>
                <w:rFonts w:cs="Arial"/>
                <w:b/>
                <w:bCs/>
                <w:color w:val="000000"/>
                <w:szCs w:val="20"/>
              </w:rPr>
              <w:t>7</w:t>
            </w:r>
            <w:r>
              <w:rPr>
                <w:rFonts w:cs="Arial"/>
                <w:b/>
                <w:bCs/>
                <w:color w:val="000000"/>
                <w:szCs w:val="20"/>
              </w:rPr>
              <w:t xml:space="preserve"> </w:t>
            </w:r>
            <w:r w:rsidRPr="00903B7F">
              <w:rPr>
                <w:rFonts w:cs="Arial"/>
                <w:b/>
                <w:bCs/>
                <w:color w:val="000000"/>
                <w:szCs w:val="20"/>
              </w:rPr>
              <w:t>971</w:t>
            </w:r>
            <w:r>
              <w:rPr>
                <w:rFonts w:cs="Arial"/>
                <w:b/>
                <w:bCs/>
                <w:color w:val="000000"/>
                <w:szCs w:val="20"/>
              </w:rPr>
              <w:t xml:space="preserve"> </w:t>
            </w:r>
            <w:r w:rsidRPr="00903B7F">
              <w:rPr>
                <w:rFonts w:cs="Arial"/>
                <w:b/>
                <w:bCs/>
                <w:color w:val="000000"/>
                <w:szCs w:val="20"/>
              </w:rPr>
              <w:t xml:space="preserve">806 </w:t>
            </w:r>
          </w:p>
        </w:tc>
      </w:tr>
    </w:tbl>
    <w:p w:rsidR="0033299A" w:rsidRPr="00903B7F" w:rsidRDefault="0033299A" w:rsidP="002973EB">
      <w:pPr>
        <w:pStyle w:val="NoSpacing"/>
        <w:jc w:val="both"/>
        <w:rPr>
          <w:rFonts w:ascii="Arial" w:hAnsi="Arial" w:cs="Arial"/>
        </w:rPr>
      </w:pPr>
    </w:p>
    <w:p w:rsidR="0033299A" w:rsidRPr="009B4010" w:rsidRDefault="0033299A" w:rsidP="002973EB">
      <w:pPr>
        <w:pStyle w:val="NoSpacing"/>
        <w:jc w:val="both"/>
        <w:rPr>
          <w:rFonts w:ascii="Arial" w:hAnsi="Arial" w:cs="Arial"/>
          <w:b/>
          <w:lang w:val="fr-FR"/>
        </w:rPr>
      </w:pPr>
      <w:r w:rsidRPr="009B4010">
        <w:rPr>
          <w:rFonts w:ascii="Arial" w:hAnsi="Arial" w:cs="Arial"/>
          <w:b/>
          <w:lang w:val="fr-FR"/>
        </w:rPr>
        <w:lastRenderedPageBreak/>
        <w:t>Sc</w:t>
      </w:r>
      <w:r w:rsidR="00346595" w:rsidRPr="009B4010">
        <w:rPr>
          <w:rFonts w:ascii="Arial" w:hAnsi="Arial" w:cs="Arial"/>
          <w:b/>
          <w:lang w:val="fr-FR"/>
        </w:rPr>
        <w:t>é</w:t>
      </w:r>
      <w:r w:rsidR="009B4010" w:rsidRPr="009B4010">
        <w:rPr>
          <w:rFonts w:ascii="Arial" w:hAnsi="Arial" w:cs="Arial"/>
          <w:b/>
          <w:lang w:val="fr-FR"/>
        </w:rPr>
        <w:t xml:space="preserve">nario 3: 4 pour cent d’augmentation par </w:t>
      </w:r>
      <w:r w:rsidR="009B4010">
        <w:rPr>
          <w:rFonts w:ascii="Arial" w:hAnsi="Arial" w:cs="Arial"/>
          <w:b/>
          <w:lang w:val="fr-FR"/>
        </w:rPr>
        <w:t>rapport</w:t>
      </w:r>
      <w:r w:rsidR="009B4010" w:rsidRPr="009B4010">
        <w:rPr>
          <w:rFonts w:ascii="Arial" w:hAnsi="Arial" w:cs="Arial"/>
          <w:b/>
          <w:lang w:val="fr-FR"/>
        </w:rPr>
        <w:t xml:space="preserve"> au scénario 2</w:t>
      </w:r>
      <w:r w:rsidRPr="009B4010">
        <w:rPr>
          <w:rFonts w:ascii="Arial" w:hAnsi="Arial" w:cs="Arial"/>
          <w:b/>
          <w:lang w:val="fr-FR"/>
        </w:rPr>
        <w:t xml:space="preserve">  </w:t>
      </w:r>
    </w:p>
    <w:p w:rsidR="0033299A" w:rsidRPr="00D3599E" w:rsidRDefault="0033299A" w:rsidP="002973EB">
      <w:pPr>
        <w:pStyle w:val="NoSpacing"/>
        <w:jc w:val="both"/>
        <w:rPr>
          <w:rFonts w:ascii="Arial" w:hAnsi="Arial" w:cs="Arial"/>
          <w:b/>
          <w:sz w:val="18"/>
          <w:szCs w:val="18"/>
          <w:lang w:val="fr-FR"/>
        </w:rPr>
      </w:pPr>
    </w:p>
    <w:p w:rsidR="0033299A" w:rsidRPr="00696E04" w:rsidRDefault="008E6F3A" w:rsidP="002973EB">
      <w:pPr>
        <w:numPr>
          <w:ilvl w:val="0"/>
          <w:numId w:val="2"/>
        </w:numPr>
        <w:tabs>
          <w:tab w:val="left" w:pos="360"/>
        </w:tabs>
        <w:contextualSpacing/>
        <w:jc w:val="both"/>
        <w:rPr>
          <w:rFonts w:cs="Arial"/>
          <w:sz w:val="22"/>
          <w:szCs w:val="22"/>
          <w:lang w:val="fr-FR"/>
        </w:rPr>
      </w:pPr>
      <w:r w:rsidRPr="00E0742A">
        <w:rPr>
          <w:rFonts w:cs="Arial"/>
          <w:sz w:val="22"/>
          <w:szCs w:val="22"/>
          <w:lang w:val="fr-FR"/>
        </w:rPr>
        <w:t>Le sc</w:t>
      </w:r>
      <w:r w:rsidR="004B2A35">
        <w:rPr>
          <w:rFonts w:cs="Arial"/>
          <w:sz w:val="22"/>
          <w:szCs w:val="22"/>
          <w:lang w:val="fr-FR"/>
        </w:rPr>
        <w:t>é</w:t>
      </w:r>
      <w:r w:rsidRPr="00E0742A">
        <w:rPr>
          <w:rFonts w:cs="Arial"/>
          <w:sz w:val="22"/>
          <w:szCs w:val="22"/>
          <w:lang w:val="fr-FR"/>
        </w:rPr>
        <w:t xml:space="preserve">nario 3 prévoit une légère augmentation de </w:t>
      </w:r>
      <w:r w:rsidR="0033299A" w:rsidRPr="00E0742A">
        <w:rPr>
          <w:rFonts w:cs="Arial"/>
          <w:sz w:val="22"/>
          <w:szCs w:val="22"/>
          <w:lang w:val="fr-FR"/>
        </w:rPr>
        <w:t>4 p</w:t>
      </w:r>
      <w:r w:rsidRPr="00E0742A">
        <w:rPr>
          <w:rFonts w:cs="Arial"/>
          <w:sz w:val="22"/>
          <w:szCs w:val="22"/>
          <w:lang w:val="fr-FR"/>
        </w:rPr>
        <w:t>our cent par rapport au scé</w:t>
      </w:r>
      <w:r w:rsidR="0033299A" w:rsidRPr="00E0742A">
        <w:rPr>
          <w:rFonts w:cs="Arial"/>
          <w:sz w:val="22"/>
          <w:szCs w:val="22"/>
          <w:lang w:val="fr-FR"/>
        </w:rPr>
        <w:t xml:space="preserve">nario 2. </w:t>
      </w:r>
      <w:r w:rsidR="00E0742A" w:rsidRPr="00E0742A">
        <w:rPr>
          <w:rFonts w:cs="Arial"/>
          <w:sz w:val="22"/>
          <w:szCs w:val="22"/>
          <w:lang w:val="fr-FR"/>
        </w:rPr>
        <w:t xml:space="preserve">Il conserve tous les éléments figurant déjà dans le scénario 2 avec </w:t>
      </w:r>
      <w:r w:rsidR="00E0742A">
        <w:rPr>
          <w:rFonts w:cs="Arial"/>
          <w:sz w:val="22"/>
          <w:szCs w:val="22"/>
          <w:lang w:val="fr-FR"/>
        </w:rPr>
        <w:t>en plus le</w:t>
      </w:r>
      <w:r w:rsidR="00E0742A" w:rsidRPr="00E0742A">
        <w:rPr>
          <w:rFonts w:cs="Arial"/>
          <w:sz w:val="22"/>
          <w:szCs w:val="22"/>
          <w:lang w:val="fr-FR"/>
        </w:rPr>
        <w:t xml:space="preserve"> reclassem</w:t>
      </w:r>
      <w:r w:rsidR="00E0742A">
        <w:rPr>
          <w:rFonts w:cs="Arial"/>
          <w:sz w:val="22"/>
          <w:szCs w:val="22"/>
          <w:lang w:val="fr-FR"/>
        </w:rPr>
        <w:t>e</w:t>
      </w:r>
      <w:r w:rsidR="00E0742A" w:rsidRPr="00E0742A">
        <w:rPr>
          <w:rFonts w:cs="Arial"/>
          <w:sz w:val="22"/>
          <w:szCs w:val="22"/>
          <w:lang w:val="fr-FR"/>
        </w:rPr>
        <w:t>nt du Poste P-2 actu</w:t>
      </w:r>
      <w:r w:rsidR="00E0742A">
        <w:rPr>
          <w:rFonts w:cs="Arial"/>
          <w:sz w:val="22"/>
          <w:szCs w:val="22"/>
          <w:lang w:val="fr-FR"/>
        </w:rPr>
        <w:t>e</w:t>
      </w:r>
      <w:r w:rsidR="00E0742A" w:rsidRPr="00E0742A">
        <w:rPr>
          <w:rFonts w:cs="Arial"/>
          <w:sz w:val="22"/>
          <w:szCs w:val="22"/>
          <w:lang w:val="fr-FR"/>
        </w:rPr>
        <w:t>l d</w:t>
      </w:r>
      <w:r w:rsidR="00E0742A">
        <w:rPr>
          <w:rFonts w:cs="Arial"/>
          <w:sz w:val="22"/>
          <w:szCs w:val="22"/>
          <w:lang w:val="fr-FR"/>
        </w:rPr>
        <w:t>’</w:t>
      </w:r>
      <w:r w:rsidR="00E0742A" w:rsidRPr="00E0742A">
        <w:rPr>
          <w:rFonts w:cs="Arial"/>
          <w:sz w:val="22"/>
          <w:szCs w:val="22"/>
          <w:lang w:val="fr-FR"/>
        </w:rPr>
        <w:t>admin</w:t>
      </w:r>
      <w:r w:rsidR="00E0742A">
        <w:rPr>
          <w:rFonts w:cs="Arial"/>
          <w:sz w:val="22"/>
          <w:szCs w:val="22"/>
          <w:lang w:val="fr-FR"/>
        </w:rPr>
        <w:t>i</w:t>
      </w:r>
      <w:r w:rsidR="00E0742A" w:rsidRPr="00E0742A">
        <w:rPr>
          <w:rFonts w:cs="Arial"/>
          <w:sz w:val="22"/>
          <w:szCs w:val="22"/>
          <w:lang w:val="fr-FR"/>
        </w:rPr>
        <w:t>str</w:t>
      </w:r>
      <w:r w:rsidR="00E0742A">
        <w:rPr>
          <w:rFonts w:cs="Arial"/>
          <w:sz w:val="22"/>
          <w:szCs w:val="22"/>
          <w:lang w:val="fr-FR"/>
        </w:rPr>
        <w:t xml:space="preserve">ateur </w:t>
      </w:r>
      <w:r w:rsidR="00E0742A" w:rsidRPr="00E0742A">
        <w:rPr>
          <w:rFonts w:cs="Arial"/>
          <w:sz w:val="22"/>
          <w:szCs w:val="22"/>
          <w:lang w:val="fr-FR"/>
        </w:rPr>
        <w:t>asso</w:t>
      </w:r>
      <w:r w:rsidR="00E0742A">
        <w:rPr>
          <w:rFonts w:cs="Arial"/>
          <w:sz w:val="22"/>
          <w:szCs w:val="22"/>
          <w:lang w:val="fr-FR"/>
        </w:rPr>
        <w:t>cié</w:t>
      </w:r>
      <w:r w:rsidR="00E0742A" w:rsidRPr="00E0742A">
        <w:rPr>
          <w:rFonts w:cs="Arial"/>
          <w:sz w:val="22"/>
          <w:szCs w:val="22"/>
          <w:lang w:val="fr-FR"/>
        </w:rPr>
        <w:t xml:space="preserve"> chargé de l’information, qui est fourn</w:t>
      </w:r>
      <w:r w:rsidR="00E0742A">
        <w:rPr>
          <w:rFonts w:cs="Arial"/>
          <w:sz w:val="22"/>
          <w:szCs w:val="22"/>
          <w:lang w:val="fr-FR"/>
        </w:rPr>
        <w:t>i</w:t>
      </w:r>
      <w:r w:rsidR="00E0742A" w:rsidRPr="00E0742A">
        <w:rPr>
          <w:rFonts w:cs="Arial"/>
          <w:sz w:val="22"/>
          <w:szCs w:val="22"/>
          <w:lang w:val="fr-FR"/>
        </w:rPr>
        <w:t xml:space="preserve"> p</w:t>
      </w:r>
      <w:r w:rsidR="00E0742A">
        <w:rPr>
          <w:rFonts w:cs="Arial"/>
          <w:sz w:val="22"/>
          <w:szCs w:val="22"/>
          <w:lang w:val="fr-FR"/>
        </w:rPr>
        <w:t>a</w:t>
      </w:r>
      <w:r w:rsidR="004B2A35">
        <w:rPr>
          <w:rFonts w:cs="Arial"/>
          <w:sz w:val="22"/>
          <w:szCs w:val="22"/>
          <w:lang w:val="fr-FR"/>
        </w:rPr>
        <w:t>r l’AEWA, à la classe</w:t>
      </w:r>
      <w:r w:rsidR="00E0742A" w:rsidRPr="00E0742A">
        <w:rPr>
          <w:rFonts w:cs="Arial"/>
          <w:sz w:val="22"/>
          <w:szCs w:val="22"/>
          <w:lang w:val="fr-FR"/>
        </w:rPr>
        <w:t xml:space="preserve"> P-3</w:t>
      </w:r>
      <w:r w:rsidR="004B2A35">
        <w:rPr>
          <w:rFonts w:cs="Arial"/>
          <w:sz w:val="22"/>
          <w:szCs w:val="22"/>
          <w:lang w:val="fr-FR"/>
        </w:rPr>
        <w:t>,</w:t>
      </w:r>
      <w:r w:rsidR="00E0742A" w:rsidRPr="00E0742A">
        <w:rPr>
          <w:rFonts w:cs="Arial"/>
          <w:sz w:val="22"/>
          <w:szCs w:val="22"/>
          <w:lang w:val="fr-FR"/>
        </w:rPr>
        <w:t xml:space="preserve"> chargé de superviser l’Unité commune</w:t>
      </w:r>
      <w:r w:rsidR="004B2A35">
        <w:rPr>
          <w:rFonts w:cs="Arial"/>
          <w:sz w:val="22"/>
          <w:szCs w:val="22"/>
          <w:lang w:val="fr-FR"/>
        </w:rPr>
        <w:t xml:space="preserve"> de</w:t>
      </w:r>
      <w:r w:rsidR="00E0742A" w:rsidRPr="00E0742A">
        <w:rPr>
          <w:rFonts w:cs="Arial"/>
          <w:sz w:val="22"/>
          <w:szCs w:val="22"/>
          <w:lang w:val="fr-FR"/>
        </w:rPr>
        <w:t xml:space="preserve"> la gestion de l’information</w:t>
      </w:r>
      <w:r w:rsidR="00E0742A">
        <w:rPr>
          <w:rFonts w:cs="Arial"/>
          <w:sz w:val="22"/>
          <w:szCs w:val="22"/>
          <w:lang w:val="fr-FR"/>
        </w:rPr>
        <w:t>,</w:t>
      </w:r>
      <w:r w:rsidR="00E0742A" w:rsidRPr="00E0742A">
        <w:rPr>
          <w:rFonts w:cs="Arial"/>
          <w:sz w:val="22"/>
          <w:szCs w:val="22"/>
          <w:lang w:val="fr-FR"/>
        </w:rPr>
        <w:t xml:space="preserve"> de</w:t>
      </w:r>
      <w:r w:rsidR="00E0742A">
        <w:rPr>
          <w:rFonts w:cs="Arial"/>
          <w:sz w:val="22"/>
          <w:szCs w:val="22"/>
          <w:lang w:val="fr-FR"/>
        </w:rPr>
        <w:t xml:space="preserve"> </w:t>
      </w:r>
      <w:r w:rsidR="00E0742A" w:rsidRPr="00E0742A">
        <w:rPr>
          <w:rFonts w:cs="Arial"/>
          <w:sz w:val="22"/>
          <w:szCs w:val="22"/>
          <w:lang w:val="fr-FR"/>
        </w:rPr>
        <w:t>la communication e</w:t>
      </w:r>
      <w:r w:rsidR="00C868D9">
        <w:rPr>
          <w:rFonts w:cs="Arial"/>
          <w:sz w:val="22"/>
          <w:szCs w:val="22"/>
          <w:lang w:val="fr-FR"/>
        </w:rPr>
        <w:t>t</w:t>
      </w:r>
      <w:r w:rsidR="00E0742A" w:rsidRPr="00E0742A">
        <w:rPr>
          <w:rFonts w:cs="Arial"/>
          <w:sz w:val="22"/>
          <w:szCs w:val="22"/>
          <w:lang w:val="fr-FR"/>
        </w:rPr>
        <w:t xml:space="preserve"> de la sensibilisation</w:t>
      </w:r>
      <w:r w:rsidR="0033299A" w:rsidRPr="00E0742A">
        <w:rPr>
          <w:rFonts w:cs="Arial"/>
          <w:sz w:val="22"/>
          <w:szCs w:val="22"/>
          <w:lang w:val="fr-FR"/>
        </w:rPr>
        <w:t xml:space="preserve">, </w:t>
      </w:r>
      <w:r w:rsidR="00E0742A" w:rsidRPr="00E0742A">
        <w:rPr>
          <w:rFonts w:cs="Arial"/>
          <w:sz w:val="22"/>
          <w:szCs w:val="22"/>
          <w:lang w:val="fr-FR"/>
        </w:rPr>
        <w:t xml:space="preserve">qui a été établie </w:t>
      </w:r>
      <w:r w:rsidR="00E0742A">
        <w:rPr>
          <w:rFonts w:cs="Arial"/>
          <w:sz w:val="22"/>
          <w:szCs w:val="22"/>
          <w:lang w:val="fr-FR"/>
        </w:rPr>
        <w:t>grâce aux</w:t>
      </w:r>
      <w:r w:rsidR="00E0742A" w:rsidRPr="00E0742A">
        <w:rPr>
          <w:rFonts w:cs="Arial"/>
          <w:sz w:val="22"/>
          <w:szCs w:val="22"/>
          <w:lang w:val="fr-FR"/>
        </w:rPr>
        <w:t xml:space="preserve"> synergies </w:t>
      </w:r>
      <w:r w:rsidR="00E0742A">
        <w:rPr>
          <w:rFonts w:cs="Arial"/>
          <w:sz w:val="22"/>
          <w:szCs w:val="22"/>
          <w:lang w:val="fr-FR"/>
        </w:rPr>
        <w:t xml:space="preserve">créées </w:t>
      </w:r>
      <w:r w:rsidR="00E0742A" w:rsidRPr="00E0742A">
        <w:rPr>
          <w:rFonts w:cs="Arial"/>
          <w:sz w:val="22"/>
          <w:szCs w:val="22"/>
          <w:lang w:val="fr-FR"/>
        </w:rPr>
        <w:t>au sein de la Famille CMS depuis 2015.</w:t>
      </w:r>
      <w:r w:rsidR="0033299A" w:rsidRPr="00E0742A">
        <w:rPr>
          <w:rFonts w:cs="Arial"/>
          <w:sz w:val="22"/>
          <w:szCs w:val="22"/>
          <w:lang w:val="fr-FR"/>
        </w:rPr>
        <w:t xml:space="preserve"> </w:t>
      </w:r>
      <w:r w:rsidR="004B2A35">
        <w:rPr>
          <w:rFonts w:cs="Arial"/>
          <w:sz w:val="22"/>
          <w:szCs w:val="22"/>
          <w:lang w:val="fr-FR"/>
        </w:rPr>
        <w:t>La différence entre la classe</w:t>
      </w:r>
      <w:r w:rsidR="00E0742A" w:rsidRPr="00E0742A">
        <w:rPr>
          <w:rFonts w:cs="Arial"/>
          <w:sz w:val="22"/>
          <w:szCs w:val="22"/>
          <w:lang w:val="fr-FR"/>
        </w:rPr>
        <w:t xml:space="preserve"> P-2 et P-3 serait de</w:t>
      </w:r>
      <w:r w:rsidR="0033299A" w:rsidRPr="00E0742A">
        <w:rPr>
          <w:rFonts w:cs="Arial"/>
          <w:sz w:val="22"/>
          <w:szCs w:val="22"/>
          <w:lang w:val="fr-FR"/>
        </w:rPr>
        <w:t xml:space="preserve"> 18 p</w:t>
      </w:r>
      <w:r w:rsidR="00E0742A" w:rsidRPr="00E0742A">
        <w:rPr>
          <w:rFonts w:cs="Arial"/>
          <w:sz w:val="22"/>
          <w:szCs w:val="22"/>
          <w:lang w:val="fr-FR"/>
        </w:rPr>
        <w:t>our cent des co</w:t>
      </w:r>
      <w:r w:rsidR="00E0742A">
        <w:rPr>
          <w:rFonts w:cs="Arial"/>
          <w:sz w:val="22"/>
          <w:szCs w:val="22"/>
          <w:lang w:val="fr-FR"/>
        </w:rPr>
        <w:t>û</w:t>
      </w:r>
      <w:r w:rsidR="00E0742A" w:rsidRPr="00E0742A">
        <w:rPr>
          <w:rFonts w:cs="Arial"/>
          <w:sz w:val="22"/>
          <w:szCs w:val="22"/>
          <w:lang w:val="fr-FR"/>
        </w:rPr>
        <w:t>ts de ce poste tandis que les 82 pour cent rest</w:t>
      </w:r>
      <w:r w:rsidR="00E0742A">
        <w:rPr>
          <w:rFonts w:cs="Arial"/>
          <w:sz w:val="22"/>
          <w:szCs w:val="22"/>
          <w:lang w:val="fr-FR"/>
        </w:rPr>
        <w:t>ants</w:t>
      </w:r>
      <w:r w:rsidR="00E0742A" w:rsidRPr="00E0742A">
        <w:rPr>
          <w:rFonts w:cs="Arial"/>
          <w:sz w:val="22"/>
          <w:szCs w:val="22"/>
          <w:lang w:val="fr-FR"/>
        </w:rPr>
        <w:t xml:space="preserve"> seraient couverts </w:t>
      </w:r>
      <w:r w:rsidR="00E0742A">
        <w:rPr>
          <w:rFonts w:cs="Arial"/>
          <w:sz w:val="22"/>
          <w:szCs w:val="22"/>
          <w:lang w:val="fr-FR"/>
        </w:rPr>
        <w:t>p</w:t>
      </w:r>
      <w:r w:rsidR="00E0742A" w:rsidRPr="00E0742A">
        <w:rPr>
          <w:rFonts w:cs="Arial"/>
          <w:sz w:val="22"/>
          <w:szCs w:val="22"/>
          <w:lang w:val="fr-FR"/>
        </w:rPr>
        <w:t>ar le budget</w:t>
      </w:r>
      <w:r w:rsidR="00E0742A">
        <w:rPr>
          <w:rFonts w:cs="Arial"/>
          <w:sz w:val="22"/>
          <w:szCs w:val="22"/>
          <w:lang w:val="fr-FR"/>
        </w:rPr>
        <w:t xml:space="preserve"> </w:t>
      </w:r>
      <w:r w:rsidR="00E0742A" w:rsidRPr="00E0742A">
        <w:rPr>
          <w:rFonts w:cs="Arial"/>
          <w:sz w:val="22"/>
          <w:szCs w:val="22"/>
          <w:lang w:val="fr-FR"/>
        </w:rPr>
        <w:t>d</w:t>
      </w:r>
      <w:r w:rsidR="00E0742A">
        <w:rPr>
          <w:rFonts w:cs="Arial"/>
          <w:sz w:val="22"/>
          <w:szCs w:val="22"/>
          <w:lang w:val="fr-FR"/>
        </w:rPr>
        <w:t>e</w:t>
      </w:r>
      <w:r w:rsidR="00E0742A" w:rsidRPr="00E0742A">
        <w:rPr>
          <w:rFonts w:cs="Arial"/>
          <w:sz w:val="22"/>
          <w:szCs w:val="22"/>
          <w:lang w:val="fr-FR"/>
        </w:rPr>
        <w:t xml:space="preserve"> l’AEWA. </w:t>
      </w:r>
      <w:r w:rsidR="00E0742A" w:rsidRPr="00696E04">
        <w:rPr>
          <w:rFonts w:cs="Arial"/>
          <w:sz w:val="22"/>
          <w:szCs w:val="22"/>
          <w:lang w:val="fr-FR"/>
        </w:rPr>
        <w:t xml:space="preserve">La raison de ce reclassement est que le titulaire de ce poste encadre une équipe de cinq </w:t>
      </w:r>
      <w:r w:rsidR="00696E04" w:rsidRPr="00696E04">
        <w:rPr>
          <w:rFonts w:cs="Arial"/>
          <w:sz w:val="22"/>
          <w:szCs w:val="22"/>
          <w:lang w:val="fr-FR"/>
        </w:rPr>
        <w:t>collègues et que le portefeuille a sensiblement augm</w:t>
      </w:r>
      <w:r w:rsidR="00696E04">
        <w:rPr>
          <w:rFonts w:cs="Arial"/>
          <w:sz w:val="22"/>
          <w:szCs w:val="22"/>
          <w:lang w:val="fr-FR"/>
        </w:rPr>
        <w:t>enté</w:t>
      </w:r>
      <w:r w:rsidR="0033299A" w:rsidRPr="00696E04">
        <w:rPr>
          <w:rFonts w:cs="Arial"/>
          <w:sz w:val="22"/>
          <w:szCs w:val="22"/>
          <w:lang w:val="fr-FR"/>
        </w:rPr>
        <w:t xml:space="preserve">. </w:t>
      </w:r>
      <w:r w:rsidR="00696E04" w:rsidRPr="00696E04">
        <w:rPr>
          <w:rFonts w:cs="Arial"/>
          <w:sz w:val="22"/>
          <w:szCs w:val="22"/>
          <w:lang w:val="fr-FR"/>
        </w:rPr>
        <w:t>Étant donné que ce poste n’entra</w:t>
      </w:r>
      <w:r w:rsidR="00696E04">
        <w:rPr>
          <w:rFonts w:cs="Arial"/>
          <w:sz w:val="22"/>
          <w:szCs w:val="22"/>
          <w:lang w:val="fr-FR"/>
        </w:rPr>
        <w:t>î</w:t>
      </w:r>
      <w:r w:rsidR="00696E04" w:rsidRPr="00696E04">
        <w:rPr>
          <w:rFonts w:cs="Arial"/>
          <w:sz w:val="22"/>
          <w:szCs w:val="22"/>
          <w:lang w:val="fr-FR"/>
        </w:rPr>
        <w:t>nerait pas de co</w:t>
      </w:r>
      <w:r w:rsidR="00696E04">
        <w:rPr>
          <w:rFonts w:cs="Arial"/>
          <w:sz w:val="22"/>
          <w:szCs w:val="22"/>
          <w:lang w:val="fr-FR"/>
        </w:rPr>
        <w:t>û</w:t>
      </w:r>
      <w:r w:rsidR="00696E04" w:rsidRPr="00696E04">
        <w:rPr>
          <w:rFonts w:cs="Arial"/>
          <w:sz w:val="22"/>
          <w:szCs w:val="22"/>
          <w:lang w:val="fr-FR"/>
        </w:rPr>
        <w:t xml:space="preserve">t supplémentaire pour l’AEWA et créerait des synergies importantes pour </w:t>
      </w:r>
      <w:r w:rsidR="00696E04">
        <w:rPr>
          <w:rFonts w:cs="Arial"/>
          <w:sz w:val="22"/>
          <w:szCs w:val="22"/>
          <w:lang w:val="fr-FR"/>
        </w:rPr>
        <w:t>l</w:t>
      </w:r>
      <w:r w:rsidR="00696E04" w:rsidRPr="00696E04">
        <w:rPr>
          <w:rFonts w:cs="Arial"/>
          <w:sz w:val="22"/>
          <w:szCs w:val="22"/>
          <w:lang w:val="fr-FR"/>
        </w:rPr>
        <w:t>a Famille CMS</w:t>
      </w:r>
      <w:r w:rsidR="00696E04">
        <w:rPr>
          <w:rFonts w:cs="Arial"/>
          <w:sz w:val="22"/>
          <w:szCs w:val="22"/>
          <w:lang w:val="fr-FR"/>
        </w:rPr>
        <w:t xml:space="preserve">, </w:t>
      </w:r>
      <w:r w:rsidR="004B2A35">
        <w:rPr>
          <w:rFonts w:cs="Arial"/>
          <w:sz w:val="22"/>
          <w:szCs w:val="22"/>
          <w:lang w:val="fr-FR"/>
        </w:rPr>
        <w:t xml:space="preserve">on s’attend à ce que </w:t>
      </w:r>
      <w:r w:rsidR="00696E04">
        <w:rPr>
          <w:rFonts w:cs="Arial"/>
          <w:sz w:val="22"/>
          <w:szCs w:val="22"/>
          <w:lang w:val="fr-FR"/>
        </w:rPr>
        <w:t xml:space="preserve">les Parties à l’AEWA </w:t>
      </w:r>
      <w:r w:rsidR="004B2A35">
        <w:rPr>
          <w:rFonts w:cs="Arial"/>
          <w:sz w:val="22"/>
          <w:szCs w:val="22"/>
          <w:lang w:val="fr-FR"/>
        </w:rPr>
        <w:t>le soutienne.</w:t>
      </w:r>
      <w:r w:rsidR="0033299A" w:rsidRPr="00696E04">
        <w:rPr>
          <w:rFonts w:cs="Arial"/>
          <w:sz w:val="22"/>
          <w:szCs w:val="22"/>
          <w:lang w:val="fr-FR"/>
        </w:rPr>
        <w:t xml:space="preserve"> </w:t>
      </w:r>
    </w:p>
    <w:p w:rsidR="0033299A" w:rsidRPr="00D3599E" w:rsidRDefault="0033299A" w:rsidP="002973EB">
      <w:pPr>
        <w:tabs>
          <w:tab w:val="left" w:pos="360"/>
        </w:tabs>
        <w:ind w:left="360"/>
        <w:contextualSpacing/>
        <w:jc w:val="both"/>
        <w:rPr>
          <w:rFonts w:cs="Arial"/>
          <w:szCs w:val="18"/>
          <w:lang w:val="fr-FR"/>
        </w:rPr>
      </w:pPr>
    </w:p>
    <w:p w:rsidR="0033299A" w:rsidRPr="00DA14F1" w:rsidRDefault="00696E04" w:rsidP="002973EB">
      <w:pPr>
        <w:numPr>
          <w:ilvl w:val="0"/>
          <w:numId w:val="2"/>
        </w:numPr>
        <w:tabs>
          <w:tab w:val="left" w:pos="360"/>
        </w:tabs>
        <w:contextualSpacing/>
        <w:jc w:val="both"/>
        <w:rPr>
          <w:rFonts w:cs="Arial"/>
          <w:sz w:val="22"/>
          <w:szCs w:val="22"/>
          <w:lang w:val="fr-FR"/>
        </w:rPr>
      </w:pPr>
      <w:r w:rsidRPr="00696E04">
        <w:rPr>
          <w:rFonts w:cs="Arial"/>
          <w:sz w:val="22"/>
          <w:szCs w:val="22"/>
          <w:lang w:val="fr-FR"/>
        </w:rPr>
        <w:t xml:space="preserve">La </w:t>
      </w:r>
      <w:r w:rsidR="0033299A" w:rsidRPr="00696E04">
        <w:rPr>
          <w:rFonts w:cs="Arial"/>
          <w:sz w:val="22"/>
          <w:szCs w:val="22"/>
          <w:lang w:val="fr-FR"/>
        </w:rPr>
        <w:t>COP11 a</w:t>
      </w:r>
      <w:r w:rsidRPr="00696E04">
        <w:rPr>
          <w:rFonts w:cs="Arial"/>
          <w:sz w:val="22"/>
          <w:szCs w:val="22"/>
          <w:lang w:val="fr-FR"/>
        </w:rPr>
        <w:t xml:space="preserve"> décidé d’établir le poste à te</w:t>
      </w:r>
      <w:r>
        <w:rPr>
          <w:rFonts w:cs="Arial"/>
          <w:sz w:val="22"/>
          <w:szCs w:val="22"/>
          <w:lang w:val="fr-FR"/>
        </w:rPr>
        <w:t>mps p</w:t>
      </w:r>
      <w:r w:rsidRPr="00696E04">
        <w:rPr>
          <w:rFonts w:cs="Arial"/>
          <w:sz w:val="22"/>
          <w:szCs w:val="22"/>
          <w:lang w:val="fr-FR"/>
        </w:rPr>
        <w:t xml:space="preserve">artiel P-2 d’administrateur associé chargé de l’information. </w:t>
      </w:r>
      <w:r>
        <w:rPr>
          <w:rFonts w:cs="Arial"/>
          <w:sz w:val="22"/>
          <w:szCs w:val="22"/>
          <w:lang w:val="fr-FR"/>
        </w:rPr>
        <w:t>Ce fonctionnaire s’occupe principalement de la maintenance et du développement des sites web</w:t>
      </w:r>
      <w:r w:rsidR="0033299A" w:rsidRPr="00696E04">
        <w:rPr>
          <w:rFonts w:cs="Arial"/>
          <w:sz w:val="22"/>
          <w:szCs w:val="22"/>
          <w:lang w:val="fr-FR"/>
        </w:rPr>
        <w:t xml:space="preserve"> (</w:t>
      </w:r>
      <w:r w:rsidRPr="00696E04">
        <w:rPr>
          <w:rFonts w:cs="Arial"/>
          <w:sz w:val="22"/>
          <w:szCs w:val="22"/>
          <w:lang w:val="fr-FR"/>
        </w:rPr>
        <w:t>Famille CMS, Journée mondiale de</w:t>
      </w:r>
      <w:r>
        <w:rPr>
          <w:rFonts w:cs="Arial"/>
          <w:sz w:val="22"/>
          <w:szCs w:val="22"/>
          <w:lang w:val="fr-FR"/>
        </w:rPr>
        <w:t>s</w:t>
      </w:r>
      <w:r w:rsidRPr="00696E04">
        <w:rPr>
          <w:rFonts w:cs="Arial"/>
          <w:sz w:val="22"/>
          <w:szCs w:val="22"/>
          <w:lang w:val="fr-FR"/>
        </w:rPr>
        <w:t xml:space="preserve"> oiseaux migrateurs) et des différentes </w:t>
      </w:r>
      <w:r w:rsidR="00DA14F1" w:rsidRPr="00696E04">
        <w:rPr>
          <w:rFonts w:cs="Arial"/>
          <w:sz w:val="22"/>
          <w:szCs w:val="22"/>
          <w:lang w:val="fr-FR"/>
        </w:rPr>
        <w:t>plateformes</w:t>
      </w:r>
      <w:r w:rsidRPr="00696E04">
        <w:rPr>
          <w:rFonts w:cs="Arial"/>
          <w:sz w:val="22"/>
          <w:szCs w:val="22"/>
          <w:lang w:val="fr-FR"/>
        </w:rPr>
        <w:t xml:space="preserve"> en ligne qui ont été créées, par exemple échange</w:t>
      </w:r>
      <w:r w:rsidR="0033299A" w:rsidRPr="00696E04">
        <w:rPr>
          <w:rFonts w:cs="Arial"/>
          <w:sz w:val="22"/>
          <w:szCs w:val="22"/>
          <w:lang w:val="fr-FR"/>
        </w:rPr>
        <w:t xml:space="preserve"> </w:t>
      </w:r>
      <w:r w:rsidRPr="00696E04">
        <w:rPr>
          <w:rFonts w:cs="Arial"/>
          <w:sz w:val="22"/>
          <w:szCs w:val="22"/>
          <w:lang w:val="fr-FR"/>
        </w:rPr>
        <w:t>d’</w:t>
      </w:r>
      <w:r w:rsidR="0033299A" w:rsidRPr="00696E04">
        <w:rPr>
          <w:rFonts w:cs="Arial"/>
          <w:sz w:val="22"/>
          <w:szCs w:val="22"/>
          <w:lang w:val="fr-FR"/>
        </w:rPr>
        <w:t>information</w:t>
      </w:r>
      <w:r>
        <w:rPr>
          <w:rFonts w:cs="Arial"/>
          <w:sz w:val="22"/>
          <w:szCs w:val="22"/>
          <w:lang w:val="fr-FR"/>
        </w:rPr>
        <w:t>s sur un certain thème au sein</w:t>
      </w:r>
      <w:r w:rsidR="00DA14F1">
        <w:rPr>
          <w:rFonts w:cs="Arial"/>
          <w:sz w:val="22"/>
          <w:szCs w:val="22"/>
          <w:lang w:val="fr-FR"/>
        </w:rPr>
        <w:t xml:space="preserve"> </w:t>
      </w:r>
      <w:r>
        <w:rPr>
          <w:rFonts w:cs="Arial"/>
          <w:sz w:val="22"/>
          <w:szCs w:val="22"/>
          <w:lang w:val="fr-FR"/>
        </w:rPr>
        <w:t xml:space="preserve">du Conseil scientifique et dans les médias sociaux. </w:t>
      </w:r>
      <w:r w:rsidR="00DA14F1" w:rsidRPr="00DA14F1">
        <w:rPr>
          <w:rFonts w:cs="Arial"/>
          <w:sz w:val="22"/>
          <w:szCs w:val="22"/>
          <w:lang w:val="fr-FR"/>
        </w:rPr>
        <w:t xml:space="preserve">Il s’est avéré que, en raison de la forte demande </w:t>
      </w:r>
      <w:r w:rsidR="00F57F37">
        <w:rPr>
          <w:rFonts w:cs="Arial"/>
          <w:sz w:val="22"/>
          <w:szCs w:val="22"/>
          <w:lang w:val="fr-FR"/>
        </w:rPr>
        <w:t>pour ce type</w:t>
      </w:r>
      <w:r w:rsidR="00DA14F1" w:rsidRPr="00DA14F1">
        <w:rPr>
          <w:rFonts w:cs="Arial"/>
          <w:sz w:val="22"/>
          <w:szCs w:val="22"/>
          <w:lang w:val="fr-FR"/>
        </w:rPr>
        <w:t xml:space="preserve"> d’expertise, il n’a pas été possible de trouver un candidat adéquat </w:t>
      </w:r>
      <w:r w:rsidR="00F57F37">
        <w:rPr>
          <w:rFonts w:cs="Arial"/>
          <w:sz w:val="22"/>
          <w:szCs w:val="22"/>
          <w:lang w:val="fr-FR"/>
        </w:rPr>
        <w:t>qui travaillerait à</w:t>
      </w:r>
      <w:r w:rsidR="00DA14F1" w:rsidRPr="00DA14F1">
        <w:rPr>
          <w:rFonts w:cs="Arial"/>
          <w:sz w:val="22"/>
          <w:szCs w:val="22"/>
          <w:lang w:val="fr-FR"/>
        </w:rPr>
        <w:t xml:space="preserve"> temps partiel.</w:t>
      </w:r>
      <w:r w:rsidR="0033299A" w:rsidRPr="00DA14F1">
        <w:rPr>
          <w:rFonts w:cs="Arial"/>
          <w:sz w:val="22"/>
          <w:szCs w:val="22"/>
          <w:lang w:val="fr-FR"/>
        </w:rPr>
        <w:t xml:space="preserve"> </w:t>
      </w:r>
      <w:r w:rsidR="00DA14F1" w:rsidRPr="00DA14F1">
        <w:rPr>
          <w:rFonts w:cs="Arial"/>
          <w:sz w:val="22"/>
          <w:szCs w:val="22"/>
          <w:lang w:val="fr-FR"/>
        </w:rPr>
        <w:t xml:space="preserve">Toutefois, un consultant a été engagé </w:t>
      </w:r>
      <w:r w:rsidR="00F57F37">
        <w:rPr>
          <w:rFonts w:cs="Arial"/>
          <w:sz w:val="22"/>
          <w:szCs w:val="22"/>
          <w:lang w:val="fr-FR"/>
        </w:rPr>
        <w:t>pour remédier à cette lacune</w:t>
      </w:r>
      <w:r w:rsidR="0033299A" w:rsidRPr="00DA14F1">
        <w:rPr>
          <w:rFonts w:cs="Arial"/>
          <w:sz w:val="22"/>
          <w:szCs w:val="22"/>
          <w:lang w:val="fr-FR"/>
        </w:rPr>
        <w:t xml:space="preserve">, </w:t>
      </w:r>
      <w:r w:rsidR="00DA14F1" w:rsidRPr="00DA14F1">
        <w:rPr>
          <w:rFonts w:cs="Arial"/>
          <w:sz w:val="22"/>
          <w:szCs w:val="22"/>
          <w:lang w:val="fr-FR"/>
        </w:rPr>
        <w:t>ce qui n’est pas une solution durable é</w:t>
      </w:r>
      <w:r w:rsidR="00DA14F1">
        <w:rPr>
          <w:rFonts w:cs="Arial"/>
          <w:sz w:val="22"/>
          <w:szCs w:val="22"/>
          <w:lang w:val="fr-FR"/>
        </w:rPr>
        <w:t>t</w:t>
      </w:r>
      <w:r w:rsidR="00DA14F1" w:rsidRPr="00DA14F1">
        <w:rPr>
          <w:rFonts w:cs="Arial"/>
          <w:sz w:val="22"/>
          <w:szCs w:val="22"/>
          <w:lang w:val="fr-FR"/>
        </w:rPr>
        <w:t>ant donné</w:t>
      </w:r>
      <w:r w:rsidR="00DA14F1">
        <w:rPr>
          <w:rFonts w:cs="Arial"/>
          <w:sz w:val="22"/>
          <w:szCs w:val="22"/>
          <w:lang w:val="fr-FR"/>
        </w:rPr>
        <w:t xml:space="preserve"> </w:t>
      </w:r>
      <w:r w:rsidR="00F57F37">
        <w:rPr>
          <w:rFonts w:cs="Arial"/>
          <w:sz w:val="22"/>
          <w:szCs w:val="22"/>
          <w:lang w:val="fr-FR"/>
        </w:rPr>
        <w:t>que, selon les règles de l’ONU, ce type de consultant ne peut être engagé que pour deux ans au maximum.</w:t>
      </w:r>
      <w:r w:rsidR="00DA14F1">
        <w:rPr>
          <w:rFonts w:cs="Arial"/>
          <w:sz w:val="22"/>
          <w:szCs w:val="22"/>
          <w:lang w:val="fr-FR"/>
        </w:rPr>
        <w:t xml:space="preserve"> </w:t>
      </w:r>
      <w:r w:rsidR="00DA14F1" w:rsidRPr="00DA14F1">
        <w:rPr>
          <w:rFonts w:cs="Arial"/>
          <w:sz w:val="22"/>
          <w:szCs w:val="22"/>
          <w:lang w:val="fr-FR"/>
        </w:rPr>
        <w:t>Le Secré</w:t>
      </w:r>
      <w:r w:rsidR="0033299A" w:rsidRPr="00DA14F1">
        <w:rPr>
          <w:rFonts w:cs="Arial"/>
          <w:sz w:val="22"/>
          <w:szCs w:val="22"/>
          <w:lang w:val="fr-FR"/>
        </w:rPr>
        <w:t>tariat</w:t>
      </w:r>
      <w:r w:rsidR="00DA14F1" w:rsidRPr="00DA14F1">
        <w:rPr>
          <w:rFonts w:cs="Arial"/>
          <w:sz w:val="22"/>
          <w:szCs w:val="22"/>
          <w:lang w:val="fr-FR"/>
        </w:rPr>
        <w:t xml:space="preserve"> propose donc d’envisager de porter le poste de mi-temps à plein temps afin d’attirer des candidats</w:t>
      </w:r>
      <w:r w:rsidR="00DA14F1">
        <w:rPr>
          <w:rFonts w:cs="Arial"/>
          <w:sz w:val="22"/>
          <w:szCs w:val="22"/>
          <w:lang w:val="fr-FR"/>
        </w:rPr>
        <w:t xml:space="preserve"> hautement</w:t>
      </w:r>
      <w:r w:rsidR="00DA14F1" w:rsidRPr="00DA14F1">
        <w:rPr>
          <w:rFonts w:cs="Arial"/>
          <w:sz w:val="22"/>
          <w:szCs w:val="22"/>
          <w:lang w:val="fr-FR"/>
        </w:rPr>
        <w:t xml:space="preserve"> qualifi</w:t>
      </w:r>
      <w:r w:rsidR="00DA14F1">
        <w:rPr>
          <w:rFonts w:cs="Arial"/>
          <w:sz w:val="22"/>
          <w:szCs w:val="22"/>
          <w:lang w:val="fr-FR"/>
        </w:rPr>
        <w:t>é</w:t>
      </w:r>
      <w:r w:rsidR="00DA14F1" w:rsidRPr="00DA14F1">
        <w:rPr>
          <w:rFonts w:cs="Arial"/>
          <w:sz w:val="22"/>
          <w:szCs w:val="22"/>
          <w:lang w:val="fr-FR"/>
        </w:rPr>
        <w:t xml:space="preserve">s </w:t>
      </w:r>
      <w:r w:rsidR="00DA14F1">
        <w:rPr>
          <w:rFonts w:cs="Arial"/>
          <w:sz w:val="22"/>
          <w:szCs w:val="22"/>
          <w:lang w:val="fr-FR"/>
        </w:rPr>
        <w:t xml:space="preserve">pour remplir </w:t>
      </w:r>
      <w:r w:rsidR="00DA14F1" w:rsidRPr="00DA14F1">
        <w:rPr>
          <w:rFonts w:cs="Arial"/>
          <w:sz w:val="22"/>
          <w:szCs w:val="22"/>
          <w:lang w:val="fr-FR"/>
        </w:rPr>
        <w:t>ce pos</w:t>
      </w:r>
      <w:r w:rsidR="00DA14F1">
        <w:rPr>
          <w:rFonts w:cs="Arial"/>
          <w:sz w:val="22"/>
          <w:szCs w:val="22"/>
          <w:lang w:val="fr-FR"/>
        </w:rPr>
        <w:t>te</w:t>
      </w:r>
      <w:r w:rsidR="00DA14F1" w:rsidRPr="00DA14F1">
        <w:rPr>
          <w:rFonts w:cs="Arial"/>
          <w:sz w:val="22"/>
          <w:szCs w:val="22"/>
          <w:lang w:val="fr-FR"/>
        </w:rPr>
        <w:t xml:space="preserve"> dan</w:t>
      </w:r>
      <w:r w:rsidR="00DA14F1">
        <w:rPr>
          <w:rFonts w:cs="Arial"/>
          <w:sz w:val="22"/>
          <w:szCs w:val="22"/>
          <w:lang w:val="fr-FR"/>
        </w:rPr>
        <w:t>s</w:t>
      </w:r>
      <w:r w:rsidR="00DA14F1" w:rsidRPr="00DA14F1">
        <w:rPr>
          <w:rFonts w:cs="Arial"/>
          <w:sz w:val="22"/>
          <w:szCs w:val="22"/>
          <w:lang w:val="fr-FR"/>
        </w:rPr>
        <w:t xml:space="preserve"> les pr</w:t>
      </w:r>
      <w:r w:rsidR="00DA14F1">
        <w:rPr>
          <w:rFonts w:cs="Arial"/>
          <w:sz w:val="22"/>
          <w:szCs w:val="22"/>
          <w:lang w:val="fr-FR"/>
        </w:rPr>
        <w:t xml:space="preserve">ochaines </w:t>
      </w:r>
      <w:r w:rsidR="00DA14F1" w:rsidRPr="00DA14F1">
        <w:rPr>
          <w:rFonts w:cs="Arial"/>
          <w:sz w:val="22"/>
          <w:szCs w:val="22"/>
          <w:lang w:val="fr-FR"/>
        </w:rPr>
        <w:t>années.</w:t>
      </w:r>
      <w:r w:rsidR="0033299A" w:rsidRPr="00DA14F1">
        <w:rPr>
          <w:rFonts w:cs="Arial"/>
          <w:sz w:val="22"/>
          <w:szCs w:val="22"/>
          <w:lang w:val="fr-FR"/>
        </w:rPr>
        <w:t xml:space="preserve">  </w:t>
      </w:r>
    </w:p>
    <w:p w:rsidR="0033299A" w:rsidRPr="00D3599E" w:rsidRDefault="0033299A" w:rsidP="002973EB">
      <w:pPr>
        <w:tabs>
          <w:tab w:val="left" w:pos="360"/>
        </w:tabs>
        <w:ind w:left="360"/>
        <w:contextualSpacing/>
        <w:jc w:val="both"/>
        <w:rPr>
          <w:rFonts w:cs="Arial"/>
          <w:szCs w:val="18"/>
          <w:lang w:val="fr-FR"/>
        </w:rPr>
      </w:pPr>
    </w:p>
    <w:p w:rsidR="0033299A" w:rsidRPr="00DA14F1" w:rsidRDefault="00DA14F1" w:rsidP="002973EB">
      <w:pPr>
        <w:numPr>
          <w:ilvl w:val="0"/>
          <w:numId w:val="2"/>
        </w:numPr>
        <w:tabs>
          <w:tab w:val="left" w:pos="360"/>
        </w:tabs>
        <w:contextualSpacing/>
        <w:jc w:val="both"/>
        <w:rPr>
          <w:rFonts w:cs="Arial"/>
          <w:sz w:val="22"/>
          <w:szCs w:val="22"/>
          <w:lang w:val="fr-FR"/>
        </w:rPr>
      </w:pPr>
      <w:r w:rsidRPr="00DA14F1">
        <w:rPr>
          <w:rFonts w:cs="Arial"/>
          <w:sz w:val="22"/>
          <w:szCs w:val="22"/>
          <w:lang w:val="fr-FR"/>
        </w:rPr>
        <w:t>S’agissant des co</w:t>
      </w:r>
      <w:r>
        <w:rPr>
          <w:rFonts w:cs="Arial"/>
          <w:sz w:val="22"/>
          <w:szCs w:val="22"/>
          <w:lang w:val="fr-FR"/>
        </w:rPr>
        <w:t>û</w:t>
      </w:r>
      <w:r w:rsidRPr="00DA14F1">
        <w:rPr>
          <w:rFonts w:cs="Arial"/>
          <w:sz w:val="22"/>
          <w:szCs w:val="22"/>
          <w:lang w:val="fr-FR"/>
        </w:rPr>
        <w:t xml:space="preserve">ts hors personnel sous le </w:t>
      </w:r>
      <w:r>
        <w:rPr>
          <w:rFonts w:cs="Arial"/>
          <w:sz w:val="22"/>
          <w:szCs w:val="22"/>
          <w:lang w:val="fr-FR"/>
        </w:rPr>
        <w:t>S</w:t>
      </w:r>
      <w:r w:rsidR="0033299A" w:rsidRPr="00DA14F1">
        <w:rPr>
          <w:rFonts w:cs="Arial"/>
          <w:sz w:val="22"/>
          <w:szCs w:val="22"/>
          <w:lang w:val="fr-FR"/>
        </w:rPr>
        <w:t>c</w:t>
      </w:r>
      <w:r w:rsidRPr="00DA14F1">
        <w:rPr>
          <w:rFonts w:cs="Arial"/>
          <w:sz w:val="22"/>
          <w:szCs w:val="22"/>
          <w:lang w:val="fr-FR"/>
        </w:rPr>
        <w:t>é</w:t>
      </w:r>
      <w:r w:rsidR="0033299A" w:rsidRPr="00DA14F1">
        <w:rPr>
          <w:rFonts w:cs="Arial"/>
          <w:sz w:val="22"/>
          <w:szCs w:val="22"/>
          <w:lang w:val="fr-FR"/>
        </w:rPr>
        <w:t xml:space="preserve">nario 3, </w:t>
      </w:r>
      <w:r w:rsidRPr="00DA14F1">
        <w:rPr>
          <w:rFonts w:cs="Arial"/>
          <w:sz w:val="22"/>
          <w:szCs w:val="22"/>
          <w:lang w:val="fr-FR"/>
        </w:rPr>
        <w:t xml:space="preserve">une allocation ponctuelle de </w:t>
      </w:r>
      <w:r w:rsidR="0033299A" w:rsidRPr="00DA14F1">
        <w:rPr>
          <w:rFonts w:cs="Arial"/>
          <w:sz w:val="22"/>
          <w:szCs w:val="22"/>
          <w:lang w:val="fr-FR"/>
        </w:rPr>
        <w:t>25</w:t>
      </w:r>
      <w:r w:rsidRPr="00DA14F1">
        <w:rPr>
          <w:rFonts w:cs="Arial"/>
          <w:sz w:val="22"/>
          <w:szCs w:val="22"/>
          <w:lang w:val="fr-FR"/>
        </w:rPr>
        <w:t>.</w:t>
      </w:r>
      <w:r w:rsidR="0033299A" w:rsidRPr="00DA14F1">
        <w:rPr>
          <w:rFonts w:cs="Arial"/>
          <w:sz w:val="22"/>
          <w:szCs w:val="22"/>
          <w:lang w:val="fr-FR"/>
        </w:rPr>
        <w:t xml:space="preserve">000 </w:t>
      </w:r>
      <w:r w:rsidRPr="00DA14F1">
        <w:rPr>
          <w:rFonts w:cs="Arial"/>
          <w:sz w:val="22"/>
          <w:szCs w:val="22"/>
          <w:lang w:val="fr-FR"/>
        </w:rPr>
        <w:t>euros est incluse pour l’An</w:t>
      </w:r>
      <w:r w:rsidR="00F57F37">
        <w:rPr>
          <w:rFonts w:cs="Arial"/>
          <w:sz w:val="22"/>
          <w:szCs w:val="22"/>
          <w:lang w:val="fr-FR"/>
        </w:rPr>
        <w:t>alyse des rapports nationaux fo</w:t>
      </w:r>
      <w:r w:rsidRPr="00DA14F1">
        <w:rPr>
          <w:rFonts w:cs="Arial"/>
          <w:sz w:val="22"/>
          <w:szCs w:val="22"/>
          <w:lang w:val="fr-FR"/>
        </w:rPr>
        <w:t>u</w:t>
      </w:r>
      <w:r w:rsidR="00F57F37">
        <w:rPr>
          <w:rFonts w:cs="Arial"/>
          <w:sz w:val="22"/>
          <w:szCs w:val="22"/>
          <w:lang w:val="fr-FR"/>
        </w:rPr>
        <w:t>r</w:t>
      </w:r>
      <w:r w:rsidRPr="00DA14F1">
        <w:rPr>
          <w:rFonts w:cs="Arial"/>
          <w:sz w:val="22"/>
          <w:szCs w:val="22"/>
          <w:lang w:val="fr-FR"/>
        </w:rPr>
        <w:t>ni</w:t>
      </w:r>
      <w:r w:rsidR="00F57F37">
        <w:rPr>
          <w:rFonts w:cs="Arial"/>
          <w:sz w:val="22"/>
          <w:szCs w:val="22"/>
          <w:lang w:val="fr-FR"/>
        </w:rPr>
        <w:t>s</w:t>
      </w:r>
      <w:r w:rsidRPr="00DA14F1">
        <w:rPr>
          <w:rFonts w:cs="Arial"/>
          <w:sz w:val="22"/>
          <w:szCs w:val="22"/>
          <w:lang w:val="fr-FR"/>
        </w:rPr>
        <w:t xml:space="preserve"> </w:t>
      </w:r>
      <w:r w:rsidR="00F57F37">
        <w:rPr>
          <w:rFonts w:cs="Arial"/>
          <w:sz w:val="22"/>
          <w:szCs w:val="22"/>
          <w:lang w:val="fr-FR"/>
        </w:rPr>
        <w:t>par les</w:t>
      </w:r>
      <w:r w:rsidRPr="00DA14F1">
        <w:rPr>
          <w:rFonts w:cs="Arial"/>
          <w:sz w:val="22"/>
          <w:szCs w:val="22"/>
          <w:lang w:val="fr-FR"/>
        </w:rPr>
        <w:t xml:space="preserve"> P</w:t>
      </w:r>
      <w:r w:rsidR="00F57F37">
        <w:rPr>
          <w:rFonts w:cs="Arial"/>
          <w:sz w:val="22"/>
          <w:szCs w:val="22"/>
          <w:lang w:val="fr-FR"/>
        </w:rPr>
        <w:t>a</w:t>
      </w:r>
      <w:r w:rsidRPr="00DA14F1">
        <w:rPr>
          <w:rFonts w:cs="Arial"/>
          <w:sz w:val="22"/>
          <w:szCs w:val="22"/>
          <w:lang w:val="fr-FR"/>
        </w:rPr>
        <w:t>rties à la Convention</w:t>
      </w:r>
      <w:r w:rsidR="0033299A" w:rsidRPr="00DA14F1">
        <w:rPr>
          <w:rFonts w:cs="Arial"/>
          <w:sz w:val="22"/>
          <w:szCs w:val="22"/>
          <w:lang w:val="fr-FR"/>
        </w:rPr>
        <w:t xml:space="preserve">. </w:t>
      </w:r>
    </w:p>
    <w:p w:rsidR="0033299A" w:rsidRPr="00D3599E" w:rsidRDefault="0033299A" w:rsidP="002973EB">
      <w:pPr>
        <w:pStyle w:val="NoSpacing"/>
        <w:jc w:val="both"/>
        <w:rPr>
          <w:rFonts w:ascii="Arial" w:hAnsi="Arial" w:cs="Arial"/>
          <w:sz w:val="18"/>
          <w:szCs w:val="18"/>
          <w:lang w:val="fr-FR"/>
        </w:rPr>
      </w:pPr>
    </w:p>
    <w:tbl>
      <w:tblPr>
        <w:tblW w:w="7560" w:type="dxa"/>
        <w:tblInd w:w="828" w:type="dxa"/>
        <w:tblLook w:val="04A0" w:firstRow="1" w:lastRow="0" w:firstColumn="1" w:lastColumn="0" w:noHBand="0" w:noVBand="1"/>
      </w:tblPr>
      <w:tblGrid>
        <w:gridCol w:w="4503"/>
        <w:gridCol w:w="3057"/>
      </w:tblGrid>
      <w:tr w:rsidR="0033299A" w:rsidRPr="00BA4513" w:rsidTr="00245E18">
        <w:trPr>
          <w:trHeight w:val="358"/>
        </w:trPr>
        <w:tc>
          <w:tcPr>
            <w:tcW w:w="75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AA2F5B" w:rsidRDefault="00AA2F5B" w:rsidP="002973EB">
            <w:pPr>
              <w:widowControl/>
              <w:autoSpaceDE/>
              <w:autoSpaceDN/>
              <w:adjustRightInd/>
              <w:rPr>
                <w:rFonts w:cs="Arial"/>
                <w:b/>
                <w:bCs/>
                <w:color w:val="000000"/>
                <w:szCs w:val="20"/>
                <w:lang w:val="fr-FR"/>
              </w:rPr>
            </w:pPr>
            <w:r w:rsidRPr="009B4010">
              <w:rPr>
                <w:rFonts w:cs="Arial"/>
                <w:b/>
                <w:bCs/>
                <w:color w:val="000000"/>
                <w:szCs w:val="20"/>
                <w:lang w:val="fr-FR"/>
              </w:rPr>
              <w:t>Coûts totaux par catégorie pour la période 2018-2020 (en euros)</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A14F1" w:rsidP="002973EB">
            <w:pPr>
              <w:widowControl/>
              <w:autoSpaceDE/>
              <w:autoSpaceDN/>
              <w:adjustRightInd/>
              <w:rPr>
                <w:rFonts w:cs="Arial"/>
                <w:color w:val="000000"/>
                <w:szCs w:val="20"/>
              </w:rPr>
            </w:pPr>
            <w:r>
              <w:rPr>
                <w:rFonts w:cs="Arial"/>
                <w:color w:val="000000"/>
                <w:szCs w:val="20"/>
              </w:rPr>
              <w:t>Personnel</w:t>
            </w:r>
            <w:r w:rsidR="0033299A" w:rsidRPr="00903B7F">
              <w:rPr>
                <w:rFonts w:cs="Arial"/>
                <w:color w:val="000000"/>
                <w:szCs w:val="20"/>
              </w:rPr>
              <w:t xml:space="preserve"> </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869</w:t>
            </w:r>
            <w:r>
              <w:rPr>
                <w:rFonts w:cs="Arial"/>
                <w:color w:val="000000"/>
                <w:szCs w:val="20"/>
              </w:rPr>
              <w:t xml:space="preserve"> </w:t>
            </w:r>
            <w:r w:rsidRPr="00903B7F">
              <w:rPr>
                <w:rFonts w:cs="Arial"/>
                <w:color w:val="000000"/>
                <w:szCs w:val="20"/>
              </w:rPr>
              <w:t xml:space="preserve">723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A14F1" w:rsidP="002973EB">
            <w:pPr>
              <w:widowControl/>
              <w:autoSpaceDE/>
              <w:autoSpaceDN/>
              <w:adjustRightInd/>
              <w:rPr>
                <w:rFonts w:cs="Arial"/>
                <w:color w:val="000000"/>
                <w:szCs w:val="20"/>
              </w:rPr>
            </w:pPr>
            <w:r>
              <w:rPr>
                <w:rFonts w:cs="Arial"/>
                <w:color w:val="000000"/>
                <w:szCs w:val="20"/>
              </w:rPr>
              <w:t>Services contractuels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622</w:t>
            </w:r>
            <w:r>
              <w:rPr>
                <w:rFonts w:cs="Arial"/>
                <w:color w:val="000000"/>
                <w:szCs w:val="20"/>
              </w:rPr>
              <w:t xml:space="preserve"> </w:t>
            </w:r>
            <w:r w:rsidRPr="00903B7F">
              <w:rPr>
                <w:rFonts w:cs="Arial"/>
                <w:color w:val="000000"/>
                <w:szCs w:val="20"/>
              </w:rPr>
              <w:t xml:space="preserve">043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A14F1" w:rsidP="002973EB">
            <w:pPr>
              <w:widowControl/>
              <w:autoSpaceDE/>
              <w:autoSpaceDN/>
              <w:adjustRightInd/>
              <w:rPr>
                <w:rFonts w:cs="Arial"/>
                <w:color w:val="000000"/>
                <w:szCs w:val="20"/>
              </w:rPr>
            </w:pPr>
            <w:r>
              <w:rPr>
                <w:rFonts w:cs="Arial"/>
                <w:color w:val="000000"/>
                <w:szCs w:val="20"/>
              </w:rPr>
              <w:t>Co</w:t>
            </w:r>
            <w:r w:rsidR="00AA2F5B">
              <w:rPr>
                <w:rFonts w:cs="Arial"/>
                <w:color w:val="000000"/>
                <w:szCs w:val="20"/>
              </w:rPr>
              <w:t>û</w:t>
            </w:r>
            <w:r w:rsidR="00F57F37">
              <w:rPr>
                <w:rFonts w:cs="Arial"/>
                <w:color w:val="000000"/>
                <w:szCs w:val="20"/>
              </w:rPr>
              <w:t>ts de fonctionnement</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A14F1" w:rsidP="002973EB">
            <w:pPr>
              <w:widowControl/>
              <w:autoSpaceDE/>
              <w:autoSpaceDN/>
              <w:adjustRightInd/>
              <w:rPr>
                <w:rFonts w:cs="Arial"/>
                <w:color w:val="000000"/>
                <w:szCs w:val="20"/>
              </w:rPr>
            </w:pPr>
            <w:r>
              <w:rPr>
                <w:rFonts w:cs="Arial"/>
                <w:color w:val="000000"/>
                <w:szCs w:val="20"/>
              </w:rPr>
              <w:t xml:space="preserve">Fournitures </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F57F37" w:rsidP="002973EB">
            <w:pPr>
              <w:widowControl/>
              <w:autoSpaceDE/>
              <w:autoSpaceDN/>
              <w:adjustRightInd/>
              <w:rPr>
                <w:rFonts w:cs="Arial"/>
                <w:color w:val="000000"/>
                <w:szCs w:val="20"/>
              </w:rPr>
            </w:pPr>
            <w:r>
              <w:rPr>
                <w:rFonts w:cs="Arial"/>
                <w:color w:val="000000"/>
                <w:szCs w:val="20"/>
              </w:rPr>
              <w:t>Matériel</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DA14F1" w:rsidP="002973EB">
            <w:pPr>
              <w:widowControl/>
              <w:autoSpaceDE/>
              <w:autoSpaceDN/>
              <w:adjustRightInd/>
              <w:rPr>
                <w:rFonts w:cs="Arial"/>
                <w:color w:val="000000"/>
                <w:szCs w:val="20"/>
              </w:rPr>
            </w:pPr>
            <w:r>
              <w:rPr>
                <w:rFonts w:cs="Arial"/>
                <w:color w:val="000000"/>
                <w:szCs w:val="20"/>
              </w:rPr>
              <w:t>Voyages</w:t>
            </w:r>
            <w:r w:rsidR="0033299A" w:rsidRPr="00903B7F">
              <w:rPr>
                <w:rFonts w:cs="Arial"/>
                <w:color w:val="000000"/>
                <w:szCs w:val="20"/>
              </w:rPr>
              <w:t xml:space="preserve"> </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407</w:t>
            </w:r>
            <w:r>
              <w:rPr>
                <w:rFonts w:cs="Arial"/>
                <w:color w:val="000000"/>
                <w:szCs w:val="20"/>
              </w:rPr>
              <w:t xml:space="preserve"> </w:t>
            </w:r>
            <w:r w:rsidRPr="00903B7F">
              <w:rPr>
                <w:rFonts w:cs="Arial"/>
                <w:color w:val="000000"/>
                <w:szCs w:val="20"/>
              </w:rPr>
              <w:t xml:space="preserve">378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AA2F5B" w:rsidP="002973EB">
            <w:pPr>
              <w:widowControl/>
              <w:autoSpaceDE/>
              <w:autoSpaceDN/>
              <w:adjustRightInd/>
              <w:rPr>
                <w:rFonts w:cs="Arial"/>
                <w:color w:val="000000"/>
                <w:szCs w:val="20"/>
              </w:rPr>
            </w:pPr>
            <w:r>
              <w:rPr>
                <w:rFonts w:cs="Arial"/>
                <w:color w:val="000000"/>
                <w:szCs w:val="20"/>
              </w:rPr>
              <w:t>Dépenses d’appui aux programmes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color w:val="000000"/>
                <w:szCs w:val="20"/>
              </w:rPr>
            </w:pPr>
            <w:r w:rsidRPr="00903B7F">
              <w:rPr>
                <w:rFonts w:cs="Arial"/>
                <w:color w:val="000000"/>
                <w:szCs w:val="20"/>
              </w:rPr>
              <w:t xml:space="preserve">                             951</w:t>
            </w:r>
            <w:r>
              <w:rPr>
                <w:rFonts w:cs="Arial"/>
                <w:color w:val="000000"/>
                <w:szCs w:val="20"/>
              </w:rPr>
              <w:t xml:space="preserve"> </w:t>
            </w:r>
            <w:r w:rsidRPr="00903B7F">
              <w:rPr>
                <w:rFonts w:cs="Arial"/>
                <w:color w:val="000000"/>
                <w:szCs w:val="20"/>
              </w:rPr>
              <w:t xml:space="preserve">283 </w:t>
            </w:r>
          </w:p>
        </w:tc>
      </w:tr>
      <w:tr w:rsidR="0033299A" w:rsidRPr="00903B7F" w:rsidTr="00245E18">
        <w:trPr>
          <w:trHeight w:val="341"/>
        </w:trPr>
        <w:tc>
          <w:tcPr>
            <w:tcW w:w="4503" w:type="dxa"/>
            <w:tcBorders>
              <w:top w:val="nil"/>
              <w:left w:val="single" w:sz="8" w:space="0" w:color="auto"/>
              <w:bottom w:val="single" w:sz="8" w:space="0" w:color="auto"/>
              <w:right w:val="single" w:sz="4" w:space="0" w:color="auto"/>
            </w:tcBorders>
            <w:shd w:val="clear" w:color="auto" w:fill="auto"/>
            <w:noWrap/>
            <w:vAlign w:val="center"/>
            <w:hideMark/>
          </w:tcPr>
          <w:p w:rsidR="0033299A" w:rsidRPr="00DA14F1" w:rsidRDefault="0033299A" w:rsidP="002973EB">
            <w:pPr>
              <w:widowControl/>
              <w:autoSpaceDE/>
              <w:autoSpaceDN/>
              <w:adjustRightInd/>
              <w:rPr>
                <w:rFonts w:cs="Arial"/>
                <w:b/>
                <w:bCs/>
                <w:color w:val="000000"/>
                <w:szCs w:val="20"/>
                <w:lang w:val="fr-FR"/>
              </w:rPr>
            </w:pPr>
            <w:r w:rsidRPr="00DA14F1">
              <w:rPr>
                <w:rFonts w:cs="Arial"/>
                <w:b/>
                <w:bCs/>
                <w:color w:val="000000"/>
                <w:szCs w:val="20"/>
                <w:lang w:val="fr-FR"/>
              </w:rPr>
              <w:t xml:space="preserve">Grand total </w:t>
            </w:r>
            <w:r w:rsidR="00DA14F1" w:rsidRPr="00DA14F1">
              <w:rPr>
                <w:rFonts w:cs="Arial"/>
                <w:b/>
                <w:bCs/>
                <w:color w:val="000000"/>
                <w:szCs w:val="20"/>
                <w:lang w:val="fr-FR"/>
              </w:rPr>
              <w:t xml:space="preserve">à </w:t>
            </w:r>
            <w:r w:rsidR="00DA14F1">
              <w:rPr>
                <w:rFonts w:cs="Arial"/>
                <w:b/>
                <w:bCs/>
                <w:color w:val="000000"/>
                <w:szCs w:val="20"/>
                <w:lang w:val="fr-FR"/>
              </w:rPr>
              <w:t>diviser</w:t>
            </w:r>
            <w:r w:rsidR="00DA14F1" w:rsidRPr="00DA14F1">
              <w:rPr>
                <w:rFonts w:cs="Arial"/>
                <w:b/>
                <w:bCs/>
                <w:color w:val="000000"/>
                <w:szCs w:val="20"/>
                <w:lang w:val="fr-FR"/>
              </w:rPr>
              <w:t xml:space="preserve"> entre les Parties</w:t>
            </w:r>
          </w:p>
        </w:tc>
        <w:tc>
          <w:tcPr>
            <w:tcW w:w="3057"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973EB">
            <w:pPr>
              <w:widowControl/>
              <w:autoSpaceDE/>
              <w:autoSpaceDN/>
              <w:adjustRightInd/>
              <w:jc w:val="right"/>
              <w:rPr>
                <w:rFonts w:cs="Arial"/>
                <w:b/>
                <w:bCs/>
                <w:color w:val="000000"/>
                <w:szCs w:val="20"/>
              </w:rPr>
            </w:pPr>
            <w:r w:rsidRPr="00DA14F1">
              <w:rPr>
                <w:rFonts w:cs="Arial"/>
                <w:b/>
                <w:bCs/>
                <w:color w:val="000000"/>
                <w:szCs w:val="20"/>
                <w:lang w:val="fr-FR"/>
              </w:rPr>
              <w:t xml:space="preserve">                         </w:t>
            </w:r>
            <w:r w:rsidRPr="00903B7F">
              <w:rPr>
                <w:rFonts w:cs="Arial"/>
                <w:b/>
                <w:bCs/>
                <w:color w:val="000000"/>
                <w:szCs w:val="20"/>
              </w:rPr>
              <w:t>8</w:t>
            </w:r>
            <w:r>
              <w:rPr>
                <w:rFonts w:cs="Arial"/>
                <w:b/>
                <w:bCs/>
                <w:color w:val="000000"/>
                <w:szCs w:val="20"/>
              </w:rPr>
              <w:t xml:space="preserve"> </w:t>
            </w:r>
            <w:r w:rsidRPr="00903B7F">
              <w:rPr>
                <w:rFonts w:cs="Arial"/>
                <w:b/>
                <w:bCs/>
                <w:color w:val="000000"/>
                <w:szCs w:val="20"/>
              </w:rPr>
              <w:t>268</w:t>
            </w:r>
            <w:r>
              <w:rPr>
                <w:rFonts w:cs="Arial"/>
                <w:b/>
                <w:bCs/>
                <w:color w:val="000000"/>
                <w:szCs w:val="20"/>
              </w:rPr>
              <w:t xml:space="preserve"> </w:t>
            </w:r>
            <w:r w:rsidRPr="00903B7F">
              <w:rPr>
                <w:rFonts w:cs="Arial"/>
                <w:b/>
                <w:bCs/>
                <w:color w:val="000000"/>
                <w:szCs w:val="20"/>
              </w:rPr>
              <w:t xml:space="preserve">842 </w:t>
            </w:r>
          </w:p>
        </w:tc>
      </w:tr>
    </w:tbl>
    <w:p w:rsidR="0033299A" w:rsidRPr="00D3599E" w:rsidRDefault="0033299A" w:rsidP="002973EB">
      <w:pPr>
        <w:pStyle w:val="NoSpacing"/>
        <w:jc w:val="both"/>
        <w:rPr>
          <w:rFonts w:ascii="Arial" w:hAnsi="Arial" w:cs="Arial"/>
          <w:sz w:val="18"/>
          <w:szCs w:val="18"/>
          <w:lang w:val="en-GB"/>
        </w:rPr>
      </w:pPr>
    </w:p>
    <w:p w:rsidR="0033299A" w:rsidRPr="00D3599E" w:rsidRDefault="0033299A" w:rsidP="002973EB">
      <w:pPr>
        <w:pStyle w:val="NoSpacing"/>
        <w:jc w:val="both"/>
        <w:rPr>
          <w:rFonts w:ascii="Arial" w:hAnsi="Arial" w:cs="Arial"/>
          <w:sz w:val="18"/>
          <w:szCs w:val="18"/>
          <w:lang w:val="en-GB"/>
        </w:rPr>
      </w:pPr>
    </w:p>
    <w:p w:rsidR="0033299A" w:rsidRPr="00AA2F5B" w:rsidRDefault="00AA2F5B" w:rsidP="002973EB">
      <w:pPr>
        <w:numPr>
          <w:ilvl w:val="0"/>
          <w:numId w:val="2"/>
        </w:numPr>
        <w:tabs>
          <w:tab w:val="left" w:pos="360"/>
        </w:tabs>
        <w:contextualSpacing/>
        <w:jc w:val="both"/>
        <w:rPr>
          <w:rFonts w:cs="Arial"/>
          <w:sz w:val="22"/>
          <w:szCs w:val="22"/>
          <w:lang w:val="fr-FR"/>
        </w:rPr>
      </w:pPr>
      <w:r w:rsidRPr="00AA2F5B">
        <w:rPr>
          <w:rFonts w:cs="Arial"/>
          <w:sz w:val="22"/>
          <w:szCs w:val="22"/>
          <w:lang w:val="fr-FR"/>
        </w:rPr>
        <w:t xml:space="preserve">La composante dotation en personnel des </w:t>
      </w:r>
      <w:r>
        <w:rPr>
          <w:rFonts w:cs="Arial"/>
          <w:sz w:val="22"/>
          <w:szCs w:val="22"/>
          <w:lang w:val="fr-FR"/>
        </w:rPr>
        <w:t>tr</w:t>
      </w:r>
      <w:r w:rsidRPr="00AA2F5B">
        <w:rPr>
          <w:rFonts w:cs="Arial"/>
          <w:sz w:val="22"/>
          <w:szCs w:val="22"/>
          <w:lang w:val="fr-FR"/>
        </w:rPr>
        <w:t>o</w:t>
      </w:r>
      <w:r>
        <w:rPr>
          <w:rFonts w:cs="Arial"/>
          <w:sz w:val="22"/>
          <w:szCs w:val="22"/>
          <w:lang w:val="fr-FR"/>
        </w:rPr>
        <w:t>i</w:t>
      </w:r>
      <w:r w:rsidRPr="00AA2F5B">
        <w:rPr>
          <w:rFonts w:cs="Arial"/>
          <w:sz w:val="22"/>
          <w:szCs w:val="22"/>
          <w:lang w:val="fr-FR"/>
        </w:rPr>
        <w:t>s sc</w:t>
      </w:r>
      <w:r>
        <w:rPr>
          <w:rFonts w:cs="Arial"/>
          <w:sz w:val="22"/>
          <w:szCs w:val="22"/>
          <w:lang w:val="fr-FR"/>
        </w:rPr>
        <w:t>é</w:t>
      </w:r>
      <w:r w:rsidRPr="00AA2F5B">
        <w:rPr>
          <w:rFonts w:cs="Arial"/>
          <w:sz w:val="22"/>
          <w:szCs w:val="22"/>
          <w:lang w:val="fr-FR"/>
        </w:rPr>
        <w:t>narios est ca</w:t>
      </w:r>
      <w:r>
        <w:rPr>
          <w:rFonts w:cs="Arial"/>
          <w:sz w:val="22"/>
          <w:szCs w:val="22"/>
          <w:lang w:val="fr-FR"/>
        </w:rPr>
        <w:t>l</w:t>
      </w:r>
      <w:r w:rsidRPr="00AA2F5B">
        <w:rPr>
          <w:rFonts w:cs="Arial"/>
          <w:sz w:val="22"/>
          <w:szCs w:val="22"/>
          <w:lang w:val="fr-FR"/>
        </w:rPr>
        <w:t>culée sur la base du tableau d</w:t>
      </w:r>
      <w:r>
        <w:rPr>
          <w:rFonts w:cs="Arial"/>
          <w:sz w:val="22"/>
          <w:szCs w:val="22"/>
          <w:lang w:val="fr-FR"/>
        </w:rPr>
        <w:t>’effectifs indicatif</w:t>
      </w:r>
      <w:r w:rsidRPr="00AA2F5B">
        <w:rPr>
          <w:rFonts w:cs="Arial"/>
          <w:sz w:val="22"/>
          <w:szCs w:val="22"/>
          <w:lang w:val="fr-FR"/>
        </w:rPr>
        <w:t xml:space="preserve"> pour la période triennale 2015-2017.</w:t>
      </w:r>
      <w:r w:rsidR="0033299A" w:rsidRPr="00AA2F5B">
        <w:rPr>
          <w:rFonts w:cs="Arial"/>
          <w:sz w:val="22"/>
          <w:szCs w:val="22"/>
          <w:lang w:val="fr-FR"/>
        </w:rPr>
        <w:t xml:space="preserve"> </w:t>
      </w:r>
      <w:r w:rsidRPr="00AA2F5B">
        <w:rPr>
          <w:rFonts w:cs="Arial"/>
          <w:sz w:val="22"/>
          <w:szCs w:val="22"/>
          <w:lang w:val="fr-FR"/>
        </w:rPr>
        <w:t xml:space="preserve">La </w:t>
      </w:r>
      <w:r w:rsidR="0033299A" w:rsidRPr="00AA2F5B">
        <w:rPr>
          <w:rFonts w:cs="Arial"/>
          <w:sz w:val="22"/>
          <w:szCs w:val="22"/>
          <w:lang w:val="fr-FR"/>
        </w:rPr>
        <w:t xml:space="preserve">COP11 </w:t>
      </w:r>
      <w:r w:rsidRPr="00AA2F5B">
        <w:rPr>
          <w:rFonts w:cs="Arial"/>
          <w:sz w:val="22"/>
          <w:szCs w:val="22"/>
          <w:lang w:val="fr-FR"/>
        </w:rPr>
        <w:t xml:space="preserve">a approuvé </w:t>
      </w:r>
      <w:r w:rsidR="0033299A" w:rsidRPr="00AA2F5B">
        <w:rPr>
          <w:rFonts w:cs="Arial"/>
          <w:sz w:val="22"/>
          <w:szCs w:val="22"/>
          <w:lang w:val="fr-FR"/>
        </w:rPr>
        <w:t>9</w:t>
      </w:r>
      <w:r w:rsidRPr="00AA2F5B">
        <w:rPr>
          <w:rFonts w:cs="Arial"/>
          <w:sz w:val="22"/>
          <w:szCs w:val="22"/>
          <w:lang w:val="fr-FR"/>
        </w:rPr>
        <w:t>,</w:t>
      </w:r>
      <w:r w:rsidR="0033299A" w:rsidRPr="00AA2F5B">
        <w:rPr>
          <w:rFonts w:cs="Arial"/>
          <w:sz w:val="22"/>
          <w:szCs w:val="22"/>
          <w:lang w:val="fr-FR"/>
        </w:rPr>
        <w:t>195 p</w:t>
      </w:r>
      <w:r w:rsidRPr="00AA2F5B">
        <w:rPr>
          <w:rFonts w:cs="Arial"/>
          <w:sz w:val="22"/>
          <w:szCs w:val="22"/>
          <w:lang w:val="fr-FR"/>
        </w:rPr>
        <w:t>ostes professionnels financ</w:t>
      </w:r>
      <w:r>
        <w:rPr>
          <w:rFonts w:cs="Arial"/>
          <w:sz w:val="22"/>
          <w:szCs w:val="22"/>
          <w:lang w:val="fr-FR"/>
        </w:rPr>
        <w:t>é</w:t>
      </w:r>
      <w:r w:rsidRPr="00AA2F5B">
        <w:rPr>
          <w:rFonts w:cs="Arial"/>
          <w:sz w:val="22"/>
          <w:szCs w:val="22"/>
          <w:lang w:val="fr-FR"/>
        </w:rPr>
        <w:t>s par le budget</w:t>
      </w:r>
      <w:r>
        <w:rPr>
          <w:rFonts w:cs="Arial"/>
          <w:sz w:val="22"/>
          <w:szCs w:val="22"/>
          <w:lang w:val="fr-FR"/>
        </w:rPr>
        <w:t xml:space="preserve"> de</w:t>
      </w:r>
      <w:r w:rsidRPr="00AA2F5B">
        <w:rPr>
          <w:rFonts w:cs="Arial"/>
          <w:sz w:val="22"/>
          <w:szCs w:val="22"/>
          <w:lang w:val="fr-FR"/>
        </w:rPr>
        <w:t xml:space="preserve"> base. A</w:t>
      </w:r>
      <w:r>
        <w:rPr>
          <w:rFonts w:cs="Arial"/>
          <w:sz w:val="22"/>
          <w:szCs w:val="22"/>
          <w:lang w:val="fr-FR"/>
        </w:rPr>
        <w:t xml:space="preserve">vec des scénarios de budget à croissance nominale zéro et à croissance réelle zéro, les postes professionnels financés par le budget de base resteraient les </w:t>
      </w:r>
      <w:r w:rsidR="00B16526">
        <w:rPr>
          <w:rFonts w:cs="Arial"/>
          <w:sz w:val="22"/>
          <w:szCs w:val="22"/>
          <w:lang w:val="fr-FR"/>
        </w:rPr>
        <w:t>mêmes</w:t>
      </w:r>
      <w:r>
        <w:rPr>
          <w:rFonts w:cs="Arial"/>
          <w:sz w:val="22"/>
          <w:szCs w:val="22"/>
          <w:lang w:val="fr-FR"/>
        </w:rPr>
        <w:t xml:space="preserve">. </w:t>
      </w:r>
      <w:r w:rsidR="00B16526">
        <w:rPr>
          <w:rFonts w:cs="Arial"/>
          <w:sz w:val="22"/>
          <w:szCs w:val="22"/>
          <w:lang w:val="fr-FR"/>
        </w:rPr>
        <w:t>Avec</w:t>
      </w:r>
      <w:r w:rsidRPr="00AA2F5B">
        <w:rPr>
          <w:rFonts w:cs="Arial"/>
          <w:sz w:val="22"/>
          <w:szCs w:val="22"/>
          <w:lang w:val="fr-FR"/>
        </w:rPr>
        <w:t xml:space="preserve"> le </w:t>
      </w:r>
      <w:r w:rsidR="00B16526">
        <w:rPr>
          <w:rFonts w:cs="Arial"/>
          <w:sz w:val="22"/>
          <w:szCs w:val="22"/>
          <w:lang w:val="fr-FR"/>
        </w:rPr>
        <w:t>S</w:t>
      </w:r>
      <w:r w:rsidRPr="00AA2F5B">
        <w:rPr>
          <w:rFonts w:cs="Arial"/>
          <w:sz w:val="22"/>
          <w:szCs w:val="22"/>
          <w:lang w:val="fr-FR"/>
        </w:rPr>
        <w:t xml:space="preserve">cénario 3, il est proposé d’augmenter les postes professionnels </w:t>
      </w:r>
      <w:r w:rsidR="00B16526" w:rsidRPr="00AA2F5B">
        <w:rPr>
          <w:rFonts w:cs="Arial"/>
          <w:sz w:val="22"/>
          <w:szCs w:val="22"/>
          <w:lang w:val="fr-FR"/>
        </w:rPr>
        <w:t>financés</w:t>
      </w:r>
      <w:r w:rsidRPr="00AA2F5B">
        <w:rPr>
          <w:rFonts w:cs="Arial"/>
          <w:sz w:val="22"/>
          <w:szCs w:val="22"/>
          <w:lang w:val="fr-FR"/>
        </w:rPr>
        <w:t xml:space="preserve"> par le budget</w:t>
      </w:r>
      <w:r w:rsidR="00B16526">
        <w:rPr>
          <w:rFonts w:cs="Arial"/>
          <w:sz w:val="22"/>
          <w:szCs w:val="22"/>
          <w:lang w:val="fr-FR"/>
        </w:rPr>
        <w:t xml:space="preserve"> </w:t>
      </w:r>
      <w:r w:rsidRPr="00AA2F5B">
        <w:rPr>
          <w:rFonts w:cs="Arial"/>
          <w:sz w:val="22"/>
          <w:szCs w:val="22"/>
          <w:lang w:val="fr-FR"/>
        </w:rPr>
        <w:t>de base de 0,68 par rapport au tableau d’</w:t>
      </w:r>
      <w:r w:rsidR="00B16526">
        <w:rPr>
          <w:rFonts w:cs="Arial"/>
          <w:sz w:val="22"/>
          <w:szCs w:val="22"/>
          <w:lang w:val="fr-FR"/>
        </w:rPr>
        <w:t>eff</w:t>
      </w:r>
      <w:r w:rsidRPr="00AA2F5B">
        <w:rPr>
          <w:rFonts w:cs="Arial"/>
          <w:sz w:val="22"/>
          <w:szCs w:val="22"/>
          <w:lang w:val="fr-FR"/>
        </w:rPr>
        <w:t>e</w:t>
      </w:r>
      <w:r w:rsidR="00B16526">
        <w:rPr>
          <w:rFonts w:cs="Arial"/>
          <w:sz w:val="22"/>
          <w:szCs w:val="22"/>
          <w:lang w:val="fr-FR"/>
        </w:rPr>
        <w:t>c</w:t>
      </w:r>
      <w:r w:rsidRPr="00AA2F5B">
        <w:rPr>
          <w:rFonts w:cs="Arial"/>
          <w:sz w:val="22"/>
          <w:szCs w:val="22"/>
          <w:lang w:val="fr-FR"/>
        </w:rPr>
        <w:t>tifs de 2015-2017 pour le Secrétariat.</w:t>
      </w:r>
      <w:r w:rsidR="0033299A" w:rsidRPr="00AA2F5B">
        <w:rPr>
          <w:rFonts w:cs="Arial"/>
          <w:sz w:val="22"/>
          <w:szCs w:val="22"/>
          <w:lang w:val="fr-FR"/>
        </w:rPr>
        <w:t xml:space="preserve"> </w:t>
      </w:r>
    </w:p>
    <w:p w:rsidR="0033299A" w:rsidRPr="00D3599E" w:rsidRDefault="0033299A" w:rsidP="002973EB">
      <w:pPr>
        <w:pStyle w:val="NoSpacing"/>
        <w:jc w:val="both"/>
        <w:rPr>
          <w:rFonts w:ascii="Arial" w:hAnsi="Arial" w:cs="Arial"/>
          <w:sz w:val="18"/>
          <w:szCs w:val="18"/>
          <w:lang w:val="fr-FR"/>
        </w:rPr>
      </w:pPr>
    </w:p>
    <w:p w:rsidR="0033299A" w:rsidRPr="008F58F6" w:rsidRDefault="00AA2F5B" w:rsidP="002973EB">
      <w:pPr>
        <w:pStyle w:val="NoSpacing"/>
        <w:jc w:val="both"/>
        <w:rPr>
          <w:rFonts w:ascii="Arial" w:hAnsi="Arial" w:cs="Arial"/>
          <w:b/>
          <w:i/>
        </w:rPr>
      </w:pPr>
      <w:r>
        <w:rPr>
          <w:rFonts w:ascii="Arial" w:hAnsi="Arial" w:cs="Arial"/>
          <w:b/>
          <w:i/>
        </w:rPr>
        <w:t>Dépenses d’appui aux programmes</w:t>
      </w:r>
    </w:p>
    <w:p w:rsidR="0033299A" w:rsidRPr="00D3599E" w:rsidRDefault="0033299A" w:rsidP="002973EB">
      <w:pPr>
        <w:jc w:val="both"/>
        <w:rPr>
          <w:rFonts w:cs="Arial"/>
          <w:szCs w:val="18"/>
          <w:lang w:val="en-GB"/>
        </w:rPr>
      </w:pPr>
    </w:p>
    <w:p w:rsidR="0033299A" w:rsidRPr="00BD29BA" w:rsidRDefault="00BD29BA" w:rsidP="002973EB">
      <w:pPr>
        <w:numPr>
          <w:ilvl w:val="0"/>
          <w:numId w:val="2"/>
        </w:numPr>
        <w:tabs>
          <w:tab w:val="left" w:pos="360"/>
        </w:tabs>
        <w:contextualSpacing/>
        <w:jc w:val="both"/>
        <w:rPr>
          <w:rFonts w:cs="Arial"/>
          <w:sz w:val="22"/>
          <w:szCs w:val="22"/>
          <w:lang w:val="fr-FR"/>
        </w:rPr>
      </w:pPr>
      <w:r w:rsidRPr="00BD29BA">
        <w:rPr>
          <w:rFonts w:eastAsia="Palatino Linotype"/>
          <w:sz w:val="22"/>
          <w:szCs w:val="22"/>
          <w:lang w:val="fr-FR"/>
        </w:rPr>
        <w:t>En application de la Résolution 35/217 de l’Assemblée générale des Nations Unies du 17 décembre 1980, le Programme des Nations Unies pour l’environnement (PNUE) impose 13</w:t>
      </w:r>
      <w:r w:rsidR="00F57F37">
        <w:rPr>
          <w:rFonts w:eastAsia="Palatino Linotype"/>
          <w:sz w:val="22"/>
          <w:szCs w:val="22"/>
          <w:lang w:val="fr-FR"/>
        </w:rPr>
        <w:t xml:space="preserve"> pour cent</w:t>
      </w:r>
      <w:r w:rsidRPr="00BD29BA">
        <w:rPr>
          <w:rFonts w:eastAsia="Palatino Linotype"/>
          <w:sz w:val="22"/>
          <w:szCs w:val="22"/>
          <w:lang w:val="fr-FR"/>
        </w:rPr>
        <w:t xml:space="preserve"> de frais sur les dépenses de fonds d’affectation spéciale pour administrer le Secrétariat de la Convention. La résolution de l’Assemblée générale vise à faire en sorte que les ressources principales fournies aux organisations des Nations Unies ne soient pas détournées du mandat principal approuvé par leurs organes directeurs pour gérer ou </w:t>
      </w:r>
      <w:r w:rsidRPr="00BD29BA">
        <w:rPr>
          <w:rFonts w:eastAsia="Palatino Linotype"/>
          <w:sz w:val="22"/>
          <w:szCs w:val="22"/>
          <w:lang w:val="fr-FR"/>
        </w:rPr>
        <w:lastRenderedPageBreak/>
        <w:t xml:space="preserve">entreprendre des activités extrabudgétaires. Dans le cas du PNUE, </w:t>
      </w:r>
      <w:r w:rsidR="00201BE1">
        <w:rPr>
          <w:rFonts w:eastAsia="Palatino Linotype"/>
          <w:sz w:val="22"/>
          <w:szCs w:val="22"/>
          <w:lang w:val="fr-FR"/>
        </w:rPr>
        <w:t xml:space="preserve">conformément à la ligne de conduite établie pour les dépenses d’appui aux programmes, </w:t>
      </w:r>
      <w:r w:rsidRPr="00BD29BA">
        <w:rPr>
          <w:rFonts w:eastAsia="Palatino Linotype"/>
          <w:sz w:val="22"/>
          <w:szCs w:val="22"/>
          <w:lang w:val="fr-FR"/>
        </w:rPr>
        <w:t xml:space="preserve">le Directeur exécutif a décidé de reverser </w:t>
      </w:r>
      <w:r w:rsidR="00F57F37">
        <w:rPr>
          <w:rFonts w:eastAsia="Palatino Linotype"/>
          <w:sz w:val="22"/>
          <w:szCs w:val="22"/>
          <w:lang w:val="fr-FR"/>
        </w:rPr>
        <w:t xml:space="preserve">une partie </w:t>
      </w:r>
      <w:r w:rsidRPr="00BD29BA">
        <w:rPr>
          <w:rFonts w:eastAsia="Palatino Linotype"/>
          <w:sz w:val="22"/>
          <w:szCs w:val="22"/>
          <w:lang w:val="fr-FR"/>
        </w:rPr>
        <w:t xml:space="preserve">des </w:t>
      </w:r>
      <w:r w:rsidR="00201BE1">
        <w:rPr>
          <w:rFonts w:eastAsia="Palatino Linotype"/>
          <w:sz w:val="22"/>
          <w:szCs w:val="22"/>
          <w:lang w:val="fr-FR"/>
        </w:rPr>
        <w:t xml:space="preserve">13 pour cent de frais </w:t>
      </w:r>
      <w:r w:rsidRPr="00BD29BA">
        <w:rPr>
          <w:rFonts w:eastAsia="Palatino Linotype"/>
          <w:sz w:val="22"/>
          <w:szCs w:val="22"/>
          <w:lang w:val="fr-FR"/>
        </w:rPr>
        <w:t xml:space="preserve">imposés sur les dépenses de tous les fonds d’affectation de la Famille CMS, pour aider à couvrir les </w:t>
      </w:r>
      <w:r w:rsidR="00201BE1">
        <w:rPr>
          <w:rFonts w:eastAsia="Palatino Linotype"/>
          <w:sz w:val="22"/>
          <w:szCs w:val="22"/>
          <w:lang w:val="fr-FR"/>
        </w:rPr>
        <w:t>co</w:t>
      </w:r>
      <w:r w:rsidR="00201BE1">
        <w:rPr>
          <w:rFonts w:eastAsia="Palatino Linotype" w:cs="Arial"/>
          <w:sz w:val="22"/>
          <w:szCs w:val="22"/>
          <w:lang w:val="fr-FR"/>
        </w:rPr>
        <w:t>û</w:t>
      </w:r>
      <w:r w:rsidR="00201BE1">
        <w:rPr>
          <w:rFonts w:eastAsia="Palatino Linotype"/>
          <w:sz w:val="22"/>
          <w:szCs w:val="22"/>
          <w:lang w:val="fr-FR"/>
        </w:rPr>
        <w:t>ts</w:t>
      </w:r>
      <w:r w:rsidRPr="00BD29BA">
        <w:rPr>
          <w:rFonts w:eastAsia="Palatino Linotype"/>
          <w:sz w:val="22"/>
          <w:szCs w:val="22"/>
          <w:lang w:val="fr-FR"/>
        </w:rPr>
        <w:t xml:space="preserve"> des services d’appui administratif du Secrétariat de la CMS. Ces ressources sont utilisées actuellement pour financer un poste professionnel (Administrateur chargé de la gestion administrative et des finances, P-4) et cinq postes de</w:t>
      </w:r>
      <w:r w:rsidR="00201BE1">
        <w:rPr>
          <w:rFonts w:eastAsia="Palatino Linotype"/>
          <w:sz w:val="22"/>
          <w:szCs w:val="22"/>
          <w:lang w:val="fr-FR"/>
        </w:rPr>
        <w:t>s services généraux</w:t>
      </w:r>
      <w:r w:rsidRPr="00BD29BA">
        <w:rPr>
          <w:rFonts w:eastAsia="Palatino Linotype"/>
          <w:sz w:val="22"/>
          <w:szCs w:val="22"/>
          <w:lang w:val="fr-FR"/>
        </w:rPr>
        <w:t xml:space="preserve"> (quatre à Bonn, Allemagne, et un à Abou Dhabi, Émirats arabes unis</w:t>
      </w:r>
      <w:r w:rsidR="0033299A" w:rsidRPr="00BD29BA">
        <w:rPr>
          <w:rFonts w:cs="Arial"/>
          <w:sz w:val="22"/>
          <w:szCs w:val="22"/>
          <w:lang w:val="fr-FR"/>
        </w:rPr>
        <w:t>).</w:t>
      </w:r>
    </w:p>
    <w:p w:rsidR="0033299A" w:rsidRPr="00D3599E" w:rsidRDefault="0033299A" w:rsidP="002973EB">
      <w:pPr>
        <w:pStyle w:val="NoSpacing"/>
        <w:jc w:val="both"/>
        <w:rPr>
          <w:rFonts w:ascii="Arial" w:hAnsi="Arial" w:cs="Arial"/>
          <w:sz w:val="18"/>
          <w:szCs w:val="18"/>
          <w:lang w:val="fr-FR"/>
        </w:rPr>
      </w:pPr>
    </w:p>
    <w:p w:rsidR="0033299A" w:rsidRPr="00B16526" w:rsidRDefault="00B16526" w:rsidP="002973EB">
      <w:pPr>
        <w:jc w:val="both"/>
        <w:rPr>
          <w:rFonts w:cs="Arial"/>
          <w:sz w:val="22"/>
          <w:szCs w:val="22"/>
          <w:u w:val="single"/>
          <w:lang w:val="fr-FR"/>
        </w:rPr>
      </w:pPr>
      <w:r w:rsidRPr="00B16526">
        <w:rPr>
          <w:rFonts w:cs="Arial"/>
          <w:sz w:val="22"/>
          <w:szCs w:val="22"/>
          <w:u w:val="single"/>
          <w:lang w:val="fr-FR"/>
        </w:rPr>
        <w:t xml:space="preserve">Barème des contributions </w:t>
      </w:r>
      <w:r w:rsidR="00201BE1">
        <w:rPr>
          <w:rFonts w:cs="Arial"/>
          <w:sz w:val="22"/>
          <w:szCs w:val="22"/>
          <w:u w:val="single"/>
          <w:lang w:val="fr-FR"/>
        </w:rPr>
        <w:t>des</w:t>
      </w:r>
      <w:r w:rsidR="0033299A" w:rsidRPr="00B16526">
        <w:rPr>
          <w:rFonts w:cs="Arial"/>
          <w:sz w:val="22"/>
          <w:szCs w:val="22"/>
          <w:u w:val="single"/>
          <w:lang w:val="fr-FR"/>
        </w:rPr>
        <w:t xml:space="preserve"> Parties</w:t>
      </w:r>
    </w:p>
    <w:p w:rsidR="0033299A" w:rsidRPr="00D3599E" w:rsidRDefault="0033299A" w:rsidP="002973EB">
      <w:pPr>
        <w:pStyle w:val="NoSpacing"/>
        <w:jc w:val="both"/>
        <w:rPr>
          <w:rFonts w:ascii="Arial" w:hAnsi="Arial" w:cs="Arial"/>
          <w:sz w:val="18"/>
          <w:szCs w:val="18"/>
          <w:lang w:val="fr-FR"/>
        </w:rPr>
      </w:pPr>
    </w:p>
    <w:p w:rsidR="0033299A" w:rsidRPr="002F1C21" w:rsidRDefault="002F1C21" w:rsidP="002973EB">
      <w:pPr>
        <w:numPr>
          <w:ilvl w:val="0"/>
          <w:numId w:val="2"/>
        </w:numPr>
        <w:tabs>
          <w:tab w:val="left" w:pos="360"/>
        </w:tabs>
        <w:contextualSpacing/>
        <w:jc w:val="both"/>
        <w:rPr>
          <w:rFonts w:cs="Arial"/>
          <w:sz w:val="22"/>
          <w:szCs w:val="22"/>
          <w:lang w:val="fr-FR"/>
        </w:rPr>
      </w:pPr>
      <w:r w:rsidRPr="002F1C21">
        <w:rPr>
          <w:rFonts w:cs="Arial"/>
          <w:sz w:val="22"/>
          <w:szCs w:val="22"/>
          <w:lang w:val="fr-FR"/>
        </w:rPr>
        <w:t xml:space="preserve">Les contributions </w:t>
      </w:r>
      <w:r w:rsidR="00F57F37">
        <w:rPr>
          <w:rFonts w:cs="Arial"/>
          <w:sz w:val="22"/>
          <w:szCs w:val="22"/>
          <w:lang w:val="fr-FR"/>
        </w:rPr>
        <w:t>ordinaires</w:t>
      </w:r>
      <w:r w:rsidRPr="002F1C21">
        <w:rPr>
          <w:rFonts w:cs="Arial"/>
          <w:sz w:val="22"/>
          <w:szCs w:val="22"/>
          <w:lang w:val="fr-FR"/>
        </w:rPr>
        <w:t xml:space="preserve"> des </w:t>
      </w:r>
      <w:r>
        <w:rPr>
          <w:rFonts w:cs="Arial"/>
          <w:sz w:val="22"/>
          <w:szCs w:val="22"/>
          <w:lang w:val="fr-FR"/>
        </w:rPr>
        <w:t>P</w:t>
      </w:r>
      <w:r w:rsidRPr="002F1C21">
        <w:rPr>
          <w:rFonts w:cs="Arial"/>
          <w:sz w:val="22"/>
          <w:szCs w:val="22"/>
          <w:lang w:val="fr-FR"/>
        </w:rPr>
        <w:t>arties pour cha</w:t>
      </w:r>
      <w:r>
        <w:rPr>
          <w:rFonts w:cs="Arial"/>
          <w:sz w:val="22"/>
          <w:szCs w:val="22"/>
          <w:lang w:val="fr-FR"/>
        </w:rPr>
        <w:t xml:space="preserve">que </w:t>
      </w:r>
      <w:r w:rsidRPr="002F1C21">
        <w:rPr>
          <w:rFonts w:cs="Arial"/>
          <w:sz w:val="22"/>
          <w:szCs w:val="22"/>
          <w:lang w:val="fr-FR"/>
        </w:rPr>
        <w:t>sc</w:t>
      </w:r>
      <w:r>
        <w:rPr>
          <w:rFonts w:cs="Arial"/>
          <w:sz w:val="22"/>
          <w:szCs w:val="22"/>
          <w:lang w:val="fr-FR"/>
        </w:rPr>
        <w:t>é</w:t>
      </w:r>
      <w:r w:rsidRPr="002F1C21">
        <w:rPr>
          <w:rFonts w:cs="Arial"/>
          <w:sz w:val="22"/>
          <w:szCs w:val="22"/>
          <w:lang w:val="fr-FR"/>
        </w:rPr>
        <w:t xml:space="preserve">nario de budget </w:t>
      </w:r>
      <w:r w:rsidR="00F57F37">
        <w:rPr>
          <w:rFonts w:cs="Arial"/>
          <w:sz w:val="22"/>
          <w:szCs w:val="22"/>
          <w:lang w:val="fr-FR"/>
        </w:rPr>
        <w:t>sont indiquées</w:t>
      </w:r>
      <w:r w:rsidRPr="002F1C21">
        <w:rPr>
          <w:rFonts w:cs="Arial"/>
          <w:sz w:val="22"/>
          <w:szCs w:val="22"/>
          <w:lang w:val="fr-FR"/>
        </w:rPr>
        <w:t xml:space="preserve"> à l’Annexe 2. Les contributions </w:t>
      </w:r>
      <w:r w:rsidR="00F57F37">
        <w:rPr>
          <w:rFonts w:cs="Arial"/>
          <w:sz w:val="22"/>
          <w:szCs w:val="22"/>
          <w:lang w:val="fr-FR"/>
        </w:rPr>
        <w:t xml:space="preserve">ordinaires </w:t>
      </w:r>
      <w:r w:rsidRPr="002F1C21">
        <w:rPr>
          <w:rFonts w:cs="Arial"/>
          <w:sz w:val="22"/>
          <w:szCs w:val="22"/>
          <w:lang w:val="fr-FR"/>
        </w:rPr>
        <w:t xml:space="preserve">sont basées sur le barème des quotes-parts des Nations Unies pour 2016-2018, qui a été adopté par l’Assemblée générale par la </w:t>
      </w:r>
      <w:r>
        <w:rPr>
          <w:rFonts w:cs="Arial"/>
          <w:sz w:val="22"/>
          <w:szCs w:val="22"/>
          <w:lang w:val="fr-FR"/>
        </w:rPr>
        <w:t>R</w:t>
      </w:r>
      <w:r w:rsidRPr="002F1C21">
        <w:rPr>
          <w:rFonts w:cs="Arial"/>
          <w:sz w:val="22"/>
          <w:szCs w:val="22"/>
          <w:lang w:val="fr-FR"/>
        </w:rPr>
        <w:t>ésolution</w:t>
      </w:r>
      <w:r w:rsidR="0033299A" w:rsidRPr="002F1C21">
        <w:rPr>
          <w:rFonts w:cs="Arial"/>
          <w:sz w:val="22"/>
          <w:szCs w:val="22"/>
          <w:lang w:val="fr-FR"/>
        </w:rPr>
        <w:t xml:space="preserve"> 70/245 </w:t>
      </w:r>
      <w:r w:rsidRPr="002F1C21">
        <w:rPr>
          <w:rFonts w:cs="Arial"/>
          <w:sz w:val="22"/>
          <w:szCs w:val="22"/>
          <w:lang w:val="fr-FR"/>
        </w:rPr>
        <w:t>du</w:t>
      </w:r>
      <w:r w:rsidR="0033299A" w:rsidRPr="002F1C21">
        <w:rPr>
          <w:rFonts w:cs="Arial"/>
          <w:sz w:val="22"/>
          <w:szCs w:val="22"/>
          <w:lang w:val="fr-FR"/>
        </w:rPr>
        <w:t xml:space="preserve"> 23 </w:t>
      </w:r>
      <w:r w:rsidRPr="002F1C21">
        <w:rPr>
          <w:rFonts w:cs="Arial"/>
          <w:sz w:val="22"/>
          <w:szCs w:val="22"/>
          <w:lang w:val="fr-FR"/>
        </w:rPr>
        <w:t>décembre</w:t>
      </w:r>
      <w:r w:rsidR="0033299A" w:rsidRPr="002F1C21">
        <w:rPr>
          <w:rFonts w:cs="Arial"/>
          <w:sz w:val="22"/>
          <w:szCs w:val="22"/>
          <w:lang w:val="fr-FR"/>
        </w:rPr>
        <w:t xml:space="preserve"> 2016, </w:t>
      </w:r>
      <w:r w:rsidRPr="002F1C21">
        <w:rPr>
          <w:rFonts w:cs="Arial"/>
          <w:sz w:val="22"/>
          <w:szCs w:val="22"/>
          <w:lang w:val="fr-FR"/>
        </w:rPr>
        <w:t>ajusté pour tenir compte du fait que</w:t>
      </w:r>
      <w:r>
        <w:rPr>
          <w:rFonts w:cs="Arial"/>
          <w:sz w:val="22"/>
          <w:szCs w:val="22"/>
          <w:lang w:val="fr-FR"/>
        </w:rPr>
        <w:t xml:space="preserve"> </w:t>
      </w:r>
      <w:r w:rsidRPr="002F1C21">
        <w:rPr>
          <w:rFonts w:cs="Arial"/>
          <w:sz w:val="22"/>
          <w:szCs w:val="22"/>
          <w:lang w:val="fr-FR"/>
        </w:rPr>
        <w:t>les États Membres des Nations Unies ne son</w:t>
      </w:r>
      <w:r>
        <w:rPr>
          <w:rFonts w:cs="Arial"/>
          <w:sz w:val="22"/>
          <w:szCs w:val="22"/>
          <w:lang w:val="fr-FR"/>
        </w:rPr>
        <w:t>t pas</w:t>
      </w:r>
      <w:r w:rsidRPr="002F1C21">
        <w:rPr>
          <w:rFonts w:cs="Arial"/>
          <w:sz w:val="22"/>
          <w:szCs w:val="22"/>
          <w:lang w:val="fr-FR"/>
        </w:rPr>
        <w:t xml:space="preserve"> </w:t>
      </w:r>
      <w:r>
        <w:rPr>
          <w:rFonts w:cs="Arial"/>
          <w:sz w:val="22"/>
          <w:szCs w:val="22"/>
          <w:lang w:val="fr-FR"/>
        </w:rPr>
        <w:t xml:space="preserve">tous </w:t>
      </w:r>
      <w:r w:rsidRPr="002F1C21">
        <w:rPr>
          <w:rFonts w:cs="Arial"/>
          <w:sz w:val="22"/>
          <w:szCs w:val="22"/>
          <w:lang w:val="fr-FR"/>
        </w:rPr>
        <w:t>Pa</w:t>
      </w:r>
      <w:r>
        <w:rPr>
          <w:rFonts w:cs="Arial"/>
          <w:sz w:val="22"/>
          <w:szCs w:val="22"/>
          <w:lang w:val="fr-FR"/>
        </w:rPr>
        <w:t>r</w:t>
      </w:r>
      <w:r w:rsidRPr="002F1C21">
        <w:rPr>
          <w:rFonts w:cs="Arial"/>
          <w:sz w:val="22"/>
          <w:szCs w:val="22"/>
          <w:lang w:val="fr-FR"/>
        </w:rPr>
        <w:t>ties à la Con</w:t>
      </w:r>
      <w:r w:rsidR="0033299A" w:rsidRPr="002F1C21">
        <w:rPr>
          <w:rFonts w:cs="Arial"/>
          <w:sz w:val="22"/>
          <w:szCs w:val="22"/>
          <w:lang w:val="fr-FR"/>
        </w:rPr>
        <w:t xml:space="preserve">vention. </w:t>
      </w:r>
    </w:p>
    <w:p w:rsidR="0033299A" w:rsidRPr="00D3599E" w:rsidRDefault="0033299A" w:rsidP="002973EB">
      <w:pPr>
        <w:pStyle w:val="NoSpacing"/>
        <w:jc w:val="both"/>
        <w:rPr>
          <w:rFonts w:ascii="Arial" w:hAnsi="Arial" w:cs="Arial"/>
          <w:b/>
          <w:sz w:val="18"/>
          <w:szCs w:val="18"/>
          <w:lang w:val="fr-FR"/>
        </w:rPr>
      </w:pPr>
    </w:p>
    <w:p w:rsidR="0033299A" w:rsidRPr="00D55CD2" w:rsidRDefault="0033299A" w:rsidP="002973EB">
      <w:pPr>
        <w:jc w:val="both"/>
        <w:rPr>
          <w:rFonts w:cs="Arial"/>
          <w:sz w:val="22"/>
          <w:szCs w:val="22"/>
          <w:u w:val="single"/>
          <w:lang w:val="fr-FR"/>
        </w:rPr>
      </w:pPr>
      <w:r w:rsidRPr="00D55CD2">
        <w:rPr>
          <w:rFonts w:cs="Arial"/>
          <w:sz w:val="22"/>
          <w:szCs w:val="22"/>
          <w:u w:val="single"/>
          <w:lang w:val="fr-FR"/>
        </w:rPr>
        <w:t>R</w:t>
      </w:r>
      <w:r w:rsidR="00D55CD2" w:rsidRPr="00D55CD2">
        <w:rPr>
          <w:rFonts w:cs="Arial"/>
          <w:sz w:val="22"/>
          <w:szCs w:val="22"/>
          <w:u w:val="single"/>
          <w:lang w:val="fr-FR"/>
        </w:rPr>
        <w:t>éexamen du classement des postes du Secrétariat</w:t>
      </w:r>
      <w:r w:rsidRPr="00D55CD2">
        <w:rPr>
          <w:rFonts w:cs="Arial"/>
          <w:sz w:val="22"/>
          <w:szCs w:val="22"/>
          <w:u w:val="single"/>
          <w:lang w:val="fr-FR"/>
        </w:rPr>
        <w:t xml:space="preserve"> </w:t>
      </w:r>
    </w:p>
    <w:p w:rsidR="0033299A" w:rsidRPr="00D3599E" w:rsidRDefault="0033299A" w:rsidP="002973EB">
      <w:pPr>
        <w:pStyle w:val="NoSpacing"/>
        <w:jc w:val="both"/>
        <w:rPr>
          <w:rFonts w:ascii="Arial" w:hAnsi="Arial" w:cs="Arial"/>
          <w:sz w:val="18"/>
          <w:szCs w:val="18"/>
          <w:lang w:val="fr-FR"/>
        </w:rPr>
      </w:pPr>
    </w:p>
    <w:p w:rsidR="0033299A" w:rsidRPr="00B561BA" w:rsidRDefault="00F57F37" w:rsidP="002973EB">
      <w:pPr>
        <w:numPr>
          <w:ilvl w:val="0"/>
          <w:numId w:val="2"/>
        </w:numPr>
        <w:tabs>
          <w:tab w:val="left" w:pos="360"/>
        </w:tabs>
        <w:contextualSpacing/>
        <w:jc w:val="both"/>
        <w:rPr>
          <w:rFonts w:cs="Arial"/>
          <w:sz w:val="22"/>
          <w:szCs w:val="22"/>
          <w:lang w:val="fr-FR"/>
        </w:rPr>
      </w:pPr>
      <w:r>
        <w:rPr>
          <w:rFonts w:cs="Arial"/>
          <w:sz w:val="22"/>
          <w:szCs w:val="22"/>
          <w:lang w:val="fr-FR"/>
        </w:rPr>
        <w:t>À</w:t>
      </w:r>
      <w:r w:rsidR="00D55CD2" w:rsidRPr="00D55CD2">
        <w:rPr>
          <w:rFonts w:cs="Arial"/>
          <w:sz w:val="22"/>
          <w:szCs w:val="22"/>
          <w:lang w:val="fr-FR"/>
        </w:rPr>
        <w:t xml:space="preserve"> partir de la COP9, la COP a demandé au Dir</w:t>
      </w:r>
      <w:r w:rsidR="00D55CD2">
        <w:rPr>
          <w:rFonts w:cs="Arial"/>
          <w:sz w:val="22"/>
          <w:szCs w:val="22"/>
          <w:lang w:val="fr-FR"/>
        </w:rPr>
        <w:t xml:space="preserve">ecteur </w:t>
      </w:r>
      <w:r w:rsidR="00B561BA">
        <w:rPr>
          <w:rFonts w:cs="Arial"/>
          <w:sz w:val="22"/>
          <w:szCs w:val="22"/>
          <w:lang w:val="fr-FR"/>
        </w:rPr>
        <w:t>exéc</w:t>
      </w:r>
      <w:r w:rsidR="00B561BA" w:rsidRPr="00D55CD2">
        <w:rPr>
          <w:rFonts w:cs="Arial"/>
          <w:sz w:val="22"/>
          <w:szCs w:val="22"/>
          <w:lang w:val="fr-FR"/>
        </w:rPr>
        <w:t>u</w:t>
      </w:r>
      <w:r w:rsidR="00B561BA">
        <w:rPr>
          <w:rFonts w:cs="Arial"/>
          <w:sz w:val="22"/>
          <w:szCs w:val="22"/>
          <w:lang w:val="fr-FR"/>
        </w:rPr>
        <w:t>t</w:t>
      </w:r>
      <w:r w:rsidR="00B561BA" w:rsidRPr="00D55CD2">
        <w:rPr>
          <w:rFonts w:cs="Arial"/>
          <w:sz w:val="22"/>
          <w:szCs w:val="22"/>
          <w:lang w:val="fr-FR"/>
        </w:rPr>
        <w:t>if</w:t>
      </w:r>
      <w:r w:rsidR="00D55CD2" w:rsidRPr="00D55CD2">
        <w:rPr>
          <w:rFonts w:cs="Arial"/>
          <w:sz w:val="22"/>
          <w:szCs w:val="22"/>
          <w:lang w:val="fr-FR"/>
        </w:rPr>
        <w:t xml:space="preserve"> du PNUE d’</w:t>
      </w:r>
      <w:r w:rsidR="00D55CD2">
        <w:rPr>
          <w:rFonts w:cs="Arial"/>
          <w:sz w:val="22"/>
          <w:szCs w:val="22"/>
          <w:lang w:val="fr-FR"/>
        </w:rPr>
        <w:t>e</w:t>
      </w:r>
      <w:r w:rsidR="00D55CD2" w:rsidRPr="00D55CD2">
        <w:rPr>
          <w:rFonts w:cs="Arial"/>
          <w:sz w:val="22"/>
          <w:szCs w:val="22"/>
          <w:lang w:val="fr-FR"/>
        </w:rPr>
        <w:t>ntrep</w:t>
      </w:r>
      <w:r w:rsidR="00D55CD2">
        <w:rPr>
          <w:rFonts w:cs="Arial"/>
          <w:sz w:val="22"/>
          <w:szCs w:val="22"/>
          <w:lang w:val="fr-FR"/>
        </w:rPr>
        <w:t>rendre un réexamen</w:t>
      </w:r>
      <w:r w:rsidR="00D55CD2" w:rsidRPr="00D55CD2">
        <w:rPr>
          <w:rFonts w:cs="Arial"/>
          <w:sz w:val="22"/>
          <w:szCs w:val="22"/>
          <w:lang w:val="fr-FR"/>
        </w:rPr>
        <w:t xml:space="preserve"> du </w:t>
      </w:r>
      <w:r w:rsidR="00B561BA" w:rsidRPr="00D55CD2">
        <w:rPr>
          <w:rFonts w:cs="Arial"/>
          <w:sz w:val="22"/>
          <w:szCs w:val="22"/>
          <w:lang w:val="fr-FR"/>
        </w:rPr>
        <w:t>classement</w:t>
      </w:r>
      <w:r w:rsidR="00D55CD2" w:rsidRPr="00D55CD2">
        <w:rPr>
          <w:rFonts w:cs="Arial"/>
          <w:sz w:val="22"/>
          <w:szCs w:val="22"/>
          <w:lang w:val="fr-FR"/>
        </w:rPr>
        <w:t xml:space="preserve"> de tous les postes</w:t>
      </w:r>
      <w:r w:rsidR="00D55CD2">
        <w:rPr>
          <w:rFonts w:cs="Arial"/>
          <w:sz w:val="22"/>
          <w:szCs w:val="22"/>
          <w:lang w:val="fr-FR"/>
        </w:rPr>
        <w:t xml:space="preserve"> du Secrétariat</w:t>
      </w:r>
      <w:r w:rsidR="0033299A" w:rsidRPr="00D55CD2">
        <w:rPr>
          <w:rFonts w:cs="Arial"/>
          <w:sz w:val="22"/>
          <w:szCs w:val="22"/>
          <w:lang w:val="fr-FR"/>
        </w:rPr>
        <w:t xml:space="preserve">. </w:t>
      </w:r>
      <w:r w:rsidR="00D55CD2">
        <w:rPr>
          <w:rFonts w:cs="Arial"/>
          <w:sz w:val="22"/>
          <w:szCs w:val="22"/>
          <w:lang w:val="fr-FR"/>
        </w:rPr>
        <w:t xml:space="preserve">Cette demande a été réitérée à la COP11 </w:t>
      </w:r>
      <w:r w:rsidR="00B561BA">
        <w:rPr>
          <w:rFonts w:cs="Arial"/>
          <w:sz w:val="22"/>
          <w:szCs w:val="22"/>
          <w:lang w:val="fr-FR"/>
        </w:rPr>
        <w:t>par la Résolution 11.1 paragraphe 15.</w:t>
      </w:r>
      <w:r w:rsidR="0033299A" w:rsidRPr="00B561BA">
        <w:rPr>
          <w:rFonts w:cs="Arial"/>
          <w:sz w:val="22"/>
          <w:szCs w:val="22"/>
          <w:lang w:val="fr-FR"/>
        </w:rPr>
        <w:t xml:space="preserve"> </w:t>
      </w:r>
      <w:r w:rsidR="00B561BA">
        <w:rPr>
          <w:rFonts w:cs="Arial"/>
          <w:sz w:val="22"/>
          <w:szCs w:val="22"/>
          <w:lang w:val="fr-FR"/>
        </w:rPr>
        <w:t>Le réexamen a été confié en 2016 à un consultant indépendant, qui a revu la description initiale des t</w:t>
      </w:r>
      <w:r>
        <w:rPr>
          <w:rFonts w:cs="Arial"/>
          <w:sz w:val="22"/>
          <w:szCs w:val="22"/>
          <w:lang w:val="fr-FR"/>
        </w:rPr>
        <w:t>â</w:t>
      </w:r>
      <w:r w:rsidR="00B561BA">
        <w:rPr>
          <w:rFonts w:cs="Arial"/>
          <w:sz w:val="22"/>
          <w:szCs w:val="22"/>
          <w:lang w:val="fr-FR"/>
        </w:rPr>
        <w:t xml:space="preserve">ches et les a comparées avec les responsabilités actuelles des titulaires des postes. </w:t>
      </w:r>
      <w:r w:rsidR="00B561BA" w:rsidRPr="00B561BA">
        <w:rPr>
          <w:rFonts w:cs="Arial"/>
          <w:sz w:val="22"/>
          <w:szCs w:val="22"/>
          <w:lang w:val="fr-FR"/>
        </w:rPr>
        <w:t xml:space="preserve">Étant donné que </w:t>
      </w:r>
      <w:r w:rsidR="00B561BA">
        <w:rPr>
          <w:rFonts w:cs="Arial"/>
          <w:sz w:val="22"/>
          <w:szCs w:val="22"/>
          <w:lang w:val="fr-FR"/>
        </w:rPr>
        <w:t xml:space="preserve">des membres </w:t>
      </w:r>
      <w:r w:rsidR="00B561BA" w:rsidRPr="00B561BA">
        <w:rPr>
          <w:rFonts w:cs="Arial"/>
          <w:sz w:val="22"/>
          <w:szCs w:val="22"/>
          <w:lang w:val="fr-FR"/>
        </w:rPr>
        <w:t>du personnel ont pris leurs fonctions parfois il y</w:t>
      </w:r>
      <w:r w:rsidR="00B561BA">
        <w:rPr>
          <w:rFonts w:cs="Arial"/>
          <w:sz w:val="22"/>
          <w:szCs w:val="22"/>
          <w:lang w:val="fr-FR"/>
        </w:rPr>
        <w:t xml:space="preserve"> </w:t>
      </w:r>
      <w:r w:rsidR="00B561BA" w:rsidRPr="00B561BA">
        <w:rPr>
          <w:rFonts w:cs="Arial"/>
          <w:sz w:val="22"/>
          <w:szCs w:val="22"/>
          <w:lang w:val="fr-FR"/>
        </w:rPr>
        <w:t>a dix ans ou plus, la de</w:t>
      </w:r>
      <w:r w:rsidR="00B561BA">
        <w:rPr>
          <w:rFonts w:cs="Arial"/>
          <w:sz w:val="22"/>
          <w:szCs w:val="22"/>
          <w:lang w:val="fr-FR"/>
        </w:rPr>
        <w:t>scription de leurs fonctions</w:t>
      </w:r>
      <w:r w:rsidR="00B561BA" w:rsidRPr="00B561BA">
        <w:rPr>
          <w:rFonts w:cs="Arial"/>
          <w:sz w:val="22"/>
          <w:szCs w:val="22"/>
          <w:lang w:val="fr-FR"/>
        </w:rPr>
        <w:t xml:space="preserve"> n’a jam</w:t>
      </w:r>
      <w:r w:rsidR="00B561BA">
        <w:rPr>
          <w:rFonts w:cs="Arial"/>
          <w:sz w:val="22"/>
          <w:szCs w:val="22"/>
          <w:lang w:val="fr-FR"/>
        </w:rPr>
        <w:t>a</w:t>
      </w:r>
      <w:r w:rsidR="00B561BA" w:rsidRPr="00B561BA">
        <w:rPr>
          <w:rFonts w:cs="Arial"/>
          <w:sz w:val="22"/>
          <w:szCs w:val="22"/>
          <w:lang w:val="fr-FR"/>
        </w:rPr>
        <w:t>is é</w:t>
      </w:r>
      <w:r w:rsidR="00B561BA">
        <w:rPr>
          <w:rFonts w:cs="Arial"/>
          <w:sz w:val="22"/>
          <w:szCs w:val="22"/>
          <w:lang w:val="fr-FR"/>
        </w:rPr>
        <w:t>t</w:t>
      </w:r>
      <w:r w:rsidR="00B561BA" w:rsidRPr="00B561BA">
        <w:rPr>
          <w:rFonts w:cs="Arial"/>
          <w:sz w:val="22"/>
          <w:szCs w:val="22"/>
          <w:lang w:val="fr-FR"/>
        </w:rPr>
        <w:t>é modifiée pour reflé</w:t>
      </w:r>
      <w:r w:rsidR="00B561BA">
        <w:rPr>
          <w:rFonts w:cs="Arial"/>
          <w:sz w:val="22"/>
          <w:szCs w:val="22"/>
          <w:lang w:val="fr-FR"/>
        </w:rPr>
        <w:t>t</w:t>
      </w:r>
      <w:r w:rsidR="00B561BA" w:rsidRPr="00B561BA">
        <w:rPr>
          <w:rFonts w:cs="Arial"/>
          <w:sz w:val="22"/>
          <w:szCs w:val="22"/>
          <w:lang w:val="fr-FR"/>
        </w:rPr>
        <w:t>er les ch</w:t>
      </w:r>
      <w:r w:rsidR="00B561BA">
        <w:rPr>
          <w:rFonts w:cs="Arial"/>
          <w:sz w:val="22"/>
          <w:szCs w:val="22"/>
          <w:lang w:val="fr-FR"/>
        </w:rPr>
        <w:t>angements advenus dans leurs tâ</w:t>
      </w:r>
      <w:r w:rsidR="00B561BA" w:rsidRPr="00B561BA">
        <w:rPr>
          <w:rFonts w:cs="Arial"/>
          <w:sz w:val="22"/>
          <w:szCs w:val="22"/>
          <w:lang w:val="fr-FR"/>
        </w:rPr>
        <w:t>ches. Le rapport du consultant figure à l’Annexe 5 du pr</w:t>
      </w:r>
      <w:r w:rsidR="00B561BA">
        <w:rPr>
          <w:rFonts w:cs="Arial"/>
          <w:sz w:val="22"/>
          <w:szCs w:val="22"/>
          <w:lang w:val="fr-FR"/>
        </w:rPr>
        <w:t>é</w:t>
      </w:r>
      <w:r w:rsidR="00B561BA" w:rsidRPr="00B561BA">
        <w:rPr>
          <w:rFonts w:cs="Arial"/>
          <w:sz w:val="22"/>
          <w:szCs w:val="22"/>
          <w:lang w:val="fr-FR"/>
        </w:rPr>
        <w:t>sent document.</w:t>
      </w:r>
      <w:r w:rsidR="0033299A" w:rsidRPr="00B561BA">
        <w:rPr>
          <w:rFonts w:cs="Arial"/>
          <w:sz w:val="22"/>
          <w:szCs w:val="22"/>
          <w:lang w:val="fr-FR"/>
        </w:rPr>
        <w:t xml:space="preserve"> </w:t>
      </w:r>
    </w:p>
    <w:p w:rsidR="0033299A" w:rsidRPr="00D3599E" w:rsidRDefault="0033299A" w:rsidP="002973EB">
      <w:pPr>
        <w:tabs>
          <w:tab w:val="left" w:pos="360"/>
        </w:tabs>
        <w:ind w:left="360"/>
        <w:contextualSpacing/>
        <w:jc w:val="both"/>
        <w:rPr>
          <w:rFonts w:cs="Arial"/>
          <w:szCs w:val="18"/>
          <w:lang w:val="fr-FR"/>
        </w:rPr>
      </w:pPr>
    </w:p>
    <w:p w:rsidR="0033299A" w:rsidRPr="0064780D" w:rsidRDefault="0064780D" w:rsidP="002973EB">
      <w:pPr>
        <w:numPr>
          <w:ilvl w:val="0"/>
          <w:numId w:val="2"/>
        </w:numPr>
        <w:tabs>
          <w:tab w:val="left" w:pos="360"/>
        </w:tabs>
        <w:contextualSpacing/>
        <w:jc w:val="both"/>
        <w:rPr>
          <w:rFonts w:cs="Arial"/>
          <w:sz w:val="22"/>
          <w:szCs w:val="22"/>
          <w:lang w:val="fr-FR"/>
        </w:rPr>
      </w:pPr>
      <w:r w:rsidRPr="0064780D">
        <w:rPr>
          <w:rFonts w:cs="Arial"/>
          <w:sz w:val="22"/>
          <w:szCs w:val="22"/>
          <w:lang w:val="fr-FR"/>
        </w:rPr>
        <w:t xml:space="preserve">Sauf pour le poste d’administrateur chargé de l’information P-3 décrit au paragraphe 20, aucun des trois scénarios illustrés plus haut </w:t>
      </w:r>
      <w:r>
        <w:rPr>
          <w:rFonts w:cs="Arial"/>
          <w:sz w:val="22"/>
          <w:szCs w:val="22"/>
          <w:lang w:val="fr-FR"/>
        </w:rPr>
        <w:t xml:space="preserve">ne </w:t>
      </w:r>
      <w:r w:rsidRPr="0064780D">
        <w:rPr>
          <w:rFonts w:cs="Arial"/>
          <w:sz w:val="22"/>
          <w:szCs w:val="22"/>
          <w:lang w:val="fr-FR"/>
        </w:rPr>
        <w:t>propose un changement dans le classement des postes à la CMS. Pour me</w:t>
      </w:r>
      <w:r>
        <w:rPr>
          <w:rFonts w:cs="Arial"/>
          <w:sz w:val="22"/>
          <w:szCs w:val="22"/>
          <w:lang w:val="fr-FR"/>
        </w:rPr>
        <w:t>t</w:t>
      </w:r>
      <w:r w:rsidRPr="0064780D">
        <w:rPr>
          <w:rFonts w:cs="Arial"/>
          <w:sz w:val="22"/>
          <w:szCs w:val="22"/>
          <w:lang w:val="fr-FR"/>
        </w:rPr>
        <w:t xml:space="preserve">tre </w:t>
      </w:r>
      <w:r w:rsidR="00F57F37">
        <w:rPr>
          <w:rFonts w:cs="Arial"/>
          <w:sz w:val="22"/>
          <w:szCs w:val="22"/>
          <w:lang w:val="fr-FR"/>
        </w:rPr>
        <w:t xml:space="preserve">peu à peu </w:t>
      </w:r>
      <w:r w:rsidRPr="0064780D">
        <w:rPr>
          <w:rFonts w:cs="Arial"/>
          <w:sz w:val="22"/>
          <w:szCs w:val="22"/>
          <w:lang w:val="fr-FR"/>
        </w:rPr>
        <w:t xml:space="preserve">en œuvre le résultat de l’exercice de classement dans </w:t>
      </w:r>
      <w:r>
        <w:rPr>
          <w:rFonts w:cs="Arial"/>
          <w:sz w:val="22"/>
          <w:szCs w:val="22"/>
          <w:lang w:val="fr-FR"/>
        </w:rPr>
        <w:t>l</w:t>
      </w:r>
      <w:r w:rsidRPr="0064780D">
        <w:rPr>
          <w:rFonts w:cs="Arial"/>
          <w:sz w:val="22"/>
          <w:szCs w:val="22"/>
          <w:lang w:val="fr-FR"/>
        </w:rPr>
        <w:t>es ann</w:t>
      </w:r>
      <w:r>
        <w:rPr>
          <w:rFonts w:cs="Arial"/>
          <w:sz w:val="22"/>
          <w:szCs w:val="22"/>
          <w:lang w:val="fr-FR"/>
        </w:rPr>
        <w:t>ées à venir</w:t>
      </w:r>
      <w:r w:rsidRPr="0064780D">
        <w:rPr>
          <w:rFonts w:cs="Arial"/>
          <w:sz w:val="22"/>
          <w:szCs w:val="22"/>
          <w:lang w:val="fr-FR"/>
        </w:rPr>
        <w:t xml:space="preserve">, </w:t>
      </w:r>
      <w:r w:rsidR="00F57F37">
        <w:rPr>
          <w:rFonts w:cs="Arial"/>
          <w:sz w:val="22"/>
          <w:szCs w:val="22"/>
          <w:lang w:val="fr-FR"/>
        </w:rPr>
        <w:t xml:space="preserve">il faudrait </w:t>
      </w:r>
      <w:r w:rsidR="00774C1E">
        <w:rPr>
          <w:rFonts w:cs="Arial"/>
          <w:sz w:val="22"/>
          <w:szCs w:val="22"/>
          <w:lang w:val="fr-FR"/>
        </w:rPr>
        <w:t>utiliser les opportunités offertes</w:t>
      </w:r>
      <w:r w:rsidRPr="0064780D">
        <w:rPr>
          <w:rFonts w:cs="Arial"/>
          <w:sz w:val="22"/>
          <w:szCs w:val="22"/>
          <w:lang w:val="fr-FR"/>
        </w:rPr>
        <w:t>, par ex</w:t>
      </w:r>
      <w:r>
        <w:rPr>
          <w:rFonts w:cs="Arial"/>
          <w:sz w:val="22"/>
          <w:szCs w:val="22"/>
          <w:lang w:val="fr-FR"/>
        </w:rPr>
        <w:t>e</w:t>
      </w:r>
      <w:r w:rsidRPr="0064780D">
        <w:rPr>
          <w:rFonts w:cs="Arial"/>
          <w:sz w:val="22"/>
          <w:szCs w:val="22"/>
          <w:lang w:val="fr-FR"/>
        </w:rPr>
        <w:t xml:space="preserve">mple, </w:t>
      </w:r>
      <w:r w:rsidR="00774C1E">
        <w:rPr>
          <w:rFonts w:cs="Arial"/>
          <w:sz w:val="22"/>
          <w:szCs w:val="22"/>
          <w:lang w:val="fr-FR"/>
        </w:rPr>
        <w:t>en effectuant des</w:t>
      </w:r>
      <w:r w:rsidRPr="0064780D">
        <w:rPr>
          <w:rFonts w:cs="Arial"/>
          <w:sz w:val="22"/>
          <w:szCs w:val="22"/>
          <w:lang w:val="fr-FR"/>
        </w:rPr>
        <w:t xml:space="preserve"> c</w:t>
      </w:r>
      <w:r>
        <w:rPr>
          <w:rFonts w:cs="Arial"/>
          <w:sz w:val="22"/>
          <w:szCs w:val="22"/>
          <w:lang w:val="fr-FR"/>
        </w:rPr>
        <w:t>h</w:t>
      </w:r>
      <w:r w:rsidRPr="0064780D">
        <w:rPr>
          <w:rFonts w:cs="Arial"/>
          <w:sz w:val="22"/>
          <w:szCs w:val="22"/>
          <w:lang w:val="fr-FR"/>
        </w:rPr>
        <w:t>angem</w:t>
      </w:r>
      <w:r>
        <w:rPr>
          <w:rFonts w:cs="Arial"/>
          <w:sz w:val="22"/>
          <w:szCs w:val="22"/>
          <w:lang w:val="fr-FR"/>
        </w:rPr>
        <w:t>ents</w:t>
      </w:r>
      <w:r w:rsidRPr="0064780D">
        <w:rPr>
          <w:rFonts w:cs="Arial"/>
          <w:sz w:val="22"/>
          <w:szCs w:val="22"/>
          <w:lang w:val="fr-FR"/>
        </w:rPr>
        <w:t xml:space="preserve"> </w:t>
      </w:r>
      <w:r>
        <w:rPr>
          <w:rFonts w:cs="Arial"/>
          <w:sz w:val="22"/>
          <w:szCs w:val="22"/>
          <w:lang w:val="fr-FR"/>
        </w:rPr>
        <w:t>structurels</w:t>
      </w:r>
      <w:r w:rsidRPr="0064780D">
        <w:rPr>
          <w:rFonts w:cs="Arial"/>
          <w:sz w:val="22"/>
          <w:szCs w:val="22"/>
          <w:lang w:val="fr-FR"/>
        </w:rPr>
        <w:t xml:space="preserve"> </w:t>
      </w:r>
      <w:r w:rsidR="00774C1E">
        <w:rPr>
          <w:rFonts w:cs="Arial"/>
          <w:sz w:val="22"/>
          <w:szCs w:val="22"/>
          <w:lang w:val="fr-FR"/>
        </w:rPr>
        <w:t>dans les limites du budget assigné</w:t>
      </w:r>
      <w:r w:rsidR="0033299A" w:rsidRPr="0064780D">
        <w:rPr>
          <w:rFonts w:cs="Arial"/>
          <w:sz w:val="22"/>
          <w:szCs w:val="22"/>
          <w:lang w:val="fr-FR"/>
        </w:rPr>
        <w:t xml:space="preserve">. </w:t>
      </w:r>
    </w:p>
    <w:p w:rsidR="00DF6B58" w:rsidRPr="00D3599E" w:rsidRDefault="00DF6B58" w:rsidP="002973EB">
      <w:pPr>
        <w:pStyle w:val="ListParagraph"/>
        <w:rPr>
          <w:rFonts w:cs="Arial"/>
          <w:szCs w:val="18"/>
          <w:lang w:val="fr-FR"/>
        </w:rPr>
      </w:pPr>
    </w:p>
    <w:p w:rsidR="00A14313" w:rsidRPr="00B16526" w:rsidRDefault="00A14313" w:rsidP="002973EB">
      <w:pPr>
        <w:jc w:val="both"/>
        <w:rPr>
          <w:rFonts w:cs="Arial"/>
          <w:sz w:val="22"/>
          <w:szCs w:val="22"/>
          <w:u w:val="single"/>
          <w:lang w:val="fr-FR"/>
        </w:rPr>
      </w:pPr>
      <w:r w:rsidRPr="00B16526">
        <w:rPr>
          <w:rFonts w:cs="Arial"/>
          <w:sz w:val="22"/>
          <w:szCs w:val="22"/>
          <w:u w:val="single"/>
          <w:lang w:val="fr-FR"/>
        </w:rPr>
        <w:t>Pro</w:t>
      </w:r>
      <w:r w:rsidR="00B16526" w:rsidRPr="00B16526">
        <w:rPr>
          <w:rFonts w:cs="Arial"/>
          <w:sz w:val="22"/>
          <w:szCs w:val="22"/>
          <w:u w:val="single"/>
          <w:lang w:val="fr-FR"/>
        </w:rPr>
        <w:t>jet de programme de travail pour</w:t>
      </w:r>
      <w:r w:rsidRPr="00B16526">
        <w:rPr>
          <w:rFonts w:cs="Arial"/>
          <w:sz w:val="22"/>
          <w:szCs w:val="22"/>
          <w:u w:val="single"/>
          <w:lang w:val="fr-FR"/>
        </w:rPr>
        <w:t xml:space="preserve"> 2018-2020</w:t>
      </w:r>
    </w:p>
    <w:p w:rsidR="0008223A" w:rsidRPr="00D3599E" w:rsidRDefault="0008223A" w:rsidP="002973EB">
      <w:pPr>
        <w:jc w:val="both"/>
        <w:rPr>
          <w:rFonts w:cs="Arial"/>
          <w:szCs w:val="18"/>
          <w:u w:val="single"/>
          <w:lang w:val="fr-FR"/>
        </w:rPr>
      </w:pPr>
    </w:p>
    <w:p w:rsidR="0008223A" w:rsidRPr="002F1C21" w:rsidRDefault="002F1C21" w:rsidP="002973EB">
      <w:pPr>
        <w:numPr>
          <w:ilvl w:val="0"/>
          <w:numId w:val="2"/>
        </w:numPr>
        <w:tabs>
          <w:tab w:val="left" w:pos="360"/>
        </w:tabs>
        <w:contextualSpacing/>
        <w:jc w:val="both"/>
        <w:rPr>
          <w:rFonts w:cs="Arial"/>
          <w:sz w:val="22"/>
          <w:szCs w:val="22"/>
          <w:lang w:val="fr-FR"/>
        </w:rPr>
      </w:pPr>
      <w:r w:rsidRPr="002F1C21">
        <w:rPr>
          <w:rFonts w:cs="Arial"/>
          <w:sz w:val="22"/>
          <w:szCs w:val="22"/>
          <w:lang w:val="fr-FR"/>
        </w:rPr>
        <w:t>Le projet de programme de tr</w:t>
      </w:r>
      <w:r>
        <w:rPr>
          <w:rFonts w:cs="Arial"/>
          <w:sz w:val="22"/>
          <w:szCs w:val="22"/>
          <w:lang w:val="fr-FR"/>
        </w:rPr>
        <w:t>avail</w:t>
      </w:r>
      <w:r w:rsidRPr="002F1C21">
        <w:rPr>
          <w:rFonts w:cs="Arial"/>
          <w:sz w:val="22"/>
          <w:szCs w:val="22"/>
          <w:lang w:val="fr-FR"/>
        </w:rPr>
        <w:t xml:space="preserve"> pour</w:t>
      </w:r>
      <w:r w:rsidR="0008223A" w:rsidRPr="002F1C21">
        <w:rPr>
          <w:rFonts w:cs="Arial"/>
          <w:sz w:val="22"/>
          <w:szCs w:val="22"/>
          <w:lang w:val="fr-FR"/>
        </w:rPr>
        <w:t xml:space="preserve"> 2018-2020 </w:t>
      </w:r>
      <w:r>
        <w:rPr>
          <w:rFonts w:cs="Arial"/>
          <w:sz w:val="22"/>
          <w:szCs w:val="22"/>
          <w:lang w:val="fr-FR"/>
        </w:rPr>
        <w:t>figure à l’Annexe 4.</w:t>
      </w:r>
    </w:p>
    <w:p w:rsidR="00A14313" w:rsidRPr="00D3599E" w:rsidRDefault="00A14313" w:rsidP="002973EB">
      <w:pPr>
        <w:pStyle w:val="ListParagraph"/>
        <w:rPr>
          <w:rFonts w:cs="Arial"/>
          <w:szCs w:val="18"/>
          <w:lang w:val="fr-FR"/>
        </w:rPr>
      </w:pPr>
    </w:p>
    <w:p w:rsidR="00DF6B58" w:rsidRPr="0008223A" w:rsidRDefault="00DF6B58" w:rsidP="002973EB">
      <w:pPr>
        <w:jc w:val="both"/>
        <w:rPr>
          <w:rFonts w:cs="Arial"/>
          <w:sz w:val="22"/>
          <w:szCs w:val="22"/>
          <w:u w:val="single"/>
          <w:lang w:val="en-GB"/>
        </w:rPr>
      </w:pPr>
      <w:r w:rsidRPr="0008223A">
        <w:rPr>
          <w:rFonts w:cs="Arial"/>
          <w:sz w:val="22"/>
          <w:szCs w:val="22"/>
          <w:u w:val="single"/>
          <w:lang w:val="en-GB"/>
        </w:rPr>
        <w:t>Annexes</w:t>
      </w:r>
    </w:p>
    <w:p w:rsidR="00DF6B58" w:rsidRPr="00B16526" w:rsidRDefault="00B16526" w:rsidP="00AA2D9E">
      <w:pPr>
        <w:pStyle w:val="ListParagraph"/>
        <w:widowControl/>
        <w:numPr>
          <w:ilvl w:val="0"/>
          <w:numId w:val="11"/>
        </w:numPr>
        <w:autoSpaceDE/>
        <w:adjustRightInd/>
        <w:spacing w:before="60" w:after="60"/>
        <w:contextualSpacing w:val="0"/>
        <w:jc w:val="both"/>
        <w:rPr>
          <w:rFonts w:cs="Arial"/>
          <w:sz w:val="22"/>
          <w:szCs w:val="22"/>
          <w:lang w:val="fr-FR"/>
        </w:rPr>
      </w:pPr>
      <w:r w:rsidRPr="00B16526">
        <w:rPr>
          <w:rFonts w:cs="Arial"/>
          <w:sz w:val="22"/>
          <w:szCs w:val="22"/>
          <w:lang w:val="fr-FR"/>
        </w:rPr>
        <w:t>Budget proposé pour la période triennale</w:t>
      </w:r>
      <w:r w:rsidR="00DF6B58" w:rsidRPr="00B16526">
        <w:rPr>
          <w:rFonts w:cs="Arial"/>
          <w:sz w:val="22"/>
          <w:szCs w:val="22"/>
          <w:lang w:val="fr-FR"/>
        </w:rPr>
        <w:t xml:space="preserve"> 2018-2020 - Sc</w:t>
      </w:r>
      <w:r>
        <w:rPr>
          <w:rFonts w:cs="Arial"/>
          <w:sz w:val="22"/>
          <w:szCs w:val="22"/>
          <w:lang w:val="fr-FR"/>
        </w:rPr>
        <w:t>é</w:t>
      </w:r>
      <w:r w:rsidR="00DF6B58" w:rsidRPr="00B16526">
        <w:rPr>
          <w:rFonts w:cs="Arial"/>
          <w:sz w:val="22"/>
          <w:szCs w:val="22"/>
          <w:lang w:val="fr-FR"/>
        </w:rPr>
        <w:t xml:space="preserve">nario 1 – </w:t>
      </w:r>
      <w:r>
        <w:rPr>
          <w:rFonts w:cs="Arial"/>
          <w:sz w:val="22"/>
          <w:szCs w:val="22"/>
          <w:lang w:val="fr-FR"/>
        </w:rPr>
        <w:t>Croissance nominale zéro</w:t>
      </w:r>
      <w:r w:rsidR="00DF6B58" w:rsidRPr="00B16526">
        <w:rPr>
          <w:rFonts w:cs="Arial"/>
          <w:sz w:val="22"/>
          <w:szCs w:val="22"/>
          <w:lang w:val="fr-FR"/>
        </w:rPr>
        <w:t>, Annex</w:t>
      </w:r>
      <w:r>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1</w:t>
      </w:r>
      <w:r w:rsidR="00DF6B58" w:rsidRPr="00B16526">
        <w:rPr>
          <w:rFonts w:cs="Arial"/>
          <w:sz w:val="22"/>
          <w:szCs w:val="22"/>
          <w:lang w:val="fr-FR"/>
        </w:rPr>
        <w:t xml:space="preserve"> (A)</w:t>
      </w:r>
    </w:p>
    <w:p w:rsidR="00DF6B58" w:rsidRPr="00B16526" w:rsidRDefault="00B16526" w:rsidP="00AA2D9E">
      <w:pPr>
        <w:pStyle w:val="ListParagraph"/>
        <w:widowControl/>
        <w:numPr>
          <w:ilvl w:val="0"/>
          <w:numId w:val="11"/>
        </w:numPr>
        <w:autoSpaceDE/>
        <w:adjustRightInd/>
        <w:spacing w:before="60" w:after="60"/>
        <w:contextualSpacing w:val="0"/>
        <w:jc w:val="both"/>
        <w:rPr>
          <w:rFonts w:cs="Arial"/>
          <w:sz w:val="22"/>
          <w:szCs w:val="22"/>
          <w:lang w:val="fr-FR"/>
        </w:rPr>
      </w:pPr>
      <w:r>
        <w:rPr>
          <w:rFonts w:cs="Arial"/>
          <w:sz w:val="22"/>
          <w:szCs w:val="22"/>
          <w:lang w:val="fr-FR"/>
        </w:rPr>
        <w:t>Budget proposé pour la période triennale</w:t>
      </w:r>
      <w:r w:rsidRPr="00B16526">
        <w:rPr>
          <w:rFonts w:cs="Arial"/>
          <w:sz w:val="22"/>
          <w:szCs w:val="22"/>
          <w:lang w:val="fr-FR"/>
        </w:rPr>
        <w:t xml:space="preserve"> 2018-2020 - Scé</w:t>
      </w:r>
      <w:r w:rsidR="00DF6B58" w:rsidRPr="00B16526">
        <w:rPr>
          <w:rFonts w:cs="Arial"/>
          <w:sz w:val="22"/>
          <w:szCs w:val="22"/>
          <w:lang w:val="fr-FR"/>
        </w:rPr>
        <w:t xml:space="preserve">nario 2 – </w:t>
      </w:r>
      <w:r>
        <w:rPr>
          <w:rFonts w:cs="Arial"/>
          <w:sz w:val="22"/>
          <w:szCs w:val="22"/>
          <w:lang w:val="fr-FR"/>
        </w:rPr>
        <w:t>Croissance réelle zéro</w:t>
      </w:r>
      <w:r w:rsidR="00DF6B58" w:rsidRPr="00B16526">
        <w:rPr>
          <w:rFonts w:cs="Arial"/>
          <w:sz w:val="22"/>
          <w:szCs w:val="22"/>
          <w:lang w:val="fr-FR"/>
        </w:rPr>
        <w:t>, Annex</w:t>
      </w:r>
      <w:r>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 xml:space="preserve">1 </w:t>
      </w:r>
      <w:r w:rsidR="00DF6B58" w:rsidRPr="00B16526">
        <w:rPr>
          <w:rFonts w:cs="Arial"/>
          <w:sz w:val="22"/>
          <w:szCs w:val="22"/>
          <w:lang w:val="fr-FR"/>
        </w:rPr>
        <w:t>(B)</w:t>
      </w:r>
    </w:p>
    <w:p w:rsidR="00DF6B58" w:rsidRPr="00B16526" w:rsidRDefault="00B16526" w:rsidP="00AA2D9E">
      <w:pPr>
        <w:pStyle w:val="ListParagraph"/>
        <w:widowControl/>
        <w:numPr>
          <w:ilvl w:val="0"/>
          <w:numId w:val="11"/>
        </w:numPr>
        <w:autoSpaceDE/>
        <w:adjustRightInd/>
        <w:spacing w:before="60" w:after="60"/>
        <w:contextualSpacing w:val="0"/>
        <w:jc w:val="both"/>
        <w:rPr>
          <w:rFonts w:cs="Arial"/>
          <w:sz w:val="22"/>
          <w:szCs w:val="22"/>
          <w:lang w:val="fr-FR"/>
        </w:rPr>
      </w:pPr>
      <w:r>
        <w:rPr>
          <w:rFonts w:cs="Arial"/>
          <w:sz w:val="22"/>
          <w:szCs w:val="22"/>
          <w:lang w:val="fr-FR"/>
        </w:rPr>
        <w:t>Budget proposé pour la période triennale</w:t>
      </w:r>
      <w:r w:rsidR="00DF6B58" w:rsidRPr="00B16526">
        <w:rPr>
          <w:rFonts w:cs="Arial"/>
          <w:sz w:val="22"/>
          <w:szCs w:val="22"/>
          <w:lang w:val="fr-FR"/>
        </w:rPr>
        <w:t xml:space="preserve"> 2018-2020 - Scenario 3, Annex</w:t>
      </w:r>
      <w:r w:rsidR="00F57F37">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1</w:t>
      </w:r>
      <w:r w:rsidR="00DF6B58" w:rsidRPr="00B16526">
        <w:rPr>
          <w:rFonts w:cs="Arial"/>
          <w:sz w:val="22"/>
          <w:szCs w:val="22"/>
          <w:lang w:val="fr-FR"/>
        </w:rPr>
        <w:t xml:space="preserve"> (C)</w:t>
      </w:r>
    </w:p>
    <w:p w:rsidR="00DF6B58" w:rsidRPr="00B16526" w:rsidRDefault="00B16526" w:rsidP="00AA2D9E">
      <w:pPr>
        <w:pStyle w:val="ListParagraph"/>
        <w:widowControl/>
        <w:numPr>
          <w:ilvl w:val="0"/>
          <w:numId w:val="11"/>
        </w:numPr>
        <w:autoSpaceDE/>
        <w:adjustRightInd/>
        <w:spacing w:before="60" w:after="60"/>
        <w:contextualSpacing w:val="0"/>
        <w:jc w:val="both"/>
        <w:rPr>
          <w:rFonts w:cs="Arial"/>
          <w:sz w:val="22"/>
          <w:szCs w:val="22"/>
          <w:lang w:val="fr-FR"/>
        </w:rPr>
      </w:pPr>
      <w:r w:rsidRPr="00B16526">
        <w:rPr>
          <w:rFonts w:cs="Arial"/>
          <w:sz w:val="22"/>
          <w:szCs w:val="22"/>
          <w:lang w:val="fr-FR"/>
        </w:rPr>
        <w:t xml:space="preserve">Barème des contributions </w:t>
      </w:r>
      <w:r w:rsidR="00D353B5">
        <w:rPr>
          <w:rFonts w:cs="Arial"/>
          <w:sz w:val="22"/>
          <w:szCs w:val="22"/>
          <w:lang w:val="fr-FR"/>
        </w:rPr>
        <w:t>au</w:t>
      </w:r>
      <w:r>
        <w:rPr>
          <w:rFonts w:cs="Arial"/>
          <w:sz w:val="22"/>
          <w:szCs w:val="22"/>
          <w:lang w:val="fr-FR"/>
        </w:rPr>
        <w:t xml:space="preserve"> budget </w:t>
      </w:r>
      <w:r w:rsidR="00D353B5">
        <w:rPr>
          <w:rFonts w:cs="Arial"/>
          <w:sz w:val="22"/>
          <w:szCs w:val="22"/>
          <w:lang w:val="fr-FR"/>
        </w:rPr>
        <w:t>pour la</w:t>
      </w:r>
      <w:r w:rsidR="00F57F37">
        <w:rPr>
          <w:rFonts w:cs="Arial"/>
          <w:sz w:val="22"/>
          <w:szCs w:val="22"/>
          <w:lang w:val="fr-FR"/>
        </w:rPr>
        <w:t xml:space="preserve"> période</w:t>
      </w:r>
      <w:r w:rsidRPr="00B16526">
        <w:rPr>
          <w:rFonts w:cs="Arial"/>
          <w:sz w:val="22"/>
          <w:szCs w:val="22"/>
          <w:lang w:val="fr-FR"/>
        </w:rPr>
        <w:t xml:space="preserve"> triennal</w:t>
      </w:r>
      <w:r w:rsidR="00F57F37">
        <w:rPr>
          <w:rFonts w:cs="Arial"/>
          <w:sz w:val="22"/>
          <w:szCs w:val="22"/>
          <w:lang w:val="fr-FR"/>
        </w:rPr>
        <w:t>e</w:t>
      </w:r>
      <w:r w:rsidR="00DF6B58" w:rsidRPr="00B16526">
        <w:rPr>
          <w:rFonts w:cs="Arial"/>
          <w:sz w:val="22"/>
          <w:szCs w:val="22"/>
          <w:lang w:val="fr-FR"/>
        </w:rPr>
        <w:t xml:space="preserve"> 2018 – 2020, Annex</w:t>
      </w:r>
      <w:r w:rsidRPr="00B16526">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2</w:t>
      </w:r>
    </w:p>
    <w:p w:rsidR="00DF6B58" w:rsidRPr="00B16526" w:rsidRDefault="00B16526" w:rsidP="00AA2D9E">
      <w:pPr>
        <w:pStyle w:val="ListParagraph"/>
        <w:widowControl/>
        <w:numPr>
          <w:ilvl w:val="0"/>
          <w:numId w:val="11"/>
        </w:numPr>
        <w:autoSpaceDE/>
        <w:adjustRightInd/>
        <w:spacing w:before="60" w:after="60"/>
        <w:contextualSpacing w:val="0"/>
        <w:jc w:val="both"/>
        <w:rPr>
          <w:rFonts w:cs="Arial"/>
          <w:sz w:val="22"/>
          <w:szCs w:val="22"/>
          <w:lang w:val="fr-FR"/>
        </w:rPr>
      </w:pPr>
      <w:r>
        <w:rPr>
          <w:rFonts w:cs="Arial"/>
          <w:sz w:val="22"/>
          <w:szCs w:val="22"/>
          <w:lang w:val="fr-FR"/>
        </w:rPr>
        <w:t>Projet de Résolution: Questions financières  et administratives</w:t>
      </w:r>
      <w:r w:rsidR="00DF6B58" w:rsidRPr="00B16526">
        <w:rPr>
          <w:rFonts w:cs="Arial"/>
          <w:sz w:val="22"/>
          <w:szCs w:val="22"/>
          <w:lang w:val="fr-FR"/>
        </w:rPr>
        <w:t>, Annex</w:t>
      </w:r>
      <w:r w:rsidRPr="00B16526">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3</w:t>
      </w:r>
    </w:p>
    <w:p w:rsidR="00DF6B58" w:rsidRPr="00B16526" w:rsidRDefault="00456A74" w:rsidP="00AA2D9E">
      <w:pPr>
        <w:pStyle w:val="ListParagraph"/>
        <w:widowControl/>
        <w:numPr>
          <w:ilvl w:val="0"/>
          <w:numId w:val="11"/>
        </w:numPr>
        <w:autoSpaceDE/>
        <w:adjustRightInd/>
        <w:spacing w:before="60" w:after="60"/>
        <w:contextualSpacing w:val="0"/>
        <w:jc w:val="both"/>
        <w:rPr>
          <w:rFonts w:cs="Arial"/>
          <w:sz w:val="22"/>
          <w:szCs w:val="22"/>
          <w:lang w:val="fr-FR"/>
        </w:rPr>
      </w:pPr>
      <w:r>
        <w:rPr>
          <w:rFonts w:cs="Arial"/>
          <w:sz w:val="22"/>
          <w:szCs w:val="22"/>
          <w:lang w:val="fr-FR"/>
        </w:rPr>
        <w:t>P</w:t>
      </w:r>
      <w:r w:rsidR="00B16526" w:rsidRPr="00B16526">
        <w:rPr>
          <w:rFonts w:cs="Arial"/>
          <w:sz w:val="22"/>
          <w:szCs w:val="22"/>
          <w:lang w:val="fr-FR"/>
        </w:rPr>
        <w:t xml:space="preserve">rogramme de travail </w:t>
      </w:r>
      <w:r>
        <w:rPr>
          <w:rFonts w:cs="Arial"/>
          <w:sz w:val="22"/>
          <w:szCs w:val="22"/>
          <w:lang w:val="fr-FR"/>
        </w:rPr>
        <w:t xml:space="preserve">proposé </w:t>
      </w:r>
      <w:r w:rsidR="00B16526" w:rsidRPr="00B16526">
        <w:rPr>
          <w:rFonts w:cs="Arial"/>
          <w:sz w:val="22"/>
          <w:szCs w:val="22"/>
          <w:lang w:val="fr-FR"/>
        </w:rPr>
        <w:t>pour</w:t>
      </w:r>
      <w:r w:rsidR="00D52FC4" w:rsidRPr="00B16526">
        <w:rPr>
          <w:rFonts w:cs="Arial"/>
          <w:sz w:val="22"/>
          <w:szCs w:val="22"/>
          <w:lang w:val="fr-FR"/>
        </w:rPr>
        <w:t xml:space="preserve"> </w:t>
      </w:r>
      <w:r w:rsidR="00DF6B58" w:rsidRPr="00B16526">
        <w:rPr>
          <w:rFonts w:cs="Arial"/>
          <w:sz w:val="22"/>
          <w:szCs w:val="22"/>
          <w:lang w:val="fr-FR"/>
        </w:rPr>
        <w:t>2018-2020, Annex</w:t>
      </w:r>
      <w:r w:rsidR="00B16526" w:rsidRPr="00B16526">
        <w:rPr>
          <w:rFonts w:cs="Arial"/>
          <w:sz w:val="22"/>
          <w:szCs w:val="22"/>
          <w:lang w:val="fr-FR"/>
        </w:rPr>
        <w:t>e</w:t>
      </w:r>
      <w:r w:rsidR="00DF6B58" w:rsidRPr="00B16526">
        <w:rPr>
          <w:rFonts w:cs="Arial"/>
          <w:sz w:val="22"/>
          <w:szCs w:val="22"/>
          <w:lang w:val="fr-FR"/>
        </w:rPr>
        <w:t xml:space="preserve"> </w:t>
      </w:r>
      <w:r w:rsidR="009878EA" w:rsidRPr="00B16526">
        <w:rPr>
          <w:rFonts w:cs="Arial"/>
          <w:sz w:val="22"/>
          <w:szCs w:val="22"/>
          <w:lang w:val="fr-FR"/>
        </w:rPr>
        <w:t>4</w:t>
      </w:r>
    </w:p>
    <w:p w:rsidR="00FA750B" w:rsidRPr="00B16526" w:rsidRDefault="00FA750B" w:rsidP="00AA2D9E">
      <w:pPr>
        <w:pStyle w:val="ListParagraph"/>
        <w:widowControl/>
        <w:numPr>
          <w:ilvl w:val="0"/>
          <w:numId w:val="11"/>
        </w:numPr>
        <w:autoSpaceDE/>
        <w:adjustRightInd/>
        <w:spacing w:before="60" w:after="60"/>
        <w:contextualSpacing w:val="0"/>
        <w:jc w:val="both"/>
        <w:rPr>
          <w:rFonts w:cs="Arial"/>
          <w:sz w:val="22"/>
          <w:szCs w:val="22"/>
          <w:lang w:val="fr-FR"/>
        </w:rPr>
      </w:pPr>
      <w:r w:rsidRPr="00B16526">
        <w:rPr>
          <w:rFonts w:cs="Arial"/>
          <w:sz w:val="22"/>
          <w:szCs w:val="22"/>
          <w:lang w:val="fr-FR"/>
        </w:rPr>
        <w:t>R</w:t>
      </w:r>
      <w:r w:rsidR="00B16526" w:rsidRPr="00B16526">
        <w:rPr>
          <w:rFonts w:cs="Arial"/>
          <w:sz w:val="22"/>
          <w:szCs w:val="22"/>
          <w:lang w:val="fr-FR"/>
        </w:rPr>
        <w:t xml:space="preserve">apport sur le </w:t>
      </w:r>
      <w:r w:rsidR="00B16526">
        <w:rPr>
          <w:rFonts w:cs="Arial"/>
          <w:sz w:val="22"/>
          <w:szCs w:val="22"/>
          <w:lang w:val="fr-FR"/>
        </w:rPr>
        <w:t>reclassement des postes du Secrétariat</w:t>
      </w:r>
      <w:r w:rsidR="00B16526" w:rsidRPr="00B16526">
        <w:rPr>
          <w:rFonts w:cs="Arial"/>
          <w:sz w:val="22"/>
          <w:szCs w:val="22"/>
          <w:lang w:val="fr-FR"/>
        </w:rPr>
        <w:t>, Annexe 5</w:t>
      </w:r>
    </w:p>
    <w:p w:rsidR="00DF6B58" w:rsidRPr="00B16526" w:rsidRDefault="00DF6B58" w:rsidP="002973EB">
      <w:pPr>
        <w:tabs>
          <w:tab w:val="left" w:pos="360"/>
        </w:tabs>
        <w:ind w:left="360"/>
        <w:contextualSpacing/>
        <w:jc w:val="both"/>
        <w:rPr>
          <w:rFonts w:cs="Arial"/>
          <w:sz w:val="22"/>
          <w:szCs w:val="22"/>
          <w:lang w:val="fr-FR"/>
        </w:rPr>
      </w:pPr>
    </w:p>
    <w:p w:rsidR="007910DD" w:rsidRPr="00B16526" w:rsidRDefault="007910DD" w:rsidP="002973EB">
      <w:pPr>
        <w:jc w:val="both"/>
        <w:rPr>
          <w:rFonts w:cs="Arial"/>
          <w:sz w:val="22"/>
          <w:szCs w:val="22"/>
          <w:lang w:val="fr-FR"/>
        </w:rPr>
      </w:pPr>
    </w:p>
    <w:p w:rsidR="007910DD" w:rsidRPr="008F58F6" w:rsidRDefault="00B16526" w:rsidP="002973EB">
      <w:pPr>
        <w:jc w:val="both"/>
        <w:rPr>
          <w:rFonts w:cs="Arial"/>
          <w:sz w:val="22"/>
          <w:szCs w:val="22"/>
          <w:u w:val="single"/>
          <w:lang w:val="en-GB"/>
        </w:rPr>
      </w:pPr>
      <w:r>
        <w:rPr>
          <w:rFonts w:cs="Arial"/>
          <w:sz w:val="22"/>
          <w:szCs w:val="22"/>
          <w:u w:val="single"/>
          <w:lang w:val="en-GB"/>
        </w:rPr>
        <w:t>Actions recommandées</w:t>
      </w:r>
    </w:p>
    <w:p w:rsidR="007910DD" w:rsidRPr="00CD0FE9" w:rsidRDefault="007910DD" w:rsidP="002973EB">
      <w:pPr>
        <w:rPr>
          <w:rFonts w:cs="Arial"/>
          <w:sz w:val="22"/>
          <w:szCs w:val="22"/>
          <w:lang w:val="en-GB"/>
        </w:rPr>
      </w:pPr>
    </w:p>
    <w:p w:rsidR="007910DD" w:rsidRPr="00512530" w:rsidRDefault="00512530" w:rsidP="002973EB">
      <w:pPr>
        <w:numPr>
          <w:ilvl w:val="0"/>
          <w:numId w:val="2"/>
        </w:numPr>
        <w:tabs>
          <w:tab w:val="left" w:pos="360"/>
        </w:tabs>
        <w:contextualSpacing/>
        <w:jc w:val="both"/>
        <w:rPr>
          <w:rFonts w:cs="Arial"/>
          <w:sz w:val="22"/>
          <w:szCs w:val="22"/>
          <w:lang w:val="fr-FR"/>
        </w:rPr>
      </w:pPr>
      <w:r w:rsidRPr="00512530">
        <w:rPr>
          <w:rFonts w:cs="Arial"/>
          <w:sz w:val="22"/>
          <w:szCs w:val="22"/>
          <w:lang w:val="fr-FR"/>
        </w:rPr>
        <w:t xml:space="preserve"> La Conférence des Parties est invit</w:t>
      </w:r>
      <w:r>
        <w:rPr>
          <w:rFonts w:cs="Arial"/>
          <w:sz w:val="22"/>
          <w:szCs w:val="22"/>
          <w:lang w:val="fr-FR"/>
        </w:rPr>
        <w:t>é</w:t>
      </w:r>
      <w:r w:rsidRPr="00512530">
        <w:rPr>
          <w:rFonts w:cs="Arial"/>
          <w:sz w:val="22"/>
          <w:szCs w:val="22"/>
          <w:lang w:val="fr-FR"/>
        </w:rPr>
        <w:t>e à:</w:t>
      </w:r>
    </w:p>
    <w:p w:rsidR="007910DD" w:rsidRPr="00512530" w:rsidRDefault="007910DD" w:rsidP="002973EB">
      <w:pPr>
        <w:jc w:val="both"/>
        <w:rPr>
          <w:rFonts w:cs="Arial"/>
          <w:sz w:val="22"/>
          <w:szCs w:val="22"/>
          <w:lang w:val="fr-FR"/>
        </w:rPr>
      </w:pPr>
    </w:p>
    <w:p w:rsidR="007910DD" w:rsidRPr="00512530" w:rsidRDefault="00512530" w:rsidP="002973EB">
      <w:pPr>
        <w:widowControl/>
        <w:numPr>
          <w:ilvl w:val="0"/>
          <w:numId w:val="3"/>
        </w:numPr>
        <w:autoSpaceDE/>
        <w:adjustRightInd/>
        <w:contextualSpacing/>
        <w:jc w:val="both"/>
        <w:rPr>
          <w:rFonts w:cs="Arial"/>
          <w:sz w:val="22"/>
          <w:szCs w:val="22"/>
          <w:lang w:val="fr-FR"/>
        </w:rPr>
      </w:pPr>
      <w:r w:rsidRPr="00512530">
        <w:rPr>
          <w:rFonts w:cs="Arial"/>
          <w:sz w:val="22"/>
          <w:szCs w:val="22"/>
          <w:lang w:val="fr-FR"/>
        </w:rPr>
        <w:t xml:space="preserve">Adopter le projet de Résolution figurant à </w:t>
      </w:r>
      <w:r>
        <w:rPr>
          <w:rFonts w:cs="Arial"/>
          <w:sz w:val="22"/>
          <w:szCs w:val="22"/>
          <w:lang w:val="fr-FR"/>
        </w:rPr>
        <w:t>l’Annexe</w:t>
      </w:r>
      <w:r w:rsidRPr="00512530">
        <w:rPr>
          <w:rFonts w:cs="Arial"/>
          <w:sz w:val="22"/>
          <w:szCs w:val="22"/>
          <w:lang w:val="fr-FR"/>
        </w:rPr>
        <w:t xml:space="preserve"> 3 du pr</w:t>
      </w:r>
      <w:r>
        <w:rPr>
          <w:rFonts w:cs="Arial"/>
          <w:sz w:val="22"/>
          <w:szCs w:val="22"/>
          <w:lang w:val="fr-FR"/>
        </w:rPr>
        <w:t>é</w:t>
      </w:r>
      <w:r w:rsidRPr="00512530">
        <w:rPr>
          <w:rFonts w:cs="Arial"/>
          <w:sz w:val="22"/>
          <w:szCs w:val="22"/>
          <w:lang w:val="fr-FR"/>
        </w:rPr>
        <w:t>sent document.</w:t>
      </w:r>
    </w:p>
    <w:p w:rsidR="007910DD" w:rsidRPr="00512530" w:rsidRDefault="007910DD" w:rsidP="00233DC6">
      <w:pPr>
        <w:widowControl/>
        <w:autoSpaceDE/>
        <w:adjustRightInd/>
        <w:spacing w:line="360" w:lineRule="auto"/>
        <w:ind w:left="1440"/>
        <w:contextualSpacing/>
        <w:jc w:val="both"/>
        <w:rPr>
          <w:rFonts w:cs="Arial"/>
          <w:sz w:val="22"/>
          <w:szCs w:val="22"/>
          <w:lang w:val="fr-FR"/>
        </w:rPr>
      </w:pPr>
    </w:p>
    <w:p w:rsidR="00245E18" w:rsidRPr="00512530" w:rsidRDefault="00245E18" w:rsidP="0003449E">
      <w:pPr>
        <w:widowControl/>
        <w:autoSpaceDE/>
        <w:adjustRightInd/>
        <w:jc w:val="right"/>
        <w:rPr>
          <w:rFonts w:cs="Arial"/>
          <w:sz w:val="22"/>
          <w:szCs w:val="22"/>
          <w:lang w:val="fr-FR"/>
        </w:rPr>
        <w:sectPr w:rsidR="00245E18" w:rsidRPr="00512530" w:rsidSect="00D16DA1">
          <w:headerReference w:type="even"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p>
    <w:p w:rsidR="00245E18" w:rsidRPr="00C95DDC" w:rsidRDefault="00245E18" w:rsidP="00245E18">
      <w:pPr>
        <w:widowControl/>
        <w:autoSpaceDE/>
        <w:adjustRightInd/>
        <w:jc w:val="right"/>
        <w:rPr>
          <w:rFonts w:cs="Arial"/>
          <w:b/>
          <w:bCs/>
          <w:caps/>
          <w:sz w:val="22"/>
          <w:szCs w:val="22"/>
          <w:lang w:val="fr-FR"/>
        </w:rPr>
      </w:pPr>
      <w:r w:rsidRPr="00C95DDC">
        <w:rPr>
          <w:rFonts w:cs="Arial"/>
          <w:b/>
          <w:caps/>
          <w:sz w:val="22"/>
          <w:szCs w:val="22"/>
          <w:lang w:val="fr-FR"/>
        </w:rPr>
        <w:lastRenderedPageBreak/>
        <w:t>Annex</w:t>
      </w:r>
      <w:r w:rsidR="00C95DDC">
        <w:rPr>
          <w:rFonts w:cs="Arial"/>
          <w:b/>
          <w:caps/>
          <w:sz w:val="22"/>
          <w:szCs w:val="22"/>
          <w:lang w:val="fr-FR"/>
        </w:rPr>
        <w:t>e</w:t>
      </w:r>
      <w:r w:rsidRPr="00C95DDC">
        <w:rPr>
          <w:rFonts w:cs="Arial"/>
          <w:b/>
          <w:caps/>
          <w:sz w:val="22"/>
          <w:szCs w:val="22"/>
          <w:lang w:val="fr-FR"/>
        </w:rPr>
        <w:t xml:space="preserve"> </w:t>
      </w:r>
      <w:r w:rsidR="009878EA" w:rsidRPr="00C95DDC">
        <w:rPr>
          <w:rFonts w:cs="Arial"/>
          <w:b/>
          <w:caps/>
          <w:sz w:val="22"/>
          <w:szCs w:val="22"/>
          <w:lang w:val="fr-FR"/>
        </w:rPr>
        <w:t>1</w:t>
      </w:r>
      <w:r w:rsidRPr="00C95DDC">
        <w:rPr>
          <w:rFonts w:cs="Arial"/>
          <w:b/>
          <w:caps/>
          <w:sz w:val="22"/>
          <w:szCs w:val="22"/>
          <w:lang w:val="fr-FR"/>
        </w:rPr>
        <w:t xml:space="preserve"> (a)</w:t>
      </w:r>
    </w:p>
    <w:p w:rsidR="00245E18" w:rsidRPr="00C95DDC" w:rsidRDefault="00245E18" w:rsidP="00245E18">
      <w:pPr>
        <w:widowControl/>
        <w:autoSpaceDE/>
        <w:autoSpaceDN/>
        <w:adjustRightInd/>
        <w:jc w:val="center"/>
        <w:rPr>
          <w:rFonts w:cs="Arial"/>
          <w:b/>
          <w:bCs/>
          <w:color w:val="000000"/>
          <w:sz w:val="22"/>
          <w:szCs w:val="22"/>
          <w:lang w:val="fr-FR"/>
        </w:rPr>
      </w:pPr>
      <w:r w:rsidRPr="00C95DDC">
        <w:rPr>
          <w:rFonts w:cs="Arial"/>
          <w:b/>
          <w:bCs/>
          <w:color w:val="000000"/>
          <w:sz w:val="22"/>
          <w:szCs w:val="22"/>
          <w:lang w:val="fr-FR"/>
        </w:rPr>
        <w:t xml:space="preserve">BUDGET </w:t>
      </w:r>
      <w:r w:rsidR="00C95DDC" w:rsidRPr="00C95DDC">
        <w:rPr>
          <w:rFonts w:cs="Arial"/>
          <w:b/>
          <w:bCs/>
          <w:color w:val="000000"/>
          <w:sz w:val="22"/>
          <w:szCs w:val="22"/>
          <w:lang w:val="fr-FR"/>
        </w:rPr>
        <w:t>PROPOS</w:t>
      </w:r>
      <w:r w:rsidR="00C95DDC">
        <w:rPr>
          <w:rFonts w:cs="Arial"/>
          <w:b/>
          <w:bCs/>
          <w:color w:val="000000"/>
          <w:sz w:val="22"/>
          <w:szCs w:val="22"/>
          <w:lang w:val="fr-FR"/>
        </w:rPr>
        <w:t>É</w:t>
      </w:r>
      <w:r w:rsidR="00C95DDC" w:rsidRPr="00C95DDC">
        <w:rPr>
          <w:rFonts w:cs="Arial"/>
          <w:b/>
          <w:bCs/>
          <w:color w:val="000000"/>
          <w:sz w:val="22"/>
          <w:szCs w:val="22"/>
          <w:lang w:val="fr-FR"/>
        </w:rPr>
        <w:t xml:space="preserve"> POUR LA P</w:t>
      </w:r>
      <w:r w:rsidR="00C95DDC">
        <w:rPr>
          <w:rFonts w:cs="Arial"/>
          <w:b/>
          <w:bCs/>
          <w:color w:val="000000"/>
          <w:sz w:val="22"/>
          <w:szCs w:val="22"/>
          <w:lang w:val="fr-FR"/>
        </w:rPr>
        <w:t>É</w:t>
      </w:r>
      <w:r w:rsidR="00C95DDC" w:rsidRPr="00C95DDC">
        <w:rPr>
          <w:rFonts w:cs="Arial"/>
          <w:b/>
          <w:bCs/>
          <w:color w:val="000000"/>
          <w:sz w:val="22"/>
          <w:szCs w:val="22"/>
          <w:lang w:val="fr-FR"/>
        </w:rPr>
        <w:t>RIODE TRIENNALE</w:t>
      </w:r>
      <w:r w:rsidRPr="00C95DDC">
        <w:rPr>
          <w:rFonts w:cs="Arial"/>
          <w:b/>
          <w:bCs/>
          <w:color w:val="000000"/>
          <w:sz w:val="22"/>
          <w:szCs w:val="22"/>
          <w:lang w:val="fr-FR"/>
        </w:rPr>
        <w:t xml:space="preserve"> 2018 - 2020: </w:t>
      </w:r>
    </w:p>
    <w:p w:rsidR="00245E18" w:rsidRPr="00062FAE" w:rsidRDefault="00C95DDC" w:rsidP="00245E18">
      <w:pPr>
        <w:autoSpaceDE/>
        <w:autoSpaceDN/>
        <w:adjustRightInd/>
        <w:spacing w:after="120"/>
        <w:jc w:val="center"/>
        <w:outlineLvl w:val="1"/>
        <w:rPr>
          <w:rFonts w:cs="Arial"/>
          <w:b/>
          <w:bCs/>
          <w:iCs/>
          <w:color w:val="000000"/>
          <w:sz w:val="22"/>
          <w:szCs w:val="22"/>
          <w:lang w:val="fr-FR"/>
        </w:rPr>
      </w:pPr>
      <w:r w:rsidRPr="00062FAE">
        <w:rPr>
          <w:rFonts w:cs="Arial"/>
          <w:b/>
          <w:bCs/>
          <w:iCs/>
          <w:color w:val="000000"/>
          <w:sz w:val="22"/>
          <w:szCs w:val="22"/>
          <w:lang w:val="fr-FR"/>
        </w:rPr>
        <w:t>SCÉ</w:t>
      </w:r>
      <w:r w:rsidR="00245E18" w:rsidRPr="00062FAE">
        <w:rPr>
          <w:rFonts w:cs="Arial"/>
          <w:b/>
          <w:bCs/>
          <w:iCs/>
          <w:color w:val="000000"/>
          <w:sz w:val="22"/>
          <w:szCs w:val="22"/>
          <w:lang w:val="fr-FR"/>
        </w:rPr>
        <w:t xml:space="preserve">NARIO 1 – </w:t>
      </w:r>
      <w:r w:rsidRPr="00062FAE">
        <w:rPr>
          <w:rFonts w:cs="Arial"/>
          <w:b/>
          <w:bCs/>
          <w:iCs/>
          <w:color w:val="000000"/>
          <w:sz w:val="22"/>
          <w:szCs w:val="22"/>
          <w:lang w:val="fr-FR"/>
        </w:rPr>
        <w:t>CROISSANCE NOMINALE ZÉRO</w:t>
      </w:r>
    </w:p>
    <w:p w:rsidR="00245E18" w:rsidRPr="00C95DDC" w:rsidRDefault="00245E18" w:rsidP="00245E18">
      <w:pPr>
        <w:autoSpaceDE/>
        <w:autoSpaceDN/>
        <w:adjustRightInd/>
        <w:spacing w:after="120"/>
        <w:jc w:val="center"/>
        <w:outlineLvl w:val="1"/>
        <w:rPr>
          <w:rFonts w:cs="Arial"/>
          <w:iCs/>
          <w:color w:val="000000"/>
          <w:szCs w:val="18"/>
          <w:lang w:val="fr-FR"/>
        </w:rPr>
      </w:pPr>
      <w:r w:rsidRPr="00C95DDC">
        <w:rPr>
          <w:rFonts w:cs="Arial"/>
          <w:iCs/>
          <w:color w:val="000000"/>
          <w:szCs w:val="18"/>
          <w:lang w:val="fr-FR"/>
        </w:rPr>
        <w:t>(</w:t>
      </w:r>
      <w:r w:rsidR="00C95DDC" w:rsidRPr="00C95DDC">
        <w:rPr>
          <w:rFonts w:cs="Arial"/>
          <w:iCs/>
          <w:color w:val="000000"/>
          <w:szCs w:val="18"/>
          <w:lang w:val="fr-FR"/>
        </w:rPr>
        <w:t>tous les chiffres sont en euros</w:t>
      </w:r>
      <w:r w:rsidRPr="00C95DDC">
        <w:rPr>
          <w:rFonts w:cs="Arial"/>
          <w:iCs/>
          <w:color w:val="000000"/>
          <w:szCs w:val="18"/>
          <w:lang w:val="fr-FR"/>
        </w:rPr>
        <w:t>)</w:t>
      </w:r>
    </w:p>
    <w:tbl>
      <w:tblPr>
        <w:tblW w:w="9316" w:type="dxa"/>
        <w:jc w:val="center"/>
        <w:tblLook w:val="04A0" w:firstRow="1" w:lastRow="0" w:firstColumn="1" w:lastColumn="0" w:noHBand="0" w:noVBand="1"/>
      </w:tblPr>
      <w:tblGrid>
        <w:gridCol w:w="5779"/>
        <w:gridCol w:w="1017"/>
        <w:gridCol w:w="1017"/>
        <w:gridCol w:w="1017"/>
        <w:gridCol w:w="1017"/>
      </w:tblGrid>
      <w:tr w:rsidR="00B50396" w:rsidRPr="00E0707E" w:rsidTr="00245E18">
        <w:trPr>
          <w:trHeight w:val="513"/>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D3599E" w:rsidRDefault="00245E18" w:rsidP="00C95DDC">
            <w:pPr>
              <w:widowControl/>
              <w:autoSpaceDE/>
              <w:autoSpaceDN/>
              <w:adjustRightInd/>
              <w:rPr>
                <w:rFonts w:cs="Arial"/>
                <w:b/>
                <w:bCs/>
                <w:i/>
                <w:iCs/>
                <w:color w:val="000000"/>
                <w:szCs w:val="18"/>
                <w:lang w:val="fr-FR"/>
              </w:rPr>
            </w:pPr>
            <w:r w:rsidRPr="00D3599E">
              <w:rPr>
                <w:rFonts w:cs="Arial"/>
                <w:b/>
                <w:bCs/>
                <w:i/>
                <w:iCs/>
                <w:szCs w:val="18"/>
                <w:lang w:val="fr-FR"/>
              </w:rPr>
              <w:t>Objet</w:t>
            </w:r>
            <w:r w:rsidR="00C95DDC" w:rsidRPr="00D3599E">
              <w:rPr>
                <w:rFonts w:cs="Arial"/>
                <w:b/>
                <w:bCs/>
                <w:i/>
                <w:iCs/>
                <w:szCs w:val="18"/>
                <w:lang w:val="fr-FR"/>
              </w:rPr>
              <w:t xml:space="preserve"> de dépense</w:t>
            </w:r>
            <w:r w:rsidRPr="00D3599E">
              <w:rPr>
                <w:rFonts w:cs="Arial"/>
                <w:b/>
                <w:bCs/>
                <w:i/>
                <w:iCs/>
                <w:szCs w:val="18"/>
                <w:lang w:val="fr-FR"/>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2018</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2019</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2020</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Total</w:t>
            </w:r>
          </w:p>
        </w:tc>
      </w:tr>
      <w:tr w:rsidR="00B50396" w:rsidRPr="00E0707E" w:rsidTr="00245E18">
        <w:trPr>
          <w:trHeight w:val="328"/>
          <w:jc w:val="center"/>
        </w:trPr>
        <w:tc>
          <w:tcPr>
            <w:tcW w:w="0" w:type="auto"/>
            <w:tcBorders>
              <w:top w:val="single" w:sz="12" w:space="0" w:color="auto"/>
              <w:left w:val="nil"/>
              <w:bottom w:val="nil"/>
              <w:right w:val="nil"/>
            </w:tcBorders>
            <w:shd w:val="clear" w:color="auto" w:fill="auto"/>
            <w:noWrap/>
            <w:hideMark/>
          </w:tcPr>
          <w:p w:rsidR="00245E18" w:rsidRPr="00D3599E" w:rsidRDefault="00C95DDC" w:rsidP="00C95DDC">
            <w:pPr>
              <w:widowControl/>
              <w:autoSpaceDE/>
              <w:autoSpaceDN/>
              <w:adjustRightInd/>
              <w:rPr>
                <w:rFonts w:cs="Arial"/>
                <w:b/>
                <w:bCs/>
                <w:color w:val="000000"/>
                <w:szCs w:val="18"/>
                <w:lang w:val="fr-FR"/>
              </w:rPr>
            </w:pPr>
            <w:r w:rsidRPr="00D3599E">
              <w:rPr>
                <w:rFonts w:cs="Arial"/>
                <w:b/>
                <w:bCs/>
                <w:color w:val="000000"/>
                <w:szCs w:val="18"/>
                <w:lang w:val="fr-FR"/>
              </w:rPr>
              <w:t>Coûts de personnel</w:t>
            </w: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5857BF" w:rsidP="005857BF">
            <w:pPr>
              <w:widowControl/>
              <w:autoSpaceDE/>
              <w:autoSpaceDN/>
              <w:adjustRightInd/>
              <w:rPr>
                <w:rFonts w:cs="Arial"/>
                <w:color w:val="000000"/>
                <w:szCs w:val="18"/>
                <w:lang w:val="fr-FR"/>
              </w:rPr>
            </w:pPr>
            <w:r w:rsidRPr="00D3599E">
              <w:rPr>
                <w:rFonts w:cs="Arial"/>
                <w:color w:val="000000"/>
                <w:szCs w:val="18"/>
                <w:lang w:val="fr-FR"/>
              </w:rPr>
              <w:t>Personnel professionnel</w:t>
            </w:r>
            <w:r w:rsidR="00245E18" w:rsidRPr="00D3599E">
              <w:rPr>
                <w:rFonts w:cs="Arial"/>
                <w:color w:val="000000"/>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359</w:t>
            </w:r>
            <w:r>
              <w:rPr>
                <w:rFonts w:cs="Arial"/>
                <w:color w:val="000000"/>
                <w:szCs w:val="18"/>
              </w:rPr>
              <w:t xml:space="preserve"> </w:t>
            </w:r>
            <w:r w:rsidRPr="00E0707E">
              <w:rPr>
                <w:rFonts w:cs="Arial"/>
                <w:color w:val="000000"/>
                <w:szCs w:val="18"/>
              </w:rPr>
              <w:t>336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386</w:t>
            </w:r>
            <w:r>
              <w:rPr>
                <w:rFonts w:cs="Arial"/>
                <w:color w:val="000000"/>
                <w:szCs w:val="18"/>
              </w:rPr>
              <w:t xml:space="preserve"> </w:t>
            </w:r>
            <w:r w:rsidRPr="00E0707E">
              <w:rPr>
                <w:rFonts w:cs="Arial"/>
                <w:color w:val="000000"/>
                <w:szCs w:val="18"/>
              </w:rPr>
              <w:t>523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414</w:t>
            </w:r>
            <w:r>
              <w:rPr>
                <w:rFonts w:cs="Arial"/>
                <w:color w:val="000000"/>
                <w:szCs w:val="18"/>
              </w:rPr>
              <w:t xml:space="preserve"> </w:t>
            </w:r>
            <w:r w:rsidRPr="00E0707E">
              <w:rPr>
                <w:rFonts w:cs="Arial"/>
                <w:color w:val="000000"/>
                <w:szCs w:val="18"/>
              </w:rPr>
              <w:t>253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w:t>
            </w:r>
            <w:r>
              <w:rPr>
                <w:rFonts w:cs="Arial"/>
                <w:color w:val="000000"/>
                <w:szCs w:val="18"/>
              </w:rPr>
              <w:t xml:space="preserve"> </w:t>
            </w:r>
            <w:r w:rsidRPr="00E0707E">
              <w:rPr>
                <w:rFonts w:cs="Arial"/>
                <w:color w:val="000000"/>
                <w:szCs w:val="18"/>
              </w:rPr>
              <w:t>160</w:t>
            </w:r>
            <w:r>
              <w:rPr>
                <w:rFonts w:cs="Arial"/>
                <w:color w:val="000000"/>
                <w:szCs w:val="18"/>
              </w:rPr>
              <w:t xml:space="preserve"> </w:t>
            </w:r>
            <w:r w:rsidRPr="00E0707E">
              <w:rPr>
                <w:rFonts w:cs="Arial"/>
                <w:color w:val="000000"/>
                <w:szCs w:val="18"/>
              </w:rPr>
              <w:t>113</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C95DDC" w:rsidP="00941129">
            <w:pPr>
              <w:widowControl/>
              <w:autoSpaceDE/>
              <w:autoSpaceDN/>
              <w:adjustRightInd/>
              <w:rPr>
                <w:rFonts w:cs="Arial"/>
                <w:color w:val="000000"/>
                <w:szCs w:val="18"/>
                <w:lang w:val="fr-FR"/>
              </w:rPr>
            </w:pPr>
            <w:r w:rsidRPr="00D3599E">
              <w:rPr>
                <w:rFonts w:cs="Arial"/>
                <w:color w:val="000000"/>
                <w:szCs w:val="18"/>
                <w:lang w:val="fr-FR"/>
              </w:rPr>
              <w:t>Personnel de</w:t>
            </w:r>
            <w:r w:rsidR="00941129" w:rsidRPr="00D3599E">
              <w:rPr>
                <w:rFonts w:cs="Arial"/>
                <w:color w:val="000000"/>
                <w:szCs w:val="18"/>
                <w:lang w:val="fr-FR"/>
              </w:rPr>
              <w:t>s services généraux</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472</w:t>
            </w:r>
            <w:r>
              <w:rPr>
                <w:rFonts w:cs="Arial"/>
                <w:color w:val="000000"/>
                <w:szCs w:val="18"/>
              </w:rPr>
              <w:t xml:space="preserve"> </w:t>
            </w:r>
            <w:r w:rsidRPr="00E0707E">
              <w:rPr>
                <w:rFonts w:cs="Arial"/>
                <w:color w:val="000000"/>
                <w:szCs w:val="18"/>
              </w:rPr>
              <w:t>732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482</w:t>
            </w:r>
            <w:r>
              <w:rPr>
                <w:rFonts w:cs="Arial"/>
                <w:color w:val="000000"/>
                <w:szCs w:val="18"/>
              </w:rPr>
              <w:t xml:space="preserve"> </w:t>
            </w:r>
            <w:r w:rsidRPr="00E0707E">
              <w:rPr>
                <w:rFonts w:cs="Arial"/>
                <w:color w:val="000000"/>
                <w:szCs w:val="18"/>
              </w:rPr>
              <w:t>186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491</w:t>
            </w:r>
            <w:r>
              <w:rPr>
                <w:rFonts w:cs="Arial"/>
                <w:color w:val="000000"/>
                <w:szCs w:val="18"/>
              </w:rPr>
              <w:t xml:space="preserve"> </w:t>
            </w:r>
            <w:r w:rsidRPr="00E0707E">
              <w:rPr>
                <w:rFonts w:cs="Arial"/>
                <w:color w:val="000000"/>
                <w:szCs w:val="18"/>
              </w:rPr>
              <w:t>830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446</w:t>
            </w:r>
            <w:r>
              <w:rPr>
                <w:rFonts w:cs="Arial"/>
                <w:color w:val="000000"/>
                <w:szCs w:val="18"/>
              </w:rPr>
              <w:t xml:space="preserve"> </w:t>
            </w:r>
            <w:r w:rsidRPr="00E0707E">
              <w:rPr>
                <w:rFonts w:cs="Arial"/>
                <w:color w:val="000000"/>
                <w:szCs w:val="18"/>
              </w:rPr>
              <w:t>747</w:t>
            </w:r>
          </w:p>
        </w:tc>
      </w:tr>
      <w:tr w:rsidR="00B50396"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5857BF">
            <w:pPr>
              <w:widowControl/>
              <w:autoSpaceDE/>
              <w:autoSpaceDN/>
              <w:adjustRightInd/>
              <w:rPr>
                <w:rFonts w:cs="Arial"/>
                <w:b/>
                <w:bCs/>
                <w:color w:val="000000"/>
                <w:szCs w:val="18"/>
                <w:lang w:val="fr-FR"/>
              </w:rPr>
            </w:pPr>
            <w:r w:rsidRPr="00D3599E">
              <w:rPr>
                <w:rFonts w:cs="Arial"/>
                <w:b/>
                <w:bCs/>
                <w:color w:val="000000"/>
                <w:szCs w:val="18"/>
                <w:lang w:val="fr-FR"/>
              </w:rPr>
              <w:t>S</w:t>
            </w:r>
            <w:r w:rsidR="005857BF" w:rsidRPr="00D3599E">
              <w:rPr>
                <w:rFonts w:cs="Arial"/>
                <w:b/>
                <w:bCs/>
                <w:color w:val="000000"/>
                <w:szCs w:val="18"/>
                <w:lang w:val="fr-FR"/>
              </w:rPr>
              <w:t>o</w:t>
            </w:r>
            <w:r w:rsidRPr="00D3599E">
              <w:rPr>
                <w:rFonts w:cs="Arial"/>
                <w:b/>
                <w:bCs/>
                <w:color w:val="000000"/>
                <w:szCs w:val="18"/>
                <w:lang w:val="fr-FR"/>
              </w:rPr>
              <w:t>u</w:t>
            </w:r>
            <w:r w:rsidR="005857BF" w:rsidRPr="00D3599E">
              <w:rPr>
                <w:rFonts w:cs="Arial"/>
                <w:b/>
                <w:bCs/>
                <w:color w:val="000000"/>
                <w:szCs w:val="18"/>
                <w:lang w:val="fr-FR"/>
              </w:rPr>
              <w:t>s-</w:t>
            </w:r>
            <w:r w:rsidRPr="00D3599E">
              <w:rPr>
                <w:rFonts w:cs="Arial"/>
                <w:b/>
                <w:bCs/>
                <w:color w:val="000000"/>
                <w:szCs w:val="18"/>
                <w:lang w:val="fr-FR"/>
              </w:rPr>
              <w:t>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832</w:t>
            </w:r>
            <w:r>
              <w:rPr>
                <w:rFonts w:cs="Arial"/>
                <w:b/>
                <w:bCs/>
                <w:color w:val="000000"/>
                <w:szCs w:val="18"/>
              </w:rPr>
              <w:t xml:space="preserve"> </w:t>
            </w:r>
            <w:r w:rsidRPr="00E0707E">
              <w:rPr>
                <w:rFonts w:cs="Arial"/>
                <w:b/>
                <w:bCs/>
                <w:color w:val="000000"/>
                <w:szCs w:val="18"/>
              </w:rPr>
              <w:t>068</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868</w:t>
            </w:r>
            <w:r>
              <w:rPr>
                <w:rFonts w:cs="Arial"/>
                <w:b/>
                <w:bCs/>
                <w:color w:val="000000"/>
                <w:szCs w:val="18"/>
              </w:rPr>
              <w:t xml:space="preserve"> </w:t>
            </w:r>
            <w:r w:rsidRPr="00E0707E">
              <w:rPr>
                <w:rFonts w:cs="Arial"/>
                <w:b/>
                <w:bCs/>
                <w:color w:val="000000"/>
                <w:szCs w:val="18"/>
              </w:rPr>
              <w:t>709</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906</w:t>
            </w:r>
            <w:r>
              <w:rPr>
                <w:rFonts w:cs="Arial"/>
                <w:b/>
                <w:bCs/>
                <w:color w:val="000000"/>
                <w:szCs w:val="18"/>
              </w:rPr>
              <w:t xml:space="preserve"> </w:t>
            </w:r>
            <w:r w:rsidRPr="00E0707E">
              <w:rPr>
                <w:rFonts w:cs="Arial"/>
                <w:b/>
                <w:bCs/>
                <w:color w:val="000000"/>
                <w:szCs w:val="18"/>
              </w:rPr>
              <w:t>083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5</w:t>
            </w:r>
            <w:r>
              <w:rPr>
                <w:rFonts w:cs="Arial"/>
                <w:b/>
                <w:bCs/>
                <w:color w:val="000000"/>
                <w:szCs w:val="18"/>
              </w:rPr>
              <w:t xml:space="preserve"> </w:t>
            </w:r>
            <w:r w:rsidRPr="00E0707E">
              <w:rPr>
                <w:rFonts w:cs="Arial"/>
                <w:b/>
                <w:bCs/>
                <w:color w:val="000000"/>
                <w:szCs w:val="18"/>
              </w:rPr>
              <w:t>606</w:t>
            </w:r>
            <w:r>
              <w:rPr>
                <w:rFonts w:cs="Arial"/>
                <w:b/>
                <w:bCs/>
                <w:color w:val="000000"/>
                <w:szCs w:val="18"/>
              </w:rPr>
              <w:t xml:space="preserve"> </w:t>
            </w:r>
            <w:r w:rsidRPr="00E0707E">
              <w:rPr>
                <w:rFonts w:cs="Arial"/>
                <w:b/>
                <w:bCs/>
                <w:color w:val="000000"/>
                <w:szCs w:val="18"/>
              </w:rPr>
              <w:t>860</w:t>
            </w:r>
            <w:r>
              <w:rPr>
                <w:rFonts w:cs="Arial"/>
                <w:b/>
                <w:bCs/>
                <w:color w:val="000000"/>
                <w:szCs w:val="18"/>
              </w:rPr>
              <w:t xml:space="preserve"> </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5857BF" w:rsidP="005857BF">
            <w:pPr>
              <w:widowControl/>
              <w:autoSpaceDE/>
              <w:autoSpaceDN/>
              <w:adjustRightInd/>
              <w:rPr>
                <w:rFonts w:cs="Arial"/>
                <w:b/>
                <w:bCs/>
                <w:color w:val="000000"/>
                <w:szCs w:val="18"/>
                <w:lang w:val="fr-FR"/>
              </w:rPr>
            </w:pPr>
            <w:r w:rsidRPr="00D3599E">
              <w:rPr>
                <w:rFonts w:cs="Arial"/>
                <w:b/>
                <w:bCs/>
                <w:color w:val="000000"/>
                <w:szCs w:val="18"/>
                <w:lang w:val="fr-FR"/>
              </w:rPr>
              <w:t>Services contractuels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5857BF" w:rsidP="005857BF">
            <w:pPr>
              <w:widowControl/>
              <w:autoSpaceDE/>
              <w:autoSpaceDN/>
              <w:adjustRightInd/>
              <w:rPr>
                <w:rFonts w:cs="Arial"/>
                <w:color w:val="000000"/>
                <w:szCs w:val="18"/>
                <w:lang w:val="fr-FR"/>
              </w:rPr>
            </w:pPr>
            <w:r w:rsidRPr="00D3599E">
              <w:rPr>
                <w:rFonts w:cs="Arial"/>
                <w:color w:val="000000"/>
                <w:szCs w:val="18"/>
                <w:lang w:val="fr-FR"/>
              </w:rPr>
              <w:t>Services contractuels</w:t>
            </w:r>
            <w:r w:rsidR="00245E18" w:rsidRPr="00D3599E">
              <w:rPr>
                <w:rFonts w:cs="Arial"/>
                <w:color w:val="000000"/>
                <w:szCs w:val="18"/>
                <w:lang w:val="fr-FR"/>
              </w:rPr>
              <w:t xml:space="preserve"> (</w:t>
            </w:r>
            <w:r w:rsidRPr="00D3599E">
              <w:rPr>
                <w:rFonts w:cs="Arial"/>
                <w:color w:val="000000"/>
                <w:szCs w:val="18"/>
                <w:lang w:val="fr-FR"/>
              </w:rPr>
              <w:t>traductions générales et édition de documents</w:t>
            </w:r>
            <w:r w:rsidR="00245E18" w:rsidRPr="00D3599E">
              <w:rPr>
                <w:rFonts w:cs="Arial"/>
                <w:color w:val="000000"/>
                <w:szCs w:val="18"/>
                <w:lang w:val="fr-FR"/>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90</w:t>
            </w:r>
            <w:r>
              <w:rPr>
                <w:rFonts w:cs="Arial"/>
                <w:color w:val="000000"/>
                <w:szCs w:val="18"/>
              </w:rPr>
              <w:t xml:space="preserve"> </w:t>
            </w:r>
            <w:r w:rsidRPr="00E0707E">
              <w:rPr>
                <w:rFonts w:cs="Arial"/>
                <w:color w:val="000000"/>
                <w:szCs w:val="18"/>
              </w:rPr>
              <w:t>168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91</w:t>
            </w:r>
            <w:r>
              <w:rPr>
                <w:rFonts w:cs="Arial"/>
                <w:color w:val="000000"/>
                <w:szCs w:val="18"/>
              </w:rPr>
              <w:t xml:space="preserve"> </w:t>
            </w:r>
            <w:r w:rsidRPr="00E0707E">
              <w:rPr>
                <w:rFonts w:cs="Arial"/>
                <w:color w:val="000000"/>
                <w:szCs w:val="18"/>
              </w:rPr>
              <w:t>971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93</w:t>
            </w:r>
            <w:r>
              <w:rPr>
                <w:rFonts w:cs="Arial"/>
                <w:color w:val="000000"/>
                <w:szCs w:val="18"/>
              </w:rPr>
              <w:t xml:space="preserve"> </w:t>
            </w:r>
            <w:r w:rsidRPr="00E0707E">
              <w:rPr>
                <w:rFonts w:cs="Arial"/>
                <w:color w:val="000000"/>
                <w:szCs w:val="18"/>
              </w:rPr>
              <w:t>811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275</w:t>
            </w:r>
            <w:r>
              <w:rPr>
                <w:rFonts w:cs="Arial"/>
                <w:color w:val="000000"/>
                <w:szCs w:val="18"/>
              </w:rPr>
              <w:t xml:space="preserve"> </w:t>
            </w:r>
            <w:r w:rsidRPr="00E0707E">
              <w:rPr>
                <w:rFonts w:cs="Arial"/>
                <w:color w:val="000000"/>
                <w:szCs w:val="18"/>
              </w:rPr>
              <w:t>950</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245E18" w:rsidP="005857BF">
            <w:pPr>
              <w:widowControl/>
              <w:autoSpaceDE/>
              <w:autoSpaceDN/>
              <w:adjustRightInd/>
              <w:rPr>
                <w:rFonts w:cs="Arial"/>
                <w:color w:val="000000"/>
                <w:szCs w:val="18"/>
                <w:lang w:val="fr-FR"/>
              </w:rPr>
            </w:pPr>
            <w:r w:rsidRPr="00D3599E">
              <w:rPr>
                <w:rFonts w:cs="Arial"/>
                <w:color w:val="000000"/>
                <w:szCs w:val="18"/>
                <w:lang w:val="fr-FR"/>
              </w:rPr>
              <w:t>Servic</w:t>
            </w:r>
            <w:r w:rsidR="005857BF" w:rsidRPr="00D3599E">
              <w:rPr>
                <w:rFonts w:cs="Arial"/>
                <w:color w:val="000000"/>
                <w:szCs w:val="18"/>
                <w:lang w:val="fr-FR"/>
              </w:rPr>
              <w:t>es de la</w:t>
            </w:r>
            <w:r w:rsidRPr="00D3599E">
              <w:rPr>
                <w:rFonts w:cs="Arial"/>
                <w:color w:val="000000"/>
                <w:szCs w:val="18"/>
                <w:lang w:val="fr-FR"/>
              </w:rPr>
              <w:t xml:space="preserve"> COP13 (interpr</w:t>
            </w:r>
            <w:r w:rsidR="005857BF" w:rsidRPr="00D3599E">
              <w:rPr>
                <w:rFonts w:cs="Arial"/>
                <w:color w:val="000000"/>
                <w:szCs w:val="18"/>
                <w:lang w:val="fr-FR"/>
              </w:rPr>
              <w:t>é</w:t>
            </w:r>
            <w:r w:rsidRPr="00D3599E">
              <w:rPr>
                <w:rFonts w:cs="Arial"/>
                <w:color w:val="000000"/>
                <w:szCs w:val="18"/>
                <w:lang w:val="fr-FR"/>
              </w:rPr>
              <w:t xml:space="preserve">tation, </w:t>
            </w:r>
            <w:r w:rsidR="005857BF" w:rsidRPr="00D3599E">
              <w:rPr>
                <w:rFonts w:cs="Arial"/>
                <w:color w:val="000000"/>
                <w:szCs w:val="18"/>
                <w:lang w:val="fr-FR"/>
              </w:rPr>
              <w:t>rédaction de rapports,</w:t>
            </w:r>
            <w:r w:rsidRPr="00D3599E">
              <w:rPr>
                <w:rFonts w:cs="Arial"/>
                <w:color w:val="000000"/>
                <w:szCs w:val="18"/>
                <w:lang w:val="fr-FR"/>
              </w:rPr>
              <w:t xml:space="preserve"> 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5857BF" w:rsidP="005857BF">
            <w:pPr>
              <w:widowControl/>
              <w:autoSpaceDE/>
              <w:autoSpaceDN/>
              <w:adjustRightInd/>
              <w:rPr>
                <w:rFonts w:cs="Arial"/>
                <w:color w:val="000000"/>
                <w:szCs w:val="18"/>
                <w:lang w:val="fr-FR"/>
              </w:rPr>
            </w:pPr>
            <w:r w:rsidRPr="00D3599E">
              <w:rPr>
                <w:rFonts w:cs="Arial"/>
                <w:color w:val="000000"/>
                <w:szCs w:val="18"/>
                <w:lang w:val="fr-FR"/>
              </w:rPr>
              <w:t>Production de materiel d’i</w:t>
            </w:r>
            <w:r w:rsidR="00245E18" w:rsidRPr="00D3599E">
              <w:rPr>
                <w:rFonts w:cs="Arial"/>
                <w:color w:val="000000"/>
                <w:szCs w:val="18"/>
                <w:lang w:val="fr-FR"/>
              </w:rPr>
              <w:t>nformation</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12</w:t>
            </w:r>
            <w:r>
              <w:rPr>
                <w:rFonts w:cs="Arial"/>
                <w:color w:val="000000"/>
                <w:szCs w:val="18"/>
              </w:rPr>
              <w:t xml:space="preserve"> </w:t>
            </w:r>
            <w:r w:rsidRPr="00E0707E">
              <w:rPr>
                <w:rFonts w:cs="Arial"/>
                <w:color w:val="000000"/>
                <w:szCs w:val="18"/>
              </w:rPr>
              <w:t>750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13</w:t>
            </w:r>
            <w:r>
              <w:rPr>
                <w:rFonts w:cs="Arial"/>
                <w:color w:val="000000"/>
                <w:szCs w:val="18"/>
              </w:rPr>
              <w:t xml:space="preserve"> </w:t>
            </w:r>
            <w:r w:rsidRPr="00E0707E">
              <w:rPr>
                <w:rFonts w:cs="Arial"/>
                <w:color w:val="000000"/>
                <w:szCs w:val="18"/>
              </w:rPr>
              <w:t>005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13</w:t>
            </w:r>
            <w:r>
              <w:rPr>
                <w:rFonts w:cs="Arial"/>
                <w:color w:val="000000"/>
                <w:szCs w:val="18"/>
              </w:rPr>
              <w:t xml:space="preserve"> </w:t>
            </w:r>
            <w:r w:rsidRPr="00E0707E">
              <w:rPr>
                <w:rFonts w:cs="Arial"/>
                <w:color w:val="000000"/>
                <w:szCs w:val="18"/>
              </w:rPr>
              <w:t>265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39</w:t>
            </w:r>
            <w:r>
              <w:rPr>
                <w:rFonts w:cs="Arial"/>
                <w:color w:val="000000"/>
                <w:szCs w:val="18"/>
              </w:rPr>
              <w:t xml:space="preserve"> </w:t>
            </w:r>
            <w:r w:rsidRPr="00E0707E">
              <w:rPr>
                <w:rFonts w:cs="Arial"/>
                <w:color w:val="000000"/>
                <w:szCs w:val="18"/>
              </w:rPr>
              <w:t>020</w:t>
            </w:r>
          </w:p>
        </w:tc>
      </w:tr>
      <w:tr w:rsidR="00B50396"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5857BF">
            <w:pPr>
              <w:widowControl/>
              <w:autoSpaceDE/>
              <w:autoSpaceDN/>
              <w:adjustRightInd/>
              <w:rPr>
                <w:rFonts w:cs="Arial"/>
                <w:b/>
                <w:bCs/>
                <w:color w:val="000000"/>
                <w:szCs w:val="18"/>
                <w:lang w:val="fr-FR"/>
              </w:rPr>
            </w:pPr>
            <w:r w:rsidRPr="00D3599E">
              <w:rPr>
                <w:rFonts w:cs="Arial"/>
                <w:b/>
                <w:bCs/>
                <w:color w:val="000000"/>
                <w:szCs w:val="18"/>
                <w:lang w:val="fr-FR"/>
              </w:rPr>
              <w:t>S</w:t>
            </w:r>
            <w:r w:rsidR="005857BF" w:rsidRPr="00D3599E">
              <w:rPr>
                <w:rFonts w:cs="Arial"/>
                <w:b/>
                <w:bCs/>
                <w:color w:val="000000"/>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102</w:t>
            </w:r>
            <w:r>
              <w:rPr>
                <w:rFonts w:cs="Arial"/>
                <w:b/>
                <w:bCs/>
                <w:color w:val="000000"/>
                <w:szCs w:val="18"/>
              </w:rPr>
              <w:t xml:space="preserve"> </w:t>
            </w:r>
            <w:r w:rsidRPr="00E0707E">
              <w:rPr>
                <w:rFonts w:cs="Arial"/>
                <w:b/>
                <w:bCs/>
                <w:color w:val="000000"/>
                <w:szCs w:val="18"/>
              </w:rPr>
              <w:t>918</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104</w:t>
            </w:r>
            <w:r>
              <w:rPr>
                <w:rFonts w:cs="Arial"/>
                <w:b/>
                <w:bCs/>
                <w:color w:val="000000"/>
                <w:szCs w:val="18"/>
              </w:rPr>
              <w:t xml:space="preserve"> </w:t>
            </w:r>
            <w:r w:rsidRPr="00E0707E">
              <w:rPr>
                <w:rFonts w:cs="Arial"/>
                <w:b/>
                <w:bCs/>
                <w:color w:val="000000"/>
                <w:szCs w:val="18"/>
              </w:rPr>
              <w:t>976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107</w:t>
            </w:r>
            <w:r>
              <w:rPr>
                <w:rFonts w:cs="Arial"/>
                <w:b/>
                <w:bCs/>
                <w:color w:val="000000"/>
                <w:szCs w:val="18"/>
              </w:rPr>
              <w:t xml:space="preserve"> </w:t>
            </w:r>
            <w:r w:rsidRPr="00E0707E">
              <w:rPr>
                <w:rFonts w:cs="Arial"/>
                <w:b/>
                <w:bCs/>
                <w:color w:val="000000"/>
                <w:szCs w:val="18"/>
              </w:rPr>
              <w:t>076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314</w:t>
            </w:r>
            <w:r>
              <w:rPr>
                <w:rFonts w:cs="Arial"/>
                <w:b/>
                <w:bCs/>
                <w:color w:val="000000"/>
                <w:szCs w:val="18"/>
              </w:rPr>
              <w:t xml:space="preserve"> </w:t>
            </w:r>
            <w:r w:rsidRPr="00E0707E">
              <w:rPr>
                <w:rFonts w:cs="Arial"/>
                <w:b/>
                <w:bCs/>
                <w:color w:val="000000"/>
                <w:szCs w:val="18"/>
              </w:rPr>
              <w:t>970</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B50396" w:rsidP="00B50396">
            <w:pPr>
              <w:widowControl/>
              <w:autoSpaceDE/>
              <w:autoSpaceDN/>
              <w:adjustRightInd/>
              <w:rPr>
                <w:rFonts w:cs="Arial"/>
                <w:b/>
                <w:bCs/>
                <w:color w:val="000000"/>
                <w:szCs w:val="18"/>
                <w:lang w:val="fr-FR"/>
              </w:rPr>
            </w:pPr>
            <w:r w:rsidRPr="00D3599E">
              <w:rPr>
                <w:rFonts w:cs="Arial"/>
                <w:b/>
                <w:bCs/>
                <w:color w:val="000000"/>
                <w:szCs w:val="18"/>
                <w:lang w:val="fr-FR"/>
              </w:rPr>
              <w:t>Coûts de fonctionnement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B50396" w:rsidP="00B50396">
            <w:pPr>
              <w:widowControl/>
              <w:autoSpaceDE/>
              <w:autoSpaceDN/>
              <w:adjustRightInd/>
              <w:rPr>
                <w:rFonts w:cs="Arial"/>
                <w:color w:val="000000"/>
                <w:szCs w:val="18"/>
                <w:lang w:val="fr-FR"/>
              </w:rPr>
            </w:pPr>
            <w:r w:rsidRPr="00D3599E">
              <w:rPr>
                <w:rFonts w:cs="Arial"/>
                <w:color w:val="000000"/>
                <w:szCs w:val="18"/>
                <w:lang w:val="fr-FR"/>
              </w:rPr>
              <w:t>Outils TIC . Développement et maintenance du site web</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630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763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898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20</w:t>
            </w:r>
            <w:r>
              <w:rPr>
                <w:rFonts w:cs="Arial"/>
                <w:color w:val="000000"/>
                <w:szCs w:val="18"/>
              </w:rPr>
              <w:t xml:space="preserve"> </w:t>
            </w:r>
            <w:r w:rsidRPr="00E0707E">
              <w:rPr>
                <w:rFonts w:cs="Arial"/>
                <w:color w:val="000000"/>
                <w:szCs w:val="18"/>
              </w:rPr>
              <w:t>290</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D318B" w:rsidP="009D318B">
            <w:pPr>
              <w:widowControl/>
              <w:autoSpaceDE/>
              <w:autoSpaceDN/>
              <w:adjustRightInd/>
              <w:rPr>
                <w:rFonts w:cs="Arial"/>
                <w:color w:val="000000"/>
                <w:szCs w:val="18"/>
                <w:lang w:val="fr-FR"/>
              </w:rPr>
            </w:pPr>
            <w:r w:rsidRPr="00D3599E">
              <w:rPr>
                <w:rFonts w:cs="Arial"/>
                <w:color w:val="000000"/>
                <w:szCs w:val="18"/>
                <w:lang w:val="fr-FR"/>
              </w:rPr>
              <w:t>É</w:t>
            </w:r>
            <w:r w:rsidR="005F51EE" w:rsidRPr="00D3599E">
              <w:rPr>
                <w:rFonts w:cs="Arial"/>
                <w:color w:val="000000"/>
                <w:szCs w:val="18"/>
                <w:lang w:val="fr-FR"/>
              </w:rPr>
              <w:t>volution du personnel</w:t>
            </w:r>
            <w:r w:rsidR="00245E18" w:rsidRPr="00D3599E">
              <w:rPr>
                <w:rFonts w:cs="Arial"/>
                <w:color w:val="000000"/>
                <w:szCs w:val="18"/>
                <w:lang w:val="fr-FR"/>
              </w:rPr>
              <w:t xml:space="preserve"> (</w:t>
            </w:r>
            <w:r w:rsidR="005F51EE" w:rsidRPr="00D3599E">
              <w:rPr>
                <w:rFonts w:cs="Arial"/>
                <w:color w:val="000000"/>
                <w:szCs w:val="18"/>
                <w:lang w:val="fr-FR"/>
              </w:rPr>
              <w:t>formation, retraites</w:t>
            </w:r>
            <w:r w:rsidR="00245E18" w:rsidRPr="00D3599E">
              <w:rPr>
                <w:rFonts w:cs="Arial"/>
                <w:color w:val="000000"/>
                <w:szCs w:val="18"/>
                <w:lang w:val="fr-FR"/>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200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404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612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31</w:t>
            </w:r>
            <w:r>
              <w:rPr>
                <w:rFonts w:cs="Arial"/>
                <w:color w:val="000000"/>
                <w:szCs w:val="18"/>
              </w:rPr>
              <w:t xml:space="preserve"> </w:t>
            </w:r>
            <w:r w:rsidRPr="00E0707E">
              <w:rPr>
                <w:rFonts w:cs="Arial"/>
                <w:color w:val="000000"/>
                <w:szCs w:val="18"/>
              </w:rPr>
              <w:t>216</w:t>
            </w: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9D318B" w:rsidP="009D318B">
            <w:pPr>
              <w:widowControl/>
              <w:autoSpaceDE/>
              <w:autoSpaceDN/>
              <w:adjustRightInd/>
              <w:rPr>
                <w:rFonts w:cs="Arial"/>
                <w:color w:val="000000"/>
                <w:szCs w:val="18"/>
                <w:lang w:val="fr-FR"/>
              </w:rPr>
            </w:pPr>
            <w:r w:rsidRPr="00D3599E">
              <w:rPr>
                <w:rFonts w:cs="Arial"/>
                <w:color w:val="000000"/>
                <w:szCs w:val="18"/>
                <w:lang w:val="fr-FR"/>
              </w:rPr>
              <w:t>Services informatiques</w:t>
            </w:r>
            <w:r w:rsidR="00245E18" w:rsidRPr="00D3599E">
              <w:rPr>
                <w:rFonts w:cs="Arial"/>
                <w:color w:val="000000"/>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71</w:t>
            </w:r>
            <w:r>
              <w:rPr>
                <w:rFonts w:cs="Arial"/>
                <w:color w:val="000000"/>
                <w:szCs w:val="18"/>
              </w:rPr>
              <w:t xml:space="preserve"> </w:t>
            </w:r>
            <w:r w:rsidRPr="00E0707E">
              <w:rPr>
                <w:rFonts w:cs="Arial"/>
                <w:color w:val="000000"/>
                <w:szCs w:val="18"/>
              </w:rPr>
              <w:t>400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72</w:t>
            </w:r>
            <w:r>
              <w:rPr>
                <w:rFonts w:cs="Arial"/>
                <w:color w:val="000000"/>
                <w:szCs w:val="18"/>
              </w:rPr>
              <w:t xml:space="preserve"> </w:t>
            </w:r>
            <w:r w:rsidRPr="00E0707E">
              <w:rPr>
                <w:rFonts w:cs="Arial"/>
                <w:color w:val="000000"/>
                <w:szCs w:val="18"/>
              </w:rPr>
              <w:t>828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74</w:t>
            </w:r>
            <w:r>
              <w:rPr>
                <w:rFonts w:cs="Arial"/>
                <w:color w:val="000000"/>
                <w:szCs w:val="18"/>
              </w:rPr>
              <w:t xml:space="preserve"> </w:t>
            </w:r>
            <w:r w:rsidRPr="00E0707E">
              <w:rPr>
                <w:rFonts w:cs="Arial"/>
                <w:color w:val="000000"/>
                <w:szCs w:val="18"/>
              </w:rPr>
              <w:t>285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218</w:t>
            </w:r>
            <w:r>
              <w:rPr>
                <w:rFonts w:cs="Arial"/>
                <w:color w:val="000000"/>
                <w:szCs w:val="18"/>
              </w:rPr>
              <w:t xml:space="preserve"> </w:t>
            </w:r>
            <w:r w:rsidRPr="00E0707E">
              <w:rPr>
                <w:rFonts w:cs="Arial"/>
                <w:color w:val="000000"/>
                <w:szCs w:val="18"/>
              </w:rPr>
              <w:t>513</w:t>
            </w: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9D318B" w:rsidP="00FF06ED">
            <w:pPr>
              <w:widowControl/>
              <w:autoSpaceDE/>
              <w:autoSpaceDN/>
              <w:adjustRightInd/>
              <w:rPr>
                <w:rFonts w:cs="Arial"/>
                <w:color w:val="000000"/>
                <w:szCs w:val="18"/>
                <w:lang w:val="fr-FR"/>
              </w:rPr>
            </w:pPr>
            <w:r w:rsidRPr="00D3599E">
              <w:rPr>
                <w:rFonts w:cs="Arial"/>
                <w:color w:val="000000"/>
                <w:szCs w:val="18"/>
                <w:lang w:val="fr-FR"/>
              </w:rPr>
              <w:t>Services bureautiques</w:t>
            </w:r>
            <w:r w:rsidR="00245E18" w:rsidRPr="00D3599E">
              <w:rPr>
                <w:rFonts w:cs="Arial"/>
                <w:color w:val="000000"/>
                <w:szCs w:val="18"/>
                <w:lang w:val="fr-FR"/>
              </w:rPr>
              <w:t xml:space="preserve"> (</w:t>
            </w:r>
            <w:r w:rsidR="00941129" w:rsidRPr="00D3599E">
              <w:rPr>
                <w:rFonts w:cs="Arial"/>
                <w:color w:val="000000"/>
                <w:szCs w:val="18"/>
                <w:lang w:val="fr-FR"/>
              </w:rPr>
              <w:t>locations d’</w:t>
            </w:r>
            <w:r w:rsidR="00FF06ED" w:rsidRPr="00D3599E">
              <w:rPr>
                <w:rFonts w:cs="Arial"/>
                <w:color w:val="000000"/>
                <w:szCs w:val="18"/>
                <w:lang w:val="fr-FR"/>
              </w:rPr>
              <w:t xml:space="preserve">imprimantes, </w:t>
            </w:r>
            <w:r w:rsidR="00941129" w:rsidRPr="00D3599E">
              <w:rPr>
                <w:rFonts w:cs="Arial"/>
                <w:color w:val="000000"/>
                <w:szCs w:val="18"/>
                <w:lang w:val="fr-FR"/>
              </w:rPr>
              <w:t xml:space="preserve">hébergements, </w:t>
            </w:r>
            <w:r w:rsidR="00FF06ED" w:rsidRPr="00D3599E">
              <w:rPr>
                <w:rFonts w:cs="Arial"/>
                <w:color w:val="000000"/>
                <w:szCs w:val="18"/>
                <w:lang w:val="fr-FR"/>
              </w:rPr>
              <w:t>etc.</w:t>
            </w:r>
            <w:r w:rsidR="00245E18" w:rsidRPr="00D3599E">
              <w:rPr>
                <w:rFonts w:cs="Arial"/>
                <w:color w:val="000000"/>
                <w:szCs w:val="18"/>
                <w:lang w:val="fr-FR"/>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200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404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612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31</w:t>
            </w:r>
            <w:r>
              <w:rPr>
                <w:rFonts w:cs="Arial"/>
                <w:color w:val="000000"/>
                <w:szCs w:val="18"/>
              </w:rPr>
              <w:t xml:space="preserve"> </w:t>
            </w:r>
            <w:r w:rsidRPr="00E0707E">
              <w:rPr>
                <w:rFonts w:cs="Arial"/>
                <w:color w:val="000000"/>
                <w:szCs w:val="18"/>
              </w:rPr>
              <w:t>216</w:t>
            </w: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9D318B" w:rsidP="009D318B">
            <w:pPr>
              <w:widowControl/>
              <w:autoSpaceDE/>
              <w:autoSpaceDN/>
              <w:adjustRightInd/>
              <w:rPr>
                <w:rFonts w:cs="Arial"/>
                <w:color w:val="000000"/>
                <w:szCs w:val="18"/>
                <w:lang w:val="fr-FR"/>
              </w:rPr>
            </w:pPr>
            <w:r w:rsidRPr="00D3599E">
              <w:rPr>
                <w:rFonts w:cs="Arial"/>
                <w:color w:val="000000"/>
                <w:szCs w:val="18"/>
                <w:lang w:val="fr-FR"/>
              </w:rPr>
              <w:t>Services de c</w:t>
            </w:r>
            <w:r w:rsidR="00245E18" w:rsidRPr="00D3599E">
              <w:rPr>
                <w:rFonts w:cs="Arial"/>
                <w:color w:val="000000"/>
                <w:szCs w:val="18"/>
                <w:lang w:val="fr-FR"/>
              </w:rPr>
              <w:t xml:space="preserve">ommunication </w:t>
            </w:r>
            <w:r w:rsidRPr="00D3599E">
              <w:rPr>
                <w:rFonts w:cs="Arial"/>
                <w:color w:val="000000"/>
                <w:szCs w:val="18"/>
                <w:lang w:val="fr-FR"/>
              </w:rPr>
              <w:t>et courrier</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17</w:t>
            </w:r>
            <w:r>
              <w:rPr>
                <w:rFonts w:cs="Arial"/>
                <w:color w:val="000000"/>
                <w:szCs w:val="18"/>
              </w:rPr>
              <w:t xml:space="preserve"> </w:t>
            </w:r>
            <w:r w:rsidRPr="00E0707E">
              <w:rPr>
                <w:rFonts w:cs="Arial"/>
                <w:color w:val="000000"/>
                <w:szCs w:val="18"/>
              </w:rPr>
              <w:t>850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207</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571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54</w:t>
            </w:r>
            <w:r>
              <w:rPr>
                <w:rFonts w:cs="Arial"/>
                <w:color w:val="000000"/>
                <w:szCs w:val="18"/>
              </w:rPr>
              <w:t xml:space="preserve"> </w:t>
            </w:r>
            <w:r w:rsidRPr="00E0707E">
              <w:rPr>
                <w:rFonts w:cs="Arial"/>
                <w:color w:val="000000"/>
                <w:szCs w:val="18"/>
              </w:rPr>
              <w:t>628</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D318B" w:rsidP="009D318B">
            <w:pPr>
              <w:widowControl/>
              <w:autoSpaceDE/>
              <w:autoSpaceDN/>
              <w:adjustRightInd/>
              <w:rPr>
                <w:rFonts w:cs="Arial"/>
                <w:color w:val="000000"/>
                <w:szCs w:val="18"/>
                <w:lang w:val="fr-FR"/>
              </w:rPr>
            </w:pPr>
            <w:r w:rsidRPr="00D3599E">
              <w:rPr>
                <w:rFonts w:cs="Arial"/>
                <w:color w:val="000000"/>
                <w:szCs w:val="18"/>
                <w:lang w:val="fr-FR"/>
              </w:rPr>
              <w:t>Divers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813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889</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967</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11</w:t>
            </w:r>
            <w:r>
              <w:rPr>
                <w:rFonts w:cs="Arial"/>
                <w:color w:val="000000"/>
                <w:szCs w:val="18"/>
              </w:rPr>
              <w:t xml:space="preserve"> </w:t>
            </w:r>
            <w:r w:rsidRPr="00E0707E">
              <w:rPr>
                <w:rFonts w:cs="Arial"/>
                <w:color w:val="000000"/>
                <w:szCs w:val="18"/>
              </w:rPr>
              <w:t>669</w:t>
            </w:r>
          </w:p>
        </w:tc>
      </w:tr>
      <w:tr w:rsidR="00B50396"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5F51EE">
            <w:pPr>
              <w:widowControl/>
              <w:autoSpaceDE/>
              <w:autoSpaceDN/>
              <w:adjustRightInd/>
              <w:rPr>
                <w:rFonts w:cs="Arial"/>
                <w:b/>
                <w:bCs/>
                <w:color w:val="000000"/>
                <w:szCs w:val="18"/>
                <w:lang w:val="fr-FR"/>
              </w:rPr>
            </w:pPr>
            <w:r w:rsidRPr="00D3599E">
              <w:rPr>
                <w:rFonts w:cs="Arial"/>
                <w:b/>
                <w:bCs/>
                <w:color w:val="000000"/>
                <w:szCs w:val="18"/>
                <w:lang w:val="fr-FR"/>
              </w:rPr>
              <w:t>S</w:t>
            </w:r>
            <w:r w:rsidR="005F51EE" w:rsidRPr="00D3599E">
              <w:rPr>
                <w:rFonts w:cs="Arial"/>
                <w:b/>
                <w:bCs/>
                <w:color w:val="000000"/>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120</w:t>
            </w:r>
            <w:r>
              <w:rPr>
                <w:rFonts w:cs="Arial"/>
                <w:b/>
                <w:bCs/>
                <w:color w:val="000000"/>
                <w:szCs w:val="18"/>
              </w:rPr>
              <w:t xml:space="preserve"> </w:t>
            </w:r>
            <w:r w:rsidRPr="00E0707E">
              <w:rPr>
                <w:rFonts w:cs="Arial"/>
                <w:b/>
                <w:bCs/>
                <w:color w:val="000000"/>
                <w:szCs w:val="18"/>
              </w:rPr>
              <w:t>093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122</w:t>
            </w:r>
            <w:r>
              <w:rPr>
                <w:rFonts w:cs="Arial"/>
                <w:b/>
                <w:bCs/>
                <w:color w:val="000000"/>
                <w:szCs w:val="18"/>
              </w:rPr>
              <w:t xml:space="preserve"> </w:t>
            </w:r>
            <w:r w:rsidRPr="00E0707E">
              <w:rPr>
                <w:rFonts w:cs="Arial"/>
                <w:b/>
                <w:bCs/>
                <w:color w:val="000000"/>
                <w:szCs w:val="18"/>
              </w:rPr>
              <w:t>495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124</w:t>
            </w:r>
            <w:r>
              <w:rPr>
                <w:rFonts w:cs="Arial"/>
                <w:b/>
                <w:bCs/>
                <w:color w:val="000000"/>
                <w:szCs w:val="18"/>
              </w:rPr>
              <w:t xml:space="preserve"> </w:t>
            </w:r>
            <w:r w:rsidRPr="00E0707E">
              <w:rPr>
                <w:rFonts w:cs="Arial"/>
                <w:b/>
                <w:bCs/>
                <w:color w:val="000000"/>
                <w:szCs w:val="18"/>
              </w:rPr>
              <w:t>945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367</w:t>
            </w:r>
            <w:r>
              <w:rPr>
                <w:rFonts w:cs="Arial"/>
                <w:b/>
                <w:bCs/>
                <w:color w:val="000000"/>
                <w:szCs w:val="18"/>
              </w:rPr>
              <w:t xml:space="preserve"> </w:t>
            </w:r>
            <w:r w:rsidRPr="00E0707E">
              <w:rPr>
                <w:rFonts w:cs="Arial"/>
                <w:b/>
                <w:bCs/>
                <w:color w:val="000000"/>
                <w:szCs w:val="18"/>
              </w:rPr>
              <w:t>532</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5F51EE" w:rsidP="005F51EE">
            <w:pPr>
              <w:widowControl/>
              <w:autoSpaceDE/>
              <w:autoSpaceDN/>
              <w:adjustRightInd/>
              <w:rPr>
                <w:rFonts w:cs="Arial"/>
                <w:b/>
                <w:bCs/>
                <w:color w:val="000000"/>
                <w:szCs w:val="18"/>
                <w:lang w:val="fr-FR"/>
              </w:rPr>
            </w:pPr>
            <w:r w:rsidRPr="00D3599E">
              <w:rPr>
                <w:rFonts w:cs="Arial"/>
                <w:b/>
                <w:bCs/>
                <w:color w:val="000000"/>
                <w:szCs w:val="18"/>
                <w:lang w:val="fr-FR"/>
              </w:rPr>
              <w:t>Fournitures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5F51EE" w:rsidP="005F51EE">
            <w:pPr>
              <w:widowControl/>
              <w:autoSpaceDE/>
              <w:autoSpaceDN/>
              <w:adjustRightInd/>
              <w:rPr>
                <w:rFonts w:cs="Arial"/>
                <w:color w:val="000000"/>
                <w:szCs w:val="18"/>
                <w:lang w:val="fr-FR"/>
              </w:rPr>
            </w:pPr>
            <w:r w:rsidRPr="00D3599E">
              <w:rPr>
                <w:rFonts w:cs="Arial"/>
                <w:color w:val="000000"/>
                <w:szCs w:val="18"/>
                <w:lang w:val="fr-FR"/>
              </w:rPr>
              <w:t>Fournitures de bureau</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5</w:t>
            </w:r>
            <w:r>
              <w:rPr>
                <w:rFonts w:cs="Arial"/>
                <w:color w:val="000000"/>
                <w:szCs w:val="18"/>
              </w:rPr>
              <w:t xml:space="preserve"> </w:t>
            </w:r>
            <w:r w:rsidRPr="00E0707E">
              <w:rPr>
                <w:rFonts w:cs="Arial"/>
                <w:color w:val="000000"/>
                <w:szCs w:val="18"/>
              </w:rPr>
              <w:t>916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034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155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105</w:t>
            </w:r>
          </w:p>
        </w:tc>
      </w:tr>
      <w:tr w:rsidR="00B50396" w:rsidRPr="00E0707E" w:rsidTr="00245E18">
        <w:trPr>
          <w:trHeight w:val="328"/>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245E18" w:rsidP="005F51EE">
            <w:pPr>
              <w:widowControl/>
              <w:autoSpaceDE/>
              <w:autoSpaceDN/>
              <w:adjustRightInd/>
              <w:rPr>
                <w:rFonts w:cs="Arial"/>
                <w:b/>
                <w:bCs/>
                <w:color w:val="000000"/>
                <w:szCs w:val="18"/>
                <w:lang w:val="fr-FR"/>
              </w:rPr>
            </w:pPr>
            <w:r w:rsidRPr="00D3599E">
              <w:rPr>
                <w:rFonts w:cs="Arial"/>
                <w:b/>
                <w:bCs/>
                <w:color w:val="000000"/>
                <w:szCs w:val="18"/>
                <w:lang w:val="fr-FR"/>
              </w:rPr>
              <w:t>S</w:t>
            </w:r>
            <w:r w:rsidR="005F51EE" w:rsidRPr="00D3599E">
              <w:rPr>
                <w:rFonts w:cs="Arial"/>
                <w:b/>
                <w:bCs/>
                <w:color w:val="000000"/>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5</w:t>
            </w:r>
            <w:r>
              <w:rPr>
                <w:rFonts w:cs="Arial"/>
                <w:b/>
                <w:bCs/>
                <w:color w:val="000000"/>
                <w:szCs w:val="18"/>
              </w:rPr>
              <w:t xml:space="preserve"> </w:t>
            </w:r>
            <w:r w:rsidRPr="00E0707E">
              <w:rPr>
                <w:rFonts w:cs="Arial"/>
                <w:b/>
                <w:bCs/>
                <w:color w:val="000000"/>
                <w:szCs w:val="18"/>
              </w:rPr>
              <w:t>916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034</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155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18</w:t>
            </w:r>
            <w:r>
              <w:rPr>
                <w:rFonts w:cs="Arial"/>
                <w:b/>
                <w:bCs/>
                <w:color w:val="000000"/>
                <w:szCs w:val="18"/>
              </w:rPr>
              <w:t xml:space="preserve"> </w:t>
            </w:r>
            <w:r w:rsidRPr="00E0707E">
              <w:rPr>
                <w:rFonts w:cs="Arial"/>
                <w:b/>
                <w:bCs/>
                <w:color w:val="000000"/>
                <w:szCs w:val="18"/>
              </w:rPr>
              <w:t>105</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C6742B" w:rsidP="00C6742B">
            <w:pPr>
              <w:widowControl/>
              <w:autoSpaceDE/>
              <w:autoSpaceDN/>
              <w:adjustRightInd/>
              <w:rPr>
                <w:rFonts w:cs="Arial"/>
                <w:b/>
                <w:bCs/>
                <w:color w:val="000000"/>
                <w:szCs w:val="18"/>
                <w:lang w:val="fr-FR"/>
              </w:rPr>
            </w:pPr>
            <w:r w:rsidRPr="00D3599E">
              <w:rPr>
                <w:rFonts w:cs="Arial"/>
                <w:b/>
                <w:bCs/>
                <w:color w:val="000000"/>
                <w:szCs w:val="18"/>
                <w:lang w:val="fr-FR"/>
              </w:rPr>
              <w:t>Matériel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hideMark/>
          </w:tcPr>
          <w:p w:rsidR="00245E18" w:rsidRPr="00D3599E" w:rsidRDefault="00C6742B" w:rsidP="00C6742B">
            <w:pPr>
              <w:widowControl/>
              <w:autoSpaceDE/>
              <w:autoSpaceDN/>
              <w:adjustRightInd/>
              <w:rPr>
                <w:rFonts w:cs="Arial"/>
                <w:color w:val="000000"/>
                <w:szCs w:val="18"/>
                <w:lang w:val="fr-FR"/>
              </w:rPr>
            </w:pPr>
            <w:r w:rsidRPr="00D3599E">
              <w:rPr>
                <w:rFonts w:cs="Arial"/>
                <w:color w:val="000000"/>
                <w:szCs w:val="18"/>
                <w:lang w:val="fr-FR"/>
              </w:rPr>
              <w:t>Matériel non durable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710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924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11</w:t>
            </w:r>
            <w:r>
              <w:rPr>
                <w:rFonts w:cs="Arial"/>
                <w:color w:val="000000"/>
                <w:szCs w:val="18"/>
              </w:rPr>
              <w:t xml:space="preserve"> </w:t>
            </w:r>
            <w:r w:rsidRPr="00E0707E">
              <w:rPr>
                <w:rFonts w:cs="Arial"/>
                <w:color w:val="000000"/>
                <w:szCs w:val="18"/>
              </w:rPr>
              <w:t>143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32</w:t>
            </w:r>
            <w:r>
              <w:rPr>
                <w:rFonts w:cs="Arial"/>
                <w:color w:val="000000"/>
                <w:szCs w:val="18"/>
              </w:rPr>
              <w:t xml:space="preserve"> </w:t>
            </w:r>
            <w:r w:rsidRPr="00E0707E">
              <w:rPr>
                <w:rFonts w:cs="Arial"/>
                <w:color w:val="000000"/>
                <w:szCs w:val="18"/>
              </w:rPr>
              <w:t>777</w:t>
            </w:r>
          </w:p>
        </w:tc>
      </w:tr>
      <w:tr w:rsidR="00B50396" w:rsidRPr="00E0707E" w:rsidTr="00245E18">
        <w:trPr>
          <w:trHeight w:val="328"/>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245E18" w:rsidP="00C6742B">
            <w:pPr>
              <w:widowControl/>
              <w:autoSpaceDE/>
              <w:autoSpaceDN/>
              <w:adjustRightInd/>
              <w:rPr>
                <w:rFonts w:cs="Arial"/>
                <w:b/>
                <w:bCs/>
                <w:color w:val="000000"/>
                <w:szCs w:val="18"/>
                <w:lang w:val="fr-FR"/>
              </w:rPr>
            </w:pPr>
            <w:r w:rsidRPr="00D3599E">
              <w:rPr>
                <w:rFonts w:cs="Arial"/>
                <w:b/>
                <w:bCs/>
                <w:color w:val="000000"/>
                <w:szCs w:val="18"/>
                <w:lang w:val="fr-FR"/>
              </w:rPr>
              <w:t>S</w:t>
            </w:r>
            <w:r w:rsidR="00C6742B" w:rsidRPr="00D3599E">
              <w:rPr>
                <w:rFonts w:cs="Arial"/>
                <w:b/>
                <w:bCs/>
                <w:color w:val="000000"/>
                <w:szCs w:val="18"/>
                <w:lang w:val="fr-FR"/>
              </w:rPr>
              <w:t>ous-</w:t>
            </w:r>
            <w:r w:rsidRPr="00D3599E">
              <w:rPr>
                <w:rFonts w:cs="Arial"/>
                <w:b/>
                <w:bCs/>
                <w:color w:val="000000"/>
                <w:szCs w:val="18"/>
                <w:lang w:val="fr-FR"/>
              </w:rPr>
              <w:t>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w:t>
            </w:r>
            <w:r>
              <w:rPr>
                <w:rFonts w:cs="Arial"/>
                <w:b/>
                <w:bCs/>
                <w:color w:val="000000"/>
                <w:szCs w:val="18"/>
              </w:rPr>
              <w:t xml:space="preserve"> </w:t>
            </w:r>
            <w:r w:rsidRPr="00E0707E">
              <w:rPr>
                <w:rFonts w:cs="Arial"/>
                <w:b/>
                <w:bCs/>
                <w:color w:val="000000"/>
                <w:szCs w:val="18"/>
              </w:rPr>
              <w:t>710</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w:t>
            </w:r>
            <w:r>
              <w:rPr>
                <w:rFonts w:cs="Arial"/>
                <w:b/>
                <w:bCs/>
                <w:color w:val="000000"/>
                <w:szCs w:val="18"/>
              </w:rPr>
              <w:t xml:space="preserve"> </w:t>
            </w:r>
            <w:r w:rsidRPr="00E0707E">
              <w:rPr>
                <w:rFonts w:cs="Arial"/>
                <w:b/>
                <w:bCs/>
                <w:color w:val="000000"/>
                <w:szCs w:val="18"/>
              </w:rPr>
              <w:t>924</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11</w:t>
            </w:r>
            <w:r>
              <w:rPr>
                <w:rFonts w:cs="Arial"/>
                <w:b/>
                <w:bCs/>
                <w:color w:val="000000"/>
                <w:szCs w:val="18"/>
              </w:rPr>
              <w:t xml:space="preserve"> </w:t>
            </w:r>
            <w:r w:rsidRPr="00E0707E">
              <w:rPr>
                <w:rFonts w:cs="Arial"/>
                <w:b/>
                <w:bCs/>
                <w:color w:val="000000"/>
                <w:szCs w:val="18"/>
              </w:rPr>
              <w:t>143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32</w:t>
            </w:r>
            <w:r>
              <w:rPr>
                <w:rFonts w:cs="Arial"/>
                <w:b/>
                <w:bCs/>
                <w:color w:val="000000"/>
                <w:szCs w:val="18"/>
              </w:rPr>
              <w:t xml:space="preserve"> </w:t>
            </w:r>
            <w:r w:rsidRPr="00E0707E">
              <w:rPr>
                <w:rFonts w:cs="Arial"/>
                <w:b/>
                <w:bCs/>
                <w:color w:val="000000"/>
                <w:szCs w:val="18"/>
              </w:rPr>
              <w:t>777</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1F4806" w:rsidP="001F4806">
            <w:pPr>
              <w:widowControl/>
              <w:autoSpaceDE/>
              <w:autoSpaceDN/>
              <w:adjustRightInd/>
              <w:rPr>
                <w:rFonts w:cs="Arial"/>
                <w:b/>
                <w:bCs/>
                <w:color w:val="000000"/>
                <w:szCs w:val="18"/>
                <w:lang w:val="fr-FR"/>
              </w:rPr>
            </w:pPr>
            <w:r w:rsidRPr="00D3599E">
              <w:rPr>
                <w:rFonts w:cs="Arial"/>
                <w:b/>
                <w:bCs/>
                <w:color w:val="000000"/>
                <w:szCs w:val="18"/>
                <w:lang w:val="fr-FR"/>
              </w:rPr>
              <w:t>V</w:t>
            </w:r>
            <w:r w:rsidR="00B828D6" w:rsidRPr="00D3599E">
              <w:rPr>
                <w:rFonts w:cs="Arial"/>
                <w:b/>
                <w:bCs/>
                <w:color w:val="000000"/>
                <w:szCs w:val="18"/>
                <w:lang w:val="fr-FR"/>
              </w:rPr>
              <w:t>oyage</w:t>
            </w:r>
            <w:r w:rsidRPr="00D3599E">
              <w:rPr>
                <w:rFonts w:cs="Arial"/>
                <w:b/>
                <w:bCs/>
                <w:color w:val="000000"/>
                <w:szCs w:val="18"/>
                <w:lang w:val="fr-FR"/>
              </w:rPr>
              <w:t>s</w:t>
            </w:r>
            <w:r w:rsidR="00245E18" w:rsidRPr="00D3599E">
              <w:rPr>
                <w:rFonts w:cs="Arial"/>
                <w:b/>
                <w:bCs/>
                <w:color w:val="000000"/>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0611A" w:rsidP="0090611A">
            <w:pPr>
              <w:widowControl/>
              <w:autoSpaceDE/>
              <w:autoSpaceDN/>
              <w:adjustRightInd/>
              <w:rPr>
                <w:rFonts w:cs="Arial"/>
                <w:color w:val="000000"/>
                <w:szCs w:val="18"/>
                <w:lang w:val="fr-FR"/>
              </w:rPr>
            </w:pPr>
            <w:r w:rsidRPr="00D3599E">
              <w:rPr>
                <w:rFonts w:cs="Arial"/>
                <w:color w:val="000000"/>
                <w:szCs w:val="18"/>
                <w:lang w:val="fr-FR"/>
              </w:rPr>
              <w:t>Déplacements du personnel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64</w:t>
            </w:r>
            <w:r>
              <w:rPr>
                <w:rFonts w:cs="Arial"/>
                <w:color w:val="000000"/>
                <w:szCs w:val="18"/>
              </w:rPr>
              <w:t xml:space="preserve"> </w:t>
            </w:r>
            <w:r w:rsidRPr="00E0707E">
              <w:rPr>
                <w:rFonts w:cs="Arial"/>
                <w:color w:val="000000"/>
                <w:szCs w:val="18"/>
              </w:rPr>
              <w:t>974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66</w:t>
            </w:r>
            <w:r>
              <w:rPr>
                <w:rFonts w:cs="Arial"/>
                <w:color w:val="000000"/>
                <w:szCs w:val="18"/>
              </w:rPr>
              <w:t xml:space="preserve"> </w:t>
            </w:r>
            <w:r w:rsidRPr="00E0707E">
              <w:rPr>
                <w:rFonts w:cs="Arial"/>
                <w:color w:val="000000"/>
                <w:szCs w:val="18"/>
              </w:rPr>
              <w:t>273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67</w:t>
            </w:r>
            <w:r>
              <w:rPr>
                <w:rFonts w:cs="Arial"/>
                <w:color w:val="000000"/>
                <w:szCs w:val="18"/>
              </w:rPr>
              <w:t xml:space="preserve"> </w:t>
            </w:r>
            <w:r w:rsidRPr="00E0707E">
              <w:rPr>
                <w:rFonts w:cs="Arial"/>
                <w:color w:val="000000"/>
                <w:szCs w:val="18"/>
              </w:rPr>
              <w:t>599</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198</w:t>
            </w:r>
            <w:r>
              <w:rPr>
                <w:rFonts w:cs="Arial"/>
                <w:color w:val="000000"/>
                <w:szCs w:val="18"/>
              </w:rPr>
              <w:t xml:space="preserve"> </w:t>
            </w:r>
            <w:r w:rsidRPr="00E0707E">
              <w:rPr>
                <w:rFonts w:cs="Arial"/>
                <w:color w:val="000000"/>
                <w:szCs w:val="18"/>
              </w:rPr>
              <w:t>846</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0611A" w:rsidP="0090611A">
            <w:pPr>
              <w:widowControl/>
              <w:autoSpaceDE/>
              <w:autoSpaceDN/>
              <w:adjustRightInd/>
              <w:rPr>
                <w:rFonts w:cs="Arial"/>
                <w:color w:val="000000"/>
                <w:szCs w:val="18"/>
                <w:lang w:val="fr-FR"/>
              </w:rPr>
            </w:pPr>
            <w:r w:rsidRPr="00D3599E">
              <w:rPr>
                <w:rFonts w:cs="Arial"/>
                <w:color w:val="000000"/>
                <w:szCs w:val="18"/>
                <w:lang w:val="fr-FR"/>
              </w:rPr>
              <w:t>Déplacements du personnel</w:t>
            </w:r>
            <w:r w:rsidR="00245E18" w:rsidRPr="00D3599E">
              <w:rPr>
                <w:rFonts w:cs="Arial"/>
                <w:color w:val="000000"/>
                <w:szCs w:val="18"/>
                <w:lang w:val="fr-FR"/>
              </w:rPr>
              <w:t xml:space="preserve"> - COP13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w:t>
            </w:r>
            <w:r>
              <w:rPr>
                <w:rFonts w:cs="Arial"/>
                <w:color w:val="000000"/>
                <w:szCs w:val="18"/>
              </w:rPr>
              <w:t xml:space="preserve"> </w:t>
            </w:r>
            <w:r w:rsidRPr="00E0707E">
              <w:rPr>
                <w:rFonts w:cs="Arial"/>
                <w:color w:val="000000"/>
                <w:szCs w:val="18"/>
              </w:rPr>
              <w:t>306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w:t>
            </w:r>
            <w:r>
              <w:rPr>
                <w:rFonts w:cs="Arial"/>
                <w:color w:val="000000"/>
                <w:szCs w:val="18"/>
              </w:rPr>
              <w:t xml:space="preserve"> </w:t>
            </w:r>
            <w:r w:rsidRPr="00E0707E">
              <w:rPr>
                <w:rFonts w:cs="Arial"/>
                <w:color w:val="000000"/>
                <w:szCs w:val="18"/>
              </w:rPr>
              <w:t>306</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0611A" w:rsidP="0090611A">
            <w:pPr>
              <w:widowControl/>
              <w:autoSpaceDE/>
              <w:autoSpaceDN/>
              <w:adjustRightInd/>
              <w:rPr>
                <w:rFonts w:cs="Arial"/>
                <w:color w:val="000000"/>
                <w:szCs w:val="18"/>
                <w:lang w:val="fr-FR"/>
              </w:rPr>
            </w:pPr>
            <w:r w:rsidRPr="00D3599E">
              <w:rPr>
                <w:rFonts w:cs="Arial"/>
                <w:color w:val="000000"/>
                <w:szCs w:val="18"/>
                <w:lang w:val="fr-FR"/>
              </w:rPr>
              <w:t>Réunions du Comité permanent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B50396" w:rsidRPr="00E0707E" w:rsidTr="00245E18">
        <w:trPr>
          <w:trHeight w:val="328"/>
          <w:jc w:val="center"/>
        </w:trPr>
        <w:tc>
          <w:tcPr>
            <w:tcW w:w="0" w:type="auto"/>
            <w:tcBorders>
              <w:top w:val="nil"/>
              <w:left w:val="nil"/>
              <w:bottom w:val="nil"/>
              <w:right w:val="nil"/>
            </w:tcBorders>
            <w:shd w:val="clear" w:color="auto" w:fill="auto"/>
            <w:noWrap/>
            <w:hideMark/>
          </w:tcPr>
          <w:p w:rsidR="00245E18" w:rsidRPr="00D3599E" w:rsidRDefault="0090611A" w:rsidP="0090611A">
            <w:pPr>
              <w:widowControl/>
              <w:autoSpaceDE/>
              <w:autoSpaceDN/>
              <w:adjustRightInd/>
              <w:rPr>
                <w:rFonts w:cs="Arial"/>
                <w:color w:val="000000"/>
                <w:szCs w:val="18"/>
                <w:lang w:val="fr-FR"/>
              </w:rPr>
            </w:pPr>
            <w:r w:rsidRPr="00D3599E">
              <w:rPr>
                <w:rFonts w:cs="Arial"/>
                <w:color w:val="000000"/>
                <w:szCs w:val="18"/>
                <w:lang w:val="fr-FR"/>
              </w:rPr>
              <w:t>Réunions du Conseil scientifique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B50396" w:rsidRPr="00E0707E" w:rsidTr="00245E18">
        <w:trPr>
          <w:trHeight w:val="328"/>
          <w:jc w:val="center"/>
        </w:trPr>
        <w:tc>
          <w:tcPr>
            <w:tcW w:w="0" w:type="auto"/>
            <w:tcBorders>
              <w:top w:val="single" w:sz="4" w:space="0" w:color="auto"/>
              <w:left w:val="nil"/>
              <w:bottom w:val="single" w:sz="12" w:space="0" w:color="auto"/>
              <w:right w:val="nil"/>
            </w:tcBorders>
            <w:shd w:val="clear" w:color="auto" w:fill="auto"/>
            <w:noWrap/>
            <w:hideMark/>
          </w:tcPr>
          <w:p w:rsidR="00245E18" w:rsidRPr="00D3599E" w:rsidRDefault="00245E18" w:rsidP="0090611A">
            <w:pPr>
              <w:widowControl/>
              <w:autoSpaceDE/>
              <w:autoSpaceDN/>
              <w:adjustRightInd/>
              <w:rPr>
                <w:rFonts w:cs="Arial"/>
                <w:b/>
                <w:bCs/>
                <w:color w:val="000000"/>
                <w:szCs w:val="18"/>
                <w:lang w:val="fr-FR"/>
              </w:rPr>
            </w:pPr>
            <w:r w:rsidRPr="00D3599E">
              <w:rPr>
                <w:rFonts w:cs="Arial"/>
                <w:b/>
                <w:bCs/>
                <w:color w:val="000000"/>
                <w:szCs w:val="18"/>
                <w:lang w:val="fr-FR"/>
              </w:rPr>
              <w:t>S</w:t>
            </w:r>
            <w:r w:rsidR="0090611A" w:rsidRPr="00D3599E">
              <w:rPr>
                <w:rFonts w:cs="Arial"/>
                <w:b/>
                <w:bCs/>
                <w:color w:val="000000"/>
                <w:szCs w:val="18"/>
                <w:lang w:val="fr-FR"/>
              </w:rPr>
              <w:t>ous-total</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64</w:t>
            </w:r>
            <w:r>
              <w:rPr>
                <w:rFonts w:cs="Arial"/>
                <w:b/>
                <w:bCs/>
                <w:color w:val="000000"/>
                <w:szCs w:val="18"/>
              </w:rPr>
              <w:t xml:space="preserve"> </w:t>
            </w:r>
            <w:r w:rsidRPr="00E0707E">
              <w:rPr>
                <w:rFonts w:cs="Arial"/>
                <w:b/>
                <w:bCs/>
                <w:color w:val="000000"/>
                <w:szCs w:val="18"/>
              </w:rPr>
              <w:t>974</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66</w:t>
            </w:r>
            <w:r>
              <w:rPr>
                <w:rFonts w:cs="Arial"/>
                <w:b/>
                <w:bCs/>
                <w:color w:val="000000"/>
                <w:szCs w:val="18"/>
              </w:rPr>
              <w:t xml:space="preserve"> </w:t>
            </w:r>
            <w:r w:rsidRPr="00E0707E">
              <w:rPr>
                <w:rFonts w:cs="Arial"/>
                <w:b/>
                <w:bCs/>
                <w:color w:val="000000"/>
                <w:szCs w:val="18"/>
              </w:rPr>
              <w:t>273</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114</w:t>
            </w:r>
            <w:r>
              <w:rPr>
                <w:rFonts w:cs="Arial"/>
                <w:b/>
                <w:bCs/>
                <w:color w:val="000000"/>
                <w:szCs w:val="18"/>
              </w:rPr>
              <w:t xml:space="preserve"> </w:t>
            </w:r>
            <w:r w:rsidRPr="00E0707E">
              <w:rPr>
                <w:rFonts w:cs="Arial"/>
                <w:b/>
                <w:bCs/>
                <w:color w:val="000000"/>
                <w:szCs w:val="18"/>
              </w:rPr>
              <w:t>905</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246</w:t>
            </w:r>
            <w:r>
              <w:rPr>
                <w:rFonts w:cs="Arial"/>
                <w:b/>
                <w:bCs/>
                <w:color w:val="000000"/>
                <w:szCs w:val="18"/>
              </w:rPr>
              <w:t xml:space="preserve"> </w:t>
            </w:r>
            <w:r w:rsidRPr="00E0707E">
              <w:rPr>
                <w:rFonts w:cs="Arial"/>
                <w:b/>
                <w:bCs/>
                <w:color w:val="000000"/>
                <w:szCs w:val="18"/>
              </w:rPr>
              <w:t>152</w:t>
            </w:r>
          </w:p>
        </w:tc>
      </w:tr>
      <w:tr w:rsidR="00B50396" w:rsidRPr="00E0707E" w:rsidTr="00245E18">
        <w:trPr>
          <w:trHeight w:val="328"/>
          <w:jc w:val="center"/>
        </w:trPr>
        <w:tc>
          <w:tcPr>
            <w:tcW w:w="0" w:type="auto"/>
            <w:tcBorders>
              <w:top w:val="single" w:sz="12" w:space="0" w:color="auto"/>
              <w:left w:val="nil"/>
              <w:bottom w:val="single" w:sz="8" w:space="0" w:color="auto"/>
              <w:right w:val="nil"/>
            </w:tcBorders>
            <w:shd w:val="clear" w:color="auto" w:fill="auto"/>
            <w:noWrap/>
            <w:hideMark/>
          </w:tcPr>
          <w:p w:rsidR="00245E18" w:rsidRPr="00D3599E" w:rsidRDefault="00245E18" w:rsidP="00245E18">
            <w:pPr>
              <w:widowControl/>
              <w:autoSpaceDE/>
              <w:autoSpaceDN/>
              <w:adjustRightInd/>
              <w:rPr>
                <w:rFonts w:cs="Arial"/>
                <w:b/>
                <w:bCs/>
                <w:color w:val="000000"/>
                <w:szCs w:val="18"/>
                <w:lang w:val="fr-FR"/>
              </w:rPr>
            </w:pPr>
            <w:r w:rsidRPr="00D3599E">
              <w:rPr>
                <w:rFonts w:cs="Arial"/>
                <w:b/>
                <w:bCs/>
                <w:color w:val="000000"/>
                <w:szCs w:val="18"/>
                <w:lang w:val="fr-FR"/>
              </w:rPr>
              <w:t xml:space="preserve">Total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136</w:t>
            </w:r>
            <w:r>
              <w:rPr>
                <w:rFonts w:cs="Arial"/>
                <w:b/>
                <w:bCs/>
                <w:color w:val="000000"/>
                <w:szCs w:val="18"/>
              </w:rPr>
              <w:t xml:space="preserve"> </w:t>
            </w:r>
            <w:r w:rsidRPr="00E0707E">
              <w:rPr>
                <w:rFonts w:cs="Arial"/>
                <w:b/>
                <w:bCs/>
                <w:color w:val="000000"/>
                <w:szCs w:val="18"/>
              </w:rPr>
              <w:t>678</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179</w:t>
            </w:r>
            <w:r>
              <w:rPr>
                <w:rFonts w:cs="Arial"/>
                <w:b/>
                <w:bCs/>
                <w:color w:val="000000"/>
                <w:szCs w:val="18"/>
              </w:rPr>
              <w:t xml:space="preserve"> </w:t>
            </w:r>
            <w:r w:rsidRPr="00E0707E">
              <w:rPr>
                <w:rFonts w:cs="Arial"/>
                <w:b/>
                <w:bCs/>
                <w:color w:val="000000"/>
                <w:szCs w:val="18"/>
              </w:rPr>
              <w:t>412</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270</w:t>
            </w:r>
            <w:r>
              <w:rPr>
                <w:rFonts w:cs="Arial"/>
                <w:b/>
                <w:bCs/>
                <w:color w:val="000000"/>
                <w:szCs w:val="18"/>
              </w:rPr>
              <w:t xml:space="preserve"> </w:t>
            </w:r>
            <w:r w:rsidRPr="00E0707E">
              <w:rPr>
                <w:rFonts w:cs="Arial"/>
                <w:b/>
                <w:bCs/>
                <w:color w:val="000000"/>
                <w:szCs w:val="18"/>
              </w:rPr>
              <w:t>306</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586</w:t>
            </w:r>
            <w:r>
              <w:rPr>
                <w:rFonts w:cs="Arial"/>
                <w:b/>
                <w:bCs/>
                <w:color w:val="000000"/>
                <w:szCs w:val="18"/>
              </w:rPr>
              <w:t xml:space="preserve"> </w:t>
            </w:r>
            <w:r w:rsidRPr="00E0707E">
              <w:rPr>
                <w:rFonts w:cs="Arial"/>
                <w:b/>
                <w:bCs/>
                <w:color w:val="000000"/>
                <w:szCs w:val="18"/>
              </w:rPr>
              <w:t>397</w:t>
            </w:r>
          </w:p>
        </w:tc>
      </w:tr>
      <w:tr w:rsidR="00B50396" w:rsidRPr="00E0707E" w:rsidTr="00245E18">
        <w:trPr>
          <w:trHeight w:val="328"/>
          <w:jc w:val="center"/>
        </w:trPr>
        <w:tc>
          <w:tcPr>
            <w:tcW w:w="0" w:type="auto"/>
            <w:tcBorders>
              <w:top w:val="nil"/>
              <w:left w:val="nil"/>
              <w:bottom w:val="single" w:sz="12" w:space="0" w:color="auto"/>
              <w:right w:val="nil"/>
            </w:tcBorders>
            <w:shd w:val="clear" w:color="auto" w:fill="auto"/>
            <w:hideMark/>
          </w:tcPr>
          <w:p w:rsidR="00245E18" w:rsidRPr="00D3599E" w:rsidRDefault="001F4806" w:rsidP="001F4806">
            <w:pPr>
              <w:widowControl/>
              <w:autoSpaceDE/>
              <w:autoSpaceDN/>
              <w:adjustRightInd/>
              <w:rPr>
                <w:rFonts w:cs="Arial"/>
                <w:color w:val="000000"/>
                <w:szCs w:val="18"/>
                <w:lang w:val="fr-FR"/>
              </w:rPr>
            </w:pPr>
            <w:r w:rsidRPr="00D3599E">
              <w:rPr>
                <w:rFonts w:cs="Arial"/>
                <w:color w:val="000000"/>
                <w:szCs w:val="18"/>
                <w:lang w:val="fr-FR"/>
              </w:rPr>
              <w:t>Dépenses</w:t>
            </w:r>
            <w:r w:rsidR="0090611A" w:rsidRPr="00D3599E">
              <w:rPr>
                <w:rFonts w:cs="Arial"/>
                <w:color w:val="000000"/>
                <w:szCs w:val="18"/>
                <w:lang w:val="fr-FR"/>
              </w:rPr>
              <w:t xml:space="preserve"> d’appui aux programmes</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277</w:t>
            </w:r>
            <w:r>
              <w:rPr>
                <w:rFonts w:cs="Arial"/>
                <w:color w:val="000000"/>
                <w:szCs w:val="18"/>
              </w:rPr>
              <w:t xml:space="preserve"> </w:t>
            </w:r>
            <w:r w:rsidRPr="00E0707E">
              <w:rPr>
                <w:rFonts w:cs="Arial"/>
                <w:color w:val="000000"/>
                <w:szCs w:val="18"/>
              </w:rPr>
              <w:t>768</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283</w:t>
            </w:r>
            <w:r>
              <w:rPr>
                <w:rFonts w:cs="Arial"/>
                <w:color w:val="000000"/>
                <w:szCs w:val="18"/>
              </w:rPr>
              <w:t xml:space="preserve"> </w:t>
            </w:r>
            <w:r w:rsidRPr="00E0707E">
              <w:rPr>
                <w:rFonts w:cs="Arial"/>
                <w:color w:val="000000"/>
                <w:szCs w:val="18"/>
              </w:rPr>
              <w:t>324</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295</w:t>
            </w:r>
            <w:r>
              <w:rPr>
                <w:rFonts w:cs="Arial"/>
                <w:color w:val="000000"/>
                <w:szCs w:val="18"/>
              </w:rPr>
              <w:t xml:space="preserve"> </w:t>
            </w:r>
            <w:r w:rsidRPr="00E0707E">
              <w:rPr>
                <w:rFonts w:cs="Arial"/>
                <w:color w:val="000000"/>
                <w:szCs w:val="18"/>
              </w:rPr>
              <w:t>140</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856</w:t>
            </w:r>
            <w:r>
              <w:rPr>
                <w:rFonts w:cs="Arial"/>
                <w:color w:val="000000"/>
                <w:szCs w:val="18"/>
              </w:rPr>
              <w:t xml:space="preserve"> </w:t>
            </w:r>
            <w:r w:rsidRPr="00E0707E">
              <w:rPr>
                <w:rFonts w:cs="Arial"/>
                <w:color w:val="000000"/>
                <w:szCs w:val="18"/>
              </w:rPr>
              <w:t>232</w:t>
            </w:r>
          </w:p>
        </w:tc>
      </w:tr>
      <w:tr w:rsidR="00B50396" w:rsidRPr="00E0707E" w:rsidTr="00245E18">
        <w:trPr>
          <w:trHeight w:val="328"/>
          <w:jc w:val="center"/>
        </w:trPr>
        <w:tc>
          <w:tcPr>
            <w:tcW w:w="0" w:type="auto"/>
            <w:tcBorders>
              <w:top w:val="single" w:sz="12" w:space="0" w:color="auto"/>
              <w:left w:val="nil"/>
              <w:bottom w:val="single" w:sz="12" w:space="0" w:color="auto"/>
              <w:right w:val="nil"/>
            </w:tcBorders>
            <w:shd w:val="clear" w:color="auto" w:fill="auto"/>
            <w:hideMark/>
          </w:tcPr>
          <w:p w:rsidR="00245E18" w:rsidRPr="00D3599E" w:rsidRDefault="00245E18" w:rsidP="00245E18">
            <w:pPr>
              <w:widowControl/>
              <w:autoSpaceDE/>
              <w:autoSpaceDN/>
              <w:adjustRightInd/>
              <w:rPr>
                <w:rFonts w:cs="Arial"/>
                <w:b/>
                <w:bCs/>
                <w:color w:val="000000"/>
                <w:szCs w:val="18"/>
                <w:lang w:val="fr-FR"/>
              </w:rPr>
            </w:pPr>
            <w:r w:rsidRPr="00D3599E">
              <w:rPr>
                <w:rFonts w:cs="Arial"/>
                <w:b/>
                <w:bCs/>
                <w:color w:val="000000"/>
                <w:szCs w:val="18"/>
                <w:lang w:val="fr-FR"/>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414</w:t>
            </w:r>
            <w:r>
              <w:rPr>
                <w:rFonts w:cs="Arial"/>
                <w:b/>
                <w:bCs/>
                <w:color w:val="000000"/>
                <w:szCs w:val="18"/>
              </w:rPr>
              <w:t xml:space="preserve"> </w:t>
            </w:r>
            <w:r w:rsidRPr="00E0707E">
              <w:rPr>
                <w:rFonts w:cs="Arial"/>
                <w:b/>
                <w:bCs/>
                <w:color w:val="000000"/>
                <w:szCs w:val="18"/>
              </w:rPr>
              <w:t>447</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462</w:t>
            </w:r>
            <w:r>
              <w:rPr>
                <w:rFonts w:cs="Arial"/>
                <w:b/>
                <w:bCs/>
                <w:color w:val="000000"/>
                <w:szCs w:val="18"/>
              </w:rPr>
              <w:t xml:space="preserve"> </w:t>
            </w:r>
            <w:r w:rsidRPr="00E0707E">
              <w:rPr>
                <w:rFonts w:cs="Arial"/>
                <w:b/>
                <w:bCs/>
                <w:color w:val="000000"/>
                <w:szCs w:val="18"/>
              </w:rPr>
              <w:t>736</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565</w:t>
            </w:r>
            <w:r>
              <w:rPr>
                <w:rFonts w:cs="Arial"/>
                <w:b/>
                <w:bCs/>
                <w:color w:val="000000"/>
                <w:szCs w:val="18"/>
              </w:rPr>
              <w:t xml:space="preserve"> </w:t>
            </w:r>
            <w:r w:rsidRPr="00E0707E">
              <w:rPr>
                <w:rFonts w:cs="Arial"/>
                <w:b/>
                <w:bCs/>
                <w:color w:val="000000"/>
                <w:szCs w:val="18"/>
              </w:rPr>
              <w:t>446</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7</w:t>
            </w:r>
            <w:r>
              <w:rPr>
                <w:rFonts w:cs="Arial"/>
                <w:b/>
                <w:bCs/>
                <w:color w:val="000000"/>
                <w:szCs w:val="18"/>
              </w:rPr>
              <w:t xml:space="preserve"> </w:t>
            </w:r>
            <w:r w:rsidRPr="00E0707E">
              <w:rPr>
                <w:rFonts w:cs="Arial"/>
                <w:b/>
                <w:bCs/>
                <w:color w:val="000000"/>
                <w:szCs w:val="18"/>
              </w:rPr>
              <w:t>442</w:t>
            </w:r>
            <w:r>
              <w:rPr>
                <w:rFonts w:cs="Arial"/>
                <w:b/>
                <w:bCs/>
                <w:color w:val="000000"/>
                <w:szCs w:val="18"/>
              </w:rPr>
              <w:t xml:space="preserve"> </w:t>
            </w:r>
            <w:r w:rsidRPr="00E0707E">
              <w:rPr>
                <w:rFonts w:cs="Arial"/>
                <w:b/>
                <w:bCs/>
                <w:color w:val="000000"/>
                <w:szCs w:val="18"/>
              </w:rPr>
              <w:t>628</w:t>
            </w:r>
          </w:p>
        </w:tc>
      </w:tr>
    </w:tbl>
    <w:p w:rsidR="00245E18" w:rsidRDefault="00245E18" w:rsidP="00245E18">
      <w:pPr>
        <w:autoSpaceDE/>
        <w:autoSpaceDN/>
        <w:adjustRightInd/>
        <w:spacing w:after="120"/>
        <w:jc w:val="center"/>
        <w:outlineLvl w:val="1"/>
        <w:rPr>
          <w:i/>
          <w:iCs/>
          <w:color w:val="000000"/>
          <w:sz w:val="24"/>
        </w:rPr>
        <w:sectPr w:rsidR="00245E18" w:rsidSect="00620809">
          <w:headerReference w:type="first" r:id="rId18"/>
          <w:endnotePr>
            <w:numFmt w:val="decimal"/>
          </w:endnotePr>
          <w:pgSz w:w="11905" w:h="16837" w:code="9"/>
          <w:pgMar w:top="1008" w:right="1411" w:bottom="1152" w:left="1411" w:header="432" w:footer="432" w:gutter="0"/>
          <w:cols w:space="720"/>
          <w:noEndnote/>
          <w:titlePg/>
          <w:docGrid w:linePitch="272"/>
        </w:sectPr>
      </w:pPr>
    </w:p>
    <w:p w:rsidR="00245E18" w:rsidRPr="00FF06ED" w:rsidRDefault="00245E18" w:rsidP="00245E18">
      <w:pPr>
        <w:widowControl/>
        <w:autoSpaceDE/>
        <w:adjustRightInd/>
        <w:jc w:val="right"/>
        <w:rPr>
          <w:rFonts w:cs="Arial"/>
          <w:b/>
          <w:bCs/>
          <w:caps/>
          <w:sz w:val="22"/>
          <w:szCs w:val="22"/>
          <w:lang w:val="fr-FR"/>
        </w:rPr>
      </w:pPr>
      <w:r w:rsidRPr="00FF06ED">
        <w:rPr>
          <w:rFonts w:cs="Arial"/>
          <w:b/>
          <w:caps/>
          <w:sz w:val="22"/>
          <w:szCs w:val="22"/>
          <w:lang w:val="fr-FR"/>
        </w:rPr>
        <w:lastRenderedPageBreak/>
        <w:t>Annex</w:t>
      </w:r>
      <w:r w:rsidR="00FF06ED">
        <w:rPr>
          <w:rFonts w:cs="Arial"/>
          <w:b/>
          <w:caps/>
          <w:sz w:val="22"/>
          <w:szCs w:val="22"/>
          <w:lang w:val="fr-FR"/>
        </w:rPr>
        <w:t>E</w:t>
      </w:r>
      <w:r w:rsidRPr="00FF06ED">
        <w:rPr>
          <w:rFonts w:cs="Arial"/>
          <w:b/>
          <w:caps/>
          <w:sz w:val="22"/>
          <w:szCs w:val="22"/>
          <w:lang w:val="fr-FR"/>
        </w:rPr>
        <w:t xml:space="preserve"> </w:t>
      </w:r>
      <w:r w:rsidR="009878EA" w:rsidRPr="00FF06ED">
        <w:rPr>
          <w:rFonts w:cs="Arial"/>
          <w:b/>
          <w:caps/>
          <w:sz w:val="22"/>
          <w:szCs w:val="22"/>
          <w:lang w:val="fr-FR"/>
        </w:rPr>
        <w:t>1</w:t>
      </w:r>
      <w:r w:rsidRPr="00FF06ED">
        <w:rPr>
          <w:rFonts w:cs="Arial"/>
          <w:b/>
          <w:caps/>
          <w:sz w:val="22"/>
          <w:szCs w:val="22"/>
          <w:lang w:val="fr-FR"/>
        </w:rPr>
        <w:t xml:space="preserve"> (b)</w:t>
      </w:r>
    </w:p>
    <w:p w:rsidR="00FF06ED" w:rsidRDefault="00FF06ED" w:rsidP="00245E18">
      <w:pPr>
        <w:widowControl/>
        <w:autoSpaceDE/>
        <w:autoSpaceDN/>
        <w:adjustRightInd/>
        <w:jc w:val="center"/>
        <w:rPr>
          <w:rFonts w:cs="Arial"/>
          <w:b/>
          <w:bCs/>
          <w:color w:val="000000"/>
          <w:sz w:val="22"/>
          <w:szCs w:val="22"/>
          <w:lang w:val="fr-FR"/>
        </w:rPr>
      </w:pPr>
    </w:p>
    <w:p w:rsidR="00245E18" w:rsidRPr="00FF06ED" w:rsidRDefault="00FF06ED" w:rsidP="00245E18">
      <w:pPr>
        <w:widowControl/>
        <w:autoSpaceDE/>
        <w:autoSpaceDN/>
        <w:adjustRightInd/>
        <w:jc w:val="center"/>
        <w:rPr>
          <w:rFonts w:cs="Arial"/>
          <w:b/>
          <w:bCs/>
          <w:sz w:val="22"/>
          <w:szCs w:val="22"/>
          <w:lang w:val="fr-FR"/>
        </w:rPr>
      </w:pPr>
      <w:r w:rsidRPr="00C95DDC">
        <w:rPr>
          <w:rFonts w:cs="Arial"/>
          <w:b/>
          <w:bCs/>
          <w:color w:val="000000"/>
          <w:sz w:val="22"/>
          <w:szCs w:val="22"/>
          <w:lang w:val="fr-FR"/>
        </w:rPr>
        <w:t>BUDGET PROPOS</w:t>
      </w:r>
      <w:r>
        <w:rPr>
          <w:rFonts w:cs="Arial"/>
          <w:b/>
          <w:bCs/>
          <w:color w:val="000000"/>
          <w:sz w:val="22"/>
          <w:szCs w:val="22"/>
          <w:lang w:val="fr-FR"/>
        </w:rPr>
        <w:t>É</w:t>
      </w:r>
      <w:r w:rsidRPr="00C95DDC">
        <w:rPr>
          <w:rFonts w:cs="Arial"/>
          <w:b/>
          <w:bCs/>
          <w:color w:val="000000"/>
          <w:sz w:val="22"/>
          <w:szCs w:val="22"/>
          <w:lang w:val="fr-FR"/>
        </w:rPr>
        <w:t xml:space="preserve"> POUR LA P</w:t>
      </w:r>
      <w:r>
        <w:rPr>
          <w:rFonts w:cs="Arial"/>
          <w:b/>
          <w:bCs/>
          <w:color w:val="000000"/>
          <w:sz w:val="22"/>
          <w:szCs w:val="22"/>
          <w:lang w:val="fr-FR"/>
        </w:rPr>
        <w:t>É</w:t>
      </w:r>
      <w:r w:rsidRPr="00C95DDC">
        <w:rPr>
          <w:rFonts w:cs="Arial"/>
          <w:b/>
          <w:bCs/>
          <w:color w:val="000000"/>
          <w:sz w:val="22"/>
          <w:szCs w:val="22"/>
          <w:lang w:val="fr-FR"/>
        </w:rPr>
        <w:t>RIODE TRIENNALE 2018 - 2020</w:t>
      </w:r>
      <w:r w:rsidR="00245E18" w:rsidRPr="00FF06ED">
        <w:rPr>
          <w:rFonts w:cs="Arial"/>
          <w:b/>
          <w:bCs/>
          <w:sz w:val="22"/>
          <w:szCs w:val="22"/>
          <w:lang w:val="fr-FR"/>
        </w:rPr>
        <w:t xml:space="preserve">: </w:t>
      </w:r>
    </w:p>
    <w:p w:rsidR="00245E18" w:rsidRPr="00062FAE" w:rsidRDefault="00245E18" w:rsidP="00245E18">
      <w:pPr>
        <w:autoSpaceDE/>
        <w:autoSpaceDN/>
        <w:adjustRightInd/>
        <w:spacing w:after="120"/>
        <w:jc w:val="center"/>
        <w:outlineLvl w:val="1"/>
        <w:rPr>
          <w:rFonts w:cs="Arial"/>
          <w:b/>
          <w:bCs/>
          <w:iCs/>
          <w:color w:val="000000"/>
          <w:sz w:val="22"/>
          <w:szCs w:val="22"/>
          <w:lang w:val="fr-FR"/>
        </w:rPr>
      </w:pPr>
      <w:r w:rsidRPr="00062FAE">
        <w:rPr>
          <w:rFonts w:cs="Arial"/>
          <w:b/>
          <w:bCs/>
          <w:iCs/>
          <w:color w:val="000000"/>
          <w:sz w:val="22"/>
          <w:szCs w:val="22"/>
          <w:lang w:val="fr-FR"/>
        </w:rPr>
        <w:t>SC</w:t>
      </w:r>
      <w:r w:rsidR="00FF06ED" w:rsidRPr="00062FAE">
        <w:rPr>
          <w:rFonts w:cs="Arial"/>
          <w:b/>
          <w:bCs/>
          <w:iCs/>
          <w:color w:val="000000"/>
          <w:sz w:val="22"/>
          <w:szCs w:val="22"/>
          <w:lang w:val="fr-FR"/>
        </w:rPr>
        <w:t>É</w:t>
      </w:r>
      <w:r w:rsidRPr="00062FAE">
        <w:rPr>
          <w:rFonts w:cs="Arial"/>
          <w:b/>
          <w:bCs/>
          <w:iCs/>
          <w:color w:val="000000"/>
          <w:sz w:val="22"/>
          <w:szCs w:val="22"/>
          <w:lang w:val="fr-FR"/>
        </w:rPr>
        <w:t xml:space="preserve">NARIO 2 </w:t>
      </w:r>
      <w:r w:rsidR="00FF06ED" w:rsidRPr="00062FAE">
        <w:rPr>
          <w:rFonts w:cs="Arial"/>
          <w:b/>
          <w:bCs/>
          <w:iCs/>
          <w:color w:val="000000"/>
          <w:sz w:val="22"/>
          <w:szCs w:val="22"/>
          <w:lang w:val="fr-FR"/>
        </w:rPr>
        <w:t>–</w:t>
      </w:r>
      <w:r w:rsidRPr="00062FAE">
        <w:rPr>
          <w:rFonts w:cs="Arial"/>
          <w:b/>
          <w:bCs/>
          <w:iCs/>
          <w:color w:val="000000"/>
          <w:sz w:val="22"/>
          <w:szCs w:val="22"/>
          <w:lang w:val="fr-FR"/>
        </w:rPr>
        <w:t xml:space="preserve"> </w:t>
      </w:r>
      <w:r w:rsidR="00FF06ED" w:rsidRPr="00062FAE">
        <w:rPr>
          <w:rFonts w:cs="Arial"/>
          <w:b/>
          <w:bCs/>
          <w:iCs/>
          <w:color w:val="000000"/>
          <w:sz w:val="22"/>
          <w:szCs w:val="22"/>
          <w:lang w:val="fr-FR"/>
        </w:rPr>
        <w:t>CROISSANCE RÉELLE ZÉRO</w:t>
      </w:r>
    </w:p>
    <w:p w:rsidR="00245E18" w:rsidRPr="00C72E76" w:rsidRDefault="00245E18" w:rsidP="00245E18">
      <w:pPr>
        <w:autoSpaceDE/>
        <w:autoSpaceDN/>
        <w:adjustRightInd/>
        <w:spacing w:after="120"/>
        <w:jc w:val="center"/>
        <w:outlineLvl w:val="1"/>
        <w:rPr>
          <w:rFonts w:cs="Arial"/>
          <w:szCs w:val="18"/>
          <w:lang w:val="fr-FR"/>
        </w:rPr>
      </w:pPr>
      <w:r w:rsidRPr="00C72E76">
        <w:rPr>
          <w:rFonts w:cs="Arial"/>
          <w:iCs/>
          <w:color w:val="000000"/>
          <w:szCs w:val="18"/>
          <w:lang w:val="fr-FR"/>
        </w:rPr>
        <w:t>(</w:t>
      </w:r>
      <w:r w:rsidR="00C72E76" w:rsidRPr="00C72E76">
        <w:rPr>
          <w:rFonts w:cs="Arial"/>
          <w:iCs/>
          <w:color w:val="000000"/>
          <w:szCs w:val="18"/>
          <w:lang w:val="fr-FR"/>
        </w:rPr>
        <w:t>tous les chiffres sont en euros</w:t>
      </w:r>
      <w:r w:rsidRPr="00C72E76">
        <w:rPr>
          <w:rFonts w:cs="Arial"/>
          <w:iCs/>
          <w:color w:val="000000"/>
          <w:szCs w:val="18"/>
          <w:lang w:val="fr-FR"/>
        </w:rPr>
        <w:t>)</w:t>
      </w:r>
    </w:p>
    <w:tbl>
      <w:tblPr>
        <w:tblW w:w="9510" w:type="dxa"/>
        <w:jc w:val="center"/>
        <w:tblLook w:val="04A0" w:firstRow="1" w:lastRow="0" w:firstColumn="1" w:lastColumn="0" w:noHBand="0" w:noVBand="1"/>
      </w:tblPr>
      <w:tblGrid>
        <w:gridCol w:w="5779"/>
        <w:gridCol w:w="1017"/>
        <w:gridCol w:w="1017"/>
        <w:gridCol w:w="1017"/>
        <w:gridCol w:w="1017"/>
      </w:tblGrid>
      <w:tr w:rsidR="0073030B" w:rsidRPr="00E0707E" w:rsidTr="00245E18">
        <w:trPr>
          <w:trHeight w:val="530"/>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D3599E" w:rsidRDefault="00245E18" w:rsidP="00FF06ED">
            <w:pPr>
              <w:widowControl/>
              <w:autoSpaceDE/>
              <w:autoSpaceDN/>
              <w:adjustRightInd/>
              <w:rPr>
                <w:rFonts w:cs="Arial"/>
                <w:b/>
                <w:bCs/>
                <w:i/>
                <w:iCs/>
                <w:szCs w:val="18"/>
                <w:lang w:val="fr-FR"/>
              </w:rPr>
            </w:pPr>
            <w:r w:rsidRPr="00D3599E">
              <w:rPr>
                <w:rFonts w:cs="Arial"/>
                <w:b/>
                <w:bCs/>
                <w:i/>
                <w:iCs/>
                <w:szCs w:val="18"/>
                <w:lang w:val="fr-FR"/>
              </w:rPr>
              <w:t xml:space="preserve">Objet </w:t>
            </w:r>
            <w:r w:rsidR="00FF06ED" w:rsidRPr="00D3599E">
              <w:rPr>
                <w:rFonts w:cs="Arial"/>
                <w:b/>
                <w:bCs/>
                <w:i/>
                <w:iCs/>
                <w:szCs w:val="18"/>
                <w:lang w:val="fr-FR"/>
              </w:rPr>
              <w:t>de dépense</w:t>
            </w:r>
            <w:r w:rsidRPr="00D3599E">
              <w:rPr>
                <w:rFonts w:cs="Arial"/>
                <w:b/>
                <w:bCs/>
                <w:i/>
                <w:iCs/>
                <w:szCs w:val="18"/>
                <w:lang w:val="fr-FR"/>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2018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2019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2020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 Total </w:t>
            </w:r>
          </w:p>
        </w:tc>
      </w:tr>
      <w:tr w:rsidR="0073030B" w:rsidRPr="00E0707E" w:rsidTr="00245E18">
        <w:trPr>
          <w:trHeight w:val="316"/>
          <w:jc w:val="center"/>
        </w:trPr>
        <w:tc>
          <w:tcPr>
            <w:tcW w:w="0" w:type="auto"/>
            <w:tcBorders>
              <w:top w:val="single" w:sz="12" w:space="0" w:color="auto"/>
              <w:left w:val="nil"/>
              <w:bottom w:val="nil"/>
              <w:right w:val="nil"/>
            </w:tcBorders>
            <w:shd w:val="clear" w:color="auto" w:fill="auto"/>
            <w:noWrap/>
            <w:hideMark/>
          </w:tcPr>
          <w:p w:rsidR="00245E18" w:rsidRPr="00D3599E" w:rsidRDefault="00FF06ED" w:rsidP="00C72E76">
            <w:pPr>
              <w:widowControl/>
              <w:autoSpaceDE/>
              <w:autoSpaceDN/>
              <w:adjustRightInd/>
              <w:rPr>
                <w:rFonts w:cs="Arial"/>
                <w:b/>
                <w:bCs/>
                <w:szCs w:val="18"/>
                <w:lang w:val="fr-FR"/>
              </w:rPr>
            </w:pPr>
            <w:r w:rsidRPr="00D3599E">
              <w:rPr>
                <w:rFonts w:cs="Arial"/>
                <w:b/>
                <w:bCs/>
                <w:szCs w:val="18"/>
                <w:lang w:val="fr-FR"/>
              </w:rPr>
              <w:t>Co</w:t>
            </w:r>
            <w:r w:rsidR="00C72E76" w:rsidRPr="00D3599E">
              <w:rPr>
                <w:rFonts w:cs="Arial"/>
                <w:b/>
                <w:bCs/>
                <w:szCs w:val="18"/>
                <w:lang w:val="fr-FR"/>
              </w:rPr>
              <w:t>û</w:t>
            </w:r>
            <w:r w:rsidRPr="00D3599E">
              <w:rPr>
                <w:rFonts w:cs="Arial"/>
                <w:b/>
                <w:bCs/>
                <w:szCs w:val="18"/>
                <w:lang w:val="fr-FR"/>
              </w:rPr>
              <w:t>ts de personnel</w:t>
            </w: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FF06ED" w:rsidP="00FF06ED">
            <w:pPr>
              <w:widowControl/>
              <w:autoSpaceDE/>
              <w:autoSpaceDN/>
              <w:adjustRightInd/>
              <w:rPr>
                <w:rFonts w:cs="Arial"/>
                <w:szCs w:val="18"/>
                <w:lang w:val="fr-FR"/>
              </w:rPr>
            </w:pPr>
            <w:r w:rsidRPr="00D3599E">
              <w:rPr>
                <w:rFonts w:cs="Arial"/>
                <w:szCs w:val="18"/>
                <w:lang w:val="fr-FR"/>
              </w:rPr>
              <w:t>Personnel professionnel</w:t>
            </w:r>
            <w:r w:rsidR="00245E18" w:rsidRPr="00D3599E">
              <w:rPr>
                <w:rFonts w:cs="Arial"/>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359</w:t>
            </w:r>
            <w:r>
              <w:rPr>
                <w:rFonts w:cs="Arial"/>
                <w:szCs w:val="18"/>
              </w:rPr>
              <w:t xml:space="preserve"> </w:t>
            </w:r>
            <w:r w:rsidRPr="00E0707E">
              <w:rPr>
                <w:rFonts w:cs="Arial"/>
                <w:szCs w:val="18"/>
              </w:rPr>
              <w:t xml:space="preserve">336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386</w:t>
            </w:r>
            <w:r>
              <w:rPr>
                <w:rFonts w:cs="Arial"/>
                <w:szCs w:val="18"/>
              </w:rPr>
              <w:t xml:space="preserve"> </w:t>
            </w:r>
            <w:r w:rsidRPr="00E0707E">
              <w:rPr>
                <w:rFonts w:cs="Arial"/>
                <w:szCs w:val="18"/>
              </w:rPr>
              <w:t xml:space="preserve">523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r>
              <w:rPr>
                <w:rFonts w:cs="Arial"/>
                <w:szCs w:val="18"/>
              </w:rPr>
              <w:t xml:space="preserve"> </w:t>
            </w:r>
            <w:r w:rsidRPr="00E0707E">
              <w:rPr>
                <w:rFonts w:cs="Arial"/>
                <w:szCs w:val="18"/>
              </w:rPr>
              <w:t xml:space="preserve">253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160</w:t>
            </w:r>
            <w:r>
              <w:rPr>
                <w:rFonts w:cs="Arial"/>
                <w:szCs w:val="18"/>
              </w:rPr>
              <w:t xml:space="preserve"> </w:t>
            </w:r>
            <w:r w:rsidRPr="00E0707E">
              <w:rPr>
                <w:rFonts w:cs="Arial"/>
                <w:szCs w:val="18"/>
              </w:rPr>
              <w:t xml:space="preserve">113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941129">
            <w:pPr>
              <w:widowControl/>
              <w:autoSpaceDE/>
              <w:autoSpaceDN/>
              <w:adjustRightInd/>
              <w:rPr>
                <w:rFonts w:cs="Arial"/>
                <w:szCs w:val="18"/>
                <w:lang w:val="fr-FR"/>
              </w:rPr>
            </w:pPr>
            <w:r w:rsidRPr="00D3599E">
              <w:rPr>
                <w:rFonts w:cs="Arial"/>
                <w:szCs w:val="18"/>
                <w:lang w:val="fr-FR"/>
              </w:rPr>
              <w:t>Personnel de</w:t>
            </w:r>
            <w:r w:rsidR="00941129" w:rsidRPr="00D3599E">
              <w:rPr>
                <w:rFonts w:cs="Arial"/>
                <w:szCs w:val="18"/>
                <w:lang w:val="fr-FR"/>
              </w:rPr>
              <w:t>s services généraux</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472</w:t>
            </w:r>
            <w:r>
              <w:rPr>
                <w:rFonts w:cs="Arial"/>
                <w:szCs w:val="18"/>
              </w:rPr>
              <w:t xml:space="preserve"> </w:t>
            </w:r>
            <w:r w:rsidRPr="00E0707E">
              <w:rPr>
                <w:rFonts w:cs="Arial"/>
                <w:szCs w:val="18"/>
              </w:rPr>
              <w:t xml:space="preserve">732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482</w:t>
            </w:r>
            <w:r>
              <w:rPr>
                <w:rFonts w:cs="Arial"/>
                <w:szCs w:val="18"/>
              </w:rPr>
              <w:t xml:space="preserve"> </w:t>
            </w:r>
            <w:r w:rsidRPr="00E0707E">
              <w:rPr>
                <w:rFonts w:cs="Arial"/>
                <w:szCs w:val="18"/>
              </w:rPr>
              <w:t xml:space="preserve">186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r>
              <w:rPr>
                <w:rFonts w:cs="Arial"/>
                <w:szCs w:val="18"/>
              </w:rPr>
              <w:t xml:space="preserve"> </w:t>
            </w:r>
            <w:r w:rsidRPr="00E0707E">
              <w:rPr>
                <w:rFonts w:cs="Arial"/>
                <w:szCs w:val="18"/>
              </w:rPr>
              <w:t xml:space="preserve">830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446</w:t>
            </w:r>
            <w:r>
              <w:rPr>
                <w:rFonts w:cs="Arial"/>
                <w:szCs w:val="18"/>
              </w:rPr>
              <w:t xml:space="preserve"> </w:t>
            </w:r>
            <w:r w:rsidRPr="00E0707E">
              <w:rPr>
                <w:rFonts w:cs="Arial"/>
                <w:szCs w:val="18"/>
              </w:rPr>
              <w:t xml:space="preserve">747 </w:t>
            </w:r>
          </w:p>
        </w:tc>
      </w:tr>
      <w:tr w:rsidR="0073030B"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C72E76">
            <w:pPr>
              <w:widowControl/>
              <w:autoSpaceDE/>
              <w:autoSpaceDN/>
              <w:adjustRightInd/>
              <w:rPr>
                <w:rFonts w:cs="Arial"/>
                <w:b/>
                <w:bCs/>
                <w:szCs w:val="18"/>
                <w:lang w:val="fr-FR"/>
              </w:rPr>
            </w:pPr>
            <w:r w:rsidRPr="00D3599E">
              <w:rPr>
                <w:rFonts w:cs="Arial"/>
                <w:b/>
                <w:bCs/>
                <w:szCs w:val="18"/>
                <w:lang w:val="fr-FR"/>
              </w:rPr>
              <w:t>S</w:t>
            </w:r>
            <w:r w:rsidR="00C72E76"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832</w:t>
            </w:r>
            <w:r>
              <w:rPr>
                <w:rFonts w:cs="Arial"/>
                <w:b/>
                <w:bCs/>
                <w:szCs w:val="18"/>
              </w:rPr>
              <w:t xml:space="preserve"> </w:t>
            </w:r>
            <w:r w:rsidRPr="00E0707E">
              <w:rPr>
                <w:rFonts w:cs="Arial"/>
                <w:b/>
                <w:bCs/>
                <w:szCs w:val="18"/>
              </w:rPr>
              <w:t xml:space="preserve">068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868</w:t>
            </w:r>
            <w:r>
              <w:rPr>
                <w:rFonts w:cs="Arial"/>
                <w:b/>
                <w:bCs/>
                <w:szCs w:val="18"/>
              </w:rPr>
              <w:t xml:space="preserve"> </w:t>
            </w:r>
            <w:r w:rsidRPr="00E0707E">
              <w:rPr>
                <w:rFonts w:cs="Arial"/>
                <w:b/>
                <w:bCs/>
                <w:szCs w:val="18"/>
              </w:rPr>
              <w:t xml:space="preserve">709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906</w:t>
            </w:r>
            <w:r>
              <w:rPr>
                <w:rFonts w:cs="Arial"/>
                <w:b/>
                <w:bCs/>
                <w:szCs w:val="18"/>
              </w:rPr>
              <w:t xml:space="preserve"> </w:t>
            </w:r>
            <w:r w:rsidRPr="00E0707E">
              <w:rPr>
                <w:rFonts w:cs="Arial"/>
                <w:b/>
                <w:bCs/>
                <w:szCs w:val="18"/>
              </w:rPr>
              <w:t xml:space="preserve">083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5</w:t>
            </w:r>
            <w:r>
              <w:rPr>
                <w:rFonts w:cs="Arial"/>
                <w:b/>
                <w:bCs/>
                <w:szCs w:val="18"/>
              </w:rPr>
              <w:t xml:space="preserve"> </w:t>
            </w:r>
            <w:r w:rsidRPr="00E0707E">
              <w:rPr>
                <w:rFonts w:cs="Arial"/>
                <w:b/>
                <w:bCs/>
                <w:szCs w:val="18"/>
              </w:rPr>
              <w:t>606</w:t>
            </w:r>
            <w:r>
              <w:rPr>
                <w:rFonts w:cs="Arial"/>
                <w:b/>
                <w:bCs/>
                <w:szCs w:val="18"/>
              </w:rPr>
              <w:t xml:space="preserve"> </w:t>
            </w:r>
            <w:r w:rsidRPr="00E0707E">
              <w:rPr>
                <w:rFonts w:cs="Arial"/>
                <w:b/>
                <w:bCs/>
                <w:szCs w:val="18"/>
              </w:rPr>
              <w:t xml:space="preserve">860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b/>
                <w:bCs/>
                <w:szCs w:val="18"/>
                <w:lang w:val="fr-FR"/>
              </w:rPr>
            </w:pPr>
            <w:r w:rsidRPr="00D3599E">
              <w:rPr>
                <w:rFonts w:cs="Arial"/>
                <w:b/>
                <w:bCs/>
                <w:szCs w:val="18"/>
                <w:lang w:val="fr-FR"/>
              </w:rPr>
              <w:t>Services contractuels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Services contractuels</w:t>
            </w:r>
            <w:r w:rsidR="00245E18" w:rsidRPr="00D3599E">
              <w:rPr>
                <w:rFonts w:cs="Arial"/>
                <w:szCs w:val="18"/>
                <w:lang w:val="fr-FR"/>
              </w:rPr>
              <w:t xml:space="preserve"> (</w:t>
            </w:r>
            <w:r w:rsidRPr="00D3599E">
              <w:rPr>
                <w:rFonts w:cs="Arial"/>
                <w:szCs w:val="18"/>
                <w:lang w:val="fr-FR"/>
              </w:rPr>
              <w:t>traductions générales et édition de documents</w:t>
            </w:r>
            <w:r w:rsidR="00245E18" w:rsidRPr="00D3599E">
              <w:rPr>
                <w:rFonts w:cs="Arial"/>
                <w:szCs w:val="18"/>
                <w:lang w:val="fr-FR"/>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90</w:t>
            </w:r>
            <w:r>
              <w:rPr>
                <w:rFonts w:cs="Arial"/>
                <w:szCs w:val="18"/>
              </w:rPr>
              <w:t xml:space="preserve"> </w:t>
            </w:r>
            <w:r w:rsidRPr="00E0707E">
              <w:rPr>
                <w:rFonts w:cs="Arial"/>
                <w:szCs w:val="18"/>
              </w:rPr>
              <w:t xml:space="preserve">168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w:t>
            </w:r>
            <w:r>
              <w:rPr>
                <w:rFonts w:cs="Arial"/>
                <w:szCs w:val="18"/>
              </w:rPr>
              <w:t xml:space="preserve"> </w:t>
            </w:r>
            <w:r w:rsidRPr="00E0707E">
              <w:rPr>
                <w:rFonts w:cs="Arial"/>
                <w:szCs w:val="18"/>
              </w:rPr>
              <w:t xml:space="preserve">971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w:t>
            </w:r>
            <w:r>
              <w:rPr>
                <w:rFonts w:cs="Arial"/>
                <w:szCs w:val="18"/>
              </w:rPr>
              <w:t xml:space="preserve"> </w:t>
            </w:r>
            <w:r w:rsidRPr="00E0707E">
              <w:rPr>
                <w:rFonts w:cs="Arial"/>
                <w:szCs w:val="18"/>
              </w:rPr>
              <w:t xml:space="preserve">811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275</w:t>
            </w:r>
            <w:r>
              <w:rPr>
                <w:rFonts w:cs="Arial"/>
                <w:szCs w:val="18"/>
              </w:rPr>
              <w:t xml:space="preserve"> </w:t>
            </w:r>
            <w:r w:rsidRPr="00E0707E">
              <w:rPr>
                <w:rFonts w:cs="Arial"/>
                <w:szCs w:val="18"/>
              </w:rPr>
              <w:t xml:space="preserve">950 </w:t>
            </w:r>
          </w:p>
        </w:tc>
      </w:tr>
      <w:tr w:rsidR="0073030B" w:rsidRPr="0073030B"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245E18" w:rsidP="0073030B">
            <w:pPr>
              <w:widowControl/>
              <w:autoSpaceDE/>
              <w:autoSpaceDN/>
              <w:adjustRightInd/>
              <w:rPr>
                <w:rFonts w:cs="Arial"/>
                <w:color w:val="FF0000"/>
                <w:szCs w:val="18"/>
                <w:lang w:val="fr-FR"/>
              </w:rPr>
            </w:pPr>
            <w:r w:rsidRPr="00D3599E">
              <w:rPr>
                <w:rFonts w:cs="Arial"/>
                <w:color w:val="FF0000"/>
                <w:szCs w:val="18"/>
                <w:lang w:val="fr-FR"/>
              </w:rPr>
              <w:t>Servic</w:t>
            </w:r>
            <w:r w:rsidR="0073030B" w:rsidRPr="00D3599E">
              <w:rPr>
                <w:rFonts w:cs="Arial"/>
                <w:color w:val="FF0000"/>
                <w:szCs w:val="18"/>
                <w:lang w:val="fr-FR"/>
              </w:rPr>
              <w:t xml:space="preserve">es de la COP13 </w:t>
            </w:r>
            <w:r w:rsidRPr="00D3599E">
              <w:rPr>
                <w:rFonts w:cs="Arial"/>
                <w:color w:val="FF0000"/>
                <w:szCs w:val="18"/>
                <w:lang w:val="fr-FR"/>
              </w:rPr>
              <w:t>(interpr</w:t>
            </w:r>
            <w:r w:rsidR="0073030B" w:rsidRPr="00D3599E">
              <w:rPr>
                <w:rFonts w:cs="Arial"/>
                <w:color w:val="FF0000"/>
                <w:szCs w:val="18"/>
                <w:lang w:val="fr-FR"/>
              </w:rPr>
              <w:t>é</w:t>
            </w:r>
            <w:r w:rsidRPr="00D3599E">
              <w:rPr>
                <w:rFonts w:cs="Arial"/>
                <w:color w:val="FF0000"/>
                <w:szCs w:val="18"/>
                <w:lang w:val="fr-FR"/>
              </w:rPr>
              <w:t xml:space="preserve">tation, </w:t>
            </w:r>
            <w:r w:rsidR="0073030B" w:rsidRPr="00D3599E">
              <w:rPr>
                <w:rFonts w:cs="Arial"/>
                <w:color w:val="FF0000"/>
                <w:szCs w:val="18"/>
                <w:lang w:val="fr-FR"/>
              </w:rPr>
              <w:t>rédaction de rapports, etc.</w:t>
            </w:r>
            <w:r w:rsidRPr="00D3599E">
              <w:rPr>
                <w:rFonts w:cs="Arial"/>
                <w:color w:val="FF0000"/>
                <w:szCs w:val="18"/>
                <w:lang w:val="fr-FR"/>
              </w:rPr>
              <w:t>)</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color w:val="FF0000"/>
                <w:szCs w:val="18"/>
                <w:lang w:val="fr-FR"/>
              </w:rPr>
            </w:pPr>
            <w:r w:rsidRPr="0073030B">
              <w:rPr>
                <w:rFonts w:cs="Arial"/>
                <w:color w:val="FF0000"/>
                <w:szCs w:val="18"/>
                <w:lang w:val="fr-FR"/>
              </w:rPr>
              <w:t xml:space="preserve">0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color w:val="FF0000"/>
                <w:szCs w:val="18"/>
                <w:lang w:val="fr-FR"/>
              </w:rPr>
            </w:pPr>
            <w:r w:rsidRPr="0073030B">
              <w:rPr>
                <w:rFonts w:cs="Arial"/>
                <w:color w:val="FF0000"/>
                <w:szCs w:val="18"/>
                <w:lang w:val="fr-FR"/>
              </w:rPr>
              <w:t xml:space="preserve">0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color w:val="FF0000"/>
                <w:szCs w:val="18"/>
                <w:lang w:val="fr-FR"/>
              </w:rPr>
            </w:pPr>
            <w:r w:rsidRPr="0073030B">
              <w:rPr>
                <w:rFonts w:cs="Arial"/>
                <w:color w:val="FF0000"/>
                <w:szCs w:val="18"/>
                <w:lang w:val="fr-FR"/>
              </w:rPr>
              <w:t xml:space="preserve">307 073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color w:val="FF0000"/>
                <w:szCs w:val="18"/>
                <w:lang w:val="fr-FR"/>
              </w:rPr>
            </w:pPr>
            <w:r w:rsidRPr="0073030B">
              <w:rPr>
                <w:rFonts w:cs="Arial"/>
                <w:color w:val="FF0000"/>
                <w:szCs w:val="18"/>
                <w:lang w:val="fr-FR"/>
              </w:rPr>
              <w:t xml:space="preserve">307 073 </w:t>
            </w:r>
          </w:p>
        </w:tc>
      </w:tr>
      <w:tr w:rsidR="0073030B" w:rsidRPr="0073030B"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Production de matériel d’information</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szCs w:val="18"/>
                <w:lang w:val="fr-FR"/>
              </w:rPr>
            </w:pPr>
            <w:r w:rsidRPr="0073030B">
              <w:rPr>
                <w:rFonts w:cs="Arial"/>
                <w:szCs w:val="18"/>
                <w:lang w:val="fr-FR"/>
              </w:rPr>
              <w:t xml:space="preserve">12 750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szCs w:val="18"/>
                <w:lang w:val="fr-FR"/>
              </w:rPr>
            </w:pPr>
            <w:r w:rsidRPr="0073030B">
              <w:rPr>
                <w:rFonts w:cs="Arial"/>
                <w:szCs w:val="18"/>
                <w:lang w:val="fr-FR"/>
              </w:rPr>
              <w:t xml:space="preserve">13 005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szCs w:val="18"/>
                <w:lang w:val="fr-FR"/>
              </w:rPr>
            </w:pPr>
            <w:r w:rsidRPr="0073030B">
              <w:rPr>
                <w:rFonts w:cs="Arial"/>
                <w:szCs w:val="18"/>
                <w:lang w:val="fr-FR"/>
              </w:rPr>
              <w:t xml:space="preserve">13 265 </w:t>
            </w:r>
          </w:p>
        </w:tc>
        <w:tc>
          <w:tcPr>
            <w:tcW w:w="0" w:type="auto"/>
            <w:tcBorders>
              <w:top w:val="nil"/>
              <w:left w:val="nil"/>
              <w:bottom w:val="nil"/>
              <w:right w:val="nil"/>
            </w:tcBorders>
            <w:shd w:val="clear" w:color="auto" w:fill="auto"/>
            <w:noWrap/>
            <w:hideMark/>
          </w:tcPr>
          <w:p w:rsidR="00245E18" w:rsidRPr="0073030B" w:rsidRDefault="00245E18" w:rsidP="00245E18">
            <w:pPr>
              <w:widowControl/>
              <w:autoSpaceDE/>
              <w:autoSpaceDN/>
              <w:adjustRightInd/>
              <w:jc w:val="right"/>
              <w:rPr>
                <w:rFonts w:cs="Arial"/>
                <w:szCs w:val="18"/>
                <w:lang w:val="fr-FR"/>
              </w:rPr>
            </w:pPr>
            <w:r w:rsidRPr="0073030B">
              <w:rPr>
                <w:rFonts w:cs="Arial"/>
                <w:szCs w:val="18"/>
                <w:lang w:val="fr-FR"/>
              </w:rPr>
              <w:t xml:space="preserve">39 020 </w:t>
            </w:r>
          </w:p>
        </w:tc>
      </w:tr>
      <w:tr w:rsidR="0073030B"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73030B">
            <w:pPr>
              <w:widowControl/>
              <w:autoSpaceDE/>
              <w:autoSpaceDN/>
              <w:adjustRightInd/>
              <w:rPr>
                <w:rFonts w:cs="Arial"/>
                <w:b/>
                <w:bCs/>
                <w:szCs w:val="18"/>
                <w:lang w:val="fr-FR"/>
              </w:rPr>
            </w:pPr>
            <w:r w:rsidRPr="00D3599E">
              <w:rPr>
                <w:rFonts w:cs="Arial"/>
                <w:b/>
                <w:bCs/>
                <w:szCs w:val="18"/>
                <w:lang w:val="fr-FR"/>
              </w:rPr>
              <w:t>S</w:t>
            </w:r>
            <w:r w:rsidR="0073030B"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73030B" w:rsidRDefault="00245E18" w:rsidP="00245E18">
            <w:pPr>
              <w:widowControl/>
              <w:autoSpaceDE/>
              <w:autoSpaceDN/>
              <w:adjustRightInd/>
              <w:jc w:val="right"/>
              <w:rPr>
                <w:rFonts w:cs="Arial"/>
                <w:b/>
                <w:bCs/>
                <w:szCs w:val="18"/>
                <w:lang w:val="fr-FR"/>
              </w:rPr>
            </w:pPr>
            <w:r w:rsidRPr="0073030B">
              <w:rPr>
                <w:rFonts w:cs="Arial"/>
                <w:b/>
                <w:bCs/>
                <w:szCs w:val="18"/>
                <w:lang w:val="fr-FR"/>
              </w:rPr>
              <w:t xml:space="preserve">102 918 </w:t>
            </w:r>
          </w:p>
        </w:tc>
        <w:tc>
          <w:tcPr>
            <w:tcW w:w="0" w:type="auto"/>
            <w:tcBorders>
              <w:top w:val="single" w:sz="4" w:space="0" w:color="auto"/>
              <w:left w:val="nil"/>
              <w:bottom w:val="single" w:sz="4" w:space="0" w:color="auto"/>
              <w:right w:val="nil"/>
            </w:tcBorders>
            <w:shd w:val="clear" w:color="auto" w:fill="auto"/>
            <w:noWrap/>
            <w:hideMark/>
          </w:tcPr>
          <w:p w:rsidR="00245E18" w:rsidRPr="0073030B" w:rsidRDefault="00245E18" w:rsidP="00245E18">
            <w:pPr>
              <w:widowControl/>
              <w:autoSpaceDE/>
              <w:autoSpaceDN/>
              <w:adjustRightInd/>
              <w:jc w:val="right"/>
              <w:rPr>
                <w:rFonts w:cs="Arial"/>
                <w:b/>
                <w:bCs/>
                <w:szCs w:val="18"/>
                <w:lang w:val="fr-FR"/>
              </w:rPr>
            </w:pPr>
            <w:r w:rsidRPr="0073030B">
              <w:rPr>
                <w:rFonts w:cs="Arial"/>
                <w:b/>
                <w:bCs/>
                <w:szCs w:val="18"/>
                <w:lang w:val="fr-FR"/>
              </w:rPr>
              <w:t xml:space="preserve">104 976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73030B">
              <w:rPr>
                <w:rFonts w:cs="Arial"/>
                <w:b/>
                <w:bCs/>
                <w:szCs w:val="18"/>
                <w:lang w:val="fr-FR"/>
              </w:rPr>
              <w:t>414 1</w:t>
            </w:r>
            <w:r w:rsidRPr="00E0707E">
              <w:rPr>
                <w:rFonts w:cs="Arial"/>
                <w:b/>
                <w:bCs/>
                <w:szCs w:val="18"/>
              </w:rPr>
              <w:t xml:space="preserve">49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622</w:t>
            </w:r>
            <w:r>
              <w:rPr>
                <w:rFonts w:cs="Arial"/>
                <w:b/>
                <w:bCs/>
                <w:szCs w:val="18"/>
              </w:rPr>
              <w:t xml:space="preserve"> </w:t>
            </w:r>
            <w:r w:rsidRPr="00E0707E">
              <w:rPr>
                <w:rFonts w:cs="Arial"/>
                <w:b/>
                <w:bCs/>
                <w:szCs w:val="18"/>
              </w:rPr>
              <w:t xml:space="preserve">043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b/>
                <w:bCs/>
                <w:szCs w:val="18"/>
                <w:lang w:val="fr-FR"/>
              </w:rPr>
            </w:pPr>
            <w:r w:rsidRPr="00D3599E">
              <w:rPr>
                <w:rFonts w:cs="Arial"/>
                <w:b/>
                <w:bCs/>
                <w:szCs w:val="18"/>
                <w:lang w:val="fr-FR"/>
              </w:rPr>
              <w:t>Coûts de fonctionnement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Outils T</w:t>
            </w:r>
            <w:r w:rsidR="00245E18" w:rsidRPr="00D3599E">
              <w:rPr>
                <w:rFonts w:cs="Arial"/>
                <w:szCs w:val="18"/>
                <w:lang w:val="fr-FR"/>
              </w:rPr>
              <w:t>IC</w:t>
            </w:r>
            <w:r w:rsidRPr="00D3599E">
              <w:rPr>
                <w:rFonts w:cs="Arial"/>
                <w:szCs w:val="18"/>
                <w:lang w:val="fr-FR"/>
              </w:rPr>
              <w:t xml:space="preserve"> - </w:t>
            </w:r>
            <w:r w:rsidRPr="00D3599E">
              <w:rPr>
                <w:rFonts w:cs="Arial"/>
                <w:color w:val="000000"/>
                <w:szCs w:val="18"/>
                <w:lang w:val="fr-FR"/>
              </w:rPr>
              <w:t>Développement et maintenance du site web</w:t>
            </w:r>
            <w:r w:rsidRPr="00D3599E">
              <w:rPr>
                <w:rFonts w:cs="Arial"/>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630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763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898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 xml:space="preserve">290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Évolution du personnel</w:t>
            </w:r>
            <w:r w:rsidR="00245E18" w:rsidRPr="00D3599E">
              <w:rPr>
                <w:rFonts w:cs="Arial"/>
                <w:szCs w:val="18"/>
                <w:lang w:val="fr-FR"/>
              </w:rPr>
              <w:t xml:space="preserve"> (</w:t>
            </w:r>
            <w:r w:rsidRPr="00D3599E">
              <w:rPr>
                <w:rFonts w:cs="Arial"/>
                <w:szCs w:val="18"/>
                <w:lang w:val="fr-FR"/>
              </w:rPr>
              <w:t>formation</w:t>
            </w:r>
            <w:r w:rsidR="00245E18" w:rsidRPr="00D3599E">
              <w:rPr>
                <w:rFonts w:cs="Arial"/>
                <w:szCs w:val="18"/>
                <w:lang w:val="fr-FR"/>
              </w:rPr>
              <w:t>, retr</w:t>
            </w:r>
            <w:r w:rsidRPr="00D3599E">
              <w:rPr>
                <w:rFonts w:cs="Arial"/>
                <w:szCs w:val="18"/>
                <w:lang w:val="fr-FR"/>
              </w:rPr>
              <w:t>aites</w:t>
            </w:r>
            <w:r w:rsidR="00245E18" w:rsidRPr="00D3599E">
              <w:rPr>
                <w:rFonts w:cs="Arial"/>
                <w:szCs w:val="18"/>
                <w:lang w:val="fr-FR"/>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200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404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612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 xml:space="preserve">216 </w:t>
            </w:r>
          </w:p>
        </w:tc>
      </w:tr>
      <w:tr w:rsidR="0073030B" w:rsidRPr="00E0707E"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Services informatiques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71</w:t>
            </w:r>
            <w:r>
              <w:rPr>
                <w:rFonts w:cs="Arial"/>
                <w:szCs w:val="18"/>
              </w:rPr>
              <w:t xml:space="preserve"> </w:t>
            </w:r>
            <w:r w:rsidRPr="00E0707E">
              <w:rPr>
                <w:rFonts w:cs="Arial"/>
                <w:szCs w:val="18"/>
              </w:rPr>
              <w:t xml:space="preserve">400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w:t>
            </w:r>
            <w:r>
              <w:rPr>
                <w:rFonts w:cs="Arial"/>
                <w:szCs w:val="18"/>
              </w:rPr>
              <w:t xml:space="preserve"> </w:t>
            </w:r>
            <w:r w:rsidRPr="00E0707E">
              <w:rPr>
                <w:rFonts w:cs="Arial"/>
                <w:szCs w:val="18"/>
              </w:rPr>
              <w:t xml:space="preserve">828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74</w:t>
            </w:r>
            <w:r>
              <w:rPr>
                <w:rFonts w:cs="Arial"/>
                <w:szCs w:val="18"/>
              </w:rPr>
              <w:t xml:space="preserve"> </w:t>
            </w:r>
            <w:r w:rsidRPr="00E0707E">
              <w:rPr>
                <w:rFonts w:cs="Arial"/>
                <w:szCs w:val="18"/>
              </w:rPr>
              <w:t xml:space="preserve">285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218</w:t>
            </w:r>
            <w:r>
              <w:rPr>
                <w:rFonts w:cs="Arial"/>
                <w:szCs w:val="18"/>
              </w:rPr>
              <w:t xml:space="preserve"> </w:t>
            </w:r>
            <w:r w:rsidRPr="00E0707E">
              <w:rPr>
                <w:rFonts w:cs="Arial"/>
                <w:szCs w:val="18"/>
              </w:rPr>
              <w:t xml:space="preserve">513 </w:t>
            </w:r>
          </w:p>
        </w:tc>
      </w:tr>
      <w:tr w:rsidR="0073030B" w:rsidRPr="00E0707E"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830764">
            <w:pPr>
              <w:widowControl/>
              <w:autoSpaceDE/>
              <w:autoSpaceDN/>
              <w:adjustRightInd/>
              <w:rPr>
                <w:rFonts w:cs="Arial"/>
                <w:szCs w:val="18"/>
                <w:lang w:val="fr-FR"/>
              </w:rPr>
            </w:pPr>
            <w:r w:rsidRPr="00D3599E">
              <w:rPr>
                <w:rFonts w:cs="Arial"/>
                <w:szCs w:val="18"/>
                <w:lang w:val="fr-FR"/>
              </w:rPr>
              <w:t>Services bureautiques</w:t>
            </w:r>
            <w:r w:rsidR="00245E18" w:rsidRPr="00D3599E">
              <w:rPr>
                <w:rFonts w:cs="Arial"/>
                <w:szCs w:val="18"/>
                <w:lang w:val="fr-FR"/>
              </w:rPr>
              <w:t xml:space="preserve"> (</w:t>
            </w:r>
            <w:r w:rsidR="00941129" w:rsidRPr="00D3599E">
              <w:rPr>
                <w:rFonts w:cs="Arial"/>
                <w:szCs w:val="18"/>
                <w:lang w:val="fr-FR"/>
              </w:rPr>
              <w:t>locations d’</w:t>
            </w:r>
            <w:r w:rsidR="00830764" w:rsidRPr="00D3599E">
              <w:rPr>
                <w:rFonts w:cs="Arial"/>
                <w:szCs w:val="18"/>
                <w:lang w:val="fr-FR"/>
              </w:rPr>
              <w:t>i</w:t>
            </w:r>
            <w:r w:rsidRPr="00D3599E">
              <w:rPr>
                <w:rFonts w:cs="Arial"/>
                <w:szCs w:val="18"/>
                <w:lang w:val="fr-FR"/>
              </w:rPr>
              <w:t xml:space="preserve">mprimantes, </w:t>
            </w:r>
            <w:r w:rsidR="00941129" w:rsidRPr="00D3599E">
              <w:rPr>
                <w:rFonts w:cs="Arial"/>
                <w:szCs w:val="18"/>
                <w:lang w:val="fr-FR"/>
              </w:rPr>
              <w:t xml:space="preserve">hébergements, </w:t>
            </w:r>
            <w:r w:rsidR="00245E18" w:rsidRPr="00D3599E">
              <w:rPr>
                <w:rFonts w:cs="Arial"/>
                <w:szCs w:val="18"/>
                <w:lang w:val="fr-FR"/>
              </w:rPr>
              <w:t>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200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404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612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 xml:space="preserve">216 </w:t>
            </w:r>
          </w:p>
        </w:tc>
      </w:tr>
      <w:tr w:rsidR="0073030B" w:rsidRPr="00E0707E"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Services de c</w:t>
            </w:r>
            <w:r w:rsidR="00245E18" w:rsidRPr="00D3599E">
              <w:rPr>
                <w:rFonts w:cs="Arial"/>
                <w:szCs w:val="18"/>
                <w:lang w:val="fr-FR"/>
              </w:rPr>
              <w:t xml:space="preserve">ommunication </w:t>
            </w:r>
            <w:r w:rsidRPr="00D3599E">
              <w:rPr>
                <w:rFonts w:cs="Arial"/>
                <w:szCs w:val="18"/>
                <w:lang w:val="fr-FR"/>
              </w:rPr>
              <w:t>et de courrier</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 xml:space="preserve">850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207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571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 xml:space="preserve">628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Divers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813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889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967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 xml:space="preserve">669 </w:t>
            </w:r>
          </w:p>
        </w:tc>
      </w:tr>
      <w:tr w:rsidR="0073030B"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73030B">
            <w:pPr>
              <w:widowControl/>
              <w:autoSpaceDE/>
              <w:autoSpaceDN/>
              <w:adjustRightInd/>
              <w:rPr>
                <w:rFonts w:cs="Arial"/>
                <w:b/>
                <w:bCs/>
                <w:szCs w:val="18"/>
                <w:lang w:val="fr-FR"/>
              </w:rPr>
            </w:pPr>
            <w:r w:rsidRPr="00D3599E">
              <w:rPr>
                <w:rFonts w:cs="Arial"/>
                <w:b/>
                <w:bCs/>
                <w:szCs w:val="18"/>
                <w:lang w:val="fr-FR"/>
              </w:rPr>
              <w:t>S</w:t>
            </w:r>
            <w:r w:rsidR="0073030B"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120</w:t>
            </w:r>
            <w:r>
              <w:rPr>
                <w:rFonts w:cs="Arial"/>
                <w:b/>
                <w:bCs/>
                <w:szCs w:val="18"/>
              </w:rPr>
              <w:t xml:space="preserve"> </w:t>
            </w:r>
            <w:r w:rsidRPr="00E0707E">
              <w:rPr>
                <w:rFonts w:cs="Arial"/>
                <w:b/>
                <w:bCs/>
                <w:szCs w:val="18"/>
              </w:rPr>
              <w:t xml:space="preserve">093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122</w:t>
            </w:r>
            <w:r>
              <w:rPr>
                <w:rFonts w:cs="Arial"/>
                <w:b/>
                <w:bCs/>
                <w:szCs w:val="18"/>
              </w:rPr>
              <w:t xml:space="preserve"> </w:t>
            </w:r>
            <w:r w:rsidRPr="00E0707E">
              <w:rPr>
                <w:rFonts w:cs="Arial"/>
                <w:b/>
                <w:bCs/>
                <w:szCs w:val="18"/>
              </w:rPr>
              <w:t xml:space="preserve">495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124</w:t>
            </w:r>
            <w:r>
              <w:rPr>
                <w:rFonts w:cs="Arial"/>
                <w:b/>
                <w:bCs/>
                <w:szCs w:val="18"/>
              </w:rPr>
              <w:t xml:space="preserve"> </w:t>
            </w:r>
            <w:r w:rsidRPr="00E0707E">
              <w:rPr>
                <w:rFonts w:cs="Arial"/>
                <w:b/>
                <w:bCs/>
                <w:szCs w:val="18"/>
              </w:rPr>
              <w:t xml:space="preserve">945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367</w:t>
            </w:r>
            <w:r>
              <w:rPr>
                <w:rFonts w:cs="Arial"/>
                <w:b/>
                <w:bCs/>
                <w:szCs w:val="18"/>
              </w:rPr>
              <w:t xml:space="preserve"> </w:t>
            </w:r>
            <w:r w:rsidRPr="00E0707E">
              <w:rPr>
                <w:rFonts w:cs="Arial"/>
                <w:b/>
                <w:bCs/>
                <w:szCs w:val="18"/>
              </w:rPr>
              <w:t xml:space="preserve">532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b/>
                <w:bCs/>
                <w:szCs w:val="18"/>
                <w:lang w:val="fr-FR"/>
              </w:rPr>
            </w:pPr>
            <w:r w:rsidRPr="00D3599E">
              <w:rPr>
                <w:rFonts w:cs="Arial"/>
                <w:b/>
                <w:bCs/>
                <w:szCs w:val="18"/>
                <w:lang w:val="fr-FR"/>
              </w:rPr>
              <w:t>Fournitures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Fournitures de bureau</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 xml:space="preserve">916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034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155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105 </w:t>
            </w:r>
          </w:p>
        </w:tc>
      </w:tr>
      <w:tr w:rsidR="0073030B" w:rsidRPr="00E0707E" w:rsidTr="00245E18">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245E18" w:rsidP="0073030B">
            <w:pPr>
              <w:widowControl/>
              <w:autoSpaceDE/>
              <w:autoSpaceDN/>
              <w:adjustRightInd/>
              <w:rPr>
                <w:rFonts w:cs="Arial"/>
                <w:b/>
                <w:bCs/>
                <w:szCs w:val="18"/>
                <w:lang w:val="fr-FR"/>
              </w:rPr>
            </w:pPr>
            <w:r w:rsidRPr="00D3599E">
              <w:rPr>
                <w:rFonts w:cs="Arial"/>
                <w:b/>
                <w:bCs/>
                <w:szCs w:val="18"/>
                <w:lang w:val="fr-FR"/>
              </w:rPr>
              <w:t>S</w:t>
            </w:r>
            <w:r w:rsidR="0073030B"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5</w:t>
            </w:r>
            <w:r>
              <w:rPr>
                <w:rFonts w:cs="Arial"/>
                <w:b/>
                <w:bCs/>
                <w:szCs w:val="18"/>
              </w:rPr>
              <w:t xml:space="preserve"> </w:t>
            </w:r>
            <w:r w:rsidRPr="00E0707E">
              <w:rPr>
                <w:rFonts w:cs="Arial"/>
                <w:b/>
                <w:bCs/>
                <w:szCs w:val="18"/>
              </w:rPr>
              <w:t xml:space="preserve">916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w:t>
            </w:r>
            <w:r>
              <w:rPr>
                <w:rFonts w:cs="Arial"/>
                <w:b/>
                <w:bCs/>
                <w:szCs w:val="18"/>
              </w:rPr>
              <w:t xml:space="preserve"> </w:t>
            </w:r>
            <w:r w:rsidRPr="00E0707E">
              <w:rPr>
                <w:rFonts w:cs="Arial"/>
                <w:b/>
                <w:bCs/>
                <w:szCs w:val="18"/>
              </w:rPr>
              <w:t xml:space="preserve">034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w:t>
            </w:r>
            <w:r>
              <w:rPr>
                <w:rFonts w:cs="Arial"/>
                <w:b/>
                <w:bCs/>
                <w:szCs w:val="18"/>
              </w:rPr>
              <w:t xml:space="preserve"> </w:t>
            </w:r>
            <w:r w:rsidRPr="00E0707E">
              <w:rPr>
                <w:rFonts w:cs="Arial"/>
                <w:b/>
                <w:bCs/>
                <w:szCs w:val="18"/>
              </w:rPr>
              <w:t xml:space="preserve">155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18</w:t>
            </w:r>
            <w:r>
              <w:rPr>
                <w:rFonts w:cs="Arial"/>
                <w:b/>
                <w:bCs/>
                <w:szCs w:val="18"/>
              </w:rPr>
              <w:t xml:space="preserve"> </w:t>
            </w:r>
            <w:r w:rsidRPr="00E0707E">
              <w:rPr>
                <w:rFonts w:cs="Arial"/>
                <w:b/>
                <w:bCs/>
                <w:szCs w:val="18"/>
              </w:rPr>
              <w:t xml:space="preserve">105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b/>
                <w:bCs/>
                <w:szCs w:val="18"/>
                <w:lang w:val="fr-FR"/>
              </w:rPr>
            </w:pPr>
            <w:r w:rsidRPr="00D3599E">
              <w:rPr>
                <w:rFonts w:cs="Arial"/>
                <w:b/>
                <w:bCs/>
                <w:szCs w:val="18"/>
                <w:lang w:val="fr-FR"/>
              </w:rPr>
              <w:t>Matériel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Matériel non durable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710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924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 xml:space="preserve">143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 xml:space="preserve">777 </w:t>
            </w:r>
          </w:p>
        </w:tc>
      </w:tr>
      <w:tr w:rsidR="0073030B" w:rsidRPr="00E0707E" w:rsidTr="00245E18">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73030B" w:rsidP="0073030B">
            <w:pPr>
              <w:widowControl/>
              <w:autoSpaceDE/>
              <w:autoSpaceDN/>
              <w:adjustRightInd/>
              <w:rPr>
                <w:rFonts w:cs="Arial"/>
                <w:b/>
                <w:bCs/>
                <w:szCs w:val="18"/>
                <w:lang w:val="fr-FR"/>
              </w:rPr>
            </w:pPr>
            <w:r w:rsidRPr="00D3599E">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w:t>
            </w:r>
            <w:r>
              <w:rPr>
                <w:rFonts w:cs="Arial"/>
                <w:b/>
                <w:bCs/>
                <w:szCs w:val="18"/>
              </w:rPr>
              <w:t xml:space="preserve"> </w:t>
            </w:r>
            <w:r w:rsidRPr="00E0707E">
              <w:rPr>
                <w:rFonts w:cs="Arial"/>
                <w:b/>
                <w:bCs/>
                <w:szCs w:val="18"/>
              </w:rPr>
              <w:t xml:space="preserve">710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w:t>
            </w:r>
            <w:r>
              <w:rPr>
                <w:rFonts w:cs="Arial"/>
                <w:b/>
                <w:bCs/>
                <w:szCs w:val="18"/>
              </w:rPr>
              <w:t xml:space="preserve"> </w:t>
            </w:r>
            <w:r w:rsidRPr="00E0707E">
              <w:rPr>
                <w:rFonts w:cs="Arial"/>
                <w:b/>
                <w:bCs/>
                <w:szCs w:val="18"/>
              </w:rPr>
              <w:t xml:space="preserve">924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11</w:t>
            </w:r>
            <w:r>
              <w:rPr>
                <w:rFonts w:cs="Arial"/>
                <w:b/>
                <w:bCs/>
                <w:szCs w:val="18"/>
              </w:rPr>
              <w:t xml:space="preserve"> </w:t>
            </w:r>
            <w:r w:rsidRPr="00E0707E">
              <w:rPr>
                <w:rFonts w:cs="Arial"/>
                <w:b/>
                <w:bCs/>
                <w:szCs w:val="18"/>
              </w:rPr>
              <w:t xml:space="preserve">143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32</w:t>
            </w:r>
            <w:r>
              <w:rPr>
                <w:rFonts w:cs="Arial"/>
                <w:b/>
                <w:bCs/>
                <w:szCs w:val="18"/>
              </w:rPr>
              <w:t xml:space="preserve"> </w:t>
            </w:r>
            <w:r w:rsidRPr="00E0707E">
              <w:rPr>
                <w:rFonts w:cs="Arial"/>
                <w:b/>
                <w:bCs/>
                <w:szCs w:val="18"/>
              </w:rPr>
              <w:t xml:space="preserve">777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1F4806" w:rsidP="001F4806">
            <w:pPr>
              <w:widowControl/>
              <w:autoSpaceDE/>
              <w:autoSpaceDN/>
              <w:adjustRightInd/>
              <w:rPr>
                <w:rFonts w:cs="Arial"/>
                <w:b/>
                <w:bCs/>
                <w:szCs w:val="18"/>
                <w:lang w:val="fr-FR"/>
              </w:rPr>
            </w:pPr>
            <w:r w:rsidRPr="00D3599E">
              <w:rPr>
                <w:rFonts w:cs="Arial"/>
                <w:b/>
                <w:bCs/>
                <w:szCs w:val="18"/>
                <w:lang w:val="fr-FR"/>
              </w:rPr>
              <w:t>V</w:t>
            </w:r>
            <w:r w:rsidR="0073030B" w:rsidRPr="00D3599E">
              <w:rPr>
                <w:rFonts w:cs="Arial"/>
                <w:b/>
                <w:bCs/>
                <w:szCs w:val="18"/>
                <w:lang w:val="fr-FR"/>
              </w:rPr>
              <w:t>oyage</w:t>
            </w:r>
            <w:r w:rsidRPr="00D3599E">
              <w:rPr>
                <w:rFonts w:cs="Arial"/>
                <w:b/>
                <w:bCs/>
                <w:szCs w:val="18"/>
                <w:lang w:val="fr-FR"/>
              </w:rPr>
              <w:t>s</w:t>
            </w:r>
            <w:r w:rsidR="00245E18" w:rsidRPr="00D3599E">
              <w:rPr>
                <w:rFonts w:cs="Arial"/>
                <w:b/>
                <w:bCs/>
                <w:szCs w:val="18"/>
                <w:lang w:val="fr-FR"/>
              </w:rPr>
              <w:t xml:space="preserve">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Déplacements du personnel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 xml:space="preserve">974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 xml:space="preserve">273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 xml:space="preserve">599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198</w:t>
            </w:r>
            <w:r>
              <w:rPr>
                <w:rFonts w:cs="Arial"/>
                <w:szCs w:val="18"/>
              </w:rPr>
              <w:t xml:space="preserve"> </w:t>
            </w:r>
            <w:r w:rsidRPr="00E0707E">
              <w:rPr>
                <w:rFonts w:cs="Arial"/>
                <w:szCs w:val="18"/>
              </w:rPr>
              <w:t xml:space="preserve">846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szCs w:val="18"/>
                <w:lang w:val="fr-FR"/>
              </w:rPr>
            </w:pPr>
            <w:r w:rsidRPr="00D3599E">
              <w:rPr>
                <w:rFonts w:cs="Arial"/>
                <w:szCs w:val="18"/>
                <w:lang w:val="fr-FR"/>
              </w:rPr>
              <w:t>Déplacements du personnel</w:t>
            </w:r>
            <w:r w:rsidR="00245E18" w:rsidRPr="00D3599E">
              <w:rPr>
                <w:rFonts w:cs="Arial"/>
                <w:szCs w:val="18"/>
                <w:lang w:val="fr-FR"/>
              </w:rPr>
              <w:t xml:space="preserve"> - COP13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 xml:space="preserve">245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 xml:space="preserve">245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color w:val="FF0000"/>
                <w:szCs w:val="18"/>
                <w:lang w:val="fr-FR"/>
              </w:rPr>
            </w:pPr>
            <w:r w:rsidRPr="00D3599E">
              <w:rPr>
                <w:rFonts w:cs="Arial"/>
                <w:color w:val="FF0000"/>
                <w:szCs w:val="18"/>
                <w:lang w:val="fr-FR"/>
              </w:rPr>
              <w:t>Réunions du Comité permanent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22</w:t>
            </w:r>
            <w:r>
              <w:rPr>
                <w:rFonts w:cs="Arial"/>
                <w:color w:val="FF0000"/>
                <w:szCs w:val="18"/>
              </w:rPr>
              <w:t xml:space="preserve"> </w:t>
            </w:r>
            <w:r w:rsidRPr="00E0707E">
              <w:rPr>
                <w:rFonts w:cs="Arial"/>
                <w:color w:val="FF0000"/>
                <w:szCs w:val="18"/>
              </w:rPr>
              <w:t xml:space="preserve">965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23</w:t>
            </w:r>
            <w:r>
              <w:rPr>
                <w:rFonts w:cs="Arial"/>
                <w:color w:val="FF0000"/>
                <w:szCs w:val="18"/>
              </w:rPr>
              <w:t xml:space="preserve"> </w:t>
            </w:r>
            <w:r w:rsidRPr="00E0707E">
              <w:rPr>
                <w:rFonts w:cs="Arial"/>
                <w:color w:val="FF0000"/>
                <w:szCs w:val="18"/>
              </w:rPr>
              <w:t xml:space="preserve">425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46</w:t>
            </w:r>
            <w:r>
              <w:rPr>
                <w:rFonts w:cs="Arial"/>
                <w:color w:val="FF0000"/>
                <w:szCs w:val="18"/>
              </w:rPr>
              <w:t xml:space="preserve"> </w:t>
            </w:r>
            <w:r w:rsidRPr="00E0707E">
              <w:rPr>
                <w:rFonts w:cs="Arial"/>
                <w:color w:val="FF0000"/>
                <w:szCs w:val="18"/>
              </w:rPr>
              <w:t xml:space="preserve">390 </w:t>
            </w:r>
          </w:p>
        </w:tc>
      </w:tr>
      <w:tr w:rsidR="0073030B" w:rsidRPr="00E0707E" w:rsidTr="00245E18">
        <w:trPr>
          <w:trHeight w:val="316"/>
          <w:jc w:val="center"/>
        </w:trPr>
        <w:tc>
          <w:tcPr>
            <w:tcW w:w="0" w:type="auto"/>
            <w:tcBorders>
              <w:top w:val="nil"/>
              <w:left w:val="nil"/>
              <w:bottom w:val="nil"/>
              <w:right w:val="nil"/>
            </w:tcBorders>
            <w:shd w:val="clear" w:color="auto" w:fill="auto"/>
            <w:noWrap/>
            <w:hideMark/>
          </w:tcPr>
          <w:p w:rsidR="00245E18" w:rsidRPr="00D3599E" w:rsidRDefault="0073030B" w:rsidP="0073030B">
            <w:pPr>
              <w:widowControl/>
              <w:autoSpaceDE/>
              <w:autoSpaceDN/>
              <w:adjustRightInd/>
              <w:rPr>
                <w:rFonts w:cs="Arial"/>
                <w:color w:val="FF0000"/>
                <w:szCs w:val="18"/>
                <w:lang w:val="fr-FR"/>
              </w:rPr>
            </w:pPr>
            <w:r w:rsidRPr="00D3599E">
              <w:rPr>
                <w:rFonts w:cs="Arial"/>
                <w:color w:val="FF0000"/>
                <w:szCs w:val="18"/>
                <w:lang w:val="fr-FR"/>
              </w:rPr>
              <w:t>Réunions du Conseil scientifique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52</w:t>
            </w:r>
            <w:r>
              <w:rPr>
                <w:rFonts w:cs="Arial"/>
                <w:color w:val="FF0000"/>
                <w:szCs w:val="18"/>
              </w:rPr>
              <w:t xml:space="preserve"> </w:t>
            </w:r>
            <w:r w:rsidRPr="00E0707E">
              <w:rPr>
                <w:rFonts w:cs="Arial"/>
                <w:color w:val="FF0000"/>
                <w:szCs w:val="18"/>
              </w:rPr>
              <w:t xml:space="preserve">424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53</w:t>
            </w:r>
            <w:r>
              <w:rPr>
                <w:rFonts w:cs="Arial"/>
                <w:color w:val="FF0000"/>
                <w:szCs w:val="18"/>
              </w:rPr>
              <w:t xml:space="preserve"> </w:t>
            </w:r>
            <w:r w:rsidRPr="00E0707E">
              <w:rPr>
                <w:rFonts w:cs="Arial"/>
                <w:color w:val="FF0000"/>
                <w:szCs w:val="18"/>
              </w:rPr>
              <w:t xml:space="preserve">473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105</w:t>
            </w:r>
            <w:r>
              <w:rPr>
                <w:rFonts w:cs="Arial"/>
                <w:color w:val="FF0000"/>
                <w:szCs w:val="18"/>
              </w:rPr>
              <w:t xml:space="preserve"> </w:t>
            </w:r>
            <w:r w:rsidRPr="00E0707E">
              <w:rPr>
                <w:rFonts w:cs="Arial"/>
                <w:color w:val="FF0000"/>
                <w:szCs w:val="18"/>
              </w:rPr>
              <w:t xml:space="preserve">897 </w:t>
            </w:r>
          </w:p>
        </w:tc>
      </w:tr>
      <w:tr w:rsidR="0073030B" w:rsidRPr="00E0707E" w:rsidTr="00245E18">
        <w:trPr>
          <w:trHeight w:val="316"/>
          <w:jc w:val="center"/>
        </w:trPr>
        <w:tc>
          <w:tcPr>
            <w:tcW w:w="0" w:type="auto"/>
            <w:tcBorders>
              <w:top w:val="single" w:sz="4" w:space="0" w:color="auto"/>
              <w:left w:val="nil"/>
              <w:bottom w:val="single" w:sz="12" w:space="0" w:color="auto"/>
              <w:right w:val="nil"/>
            </w:tcBorders>
            <w:shd w:val="clear" w:color="auto" w:fill="auto"/>
            <w:noWrap/>
            <w:hideMark/>
          </w:tcPr>
          <w:p w:rsidR="00245E18" w:rsidRPr="00D3599E" w:rsidRDefault="00245E18" w:rsidP="0073030B">
            <w:pPr>
              <w:widowControl/>
              <w:autoSpaceDE/>
              <w:autoSpaceDN/>
              <w:adjustRightInd/>
              <w:rPr>
                <w:rFonts w:cs="Arial"/>
                <w:b/>
                <w:bCs/>
                <w:szCs w:val="18"/>
                <w:lang w:val="fr-FR"/>
              </w:rPr>
            </w:pPr>
            <w:r w:rsidRPr="00D3599E">
              <w:rPr>
                <w:rFonts w:cs="Arial"/>
                <w:b/>
                <w:bCs/>
                <w:szCs w:val="18"/>
                <w:lang w:val="fr-FR"/>
              </w:rPr>
              <w:t>S</w:t>
            </w:r>
            <w:r w:rsidR="0073030B" w:rsidRPr="00D3599E">
              <w:rPr>
                <w:rFonts w:cs="Arial"/>
                <w:b/>
                <w:bCs/>
                <w:szCs w:val="18"/>
                <w:lang w:val="fr-FR"/>
              </w:rPr>
              <w:t>ous-total</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140</w:t>
            </w:r>
            <w:r>
              <w:rPr>
                <w:rFonts w:cs="Arial"/>
                <w:b/>
                <w:bCs/>
                <w:szCs w:val="18"/>
              </w:rPr>
              <w:t xml:space="preserve"> </w:t>
            </w:r>
            <w:r w:rsidRPr="00E0707E">
              <w:rPr>
                <w:rFonts w:cs="Arial"/>
                <w:b/>
                <w:bCs/>
                <w:szCs w:val="18"/>
              </w:rPr>
              <w:t xml:space="preserve">364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143</w:t>
            </w:r>
            <w:r>
              <w:rPr>
                <w:rFonts w:cs="Arial"/>
                <w:b/>
                <w:bCs/>
                <w:szCs w:val="18"/>
              </w:rPr>
              <w:t xml:space="preserve"> </w:t>
            </w:r>
            <w:r w:rsidRPr="00E0707E">
              <w:rPr>
                <w:rFonts w:cs="Arial"/>
                <w:b/>
                <w:bCs/>
                <w:szCs w:val="18"/>
              </w:rPr>
              <w:t xml:space="preserve">171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123</w:t>
            </w:r>
            <w:r>
              <w:rPr>
                <w:rFonts w:cs="Arial"/>
                <w:b/>
                <w:bCs/>
                <w:szCs w:val="18"/>
              </w:rPr>
              <w:t xml:space="preserve"> </w:t>
            </w:r>
            <w:r w:rsidRPr="00E0707E">
              <w:rPr>
                <w:rFonts w:cs="Arial"/>
                <w:b/>
                <w:bCs/>
                <w:szCs w:val="18"/>
              </w:rPr>
              <w:t xml:space="preserve">844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407</w:t>
            </w:r>
            <w:r>
              <w:rPr>
                <w:rFonts w:cs="Arial"/>
                <w:b/>
                <w:bCs/>
                <w:szCs w:val="18"/>
              </w:rPr>
              <w:t xml:space="preserve"> </w:t>
            </w:r>
            <w:r w:rsidRPr="00E0707E">
              <w:rPr>
                <w:rFonts w:cs="Arial"/>
                <w:b/>
                <w:bCs/>
                <w:szCs w:val="18"/>
              </w:rPr>
              <w:t xml:space="preserve">378 </w:t>
            </w:r>
          </w:p>
        </w:tc>
      </w:tr>
      <w:tr w:rsidR="0073030B" w:rsidRPr="00E0707E" w:rsidTr="00245E18">
        <w:trPr>
          <w:trHeight w:val="316"/>
          <w:jc w:val="center"/>
        </w:trPr>
        <w:tc>
          <w:tcPr>
            <w:tcW w:w="0" w:type="auto"/>
            <w:tcBorders>
              <w:top w:val="single" w:sz="12" w:space="0" w:color="auto"/>
              <w:left w:val="nil"/>
              <w:bottom w:val="single" w:sz="8" w:space="0" w:color="auto"/>
              <w:right w:val="nil"/>
            </w:tcBorders>
            <w:shd w:val="clear" w:color="auto" w:fill="auto"/>
            <w:noWrap/>
            <w:hideMark/>
          </w:tcPr>
          <w:p w:rsidR="00245E18" w:rsidRPr="00D3599E" w:rsidRDefault="00245E18" w:rsidP="00245E18">
            <w:pPr>
              <w:widowControl/>
              <w:autoSpaceDE/>
              <w:autoSpaceDN/>
              <w:adjustRightInd/>
              <w:rPr>
                <w:rFonts w:cs="Arial"/>
                <w:b/>
                <w:bCs/>
                <w:szCs w:val="18"/>
                <w:lang w:val="fr-FR"/>
              </w:rPr>
            </w:pPr>
            <w:r w:rsidRPr="00D3599E">
              <w:rPr>
                <w:rFonts w:cs="Arial"/>
                <w:b/>
                <w:bCs/>
                <w:szCs w:val="18"/>
                <w:lang w:val="fr-FR"/>
              </w:rPr>
              <w:t xml:space="preserve">Total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212</w:t>
            </w:r>
            <w:r>
              <w:rPr>
                <w:rFonts w:cs="Arial"/>
                <w:b/>
                <w:bCs/>
                <w:szCs w:val="18"/>
              </w:rPr>
              <w:t xml:space="preserve"> </w:t>
            </w:r>
            <w:r w:rsidRPr="00E0707E">
              <w:rPr>
                <w:rFonts w:cs="Arial"/>
                <w:b/>
                <w:bCs/>
                <w:szCs w:val="18"/>
              </w:rPr>
              <w:t xml:space="preserve">068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256</w:t>
            </w:r>
            <w:r>
              <w:rPr>
                <w:rFonts w:cs="Arial"/>
                <w:b/>
                <w:bCs/>
                <w:szCs w:val="18"/>
              </w:rPr>
              <w:t xml:space="preserve"> </w:t>
            </w:r>
            <w:r w:rsidRPr="00E0707E">
              <w:rPr>
                <w:rFonts w:cs="Arial"/>
                <w:b/>
                <w:bCs/>
                <w:szCs w:val="18"/>
              </w:rPr>
              <w:t xml:space="preserve">309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586</w:t>
            </w:r>
            <w:r>
              <w:rPr>
                <w:rFonts w:cs="Arial"/>
                <w:b/>
                <w:bCs/>
                <w:szCs w:val="18"/>
              </w:rPr>
              <w:t xml:space="preserve"> </w:t>
            </w:r>
            <w:r w:rsidRPr="00E0707E">
              <w:rPr>
                <w:rFonts w:cs="Arial"/>
                <w:b/>
                <w:bCs/>
                <w:szCs w:val="18"/>
              </w:rPr>
              <w:t xml:space="preserve">318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054</w:t>
            </w:r>
            <w:r>
              <w:rPr>
                <w:rFonts w:cs="Arial"/>
                <w:b/>
                <w:bCs/>
                <w:szCs w:val="18"/>
              </w:rPr>
              <w:t xml:space="preserve"> </w:t>
            </w:r>
            <w:r w:rsidRPr="00E0707E">
              <w:rPr>
                <w:rFonts w:cs="Arial"/>
                <w:b/>
                <w:bCs/>
                <w:szCs w:val="18"/>
              </w:rPr>
              <w:t xml:space="preserve">696 </w:t>
            </w:r>
          </w:p>
        </w:tc>
      </w:tr>
      <w:tr w:rsidR="0073030B" w:rsidRPr="00E0707E" w:rsidTr="00245E18">
        <w:trPr>
          <w:trHeight w:val="316"/>
          <w:jc w:val="center"/>
        </w:trPr>
        <w:tc>
          <w:tcPr>
            <w:tcW w:w="0" w:type="auto"/>
            <w:tcBorders>
              <w:top w:val="nil"/>
              <w:left w:val="nil"/>
              <w:bottom w:val="single" w:sz="12" w:space="0" w:color="auto"/>
              <w:right w:val="nil"/>
            </w:tcBorders>
            <w:shd w:val="clear" w:color="auto" w:fill="auto"/>
            <w:hideMark/>
          </w:tcPr>
          <w:p w:rsidR="00245E18" w:rsidRPr="00D3599E" w:rsidRDefault="001F4806" w:rsidP="001F4806">
            <w:pPr>
              <w:widowControl/>
              <w:autoSpaceDE/>
              <w:autoSpaceDN/>
              <w:adjustRightInd/>
              <w:rPr>
                <w:rFonts w:cs="Arial"/>
                <w:szCs w:val="18"/>
                <w:lang w:val="fr-FR"/>
              </w:rPr>
            </w:pPr>
            <w:r w:rsidRPr="00D3599E">
              <w:rPr>
                <w:rFonts w:cs="Arial"/>
                <w:szCs w:val="18"/>
                <w:lang w:val="fr-FR"/>
              </w:rPr>
              <w:t>Dépenses</w:t>
            </w:r>
            <w:r w:rsidR="0073030B" w:rsidRPr="00D3599E">
              <w:rPr>
                <w:rFonts w:cs="Arial"/>
                <w:szCs w:val="18"/>
                <w:lang w:val="fr-FR"/>
              </w:rPr>
              <w:t xml:space="preserve"> d’appui au programme</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287</w:t>
            </w:r>
            <w:r>
              <w:rPr>
                <w:rFonts w:cs="Arial"/>
                <w:szCs w:val="18"/>
              </w:rPr>
              <w:t xml:space="preserve"> </w:t>
            </w:r>
            <w:r w:rsidRPr="00E0707E">
              <w:rPr>
                <w:rFonts w:cs="Arial"/>
                <w:szCs w:val="18"/>
              </w:rPr>
              <w:t xml:space="preserve">569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293</w:t>
            </w:r>
            <w:r>
              <w:rPr>
                <w:rFonts w:cs="Arial"/>
                <w:szCs w:val="18"/>
              </w:rPr>
              <w:t xml:space="preserve"> </w:t>
            </w:r>
            <w:r w:rsidRPr="00E0707E">
              <w:rPr>
                <w:rFonts w:cs="Arial"/>
                <w:szCs w:val="18"/>
              </w:rPr>
              <w:t xml:space="preserve">320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r>
              <w:rPr>
                <w:rFonts w:cs="Arial"/>
                <w:szCs w:val="18"/>
              </w:rPr>
              <w:t xml:space="preserve"> </w:t>
            </w:r>
            <w:r w:rsidRPr="00E0707E">
              <w:rPr>
                <w:rFonts w:cs="Arial"/>
                <w:szCs w:val="18"/>
              </w:rPr>
              <w:t xml:space="preserve">221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917</w:t>
            </w:r>
            <w:r>
              <w:rPr>
                <w:rFonts w:cs="Arial"/>
                <w:szCs w:val="18"/>
              </w:rPr>
              <w:t xml:space="preserve"> </w:t>
            </w:r>
            <w:r w:rsidRPr="00E0707E">
              <w:rPr>
                <w:rFonts w:cs="Arial"/>
                <w:szCs w:val="18"/>
              </w:rPr>
              <w:t xml:space="preserve">110 </w:t>
            </w:r>
          </w:p>
        </w:tc>
      </w:tr>
      <w:tr w:rsidR="0073030B" w:rsidRPr="00E0707E" w:rsidTr="00245E18">
        <w:trPr>
          <w:trHeight w:val="316"/>
          <w:jc w:val="center"/>
        </w:trPr>
        <w:tc>
          <w:tcPr>
            <w:tcW w:w="0" w:type="auto"/>
            <w:tcBorders>
              <w:top w:val="single" w:sz="12" w:space="0" w:color="auto"/>
              <w:left w:val="nil"/>
              <w:bottom w:val="single" w:sz="12" w:space="0" w:color="auto"/>
              <w:right w:val="nil"/>
            </w:tcBorders>
            <w:shd w:val="clear" w:color="auto" w:fill="auto"/>
            <w:hideMark/>
          </w:tcPr>
          <w:p w:rsidR="00245E18" w:rsidRPr="00D3599E" w:rsidRDefault="00245E18" w:rsidP="00245E18">
            <w:pPr>
              <w:widowControl/>
              <w:autoSpaceDE/>
              <w:autoSpaceDN/>
              <w:adjustRightInd/>
              <w:rPr>
                <w:rFonts w:cs="Arial"/>
                <w:b/>
                <w:bCs/>
                <w:szCs w:val="18"/>
                <w:lang w:val="fr-FR"/>
              </w:rPr>
            </w:pPr>
            <w:r w:rsidRPr="00D3599E">
              <w:rPr>
                <w:rFonts w:cs="Arial"/>
                <w:b/>
                <w:bCs/>
                <w:szCs w:val="18"/>
                <w:lang w:val="fr-FR"/>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499</w:t>
            </w:r>
            <w:r>
              <w:rPr>
                <w:rFonts w:cs="Arial"/>
                <w:b/>
                <w:bCs/>
                <w:szCs w:val="18"/>
              </w:rPr>
              <w:t xml:space="preserve"> </w:t>
            </w:r>
            <w:r w:rsidRPr="00E0707E">
              <w:rPr>
                <w:rFonts w:cs="Arial"/>
                <w:b/>
                <w:bCs/>
                <w:szCs w:val="18"/>
              </w:rPr>
              <w:t xml:space="preserve">637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549</w:t>
            </w:r>
            <w:r>
              <w:rPr>
                <w:rFonts w:cs="Arial"/>
                <w:b/>
                <w:bCs/>
                <w:szCs w:val="18"/>
              </w:rPr>
              <w:t xml:space="preserve"> </w:t>
            </w:r>
            <w:r w:rsidRPr="00E0707E">
              <w:rPr>
                <w:rFonts w:cs="Arial"/>
                <w:b/>
                <w:bCs/>
                <w:szCs w:val="18"/>
              </w:rPr>
              <w:t xml:space="preserve">630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922</w:t>
            </w:r>
            <w:r>
              <w:rPr>
                <w:rFonts w:cs="Arial"/>
                <w:b/>
                <w:bCs/>
                <w:szCs w:val="18"/>
              </w:rPr>
              <w:t xml:space="preserve"> </w:t>
            </w:r>
            <w:r w:rsidRPr="00E0707E">
              <w:rPr>
                <w:rFonts w:cs="Arial"/>
                <w:b/>
                <w:bCs/>
                <w:szCs w:val="18"/>
              </w:rPr>
              <w:t xml:space="preserve">540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971</w:t>
            </w:r>
            <w:r>
              <w:rPr>
                <w:rFonts w:cs="Arial"/>
                <w:b/>
                <w:bCs/>
                <w:szCs w:val="18"/>
              </w:rPr>
              <w:t xml:space="preserve"> </w:t>
            </w:r>
            <w:r w:rsidRPr="00E0707E">
              <w:rPr>
                <w:rFonts w:cs="Arial"/>
                <w:b/>
                <w:bCs/>
                <w:szCs w:val="18"/>
              </w:rPr>
              <w:t xml:space="preserve">806 </w:t>
            </w:r>
          </w:p>
        </w:tc>
      </w:tr>
    </w:tbl>
    <w:p w:rsidR="00245E18" w:rsidRDefault="00245E18" w:rsidP="00245E18">
      <w:pPr>
        <w:autoSpaceDE/>
        <w:autoSpaceDN/>
        <w:adjustRightInd/>
        <w:spacing w:after="120"/>
        <w:jc w:val="center"/>
        <w:outlineLvl w:val="1"/>
        <w:rPr>
          <w:i/>
          <w:iCs/>
          <w:color w:val="000000"/>
          <w:sz w:val="24"/>
        </w:rPr>
      </w:pPr>
    </w:p>
    <w:p w:rsidR="00245E18" w:rsidRDefault="00245E18" w:rsidP="0003449E">
      <w:pPr>
        <w:widowControl/>
        <w:autoSpaceDE/>
        <w:adjustRightInd/>
        <w:jc w:val="right"/>
        <w:rPr>
          <w:rFonts w:cs="Arial"/>
          <w:sz w:val="22"/>
          <w:szCs w:val="22"/>
          <w:lang w:val="en-GB"/>
        </w:rPr>
        <w:sectPr w:rsidR="00245E18" w:rsidSect="00620809">
          <w:headerReference w:type="first" r:id="rId19"/>
          <w:endnotePr>
            <w:numFmt w:val="decimal"/>
          </w:endnotePr>
          <w:pgSz w:w="11905" w:h="16837" w:code="9"/>
          <w:pgMar w:top="1008" w:right="1411" w:bottom="1152" w:left="1411" w:header="432" w:footer="432" w:gutter="0"/>
          <w:cols w:space="720"/>
          <w:noEndnote/>
          <w:titlePg/>
          <w:docGrid w:linePitch="272"/>
        </w:sectPr>
      </w:pPr>
    </w:p>
    <w:p w:rsidR="00245E18" w:rsidRPr="00245E18" w:rsidRDefault="00245E18" w:rsidP="00245E18">
      <w:pPr>
        <w:widowControl/>
        <w:autoSpaceDE/>
        <w:adjustRightInd/>
        <w:jc w:val="right"/>
        <w:rPr>
          <w:rFonts w:cs="Arial"/>
          <w:b/>
          <w:bCs/>
          <w:caps/>
          <w:sz w:val="22"/>
          <w:szCs w:val="22"/>
        </w:rPr>
      </w:pPr>
      <w:r w:rsidRPr="00245E18">
        <w:rPr>
          <w:rFonts w:cs="Arial"/>
          <w:b/>
          <w:caps/>
          <w:sz w:val="22"/>
          <w:szCs w:val="22"/>
        </w:rPr>
        <w:lastRenderedPageBreak/>
        <w:t>Annex</w:t>
      </w:r>
      <w:r w:rsidR="007B71BE">
        <w:rPr>
          <w:rFonts w:cs="Arial"/>
          <w:b/>
          <w:caps/>
          <w:sz w:val="22"/>
          <w:szCs w:val="22"/>
        </w:rPr>
        <w:t>e</w:t>
      </w:r>
      <w:r w:rsidRPr="00245E18">
        <w:rPr>
          <w:rFonts w:cs="Arial"/>
          <w:b/>
          <w:caps/>
          <w:sz w:val="22"/>
          <w:szCs w:val="22"/>
        </w:rPr>
        <w:t xml:space="preserve"> </w:t>
      </w:r>
      <w:r w:rsidR="009878EA">
        <w:rPr>
          <w:rFonts w:cs="Arial"/>
          <w:b/>
          <w:caps/>
          <w:sz w:val="22"/>
          <w:szCs w:val="22"/>
        </w:rPr>
        <w:t>1</w:t>
      </w:r>
      <w:r w:rsidRPr="00245E18">
        <w:rPr>
          <w:rFonts w:cs="Arial"/>
          <w:b/>
          <w:caps/>
          <w:sz w:val="22"/>
          <w:szCs w:val="22"/>
        </w:rPr>
        <w:t xml:space="preserve"> (c)</w:t>
      </w:r>
    </w:p>
    <w:p w:rsidR="007B71BE" w:rsidRDefault="007B71BE" w:rsidP="00245E18">
      <w:pPr>
        <w:widowControl/>
        <w:autoSpaceDE/>
        <w:autoSpaceDN/>
        <w:adjustRightInd/>
        <w:jc w:val="center"/>
        <w:rPr>
          <w:rFonts w:cs="Arial"/>
          <w:b/>
          <w:bCs/>
          <w:color w:val="000000"/>
          <w:sz w:val="22"/>
          <w:szCs w:val="22"/>
          <w:lang w:val="fr-FR"/>
        </w:rPr>
      </w:pPr>
    </w:p>
    <w:p w:rsidR="00245E18" w:rsidRPr="007B71BE" w:rsidRDefault="007B71BE" w:rsidP="00245E18">
      <w:pPr>
        <w:widowControl/>
        <w:autoSpaceDE/>
        <w:autoSpaceDN/>
        <w:adjustRightInd/>
        <w:jc w:val="center"/>
        <w:rPr>
          <w:rFonts w:cs="Arial"/>
          <w:b/>
          <w:bCs/>
          <w:sz w:val="22"/>
          <w:szCs w:val="22"/>
          <w:lang w:val="fr-FR"/>
        </w:rPr>
      </w:pPr>
      <w:r w:rsidRPr="00C95DDC">
        <w:rPr>
          <w:rFonts w:cs="Arial"/>
          <w:b/>
          <w:bCs/>
          <w:color w:val="000000"/>
          <w:sz w:val="22"/>
          <w:szCs w:val="22"/>
          <w:lang w:val="fr-FR"/>
        </w:rPr>
        <w:t>BUDGET PROPOS</w:t>
      </w:r>
      <w:r>
        <w:rPr>
          <w:rFonts w:cs="Arial"/>
          <w:b/>
          <w:bCs/>
          <w:color w:val="000000"/>
          <w:sz w:val="22"/>
          <w:szCs w:val="22"/>
          <w:lang w:val="fr-FR"/>
        </w:rPr>
        <w:t>É</w:t>
      </w:r>
      <w:r w:rsidRPr="00C95DDC">
        <w:rPr>
          <w:rFonts w:cs="Arial"/>
          <w:b/>
          <w:bCs/>
          <w:color w:val="000000"/>
          <w:sz w:val="22"/>
          <w:szCs w:val="22"/>
          <w:lang w:val="fr-FR"/>
        </w:rPr>
        <w:t xml:space="preserve"> POUR LA P</w:t>
      </w:r>
      <w:r>
        <w:rPr>
          <w:rFonts w:cs="Arial"/>
          <w:b/>
          <w:bCs/>
          <w:color w:val="000000"/>
          <w:sz w:val="22"/>
          <w:szCs w:val="22"/>
          <w:lang w:val="fr-FR"/>
        </w:rPr>
        <w:t>É</w:t>
      </w:r>
      <w:r w:rsidRPr="00C95DDC">
        <w:rPr>
          <w:rFonts w:cs="Arial"/>
          <w:b/>
          <w:bCs/>
          <w:color w:val="000000"/>
          <w:sz w:val="22"/>
          <w:szCs w:val="22"/>
          <w:lang w:val="fr-FR"/>
        </w:rPr>
        <w:t>RIODE TRIENNALE 2018 - 2020</w:t>
      </w:r>
      <w:r w:rsidRPr="00FF06ED">
        <w:rPr>
          <w:rFonts w:cs="Arial"/>
          <w:b/>
          <w:bCs/>
          <w:sz w:val="22"/>
          <w:szCs w:val="22"/>
          <w:lang w:val="fr-FR"/>
        </w:rPr>
        <w:t>:</w:t>
      </w:r>
      <w:r w:rsidR="00245E18" w:rsidRPr="007B71BE">
        <w:rPr>
          <w:rFonts w:cs="Arial"/>
          <w:b/>
          <w:bCs/>
          <w:sz w:val="22"/>
          <w:szCs w:val="22"/>
          <w:lang w:val="fr-FR"/>
        </w:rPr>
        <w:t xml:space="preserve"> </w:t>
      </w:r>
    </w:p>
    <w:p w:rsidR="00245E18" w:rsidRPr="00062FAE" w:rsidRDefault="00245E18" w:rsidP="00245E18">
      <w:pPr>
        <w:autoSpaceDE/>
        <w:autoSpaceDN/>
        <w:adjustRightInd/>
        <w:spacing w:after="120"/>
        <w:jc w:val="center"/>
        <w:outlineLvl w:val="1"/>
        <w:rPr>
          <w:rFonts w:cs="Arial"/>
          <w:b/>
          <w:bCs/>
          <w:iCs/>
          <w:color w:val="000000"/>
          <w:sz w:val="22"/>
          <w:szCs w:val="22"/>
          <w:lang w:val="fr-FR"/>
        </w:rPr>
      </w:pPr>
      <w:r w:rsidRPr="00062FAE">
        <w:rPr>
          <w:rFonts w:cs="Arial"/>
          <w:b/>
          <w:bCs/>
          <w:iCs/>
          <w:color w:val="000000"/>
          <w:sz w:val="22"/>
          <w:szCs w:val="22"/>
          <w:lang w:val="fr-FR"/>
        </w:rPr>
        <w:t>SC</w:t>
      </w:r>
      <w:r w:rsidR="007B71BE" w:rsidRPr="00062FAE">
        <w:rPr>
          <w:rFonts w:cs="Arial"/>
          <w:b/>
          <w:bCs/>
          <w:iCs/>
          <w:color w:val="000000"/>
          <w:sz w:val="22"/>
          <w:szCs w:val="22"/>
          <w:lang w:val="fr-FR"/>
        </w:rPr>
        <w:t>É</w:t>
      </w:r>
      <w:r w:rsidRPr="00062FAE">
        <w:rPr>
          <w:rFonts w:cs="Arial"/>
          <w:b/>
          <w:bCs/>
          <w:iCs/>
          <w:color w:val="000000"/>
          <w:sz w:val="22"/>
          <w:szCs w:val="22"/>
          <w:lang w:val="fr-FR"/>
        </w:rPr>
        <w:t xml:space="preserve">NARIO 3 </w:t>
      </w:r>
    </w:p>
    <w:p w:rsidR="00245E18" w:rsidRPr="007B71BE" w:rsidRDefault="00245E18" w:rsidP="00245E18">
      <w:pPr>
        <w:autoSpaceDE/>
        <w:autoSpaceDN/>
        <w:adjustRightInd/>
        <w:spacing w:after="120"/>
        <w:jc w:val="center"/>
        <w:outlineLvl w:val="1"/>
        <w:rPr>
          <w:rFonts w:cs="Arial"/>
          <w:szCs w:val="18"/>
          <w:lang w:val="fr-FR"/>
        </w:rPr>
      </w:pPr>
      <w:r w:rsidRPr="007B71BE">
        <w:rPr>
          <w:rFonts w:cs="Arial"/>
          <w:iCs/>
          <w:color w:val="000000"/>
          <w:szCs w:val="18"/>
          <w:lang w:val="fr-FR"/>
        </w:rPr>
        <w:t>(</w:t>
      </w:r>
      <w:r w:rsidR="007B71BE" w:rsidRPr="007B71BE">
        <w:rPr>
          <w:rFonts w:cs="Arial"/>
          <w:iCs/>
          <w:color w:val="000000"/>
          <w:szCs w:val="18"/>
          <w:lang w:val="fr-FR"/>
        </w:rPr>
        <w:t>tous les chiffres sont en euros</w:t>
      </w:r>
      <w:r w:rsidRPr="007B71BE">
        <w:rPr>
          <w:rFonts w:cs="Arial"/>
          <w:iCs/>
          <w:color w:val="000000"/>
          <w:szCs w:val="18"/>
          <w:lang w:val="fr-FR"/>
        </w:rPr>
        <w:t>)</w:t>
      </w:r>
    </w:p>
    <w:tbl>
      <w:tblPr>
        <w:tblW w:w="9454" w:type="dxa"/>
        <w:jc w:val="center"/>
        <w:tblLook w:val="04A0" w:firstRow="1" w:lastRow="0" w:firstColumn="1" w:lastColumn="0" w:noHBand="0" w:noVBand="1"/>
      </w:tblPr>
      <w:tblGrid>
        <w:gridCol w:w="5779"/>
        <w:gridCol w:w="1017"/>
        <w:gridCol w:w="1017"/>
        <w:gridCol w:w="1017"/>
        <w:gridCol w:w="1017"/>
      </w:tblGrid>
      <w:tr w:rsidR="007B71BE" w:rsidRPr="002244F9" w:rsidTr="000B4A25">
        <w:trPr>
          <w:trHeight w:val="524"/>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D3599E" w:rsidRDefault="00245E18" w:rsidP="007B71BE">
            <w:pPr>
              <w:widowControl/>
              <w:autoSpaceDE/>
              <w:autoSpaceDN/>
              <w:adjustRightInd/>
              <w:rPr>
                <w:rFonts w:cs="Arial"/>
                <w:b/>
                <w:bCs/>
                <w:i/>
                <w:iCs/>
                <w:szCs w:val="18"/>
                <w:lang w:val="fr-FR"/>
              </w:rPr>
            </w:pPr>
            <w:r w:rsidRPr="00D3599E">
              <w:rPr>
                <w:rFonts w:cs="Arial"/>
                <w:b/>
                <w:bCs/>
                <w:i/>
                <w:iCs/>
                <w:szCs w:val="18"/>
                <w:lang w:val="fr-FR"/>
              </w:rPr>
              <w:t xml:space="preserve">Objet </w:t>
            </w:r>
            <w:r w:rsidR="007B71BE" w:rsidRPr="00D3599E">
              <w:rPr>
                <w:rFonts w:cs="Arial"/>
                <w:b/>
                <w:bCs/>
                <w:i/>
                <w:iCs/>
                <w:szCs w:val="18"/>
                <w:lang w:val="fr-FR"/>
              </w:rPr>
              <w:t>de dépense</w:t>
            </w:r>
            <w:r w:rsidRPr="00D3599E">
              <w:rPr>
                <w:rFonts w:cs="Arial"/>
                <w:b/>
                <w:bCs/>
                <w:i/>
                <w:iCs/>
                <w:szCs w:val="18"/>
                <w:lang w:val="fr-FR"/>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2018</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2019</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2020</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Total</w:t>
            </w:r>
          </w:p>
        </w:tc>
      </w:tr>
      <w:tr w:rsidR="007B71BE" w:rsidRPr="002244F9" w:rsidTr="000B4A25">
        <w:trPr>
          <w:trHeight w:val="316"/>
          <w:jc w:val="center"/>
        </w:trPr>
        <w:tc>
          <w:tcPr>
            <w:tcW w:w="0" w:type="auto"/>
            <w:tcBorders>
              <w:top w:val="single" w:sz="12" w:space="0" w:color="auto"/>
              <w:left w:val="nil"/>
              <w:bottom w:val="nil"/>
              <w:right w:val="nil"/>
            </w:tcBorders>
            <w:shd w:val="clear" w:color="auto" w:fill="auto"/>
            <w:noWrap/>
            <w:hideMark/>
          </w:tcPr>
          <w:p w:rsidR="00245E18" w:rsidRPr="00D3599E" w:rsidRDefault="007B71BE" w:rsidP="00941129">
            <w:pPr>
              <w:widowControl/>
              <w:autoSpaceDE/>
              <w:autoSpaceDN/>
              <w:adjustRightInd/>
              <w:rPr>
                <w:rFonts w:cs="Arial"/>
                <w:b/>
                <w:bCs/>
                <w:szCs w:val="18"/>
                <w:lang w:val="fr-FR"/>
              </w:rPr>
            </w:pPr>
            <w:r w:rsidRPr="00D3599E">
              <w:rPr>
                <w:rFonts w:cs="Arial"/>
                <w:b/>
                <w:bCs/>
                <w:szCs w:val="18"/>
                <w:lang w:val="fr-FR"/>
              </w:rPr>
              <w:t>Co</w:t>
            </w:r>
            <w:r w:rsidR="00941129" w:rsidRPr="00D3599E">
              <w:rPr>
                <w:rFonts w:cs="Arial"/>
                <w:b/>
                <w:bCs/>
                <w:szCs w:val="18"/>
                <w:lang w:val="fr-FR"/>
              </w:rPr>
              <w:t>û</w:t>
            </w:r>
            <w:r w:rsidRPr="00D3599E">
              <w:rPr>
                <w:rFonts w:cs="Arial"/>
                <w:b/>
                <w:bCs/>
                <w:szCs w:val="18"/>
                <w:lang w:val="fr-FR"/>
              </w:rPr>
              <w:t>ts de personnel</w:t>
            </w: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245E18" w:rsidP="007B71BE">
            <w:pPr>
              <w:widowControl/>
              <w:autoSpaceDE/>
              <w:autoSpaceDN/>
              <w:adjustRightInd/>
              <w:rPr>
                <w:rFonts w:cs="Arial"/>
                <w:color w:val="FF0000"/>
                <w:szCs w:val="18"/>
                <w:lang w:val="fr-FR"/>
              </w:rPr>
            </w:pPr>
            <w:r w:rsidRPr="00D3599E">
              <w:rPr>
                <w:rFonts w:cs="Arial"/>
                <w:color w:val="FF0000"/>
                <w:szCs w:val="18"/>
                <w:lang w:val="fr-FR"/>
              </w:rPr>
              <w:t>P</w:t>
            </w:r>
            <w:r w:rsidR="007B71BE" w:rsidRPr="00D3599E">
              <w:rPr>
                <w:rFonts w:cs="Arial"/>
                <w:color w:val="FF0000"/>
                <w:szCs w:val="18"/>
                <w:lang w:val="fr-FR"/>
              </w:rPr>
              <w:t>ersonnel professionnel</w:t>
            </w:r>
            <w:r w:rsidRPr="00D3599E">
              <w:rPr>
                <w:rFonts w:cs="Arial"/>
                <w:color w:val="FF0000"/>
                <w:szCs w:val="18"/>
                <w:lang w:val="fr-FR"/>
              </w:rPr>
              <w:t xml:space="preserve">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1 437 059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1 465 800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1 495 116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4 397 976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941129">
            <w:pPr>
              <w:widowControl/>
              <w:autoSpaceDE/>
              <w:autoSpaceDN/>
              <w:adjustRightInd/>
              <w:rPr>
                <w:rFonts w:cs="Arial"/>
                <w:szCs w:val="18"/>
                <w:lang w:val="fr-FR"/>
              </w:rPr>
            </w:pPr>
            <w:r w:rsidRPr="00D3599E">
              <w:rPr>
                <w:rFonts w:cs="Arial"/>
                <w:szCs w:val="18"/>
                <w:lang w:val="fr-FR"/>
              </w:rPr>
              <w:t>Personnel de</w:t>
            </w:r>
            <w:r w:rsidR="00941129" w:rsidRPr="00D3599E">
              <w:rPr>
                <w:rFonts w:cs="Arial"/>
                <w:szCs w:val="18"/>
                <w:lang w:val="fr-FR"/>
              </w:rPr>
              <w:t>s services généraux</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472 732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482 186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491 830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1 446 747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245E18" w:rsidP="007B71BE">
            <w:pPr>
              <w:widowControl/>
              <w:autoSpaceDE/>
              <w:autoSpaceDN/>
              <w:adjustRightInd/>
              <w:rPr>
                <w:rFonts w:cs="Arial"/>
                <w:color w:val="FF0000"/>
                <w:szCs w:val="18"/>
                <w:lang w:val="fr-FR"/>
              </w:rPr>
            </w:pPr>
            <w:r w:rsidRPr="00D3599E">
              <w:rPr>
                <w:rFonts w:cs="Arial"/>
                <w:color w:val="FF0000"/>
                <w:szCs w:val="18"/>
                <w:lang w:val="fr-FR"/>
              </w:rPr>
              <w:t xml:space="preserve">Consultant </w:t>
            </w:r>
            <w:r w:rsidR="007B71BE" w:rsidRPr="00D3599E">
              <w:rPr>
                <w:rFonts w:cs="Arial"/>
                <w:color w:val="FF0000"/>
                <w:szCs w:val="18"/>
                <w:lang w:val="fr-FR"/>
              </w:rPr>
              <w:t xml:space="preserve">– </w:t>
            </w:r>
            <w:r w:rsidRPr="00D3599E">
              <w:rPr>
                <w:rFonts w:cs="Arial"/>
                <w:color w:val="FF0000"/>
                <w:szCs w:val="18"/>
                <w:lang w:val="fr-FR"/>
              </w:rPr>
              <w:t>Analys</w:t>
            </w:r>
            <w:r w:rsidR="007B71BE" w:rsidRPr="00D3599E">
              <w:rPr>
                <w:rFonts w:cs="Arial"/>
                <w:color w:val="FF0000"/>
                <w:szCs w:val="18"/>
                <w:lang w:val="fr-FR"/>
              </w:rPr>
              <w:t>e de rapports nationaux</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25 000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25 000 </w:t>
            </w:r>
          </w:p>
        </w:tc>
      </w:tr>
      <w:tr w:rsidR="007B71BE"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7B71BE">
            <w:pPr>
              <w:widowControl/>
              <w:autoSpaceDE/>
              <w:autoSpaceDN/>
              <w:adjustRightInd/>
              <w:rPr>
                <w:rFonts w:cs="Arial"/>
                <w:b/>
                <w:bCs/>
                <w:szCs w:val="18"/>
                <w:lang w:val="fr-FR"/>
              </w:rPr>
            </w:pPr>
            <w:r w:rsidRPr="00D3599E">
              <w:rPr>
                <w:rFonts w:cs="Arial"/>
                <w:b/>
                <w:bCs/>
                <w:szCs w:val="18"/>
                <w:lang w:val="fr-FR"/>
              </w:rPr>
              <w:t>S</w:t>
            </w:r>
            <w:r w:rsidR="007B71BE"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1 909 791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1 947 986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2 011 946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5 869 723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b/>
                <w:bCs/>
                <w:szCs w:val="18"/>
                <w:lang w:val="fr-FR"/>
              </w:rPr>
            </w:pPr>
            <w:r w:rsidRPr="00D3599E">
              <w:rPr>
                <w:rFonts w:cs="Arial"/>
                <w:b/>
                <w:bCs/>
                <w:szCs w:val="18"/>
                <w:lang w:val="fr-FR"/>
              </w:rPr>
              <w:t>Services contractuels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Services contractuels</w:t>
            </w:r>
            <w:r w:rsidR="00245E18" w:rsidRPr="00D3599E">
              <w:rPr>
                <w:rFonts w:cs="Arial"/>
                <w:szCs w:val="18"/>
                <w:lang w:val="fr-FR"/>
              </w:rPr>
              <w:t xml:space="preserve"> (</w:t>
            </w:r>
            <w:r w:rsidRPr="00D3599E">
              <w:rPr>
                <w:rFonts w:cs="Arial"/>
                <w:szCs w:val="18"/>
                <w:lang w:val="fr-FR"/>
              </w:rPr>
              <w:t>traductions générales et édition de documents</w:t>
            </w:r>
            <w:r w:rsidR="00245E18" w:rsidRPr="00D3599E">
              <w:rPr>
                <w:rFonts w:cs="Arial"/>
                <w:szCs w:val="18"/>
                <w:lang w:val="fr-FR"/>
              </w:rPr>
              <w: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90 168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91 971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93 811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275 950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245E18" w:rsidP="007B71BE">
            <w:pPr>
              <w:widowControl/>
              <w:autoSpaceDE/>
              <w:autoSpaceDN/>
              <w:adjustRightInd/>
              <w:rPr>
                <w:rFonts w:cs="Arial"/>
                <w:szCs w:val="18"/>
                <w:lang w:val="fr-FR"/>
              </w:rPr>
            </w:pPr>
            <w:r w:rsidRPr="00D3599E">
              <w:rPr>
                <w:rFonts w:cs="Arial"/>
                <w:szCs w:val="18"/>
                <w:lang w:val="fr-FR"/>
              </w:rPr>
              <w:t>Servic</w:t>
            </w:r>
            <w:r w:rsidR="007B71BE" w:rsidRPr="00D3599E">
              <w:rPr>
                <w:rFonts w:cs="Arial"/>
                <w:szCs w:val="18"/>
                <w:lang w:val="fr-FR"/>
              </w:rPr>
              <w:t>es de la</w:t>
            </w:r>
            <w:r w:rsidRPr="00D3599E">
              <w:rPr>
                <w:rFonts w:cs="Arial"/>
                <w:szCs w:val="18"/>
                <w:lang w:val="fr-FR"/>
              </w:rPr>
              <w:t xml:space="preserve"> COP13 (interpr</w:t>
            </w:r>
            <w:r w:rsidR="007B71BE" w:rsidRPr="00D3599E">
              <w:rPr>
                <w:rFonts w:cs="Arial"/>
                <w:szCs w:val="18"/>
                <w:lang w:val="fr-FR"/>
              </w:rPr>
              <w:t>é</w:t>
            </w:r>
            <w:r w:rsidRPr="00D3599E">
              <w:rPr>
                <w:rFonts w:cs="Arial"/>
                <w:szCs w:val="18"/>
                <w:lang w:val="fr-FR"/>
              </w:rPr>
              <w:t xml:space="preserve">tation, </w:t>
            </w:r>
            <w:r w:rsidR="007B71BE" w:rsidRPr="00D3599E">
              <w:rPr>
                <w:rFonts w:cs="Arial"/>
                <w:szCs w:val="18"/>
                <w:lang w:val="fr-FR"/>
              </w:rPr>
              <w:t>rédaction de rapports,</w:t>
            </w:r>
            <w:r w:rsidRPr="00D3599E">
              <w:rPr>
                <w:rFonts w:cs="Arial"/>
                <w:szCs w:val="18"/>
                <w:lang w:val="fr-FR"/>
              </w:rPr>
              <w:t xml:space="preserve"> etc.)</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307 073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307 073 </w:t>
            </w: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Production de matériel d’information</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12 750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13 005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13 265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39 020 </w:t>
            </w:r>
          </w:p>
        </w:tc>
      </w:tr>
      <w:tr w:rsidR="007B71BE"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7B71BE" w:rsidP="007B71BE">
            <w:pPr>
              <w:widowControl/>
              <w:autoSpaceDE/>
              <w:autoSpaceDN/>
              <w:adjustRightInd/>
              <w:rPr>
                <w:rFonts w:cs="Arial"/>
                <w:b/>
                <w:bCs/>
                <w:szCs w:val="18"/>
                <w:lang w:val="fr-FR"/>
              </w:rPr>
            </w:pPr>
            <w:r w:rsidRPr="00D3599E">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102 918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104 976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414 149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622 043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b/>
                <w:bCs/>
                <w:szCs w:val="18"/>
                <w:lang w:val="fr-FR"/>
              </w:rPr>
            </w:pPr>
            <w:r w:rsidRPr="00D3599E">
              <w:rPr>
                <w:rFonts w:cs="Arial"/>
                <w:b/>
                <w:bCs/>
                <w:szCs w:val="18"/>
                <w:lang w:val="fr-FR"/>
              </w:rPr>
              <w:t>Coûts de fonctionnement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 xml:space="preserve">Outils TIC - </w:t>
            </w:r>
            <w:r w:rsidRPr="00D3599E">
              <w:rPr>
                <w:rFonts w:cs="Arial"/>
                <w:color w:val="000000"/>
                <w:szCs w:val="18"/>
                <w:lang w:val="fr-FR"/>
              </w:rPr>
              <w:t>Développement et maintenance du site web</w:t>
            </w:r>
            <w:r w:rsidRPr="00D3599E">
              <w:rPr>
                <w:rFonts w:cs="Arial"/>
                <w:szCs w:val="18"/>
                <w:lang w:val="fr-FR"/>
              </w:rPr>
              <w:t xml:space="preserve">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6 630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6 763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6 898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20 290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Évolution du personnel</w:t>
            </w:r>
            <w:r w:rsidR="00245E18" w:rsidRPr="00D3599E">
              <w:rPr>
                <w:rFonts w:cs="Arial"/>
                <w:szCs w:val="18"/>
                <w:lang w:val="fr-FR"/>
              </w:rPr>
              <w:t xml:space="preserve"> (</w:t>
            </w:r>
            <w:r w:rsidRPr="00D3599E">
              <w:rPr>
                <w:rFonts w:cs="Arial"/>
                <w:szCs w:val="18"/>
                <w:lang w:val="fr-FR"/>
              </w:rPr>
              <w:t>formation, retraites</w:t>
            </w:r>
            <w:r w:rsidR="00245E18" w:rsidRPr="00D3599E">
              <w:rPr>
                <w:rFonts w:cs="Arial"/>
                <w:szCs w:val="18"/>
                <w:lang w:val="fr-FR"/>
              </w:rPr>
              <w: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10 200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10 404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10 612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31 216 </w:t>
            </w: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Services informatiques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71 400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72 828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74 285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218 513 </w:t>
            </w: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7B71BE" w:rsidP="00830764">
            <w:pPr>
              <w:widowControl/>
              <w:autoSpaceDE/>
              <w:autoSpaceDN/>
              <w:adjustRightInd/>
              <w:rPr>
                <w:rFonts w:cs="Arial"/>
                <w:szCs w:val="18"/>
                <w:lang w:val="fr-FR"/>
              </w:rPr>
            </w:pPr>
            <w:r w:rsidRPr="00D3599E">
              <w:rPr>
                <w:rFonts w:cs="Arial"/>
                <w:szCs w:val="18"/>
                <w:lang w:val="fr-FR"/>
              </w:rPr>
              <w:t>Services bureautiques</w:t>
            </w:r>
            <w:r w:rsidR="00245E18" w:rsidRPr="00D3599E">
              <w:rPr>
                <w:rFonts w:cs="Arial"/>
                <w:szCs w:val="18"/>
                <w:lang w:val="fr-FR"/>
              </w:rPr>
              <w:t xml:space="preserve"> (</w:t>
            </w:r>
            <w:r w:rsidR="00941129" w:rsidRPr="00D3599E">
              <w:rPr>
                <w:rFonts w:cs="Arial"/>
                <w:szCs w:val="18"/>
                <w:lang w:val="fr-FR"/>
              </w:rPr>
              <w:t>locations d’</w:t>
            </w:r>
            <w:r w:rsidRPr="00D3599E">
              <w:rPr>
                <w:rFonts w:cs="Arial"/>
                <w:szCs w:val="18"/>
                <w:lang w:val="fr-FR"/>
              </w:rPr>
              <w:t xml:space="preserve">imprimantes, </w:t>
            </w:r>
            <w:r w:rsidR="00941129" w:rsidRPr="00D3599E">
              <w:rPr>
                <w:rFonts w:cs="Arial"/>
                <w:szCs w:val="18"/>
                <w:lang w:val="fr-FR"/>
              </w:rPr>
              <w:t xml:space="preserve">hébergements, </w:t>
            </w:r>
            <w:r w:rsidRPr="00D3599E">
              <w:rPr>
                <w:rFonts w:cs="Arial"/>
                <w:szCs w:val="18"/>
                <w:lang w:val="fr-FR"/>
              </w:rPr>
              <w:t>etc.</w:t>
            </w:r>
            <w:r w:rsidR="00245E18" w:rsidRPr="00D3599E">
              <w:rPr>
                <w:rFonts w:cs="Arial"/>
                <w:szCs w:val="18"/>
                <w:lang w:val="fr-FR"/>
              </w:rPr>
              <w: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10 200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10 404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10 612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31 216 </w:t>
            </w: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Services de communication et de courrier</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17 850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18 207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18 571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54 628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Divers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3 813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3 889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3 967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11 669 </w:t>
            </w:r>
          </w:p>
        </w:tc>
      </w:tr>
      <w:tr w:rsidR="007B71BE"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D3599E" w:rsidRDefault="00245E18" w:rsidP="007B71BE">
            <w:pPr>
              <w:widowControl/>
              <w:autoSpaceDE/>
              <w:autoSpaceDN/>
              <w:adjustRightInd/>
              <w:rPr>
                <w:rFonts w:cs="Arial"/>
                <w:b/>
                <w:bCs/>
                <w:szCs w:val="18"/>
                <w:lang w:val="fr-FR"/>
              </w:rPr>
            </w:pPr>
            <w:r w:rsidRPr="00D3599E">
              <w:rPr>
                <w:rFonts w:cs="Arial"/>
                <w:b/>
                <w:bCs/>
                <w:szCs w:val="18"/>
                <w:lang w:val="fr-FR"/>
              </w:rPr>
              <w:t>S</w:t>
            </w:r>
            <w:r w:rsidR="007B71BE"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120 093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122 495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124 945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367 532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7B71BE" w:rsidP="007B71BE">
            <w:pPr>
              <w:widowControl/>
              <w:autoSpaceDE/>
              <w:autoSpaceDN/>
              <w:adjustRightInd/>
              <w:rPr>
                <w:rFonts w:cs="Arial"/>
                <w:b/>
                <w:bCs/>
                <w:szCs w:val="18"/>
                <w:lang w:val="fr-FR"/>
              </w:rPr>
            </w:pPr>
            <w:r w:rsidRPr="00D3599E">
              <w:rPr>
                <w:rFonts w:cs="Arial"/>
                <w:b/>
                <w:bCs/>
                <w:szCs w:val="18"/>
                <w:lang w:val="fr-FR"/>
              </w:rPr>
              <w:t>Fournitures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7B71BE" w:rsidP="007B71BE">
            <w:pPr>
              <w:widowControl/>
              <w:autoSpaceDE/>
              <w:autoSpaceDN/>
              <w:adjustRightInd/>
              <w:rPr>
                <w:rFonts w:cs="Arial"/>
                <w:szCs w:val="18"/>
                <w:lang w:val="fr-FR"/>
              </w:rPr>
            </w:pPr>
            <w:r w:rsidRPr="00D3599E">
              <w:rPr>
                <w:rFonts w:cs="Arial"/>
                <w:szCs w:val="18"/>
                <w:lang w:val="fr-FR"/>
              </w:rPr>
              <w:t>Fournitures de bureau</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5 916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6 034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6 155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18 105 </w:t>
            </w:r>
          </w:p>
        </w:tc>
      </w:tr>
      <w:tr w:rsidR="007B71BE" w:rsidRPr="002244F9" w:rsidTr="000B4A25">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7B71BE" w:rsidP="007B71BE">
            <w:pPr>
              <w:widowControl/>
              <w:autoSpaceDE/>
              <w:autoSpaceDN/>
              <w:adjustRightInd/>
              <w:rPr>
                <w:rFonts w:cs="Arial"/>
                <w:b/>
                <w:bCs/>
                <w:szCs w:val="18"/>
                <w:lang w:val="fr-FR"/>
              </w:rPr>
            </w:pPr>
            <w:r w:rsidRPr="00D3599E">
              <w:rPr>
                <w:rFonts w:cs="Arial"/>
                <w:b/>
                <w:bCs/>
                <w:szCs w:val="18"/>
                <w:lang w:val="fr-FR"/>
              </w:rPr>
              <w:t>Sous-total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5 916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6 034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6 155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18 105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8F56A2" w:rsidP="008F56A2">
            <w:pPr>
              <w:widowControl/>
              <w:autoSpaceDE/>
              <w:autoSpaceDN/>
              <w:adjustRightInd/>
              <w:rPr>
                <w:rFonts w:cs="Arial"/>
                <w:b/>
                <w:bCs/>
                <w:szCs w:val="18"/>
                <w:lang w:val="fr-FR"/>
              </w:rPr>
            </w:pPr>
            <w:r w:rsidRPr="00D3599E">
              <w:rPr>
                <w:rFonts w:cs="Arial"/>
                <w:b/>
                <w:bCs/>
                <w:szCs w:val="18"/>
                <w:lang w:val="fr-FR"/>
              </w:rPr>
              <w:t>Matériel</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hideMark/>
          </w:tcPr>
          <w:p w:rsidR="00245E18" w:rsidRPr="00D3599E" w:rsidRDefault="008F56A2" w:rsidP="008F56A2">
            <w:pPr>
              <w:widowControl/>
              <w:autoSpaceDE/>
              <w:autoSpaceDN/>
              <w:adjustRightInd/>
              <w:rPr>
                <w:rFonts w:cs="Arial"/>
                <w:szCs w:val="18"/>
                <w:lang w:val="fr-FR"/>
              </w:rPr>
            </w:pPr>
            <w:r w:rsidRPr="00D3599E">
              <w:rPr>
                <w:rFonts w:cs="Arial"/>
                <w:szCs w:val="18"/>
                <w:lang w:val="fr-FR"/>
              </w:rPr>
              <w:t>Matériel non durable</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10 710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10 924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11 143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32 777 </w:t>
            </w:r>
          </w:p>
        </w:tc>
      </w:tr>
      <w:tr w:rsidR="007B71BE" w:rsidRPr="002244F9" w:rsidTr="000B4A25">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D3599E" w:rsidRDefault="00245E18" w:rsidP="008F56A2">
            <w:pPr>
              <w:widowControl/>
              <w:autoSpaceDE/>
              <w:autoSpaceDN/>
              <w:adjustRightInd/>
              <w:rPr>
                <w:rFonts w:cs="Arial"/>
                <w:b/>
                <w:bCs/>
                <w:szCs w:val="18"/>
                <w:lang w:val="fr-FR"/>
              </w:rPr>
            </w:pPr>
            <w:r w:rsidRPr="00D3599E">
              <w:rPr>
                <w:rFonts w:cs="Arial"/>
                <w:b/>
                <w:bCs/>
                <w:szCs w:val="18"/>
                <w:lang w:val="fr-FR"/>
              </w:rPr>
              <w:t>S</w:t>
            </w:r>
            <w:r w:rsidR="008F56A2" w:rsidRPr="00D3599E">
              <w:rPr>
                <w:rFonts w:cs="Arial"/>
                <w:b/>
                <w:bCs/>
                <w:szCs w:val="18"/>
                <w:lang w:val="fr-FR"/>
              </w:rPr>
              <w:t>ous-total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10 710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10 924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11 143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32 777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1F4806" w:rsidP="001F4806">
            <w:pPr>
              <w:widowControl/>
              <w:autoSpaceDE/>
              <w:autoSpaceDN/>
              <w:adjustRightInd/>
              <w:rPr>
                <w:rFonts w:cs="Arial"/>
                <w:b/>
                <w:bCs/>
                <w:szCs w:val="18"/>
                <w:lang w:val="fr-FR"/>
              </w:rPr>
            </w:pPr>
            <w:r w:rsidRPr="00D3599E">
              <w:rPr>
                <w:rFonts w:cs="Arial"/>
                <w:b/>
                <w:bCs/>
                <w:szCs w:val="18"/>
                <w:lang w:val="fr-FR"/>
              </w:rPr>
              <w:t>V</w:t>
            </w:r>
            <w:r w:rsidR="008F56A2" w:rsidRPr="00D3599E">
              <w:rPr>
                <w:rFonts w:cs="Arial"/>
                <w:b/>
                <w:bCs/>
                <w:szCs w:val="18"/>
                <w:lang w:val="fr-FR"/>
              </w:rPr>
              <w:t>oyage</w:t>
            </w:r>
            <w:r w:rsidRPr="00D3599E">
              <w:rPr>
                <w:rFonts w:cs="Arial"/>
                <w:b/>
                <w:bCs/>
                <w:szCs w:val="18"/>
                <w:lang w:val="fr-FR"/>
              </w:rPr>
              <w:t>s</w:t>
            </w:r>
            <w:r w:rsidR="00245E18" w:rsidRPr="00D3599E">
              <w:rPr>
                <w:rFonts w:cs="Arial"/>
                <w:b/>
                <w:bCs/>
                <w:szCs w:val="18"/>
                <w:lang w:val="fr-FR"/>
              </w:rPr>
              <w:t xml:space="preserve">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8F56A2" w:rsidP="0098718F">
            <w:pPr>
              <w:widowControl/>
              <w:autoSpaceDE/>
              <w:autoSpaceDN/>
              <w:adjustRightInd/>
              <w:rPr>
                <w:rFonts w:cs="Arial"/>
                <w:szCs w:val="18"/>
                <w:lang w:val="fr-FR"/>
              </w:rPr>
            </w:pPr>
            <w:r w:rsidRPr="00D3599E">
              <w:rPr>
                <w:rFonts w:cs="Arial"/>
                <w:szCs w:val="18"/>
                <w:lang w:val="fr-FR"/>
              </w:rPr>
              <w:t>Déplacem</w:t>
            </w:r>
            <w:r w:rsidR="0098718F" w:rsidRPr="00D3599E">
              <w:rPr>
                <w:rFonts w:cs="Arial"/>
                <w:szCs w:val="18"/>
                <w:lang w:val="fr-FR"/>
              </w:rPr>
              <w:t>ents</w:t>
            </w:r>
            <w:r w:rsidRPr="00D3599E">
              <w:rPr>
                <w:rFonts w:cs="Arial"/>
                <w:szCs w:val="18"/>
                <w:lang w:val="fr-FR"/>
              </w:rPr>
              <w:t xml:space="preserve"> du personnel</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64 974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66 273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67 599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198 846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98718F" w:rsidP="0098718F">
            <w:pPr>
              <w:widowControl/>
              <w:autoSpaceDE/>
              <w:autoSpaceDN/>
              <w:adjustRightInd/>
              <w:rPr>
                <w:rFonts w:cs="Arial"/>
                <w:szCs w:val="18"/>
                <w:lang w:val="fr-FR"/>
              </w:rPr>
            </w:pPr>
            <w:r w:rsidRPr="00D3599E">
              <w:rPr>
                <w:rFonts w:cs="Arial"/>
                <w:szCs w:val="18"/>
                <w:lang w:val="fr-FR"/>
              </w:rPr>
              <w:t xml:space="preserve">Déplacements du personnel </w:t>
            </w:r>
            <w:r w:rsidR="00245E18" w:rsidRPr="00D3599E">
              <w:rPr>
                <w:rFonts w:cs="Arial"/>
                <w:szCs w:val="18"/>
                <w:lang w:val="fr-FR"/>
              </w:rPr>
              <w:t>- COP13</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56 245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56 245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98718F" w:rsidP="0098718F">
            <w:pPr>
              <w:widowControl/>
              <w:autoSpaceDE/>
              <w:autoSpaceDN/>
              <w:adjustRightInd/>
              <w:rPr>
                <w:rFonts w:cs="Arial"/>
                <w:szCs w:val="18"/>
                <w:lang w:val="fr-FR"/>
              </w:rPr>
            </w:pPr>
            <w:r w:rsidRPr="00D3599E">
              <w:rPr>
                <w:rFonts w:cs="Arial"/>
                <w:szCs w:val="18"/>
                <w:lang w:val="fr-FR"/>
              </w:rPr>
              <w:t>Réunions du Comité permanent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22 965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23 425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46 390 </w:t>
            </w:r>
          </w:p>
        </w:tc>
      </w:tr>
      <w:tr w:rsidR="007B71BE" w:rsidRPr="002244F9" w:rsidTr="000B4A25">
        <w:trPr>
          <w:trHeight w:val="316"/>
          <w:jc w:val="center"/>
        </w:trPr>
        <w:tc>
          <w:tcPr>
            <w:tcW w:w="0" w:type="auto"/>
            <w:tcBorders>
              <w:top w:val="nil"/>
              <w:left w:val="nil"/>
              <w:bottom w:val="nil"/>
              <w:right w:val="nil"/>
            </w:tcBorders>
            <w:shd w:val="clear" w:color="auto" w:fill="auto"/>
            <w:noWrap/>
            <w:hideMark/>
          </w:tcPr>
          <w:p w:rsidR="00245E18" w:rsidRPr="00D3599E" w:rsidRDefault="0098718F" w:rsidP="0098718F">
            <w:pPr>
              <w:widowControl/>
              <w:autoSpaceDE/>
              <w:autoSpaceDN/>
              <w:adjustRightInd/>
              <w:rPr>
                <w:rFonts w:cs="Arial"/>
                <w:szCs w:val="18"/>
                <w:lang w:val="fr-FR"/>
              </w:rPr>
            </w:pPr>
            <w:r w:rsidRPr="00D3599E">
              <w:rPr>
                <w:rFonts w:cs="Arial"/>
                <w:szCs w:val="18"/>
                <w:lang w:val="fr-FR"/>
              </w:rPr>
              <w:t>Réunions du Conseil scientifique</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52 424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53 473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105 897 </w:t>
            </w:r>
          </w:p>
        </w:tc>
      </w:tr>
      <w:tr w:rsidR="007B71BE" w:rsidRPr="002244F9" w:rsidTr="000B4A25">
        <w:trPr>
          <w:trHeight w:val="316"/>
          <w:jc w:val="center"/>
        </w:trPr>
        <w:tc>
          <w:tcPr>
            <w:tcW w:w="0" w:type="auto"/>
            <w:tcBorders>
              <w:top w:val="single" w:sz="4" w:space="0" w:color="auto"/>
              <w:left w:val="nil"/>
              <w:bottom w:val="single" w:sz="12" w:space="0" w:color="auto"/>
              <w:right w:val="nil"/>
            </w:tcBorders>
            <w:shd w:val="clear" w:color="auto" w:fill="auto"/>
            <w:noWrap/>
            <w:hideMark/>
          </w:tcPr>
          <w:p w:rsidR="00245E18" w:rsidRPr="00D3599E" w:rsidRDefault="00245E18" w:rsidP="0098718F">
            <w:pPr>
              <w:widowControl/>
              <w:autoSpaceDE/>
              <w:autoSpaceDN/>
              <w:adjustRightInd/>
              <w:rPr>
                <w:rFonts w:cs="Arial"/>
                <w:b/>
                <w:bCs/>
                <w:szCs w:val="18"/>
                <w:lang w:val="fr-FR"/>
              </w:rPr>
            </w:pPr>
            <w:r w:rsidRPr="00D3599E">
              <w:rPr>
                <w:rFonts w:cs="Arial"/>
                <w:b/>
                <w:bCs/>
                <w:szCs w:val="18"/>
                <w:lang w:val="fr-FR"/>
              </w:rPr>
              <w:t>S</w:t>
            </w:r>
            <w:r w:rsidR="0098718F" w:rsidRPr="00D3599E">
              <w:rPr>
                <w:rFonts w:cs="Arial"/>
                <w:b/>
                <w:bCs/>
                <w:szCs w:val="18"/>
                <w:lang w:val="fr-FR"/>
              </w:rPr>
              <w:t>ous-</w:t>
            </w:r>
            <w:r w:rsidRPr="00D3599E">
              <w:rPr>
                <w:rFonts w:cs="Arial"/>
                <w:b/>
                <w:bCs/>
                <w:szCs w:val="18"/>
                <w:lang w:val="fr-FR"/>
              </w:rPr>
              <w:t>total</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140 364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143 171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123 844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407 378 </w:t>
            </w:r>
          </w:p>
        </w:tc>
      </w:tr>
      <w:tr w:rsidR="007B71BE" w:rsidRPr="002244F9" w:rsidTr="000B4A25">
        <w:trPr>
          <w:trHeight w:val="316"/>
          <w:jc w:val="center"/>
        </w:trPr>
        <w:tc>
          <w:tcPr>
            <w:tcW w:w="0" w:type="auto"/>
            <w:tcBorders>
              <w:top w:val="single" w:sz="12" w:space="0" w:color="auto"/>
              <w:left w:val="nil"/>
              <w:bottom w:val="single" w:sz="4" w:space="0" w:color="auto"/>
              <w:right w:val="nil"/>
            </w:tcBorders>
            <w:shd w:val="clear" w:color="auto" w:fill="auto"/>
            <w:noWrap/>
            <w:hideMark/>
          </w:tcPr>
          <w:p w:rsidR="00245E18" w:rsidRPr="00D3599E" w:rsidRDefault="00245E18" w:rsidP="00245E18">
            <w:pPr>
              <w:widowControl/>
              <w:autoSpaceDE/>
              <w:autoSpaceDN/>
              <w:adjustRightInd/>
              <w:rPr>
                <w:rFonts w:cs="Arial"/>
                <w:b/>
                <w:bCs/>
                <w:szCs w:val="18"/>
                <w:lang w:val="fr-FR"/>
              </w:rPr>
            </w:pPr>
            <w:r w:rsidRPr="00D3599E">
              <w:rPr>
                <w:rFonts w:cs="Arial"/>
                <w:b/>
                <w:bCs/>
                <w:szCs w:val="18"/>
                <w:lang w:val="fr-FR"/>
              </w:rPr>
              <w:t xml:space="preserve">Total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2 289 791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2 335 587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2 692 181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7 317 559 </w:t>
            </w:r>
          </w:p>
        </w:tc>
      </w:tr>
      <w:tr w:rsidR="007B71BE" w:rsidRPr="002244F9" w:rsidTr="000B4A25">
        <w:trPr>
          <w:trHeight w:val="316"/>
          <w:jc w:val="center"/>
        </w:trPr>
        <w:tc>
          <w:tcPr>
            <w:tcW w:w="0" w:type="auto"/>
            <w:tcBorders>
              <w:top w:val="nil"/>
              <w:left w:val="nil"/>
              <w:bottom w:val="single" w:sz="12" w:space="0" w:color="auto"/>
              <w:right w:val="nil"/>
            </w:tcBorders>
            <w:shd w:val="clear" w:color="auto" w:fill="auto"/>
            <w:hideMark/>
          </w:tcPr>
          <w:p w:rsidR="00245E18" w:rsidRPr="00D3599E" w:rsidRDefault="001F4806" w:rsidP="001F4806">
            <w:pPr>
              <w:widowControl/>
              <w:autoSpaceDE/>
              <w:autoSpaceDN/>
              <w:adjustRightInd/>
              <w:rPr>
                <w:rFonts w:cs="Arial"/>
                <w:szCs w:val="18"/>
                <w:lang w:val="fr-FR"/>
              </w:rPr>
            </w:pPr>
            <w:r w:rsidRPr="00D3599E">
              <w:rPr>
                <w:rFonts w:cs="Arial"/>
                <w:szCs w:val="18"/>
                <w:lang w:val="fr-FR"/>
              </w:rPr>
              <w:t>Dépenses</w:t>
            </w:r>
            <w:r w:rsidR="0098718F" w:rsidRPr="00D3599E">
              <w:rPr>
                <w:rFonts w:cs="Arial"/>
                <w:szCs w:val="18"/>
                <w:lang w:val="fr-FR"/>
              </w:rPr>
              <w:t xml:space="preserve"> d’appui aux programmes</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297 673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303 626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349 984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951 283 </w:t>
            </w:r>
          </w:p>
        </w:tc>
      </w:tr>
      <w:tr w:rsidR="007B71BE" w:rsidRPr="002244F9" w:rsidTr="000B4A25">
        <w:trPr>
          <w:trHeight w:val="316"/>
          <w:jc w:val="center"/>
        </w:trPr>
        <w:tc>
          <w:tcPr>
            <w:tcW w:w="0" w:type="auto"/>
            <w:tcBorders>
              <w:top w:val="single" w:sz="12" w:space="0" w:color="auto"/>
              <w:left w:val="nil"/>
              <w:bottom w:val="single" w:sz="12" w:space="0" w:color="auto"/>
              <w:right w:val="nil"/>
            </w:tcBorders>
            <w:shd w:val="clear" w:color="auto" w:fill="auto"/>
            <w:hideMark/>
          </w:tcPr>
          <w:p w:rsidR="00245E18" w:rsidRPr="00D3599E" w:rsidRDefault="00245E18" w:rsidP="00245E18">
            <w:pPr>
              <w:widowControl/>
              <w:autoSpaceDE/>
              <w:autoSpaceDN/>
              <w:adjustRightInd/>
              <w:rPr>
                <w:rFonts w:cs="Arial"/>
                <w:b/>
                <w:bCs/>
                <w:szCs w:val="18"/>
                <w:lang w:val="fr-FR"/>
              </w:rPr>
            </w:pPr>
            <w:r w:rsidRPr="00D3599E">
              <w:rPr>
                <w:rFonts w:cs="Arial"/>
                <w:b/>
                <w:bCs/>
                <w:szCs w:val="18"/>
                <w:lang w:val="fr-FR"/>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2 587 464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2 639 213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3 042 165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8 268 842 </w:t>
            </w:r>
          </w:p>
        </w:tc>
      </w:tr>
    </w:tbl>
    <w:p w:rsidR="00245E18" w:rsidRDefault="00245E18" w:rsidP="007910DD">
      <w:pPr>
        <w:rPr>
          <w:rFonts w:cs="Arial"/>
          <w:sz w:val="22"/>
          <w:szCs w:val="22"/>
          <w:lang w:val="it-IT"/>
        </w:rPr>
        <w:sectPr w:rsidR="00245E18" w:rsidSect="00620809">
          <w:headerReference w:type="first" r:id="rId20"/>
          <w:endnotePr>
            <w:numFmt w:val="decimal"/>
          </w:endnotePr>
          <w:pgSz w:w="11905" w:h="16837" w:code="9"/>
          <w:pgMar w:top="1008" w:right="1411" w:bottom="1152" w:left="1411" w:header="432" w:footer="432" w:gutter="0"/>
          <w:cols w:space="720"/>
          <w:noEndnote/>
          <w:titlePg/>
          <w:docGrid w:linePitch="272"/>
        </w:sectPr>
      </w:pPr>
    </w:p>
    <w:p w:rsidR="00245E18" w:rsidRPr="00062FAE" w:rsidRDefault="00245E18" w:rsidP="00245E18">
      <w:pPr>
        <w:jc w:val="right"/>
        <w:rPr>
          <w:rFonts w:cs="Arial"/>
          <w:b/>
          <w:caps/>
          <w:sz w:val="22"/>
          <w:szCs w:val="22"/>
          <w:lang w:val="fr-FR"/>
        </w:rPr>
      </w:pPr>
      <w:r w:rsidRPr="00062FAE">
        <w:rPr>
          <w:rFonts w:cs="Arial"/>
          <w:b/>
          <w:caps/>
          <w:sz w:val="22"/>
          <w:szCs w:val="22"/>
          <w:lang w:val="fr-FR"/>
        </w:rPr>
        <w:lastRenderedPageBreak/>
        <w:t>Annex</w:t>
      </w:r>
      <w:r w:rsidR="00062FAE">
        <w:rPr>
          <w:rFonts w:cs="Arial"/>
          <w:b/>
          <w:caps/>
          <w:sz w:val="22"/>
          <w:szCs w:val="22"/>
          <w:lang w:val="fr-FR"/>
        </w:rPr>
        <w:t>E</w:t>
      </w:r>
      <w:r w:rsidRPr="00062FAE">
        <w:rPr>
          <w:rFonts w:cs="Arial"/>
          <w:b/>
          <w:caps/>
          <w:sz w:val="22"/>
          <w:szCs w:val="22"/>
          <w:lang w:val="fr-FR"/>
        </w:rPr>
        <w:t xml:space="preserve"> </w:t>
      </w:r>
      <w:r w:rsidR="009878EA" w:rsidRPr="00062FAE">
        <w:rPr>
          <w:rFonts w:cs="Arial"/>
          <w:b/>
          <w:caps/>
          <w:sz w:val="22"/>
          <w:szCs w:val="22"/>
          <w:lang w:val="fr-FR"/>
        </w:rPr>
        <w:t>2</w:t>
      </w:r>
    </w:p>
    <w:p w:rsidR="00245E18" w:rsidRPr="00062FAE" w:rsidRDefault="00245E18" w:rsidP="00245E18">
      <w:pPr>
        <w:jc w:val="right"/>
        <w:rPr>
          <w:rFonts w:cs="Arial"/>
          <w:sz w:val="22"/>
          <w:szCs w:val="22"/>
          <w:lang w:val="fr-FR"/>
        </w:rPr>
      </w:pPr>
    </w:p>
    <w:p w:rsidR="00062FAE" w:rsidRDefault="00062FAE" w:rsidP="00245E18">
      <w:pPr>
        <w:pStyle w:val="Heading2"/>
        <w:keepNext w:val="0"/>
        <w:jc w:val="center"/>
        <w:rPr>
          <w:rFonts w:cs="Arial"/>
          <w:sz w:val="22"/>
          <w:szCs w:val="22"/>
          <w:lang w:val="fr-FR"/>
        </w:rPr>
      </w:pPr>
      <w:r w:rsidRPr="00062FAE">
        <w:rPr>
          <w:rFonts w:cs="Arial"/>
          <w:sz w:val="22"/>
          <w:szCs w:val="22"/>
          <w:lang w:val="fr-FR"/>
        </w:rPr>
        <w:t>BAR</w:t>
      </w:r>
      <w:r>
        <w:rPr>
          <w:rFonts w:cs="Arial"/>
          <w:sz w:val="22"/>
          <w:szCs w:val="22"/>
          <w:lang w:val="fr-FR"/>
        </w:rPr>
        <w:t>È</w:t>
      </w:r>
      <w:r w:rsidRPr="00062FAE">
        <w:rPr>
          <w:rFonts w:cs="Arial"/>
          <w:sz w:val="22"/>
          <w:szCs w:val="22"/>
          <w:lang w:val="fr-FR"/>
        </w:rPr>
        <w:t xml:space="preserve">ME DES </w:t>
      </w:r>
      <w:r w:rsidR="00245E18" w:rsidRPr="00062FAE">
        <w:rPr>
          <w:rFonts w:cs="Arial"/>
          <w:sz w:val="22"/>
          <w:szCs w:val="22"/>
          <w:lang w:val="fr-FR"/>
        </w:rPr>
        <w:t xml:space="preserve">CONTRIBUTIONS </w:t>
      </w:r>
      <w:r w:rsidRPr="00062FAE">
        <w:rPr>
          <w:rFonts w:cs="Arial"/>
          <w:sz w:val="22"/>
          <w:szCs w:val="22"/>
          <w:lang w:val="fr-FR"/>
        </w:rPr>
        <w:t>AU BUDGET POUR LA P</w:t>
      </w:r>
      <w:r w:rsidR="00233DC6">
        <w:rPr>
          <w:rFonts w:cs="Arial"/>
          <w:sz w:val="22"/>
          <w:szCs w:val="22"/>
          <w:lang w:val="fr-FR"/>
        </w:rPr>
        <w:t>É</w:t>
      </w:r>
      <w:r w:rsidRPr="00062FAE">
        <w:rPr>
          <w:rFonts w:cs="Arial"/>
          <w:sz w:val="22"/>
          <w:szCs w:val="22"/>
          <w:lang w:val="fr-FR"/>
        </w:rPr>
        <w:t xml:space="preserve">RIODE TRIENNALE </w:t>
      </w:r>
      <w:r w:rsidR="00245E18" w:rsidRPr="00062FAE">
        <w:rPr>
          <w:rFonts w:cs="Arial"/>
          <w:sz w:val="22"/>
          <w:szCs w:val="22"/>
          <w:lang w:val="fr-FR"/>
        </w:rPr>
        <w:t xml:space="preserve">2018 – 2020 </w:t>
      </w:r>
    </w:p>
    <w:p w:rsidR="00245E18" w:rsidRPr="00062FAE" w:rsidRDefault="00245E18" w:rsidP="00245E18">
      <w:pPr>
        <w:pStyle w:val="Heading2"/>
        <w:keepNext w:val="0"/>
        <w:jc w:val="center"/>
        <w:rPr>
          <w:rFonts w:cs="Arial"/>
          <w:b w:val="0"/>
          <w:sz w:val="18"/>
          <w:szCs w:val="18"/>
          <w:lang w:val="fr-FR"/>
        </w:rPr>
      </w:pPr>
      <w:r w:rsidRPr="00062FAE">
        <w:rPr>
          <w:rFonts w:cs="Arial"/>
          <w:b w:val="0"/>
          <w:sz w:val="18"/>
          <w:szCs w:val="18"/>
          <w:lang w:val="fr-FR"/>
        </w:rPr>
        <w:t xml:space="preserve"> (</w:t>
      </w:r>
      <w:r w:rsidR="00062FAE" w:rsidRPr="00062FAE">
        <w:rPr>
          <w:rFonts w:cs="Arial"/>
          <w:b w:val="0"/>
          <w:sz w:val="18"/>
          <w:szCs w:val="18"/>
          <w:lang w:val="fr-FR"/>
        </w:rPr>
        <w:t>tous les chiffres sont en euros</w:t>
      </w:r>
      <w:r w:rsidRPr="00062FAE">
        <w:rPr>
          <w:rFonts w:cs="Arial"/>
          <w:b w:val="0"/>
          <w:sz w:val="18"/>
          <w:szCs w:val="18"/>
          <w:lang w:val="fr-FR"/>
        </w:rPr>
        <w:t>)</w:t>
      </w:r>
    </w:p>
    <w:p w:rsidR="00245E18" w:rsidRPr="00062FAE" w:rsidRDefault="00245E18" w:rsidP="00245E18">
      <w:pPr>
        <w:rPr>
          <w:lang w:val="fr-FR"/>
        </w:rPr>
      </w:pPr>
    </w:p>
    <w:tbl>
      <w:tblPr>
        <w:tblW w:w="15408" w:type="dxa"/>
        <w:jc w:val="center"/>
        <w:tblLook w:val="04A0" w:firstRow="1" w:lastRow="0" w:firstColumn="1" w:lastColumn="0" w:noHBand="0" w:noVBand="1"/>
      </w:tblPr>
      <w:tblGrid>
        <w:gridCol w:w="518"/>
        <w:gridCol w:w="2725"/>
        <w:gridCol w:w="1004"/>
        <w:gridCol w:w="889"/>
        <w:gridCol w:w="1295"/>
        <w:gridCol w:w="1229"/>
        <w:gridCol w:w="1325"/>
        <w:gridCol w:w="1229"/>
        <w:gridCol w:w="1325"/>
        <w:gridCol w:w="1229"/>
        <w:gridCol w:w="1053"/>
        <w:gridCol w:w="1587"/>
      </w:tblGrid>
      <w:tr w:rsidR="00B8545C" w:rsidRPr="00E0707E" w:rsidTr="00245E18">
        <w:trPr>
          <w:trHeight w:val="229"/>
          <w:tblHeader/>
          <w:jc w:val="center"/>
        </w:trPr>
        <w:tc>
          <w:tcPr>
            <w:tcW w:w="518"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rPr>
                <w:rFonts w:cs="Arial"/>
                <w:b/>
                <w:bCs/>
                <w:iCs/>
                <w:sz w:val="16"/>
                <w:szCs w:val="16"/>
              </w:rPr>
            </w:pPr>
            <w:r w:rsidRPr="00265960">
              <w:rPr>
                <w:rFonts w:cs="Arial"/>
                <w:b/>
                <w:bCs/>
                <w:iCs/>
                <w:sz w:val="16"/>
                <w:szCs w:val="16"/>
              </w:rPr>
              <w:t>N°</w:t>
            </w:r>
          </w:p>
        </w:tc>
        <w:tc>
          <w:tcPr>
            <w:tcW w:w="2725"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062FAE">
            <w:pPr>
              <w:widowControl/>
              <w:autoSpaceDE/>
              <w:autoSpaceDN/>
              <w:adjustRightInd/>
              <w:rPr>
                <w:rFonts w:cs="Arial"/>
                <w:b/>
                <w:bCs/>
                <w:iCs/>
                <w:sz w:val="16"/>
                <w:szCs w:val="16"/>
              </w:rPr>
            </w:pPr>
            <w:r w:rsidRPr="00265960">
              <w:rPr>
                <w:rFonts w:cs="Arial"/>
                <w:b/>
                <w:bCs/>
                <w:iCs/>
                <w:sz w:val="16"/>
                <w:szCs w:val="16"/>
              </w:rPr>
              <w:t>Par</w:t>
            </w:r>
            <w:r w:rsidR="00062FAE">
              <w:rPr>
                <w:rFonts w:cs="Arial"/>
                <w:b/>
                <w:bCs/>
                <w:iCs/>
                <w:sz w:val="16"/>
                <w:szCs w:val="16"/>
              </w:rPr>
              <w:t>tie</w:t>
            </w:r>
          </w:p>
        </w:tc>
        <w:tc>
          <w:tcPr>
            <w:tcW w:w="1004"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062FAE" w:rsidP="00062FAE">
            <w:pPr>
              <w:widowControl/>
              <w:autoSpaceDE/>
              <w:autoSpaceDN/>
              <w:adjustRightInd/>
              <w:rPr>
                <w:rFonts w:cs="Arial"/>
                <w:b/>
                <w:bCs/>
                <w:iCs/>
                <w:sz w:val="16"/>
                <w:szCs w:val="16"/>
              </w:rPr>
            </w:pPr>
            <w:r>
              <w:rPr>
                <w:rFonts w:cs="Arial"/>
                <w:b/>
                <w:bCs/>
                <w:iCs/>
                <w:sz w:val="16"/>
                <w:szCs w:val="16"/>
              </w:rPr>
              <w:t>Barème de l’ONU pour</w:t>
            </w:r>
            <w:r w:rsidR="00245E18" w:rsidRPr="00265960">
              <w:rPr>
                <w:rFonts w:cs="Arial"/>
                <w:b/>
                <w:bCs/>
                <w:iCs/>
                <w:sz w:val="16"/>
                <w:szCs w:val="16"/>
              </w:rPr>
              <w:t xml:space="preserve"> 2017</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B8545C" w:rsidP="00B8545C">
            <w:pPr>
              <w:widowControl/>
              <w:autoSpaceDE/>
              <w:autoSpaceDN/>
              <w:adjustRightInd/>
              <w:rPr>
                <w:rFonts w:cs="Arial"/>
                <w:b/>
                <w:bCs/>
                <w:iCs/>
                <w:sz w:val="16"/>
                <w:szCs w:val="16"/>
              </w:rPr>
            </w:pPr>
            <w:r>
              <w:rPr>
                <w:rFonts w:cs="Arial"/>
                <w:b/>
                <w:bCs/>
                <w:iCs/>
                <w:sz w:val="16"/>
                <w:szCs w:val="16"/>
              </w:rPr>
              <w:t>Barème ajusté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062FAE" w:rsidP="00245E18">
            <w:pPr>
              <w:widowControl/>
              <w:autoSpaceDE/>
              <w:autoSpaceDN/>
              <w:adjustRightInd/>
              <w:jc w:val="center"/>
              <w:rPr>
                <w:rFonts w:cs="Arial"/>
                <w:b/>
                <w:bCs/>
                <w:iCs/>
                <w:sz w:val="16"/>
                <w:szCs w:val="16"/>
              </w:rPr>
            </w:pPr>
            <w:r>
              <w:rPr>
                <w:rFonts w:cs="Arial"/>
                <w:b/>
                <w:bCs/>
                <w:iCs/>
                <w:sz w:val="16"/>
                <w:szCs w:val="16"/>
              </w:rPr>
              <w:t>Scé</w:t>
            </w:r>
            <w:r w:rsidR="00245E18" w:rsidRPr="00265960">
              <w:rPr>
                <w:rFonts w:cs="Arial"/>
                <w:b/>
                <w:bCs/>
                <w:iCs/>
                <w:sz w:val="16"/>
                <w:szCs w:val="16"/>
              </w:rPr>
              <w:t>nario 1 –</w:t>
            </w:r>
          </w:p>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Croissance nominale zéro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Sc</w:t>
            </w:r>
            <w:r w:rsidR="00062FAE">
              <w:rPr>
                <w:rFonts w:cs="Arial"/>
                <w:b/>
                <w:bCs/>
                <w:iCs/>
                <w:sz w:val="16"/>
                <w:szCs w:val="16"/>
              </w:rPr>
              <w:t>é</w:t>
            </w:r>
            <w:r w:rsidRPr="00265960">
              <w:rPr>
                <w:rFonts w:cs="Arial"/>
                <w:b/>
                <w:bCs/>
                <w:iCs/>
                <w:sz w:val="16"/>
                <w:szCs w:val="16"/>
              </w:rPr>
              <w:t>nario 2 –</w:t>
            </w:r>
          </w:p>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Croissance réelle zéro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245E18" w:rsidP="00062FAE">
            <w:pPr>
              <w:widowControl/>
              <w:autoSpaceDE/>
              <w:autoSpaceDN/>
              <w:adjustRightInd/>
              <w:jc w:val="center"/>
              <w:rPr>
                <w:rFonts w:cs="Arial"/>
                <w:b/>
                <w:bCs/>
                <w:iCs/>
                <w:sz w:val="16"/>
                <w:szCs w:val="16"/>
              </w:rPr>
            </w:pPr>
            <w:r w:rsidRPr="00265960">
              <w:rPr>
                <w:rFonts w:cs="Arial"/>
                <w:b/>
                <w:bCs/>
                <w:iCs/>
                <w:sz w:val="16"/>
                <w:szCs w:val="16"/>
              </w:rPr>
              <w:t>Sc</w:t>
            </w:r>
            <w:r w:rsidR="00062FAE">
              <w:rPr>
                <w:rFonts w:cs="Arial"/>
                <w:b/>
                <w:bCs/>
                <w:iCs/>
                <w:sz w:val="16"/>
                <w:szCs w:val="16"/>
              </w:rPr>
              <w:t>é</w:t>
            </w:r>
            <w:r w:rsidRPr="00265960">
              <w:rPr>
                <w:rFonts w:cs="Arial"/>
                <w:b/>
                <w:bCs/>
                <w:iCs/>
                <w:sz w:val="16"/>
                <w:szCs w:val="16"/>
              </w:rPr>
              <w:t>nario 3</w:t>
            </w:r>
          </w:p>
        </w:tc>
        <w:tc>
          <w:tcPr>
            <w:tcW w:w="1053"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Barème de l’ONU pour 2014</w:t>
            </w:r>
          </w:p>
        </w:tc>
        <w:tc>
          <w:tcPr>
            <w:tcW w:w="1587"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062FAE" w:rsidRDefault="00062FAE" w:rsidP="00245E18">
            <w:pPr>
              <w:widowControl/>
              <w:autoSpaceDE/>
              <w:autoSpaceDN/>
              <w:adjustRightInd/>
              <w:jc w:val="center"/>
              <w:rPr>
                <w:rFonts w:cs="Arial"/>
                <w:b/>
                <w:bCs/>
                <w:iCs/>
                <w:sz w:val="16"/>
                <w:szCs w:val="16"/>
                <w:lang w:val="fr-FR"/>
              </w:rPr>
            </w:pPr>
            <w:r w:rsidRPr="00062FAE">
              <w:rPr>
                <w:rFonts w:cs="Arial"/>
                <w:b/>
                <w:bCs/>
                <w:iCs/>
                <w:sz w:val="16"/>
                <w:szCs w:val="16"/>
                <w:lang w:val="fr-FR"/>
              </w:rPr>
              <w:t>Contributions ordina</w:t>
            </w:r>
            <w:r>
              <w:rPr>
                <w:rFonts w:cs="Arial"/>
                <w:b/>
                <w:bCs/>
                <w:iCs/>
                <w:sz w:val="16"/>
                <w:szCs w:val="16"/>
                <w:lang w:val="fr-FR"/>
              </w:rPr>
              <w:t>ires</w:t>
            </w:r>
            <w:r w:rsidRPr="00062FAE">
              <w:rPr>
                <w:rFonts w:cs="Arial"/>
                <w:b/>
                <w:bCs/>
                <w:iCs/>
                <w:sz w:val="16"/>
                <w:szCs w:val="16"/>
                <w:lang w:val="fr-FR"/>
              </w:rPr>
              <w:t xml:space="preserve"> </w:t>
            </w:r>
            <w:r>
              <w:rPr>
                <w:rFonts w:cs="Arial"/>
                <w:b/>
                <w:bCs/>
                <w:iCs/>
                <w:sz w:val="16"/>
                <w:szCs w:val="16"/>
                <w:lang w:val="fr-FR"/>
              </w:rPr>
              <w:t>a</w:t>
            </w:r>
            <w:r w:rsidRPr="00062FAE">
              <w:rPr>
                <w:rFonts w:cs="Arial"/>
                <w:b/>
                <w:bCs/>
                <w:iCs/>
                <w:sz w:val="16"/>
                <w:szCs w:val="16"/>
                <w:lang w:val="fr-FR"/>
              </w:rPr>
              <w:t>ppr</w:t>
            </w:r>
            <w:r>
              <w:rPr>
                <w:rFonts w:cs="Arial"/>
                <w:b/>
                <w:bCs/>
                <w:iCs/>
                <w:sz w:val="16"/>
                <w:szCs w:val="16"/>
                <w:lang w:val="fr-FR"/>
              </w:rPr>
              <w:t>o</w:t>
            </w:r>
            <w:r w:rsidRPr="00062FAE">
              <w:rPr>
                <w:rFonts w:cs="Arial"/>
                <w:b/>
                <w:bCs/>
                <w:iCs/>
                <w:sz w:val="16"/>
                <w:szCs w:val="16"/>
                <w:lang w:val="fr-FR"/>
              </w:rPr>
              <w:t>uvées par la COP11 pour</w:t>
            </w:r>
          </w:p>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2015-2017</w:t>
            </w:r>
          </w:p>
        </w:tc>
      </w:tr>
      <w:tr w:rsidR="00B8545C" w:rsidRPr="00E0707E" w:rsidTr="00245E18">
        <w:trPr>
          <w:trHeight w:val="229"/>
          <w:tblHeader/>
          <w:jc w:val="center"/>
        </w:trPr>
        <w:tc>
          <w:tcPr>
            <w:tcW w:w="518"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1053"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r>
      <w:tr w:rsidR="00B8545C" w:rsidRPr="00E0707E" w:rsidTr="00245E18">
        <w:trPr>
          <w:trHeight w:val="19"/>
          <w:tblHeader/>
          <w:jc w:val="center"/>
        </w:trPr>
        <w:tc>
          <w:tcPr>
            <w:tcW w:w="518"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tcBorders>
              <w:top w:val="nil"/>
              <w:left w:val="nil"/>
              <w:bottom w:val="single" w:sz="8" w:space="0" w:color="auto"/>
              <w:right w:val="single" w:sz="4" w:space="0" w:color="auto"/>
            </w:tcBorders>
            <w:shd w:val="clear" w:color="000000" w:fill="EDEDED"/>
            <w:vAlign w:val="center"/>
            <w:hideMark/>
          </w:tcPr>
          <w:p w:rsidR="00062FAE" w:rsidRDefault="00062FAE" w:rsidP="00062FAE">
            <w:pPr>
              <w:widowControl/>
              <w:autoSpaceDE/>
              <w:autoSpaceDN/>
              <w:adjustRightInd/>
              <w:jc w:val="center"/>
              <w:rPr>
                <w:rFonts w:cs="Arial"/>
                <w:b/>
                <w:bCs/>
                <w:iCs/>
                <w:sz w:val="16"/>
                <w:szCs w:val="16"/>
              </w:rPr>
            </w:pPr>
            <w:r>
              <w:rPr>
                <w:rFonts w:cs="Arial"/>
                <w:b/>
                <w:bCs/>
                <w:iCs/>
                <w:sz w:val="16"/>
                <w:szCs w:val="16"/>
              </w:rPr>
              <w:t>Contributions ordinaires</w:t>
            </w:r>
          </w:p>
          <w:p w:rsidR="00245E18" w:rsidRPr="00265960" w:rsidRDefault="00245E18" w:rsidP="00062FAE">
            <w:pPr>
              <w:widowControl/>
              <w:autoSpaceDE/>
              <w:autoSpaceDN/>
              <w:adjustRightInd/>
              <w:jc w:val="center"/>
              <w:rPr>
                <w:rFonts w:cs="Arial"/>
                <w:b/>
                <w:bCs/>
                <w:iCs/>
                <w:sz w:val="16"/>
                <w:szCs w:val="16"/>
              </w:rPr>
            </w:pPr>
            <w:r w:rsidRPr="00265960">
              <w:rPr>
                <w:rFonts w:cs="Arial"/>
                <w:b/>
                <w:bCs/>
                <w:iCs/>
                <w:sz w:val="16"/>
                <w:szCs w:val="16"/>
              </w:rPr>
              <w:t>2018-2020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Contribution annuelle moyenne</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Contributions ordinaires 2</w:t>
            </w:r>
            <w:r w:rsidR="00245E18" w:rsidRPr="00265960">
              <w:rPr>
                <w:rFonts w:cs="Arial"/>
                <w:b/>
                <w:bCs/>
                <w:iCs/>
                <w:sz w:val="16"/>
                <w:szCs w:val="16"/>
              </w:rPr>
              <w:t>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Contribution annuelle moyenne</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062FAE" w:rsidP="001C514A">
            <w:pPr>
              <w:widowControl/>
              <w:autoSpaceDE/>
              <w:autoSpaceDN/>
              <w:adjustRightInd/>
              <w:jc w:val="center"/>
              <w:rPr>
                <w:rFonts w:cs="Arial"/>
                <w:b/>
                <w:bCs/>
                <w:iCs/>
                <w:sz w:val="16"/>
                <w:szCs w:val="16"/>
              </w:rPr>
            </w:pPr>
            <w:r>
              <w:rPr>
                <w:rFonts w:cs="Arial"/>
                <w:b/>
                <w:bCs/>
                <w:iCs/>
                <w:sz w:val="16"/>
                <w:szCs w:val="16"/>
              </w:rPr>
              <w:t>Contributions ordinai</w:t>
            </w:r>
            <w:r w:rsidR="001C514A">
              <w:rPr>
                <w:rFonts w:cs="Arial"/>
                <w:b/>
                <w:bCs/>
                <w:iCs/>
                <w:sz w:val="16"/>
                <w:szCs w:val="16"/>
              </w:rPr>
              <w:t>r</w:t>
            </w:r>
            <w:r>
              <w:rPr>
                <w:rFonts w:cs="Arial"/>
                <w:b/>
                <w:bCs/>
                <w:iCs/>
                <w:sz w:val="16"/>
                <w:szCs w:val="16"/>
              </w:rPr>
              <w:t>es 2</w:t>
            </w:r>
            <w:r w:rsidR="00245E18" w:rsidRPr="00265960">
              <w:rPr>
                <w:rFonts w:cs="Arial"/>
                <w:b/>
                <w:bCs/>
                <w:iCs/>
                <w:sz w:val="16"/>
                <w:szCs w:val="16"/>
              </w:rPr>
              <w:t>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062FAE" w:rsidP="00062FAE">
            <w:pPr>
              <w:widowControl/>
              <w:autoSpaceDE/>
              <w:autoSpaceDN/>
              <w:adjustRightInd/>
              <w:jc w:val="center"/>
              <w:rPr>
                <w:rFonts w:cs="Arial"/>
                <w:b/>
                <w:bCs/>
                <w:iCs/>
                <w:sz w:val="16"/>
                <w:szCs w:val="16"/>
              </w:rPr>
            </w:pPr>
            <w:r>
              <w:rPr>
                <w:rFonts w:cs="Arial"/>
                <w:b/>
                <w:bCs/>
                <w:iCs/>
                <w:sz w:val="16"/>
                <w:szCs w:val="16"/>
              </w:rPr>
              <w:t>Contribution annuelle moyenne</w:t>
            </w:r>
          </w:p>
        </w:tc>
        <w:tc>
          <w:tcPr>
            <w:tcW w:w="1053"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Afghanistan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1C514A" w:rsidP="00062FAE">
            <w:pPr>
              <w:widowControl/>
              <w:autoSpaceDE/>
              <w:autoSpaceDN/>
              <w:adjustRightInd/>
              <w:jc w:val="right"/>
              <w:rPr>
                <w:rFonts w:cs="Arial"/>
                <w:szCs w:val="18"/>
              </w:rPr>
            </w:pPr>
            <w:r>
              <w:rPr>
                <w:rFonts w:cs="Arial"/>
                <w:szCs w:val="18"/>
              </w:rPr>
              <w:t>n</w:t>
            </w:r>
            <w:r w:rsidR="00062FAE">
              <w:rPr>
                <w:rFonts w:cs="Arial"/>
                <w:szCs w:val="18"/>
              </w:rPr>
              <w:t xml:space="preserve">ouvelle </w:t>
            </w:r>
            <w:r w:rsidR="00245E18" w:rsidRPr="00E0707E">
              <w:rPr>
                <w:rFonts w:cs="Arial"/>
                <w:szCs w:val="18"/>
              </w:rPr>
              <w:t>Part</w:t>
            </w:r>
            <w:r w:rsidR="00062FAE">
              <w:rPr>
                <w:rFonts w:cs="Arial"/>
                <w:szCs w:val="18"/>
              </w:rPr>
              <w:t>ie</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Albani</w:t>
            </w:r>
            <w:r w:rsidR="001F4806">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Alg</w:t>
            </w:r>
            <w:r w:rsidR="001F4806">
              <w:rPr>
                <w:rFonts w:cs="Arial"/>
                <w:szCs w:val="18"/>
              </w:rPr>
              <w:t>érie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289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087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305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Angola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473795">
            <w:pPr>
              <w:widowControl/>
              <w:autoSpaceDE/>
              <w:autoSpaceDN/>
              <w:adjustRightInd/>
              <w:rPr>
                <w:rFonts w:cs="Arial"/>
                <w:szCs w:val="18"/>
              </w:rPr>
            </w:pPr>
            <w:r w:rsidRPr="00E0707E">
              <w:rPr>
                <w:rFonts w:cs="Arial"/>
                <w:szCs w:val="18"/>
              </w:rPr>
              <w:t>Antigua</w:t>
            </w:r>
            <w:r w:rsidR="00473795">
              <w:rPr>
                <w:rFonts w:cs="Arial"/>
                <w:szCs w:val="18"/>
              </w:rPr>
              <w:t>-et-B</w:t>
            </w:r>
            <w:r w:rsidRPr="00E0707E">
              <w:rPr>
                <w:rFonts w:cs="Arial"/>
                <w:szCs w:val="18"/>
              </w:rPr>
              <w:t>arbuda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Argentin</w:t>
            </w:r>
            <w:r w:rsidR="001F4806">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1.8825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140</w:t>
            </w:r>
            <w:r>
              <w:rPr>
                <w:rFonts w:cs="Arial"/>
                <w:szCs w:val="18"/>
              </w:rPr>
              <w:t xml:space="preserve"> </w:t>
            </w:r>
            <w:r w:rsidRPr="00E0707E">
              <w:rPr>
                <w:rFonts w:cs="Arial"/>
                <w:szCs w:val="18"/>
              </w:rPr>
              <w:t>111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704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150</w:t>
            </w:r>
            <w:r>
              <w:rPr>
                <w:rFonts w:cs="Arial"/>
                <w:szCs w:val="18"/>
              </w:rPr>
              <w:t xml:space="preserve"> </w:t>
            </w:r>
            <w:r w:rsidRPr="00E0707E">
              <w:rPr>
                <w:rFonts w:cs="Arial"/>
                <w:szCs w:val="18"/>
              </w:rPr>
              <w:t>073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w:t>
            </w:r>
            <w:r>
              <w:rPr>
                <w:rFonts w:cs="Arial"/>
                <w:szCs w:val="18"/>
              </w:rPr>
              <w:t xml:space="preserve"> </w:t>
            </w:r>
            <w:r w:rsidRPr="00E0707E">
              <w:rPr>
                <w:rFonts w:cs="Arial"/>
                <w:szCs w:val="18"/>
              </w:rPr>
              <w:t>024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155</w:t>
            </w:r>
            <w:r>
              <w:rPr>
                <w:rFonts w:cs="Arial"/>
                <w:szCs w:val="18"/>
              </w:rPr>
              <w:t xml:space="preserve"> </w:t>
            </w:r>
            <w:r w:rsidRPr="00E0707E">
              <w:rPr>
                <w:rFonts w:cs="Arial"/>
                <w:szCs w:val="18"/>
              </w:rPr>
              <w:t>665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51</w:t>
            </w:r>
            <w:r>
              <w:rPr>
                <w:rFonts w:cs="Arial"/>
                <w:szCs w:val="18"/>
              </w:rPr>
              <w:t xml:space="preserve"> </w:t>
            </w:r>
            <w:r w:rsidRPr="00E0707E">
              <w:rPr>
                <w:rFonts w:cs="Arial"/>
                <w:szCs w:val="18"/>
              </w:rPr>
              <w:t>888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0.4320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70</w:t>
            </w:r>
            <w:r>
              <w:rPr>
                <w:rFonts w:cs="Arial"/>
                <w:szCs w:val="18"/>
              </w:rPr>
              <w:t xml:space="preserve"> </w:t>
            </w:r>
            <w:r w:rsidRPr="00E0707E">
              <w:rPr>
                <w:rFonts w:cs="Arial"/>
                <w:szCs w:val="18"/>
              </w:rPr>
              <w:t>339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1F4806" w:rsidP="001F4806">
            <w:pPr>
              <w:widowControl/>
              <w:autoSpaceDE/>
              <w:autoSpaceDN/>
              <w:adjustRightInd/>
              <w:rPr>
                <w:rFonts w:cs="Arial"/>
                <w:szCs w:val="18"/>
              </w:rPr>
            </w:pPr>
            <w:r>
              <w:rPr>
                <w:rFonts w:cs="Arial"/>
                <w:szCs w:val="18"/>
              </w:rPr>
              <w:t>Arménie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138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Australi</w:t>
            </w:r>
            <w:r w:rsidR="001F4806">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4.9322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r>
              <w:rPr>
                <w:rFonts w:cs="Arial"/>
                <w:szCs w:val="18"/>
              </w:rPr>
              <w:t xml:space="preserve"> </w:t>
            </w:r>
            <w:r w:rsidRPr="00E0707E">
              <w:rPr>
                <w:rFonts w:cs="Arial"/>
                <w:szCs w:val="18"/>
              </w:rPr>
              <w:t>085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122</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r>
              <w:rPr>
                <w:rFonts w:cs="Arial"/>
                <w:szCs w:val="18"/>
              </w:rPr>
              <w:t xml:space="preserve"> </w:t>
            </w:r>
            <w:r w:rsidRPr="00E0707E">
              <w:rPr>
                <w:rFonts w:cs="Arial"/>
                <w:szCs w:val="18"/>
              </w:rPr>
              <w:t>185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131</w:t>
            </w:r>
            <w:r>
              <w:rPr>
                <w:rFonts w:cs="Arial"/>
                <w:szCs w:val="18"/>
              </w:rPr>
              <w:t xml:space="preserve"> </w:t>
            </w:r>
            <w:r w:rsidRPr="00E0707E">
              <w:rPr>
                <w:rFonts w:cs="Arial"/>
                <w:szCs w:val="18"/>
              </w:rPr>
              <w:t>062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r>
              <w:rPr>
                <w:rFonts w:cs="Arial"/>
                <w:szCs w:val="18"/>
              </w:rPr>
              <w:t xml:space="preserve"> </w:t>
            </w:r>
            <w:r w:rsidRPr="00E0707E">
              <w:rPr>
                <w:rFonts w:cs="Arial"/>
                <w:szCs w:val="18"/>
              </w:rPr>
              <w:t>835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135</w:t>
            </w:r>
            <w:r>
              <w:rPr>
                <w:rFonts w:cs="Arial"/>
                <w:szCs w:val="18"/>
              </w:rPr>
              <w:t xml:space="preserve"> </w:t>
            </w:r>
            <w:r w:rsidRPr="00E0707E">
              <w:rPr>
                <w:rFonts w:cs="Arial"/>
                <w:szCs w:val="18"/>
              </w:rPr>
              <w:t>945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2.0740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337</w:t>
            </w:r>
            <w:r>
              <w:rPr>
                <w:rFonts w:cs="Arial"/>
                <w:szCs w:val="18"/>
              </w:rPr>
              <w:t xml:space="preserve"> </w:t>
            </w:r>
            <w:r w:rsidRPr="00E0707E">
              <w:rPr>
                <w:rFonts w:cs="Arial"/>
                <w:szCs w:val="18"/>
              </w:rPr>
              <w:t>691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1F4806" w:rsidP="001F4806">
            <w:pPr>
              <w:widowControl/>
              <w:autoSpaceDE/>
              <w:autoSpaceDN/>
              <w:adjustRightInd/>
              <w:rPr>
                <w:rFonts w:cs="Arial"/>
                <w:szCs w:val="18"/>
              </w:rPr>
            </w:pPr>
            <w:r>
              <w:rPr>
                <w:rFonts w:cs="Arial"/>
                <w:szCs w:val="18"/>
              </w:rPr>
              <w:t>Au</w:t>
            </w:r>
            <w:r w:rsidR="00245E18" w:rsidRPr="00E0707E">
              <w:rPr>
                <w:rFonts w:cs="Arial"/>
                <w:szCs w:val="18"/>
              </w:rPr>
              <w:t>tri</w:t>
            </w:r>
            <w:r>
              <w:rPr>
                <w:rFonts w:cs="Arial"/>
                <w:szCs w:val="18"/>
              </w:rPr>
              <w:t>che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113</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37</w:t>
            </w:r>
            <w:r>
              <w:rPr>
                <w:rFonts w:cs="Arial"/>
                <w:szCs w:val="18"/>
              </w:rPr>
              <w:t xml:space="preserve"> </w:t>
            </w: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121</w:t>
            </w:r>
            <w:r>
              <w:rPr>
                <w:rFonts w:cs="Arial"/>
                <w:szCs w:val="18"/>
              </w:rPr>
              <w:t xml:space="preserve"> </w:t>
            </w:r>
            <w:r w:rsidRPr="00E0707E">
              <w:rPr>
                <w:rFonts w:cs="Arial"/>
                <w:szCs w:val="18"/>
              </w:rPr>
              <w:t>135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w:t>
            </w:r>
            <w:r>
              <w:rPr>
                <w:rFonts w:cs="Arial"/>
                <w:szCs w:val="18"/>
              </w:rPr>
              <w:t xml:space="preserve"> </w:t>
            </w:r>
            <w:r w:rsidRPr="00E0707E">
              <w:rPr>
                <w:rFonts w:cs="Arial"/>
                <w:szCs w:val="18"/>
              </w:rPr>
              <w:t>378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125</w:t>
            </w:r>
            <w:r>
              <w:rPr>
                <w:rFonts w:cs="Arial"/>
                <w:szCs w:val="18"/>
              </w:rPr>
              <w:t xml:space="preserve"> </w:t>
            </w:r>
            <w:r w:rsidRPr="00E0707E">
              <w:rPr>
                <w:rFonts w:cs="Arial"/>
                <w:szCs w:val="18"/>
              </w:rPr>
              <w:t>649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883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0.7980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129</w:t>
            </w:r>
            <w:r>
              <w:rPr>
                <w:rFonts w:cs="Arial"/>
                <w:szCs w:val="18"/>
              </w:rPr>
              <w:t xml:space="preserve"> </w:t>
            </w:r>
            <w:r w:rsidRPr="00E0707E">
              <w:rPr>
                <w:rFonts w:cs="Arial"/>
                <w:szCs w:val="18"/>
              </w:rPr>
              <w:t>932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Bangladesh</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473795" w:rsidP="00A64419">
            <w:pPr>
              <w:widowControl/>
              <w:autoSpaceDE/>
              <w:autoSpaceDN/>
              <w:adjustRightInd/>
              <w:rPr>
                <w:rFonts w:cs="Arial"/>
                <w:szCs w:val="18"/>
              </w:rPr>
            </w:pPr>
            <w:r>
              <w:rPr>
                <w:rFonts w:cs="Arial"/>
                <w:szCs w:val="18"/>
              </w:rPr>
              <w:t>B</w:t>
            </w:r>
            <w:r w:rsidR="00A64419">
              <w:rPr>
                <w:rFonts w:cs="Arial"/>
                <w:szCs w:val="18"/>
              </w:rPr>
              <w:t>iélorussie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796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422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773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258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118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Belgi</w:t>
            </w:r>
            <w:r w:rsidR="001F4806">
              <w:rPr>
                <w:rFonts w:cs="Arial"/>
                <w:szCs w:val="18"/>
              </w:rPr>
              <w:t>que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1.8678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139</w:t>
            </w:r>
            <w:r>
              <w:rPr>
                <w:rFonts w:cs="Arial"/>
                <w:szCs w:val="18"/>
              </w:rPr>
              <w:t xml:space="preserve"> </w:t>
            </w:r>
            <w:r w:rsidRPr="00E0707E">
              <w:rPr>
                <w:rFonts w:cs="Arial"/>
                <w:szCs w:val="18"/>
              </w:rPr>
              <w:t>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148</w:t>
            </w:r>
            <w:r>
              <w:rPr>
                <w:rFonts w:cs="Arial"/>
                <w:szCs w:val="18"/>
              </w:rPr>
              <w:t xml:space="preserve"> </w:t>
            </w:r>
            <w:r w:rsidRPr="00E0707E">
              <w:rPr>
                <w:rFonts w:cs="Arial"/>
                <w:szCs w:val="18"/>
              </w:rPr>
              <w:t>895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w:t>
            </w:r>
            <w:r>
              <w:rPr>
                <w:rFonts w:cs="Arial"/>
                <w:szCs w:val="18"/>
              </w:rPr>
              <w:t xml:space="preserve"> </w:t>
            </w:r>
            <w:r w:rsidRPr="00E0707E">
              <w:rPr>
                <w:rFonts w:cs="Arial"/>
                <w:szCs w:val="18"/>
              </w:rPr>
              <w:t>632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154</w:t>
            </w:r>
            <w:r>
              <w:rPr>
                <w:rFonts w:cs="Arial"/>
                <w:szCs w:val="18"/>
              </w:rPr>
              <w:t xml:space="preserve"> </w:t>
            </w:r>
            <w:r w:rsidRPr="00E0707E">
              <w:rPr>
                <w:rFonts w:cs="Arial"/>
                <w:szCs w:val="18"/>
              </w:rPr>
              <w:t>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51</w:t>
            </w:r>
            <w:r>
              <w:rPr>
                <w:rFonts w:cs="Arial"/>
                <w:szCs w:val="18"/>
              </w:rPr>
              <w:t xml:space="preserve"> </w:t>
            </w:r>
            <w:r w:rsidRPr="00E0707E">
              <w:rPr>
                <w:rFonts w:cs="Arial"/>
                <w:szCs w:val="18"/>
              </w:rPr>
              <w:t>481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162</w:t>
            </w:r>
            <w:r>
              <w:rPr>
                <w:rFonts w:cs="Arial"/>
                <w:szCs w:val="18"/>
              </w:rPr>
              <w:t xml:space="preserve"> </w:t>
            </w:r>
            <w:r w:rsidRPr="00E0707E">
              <w:rPr>
                <w:rFonts w:cs="Arial"/>
                <w:szCs w:val="18"/>
              </w:rPr>
              <w:t>493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B</w:t>
            </w:r>
            <w:r w:rsidR="001F4806">
              <w:rPr>
                <w:rFonts w:cs="Arial"/>
                <w:szCs w:val="18"/>
              </w:rPr>
              <w:t>é</w:t>
            </w:r>
            <w:r w:rsidRPr="00E0707E">
              <w:rPr>
                <w:rFonts w:cs="Arial"/>
                <w:szCs w:val="18"/>
              </w:rPr>
              <w:t>nin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A64419">
            <w:pPr>
              <w:widowControl/>
              <w:autoSpaceDE/>
              <w:autoSpaceDN/>
              <w:adjustRightInd/>
              <w:rPr>
                <w:rFonts w:cs="Arial"/>
                <w:szCs w:val="18"/>
              </w:rPr>
            </w:pPr>
            <w:r w:rsidRPr="00E0707E">
              <w:rPr>
                <w:rFonts w:cs="Arial"/>
                <w:szCs w:val="18"/>
              </w:rPr>
              <w:t>Bolivi</w:t>
            </w:r>
            <w:r w:rsidR="001F4806">
              <w:rPr>
                <w:rFonts w:cs="Arial"/>
                <w:szCs w:val="18"/>
              </w:rPr>
              <w:t>e</w:t>
            </w:r>
            <w:r w:rsidRPr="00E0707E">
              <w:rPr>
                <w:rFonts w:cs="Arial"/>
                <w:szCs w:val="18"/>
              </w:rPr>
              <w:t xml:space="preserve"> (</w:t>
            </w:r>
            <w:r w:rsidR="00A64419">
              <w:rPr>
                <w:rFonts w:cs="Arial"/>
                <w:szCs w:val="18"/>
              </w:rPr>
              <w:t>État</w:t>
            </w:r>
            <w:r w:rsidR="001F4806">
              <w:rPr>
                <w:rFonts w:cs="Arial"/>
                <w:szCs w:val="18"/>
              </w:rPr>
              <w:t xml:space="preserve"> p</w:t>
            </w:r>
            <w:r w:rsidRPr="00E0707E">
              <w:rPr>
                <w:rFonts w:cs="Arial"/>
                <w:szCs w:val="18"/>
              </w:rPr>
              <w:t xml:space="preserve">lurinational </w:t>
            </w:r>
            <w:r w:rsidR="001F4806">
              <w:rPr>
                <w:rFonts w:cs="Arial"/>
                <w:szCs w:val="18"/>
              </w:rPr>
              <w:t>de</w:t>
            </w:r>
            <w:r w:rsidRPr="00E0707E">
              <w:rPr>
                <w:rFonts w:cs="Arial"/>
                <w:szCs w:val="18"/>
              </w:rPr>
              <w:t>)</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Br</w:t>
            </w:r>
            <w:r w:rsidR="001F4806">
              <w:rPr>
                <w:rFonts w:cs="Arial"/>
                <w:szCs w:val="18"/>
              </w:rPr>
              <w:t>ésil</w:t>
            </w:r>
            <w:r w:rsidRPr="00E0707E">
              <w:rPr>
                <w:rFonts w:cs="Arial"/>
                <w:szCs w:val="18"/>
              </w:rPr>
              <w:t xml:space="preserve">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3.823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8.0684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600</w:t>
            </w:r>
            <w:r>
              <w:rPr>
                <w:rFonts w:cs="Arial"/>
                <w:szCs w:val="18"/>
              </w:rPr>
              <w:t xml:space="preserve"> </w:t>
            </w:r>
            <w:r w:rsidRPr="00E0707E">
              <w:rPr>
                <w:rFonts w:cs="Arial"/>
                <w:szCs w:val="18"/>
              </w:rPr>
              <w:t>499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200</w:t>
            </w:r>
            <w:r>
              <w:rPr>
                <w:rFonts w:cs="Arial"/>
                <w:szCs w:val="18"/>
              </w:rPr>
              <w:t xml:space="preserve"> </w:t>
            </w:r>
            <w:r w:rsidRPr="00E0707E">
              <w:rPr>
                <w:rFonts w:cs="Arial"/>
                <w:szCs w:val="18"/>
              </w:rPr>
              <w:t>166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643</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667</w:t>
            </w:r>
            <w:r>
              <w:rPr>
                <w:rFonts w:cs="Arial"/>
                <w:szCs w:val="18"/>
              </w:rPr>
              <w:t xml:space="preserve"> </w:t>
            </w:r>
            <w:r w:rsidRPr="00E0707E">
              <w:rPr>
                <w:rFonts w:cs="Arial"/>
                <w:szCs w:val="18"/>
              </w:rPr>
              <w:t>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222</w:t>
            </w:r>
            <w:r>
              <w:rPr>
                <w:rFonts w:cs="Arial"/>
                <w:szCs w:val="18"/>
              </w:rPr>
              <w:t xml:space="preserve"> </w:t>
            </w:r>
            <w:r w:rsidRPr="00E0707E">
              <w:rPr>
                <w:rFonts w:cs="Arial"/>
                <w:szCs w:val="18"/>
              </w:rPr>
              <w:t>387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1C514A" w:rsidP="001C514A">
            <w:pPr>
              <w:widowControl/>
              <w:autoSpaceDE/>
              <w:autoSpaceDN/>
              <w:adjustRightInd/>
              <w:jc w:val="right"/>
              <w:rPr>
                <w:rFonts w:cs="Arial"/>
                <w:szCs w:val="18"/>
              </w:rPr>
            </w:pPr>
            <w:r>
              <w:rPr>
                <w:rFonts w:cs="Arial"/>
                <w:szCs w:val="18"/>
              </w:rPr>
              <w:t>nouvelle Partie</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Bulgari</w:t>
            </w:r>
            <w:r w:rsidR="001F4806">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068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356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853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618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Burkina Faso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Burundi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1F4806">
            <w:pPr>
              <w:widowControl/>
              <w:autoSpaceDE/>
              <w:autoSpaceDN/>
              <w:adjustRightInd/>
              <w:rPr>
                <w:rFonts w:cs="Arial"/>
                <w:szCs w:val="18"/>
              </w:rPr>
            </w:pPr>
            <w:r w:rsidRPr="00E0707E">
              <w:rPr>
                <w:rFonts w:cs="Arial"/>
                <w:szCs w:val="18"/>
              </w:rPr>
              <w:t>Ca</w:t>
            </w:r>
            <w:r w:rsidR="001F4806">
              <w:rPr>
                <w:rFonts w:cs="Arial"/>
                <w:szCs w:val="18"/>
              </w:rPr>
              <w:t>p-Vert</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1F4806" w:rsidP="001F4806">
            <w:pPr>
              <w:widowControl/>
              <w:autoSpaceDE/>
              <w:autoSpaceDN/>
              <w:adjustRightInd/>
              <w:rPr>
                <w:rFonts w:cs="Arial"/>
                <w:szCs w:val="18"/>
              </w:rPr>
            </w:pPr>
            <w:r>
              <w:rPr>
                <w:rFonts w:cs="Arial"/>
                <w:szCs w:val="18"/>
              </w:rPr>
              <w:t>Cameroun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958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A64419" w:rsidP="00A64419">
            <w:pPr>
              <w:widowControl/>
              <w:autoSpaceDE/>
              <w:autoSpaceDN/>
              <w:adjustRightInd/>
              <w:rPr>
                <w:rFonts w:cs="Arial"/>
                <w:szCs w:val="18"/>
              </w:rPr>
            </w:pPr>
            <w:r>
              <w:rPr>
                <w:rFonts w:cs="Arial"/>
                <w:szCs w:val="18"/>
              </w:rPr>
              <w:t>Tc</w:t>
            </w:r>
            <w:r w:rsidR="00245E18" w:rsidRPr="00E0707E">
              <w:rPr>
                <w:rFonts w:cs="Arial"/>
                <w:szCs w:val="18"/>
              </w:rPr>
              <w:t>had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Chil</w:t>
            </w:r>
            <w:r w:rsidR="00F80521">
              <w:rPr>
                <w:rFonts w:cs="Arial"/>
                <w:szCs w:val="18"/>
              </w:rPr>
              <w:t>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891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129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376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w:t>
            </w:r>
            <w:r>
              <w:rPr>
                <w:rFonts w:cs="Arial"/>
                <w:szCs w:val="18"/>
              </w:rPr>
              <w:t xml:space="preserve"> </w:t>
            </w:r>
            <w:r w:rsidRPr="00E0707E">
              <w:rPr>
                <w:rFonts w:cs="Arial"/>
                <w:szCs w:val="18"/>
              </w:rPr>
              <w:t>630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210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383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Congo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473795" w:rsidP="00F80521">
            <w:pPr>
              <w:widowControl/>
              <w:autoSpaceDE/>
              <w:autoSpaceDN/>
              <w:adjustRightInd/>
              <w:rPr>
                <w:rFonts w:cs="Arial"/>
                <w:szCs w:val="18"/>
              </w:rPr>
            </w:pPr>
            <w:r>
              <w:rPr>
                <w:rFonts w:cs="Arial"/>
                <w:szCs w:val="18"/>
              </w:rPr>
              <w:t>Î</w:t>
            </w:r>
            <w:r w:rsidR="00F80521">
              <w:rPr>
                <w:rFonts w:cs="Arial"/>
                <w:szCs w:val="18"/>
              </w:rPr>
              <w:t>les Cook</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Costa Rica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383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202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734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185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Côte d’Ivoire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794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Croati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0.2089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550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183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656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552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277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759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519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Cuba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210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403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936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645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343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781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238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C</w:t>
            </w:r>
            <w:r w:rsidR="00F80521">
              <w:rPr>
                <w:rFonts w:cs="Arial"/>
                <w:szCs w:val="18"/>
              </w:rPr>
              <w:t>hypre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754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501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République tchèque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0.344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0.7260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034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011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876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292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011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0.3860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852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République dém. du Congo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32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D</w:t>
            </w:r>
            <w:r w:rsidR="00F80521">
              <w:rPr>
                <w:rFonts w:cs="Arial"/>
                <w:szCs w:val="18"/>
              </w:rPr>
              <w:t>anemark</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1.2325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w:t>
            </w:r>
            <w:r>
              <w:rPr>
                <w:rFonts w:cs="Arial"/>
                <w:szCs w:val="18"/>
              </w:rPr>
              <w:t xml:space="preserve"> </w:t>
            </w:r>
            <w:r w:rsidRPr="00E0707E">
              <w:rPr>
                <w:rFonts w:cs="Arial"/>
                <w:szCs w:val="18"/>
              </w:rPr>
              <w:t>732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577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98</w:t>
            </w:r>
            <w:r>
              <w:rPr>
                <w:rFonts w:cs="Arial"/>
                <w:szCs w:val="18"/>
              </w:rPr>
              <w:t xml:space="preserve"> </w:t>
            </w:r>
            <w:r w:rsidRPr="00E0707E">
              <w:rPr>
                <w:rFonts w:cs="Arial"/>
                <w:szCs w:val="18"/>
              </w:rPr>
              <w:t>254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751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101</w:t>
            </w:r>
            <w:r>
              <w:rPr>
                <w:rFonts w:cs="Arial"/>
                <w:szCs w:val="18"/>
              </w:rPr>
              <w:t xml:space="preserve"> </w:t>
            </w:r>
            <w:r w:rsidRPr="00E0707E">
              <w:rPr>
                <w:rFonts w:cs="Arial"/>
                <w:szCs w:val="18"/>
              </w:rPr>
              <w:t>915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972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0.6750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109</w:t>
            </w:r>
            <w:r>
              <w:rPr>
                <w:rFonts w:cs="Arial"/>
                <w:szCs w:val="18"/>
              </w:rPr>
              <w:t xml:space="preserve"> </w:t>
            </w:r>
            <w:r w:rsidRPr="00E0707E">
              <w:rPr>
                <w:rFonts w:cs="Arial"/>
                <w:szCs w:val="18"/>
              </w:rPr>
              <w:t>905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Djibouti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Équateur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272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897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167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É</w:t>
            </w:r>
            <w:r w:rsidR="00245E18" w:rsidRPr="00E0707E">
              <w:rPr>
                <w:rFonts w:cs="Arial"/>
                <w:szCs w:val="18"/>
              </w:rPr>
              <w:t>gypt</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0.3208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875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958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573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526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842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822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Guinée é</w:t>
            </w:r>
            <w:r w:rsidR="00245E18" w:rsidRPr="00E0707E">
              <w:rPr>
                <w:rFonts w:cs="Arial"/>
                <w:szCs w:val="18"/>
              </w:rPr>
              <w:t>quatorial</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É</w:t>
            </w:r>
            <w:r w:rsidR="00245E18" w:rsidRPr="00E0707E">
              <w:rPr>
                <w:rFonts w:cs="Arial"/>
                <w:szCs w:val="18"/>
              </w:rPr>
              <w:t>r</w:t>
            </w:r>
            <w:r>
              <w:rPr>
                <w:rFonts w:cs="Arial"/>
                <w:szCs w:val="18"/>
              </w:rPr>
              <w:t>ythrée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Estoni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631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512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É</w:t>
            </w:r>
            <w:r w:rsidR="00245E18" w:rsidRPr="00E0707E">
              <w:rPr>
                <w:rFonts w:cs="Arial"/>
                <w:szCs w:val="18"/>
              </w:rPr>
              <w:t>thiopi</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Union européenne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2.5000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186</w:t>
            </w:r>
            <w:r>
              <w:rPr>
                <w:rFonts w:cs="Arial"/>
                <w:szCs w:val="18"/>
              </w:rPr>
              <w:t xml:space="preserve"> </w:t>
            </w:r>
            <w:r w:rsidRPr="00E0707E">
              <w:rPr>
                <w:rFonts w:cs="Arial"/>
                <w:szCs w:val="18"/>
              </w:rPr>
              <w:t>066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022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199</w:t>
            </w:r>
            <w:r>
              <w:rPr>
                <w:rFonts w:cs="Arial"/>
                <w:szCs w:val="18"/>
              </w:rPr>
              <w:t xml:space="preserve"> </w:t>
            </w:r>
            <w:r w:rsidRPr="00E0707E">
              <w:rPr>
                <w:rFonts w:cs="Arial"/>
                <w:szCs w:val="18"/>
              </w:rPr>
              <w:t>295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432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206</w:t>
            </w:r>
            <w:r>
              <w:rPr>
                <w:rFonts w:cs="Arial"/>
                <w:szCs w:val="18"/>
              </w:rPr>
              <w:t xml:space="preserve"> </w:t>
            </w:r>
            <w:r w:rsidRPr="00E0707E">
              <w:rPr>
                <w:rFonts w:cs="Arial"/>
                <w:szCs w:val="18"/>
              </w:rPr>
              <w:t>721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907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186</w:t>
            </w:r>
            <w:r>
              <w:rPr>
                <w:rFonts w:cs="Arial"/>
                <w:szCs w:val="18"/>
              </w:rPr>
              <w:t xml:space="preserve"> </w:t>
            </w:r>
            <w:r w:rsidRPr="00E0707E">
              <w:rPr>
                <w:rFonts w:cs="Arial"/>
                <w:szCs w:val="18"/>
              </w:rPr>
              <w:t>063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Fi</w:t>
            </w:r>
            <w:r w:rsidR="00F80521">
              <w:rPr>
                <w:rFonts w:cs="Arial"/>
                <w:szCs w:val="18"/>
              </w:rPr>
              <w:t>d</w:t>
            </w:r>
            <w:r w:rsidRPr="00E0707E">
              <w:rPr>
                <w:rFonts w:cs="Arial"/>
                <w:szCs w:val="18"/>
              </w:rPr>
              <w:t>ji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Finland</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0.9624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71</w:t>
            </w:r>
            <w:r>
              <w:rPr>
                <w:rFonts w:cs="Arial"/>
                <w:szCs w:val="18"/>
              </w:rPr>
              <w:t xml:space="preserve"> </w:t>
            </w:r>
            <w:r w:rsidRPr="00E0707E">
              <w:rPr>
                <w:rFonts w:cs="Arial"/>
                <w:szCs w:val="18"/>
              </w:rPr>
              <w:t>626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875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76</w:t>
            </w:r>
            <w:r>
              <w:rPr>
                <w:rFonts w:cs="Arial"/>
                <w:szCs w:val="18"/>
              </w:rPr>
              <w:t xml:space="preserve"> </w:t>
            </w:r>
            <w:r w:rsidRPr="00E0707E">
              <w:rPr>
                <w:rFonts w:cs="Arial"/>
                <w:szCs w:val="18"/>
              </w:rPr>
              <w:t>719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573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578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526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0.5190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w:t>
            </w:r>
            <w:r>
              <w:rPr>
                <w:rFonts w:cs="Arial"/>
                <w:szCs w:val="18"/>
              </w:rPr>
              <w:t xml:space="preserve"> </w:t>
            </w:r>
            <w:r w:rsidRPr="00E0707E">
              <w:rPr>
                <w:rFonts w:cs="Arial"/>
                <w:szCs w:val="18"/>
              </w:rPr>
              <w:t>502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France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4.859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10.2548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763</w:t>
            </w:r>
            <w:r>
              <w:rPr>
                <w:rFonts w:cs="Arial"/>
                <w:szCs w:val="18"/>
              </w:rPr>
              <w:t xml:space="preserve"> </w:t>
            </w:r>
            <w:r w:rsidRPr="00E0707E">
              <w:rPr>
                <w:rFonts w:cs="Arial"/>
                <w:szCs w:val="18"/>
              </w:rPr>
              <w:t>229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254</w:t>
            </w:r>
            <w:r>
              <w:rPr>
                <w:rFonts w:cs="Arial"/>
                <w:szCs w:val="18"/>
              </w:rPr>
              <w:t xml:space="preserve"> </w:t>
            </w:r>
            <w:r w:rsidRPr="00E0707E">
              <w:rPr>
                <w:rFonts w:cs="Arial"/>
                <w:szCs w:val="18"/>
              </w:rPr>
              <w:t>410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817</w:t>
            </w:r>
            <w:r>
              <w:rPr>
                <w:rFonts w:cs="Arial"/>
                <w:szCs w:val="18"/>
              </w:rPr>
              <w:t xml:space="preserve"> </w:t>
            </w:r>
            <w:r w:rsidRPr="00E0707E">
              <w:rPr>
                <w:rFonts w:cs="Arial"/>
                <w:szCs w:val="18"/>
              </w:rPr>
              <w:t>495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272</w:t>
            </w:r>
            <w:r>
              <w:rPr>
                <w:rFonts w:cs="Arial"/>
                <w:szCs w:val="18"/>
              </w:rPr>
              <w:t xml:space="preserve"> </w:t>
            </w:r>
            <w:r w:rsidRPr="00E0707E">
              <w:rPr>
                <w:rFonts w:cs="Arial"/>
                <w:szCs w:val="18"/>
              </w:rPr>
              <w:t>498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847</w:t>
            </w:r>
            <w:r>
              <w:rPr>
                <w:rFonts w:cs="Arial"/>
                <w:szCs w:val="18"/>
              </w:rPr>
              <w:t xml:space="preserve"> </w:t>
            </w:r>
            <w:r w:rsidRPr="00E0707E">
              <w:rPr>
                <w:rFonts w:cs="Arial"/>
                <w:szCs w:val="18"/>
              </w:rPr>
              <w:t>955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282</w:t>
            </w:r>
            <w:r>
              <w:rPr>
                <w:rFonts w:cs="Arial"/>
                <w:szCs w:val="18"/>
              </w:rPr>
              <w:t xml:space="preserve"> </w:t>
            </w:r>
            <w:r w:rsidRPr="00E0707E">
              <w:rPr>
                <w:rFonts w:cs="Arial"/>
                <w:szCs w:val="18"/>
              </w:rPr>
              <w:t>652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5.5930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910</w:t>
            </w:r>
            <w:r>
              <w:rPr>
                <w:rFonts w:cs="Arial"/>
                <w:szCs w:val="18"/>
              </w:rPr>
              <w:t xml:space="preserve"> </w:t>
            </w:r>
            <w:r w:rsidRPr="00E0707E">
              <w:rPr>
                <w:rFonts w:cs="Arial"/>
                <w:szCs w:val="18"/>
              </w:rPr>
              <w:t>664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Gabon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989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259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Gambi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G</w:t>
            </w:r>
            <w:r w:rsidR="00F80521">
              <w:rPr>
                <w:rFonts w:cs="Arial"/>
                <w:szCs w:val="18"/>
              </w:rPr>
              <w:t>é</w:t>
            </w:r>
            <w:r w:rsidRPr="00E0707E">
              <w:rPr>
                <w:rFonts w:cs="Arial"/>
                <w:szCs w:val="18"/>
              </w:rPr>
              <w:t>orgi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138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Allemagne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6.389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13.4839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003</w:t>
            </w:r>
            <w:r>
              <w:rPr>
                <w:rFonts w:cs="Arial"/>
                <w:szCs w:val="18"/>
              </w:rPr>
              <w:t xml:space="preserve"> </w:t>
            </w:r>
            <w:r w:rsidRPr="00E0707E">
              <w:rPr>
                <w:rFonts w:cs="Arial"/>
                <w:szCs w:val="18"/>
              </w:rPr>
              <w:t>554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334</w:t>
            </w:r>
            <w:r>
              <w:rPr>
                <w:rFonts w:cs="Arial"/>
                <w:szCs w:val="18"/>
              </w:rPr>
              <w:t xml:space="preserve"> </w:t>
            </w:r>
            <w:r w:rsidRPr="00E0707E">
              <w:rPr>
                <w:rFonts w:cs="Arial"/>
                <w:szCs w:val="18"/>
              </w:rPr>
              <w:t>518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074</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358</w:t>
            </w:r>
            <w:r>
              <w:rPr>
                <w:rFonts w:cs="Arial"/>
                <w:szCs w:val="18"/>
              </w:rPr>
              <w:t xml:space="preserve"> </w:t>
            </w:r>
            <w:r w:rsidRPr="00E0707E">
              <w:rPr>
                <w:rFonts w:cs="Arial"/>
                <w:szCs w:val="18"/>
              </w:rPr>
              <w:t>302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114</w:t>
            </w:r>
            <w:r>
              <w:rPr>
                <w:rFonts w:cs="Arial"/>
                <w:szCs w:val="18"/>
              </w:rPr>
              <w:t xml:space="preserve"> </w:t>
            </w:r>
            <w:r w:rsidRPr="00E0707E">
              <w:rPr>
                <w:rFonts w:cs="Arial"/>
                <w:szCs w:val="18"/>
              </w:rPr>
              <w:t>959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371</w:t>
            </w:r>
            <w:r>
              <w:rPr>
                <w:rFonts w:cs="Arial"/>
                <w:szCs w:val="18"/>
              </w:rPr>
              <w:t xml:space="preserve"> </w:t>
            </w:r>
            <w:r w:rsidRPr="00E0707E">
              <w:rPr>
                <w:rFonts w:cs="Arial"/>
                <w:szCs w:val="18"/>
              </w:rPr>
              <w:t>653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7.1410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162</w:t>
            </w:r>
            <w:r>
              <w:rPr>
                <w:rFonts w:cs="Arial"/>
                <w:szCs w:val="18"/>
              </w:rPr>
              <w:t xml:space="preserve"> </w:t>
            </w:r>
            <w:r w:rsidRPr="00E0707E">
              <w:rPr>
                <w:rFonts w:cs="Arial"/>
                <w:szCs w:val="18"/>
              </w:rPr>
              <w:t>713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Ghana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278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Grèce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w:t>
            </w:r>
            <w:r>
              <w:rPr>
                <w:rFonts w:cs="Arial"/>
                <w:szCs w:val="18"/>
              </w:rPr>
              <w:t xml:space="preserve"> </w:t>
            </w:r>
            <w:r w:rsidRPr="00E0707E">
              <w:rPr>
                <w:rFonts w:cs="Arial"/>
                <w:szCs w:val="18"/>
              </w:rPr>
              <w:t>982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661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243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82</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398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0.6380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103</w:t>
            </w:r>
            <w:r>
              <w:rPr>
                <w:rFonts w:cs="Arial"/>
                <w:szCs w:val="18"/>
              </w:rPr>
              <w:t xml:space="preserve"> </w:t>
            </w:r>
            <w:r w:rsidRPr="00E0707E">
              <w:rPr>
                <w:rFonts w:cs="Arial"/>
                <w:szCs w:val="18"/>
              </w:rPr>
              <w:t>884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Guin</w:t>
            </w:r>
            <w:r w:rsidR="00F80521">
              <w:rPr>
                <w:rFonts w:cs="Arial"/>
                <w:szCs w:val="18"/>
              </w:rPr>
              <w:t>ée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Guin</w:t>
            </w:r>
            <w:r w:rsidR="00F80521">
              <w:rPr>
                <w:rFonts w:cs="Arial"/>
                <w:szCs w:val="18"/>
              </w:rPr>
              <w:t>ée</w:t>
            </w:r>
            <w:r w:rsidRPr="00E0707E">
              <w:rPr>
                <w:rFonts w:cs="Arial"/>
                <w:szCs w:val="18"/>
              </w:rPr>
              <w:t>-Bissau</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Honduras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303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H</w:t>
            </w:r>
            <w:r w:rsidR="00F80521">
              <w:rPr>
                <w:rFonts w:cs="Arial"/>
                <w:szCs w:val="18"/>
              </w:rPr>
              <w:t>ongrie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289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087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43</w:t>
            </w:r>
            <w:r>
              <w:rPr>
                <w:rFonts w:cs="Arial"/>
                <w:szCs w:val="18"/>
              </w:rPr>
              <w:t xml:space="preserve"> </w:t>
            </w:r>
            <w:r w:rsidRPr="00E0707E">
              <w:rPr>
                <w:rFonts w:cs="Arial"/>
                <w:szCs w:val="18"/>
              </w:rPr>
              <w:t>308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Ind</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1.5554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115</w:t>
            </w:r>
            <w:r>
              <w:rPr>
                <w:rFonts w:cs="Arial"/>
                <w:szCs w:val="18"/>
              </w:rPr>
              <w:t xml:space="preserve"> </w:t>
            </w:r>
            <w:r w:rsidRPr="00E0707E">
              <w:rPr>
                <w:rFonts w:cs="Arial"/>
                <w:szCs w:val="18"/>
              </w:rPr>
              <w:t>764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38</w:t>
            </w:r>
            <w:r>
              <w:rPr>
                <w:rFonts w:cs="Arial"/>
                <w:szCs w:val="18"/>
              </w:rPr>
              <w:t xml:space="preserve"> </w:t>
            </w:r>
            <w:r w:rsidRPr="00E0707E">
              <w:rPr>
                <w:rFonts w:cs="Arial"/>
                <w:szCs w:val="18"/>
              </w:rPr>
              <w:t>588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123</w:t>
            </w:r>
            <w:r>
              <w:rPr>
                <w:rFonts w:cs="Arial"/>
                <w:szCs w:val="18"/>
              </w:rPr>
              <w:t xml:space="preserve"> </w:t>
            </w:r>
            <w:r w:rsidRPr="00E0707E">
              <w:rPr>
                <w:rFonts w:cs="Arial"/>
                <w:szCs w:val="18"/>
              </w:rPr>
              <w:t>995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332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128</w:t>
            </w:r>
            <w:r>
              <w:rPr>
                <w:rFonts w:cs="Arial"/>
                <w:szCs w:val="18"/>
              </w:rPr>
              <w:t xml:space="preserve"> </w:t>
            </w:r>
            <w:r w:rsidRPr="00E0707E">
              <w:rPr>
                <w:rFonts w:cs="Arial"/>
                <w:szCs w:val="18"/>
              </w:rPr>
              <w:t>616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w:t>
            </w:r>
            <w:r>
              <w:rPr>
                <w:rFonts w:cs="Arial"/>
                <w:szCs w:val="18"/>
              </w:rPr>
              <w:t xml:space="preserve"> </w:t>
            </w:r>
            <w:r w:rsidRPr="00E0707E">
              <w:rPr>
                <w:rFonts w:cs="Arial"/>
                <w:szCs w:val="18"/>
              </w:rPr>
              <w:t>872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0.6660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108</w:t>
            </w:r>
            <w:r>
              <w:rPr>
                <w:rFonts w:cs="Arial"/>
                <w:szCs w:val="18"/>
              </w:rPr>
              <w:t xml:space="preserve"> </w:t>
            </w:r>
            <w:r w:rsidRPr="00E0707E">
              <w:rPr>
                <w:rFonts w:cs="Arial"/>
                <w:szCs w:val="18"/>
              </w:rPr>
              <w:t>438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Iran (</w:t>
            </w:r>
            <w:r w:rsidR="00F80521">
              <w:rPr>
                <w:rFonts w:cs="Arial"/>
                <w:szCs w:val="18"/>
              </w:rPr>
              <w:t>République islamique 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w:t>
            </w:r>
            <w:r>
              <w:rPr>
                <w:rFonts w:cs="Arial"/>
                <w:szCs w:val="18"/>
              </w:rPr>
              <w:t xml:space="preserve"> </w:t>
            </w:r>
            <w:r w:rsidRPr="00E0707E">
              <w:rPr>
                <w:rFonts w:cs="Arial"/>
                <w:szCs w:val="18"/>
              </w:rPr>
              <w:t>982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661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243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82</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398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0.3560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963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973EB" w:rsidP="00245E18">
            <w:pPr>
              <w:widowControl/>
              <w:autoSpaceDE/>
              <w:autoSpaceDN/>
              <w:adjustRightInd/>
              <w:rPr>
                <w:rFonts w:cs="Arial"/>
                <w:szCs w:val="18"/>
              </w:rPr>
            </w:pPr>
            <w:r>
              <w:rPr>
                <w:rFonts w:cs="Arial"/>
                <w:szCs w:val="18"/>
              </w:rPr>
              <w:t>Irak</w:t>
            </w:r>
            <w:r w:rsidR="00245E18" w:rsidRPr="00E0707E">
              <w:rPr>
                <w:rFonts w:cs="Arial"/>
                <w:szCs w:val="18"/>
              </w:rPr>
              <w:t xml:space="preserve">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0.2723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263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754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703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512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504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1C514A" w:rsidP="001C514A">
            <w:pPr>
              <w:widowControl/>
              <w:autoSpaceDE/>
              <w:autoSpaceDN/>
              <w:adjustRightInd/>
              <w:jc w:val="right"/>
              <w:rPr>
                <w:rFonts w:cs="Arial"/>
                <w:szCs w:val="18"/>
              </w:rPr>
            </w:pPr>
            <w:r>
              <w:rPr>
                <w:rFonts w:cs="Arial"/>
                <w:szCs w:val="18"/>
              </w:rPr>
              <w:t>nouvelle Partie</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245E18">
            <w:pPr>
              <w:widowControl/>
              <w:autoSpaceDE/>
              <w:autoSpaceDN/>
              <w:adjustRightInd/>
              <w:rPr>
                <w:rFonts w:cs="Arial"/>
                <w:szCs w:val="18"/>
              </w:rPr>
            </w:pPr>
            <w:r>
              <w:rPr>
                <w:rFonts w:cs="Arial"/>
                <w:szCs w:val="18"/>
              </w:rPr>
              <w:t>Ir</w:t>
            </w:r>
            <w:r w:rsidR="00245E18" w:rsidRPr="00E0707E">
              <w:rPr>
                <w:rFonts w:cs="Arial"/>
                <w:szCs w:val="18"/>
              </w:rPr>
              <w:t>land</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0.7070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r>
              <w:rPr>
                <w:rFonts w:cs="Arial"/>
                <w:szCs w:val="18"/>
              </w:rPr>
              <w:t xml:space="preserve"> </w:t>
            </w:r>
            <w:r w:rsidRPr="00E0707E">
              <w:rPr>
                <w:rFonts w:cs="Arial"/>
                <w:szCs w:val="18"/>
              </w:rPr>
              <w:t>620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540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787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r>
              <w:rPr>
                <w:rFonts w:cs="Arial"/>
                <w:szCs w:val="18"/>
              </w:rPr>
              <w:t xml:space="preserve"> </w:t>
            </w:r>
            <w:r w:rsidRPr="00E0707E">
              <w:rPr>
                <w:rFonts w:cs="Arial"/>
                <w:szCs w:val="18"/>
              </w:rPr>
              <w:t>462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487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0.4180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062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Isra</w:t>
            </w:r>
            <w:r w:rsidR="00F80521">
              <w:rPr>
                <w:rFonts w:cs="Arial"/>
                <w:szCs w:val="18"/>
              </w:rPr>
              <w:t>ë</w:t>
            </w:r>
            <w:r w:rsidRPr="00E0707E">
              <w:rPr>
                <w:rFonts w:cs="Arial"/>
                <w:szCs w:val="18"/>
              </w:rPr>
              <w:t>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0.9075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542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w:t>
            </w:r>
            <w:r>
              <w:rPr>
                <w:rFonts w:cs="Arial"/>
                <w:szCs w:val="18"/>
              </w:rPr>
              <w:t xml:space="preserve"> </w:t>
            </w:r>
            <w:r w:rsidRPr="00E0707E">
              <w:rPr>
                <w:rFonts w:cs="Arial"/>
                <w:szCs w:val="18"/>
              </w:rPr>
              <w:t>345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115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75</w:t>
            </w:r>
            <w:r>
              <w:rPr>
                <w:rFonts w:cs="Arial"/>
                <w:szCs w:val="18"/>
              </w:rPr>
              <w:t xml:space="preserve"> </w:t>
            </w:r>
            <w:r w:rsidRPr="00E0707E">
              <w:rPr>
                <w:rFonts w:cs="Arial"/>
                <w:szCs w:val="18"/>
              </w:rPr>
              <w:t>040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013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475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Ital</w:t>
            </w:r>
            <w:r w:rsidR="00F80521">
              <w:rPr>
                <w:rFonts w:cs="Arial"/>
                <w:szCs w:val="18"/>
              </w:rPr>
              <w:t>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3.748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7.9101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588</w:t>
            </w:r>
            <w:r>
              <w:rPr>
                <w:rFonts w:cs="Arial"/>
                <w:szCs w:val="18"/>
              </w:rPr>
              <w:t xml:space="preserve"> </w:t>
            </w:r>
            <w:r w:rsidRPr="00E0707E">
              <w:rPr>
                <w:rFonts w:cs="Arial"/>
                <w:szCs w:val="18"/>
              </w:rPr>
              <w:t>718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196</w:t>
            </w:r>
            <w:r>
              <w:rPr>
                <w:rFonts w:cs="Arial"/>
                <w:szCs w:val="18"/>
              </w:rPr>
              <w:t xml:space="preserve"> </w:t>
            </w:r>
            <w:r w:rsidRPr="00E0707E">
              <w:rPr>
                <w:rFonts w:cs="Arial"/>
                <w:szCs w:val="18"/>
              </w:rPr>
              <w:t>239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630</w:t>
            </w:r>
            <w:r>
              <w:rPr>
                <w:rFonts w:cs="Arial"/>
                <w:szCs w:val="18"/>
              </w:rPr>
              <w:t xml:space="preserve"> </w:t>
            </w:r>
            <w:r w:rsidRPr="00E0707E">
              <w:rPr>
                <w:rFonts w:cs="Arial"/>
                <w:szCs w:val="18"/>
              </w:rPr>
              <w:t>576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210</w:t>
            </w:r>
            <w:r>
              <w:rPr>
                <w:rFonts w:cs="Arial"/>
                <w:szCs w:val="18"/>
              </w:rPr>
              <w:t xml:space="preserve"> </w:t>
            </w:r>
            <w:r w:rsidRPr="00E0707E">
              <w:rPr>
                <w:rFonts w:cs="Arial"/>
                <w:szCs w:val="18"/>
              </w:rPr>
              <w:t>192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654</w:t>
            </w:r>
            <w:r>
              <w:rPr>
                <w:rFonts w:cs="Arial"/>
                <w:szCs w:val="18"/>
              </w:rPr>
              <w:t xml:space="preserve"> </w:t>
            </w:r>
            <w:r w:rsidRPr="00E0707E">
              <w:rPr>
                <w:rFonts w:cs="Arial"/>
                <w:szCs w:val="18"/>
              </w:rPr>
              <w:t>072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218</w:t>
            </w:r>
            <w:r>
              <w:rPr>
                <w:rFonts w:cs="Arial"/>
                <w:szCs w:val="18"/>
              </w:rPr>
              <w:t xml:space="preserve"> </w:t>
            </w:r>
            <w:r w:rsidRPr="00E0707E">
              <w:rPr>
                <w:rFonts w:cs="Arial"/>
                <w:szCs w:val="18"/>
              </w:rPr>
              <w:t>024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4.4480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724</w:t>
            </w:r>
            <w:r>
              <w:rPr>
                <w:rFonts w:cs="Arial"/>
                <w:szCs w:val="18"/>
              </w:rPr>
              <w:t xml:space="preserve"> </w:t>
            </w:r>
            <w:r w:rsidRPr="00E0707E">
              <w:rPr>
                <w:rFonts w:cs="Arial"/>
                <w:szCs w:val="18"/>
              </w:rPr>
              <w:t>236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Jordan</w:t>
            </w:r>
            <w:r w:rsidR="00F80521">
              <w:rPr>
                <w:rFonts w:cs="Arial"/>
                <w:szCs w:val="18"/>
              </w:rPr>
              <w:t>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365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490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163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580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Kazakhstan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0.4031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134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332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111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700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Kenya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114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Kirghi</w:t>
            </w:r>
            <w:r w:rsidR="00245E18" w:rsidRPr="00E0707E">
              <w:rPr>
                <w:rFonts w:cs="Arial"/>
                <w:szCs w:val="18"/>
              </w:rPr>
              <w:t>z</w:t>
            </w:r>
            <w:r>
              <w:rPr>
                <w:rFonts w:cs="Arial"/>
                <w:szCs w:val="18"/>
              </w:rPr>
              <w:t>i</w:t>
            </w:r>
            <w:r w:rsidR="00245E18" w:rsidRPr="00E0707E">
              <w:rPr>
                <w:rFonts w:cs="Arial"/>
                <w:szCs w:val="18"/>
              </w:rPr>
              <w:t>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Lettonie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854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726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909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Liberia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Liby</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634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030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814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271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0.1420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124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Liechtenstein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68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Lit</w:t>
            </w:r>
            <w:r w:rsidR="00245E18" w:rsidRPr="00E0707E">
              <w:rPr>
                <w:rFonts w:cs="Arial"/>
                <w:szCs w:val="18"/>
              </w:rPr>
              <w:t>uani</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309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114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565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188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886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Luxembourg</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351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723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188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Madagascar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Mali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Malt</w:t>
            </w:r>
            <w:r w:rsidR="002973EB">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604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Mauritani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Mauri</w:t>
            </w:r>
            <w:r w:rsidR="00F80521">
              <w:rPr>
                <w:rFonts w:cs="Arial"/>
                <w:szCs w:val="18"/>
              </w:rPr>
              <w:t>ce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114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Monaco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958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Mongoli</w:t>
            </w:r>
            <w:r w:rsidR="00F80521">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Monténé</w:t>
            </w:r>
            <w:r w:rsidR="00245E18" w:rsidRPr="00E0707E">
              <w:rPr>
                <w:rFonts w:cs="Arial"/>
                <w:szCs w:val="18"/>
              </w:rPr>
              <w:t>gro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M</w:t>
            </w:r>
            <w:r w:rsidR="00F80521">
              <w:rPr>
                <w:rFonts w:cs="Arial"/>
                <w:szCs w:val="18"/>
              </w:rPr>
              <w:t>aroc</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424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092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Mozambique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F80521">
            <w:pPr>
              <w:widowControl/>
              <w:autoSpaceDE/>
              <w:autoSpaceDN/>
              <w:adjustRightInd/>
              <w:rPr>
                <w:rFonts w:cs="Arial"/>
                <w:szCs w:val="18"/>
              </w:rPr>
            </w:pPr>
            <w:r>
              <w:rPr>
                <w:rFonts w:cs="Arial"/>
                <w:szCs w:val="18"/>
              </w:rPr>
              <w:t>Pays-Bas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3.1277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232</w:t>
            </w:r>
            <w:r>
              <w:rPr>
                <w:rFonts w:cs="Arial"/>
                <w:szCs w:val="18"/>
              </w:rPr>
              <w:t xml:space="preserve"> </w:t>
            </w:r>
            <w:r w:rsidRPr="00E0707E">
              <w:rPr>
                <w:rFonts w:cs="Arial"/>
                <w:szCs w:val="18"/>
              </w:rPr>
              <w:t>786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w:t>
            </w:r>
            <w:r>
              <w:rPr>
                <w:rFonts w:cs="Arial"/>
                <w:szCs w:val="18"/>
              </w:rPr>
              <w:t xml:space="preserve"> </w:t>
            </w:r>
            <w:r w:rsidRPr="00E0707E">
              <w:rPr>
                <w:rFonts w:cs="Arial"/>
                <w:szCs w:val="18"/>
              </w:rPr>
              <w:t>595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249</w:t>
            </w:r>
            <w:r>
              <w:rPr>
                <w:rFonts w:cs="Arial"/>
                <w:szCs w:val="18"/>
              </w:rPr>
              <w:t xml:space="preserve"> </w:t>
            </w:r>
            <w:r w:rsidRPr="00E0707E">
              <w:rPr>
                <w:rFonts w:cs="Arial"/>
                <w:szCs w:val="18"/>
              </w:rPr>
              <w:t>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w:t>
            </w:r>
            <w:r>
              <w:rPr>
                <w:rFonts w:cs="Arial"/>
                <w:szCs w:val="18"/>
              </w:rPr>
              <w:t xml:space="preserve"> </w:t>
            </w: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258</w:t>
            </w:r>
            <w:r>
              <w:rPr>
                <w:rFonts w:cs="Arial"/>
                <w:szCs w:val="18"/>
              </w:rPr>
              <w:t xml:space="preserve"> </w:t>
            </w:r>
            <w:r w:rsidRPr="00E0707E">
              <w:rPr>
                <w:rFonts w:cs="Arial"/>
                <w:szCs w:val="18"/>
              </w:rPr>
              <w:t>627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86</w:t>
            </w:r>
            <w:r>
              <w:rPr>
                <w:rFonts w:cs="Arial"/>
                <w:szCs w:val="18"/>
              </w:rPr>
              <w:t xml:space="preserve"> </w:t>
            </w:r>
            <w:r w:rsidRPr="00E0707E">
              <w:rPr>
                <w:rFonts w:cs="Arial"/>
                <w:szCs w:val="18"/>
              </w:rPr>
              <w:t>209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1.6540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269</w:t>
            </w:r>
            <w:r>
              <w:rPr>
                <w:rFonts w:cs="Arial"/>
                <w:szCs w:val="18"/>
              </w:rPr>
              <w:t xml:space="preserve"> </w:t>
            </w:r>
            <w:r w:rsidRPr="00E0707E">
              <w:rPr>
                <w:rFonts w:cs="Arial"/>
                <w:szCs w:val="18"/>
              </w:rPr>
              <w:t>309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N</w:t>
            </w:r>
            <w:r w:rsidR="00F80521">
              <w:rPr>
                <w:rFonts w:cs="Arial"/>
                <w:szCs w:val="18"/>
              </w:rPr>
              <w:t>ouvelle-Zélande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0.5656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45</w:t>
            </w:r>
            <w:r>
              <w:rPr>
                <w:rFonts w:cs="Arial"/>
                <w:szCs w:val="18"/>
              </w:rPr>
              <w:t xml:space="preserve"> </w:t>
            </w:r>
            <w:r w:rsidRPr="00E0707E">
              <w:rPr>
                <w:rFonts w:cs="Arial"/>
                <w:szCs w:val="18"/>
              </w:rPr>
              <w:t>089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030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769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590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0.2530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195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Niger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80521" w:rsidP="00245E18">
            <w:pPr>
              <w:widowControl/>
              <w:autoSpaceDE/>
              <w:autoSpaceDN/>
              <w:adjustRightInd/>
              <w:rPr>
                <w:rFonts w:cs="Arial"/>
                <w:szCs w:val="18"/>
              </w:rPr>
            </w:pPr>
            <w:r>
              <w:rPr>
                <w:rFonts w:cs="Arial"/>
                <w:szCs w:val="18"/>
              </w:rPr>
              <w:t>Nigé</w:t>
            </w:r>
            <w:r w:rsidR="00245E18" w:rsidRPr="00E0707E">
              <w:rPr>
                <w:rFonts w:cs="Arial"/>
                <w:szCs w:val="18"/>
              </w:rPr>
              <w:t>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0.4411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829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943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w:t>
            </w:r>
            <w:r>
              <w:rPr>
                <w:rFonts w:cs="Arial"/>
                <w:szCs w:val="18"/>
              </w:rPr>
              <w:t xml:space="preserve"> </w:t>
            </w:r>
            <w:r w:rsidRPr="00E0707E">
              <w:rPr>
                <w:rFonts w:cs="Arial"/>
                <w:szCs w:val="18"/>
              </w:rPr>
              <w:t>163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721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w:t>
            </w:r>
            <w:r>
              <w:rPr>
                <w:rFonts w:cs="Arial"/>
                <w:szCs w:val="18"/>
              </w:rPr>
              <w:t xml:space="preserve"> </w:t>
            </w:r>
            <w:r w:rsidRPr="00E0707E">
              <w:rPr>
                <w:rFonts w:cs="Arial"/>
                <w:szCs w:val="18"/>
              </w:rPr>
              <w:t>473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158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654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Nor</w:t>
            </w:r>
            <w:r w:rsidR="00F80521">
              <w:rPr>
                <w:rFonts w:cs="Arial"/>
                <w:szCs w:val="18"/>
              </w:rPr>
              <w:t>vège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1.7918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133</w:t>
            </w:r>
            <w:r>
              <w:rPr>
                <w:rFonts w:cs="Arial"/>
                <w:szCs w:val="18"/>
              </w:rPr>
              <w:t xml:space="preserve"> </w:t>
            </w:r>
            <w:r w:rsidRPr="00E0707E">
              <w:rPr>
                <w:rFonts w:cs="Arial"/>
                <w:szCs w:val="18"/>
              </w:rPr>
              <w:t>357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w:t>
            </w:r>
            <w:r>
              <w:rPr>
                <w:rFonts w:cs="Arial"/>
                <w:szCs w:val="18"/>
              </w:rPr>
              <w:t xml:space="preserve"> </w:t>
            </w:r>
            <w:r w:rsidRPr="00E0707E">
              <w:rPr>
                <w:rFonts w:cs="Arial"/>
                <w:szCs w:val="18"/>
              </w:rPr>
              <w:t>452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142</w:t>
            </w:r>
            <w:r>
              <w:rPr>
                <w:rFonts w:cs="Arial"/>
                <w:szCs w:val="18"/>
              </w:rPr>
              <w:t xml:space="preserve"> </w:t>
            </w:r>
            <w:r w:rsidRPr="00E0707E">
              <w:rPr>
                <w:rFonts w:cs="Arial"/>
                <w:szCs w:val="18"/>
              </w:rPr>
              <w:t>839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w:t>
            </w:r>
            <w:r>
              <w:rPr>
                <w:rFonts w:cs="Arial"/>
                <w:szCs w:val="18"/>
              </w:rPr>
              <w:t xml:space="preserve"> </w:t>
            </w:r>
            <w:r w:rsidRPr="00E0707E">
              <w:rPr>
                <w:rFonts w:cs="Arial"/>
                <w:szCs w:val="18"/>
              </w:rPr>
              <w:t>613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148</w:t>
            </w:r>
            <w:r>
              <w:rPr>
                <w:rFonts w:cs="Arial"/>
                <w:szCs w:val="18"/>
              </w:rPr>
              <w:t xml:space="preserve"> </w:t>
            </w:r>
            <w:r w:rsidRPr="00E0707E">
              <w:rPr>
                <w:rFonts w:cs="Arial"/>
                <w:szCs w:val="18"/>
              </w:rPr>
              <w:t>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w:t>
            </w:r>
            <w:r>
              <w:rPr>
                <w:rFonts w:cs="Arial"/>
                <w:szCs w:val="18"/>
              </w:rPr>
              <w:t xml:space="preserve"> </w:t>
            </w:r>
            <w:r w:rsidRPr="00E0707E">
              <w:rPr>
                <w:rFonts w:cs="Arial"/>
                <w:szCs w:val="18"/>
              </w:rPr>
              <w:t>387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0.8510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138</w:t>
            </w:r>
            <w:r>
              <w:rPr>
                <w:rFonts w:cs="Arial"/>
                <w:szCs w:val="18"/>
              </w:rPr>
              <w:t xml:space="preserve"> </w:t>
            </w:r>
            <w:r w:rsidRPr="00E0707E">
              <w:rPr>
                <w:rFonts w:cs="Arial"/>
                <w:szCs w:val="18"/>
              </w:rPr>
              <w:t>558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0.1963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647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216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230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410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843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Pala</w:t>
            </w:r>
            <w:r w:rsidR="00F80521">
              <w:rPr>
                <w:rFonts w:cs="Arial"/>
                <w:szCs w:val="18"/>
              </w:rPr>
              <w:t>os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Panama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978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235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Paraguay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355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F80521">
            <w:pPr>
              <w:widowControl/>
              <w:autoSpaceDE/>
              <w:autoSpaceDN/>
              <w:adjustRightInd/>
              <w:rPr>
                <w:rFonts w:cs="Arial"/>
                <w:szCs w:val="18"/>
              </w:rPr>
            </w:pPr>
            <w:r w:rsidRPr="00E0707E">
              <w:rPr>
                <w:rFonts w:cs="Arial"/>
                <w:szCs w:val="18"/>
              </w:rPr>
              <w:t>P</w:t>
            </w:r>
            <w:r w:rsidR="00F80521">
              <w:rPr>
                <w:rFonts w:cs="Arial"/>
                <w:szCs w:val="18"/>
              </w:rPr>
              <w:t>érou</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0.2870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121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881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734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053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Philippines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917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639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760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795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598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074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Pol</w:t>
            </w:r>
            <w:r w:rsidR="002150FA">
              <w:rPr>
                <w:rFonts w:cs="Arial"/>
                <w:szCs w:val="18"/>
              </w:rPr>
              <w:t>ogne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1.7749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132</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w:t>
            </w:r>
            <w:r>
              <w:rPr>
                <w:rFonts w:cs="Arial"/>
                <w:szCs w:val="18"/>
              </w:rPr>
              <w:t xml:space="preserve"> </w:t>
            </w:r>
            <w:r w:rsidRPr="00E0707E">
              <w:rPr>
                <w:rFonts w:cs="Arial"/>
                <w:szCs w:val="18"/>
              </w:rPr>
              <w:t>033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141</w:t>
            </w:r>
            <w:r>
              <w:rPr>
                <w:rFonts w:cs="Arial"/>
                <w:szCs w:val="18"/>
              </w:rPr>
              <w:t xml:space="preserve"> </w:t>
            </w:r>
            <w:r w:rsidRPr="00E0707E">
              <w:rPr>
                <w:rFonts w:cs="Arial"/>
                <w:szCs w:val="18"/>
              </w:rPr>
              <w:t>493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w:t>
            </w:r>
            <w:r>
              <w:rPr>
                <w:rFonts w:cs="Arial"/>
                <w:szCs w:val="18"/>
              </w:rPr>
              <w:t xml:space="preserve"> </w:t>
            </w:r>
            <w:r w:rsidRPr="00E0707E">
              <w:rPr>
                <w:rFonts w:cs="Arial"/>
                <w:szCs w:val="18"/>
              </w:rPr>
              <w:t>164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146</w:t>
            </w:r>
            <w:r>
              <w:rPr>
                <w:rFonts w:cs="Arial"/>
                <w:szCs w:val="18"/>
              </w:rPr>
              <w:t xml:space="preserve"> </w:t>
            </w:r>
            <w:r w:rsidRPr="00E0707E">
              <w:rPr>
                <w:rFonts w:cs="Arial"/>
                <w:szCs w:val="18"/>
              </w:rPr>
              <w:t>765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w:t>
            </w:r>
            <w:r>
              <w:rPr>
                <w:rFonts w:cs="Arial"/>
                <w:szCs w:val="18"/>
              </w:rPr>
              <w:t xml:space="preserve"> </w:t>
            </w:r>
            <w:r w:rsidRPr="00E0707E">
              <w:rPr>
                <w:rFonts w:cs="Arial"/>
                <w:szCs w:val="18"/>
              </w:rPr>
              <w:t>922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0.9210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149</w:t>
            </w:r>
            <w:r>
              <w:rPr>
                <w:rFonts w:cs="Arial"/>
                <w:szCs w:val="18"/>
              </w:rPr>
              <w:t xml:space="preserve"> </w:t>
            </w:r>
            <w:r w:rsidRPr="00E0707E">
              <w:rPr>
                <w:rFonts w:cs="Arial"/>
                <w:szCs w:val="18"/>
              </w:rPr>
              <w:t>961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Portugal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0.8273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61</w:t>
            </w:r>
            <w:r>
              <w:rPr>
                <w:rFonts w:cs="Arial"/>
                <w:szCs w:val="18"/>
              </w:rPr>
              <w:t xml:space="preserve"> </w:t>
            </w:r>
            <w:r w:rsidRPr="00E0707E">
              <w:rPr>
                <w:rFonts w:cs="Arial"/>
                <w:szCs w:val="18"/>
              </w:rPr>
              <w:t>574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525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w:t>
            </w:r>
            <w:r>
              <w:rPr>
                <w:rFonts w:cs="Arial"/>
                <w:szCs w:val="18"/>
              </w:rPr>
              <w:t xml:space="preserve"> </w:t>
            </w:r>
            <w:r w:rsidRPr="00E0707E">
              <w:rPr>
                <w:rFonts w:cs="Arial"/>
                <w:szCs w:val="18"/>
              </w:rPr>
              <w:t>951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984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409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803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w:t>
            </w:r>
            <w:r>
              <w:rPr>
                <w:rFonts w:cs="Arial"/>
                <w:szCs w:val="18"/>
              </w:rPr>
              <w:t xml:space="preserve"> </w:t>
            </w:r>
            <w:r w:rsidRPr="00E0707E">
              <w:rPr>
                <w:rFonts w:cs="Arial"/>
                <w:szCs w:val="18"/>
              </w:rPr>
              <w:t>179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R</w:t>
            </w:r>
            <w:r w:rsidR="002150FA">
              <w:rPr>
                <w:rFonts w:cs="Arial"/>
                <w:szCs w:val="18"/>
              </w:rPr>
              <w:t>épublique de Moldova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Ro</w:t>
            </w:r>
            <w:r w:rsidR="002150FA">
              <w:rPr>
                <w:rFonts w:cs="Arial"/>
                <w:szCs w:val="18"/>
              </w:rPr>
              <w:t>umanie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0.3883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902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634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957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319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110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w:t>
            </w:r>
            <w:r>
              <w:rPr>
                <w:rFonts w:cs="Arial"/>
                <w:szCs w:val="18"/>
              </w:rPr>
              <w:t xml:space="preserve"> </w:t>
            </w:r>
            <w:r w:rsidRPr="00E0707E">
              <w:rPr>
                <w:rFonts w:cs="Arial"/>
                <w:szCs w:val="18"/>
              </w:rPr>
              <w:t>797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Rwanda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Samoa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Sao</w:t>
            </w:r>
            <w:r w:rsidR="002150FA">
              <w:rPr>
                <w:rFonts w:cs="Arial"/>
                <w:szCs w:val="18"/>
              </w:rPr>
              <w:t>-Tomé-et-Principe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A2476" w:rsidP="00FA2476">
            <w:pPr>
              <w:widowControl/>
              <w:autoSpaceDE/>
              <w:autoSpaceDN/>
              <w:adjustRightInd/>
              <w:rPr>
                <w:rFonts w:cs="Arial"/>
                <w:szCs w:val="18"/>
              </w:rPr>
            </w:pPr>
            <w:r>
              <w:rPr>
                <w:rFonts w:cs="Arial"/>
                <w:szCs w:val="18"/>
              </w:rPr>
              <w:t>Arabie saoudite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2.4186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180</w:t>
            </w:r>
            <w:r>
              <w:rPr>
                <w:rFonts w:cs="Arial"/>
                <w:szCs w:val="18"/>
              </w:rPr>
              <w:t xml:space="preserve"> </w:t>
            </w:r>
            <w:r w:rsidRPr="00E0707E">
              <w:rPr>
                <w:rFonts w:cs="Arial"/>
                <w:szCs w:val="18"/>
              </w:rPr>
              <w:t>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192</w:t>
            </w:r>
            <w:r>
              <w:rPr>
                <w:rFonts w:cs="Arial"/>
                <w:szCs w:val="18"/>
              </w:rPr>
              <w:t xml:space="preserve"> </w:t>
            </w:r>
            <w:r w:rsidRPr="00E0707E">
              <w:rPr>
                <w:rFonts w:cs="Arial"/>
                <w:szCs w:val="18"/>
              </w:rPr>
              <w:t>807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269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199</w:t>
            </w:r>
            <w:r>
              <w:rPr>
                <w:rFonts w:cs="Arial"/>
                <w:szCs w:val="18"/>
              </w:rPr>
              <w:t xml:space="preserve"> </w:t>
            </w:r>
            <w:r w:rsidRPr="00E0707E">
              <w:rPr>
                <w:rFonts w:cs="Arial"/>
                <w:szCs w:val="18"/>
              </w:rPr>
              <w:t>991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664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0.8640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140</w:t>
            </w:r>
            <w:r>
              <w:rPr>
                <w:rFonts w:cs="Arial"/>
                <w:szCs w:val="18"/>
              </w:rPr>
              <w:t xml:space="preserve"> </w:t>
            </w:r>
            <w:r w:rsidRPr="00E0707E">
              <w:rPr>
                <w:rFonts w:cs="Arial"/>
                <w:szCs w:val="18"/>
              </w:rPr>
              <w:t>678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FA2476" w:rsidP="00FA2476">
            <w:pPr>
              <w:widowControl/>
              <w:autoSpaceDE/>
              <w:autoSpaceDN/>
              <w:adjustRightInd/>
              <w:rPr>
                <w:rFonts w:cs="Arial"/>
                <w:szCs w:val="18"/>
              </w:rPr>
            </w:pPr>
            <w:r>
              <w:rPr>
                <w:rFonts w:cs="Arial"/>
                <w:szCs w:val="18"/>
              </w:rPr>
              <w:t>Sénégal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975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Serbi</w:t>
            </w:r>
            <w:r w:rsidR="00FA2476">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026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584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861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512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Seychelles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Slova</w:t>
            </w:r>
            <w:r w:rsidR="00FA2476">
              <w:rPr>
                <w:rFonts w:cs="Arial"/>
                <w:szCs w:val="18"/>
              </w:rPr>
              <w:t>quie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132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377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919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973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922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0.1710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843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Slov</w:t>
            </w:r>
            <w:r w:rsidR="002150FA">
              <w:rPr>
                <w:rFonts w:cs="Arial"/>
                <w:szCs w:val="18"/>
              </w:rPr>
              <w:t>énie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0.1773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194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132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886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285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104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Somali</w:t>
            </w:r>
            <w:r w:rsidR="002150FA">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Afrique du Sud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058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61</w:t>
            </w:r>
            <w:r>
              <w:rPr>
                <w:rFonts w:cs="Arial"/>
                <w:szCs w:val="18"/>
              </w:rPr>
              <w:t xml:space="preserve"> </w:t>
            </w:r>
            <w:r w:rsidRPr="00E0707E">
              <w:rPr>
                <w:rFonts w:cs="Arial"/>
                <w:szCs w:val="18"/>
              </w:rPr>
              <w:t>241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w:t>
            </w:r>
            <w:r>
              <w:rPr>
                <w:rFonts w:cs="Arial"/>
                <w:szCs w:val="18"/>
              </w:rPr>
              <w:t xml:space="preserve"> </w:t>
            </w:r>
            <w:r w:rsidRPr="00E0707E">
              <w:rPr>
                <w:rFonts w:cs="Arial"/>
                <w:szCs w:val="18"/>
              </w:rPr>
              <w:t>522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174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0.3720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568</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Espagne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5.1559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383</w:t>
            </w:r>
            <w:r>
              <w:rPr>
                <w:rFonts w:cs="Arial"/>
                <w:szCs w:val="18"/>
              </w:rPr>
              <w:t xml:space="preserve"> </w:t>
            </w:r>
            <w:r w:rsidRPr="00E0707E">
              <w:rPr>
                <w:rFonts w:cs="Arial"/>
                <w:szCs w:val="18"/>
              </w:rPr>
              <w:t>735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127</w:t>
            </w:r>
            <w:r>
              <w:rPr>
                <w:rFonts w:cs="Arial"/>
                <w:szCs w:val="18"/>
              </w:rPr>
              <w:t xml:space="preserve"> </w:t>
            </w:r>
            <w:r w:rsidRPr="00E0707E">
              <w:rPr>
                <w:rFonts w:cs="Arial"/>
                <w:szCs w:val="18"/>
              </w:rPr>
              <w:t>912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411</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137</w:t>
            </w:r>
            <w:r>
              <w:rPr>
                <w:rFonts w:cs="Arial"/>
                <w:szCs w:val="18"/>
              </w:rPr>
              <w:t xml:space="preserve"> </w:t>
            </w:r>
            <w:r w:rsidRPr="00E0707E">
              <w:rPr>
                <w:rFonts w:cs="Arial"/>
                <w:szCs w:val="18"/>
              </w:rPr>
              <w:t>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426</w:t>
            </w:r>
            <w:r>
              <w:rPr>
                <w:rFonts w:cs="Arial"/>
                <w:szCs w:val="18"/>
              </w:rPr>
              <w:t xml:space="preserve"> </w:t>
            </w:r>
            <w:r w:rsidRPr="00E0707E">
              <w:rPr>
                <w:rFonts w:cs="Arial"/>
                <w:szCs w:val="18"/>
              </w:rPr>
              <w:t>334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142</w:t>
            </w:r>
            <w:r>
              <w:rPr>
                <w:rFonts w:cs="Arial"/>
                <w:szCs w:val="18"/>
              </w:rPr>
              <w:t xml:space="preserve"> </w:t>
            </w:r>
            <w:r w:rsidRPr="00E0707E">
              <w:rPr>
                <w:rFonts w:cs="Arial"/>
                <w:szCs w:val="18"/>
              </w:rPr>
              <w:t>111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2.9730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484</w:t>
            </w:r>
            <w:r>
              <w:rPr>
                <w:rFonts w:cs="Arial"/>
                <w:szCs w:val="18"/>
              </w:rPr>
              <w:t xml:space="preserve"> </w:t>
            </w:r>
            <w:r w:rsidRPr="00E0707E">
              <w:rPr>
                <w:rFonts w:cs="Arial"/>
                <w:szCs w:val="18"/>
              </w:rPr>
              <w:t>071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Sri Lanka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216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410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071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Swaziland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S</w:t>
            </w:r>
            <w:r w:rsidR="002150FA">
              <w:rPr>
                <w:rFonts w:cs="Arial"/>
                <w:szCs w:val="18"/>
              </w:rPr>
              <w:t>uède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2.0176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150</w:t>
            </w:r>
            <w:r>
              <w:rPr>
                <w:rFonts w:cs="Arial"/>
                <w:szCs w:val="18"/>
              </w:rPr>
              <w:t xml:space="preserve"> </w:t>
            </w:r>
            <w:r w:rsidRPr="00E0707E">
              <w:rPr>
                <w:rFonts w:cs="Arial"/>
                <w:szCs w:val="18"/>
              </w:rPr>
              <w:t>164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w:t>
            </w:r>
            <w:r>
              <w:rPr>
                <w:rFonts w:cs="Arial"/>
                <w:szCs w:val="18"/>
              </w:rPr>
              <w:t xml:space="preserve"> </w:t>
            </w:r>
            <w:r w:rsidRPr="00E0707E">
              <w:rPr>
                <w:rFonts w:cs="Arial"/>
                <w:szCs w:val="18"/>
              </w:rPr>
              <w:t>055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160</w:t>
            </w:r>
            <w:r>
              <w:rPr>
                <w:rFonts w:cs="Arial"/>
                <w:szCs w:val="18"/>
              </w:rPr>
              <w:t xml:space="preserve"> </w:t>
            </w: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53</w:t>
            </w:r>
            <w:r>
              <w:rPr>
                <w:rFonts w:cs="Arial"/>
                <w:szCs w:val="18"/>
              </w:rPr>
              <w:t xml:space="preserve"> </w:t>
            </w:r>
            <w:r w:rsidRPr="00E0707E">
              <w:rPr>
                <w:rFonts w:cs="Arial"/>
                <w:szCs w:val="18"/>
              </w:rPr>
              <w:t>614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166</w:t>
            </w:r>
            <w:r>
              <w:rPr>
                <w:rFonts w:cs="Arial"/>
                <w:szCs w:val="18"/>
              </w:rPr>
              <w:t xml:space="preserve"> </w:t>
            </w:r>
            <w:r w:rsidRPr="00E0707E">
              <w:rPr>
                <w:rFonts w:cs="Arial"/>
                <w:szCs w:val="18"/>
              </w:rPr>
              <w:t>834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55</w:t>
            </w:r>
            <w:r>
              <w:rPr>
                <w:rFonts w:cs="Arial"/>
                <w:szCs w:val="18"/>
              </w:rPr>
              <w:t xml:space="preserve"> </w:t>
            </w:r>
            <w:r w:rsidRPr="00E0707E">
              <w:rPr>
                <w:rFonts w:cs="Arial"/>
                <w:szCs w:val="18"/>
              </w:rPr>
              <w:t>611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0.9600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156</w:t>
            </w:r>
            <w:r>
              <w:rPr>
                <w:rFonts w:cs="Arial"/>
                <w:szCs w:val="18"/>
              </w:rPr>
              <w:t xml:space="preserve"> </w:t>
            </w:r>
            <w:r w:rsidRPr="00E0707E">
              <w:rPr>
                <w:rFonts w:cs="Arial"/>
                <w:szCs w:val="18"/>
              </w:rPr>
              <w:t>309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S</w:t>
            </w:r>
            <w:r w:rsidR="002150FA">
              <w:rPr>
                <w:rFonts w:cs="Arial"/>
                <w:szCs w:val="18"/>
              </w:rPr>
              <w:t>uisse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2.4059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179</w:t>
            </w:r>
            <w:r>
              <w:rPr>
                <w:rFonts w:cs="Arial"/>
                <w:szCs w:val="18"/>
              </w:rPr>
              <w:t xml:space="preserve"> </w:t>
            </w:r>
            <w:r w:rsidRPr="00E0707E">
              <w:rPr>
                <w:rFonts w:cs="Arial"/>
                <w:szCs w:val="18"/>
              </w:rPr>
              <w:t>066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59</w:t>
            </w:r>
            <w:r>
              <w:rPr>
                <w:rFonts w:cs="Arial"/>
                <w:szCs w:val="18"/>
              </w:rPr>
              <w:t xml:space="preserve"> </w:t>
            </w:r>
            <w:r w:rsidRPr="00E0707E">
              <w:rPr>
                <w:rFonts w:cs="Arial"/>
                <w:szCs w:val="18"/>
              </w:rPr>
              <w:t>689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191</w:t>
            </w:r>
            <w:r>
              <w:rPr>
                <w:rFonts w:cs="Arial"/>
                <w:szCs w:val="18"/>
              </w:rPr>
              <w:t xml:space="preserve"> </w:t>
            </w:r>
            <w:r w:rsidRPr="00E0707E">
              <w:rPr>
                <w:rFonts w:cs="Arial"/>
                <w:szCs w:val="18"/>
              </w:rPr>
              <w:t>798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w:t>
            </w:r>
            <w:r>
              <w:rPr>
                <w:rFonts w:cs="Arial"/>
                <w:szCs w:val="18"/>
              </w:rPr>
              <w:t xml:space="preserve"> </w:t>
            </w:r>
            <w:r w:rsidRPr="00E0707E">
              <w:rPr>
                <w:rFonts w:cs="Arial"/>
                <w:szCs w:val="18"/>
              </w:rPr>
              <w:t>933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198</w:t>
            </w:r>
            <w:r>
              <w:rPr>
                <w:rFonts w:cs="Arial"/>
                <w:szCs w:val="18"/>
              </w:rPr>
              <w:t xml:space="preserve"> </w:t>
            </w:r>
            <w:r w:rsidRPr="00E0707E">
              <w:rPr>
                <w:rFonts w:cs="Arial"/>
                <w:szCs w:val="18"/>
              </w:rPr>
              <w:t>944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315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170</w:t>
            </w:r>
            <w:r>
              <w:rPr>
                <w:rFonts w:cs="Arial"/>
                <w:szCs w:val="18"/>
              </w:rPr>
              <w:t xml:space="preserve"> </w:t>
            </w:r>
            <w:r w:rsidRPr="00E0707E">
              <w:rPr>
                <w:rFonts w:cs="Arial"/>
                <w:szCs w:val="18"/>
              </w:rPr>
              <w:t>472</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République arabe syrienne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188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865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Ta</w:t>
            </w:r>
            <w:r w:rsidR="002150FA">
              <w:rPr>
                <w:rFonts w:cs="Arial"/>
                <w:szCs w:val="18"/>
              </w:rPr>
              <w:t>d</w:t>
            </w:r>
            <w:r w:rsidRPr="00E0707E">
              <w:rPr>
                <w:rFonts w:cs="Arial"/>
                <w:szCs w:val="18"/>
              </w:rPr>
              <w:t>jikistan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L’ARY de Macédoine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303</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Togo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Tunisi</w:t>
            </w:r>
            <w:r w:rsidR="002150FA">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629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865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Ouganda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975</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Ukraine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0.2174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179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329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975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992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120</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Émirats arabes unis</w:t>
            </w:r>
            <w:r w:rsidR="0098789D">
              <w:rPr>
                <w:rFonts w:cs="Arial"/>
                <w:szCs w:val="18"/>
              </w:rPr>
              <w:t xml:space="preserve"> </w:t>
            </w:r>
            <w:r w:rsidR="00245E18" w:rsidRPr="00E0707E">
              <w:rPr>
                <w:rFonts w:cs="Arial"/>
                <w:szCs w:val="18"/>
              </w:rPr>
              <w:t>*</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1.2747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w:t>
            </w:r>
            <w:r>
              <w:rPr>
                <w:rFonts w:cs="Arial"/>
                <w:szCs w:val="18"/>
              </w:rPr>
              <w:t xml:space="preserve"> </w:t>
            </w: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624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101</w:t>
            </w:r>
            <w:r>
              <w:rPr>
                <w:rFonts w:cs="Arial"/>
                <w:szCs w:val="18"/>
              </w:rPr>
              <w:t xml:space="preserve"> </w:t>
            </w:r>
            <w:r w:rsidRPr="00E0707E">
              <w:rPr>
                <w:rFonts w:cs="Arial"/>
                <w:szCs w:val="18"/>
              </w:rPr>
              <w:t>619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r>
              <w:rPr>
                <w:rFonts w:cs="Arial"/>
                <w:szCs w:val="18"/>
              </w:rPr>
              <w:t xml:space="preserve"> </w:t>
            </w:r>
            <w:r w:rsidRPr="00E0707E">
              <w:rPr>
                <w:rFonts w:cs="Arial"/>
                <w:szCs w:val="18"/>
              </w:rPr>
              <w:t>405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w:t>
            </w:r>
            <w:r>
              <w:rPr>
                <w:rFonts w:cs="Arial"/>
                <w:szCs w:val="18"/>
              </w:rPr>
              <w:t xml:space="preserve"> </w:t>
            </w:r>
            <w:r w:rsidRPr="00E0707E">
              <w:rPr>
                <w:rFonts w:cs="Arial"/>
                <w:szCs w:val="18"/>
              </w:rPr>
              <w:t>135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1C514A" w:rsidP="001C514A">
            <w:pPr>
              <w:widowControl/>
              <w:autoSpaceDE/>
              <w:autoSpaceDN/>
              <w:adjustRightInd/>
              <w:jc w:val="right"/>
              <w:rPr>
                <w:rFonts w:cs="Arial"/>
                <w:szCs w:val="18"/>
              </w:rPr>
            </w:pPr>
            <w:r>
              <w:rPr>
                <w:rFonts w:cs="Arial"/>
                <w:szCs w:val="18"/>
              </w:rPr>
              <w:t xml:space="preserve">nouvelle </w:t>
            </w:r>
            <w:r w:rsidR="00245E18" w:rsidRPr="00E0707E">
              <w:rPr>
                <w:rFonts w:cs="Arial"/>
                <w:szCs w:val="18"/>
              </w:rPr>
              <w:t>Part</w:t>
            </w:r>
            <w:r>
              <w:rPr>
                <w:rFonts w:cs="Arial"/>
                <w:szCs w:val="18"/>
              </w:rPr>
              <w:t>ie</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Royaume-Uni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9.4191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701</w:t>
            </w:r>
            <w:r>
              <w:rPr>
                <w:rFonts w:cs="Arial"/>
                <w:szCs w:val="18"/>
              </w:rPr>
              <w:t xml:space="preserve"> </w:t>
            </w:r>
            <w:r w:rsidRPr="00E0707E">
              <w:rPr>
                <w:rFonts w:cs="Arial"/>
                <w:szCs w:val="18"/>
              </w:rPr>
              <w:t>027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r>
              <w:rPr>
                <w:rFonts w:cs="Arial"/>
                <w:szCs w:val="18"/>
              </w:rPr>
              <w:t xml:space="preserve"> </w:t>
            </w:r>
            <w:r w:rsidRPr="00E0707E">
              <w:rPr>
                <w:rFonts w:cs="Arial"/>
                <w:szCs w:val="18"/>
              </w:rPr>
              <w:t>676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750</w:t>
            </w:r>
            <w:r>
              <w:rPr>
                <w:rFonts w:cs="Arial"/>
                <w:szCs w:val="18"/>
              </w:rPr>
              <w:t xml:space="preserve"> </w:t>
            </w:r>
            <w:r w:rsidRPr="00E0707E">
              <w:rPr>
                <w:rFonts w:cs="Arial"/>
                <w:szCs w:val="18"/>
              </w:rPr>
              <w:t>871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250</w:t>
            </w:r>
            <w:r>
              <w:rPr>
                <w:rFonts w:cs="Arial"/>
                <w:szCs w:val="18"/>
              </w:rPr>
              <w:t xml:space="preserve"> </w:t>
            </w:r>
            <w:r w:rsidRPr="00E0707E">
              <w:rPr>
                <w:rFonts w:cs="Arial"/>
                <w:szCs w:val="18"/>
              </w:rPr>
              <w:t>290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778</w:t>
            </w:r>
            <w:r>
              <w:rPr>
                <w:rFonts w:cs="Arial"/>
                <w:szCs w:val="18"/>
              </w:rPr>
              <w:t xml:space="preserve"> </w:t>
            </w:r>
            <w:r w:rsidRPr="00E0707E">
              <w:rPr>
                <w:rFonts w:cs="Arial"/>
                <w:szCs w:val="18"/>
              </w:rPr>
              <w:t>849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259</w:t>
            </w:r>
            <w:r>
              <w:rPr>
                <w:rFonts w:cs="Arial"/>
                <w:szCs w:val="18"/>
              </w:rPr>
              <w:t xml:space="preserve"> </w:t>
            </w:r>
            <w:r w:rsidRPr="00E0707E">
              <w:rPr>
                <w:rFonts w:cs="Arial"/>
                <w:szCs w:val="18"/>
              </w:rPr>
              <w:t>616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5.1790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843</w:t>
            </w:r>
            <w:r>
              <w:rPr>
                <w:rFonts w:cs="Arial"/>
                <w:szCs w:val="18"/>
              </w:rPr>
              <w:t xml:space="preserve"> </w:t>
            </w:r>
            <w:r w:rsidRPr="00E0707E">
              <w:rPr>
                <w:rFonts w:cs="Arial"/>
                <w:szCs w:val="18"/>
              </w:rPr>
              <w:t>256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République unie de</w:t>
            </w:r>
            <w:r w:rsidR="00245E18" w:rsidRPr="00E0707E">
              <w:rPr>
                <w:rFonts w:cs="Arial"/>
                <w:szCs w:val="18"/>
              </w:rPr>
              <w:t xml:space="preserve"> Tanzani</w:t>
            </w:r>
            <w:r>
              <w:rPr>
                <w:rFonts w:cs="Arial"/>
                <w:szCs w:val="18"/>
              </w:rPr>
              <w:t>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Uruguay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409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291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786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595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469</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150FA" w:rsidP="002150FA">
            <w:pPr>
              <w:widowControl/>
              <w:autoSpaceDE/>
              <w:autoSpaceDN/>
              <w:adjustRightInd/>
              <w:rPr>
                <w:rFonts w:cs="Arial"/>
                <w:szCs w:val="18"/>
              </w:rPr>
            </w:pPr>
            <w:r>
              <w:rPr>
                <w:rFonts w:cs="Arial"/>
                <w:szCs w:val="18"/>
              </w:rPr>
              <w:t>Ou</w:t>
            </w:r>
            <w:r w:rsidR="00245E18" w:rsidRPr="00E0707E">
              <w:rPr>
                <w:rFonts w:cs="Arial"/>
                <w:szCs w:val="18"/>
              </w:rPr>
              <w:t>zb</w:t>
            </w:r>
            <w:r>
              <w:rPr>
                <w:rFonts w:cs="Arial"/>
                <w:szCs w:val="18"/>
              </w:rPr>
              <w:t>é</w:t>
            </w:r>
            <w:r w:rsidR="00245E18" w:rsidRPr="00E0707E">
              <w:rPr>
                <w:rFonts w:cs="Arial"/>
                <w:szCs w:val="18"/>
              </w:rPr>
              <w:t>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613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870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338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441</w:t>
            </w:r>
          </w:p>
        </w:tc>
      </w:tr>
      <w:tr w:rsidR="00B8545C"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150FA">
            <w:pPr>
              <w:widowControl/>
              <w:autoSpaceDE/>
              <w:autoSpaceDN/>
              <w:adjustRightInd/>
              <w:rPr>
                <w:rFonts w:cs="Arial"/>
                <w:szCs w:val="18"/>
              </w:rPr>
            </w:pPr>
            <w:r w:rsidRPr="00E0707E">
              <w:rPr>
                <w:rFonts w:cs="Arial"/>
                <w:szCs w:val="18"/>
              </w:rPr>
              <w:t>Y</w:t>
            </w:r>
            <w:r w:rsidR="002150FA">
              <w:rPr>
                <w:rFonts w:cs="Arial"/>
                <w:szCs w:val="18"/>
              </w:rPr>
              <w:t>é</w:t>
            </w:r>
            <w:r w:rsidRPr="00E0707E">
              <w:rPr>
                <w:rFonts w:cs="Arial"/>
                <w:szCs w:val="18"/>
              </w:rPr>
              <w:t>men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B8545C" w:rsidRPr="00E0707E" w:rsidTr="00245E18">
        <w:trPr>
          <w:trHeight w:val="19"/>
          <w:jc w:val="center"/>
        </w:trPr>
        <w:tc>
          <w:tcPr>
            <w:tcW w:w="518" w:type="dxa"/>
            <w:tcBorders>
              <w:top w:val="nil"/>
              <w:left w:val="single" w:sz="4" w:space="0" w:color="auto"/>
              <w:bottom w:val="single" w:sz="12"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124</w:t>
            </w:r>
          </w:p>
        </w:tc>
        <w:tc>
          <w:tcPr>
            <w:tcW w:w="2725"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Zimbabwe</w:t>
            </w:r>
          </w:p>
        </w:tc>
        <w:tc>
          <w:tcPr>
            <w:tcW w:w="1004"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B8545C" w:rsidRPr="00E0707E" w:rsidTr="00245E18">
        <w:trPr>
          <w:trHeight w:val="420"/>
          <w:jc w:val="center"/>
        </w:trPr>
        <w:tc>
          <w:tcPr>
            <w:tcW w:w="518"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p>
        </w:tc>
        <w:tc>
          <w:tcPr>
            <w:tcW w:w="2725"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rPr>
                <w:rFonts w:cs="Arial"/>
                <w:b/>
                <w:bCs/>
                <w:szCs w:val="18"/>
              </w:rPr>
            </w:pPr>
            <w:r w:rsidRPr="00E0707E">
              <w:rPr>
                <w:rFonts w:cs="Arial"/>
                <w:b/>
                <w:bCs/>
                <w:szCs w:val="18"/>
              </w:rPr>
              <w:t>GRAND TOTAL</w:t>
            </w:r>
          </w:p>
        </w:tc>
        <w:tc>
          <w:tcPr>
            <w:tcW w:w="1004"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center"/>
              <w:rPr>
                <w:rFonts w:cs="Arial"/>
                <w:b/>
                <w:bCs/>
                <w:szCs w:val="18"/>
              </w:rPr>
            </w:pPr>
            <w:r w:rsidRPr="00E0707E">
              <w:rPr>
                <w:rFonts w:cs="Arial"/>
                <w:b/>
                <w:bCs/>
                <w:szCs w:val="18"/>
              </w:rPr>
              <w:t>46.198</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center"/>
              <w:rPr>
                <w:rFonts w:cs="Arial"/>
                <w:b/>
                <w:bCs/>
                <w:szCs w:val="18"/>
              </w:rPr>
            </w:pPr>
            <w:r w:rsidRPr="00E0707E">
              <w:rPr>
                <w:rFonts w:cs="Arial"/>
                <w:b/>
                <w:bCs/>
                <w:szCs w:val="18"/>
              </w:rPr>
              <w:t>100.000</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442</w:t>
            </w:r>
            <w:r>
              <w:rPr>
                <w:rFonts w:cs="Arial"/>
                <w:b/>
                <w:bCs/>
                <w:szCs w:val="18"/>
              </w:rPr>
              <w:t xml:space="preserve"> </w:t>
            </w:r>
            <w:r w:rsidRPr="00E0707E">
              <w:rPr>
                <w:rFonts w:cs="Arial"/>
                <w:b/>
                <w:bCs/>
                <w:szCs w:val="18"/>
              </w:rPr>
              <w:t>628</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480</w:t>
            </w:r>
            <w:r>
              <w:rPr>
                <w:rFonts w:cs="Arial"/>
                <w:b/>
                <w:bCs/>
                <w:szCs w:val="18"/>
              </w:rPr>
              <w:t xml:space="preserve"> </w:t>
            </w:r>
            <w:r w:rsidRPr="00E0707E">
              <w:rPr>
                <w:rFonts w:cs="Arial"/>
                <w:b/>
                <w:bCs/>
                <w:szCs w:val="18"/>
              </w:rPr>
              <w:t>876</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971</w:t>
            </w:r>
            <w:r>
              <w:rPr>
                <w:rFonts w:cs="Arial"/>
                <w:b/>
                <w:bCs/>
                <w:szCs w:val="18"/>
              </w:rPr>
              <w:t xml:space="preserve"> </w:t>
            </w:r>
            <w:r w:rsidRPr="00E0707E">
              <w:rPr>
                <w:rFonts w:cs="Arial"/>
                <w:b/>
                <w:bCs/>
                <w:szCs w:val="18"/>
              </w:rPr>
              <w:t>806</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657</w:t>
            </w:r>
            <w:r>
              <w:rPr>
                <w:rFonts w:cs="Arial"/>
                <w:b/>
                <w:bCs/>
                <w:szCs w:val="18"/>
              </w:rPr>
              <w:t xml:space="preserve"> </w:t>
            </w:r>
            <w:r w:rsidRPr="00E0707E">
              <w:rPr>
                <w:rFonts w:cs="Arial"/>
                <w:b/>
                <w:bCs/>
                <w:szCs w:val="18"/>
              </w:rPr>
              <w:t>269</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8</w:t>
            </w:r>
            <w:r>
              <w:rPr>
                <w:rFonts w:cs="Arial"/>
                <w:b/>
                <w:bCs/>
                <w:szCs w:val="18"/>
              </w:rPr>
              <w:t xml:space="preserve"> </w:t>
            </w:r>
            <w:r w:rsidRPr="00E0707E">
              <w:rPr>
                <w:rFonts w:cs="Arial"/>
                <w:b/>
                <w:bCs/>
                <w:szCs w:val="18"/>
              </w:rPr>
              <w:t>268</w:t>
            </w:r>
            <w:r>
              <w:rPr>
                <w:rFonts w:cs="Arial"/>
                <w:b/>
                <w:bCs/>
                <w:szCs w:val="18"/>
              </w:rPr>
              <w:t xml:space="preserve"> </w:t>
            </w:r>
            <w:r w:rsidRPr="00E0707E">
              <w:rPr>
                <w:rFonts w:cs="Arial"/>
                <w:b/>
                <w:bCs/>
                <w:szCs w:val="18"/>
              </w:rPr>
              <w:t>842</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756</w:t>
            </w:r>
            <w:r>
              <w:rPr>
                <w:rFonts w:cs="Arial"/>
                <w:b/>
                <w:bCs/>
                <w:szCs w:val="18"/>
              </w:rPr>
              <w:t xml:space="preserve"> </w:t>
            </w:r>
            <w:r w:rsidRPr="00E0707E">
              <w:rPr>
                <w:rFonts w:cs="Arial"/>
                <w:b/>
                <w:bCs/>
                <w:szCs w:val="18"/>
              </w:rPr>
              <w:t>281</w:t>
            </w:r>
          </w:p>
        </w:tc>
        <w:tc>
          <w:tcPr>
            <w:tcW w:w="1053"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p>
        </w:tc>
        <w:tc>
          <w:tcPr>
            <w:tcW w:w="1587"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AA2D9E">
            <w:pPr>
              <w:widowControl/>
              <w:numPr>
                <w:ilvl w:val="0"/>
                <w:numId w:val="7"/>
              </w:numPr>
              <w:autoSpaceDE/>
              <w:autoSpaceDN/>
              <w:adjustRightInd/>
              <w:jc w:val="right"/>
              <w:rPr>
                <w:rFonts w:cs="Arial"/>
                <w:b/>
                <w:bCs/>
                <w:szCs w:val="18"/>
              </w:rPr>
            </w:pPr>
            <w:r w:rsidRPr="00E0707E">
              <w:rPr>
                <w:rFonts w:cs="Arial"/>
                <w:b/>
                <w:bCs/>
                <w:szCs w:val="18"/>
              </w:rPr>
              <w:t>442</w:t>
            </w:r>
            <w:r>
              <w:rPr>
                <w:rFonts w:cs="Arial"/>
                <w:b/>
                <w:bCs/>
                <w:szCs w:val="18"/>
              </w:rPr>
              <w:t xml:space="preserve"> </w:t>
            </w:r>
            <w:r w:rsidRPr="00E0707E">
              <w:rPr>
                <w:rFonts w:cs="Arial"/>
                <w:b/>
                <w:bCs/>
                <w:szCs w:val="18"/>
              </w:rPr>
              <w:t>630</w:t>
            </w:r>
          </w:p>
        </w:tc>
      </w:tr>
    </w:tbl>
    <w:p w:rsidR="00245E18" w:rsidRPr="0098789D" w:rsidRDefault="00245E18" w:rsidP="00245E18">
      <w:pPr>
        <w:spacing w:before="120"/>
        <w:rPr>
          <w:lang w:val="fr-FR"/>
        </w:rPr>
      </w:pPr>
      <w:r w:rsidRPr="0098789D">
        <w:rPr>
          <w:lang w:val="fr-FR"/>
        </w:rPr>
        <w:t xml:space="preserve">* </w:t>
      </w:r>
      <w:r w:rsidR="0098789D" w:rsidRPr="0098789D">
        <w:rPr>
          <w:lang w:val="fr-FR"/>
        </w:rPr>
        <w:t xml:space="preserve">Pays ayant </w:t>
      </w:r>
      <w:r w:rsidR="007A588F" w:rsidRPr="0098789D">
        <w:rPr>
          <w:lang w:val="fr-FR"/>
        </w:rPr>
        <w:t>adhéré</w:t>
      </w:r>
      <w:r w:rsidR="0098789D" w:rsidRPr="0098789D">
        <w:rPr>
          <w:lang w:val="fr-FR"/>
        </w:rPr>
        <w:t xml:space="preserve"> à la Convention après le 1er janvier 2015</w:t>
      </w:r>
      <w:r w:rsidRPr="0098789D">
        <w:rPr>
          <w:lang w:val="fr-FR"/>
        </w:rPr>
        <w:t xml:space="preserve"> </w:t>
      </w:r>
    </w:p>
    <w:p w:rsidR="00245E18" w:rsidRPr="0098789D" w:rsidRDefault="00245E18" w:rsidP="00245E18">
      <w:pPr>
        <w:jc w:val="right"/>
        <w:rPr>
          <w:rFonts w:cs="Arial"/>
          <w:sz w:val="22"/>
          <w:szCs w:val="22"/>
          <w:lang w:val="fr-FR"/>
        </w:rPr>
      </w:pPr>
    </w:p>
    <w:p w:rsidR="00245E18" w:rsidRPr="0098789D" w:rsidRDefault="00245E18" w:rsidP="007910DD">
      <w:pPr>
        <w:rPr>
          <w:rFonts w:cs="Arial"/>
          <w:sz w:val="22"/>
          <w:szCs w:val="22"/>
          <w:lang w:val="fr-FR"/>
        </w:rPr>
      </w:pPr>
    </w:p>
    <w:p w:rsidR="00245E18" w:rsidRPr="0098789D" w:rsidRDefault="00245E18" w:rsidP="007910DD">
      <w:pPr>
        <w:rPr>
          <w:rFonts w:cs="Arial"/>
          <w:sz w:val="22"/>
          <w:szCs w:val="22"/>
          <w:lang w:val="fr-FR"/>
        </w:rPr>
        <w:sectPr w:rsidR="00245E18" w:rsidRPr="0098789D" w:rsidSect="00245E18">
          <w:headerReference w:type="default" r:id="rId21"/>
          <w:headerReference w:type="first" r:id="rId22"/>
          <w:endnotePr>
            <w:numFmt w:val="decimal"/>
          </w:endnotePr>
          <w:pgSz w:w="16837" w:h="11905" w:orient="landscape" w:code="9"/>
          <w:pgMar w:top="1411" w:right="1008" w:bottom="1411" w:left="1152" w:header="432" w:footer="432" w:gutter="0"/>
          <w:cols w:space="720"/>
          <w:noEndnote/>
          <w:titlePg/>
          <w:docGrid w:linePitch="272"/>
        </w:sectPr>
      </w:pPr>
    </w:p>
    <w:p w:rsidR="00245E18" w:rsidRPr="00B126CD" w:rsidRDefault="00245E18" w:rsidP="00245E18">
      <w:pPr>
        <w:widowControl/>
        <w:autoSpaceDE/>
        <w:adjustRightInd/>
        <w:jc w:val="right"/>
        <w:rPr>
          <w:rFonts w:cs="Arial"/>
          <w:b/>
          <w:bCs/>
          <w:caps/>
          <w:sz w:val="22"/>
          <w:szCs w:val="22"/>
          <w:lang w:val="fr-FR"/>
        </w:rPr>
      </w:pPr>
      <w:r w:rsidRPr="00B126CD">
        <w:rPr>
          <w:rFonts w:cs="Arial"/>
          <w:b/>
          <w:caps/>
          <w:sz w:val="22"/>
          <w:szCs w:val="22"/>
          <w:lang w:val="fr-FR"/>
        </w:rPr>
        <w:lastRenderedPageBreak/>
        <w:t>Annex</w:t>
      </w:r>
      <w:r w:rsidR="00B126CD" w:rsidRPr="00B126CD">
        <w:rPr>
          <w:rFonts w:cs="Arial"/>
          <w:b/>
          <w:caps/>
          <w:sz w:val="22"/>
          <w:szCs w:val="22"/>
          <w:lang w:val="fr-FR"/>
        </w:rPr>
        <w:t>E</w:t>
      </w:r>
      <w:r w:rsidRPr="00B126CD">
        <w:rPr>
          <w:rFonts w:cs="Arial"/>
          <w:b/>
          <w:caps/>
          <w:sz w:val="22"/>
          <w:szCs w:val="22"/>
          <w:lang w:val="fr-FR"/>
        </w:rPr>
        <w:t xml:space="preserve"> </w:t>
      </w:r>
      <w:r w:rsidR="009878EA" w:rsidRPr="00B126CD">
        <w:rPr>
          <w:rFonts w:cs="Arial"/>
          <w:b/>
          <w:caps/>
          <w:sz w:val="22"/>
          <w:szCs w:val="22"/>
          <w:lang w:val="fr-FR"/>
        </w:rPr>
        <w:t>3</w:t>
      </w:r>
    </w:p>
    <w:p w:rsidR="007910DD" w:rsidRPr="00B126CD" w:rsidRDefault="007910DD" w:rsidP="007910DD">
      <w:pPr>
        <w:rPr>
          <w:rFonts w:cs="Arial"/>
          <w:sz w:val="22"/>
          <w:szCs w:val="22"/>
          <w:lang w:val="fr-FR"/>
        </w:rPr>
      </w:pPr>
    </w:p>
    <w:p w:rsidR="007910DD" w:rsidRPr="00B126CD" w:rsidRDefault="00B126CD" w:rsidP="007910DD">
      <w:pPr>
        <w:jc w:val="center"/>
        <w:rPr>
          <w:rFonts w:cs="Arial"/>
          <w:sz w:val="22"/>
          <w:szCs w:val="22"/>
          <w:lang w:val="fr-FR"/>
        </w:rPr>
      </w:pPr>
      <w:r w:rsidRPr="00B126CD">
        <w:rPr>
          <w:rFonts w:cs="Arial"/>
          <w:sz w:val="22"/>
          <w:szCs w:val="22"/>
          <w:lang w:val="fr-FR"/>
        </w:rPr>
        <w:t>PROJET DE R</w:t>
      </w:r>
      <w:r>
        <w:rPr>
          <w:rFonts w:cs="Arial"/>
          <w:sz w:val="22"/>
          <w:szCs w:val="22"/>
          <w:lang w:val="fr-FR"/>
        </w:rPr>
        <w:t>É</w:t>
      </w:r>
      <w:r w:rsidRPr="00B126CD">
        <w:rPr>
          <w:rFonts w:cs="Arial"/>
          <w:sz w:val="22"/>
          <w:szCs w:val="22"/>
          <w:lang w:val="fr-FR"/>
        </w:rPr>
        <w:t>SOLUTION</w:t>
      </w:r>
    </w:p>
    <w:p w:rsidR="007910DD" w:rsidRPr="00B126CD" w:rsidRDefault="007910DD" w:rsidP="007910DD">
      <w:pPr>
        <w:jc w:val="center"/>
        <w:rPr>
          <w:rFonts w:cs="Arial"/>
          <w:sz w:val="22"/>
          <w:szCs w:val="22"/>
          <w:lang w:val="fr-FR"/>
        </w:rPr>
      </w:pPr>
    </w:p>
    <w:p w:rsidR="007910DD" w:rsidRPr="00B126CD" w:rsidRDefault="00B126CD"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sidRPr="00B126CD">
        <w:rPr>
          <w:rFonts w:cs="Arial"/>
          <w:b/>
          <w:caps/>
          <w:sz w:val="22"/>
          <w:szCs w:val="22"/>
          <w:lang w:val="fr-FR"/>
        </w:rPr>
        <w:t>QUES</w:t>
      </w:r>
      <w:r>
        <w:rPr>
          <w:rFonts w:cs="Arial"/>
          <w:b/>
          <w:caps/>
          <w:sz w:val="22"/>
          <w:szCs w:val="22"/>
          <w:lang w:val="fr-FR"/>
        </w:rPr>
        <w:t>T</w:t>
      </w:r>
      <w:r w:rsidRPr="00B126CD">
        <w:rPr>
          <w:rFonts w:cs="Arial"/>
          <w:b/>
          <w:caps/>
          <w:sz w:val="22"/>
          <w:szCs w:val="22"/>
          <w:lang w:val="fr-FR"/>
        </w:rPr>
        <w:t xml:space="preserve">IONS </w:t>
      </w:r>
      <w:r>
        <w:rPr>
          <w:rFonts w:cs="Arial"/>
          <w:b/>
          <w:caps/>
          <w:sz w:val="22"/>
          <w:szCs w:val="22"/>
          <w:lang w:val="fr-FR"/>
        </w:rPr>
        <w:t>FINANCIÈRES ET ADMINISTRATIVES</w:t>
      </w:r>
    </w:p>
    <w:p w:rsidR="001E0D2C" w:rsidRPr="00301628" w:rsidRDefault="001E0D2C" w:rsidP="001E0D2C">
      <w:pPr>
        <w:jc w:val="both"/>
        <w:rPr>
          <w:rFonts w:cs="Arial"/>
          <w:sz w:val="22"/>
          <w:szCs w:val="22"/>
          <w:lang w:val="fr-FR"/>
        </w:rPr>
      </w:pPr>
    </w:p>
    <w:p w:rsidR="00C66A96" w:rsidRPr="00305903" w:rsidRDefault="00C66A96" w:rsidP="00C66A96">
      <w:pPr>
        <w:jc w:val="both"/>
        <w:rPr>
          <w:rFonts w:cs="Arial"/>
          <w:sz w:val="22"/>
          <w:szCs w:val="22"/>
          <w:lang w:val="fr-FR"/>
        </w:rPr>
      </w:pPr>
    </w:p>
    <w:p w:rsidR="00C66A96" w:rsidRPr="00036D17" w:rsidRDefault="00C66A96" w:rsidP="00C66A96">
      <w:pPr>
        <w:jc w:val="both"/>
        <w:rPr>
          <w:rFonts w:cs="Arial"/>
          <w:sz w:val="22"/>
          <w:szCs w:val="22"/>
          <w:lang w:val="fr-FR"/>
        </w:rPr>
      </w:pPr>
      <w:r w:rsidRPr="00036D17">
        <w:rPr>
          <w:rFonts w:cs="Arial"/>
          <w:i/>
          <w:sz w:val="22"/>
          <w:szCs w:val="22"/>
          <w:lang w:val="fr-FR"/>
        </w:rPr>
        <w:t>Rappelant</w:t>
      </w:r>
      <w:r w:rsidRPr="00036D17">
        <w:rPr>
          <w:rFonts w:cs="Arial"/>
          <w:sz w:val="22"/>
          <w:szCs w:val="22"/>
          <w:lang w:val="fr-FR"/>
        </w:rPr>
        <w:t xml:space="preserve"> le paragraphe 4 de l’Article VII de la Convention, qui dispose que:</w:t>
      </w:r>
    </w:p>
    <w:p w:rsidR="00C66A96" w:rsidRPr="00036D17" w:rsidRDefault="00C66A96" w:rsidP="00C66A96">
      <w:pPr>
        <w:tabs>
          <w:tab w:val="left" w:pos="720"/>
        </w:tabs>
        <w:jc w:val="both"/>
        <w:rPr>
          <w:rFonts w:cs="Arial"/>
          <w:sz w:val="22"/>
          <w:szCs w:val="22"/>
          <w:lang w:val="fr-FR"/>
        </w:rPr>
      </w:pPr>
    </w:p>
    <w:p w:rsidR="00C66A96" w:rsidRPr="00036D17" w:rsidRDefault="00C66A96" w:rsidP="00C66A96">
      <w:pPr>
        <w:jc w:val="both"/>
        <w:rPr>
          <w:rFonts w:cs="Arial"/>
          <w:sz w:val="22"/>
          <w:szCs w:val="22"/>
          <w:lang w:val="fr-FR"/>
        </w:rPr>
      </w:pPr>
      <w:r w:rsidRPr="00036D17">
        <w:rPr>
          <w:rFonts w:cs="Arial"/>
          <w:sz w:val="22"/>
          <w:szCs w:val="22"/>
          <w:lang w:val="fr-FR"/>
        </w:rPr>
        <w:t>« 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 »;</w:t>
      </w:r>
    </w:p>
    <w:p w:rsidR="00C66A96" w:rsidRPr="00C66A96" w:rsidRDefault="00C66A96" w:rsidP="00C66A96">
      <w:pPr>
        <w:jc w:val="both"/>
        <w:rPr>
          <w:rFonts w:cs="Arial"/>
          <w:sz w:val="22"/>
          <w:szCs w:val="22"/>
          <w:lang w:val="fr-FR"/>
        </w:rPr>
      </w:pPr>
    </w:p>
    <w:p w:rsidR="00C66A96" w:rsidRPr="00036D17" w:rsidRDefault="00C66A96" w:rsidP="00C66A96">
      <w:pPr>
        <w:jc w:val="both"/>
        <w:rPr>
          <w:rFonts w:cs="Arial"/>
          <w:sz w:val="22"/>
          <w:szCs w:val="22"/>
          <w:lang w:val="fr-FR"/>
        </w:rPr>
      </w:pPr>
      <w:r w:rsidRPr="00036D17">
        <w:rPr>
          <w:rFonts w:cs="Arial"/>
          <w:i/>
          <w:sz w:val="22"/>
          <w:szCs w:val="22"/>
          <w:lang w:val="fr-FR"/>
        </w:rPr>
        <w:t>Sachant</w:t>
      </w:r>
      <w:r w:rsidRPr="00036D17">
        <w:rPr>
          <w:rFonts w:cs="Arial"/>
          <w:sz w:val="22"/>
          <w:szCs w:val="22"/>
          <w:lang w:val="fr-FR"/>
        </w:rPr>
        <w:t xml:space="preserve"> qu’il est important que toutes les Parties soient en mesure de contribuer à la mise en œuvre de la Convention et des activités connexes; </w:t>
      </w:r>
    </w:p>
    <w:p w:rsidR="00C66A96" w:rsidRPr="00036D17" w:rsidRDefault="00C66A96" w:rsidP="00C66A96">
      <w:pPr>
        <w:jc w:val="both"/>
        <w:rPr>
          <w:rFonts w:cs="Arial"/>
          <w:sz w:val="22"/>
          <w:szCs w:val="22"/>
          <w:lang w:val="fr-FR"/>
        </w:rPr>
      </w:pPr>
    </w:p>
    <w:p w:rsidR="00C66A96" w:rsidRPr="00036D17" w:rsidRDefault="00C66A96" w:rsidP="00C66A96">
      <w:pPr>
        <w:jc w:val="both"/>
        <w:rPr>
          <w:rFonts w:cs="Arial"/>
          <w:sz w:val="22"/>
          <w:szCs w:val="22"/>
          <w:lang w:val="fr-FR"/>
        </w:rPr>
      </w:pPr>
      <w:r w:rsidRPr="00036D17">
        <w:rPr>
          <w:rFonts w:cs="Arial"/>
          <w:i/>
          <w:sz w:val="22"/>
          <w:szCs w:val="22"/>
          <w:lang w:val="fr-FR"/>
        </w:rPr>
        <w:t>Prenant note</w:t>
      </w:r>
      <w:r w:rsidRPr="00036D17">
        <w:rPr>
          <w:rFonts w:cs="Arial"/>
          <w:sz w:val="22"/>
          <w:szCs w:val="22"/>
          <w:lang w:val="fr-FR"/>
        </w:rPr>
        <w:t xml:space="preserve"> du nombre croissant de Parties, d’autres pays, ainsi que d’organisations qui participent comme observateurs aux réunions de la Conférence des Parties, et des dépenses supplémentaires qui en résultent pour les Parties;</w:t>
      </w:r>
    </w:p>
    <w:p w:rsidR="00C66A96" w:rsidRDefault="00C66A96" w:rsidP="00C66A96">
      <w:pPr>
        <w:ind w:firstLine="709"/>
        <w:jc w:val="both"/>
        <w:rPr>
          <w:sz w:val="24"/>
          <w:lang w:val="fr-FR"/>
        </w:rPr>
      </w:pPr>
    </w:p>
    <w:p w:rsidR="00C66A96" w:rsidRDefault="00C66A96" w:rsidP="00C66A96">
      <w:pPr>
        <w:jc w:val="both"/>
        <w:rPr>
          <w:rFonts w:cs="Arial"/>
          <w:sz w:val="22"/>
          <w:szCs w:val="22"/>
          <w:lang w:val="fr-FR"/>
        </w:rPr>
      </w:pPr>
      <w:r w:rsidRPr="002B3498">
        <w:rPr>
          <w:rFonts w:cs="Arial"/>
          <w:i/>
          <w:sz w:val="22"/>
          <w:szCs w:val="22"/>
          <w:lang w:val="fr-FR"/>
        </w:rPr>
        <w:t>R</w:t>
      </w:r>
      <w:r w:rsidR="002B3498" w:rsidRPr="002B3498">
        <w:rPr>
          <w:rFonts w:cs="Arial"/>
          <w:i/>
          <w:sz w:val="22"/>
          <w:szCs w:val="22"/>
          <w:lang w:val="fr-FR"/>
        </w:rPr>
        <w:t xml:space="preserve">appelant </w:t>
      </w:r>
      <w:r w:rsidR="002B3498" w:rsidRPr="002B3498">
        <w:rPr>
          <w:rFonts w:cs="Arial"/>
          <w:sz w:val="22"/>
          <w:szCs w:val="22"/>
          <w:lang w:val="fr-FR"/>
        </w:rPr>
        <w:t>la</w:t>
      </w:r>
      <w:r w:rsidRPr="002B3498">
        <w:rPr>
          <w:rFonts w:cs="Arial"/>
          <w:sz w:val="22"/>
          <w:szCs w:val="22"/>
          <w:lang w:val="fr-FR"/>
        </w:rPr>
        <w:t xml:space="preserve"> R</w:t>
      </w:r>
      <w:r w:rsidR="002B3498">
        <w:rPr>
          <w:rFonts w:cs="Arial"/>
          <w:sz w:val="22"/>
          <w:szCs w:val="22"/>
          <w:lang w:val="fr-FR"/>
        </w:rPr>
        <w:t>é</w:t>
      </w:r>
      <w:r w:rsidRPr="002B3498">
        <w:rPr>
          <w:rFonts w:cs="Arial"/>
          <w:sz w:val="22"/>
          <w:szCs w:val="22"/>
          <w:lang w:val="fr-FR"/>
        </w:rPr>
        <w:t xml:space="preserve">solution 10.1 </w:t>
      </w:r>
      <w:r w:rsidR="002B3498" w:rsidRPr="002B3498">
        <w:rPr>
          <w:rFonts w:cs="Arial"/>
          <w:sz w:val="22"/>
          <w:szCs w:val="22"/>
          <w:lang w:val="fr-FR"/>
        </w:rPr>
        <w:t>qui demande au</w:t>
      </w:r>
      <w:r w:rsidRPr="002B3498">
        <w:rPr>
          <w:rFonts w:cs="Arial"/>
          <w:sz w:val="22"/>
          <w:szCs w:val="22"/>
          <w:lang w:val="fr-FR"/>
        </w:rPr>
        <w:t xml:space="preserve"> Secr</w:t>
      </w:r>
      <w:r w:rsidR="002B3498" w:rsidRPr="002B3498">
        <w:rPr>
          <w:rFonts w:cs="Arial"/>
          <w:sz w:val="22"/>
          <w:szCs w:val="22"/>
          <w:lang w:val="fr-FR"/>
        </w:rPr>
        <w:t>é</w:t>
      </w:r>
      <w:r w:rsidRPr="002B3498">
        <w:rPr>
          <w:rFonts w:cs="Arial"/>
          <w:sz w:val="22"/>
          <w:szCs w:val="22"/>
          <w:lang w:val="fr-FR"/>
        </w:rPr>
        <w:t xml:space="preserve">tariat </w:t>
      </w:r>
      <w:r w:rsidR="002B3498" w:rsidRPr="002B3498">
        <w:rPr>
          <w:rFonts w:cs="Arial"/>
          <w:sz w:val="22"/>
          <w:szCs w:val="22"/>
          <w:lang w:val="fr-FR"/>
        </w:rPr>
        <w:t>d’entreprendre une évaluation de l’échelon des postes du</w:t>
      </w:r>
      <w:r w:rsidRPr="002B3498">
        <w:rPr>
          <w:rFonts w:cs="Arial"/>
          <w:sz w:val="22"/>
          <w:szCs w:val="22"/>
          <w:lang w:val="fr-FR"/>
        </w:rPr>
        <w:t xml:space="preserve"> Secr</w:t>
      </w:r>
      <w:r w:rsidR="002B3498" w:rsidRPr="002B3498">
        <w:rPr>
          <w:rFonts w:cs="Arial"/>
          <w:sz w:val="22"/>
          <w:szCs w:val="22"/>
          <w:lang w:val="fr-FR"/>
        </w:rPr>
        <w:t>é</w:t>
      </w:r>
      <w:r w:rsidRPr="002B3498">
        <w:rPr>
          <w:rFonts w:cs="Arial"/>
          <w:sz w:val="22"/>
          <w:szCs w:val="22"/>
          <w:lang w:val="fr-FR"/>
        </w:rPr>
        <w:t>tariat</w:t>
      </w:r>
      <w:r w:rsidR="002B3498">
        <w:rPr>
          <w:rFonts w:cs="Arial"/>
          <w:sz w:val="22"/>
          <w:szCs w:val="22"/>
          <w:lang w:val="fr-FR"/>
        </w:rPr>
        <w:t>,</w:t>
      </w:r>
      <w:r w:rsidR="002B3498" w:rsidRPr="002B3498">
        <w:rPr>
          <w:rFonts w:cs="Arial"/>
          <w:sz w:val="22"/>
          <w:szCs w:val="22"/>
          <w:lang w:val="fr-FR"/>
        </w:rPr>
        <w:t xml:space="preserve"> en ten</w:t>
      </w:r>
      <w:r w:rsidR="002B3498">
        <w:rPr>
          <w:rFonts w:cs="Arial"/>
          <w:sz w:val="22"/>
          <w:szCs w:val="22"/>
          <w:lang w:val="fr-FR"/>
        </w:rPr>
        <w:t>a</w:t>
      </w:r>
      <w:r w:rsidR="002B3498" w:rsidRPr="002B3498">
        <w:rPr>
          <w:rFonts w:cs="Arial"/>
          <w:sz w:val="22"/>
          <w:szCs w:val="22"/>
          <w:lang w:val="fr-FR"/>
        </w:rPr>
        <w:t xml:space="preserve">nt compte des </w:t>
      </w:r>
      <w:r w:rsidR="002B3498">
        <w:rPr>
          <w:rFonts w:cs="Arial"/>
          <w:sz w:val="22"/>
          <w:szCs w:val="22"/>
          <w:lang w:val="fr-FR"/>
        </w:rPr>
        <w:t>conclusions du</w:t>
      </w:r>
      <w:r w:rsidR="002B3498" w:rsidRPr="002B3498">
        <w:rPr>
          <w:rFonts w:cs="Arial"/>
          <w:sz w:val="22"/>
          <w:szCs w:val="22"/>
          <w:lang w:val="fr-FR"/>
        </w:rPr>
        <w:t xml:space="preserve"> Groupe d</w:t>
      </w:r>
      <w:r w:rsidR="002B3498">
        <w:rPr>
          <w:rFonts w:cs="Arial"/>
          <w:sz w:val="22"/>
          <w:szCs w:val="22"/>
          <w:lang w:val="fr-FR"/>
        </w:rPr>
        <w:t xml:space="preserve">e </w:t>
      </w:r>
      <w:r w:rsidR="002B3498" w:rsidRPr="002B3498">
        <w:rPr>
          <w:rFonts w:cs="Arial"/>
          <w:sz w:val="22"/>
          <w:szCs w:val="22"/>
          <w:lang w:val="fr-FR"/>
        </w:rPr>
        <w:t>trav</w:t>
      </w:r>
      <w:r w:rsidR="002B3498">
        <w:rPr>
          <w:rFonts w:cs="Arial"/>
          <w:sz w:val="22"/>
          <w:szCs w:val="22"/>
          <w:lang w:val="fr-FR"/>
        </w:rPr>
        <w:t>a</w:t>
      </w:r>
      <w:r w:rsidR="002B3498" w:rsidRPr="002B3498">
        <w:rPr>
          <w:rFonts w:cs="Arial"/>
          <w:sz w:val="22"/>
          <w:szCs w:val="22"/>
          <w:lang w:val="fr-FR"/>
        </w:rPr>
        <w:t>il sur la structure future de la CMS pou</w:t>
      </w:r>
      <w:r w:rsidR="002B3498">
        <w:rPr>
          <w:rFonts w:cs="Arial"/>
          <w:sz w:val="22"/>
          <w:szCs w:val="22"/>
          <w:lang w:val="fr-FR"/>
        </w:rPr>
        <w:t>r</w:t>
      </w:r>
      <w:r w:rsidR="002B3498" w:rsidRPr="002B3498">
        <w:rPr>
          <w:rFonts w:cs="Arial"/>
          <w:sz w:val="22"/>
          <w:szCs w:val="22"/>
          <w:lang w:val="fr-FR"/>
        </w:rPr>
        <w:t xml:space="preserve"> que les Parties à la COP11</w:t>
      </w:r>
      <w:r w:rsidRPr="002B3498">
        <w:rPr>
          <w:rFonts w:cs="Arial"/>
          <w:sz w:val="22"/>
          <w:szCs w:val="22"/>
          <w:lang w:val="fr-FR"/>
        </w:rPr>
        <w:t xml:space="preserve"> </w:t>
      </w:r>
      <w:r w:rsidR="002B3498">
        <w:rPr>
          <w:rFonts w:cs="Arial"/>
          <w:sz w:val="22"/>
          <w:szCs w:val="22"/>
          <w:lang w:val="fr-FR"/>
        </w:rPr>
        <w:t>puissent décider de l’échelon de ces postes;</w:t>
      </w:r>
    </w:p>
    <w:p w:rsidR="002B3498" w:rsidRPr="002B3498" w:rsidRDefault="002B3498" w:rsidP="00C66A96">
      <w:pPr>
        <w:jc w:val="both"/>
        <w:rPr>
          <w:rFonts w:cs="Arial"/>
          <w:sz w:val="22"/>
          <w:szCs w:val="22"/>
          <w:lang w:val="fr-FR"/>
        </w:rPr>
      </w:pPr>
    </w:p>
    <w:p w:rsidR="00C66A96" w:rsidRPr="002B3498" w:rsidRDefault="00C66A96" w:rsidP="00C66A96">
      <w:pPr>
        <w:jc w:val="both"/>
        <w:rPr>
          <w:rFonts w:cs="Arial"/>
          <w:i/>
          <w:sz w:val="22"/>
          <w:szCs w:val="22"/>
          <w:lang w:val="fr-FR"/>
        </w:rPr>
      </w:pPr>
      <w:r w:rsidRPr="002B3498">
        <w:rPr>
          <w:rFonts w:cs="Arial"/>
          <w:i/>
          <w:sz w:val="22"/>
          <w:szCs w:val="22"/>
          <w:lang w:val="fr-FR"/>
        </w:rPr>
        <w:t>Not</w:t>
      </w:r>
      <w:r w:rsidR="002B3498" w:rsidRPr="002B3498">
        <w:rPr>
          <w:rFonts w:cs="Arial"/>
          <w:i/>
          <w:sz w:val="22"/>
          <w:szCs w:val="22"/>
          <w:lang w:val="fr-FR"/>
        </w:rPr>
        <w:t>ant</w:t>
      </w:r>
      <w:r w:rsidR="002B3498" w:rsidRPr="002B3498">
        <w:rPr>
          <w:rFonts w:cs="Arial"/>
          <w:sz w:val="22"/>
          <w:szCs w:val="22"/>
          <w:lang w:val="fr-FR"/>
        </w:rPr>
        <w:t xml:space="preserve"> que le ni</w:t>
      </w:r>
      <w:r w:rsidR="002B3498">
        <w:rPr>
          <w:rFonts w:cs="Arial"/>
          <w:sz w:val="22"/>
          <w:szCs w:val="22"/>
          <w:lang w:val="fr-FR"/>
        </w:rPr>
        <w:t>v</w:t>
      </w:r>
      <w:r w:rsidR="002B3498" w:rsidRPr="002B3498">
        <w:rPr>
          <w:rFonts w:cs="Arial"/>
          <w:sz w:val="22"/>
          <w:szCs w:val="22"/>
          <w:lang w:val="fr-FR"/>
        </w:rPr>
        <w:t>eau actuel du solde du Fo</w:t>
      </w:r>
      <w:r w:rsidR="002B3498">
        <w:rPr>
          <w:rFonts w:cs="Arial"/>
          <w:sz w:val="22"/>
          <w:szCs w:val="22"/>
          <w:lang w:val="fr-FR"/>
        </w:rPr>
        <w:t>nds</w:t>
      </w:r>
      <w:r w:rsidR="002B3498" w:rsidRPr="002B3498">
        <w:rPr>
          <w:rFonts w:cs="Arial"/>
          <w:sz w:val="22"/>
          <w:szCs w:val="22"/>
          <w:lang w:val="fr-FR"/>
        </w:rPr>
        <w:t xml:space="preserve"> d’affecta</w:t>
      </w:r>
      <w:r w:rsidR="002B3498">
        <w:rPr>
          <w:rFonts w:cs="Arial"/>
          <w:sz w:val="22"/>
          <w:szCs w:val="22"/>
          <w:lang w:val="fr-FR"/>
        </w:rPr>
        <w:t>tion spéciale</w:t>
      </w:r>
      <w:r w:rsidR="002B3498" w:rsidRPr="002B3498">
        <w:rPr>
          <w:rFonts w:cs="Arial"/>
          <w:sz w:val="22"/>
          <w:szCs w:val="22"/>
          <w:lang w:val="fr-FR"/>
        </w:rPr>
        <w:t xml:space="preserve"> et la tend</w:t>
      </w:r>
      <w:r w:rsidR="00260969">
        <w:rPr>
          <w:rFonts w:cs="Arial"/>
          <w:sz w:val="22"/>
          <w:szCs w:val="22"/>
          <w:lang w:val="fr-FR"/>
        </w:rPr>
        <w:t>ance</w:t>
      </w:r>
      <w:r w:rsidR="002B3498" w:rsidRPr="002B3498">
        <w:rPr>
          <w:rFonts w:cs="Arial"/>
          <w:sz w:val="22"/>
          <w:szCs w:val="22"/>
          <w:lang w:val="fr-FR"/>
        </w:rPr>
        <w:t xml:space="preserve"> haussi</w:t>
      </w:r>
      <w:r w:rsidR="00260969">
        <w:rPr>
          <w:rFonts w:cs="Arial"/>
          <w:sz w:val="22"/>
          <w:szCs w:val="22"/>
          <w:lang w:val="fr-FR"/>
        </w:rPr>
        <w:t>è</w:t>
      </w:r>
      <w:r w:rsidR="002B3498" w:rsidRPr="002B3498">
        <w:rPr>
          <w:rFonts w:cs="Arial"/>
          <w:sz w:val="22"/>
          <w:szCs w:val="22"/>
          <w:lang w:val="fr-FR"/>
        </w:rPr>
        <w:t>re des soldes en fin d’</w:t>
      </w:r>
      <w:r w:rsidR="00260969">
        <w:rPr>
          <w:rFonts w:cs="Arial"/>
          <w:sz w:val="22"/>
          <w:szCs w:val="22"/>
          <w:lang w:val="fr-FR"/>
        </w:rPr>
        <w:t>exercice des arriéré</w:t>
      </w:r>
      <w:r w:rsidR="002B3498" w:rsidRPr="002B3498">
        <w:rPr>
          <w:rFonts w:cs="Arial"/>
          <w:sz w:val="22"/>
          <w:szCs w:val="22"/>
          <w:lang w:val="fr-FR"/>
        </w:rPr>
        <w:t xml:space="preserve">s des </w:t>
      </w:r>
      <w:r w:rsidR="00260969">
        <w:rPr>
          <w:rFonts w:cs="Arial"/>
          <w:sz w:val="22"/>
          <w:szCs w:val="22"/>
          <w:lang w:val="fr-FR"/>
        </w:rPr>
        <w:t>P</w:t>
      </w:r>
      <w:r w:rsidR="002B3498" w:rsidRPr="002B3498">
        <w:rPr>
          <w:rFonts w:cs="Arial"/>
          <w:sz w:val="22"/>
          <w:szCs w:val="22"/>
          <w:lang w:val="fr-FR"/>
        </w:rPr>
        <w:t>arties ne perme</w:t>
      </w:r>
      <w:r w:rsidR="00260969">
        <w:rPr>
          <w:rFonts w:cs="Arial"/>
          <w:sz w:val="22"/>
          <w:szCs w:val="22"/>
          <w:lang w:val="fr-FR"/>
        </w:rPr>
        <w:t>t</w:t>
      </w:r>
      <w:r w:rsidR="002B3498" w:rsidRPr="002B3498">
        <w:rPr>
          <w:rFonts w:cs="Arial"/>
          <w:sz w:val="22"/>
          <w:szCs w:val="22"/>
          <w:lang w:val="fr-FR"/>
        </w:rPr>
        <w:t>tent pas de</w:t>
      </w:r>
      <w:r w:rsidR="00260969">
        <w:rPr>
          <w:rFonts w:cs="Arial"/>
          <w:sz w:val="22"/>
          <w:szCs w:val="22"/>
          <w:lang w:val="fr-FR"/>
        </w:rPr>
        <w:t xml:space="preserve"> prélever sur</w:t>
      </w:r>
      <w:r w:rsidR="002B3498" w:rsidRPr="002B3498">
        <w:rPr>
          <w:rFonts w:cs="Arial"/>
          <w:sz w:val="22"/>
          <w:szCs w:val="22"/>
          <w:lang w:val="fr-FR"/>
        </w:rPr>
        <w:t xml:space="preserve"> le solde du Fonds d’affecta</w:t>
      </w:r>
      <w:r w:rsidR="00260969">
        <w:rPr>
          <w:rFonts w:cs="Arial"/>
          <w:sz w:val="22"/>
          <w:szCs w:val="22"/>
          <w:lang w:val="fr-FR"/>
        </w:rPr>
        <w:t>t</w:t>
      </w:r>
      <w:r w:rsidR="002B3498" w:rsidRPr="002B3498">
        <w:rPr>
          <w:rFonts w:cs="Arial"/>
          <w:sz w:val="22"/>
          <w:szCs w:val="22"/>
          <w:lang w:val="fr-FR"/>
        </w:rPr>
        <w:t xml:space="preserve">ion </w:t>
      </w:r>
      <w:r w:rsidR="004A178A">
        <w:rPr>
          <w:rFonts w:cs="Arial"/>
          <w:sz w:val="22"/>
          <w:szCs w:val="22"/>
          <w:lang w:val="fr-FR"/>
        </w:rPr>
        <w:t xml:space="preserve">spéciale </w:t>
      </w:r>
      <w:r w:rsidR="002B3498" w:rsidRPr="002B3498">
        <w:rPr>
          <w:rFonts w:cs="Arial"/>
          <w:sz w:val="22"/>
          <w:szCs w:val="22"/>
          <w:lang w:val="fr-FR"/>
        </w:rPr>
        <w:t>p</w:t>
      </w:r>
      <w:r w:rsidR="00260969">
        <w:rPr>
          <w:rFonts w:cs="Arial"/>
          <w:sz w:val="22"/>
          <w:szCs w:val="22"/>
          <w:lang w:val="fr-FR"/>
        </w:rPr>
        <w:t>o</w:t>
      </w:r>
      <w:r w:rsidR="002B3498" w:rsidRPr="002B3498">
        <w:rPr>
          <w:rFonts w:cs="Arial"/>
          <w:sz w:val="22"/>
          <w:szCs w:val="22"/>
          <w:lang w:val="fr-FR"/>
        </w:rPr>
        <w:t>ur contribuer au fin</w:t>
      </w:r>
      <w:r w:rsidR="00260969">
        <w:rPr>
          <w:rFonts w:cs="Arial"/>
          <w:sz w:val="22"/>
          <w:szCs w:val="22"/>
          <w:lang w:val="fr-FR"/>
        </w:rPr>
        <w:t>ancement du budget actuel</w:t>
      </w:r>
      <w:r w:rsidR="002B3498" w:rsidRPr="002B3498">
        <w:rPr>
          <w:rFonts w:cs="Arial"/>
          <w:sz w:val="22"/>
          <w:szCs w:val="22"/>
          <w:lang w:val="fr-FR"/>
        </w:rPr>
        <w:t xml:space="preserve"> car cela pourrait </w:t>
      </w:r>
      <w:r w:rsidR="00260969">
        <w:rPr>
          <w:rFonts w:cs="Arial"/>
          <w:sz w:val="22"/>
          <w:szCs w:val="22"/>
          <w:lang w:val="fr-FR"/>
        </w:rPr>
        <w:t>avoir</w:t>
      </w:r>
      <w:r w:rsidR="002B3498" w:rsidRPr="002B3498">
        <w:rPr>
          <w:rFonts w:cs="Arial"/>
          <w:sz w:val="22"/>
          <w:szCs w:val="22"/>
          <w:lang w:val="fr-FR"/>
        </w:rPr>
        <w:t xml:space="preserve"> un</w:t>
      </w:r>
      <w:r w:rsidR="00461B15">
        <w:rPr>
          <w:rFonts w:cs="Arial"/>
          <w:sz w:val="22"/>
          <w:szCs w:val="22"/>
          <w:lang w:val="fr-FR"/>
        </w:rPr>
        <w:t>e influence défavorable sur l</w:t>
      </w:r>
      <w:r w:rsidR="002B3498" w:rsidRPr="002B3498">
        <w:rPr>
          <w:rFonts w:cs="Arial"/>
          <w:sz w:val="22"/>
          <w:szCs w:val="22"/>
          <w:lang w:val="fr-FR"/>
        </w:rPr>
        <w:t>es liquidit</w:t>
      </w:r>
      <w:r w:rsidR="00260969">
        <w:rPr>
          <w:rFonts w:cs="Arial"/>
          <w:sz w:val="22"/>
          <w:szCs w:val="22"/>
          <w:lang w:val="fr-FR"/>
        </w:rPr>
        <w:t>é</w:t>
      </w:r>
      <w:r w:rsidR="002B3498" w:rsidRPr="002B3498">
        <w:rPr>
          <w:rFonts w:cs="Arial"/>
          <w:sz w:val="22"/>
          <w:szCs w:val="22"/>
          <w:lang w:val="fr-FR"/>
        </w:rPr>
        <w:t>s du Fonds</w:t>
      </w:r>
      <w:r w:rsidRPr="002B3498">
        <w:rPr>
          <w:rFonts w:cs="Arial"/>
          <w:sz w:val="22"/>
          <w:szCs w:val="22"/>
          <w:lang w:val="fr-FR"/>
        </w:rPr>
        <w:t>;</w:t>
      </w:r>
    </w:p>
    <w:p w:rsidR="00C66A96" w:rsidRPr="002B3498" w:rsidRDefault="00C66A96" w:rsidP="00C66A96">
      <w:pPr>
        <w:jc w:val="both"/>
        <w:rPr>
          <w:rFonts w:cs="Arial"/>
          <w:sz w:val="22"/>
          <w:szCs w:val="22"/>
          <w:lang w:val="fr-FR"/>
        </w:rPr>
      </w:pPr>
    </w:p>
    <w:p w:rsidR="00C66A96" w:rsidRPr="00461B15" w:rsidRDefault="00461B15" w:rsidP="00C66A96">
      <w:pPr>
        <w:jc w:val="both"/>
        <w:rPr>
          <w:rFonts w:cs="Arial"/>
          <w:sz w:val="22"/>
          <w:szCs w:val="22"/>
          <w:lang w:val="fr-FR"/>
        </w:rPr>
      </w:pPr>
      <w:r>
        <w:rPr>
          <w:rFonts w:cs="Arial"/>
          <w:i/>
          <w:sz w:val="22"/>
          <w:szCs w:val="22"/>
          <w:lang w:val="fr-FR"/>
        </w:rPr>
        <w:t>Ayant examiné</w:t>
      </w:r>
      <w:r w:rsidR="00C66A96" w:rsidRPr="00461B15">
        <w:rPr>
          <w:rFonts w:cs="Arial"/>
          <w:i/>
          <w:sz w:val="22"/>
          <w:szCs w:val="22"/>
          <w:lang w:val="fr-FR"/>
        </w:rPr>
        <w:t xml:space="preserve"> </w:t>
      </w:r>
      <w:r w:rsidRPr="00461B15">
        <w:rPr>
          <w:rFonts w:cs="Arial"/>
          <w:sz w:val="22"/>
          <w:szCs w:val="22"/>
          <w:lang w:val="fr-FR"/>
        </w:rPr>
        <w:t>le projet de</w:t>
      </w:r>
      <w:r w:rsidR="00C66A96" w:rsidRPr="00461B15">
        <w:rPr>
          <w:rFonts w:cs="Arial"/>
          <w:sz w:val="22"/>
          <w:szCs w:val="22"/>
          <w:lang w:val="fr-FR"/>
        </w:rPr>
        <w:t xml:space="preserve"> Programme </w:t>
      </w:r>
      <w:r w:rsidRPr="00461B15">
        <w:rPr>
          <w:rFonts w:cs="Arial"/>
          <w:sz w:val="22"/>
          <w:szCs w:val="22"/>
          <w:lang w:val="fr-FR"/>
        </w:rPr>
        <w:t>de trav</w:t>
      </w:r>
      <w:r>
        <w:rPr>
          <w:rFonts w:cs="Arial"/>
          <w:sz w:val="22"/>
          <w:szCs w:val="22"/>
          <w:lang w:val="fr-FR"/>
        </w:rPr>
        <w:t>ail</w:t>
      </w:r>
      <w:r w:rsidRPr="00461B15">
        <w:rPr>
          <w:rFonts w:cs="Arial"/>
          <w:sz w:val="22"/>
          <w:szCs w:val="22"/>
          <w:lang w:val="fr-FR"/>
        </w:rPr>
        <w:t xml:space="preserve"> pour</w:t>
      </w:r>
      <w:r w:rsidR="00C66A96" w:rsidRPr="00461B15">
        <w:rPr>
          <w:rFonts w:cs="Arial"/>
          <w:sz w:val="22"/>
          <w:szCs w:val="22"/>
          <w:lang w:val="fr-FR"/>
        </w:rPr>
        <w:t xml:space="preserve"> 2018-2020 s</w:t>
      </w:r>
      <w:r w:rsidRPr="00461B15">
        <w:rPr>
          <w:rFonts w:cs="Arial"/>
          <w:sz w:val="22"/>
          <w:szCs w:val="22"/>
          <w:lang w:val="fr-FR"/>
        </w:rPr>
        <w:t>oumis par le</w:t>
      </w:r>
      <w:r w:rsidR="00C66A96" w:rsidRPr="00461B15">
        <w:rPr>
          <w:rFonts w:cs="Arial"/>
          <w:sz w:val="22"/>
          <w:szCs w:val="22"/>
          <w:lang w:val="fr-FR"/>
        </w:rPr>
        <w:t xml:space="preserve"> </w:t>
      </w:r>
      <w:r w:rsidRPr="00461B15">
        <w:rPr>
          <w:rFonts w:cs="Arial"/>
          <w:sz w:val="22"/>
          <w:szCs w:val="22"/>
          <w:lang w:val="fr-FR"/>
        </w:rPr>
        <w:t>Secrétariat</w:t>
      </w:r>
      <w:r w:rsidR="00C66A96" w:rsidRPr="00461B15">
        <w:rPr>
          <w:rFonts w:cs="Arial"/>
          <w:sz w:val="22"/>
          <w:szCs w:val="22"/>
          <w:lang w:val="fr-FR"/>
        </w:rPr>
        <w:t>;</w:t>
      </w:r>
    </w:p>
    <w:p w:rsidR="00C66A96" w:rsidRPr="00461B15" w:rsidRDefault="00C66A96" w:rsidP="00C66A96">
      <w:pPr>
        <w:jc w:val="both"/>
        <w:rPr>
          <w:rFonts w:cs="Arial"/>
          <w:sz w:val="22"/>
          <w:szCs w:val="22"/>
          <w:lang w:val="fr-FR"/>
        </w:rPr>
      </w:pPr>
    </w:p>
    <w:p w:rsidR="00C66A96" w:rsidRPr="00F37874" w:rsidRDefault="00F37874" w:rsidP="00C66A96">
      <w:pPr>
        <w:jc w:val="both"/>
        <w:rPr>
          <w:rFonts w:cs="Arial"/>
          <w:sz w:val="22"/>
          <w:szCs w:val="22"/>
          <w:lang w:val="fr-FR"/>
        </w:rPr>
      </w:pPr>
      <w:r w:rsidRPr="00F37874">
        <w:rPr>
          <w:rFonts w:cs="Arial"/>
          <w:i/>
          <w:sz w:val="22"/>
          <w:szCs w:val="22"/>
          <w:lang w:val="fr-FR"/>
        </w:rPr>
        <w:t>No</w:t>
      </w:r>
      <w:r w:rsidR="002D2161">
        <w:rPr>
          <w:rFonts w:cs="Arial"/>
          <w:i/>
          <w:sz w:val="22"/>
          <w:szCs w:val="22"/>
          <w:lang w:val="fr-FR"/>
        </w:rPr>
        <w:t>t</w:t>
      </w:r>
      <w:r w:rsidRPr="00F37874">
        <w:rPr>
          <w:rFonts w:cs="Arial"/>
          <w:i/>
          <w:sz w:val="22"/>
          <w:szCs w:val="22"/>
          <w:lang w:val="fr-FR"/>
        </w:rPr>
        <w:t>ant</w:t>
      </w:r>
      <w:r w:rsidR="002D2161">
        <w:rPr>
          <w:rFonts w:cs="Arial"/>
          <w:sz w:val="22"/>
          <w:szCs w:val="22"/>
          <w:lang w:val="fr-FR"/>
        </w:rPr>
        <w:t xml:space="preserve"> que </w:t>
      </w:r>
      <w:r w:rsidRPr="00F37874">
        <w:rPr>
          <w:rFonts w:cs="Arial"/>
          <w:sz w:val="22"/>
          <w:szCs w:val="22"/>
          <w:lang w:val="fr-FR"/>
        </w:rPr>
        <w:t>la D</w:t>
      </w:r>
      <w:r w:rsidR="002D2161">
        <w:rPr>
          <w:rFonts w:cs="Arial"/>
          <w:sz w:val="22"/>
          <w:szCs w:val="22"/>
          <w:lang w:val="fr-FR"/>
        </w:rPr>
        <w:t>euxième</w:t>
      </w:r>
      <w:r w:rsidRPr="00F37874">
        <w:rPr>
          <w:rFonts w:cs="Arial"/>
          <w:sz w:val="22"/>
          <w:szCs w:val="22"/>
          <w:lang w:val="fr-FR"/>
        </w:rPr>
        <w:t xml:space="preserve"> </w:t>
      </w:r>
      <w:r w:rsidR="002D2161" w:rsidRPr="00F37874">
        <w:rPr>
          <w:rFonts w:cs="Arial"/>
          <w:sz w:val="22"/>
          <w:szCs w:val="22"/>
          <w:lang w:val="fr-FR"/>
        </w:rPr>
        <w:t>Réunion</w:t>
      </w:r>
      <w:r w:rsidRPr="00F37874">
        <w:rPr>
          <w:rFonts w:cs="Arial"/>
          <w:sz w:val="22"/>
          <w:szCs w:val="22"/>
          <w:lang w:val="fr-FR"/>
        </w:rPr>
        <w:t xml:space="preserve"> des </w:t>
      </w:r>
      <w:r w:rsidR="002D2161" w:rsidRPr="00F37874">
        <w:rPr>
          <w:rFonts w:cs="Arial"/>
          <w:sz w:val="22"/>
          <w:szCs w:val="22"/>
          <w:lang w:val="fr-FR"/>
        </w:rPr>
        <w:t>Signat</w:t>
      </w:r>
      <w:r w:rsidR="002D2161">
        <w:rPr>
          <w:rFonts w:cs="Arial"/>
          <w:sz w:val="22"/>
          <w:szCs w:val="22"/>
          <w:lang w:val="fr-FR"/>
        </w:rPr>
        <w:t>ai</w:t>
      </w:r>
      <w:r w:rsidR="002D2161" w:rsidRPr="00F37874">
        <w:rPr>
          <w:rFonts w:cs="Arial"/>
          <w:sz w:val="22"/>
          <w:szCs w:val="22"/>
          <w:lang w:val="fr-FR"/>
        </w:rPr>
        <w:t>res</w:t>
      </w:r>
      <w:r w:rsidRPr="00F37874">
        <w:rPr>
          <w:rFonts w:cs="Arial"/>
          <w:sz w:val="22"/>
          <w:szCs w:val="22"/>
          <w:lang w:val="fr-FR"/>
        </w:rPr>
        <w:t xml:space="preserve"> du Mé</w:t>
      </w:r>
      <w:r w:rsidR="002D2161">
        <w:rPr>
          <w:rFonts w:cs="Arial"/>
          <w:sz w:val="22"/>
          <w:szCs w:val="22"/>
          <w:lang w:val="fr-FR"/>
        </w:rPr>
        <w:t>m</w:t>
      </w:r>
      <w:r w:rsidRPr="00F37874">
        <w:rPr>
          <w:rFonts w:cs="Arial"/>
          <w:sz w:val="22"/>
          <w:szCs w:val="22"/>
          <w:lang w:val="fr-FR"/>
        </w:rPr>
        <w:t xml:space="preserve">orandum d’entente sur </w:t>
      </w:r>
      <w:r w:rsidR="002D2161">
        <w:rPr>
          <w:rFonts w:cs="Arial"/>
          <w:sz w:val="22"/>
          <w:szCs w:val="22"/>
          <w:lang w:val="fr-FR"/>
        </w:rPr>
        <w:t>l</w:t>
      </w:r>
      <w:r w:rsidRPr="00F37874">
        <w:rPr>
          <w:rFonts w:cs="Arial"/>
          <w:sz w:val="22"/>
          <w:szCs w:val="22"/>
          <w:lang w:val="fr-FR"/>
        </w:rPr>
        <w:t xml:space="preserve">a conservation des requins migrateurs (MdE REquins) </w:t>
      </w:r>
      <w:r w:rsidR="00062534">
        <w:rPr>
          <w:rFonts w:cs="Arial"/>
          <w:sz w:val="22"/>
          <w:szCs w:val="22"/>
          <w:lang w:val="fr-FR"/>
        </w:rPr>
        <w:t>a dé</w:t>
      </w:r>
      <w:r w:rsidR="002D2161">
        <w:rPr>
          <w:rFonts w:cs="Arial"/>
          <w:sz w:val="22"/>
          <w:szCs w:val="22"/>
          <w:lang w:val="fr-FR"/>
        </w:rPr>
        <w:t>cidé que le</w:t>
      </w:r>
      <w:r w:rsidRPr="00F37874">
        <w:rPr>
          <w:rFonts w:cs="Arial"/>
          <w:sz w:val="22"/>
          <w:szCs w:val="22"/>
          <w:lang w:val="fr-FR"/>
        </w:rPr>
        <w:t xml:space="preserve"> Secr</w:t>
      </w:r>
      <w:r w:rsidR="002D2161">
        <w:rPr>
          <w:rFonts w:cs="Arial"/>
          <w:sz w:val="22"/>
          <w:szCs w:val="22"/>
          <w:lang w:val="fr-FR"/>
        </w:rPr>
        <w:t>étariat de</w:t>
      </w:r>
      <w:r w:rsidRPr="00F37874">
        <w:rPr>
          <w:rFonts w:cs="Arial"/>
          <w:sz w:val="22"/>
          <w:szCs w:val="22"/>
          <w:lang w:val="fr-FR"/>
        </w:rPr>
        <w:t xml:space="preserve"> la CMS </w:t>
      </w:r>
      <w:r w:rsidR="002D2161">
        <w:rPr>
          <w:rFonts w:cs="Arial"/>
          <w:sz w:val="22"/>
          <w:szCs w:val="22"/>
          <w:lang w:val="fr-FR"/>
        </w:rPr>
        <w:t>fera office de S</w:t>
      </w:r>
      <w:r w:rsidRPr="00F37874">
        <w:rPr>
          <w:rFonts w:cs="Arial"/>
          <w:sz w:val="22"/>
          <w:szCs w:val="22"/>
          <w:lang w:val="fr-FR"/>
        </w:rPr>
        <w:t xml:space="preserve">ecrétariat </w:t>
      </w:r>
      <w:r w:rsidR="00062534" w:rsidRPr="00F37874">
        <w:rPr>
          <w:rFonts w:cs="Arial"/>
          <w:sz w:val="22"/>
          <w:szCs w:val="22"/>
          <w:lang w:val="fr-FR"/>
        </w:rPr>
        <w:t>perm</w:t>
      </w:r>
      <w:r w:rsidR="00062534">
        <w:rPr>
          <w:rFonts w:cs="Arial"/>
          <w:sz w:val="22"/>
          <w:szCs w:val="22"/>
          <w:lang w:val="fr-FR"/>
        </w:rPr>
        <w:t>anent</w:t>
      </w:r>
      <w:r w:rsidR="002D2161">
        <w:rPr>
          <w:rFonts w:cs="Arial"/>
          <w:sz w:val="22"/>
          <w:szCs w:val="22"/>
          <w:lang w:val="fr-FR"/>
        </w:rPr>
        <w:t xml:space="preserve"> </w:t>
      </w:r>
      <w:r w:rsidRPr="00F37874">
        <w:rPr>
          <w:rFonts w:cs="Arial"/>
          <w:sz w:val="22"/>
          <w:szCs w:val="22"/>
          <w:lang w:val="fr-FR"/>
        </w:rPr>
        <w:t>du MdE Requins;</w:t>
      </w:r>
    </w:p>
    <w:p w:rsidR="00C66A96" w:rsidRPr="00F37874" w:rsidRDefault="00C66A96" w:rsidP="00C66A96">
      <w:pPr>
        <w:jc w:val="both"/>
        <w:rPr>
          <w:sz w:val="24"/>
          <w:lang w:val="fr-FR"/>
        </w:rPr>
      </w:pPr>
    </w:p>
    <w:p w:rsidR="00C66A96" w:rsidRPr="00F37874" w:rsidRDefault="00C66A96" w:rsidP="00C66A96">
      <w:pPr>
        <w:jc w:val="both"/>
        <w:rPr>
          <w:rFonts w:cs="Arial"/>
          <w:sz w:val="22"/>
          <w:szCs w:val="22"/>
          <w:lang w:val="fr-FR"/>
        </w:rPr>
      </w:pPr>
    </w:p>
    <w:p w:rsidR="00C66A96" w:rsidRPr="00036D17" w:rsidRDefault="00C66A96" w:rsidP="00C66A96">
      <w:pPr>
        <w:ind w:left="360"/>
        <w:jc w:val="center"/>
        <w:rPr>
          <w:rFonts w:cs="Arial"/>
          <w:i/>
          <w:sz w:val="22"/>
          <w:szCs w:val="22"/>
          <w:lang w:val="fr-FR"/>
        </w:rPr>
      </w:pPr>
      <w:r w:rsidRPr="00036D17">
        <w:rPr>
          <w:rFonts w:cs="Arial"/>
          <w:i/>
          <w:sz w:val="22"/>
          <w:szCs w:val="22"/>
          <w:lang w:val="fr-FR"/>
        </w:rPr>
        <w:t>La Conférence des Parties à la</w:t>
      </w:r>
    </w:p>
    <w:p w:rsidR="00C66A96" w:rsidRPr="00036D17" w:rsidRDefault="00C66A96" w:rsidP="00C66A96">
      <w:pPr>
        <w:ind w:left="360"/>
        <w:jc w:val="center"/>
        <w:rPr>
          <w:rFonts w:cs="Arial"/>
          <w:i/>
          <w:sz w:val="22"/>
          <w:szCs w:val="22"/>
          <w:lang w:val="fr-FR"/>
        </w:rPr>
      </w:pPr>
      <w:r w:rsidRPr="00036D17">
        <w:rPr>
          <w:rFonts w:cs="Arial"/>
          <w:i/>
          <w:sz w:val="22"/>
          <w:szCs w:val="22"/>
          <w:lang w:val="fr-FR"/>
        </w:rPr>
        <w:t>Convention sur la conservation des espèces migratrices appartenant à la faune sauvage</w:t>
      </w:r>
    </w:p>
    <w:p w:rsidR="00C66A96" w:rsidRPr="00C66A96" w:rsidRDefault="00C66A96" w:rsidP="00C66A96">
      <w:pPr>
        <w:jc w:val="both"/>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iCs/>
          <w:sz w:val="22"/>
          <w:szCs w:val="22"/>
          <w:lang w:val="fr-FR"/>
        </w:rPr>
        <w:t>1.</w:t>
      </w:r>
      <w:r w:rsidRPr="00036D17">
        <w:rPr>
          <w:rFonts w:cs="Arial"/>
          <w:iCs/>
          <w:sz w:val="22"/>
          <w:szCs w:val="22"/>
          <w:lang w:val="fr-FR"/>
        </w:rPr>
        <w:tab/>
      </w:r>
      <w:r w:rsidRPr="00036D17">
        <w:rPr>
          <w:rFonts w:cs="Arial"/>
          <w:i/>
          <w:sz w:val="22"/>
          <w:szCs w:val="22"/>
          <w:lang w:val="fr-FR"/>
        </w:rPr>
        <w:t xml:space="preserve">Confirme </w:t>
      </w:r>
      <w:r w:rsidRPr="00036D17">
        <w:rPr>
          <w:rFonts w:cs="Arial"/>
          <w:sz w:val="22"/>
          <w:szCs w:val="22"/>
          <w:lang w:val="fr-FR"/>
        </w:rPr>
        <w:t>que toutes les Parties devraient contribuer au budget adopté à l’échelle convenue par la Conférence des Parties, conformément au paragraphe 4 de l’article VII de la Convention;</w:t>
      </w:r>
    </w:p>
    <w:p w:rsidR="00C66A96" w:rsidRPr="00036D17" w:rsidRDefault="00C66A96" w:rsidP="00C66A96">
      <w:pPr>
        <w:jc w:val="both"/>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iCs/>
          <w:sz w:val="22"/>
          <w:szCs w:val="22"/>
          <w:lang w:val="fr-FR"/>
        </w:rPr>
        <w:t>2.</w:t>
      </w:r>
      <w:r w:rsidRPr="00036D17">
        <w:rPr>
          <w:rFonts w:cs="Arial"/>
          <w:iCs/>
          <w:sz w:val="22"/>
          <w:szCs w:val="22"/>
          <w:lang w:val="fr-FR"/>
        </w:rPr>
        <w:tab/>
      </w:r>
      <w:r w:rsidRPr="00036D17">
        <w:rPr>
          <w:rFonts w:cs="Arial"/>
          <w:i/>
          <w:iCs/>
          <w:sz w:val="22"/>
          <w:szCs w:val="22"/>
          <w:lang w:val="fr-FR"/>
        </w:rPr>
        <w:t>Adopte</w:t>
      </w:r>
      <w:r w:rsidRPr="00036D17">
        <w:rPr>
          <w:rFonts w:cs="Arial"/>
          <w:sz w:val="22"/>
          <w:szCs w:val="22"/>
          <w:lang w:val="fr-FR"/>
        </w:rPr>
        <w:t xml:space="preserve"> le budget pour la période </w:t>
      </w:r>
      <w:r>
        <w:rPr>
          <w:rFonts w:cs="Arial"/>
          <w:sz w:val="22"/>
          <w:szCs w:val="22"/>
          <w:lang w:val="fr-FR"/>
        </w:rPr>
        <w:t>2018-2020</w:t>
      </w:r>
      <w:r w:rsidRPr="00036D17">
        <w:rPr>
          <w:rFonts w:cs="Arial"/>
          <w:sz w:val="22"/>
          <w:szCs w:val="22"/>
          <w:lang w:val="fr-FR"/>
        </w:rPr>
        <w:t xml:space="preserve"> figurant </w:t>
      </w:r>
      <w:r>
        <w:rPr>
          <w:rFonts w:cs="Arial"/>
          <w:sz w:val="22"/>
          <w:szCs w:val="22"/>
          <w:lang w:val="fr-FR"/>
        </w:rPr>
        <w:t>à</w:t>
      </w:r>
      <w:r w:rsidRPr="00036D17">
        <w:rPr>
          <w:rFonts w:cs="Arial"/>
          <w:sz w:val="22"/>
          <w:szCs w:val="22"/>
          <w:lang w:val="fr-FR"/>
        </w:rPr>
        <w:t xml:space="preserve"> l’Annexe </w:t>
      </w:r>
      <w:r w:rsidR="002B3498">
        <w:rPr>
          <w:rFonts w:cs="Arial"/>
          <w:sz w:val="22"/>
          <w:szCs w:val="22"/>
          <w:lang w:val="fr-FR"/>
        </w:rPr>
        <w:t>[  ]</w:t>
      </w:r>
      <w:r w:rsidRPr="00036D17">
        <w:rPr>
          <w:rFonts w:cs="Arial"/>
          <w:sz w:val="22"/>
          <w:szCs w:val="22"/>
          <w:lang w:val="fr-FR"/>
        </w:rPr>
        <w:t xml:space="preserve"> </w:t>
      </w:r>
      <w:r>
        <w:rPr>
          <w:rFonts w:cs="Arial"/>
          <w:sz w:val="22"/>
          <w:szCs w:val="22"/>
          <w:lang w:val="fr-FR"/>
        </w:rPr>
        <w:t>de</w:t>
      </w:r>
      <w:r w:rsidRPr="00036D17">
        <w:rPr>
          <w:rFonts w:cs="Arial"/>
          <w:sz w:val="22"/>
          <w:szCs w:val="22"/>
          <w:lang w:val="fr-FR"/>
        </w:rPr>
        <w:t xml:space="preserve"> la présente </w:t>
      </w:r>
      <w:r>
        <w:rPr>
          <w:rFonts w:cs="Arial"/>
          <w:sz w:val="22"/>
          <w:szCs w:val="22"/>
          <w:lang w:val="fr-FR"/>
        </w:rPr>
        <w:t>R</w:t>
      </w:r>
      <w:r w:rsidRPr="00036D17">
        <w:rPr>
          <w:rFonts w:cs="Arial"/>
          <w:sz w:val="22"/>
          <w:szCs w:val="22"/>
          <w:lang w:val="fr-FR"/>
        </w:rPr>
        <w:t>ésolution;</w:t>
      </w:r>
    </w:p>
    <w:p w:rsidR="00C66A96" w:rsidRPr="00036D17" w:rsidRDefault="00C66A96" w:rsidP="00C66A96">
      <w:pPr>
        <w:contextualSpacing/>
        <w:rPr>
          <w:rFonts w:cs="Arial"/>
          <w:i/>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iCs/>
          <w:sz w:val="22"/>
          <w:szCs w:val="22"/>
          <w:lang w:val="fr-FR"/>
        </w:rPr>
        <w:t>3.</w:t>
      </w:r>
      <w:r w:rsidRPr="00036D17">
        <w:rPr>
          <w:rFonts w:cs="Arial"/>
          <w:iCs/>
          <w:sz w:val="22"/>
          <w:szCs w:val="22"/>
          <w:lang w:val="fr-FR"/>
        </w:rPr>
        <w:tab/>
      </w:r>
      <w:r w:rsidRPr="00036D17">
        <w:rPr>
          <w:rFonts w:cs="Arial"/>
          <w:i/>
          <w:iCs/>
          <w:sz w:val="22"/>
          <w:szCs w:val="22"/>
          <w:lang w:val="fr-FR"/>
        </w:rPr>
        <w:t>Adopte</w:t>
      </w:r>
      <w:r w:rsidRPr="00036D17">
        <w:rPr>
          <w:rFonts w:cs="Arial"/>
          <w:sz w:val="22"/>
          <w:szCs w:val="22"/>
          <w:lang w:val="fr-FR"/>
        </w:rPr>
        <w:t xml:space="preserve"> l’échelle des contributions des Parties à la Convention, basée sur l’échelle de contribution des Nations Unies, telle qu’énumérée dans l’Annexe </w:t>
      </w:r>
      <w:r w:rsidR="002B3498">
        <w:rPr>
          <w:rFonts w:cs="Arial"/>
          <w:sz w:val="22"/>
          <w:szCs w:val="22"/>
          <w:lang w:val="fr-FR"/>
        </w:rPr>
        <w:t>[  ]</w:t>
      </w:r>
      <w:r w:rsidRPr="00036D17">
        <w:rPr>
          <w:rFonts w:cs="Arial"/>
          <w:sz w:val="22"/>
          <w:szCs w:val="22"/>
          <w:lang w:val="fr-FR"/>
        </w:rPr>
        <w:t xml:space="preserve"> à la présente résolution et </w:t>
      </w:r>
      <w:r w:rsidRPr="00036D17">
        <w:rPr>
          <w:rFonts w:cs="Arial"/>
          <w:i/>
          <w:sz w:val="22"/>
          <w:szCs w:val="22"/>
          <w:lang w:val="fr-FR"/>
        </w:rPr>
        <w:t>décide</w:t>
      </w:r>
      <w:r w:rsidRPr="00036D17">
        <w:rPr>
          <w:rFonts w:cs="Arial"/>
          <w:sz w:val="22"/>
          <w:szCs w:val="22"/>
          <w:lang w:val="fr-FR"/>
        </w:rPr>
        <w:t xml:space="preserve"> d’appliquer cette échelle de façon proportionnelle aux nouvelles Parties;</w:t>
      </w:r>
    </w:p>
    <w:p w:rsidR="00C66A96" w:rsidRPr="00036D17" w:rsidRDefault="00C66A96" w:rsidP="00C66A96">
      <w:pPr>
        <w:widowControl/>
        <w:autoSpaceDE/>
        <w:autoSpaceDN/>
        <w:adjustRightInd/>
        <w:jc w:val="both"/>
        <w:rPr>
          <w:rFonts w:cs="Arial"/>
          <w:sz w:val="22"/>
          <w:szCs w:val="22"/>
          <w:lang w:val="fr-FR"/>
        </w:rPr>
      </w:pPr>
    </w:p>
    <w:p w:rsidR="00C66A96" w:rsidRDefault="00C66A96" w:rsidP="00C66A96">
      <w:pPr>
        <w:widowControl/>
        <w:autoSpaceDE/>
        <w:autoSpaceDN/>
        <w:adjustRightInd/>
        <w:jc w:val="both"/>
        <w:rPr>
          <w:rFonts w:cs="Arial"/>
          <w:sz w:val="22"/>
          <w:szCs w:val="22"/>
          <w:lang w:val="fr-FR"/>
        </w:rPr>
      </w:pPr>
      <w:r w:rsidRPr="00036D17">
        <w:rPr>
          <w:rFonts w:cs="Arial"/>
          <w:iCs/>
          <w:sz w:val="22"/>
          <w:szCs w:val="22"/>
          <w:lang w:val="fr-FR"/>
        </w:rPr>
        <w:t>4.</w:t>
      </w:r>
      <w:r w:rsidRPr="00036D17">
        <w:rPr>
          <w:rFonts w:cs="Arial"/>
          <w:iCs/>
          <w:sz w:val="22"/>
          <w:szCs w:val="22"/>
          <w:lang w:val="fr-FR"/>
        </w:rPr>
        <w:tab/>
      </w:r>
      <w:r w:rsidRPr="00036D17">
        <w:rPr>
          <w:rFonts w:cs="Arial"/>
          <w:i/>
          <w:sz w:val="22"/>
          <w:szCs w:val="22"/>
          <w:lang w:val="fr-FR"/>
        </w:rPr>
        <w:t>Prie</w:t>
      </w:r>
      <w:r w:rsidRPr="00036D17">
        <w:rPr>
          <w:rFonts w:cs="Arial"/>
          <w:sz w:val="22"/>
          <w:szCs w:val="22"/>
          <w:lang w:val="fr-FR"/>
        </w:rPr>
        <w:t xml:space="preserve"> les Parties, tout particulièrement celles qui doivent payer un faible montant de contributions, d’envisager de payer en un seul versement leurs contributions pour la période triennale;</w:t>
      </w:r>
    </w:p>
    <w:p w:rsidR="00C66A96" w:rsidRPr="00036D17" w:rsidRDefault="00C66A96" w:rsidP="00C66A96">
      <w:pPr>
        <w:jc w:val="both"/>
        <w:rPr>
          <w:rFonts w:cs="Arial"/>
          <w:sz w:val="22"/>
          <w:szCs w:val="22"/>
          <w:lang w:val="fr-FR"/>
        </w:rPr>
      </w:pPr>
    </w:p>
    <w:p w:rsidR="00C66A96" w:rsidRPr="00036D17" w:rsidRDefault="00C66A96" w:rsidP="00C66A96">
      <w:pPr>
        <w:widowControl/>
        <w:adjustRightInd/>
        <w:rPr>
          <w:rFonts w:eastAsia="Calibri" w:cs="Arial"/>
          <w:color w:val="000000"/>
          <w:sz w:val="22"/>
          <w:szCs w:val="22"/>
          <w:lang w:val="fr-FR"/>
        </w:rPr>
      </w:pPr>
      <w:r>
        <w:rPr>
          <w:rFonts w:cs="Arial"/>
          <w:iCs/>
          <w:color w:val="000000"/>
          <w:sz w:val="22"/>
          <w:szCs w:val="22"/>
          <w:lang w:val="fr-FR" w:eastAsia="en-GB"/>
        </w:rPr>
        <w:lastRenderedPageBreak/>
        <w:t>5.</w:t>
      </w:r>
      <w:r w:rsidRPr="00036D17">
        <w:rPr>
          <w:rFonts w:cs="Arial"/>
          <w:iCs/>
          <w:color w:val="000000"/>
          <w:sz w:val="22"/>
          <w:szCs w:val="22"/>
          <w:lang w:val="fr-FR" w:eastAsia="en-GB"/>
        </w:rPr>
        <w:tab/>
      </w:r>
      <w:r w:rsidRPr="00036D17">
        <w:rPr>
          <w:rFonts w:cs="Arial"/>
          <w:i/>
          <w:iCs/>
          <w:color w:val="000000"/>
          <w:sz w:val="22"/>
          <w:szCs w:val="22"/>
          <w:lang w:val="fr-FR" w:eastAsia="en-GB"/>
        </w:rPr>
        <w:t>Prie instamment</w:t>
      </w:r>
      <w:r w:rsidRPr="00036D17">
        <w:rPr>
          <w:rFonts w:cs="Arial"/>
          <w:color w:val="000000"/>
          <w:sz w:val="22"/>
          <w:szCs w:val="22"/>
          <w:lang w:val="fr-FR" w:eastAsia="en-GB"/>
        </w:rPr>
        <w:t xml:space="preserve"> toutes les Parties de s’acquitter de leurs contributions dès que possible, de préférence avant la fin du mois de mars de l’année à laquelle elles se rapportent et, si les Parties le souhaitent, d’informer le Secrétariat si elles préfèrent recevoir une seule facture couvrant tout la période triennale;</w:t>
      </w:r>
    </w:p>
    <w:p w:rsidR="00C66A96" w:rsidRPr="00036D17" w:rsidRDefault="00C66A96" w:rsidP="00C66A96">
      <w:pPr>
        <w:contextualSpacing/>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Pr>
          <w:rFonts w:cs="Arial"/>
          <w:sz w:val="22"/>
          <w:szCs w:val="22"/>
          <w:lang w:val="fr-FR"/>
        </w:rPr>
        <w:t>6</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Constate</w:t>
      </w:r>
      <w:r w:rsidRPr="00036D17">
        <w:rPr>
          <w:rFonts w:cs="Arial"/>
          <w:sz w:val="22"/>
          <w:szCs w:val="22"/>
          <w:lang w:val="fr-FR"/>
        </w:rPr>
        <w:t xml:space="preserve"> avec préoccupation qu’un certain nombre de Parties n’ont pas versé leurs contributions au budget principal pour l’année 2014 et les précédentes années, dues le 1</w:t>
      </w:r>
      <w:r w:rsidRPr="00036D17">
        <w:rPr>
          <w:rFonts w:cs="Arial"/>
          <w:sz w:val="22"/>
          <w:szCs w:val="22"/>
          <w:vertAlign w:val="superscript"/>
          <w:lang w:val="fr-FR"/>
        </w:rPr>
        <w:t>er</w:t>
      </w:r>
      <w:r w:rsidRPr="00036D17">
        <w:rPr>
          <w:rFonts w:cs="Arial"/>
          <w:sz w:val="22"/>
          <w:szCs w:val="22"/>
          <w:lang w:val="fr-FR"/>
        </w:rPr>
        <w:t xml:space="preserve"> mars de chaque année, ayant un impact défavorable sur la mise en œuvre de la Convention;</w:t>
      </w:r>
    </w:p>
    <w:p w:rsidR="00C66A96" w:rsidRPr="00036D17" w:rsidRDefault="00C66A96" w:rsidP="00C66A96">
      <w:pPr>
        <w:contextualSpacing/>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Pr>
          <w:rFonts w:cs="Arial"/>
          <w:sz w:val="22"/>
          <w:szCs w:val="22"/>
          <w:lang w:val="fr-FR"/>
        </w:rPr>
        <w:t>7</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Prie instamment</w:t>
      </w:r>
      <w:r w:rsidRPr="00036D17">
        <w:rPr>
          <w:rFonts w:cs="Arial"/>
          <w:sz w:val="22"/>
          <w:szCs w:val="22"/>
          <w:lang w:val="fr-FR"/>
        </w:rPr>
        <w:t xml:space="preserve"> les Parties ayant des arriérés de coopérer avec le Secrétariat pour organiser le paiement de leurs contributions non réglées sans délai;</w:t>
      </w:r>
    </w:p>
    <w:p w:rsidR="00C66A96" w:rsidRPr="00036D17" w:rsidRDefault="00C66A96" w:rsidP="00C66A96">
      <w:pPr>
        <w:widowControl/>
        <w:autoSpaceDE/>
        <w:autoSpaceDN/>
        <w:adjustRightInd/>
        <w:jc w:val="both"/>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Pr>
          <w:rFonts w:cs="Arial"/>
          <w:iCs/>
          <w:sz w:val="22"/>
          <w:szCs w:val="22"/>
          <w:lang w:val="fr-FR"/>
        </w:rPr>
        <w:t>8</w:t>
      </w:r>
      <w:r w:rsidRPr="00036D17">
        <w:rPr>
          <w:rFonts w:cs="Arial"/>
          <w:iCs/>
          <w:sz w:val="22"/>
          <w:szCs w:val="22"/>
          <w:lang w:val="fr-FR"/>
        </w:rPr>
        <w:t>.</w:t>
      </w:r>
      <w:r w:rsidRPr="00036D17">
        <w:rPr>
          <w:rFonts w:cs="Arial"/>
          <w:iCs/>
          <w:sz w:val="22"/>
          <w:szCs w:val="22"/>
          <w:lang w:val="fr-FR"/>
        </w:rPr>
        <w:tab/>
      </w:r>
      <w:r w:rsidRPr="00036D17">
        <w:rPr>
          <w:rFonts w:cs="Arial"/>
          <w:i/>
          <w:iCs/>
          <w:sz w:val="22"/>
          <w:szCs w:val="22"/>
          <w:lang w:val="fr-FR"/>
        </w:rPr>
        <w:t xml:space="preserve">Décide </w:t>
      </w:r>
      <w:r w:rsidRPr="00036D17">
        <w:rPr>
          <w:rFonts w:cs="Arial"/>
          <w:sz w:val="22"/>
          <w:szCs w:val="22"/>
          <w:lang w:val="fr-FR"/>
        </w:rPr>
        <w:t>d’établir le seuil d’éligibilité pour financer la participation des délégués aux réunions de la Convention à 0,2% sur le barème des quotes-parts des Nations Unies et, en règle générale également, d’exclure d’une telle éligibilité les pays de l’Union Européenne, les pays européens qui ont une forte économie et/ou les pays qui ont des retards de paiement depuis plus trois ans;</w:t>
      </w:r>
    </w:p>
    <w:p w:rsidR="00C66A96" w:rsidRPr="00036D17" w:rsidRDefault="00C66A96" w:rsidP="00C66A96">
      <w:pPr>
        <w:contextualSpacing/>
        <w:rPr>
          <w:rFonts w:cs="Arial"/>
          <w:sz w:val="22"/>
          <w:szCs w:val="22"/>
          <w:lang w:val="fr-FR"/>
        </w:rPr>
      </w:pPr>
    </w:p>
    <w:p w:rsidR="00C66A96" w:rsidRPr="00036D17" w:rsidRDefault="00C66A96" w:rsidP="00C66A96">
      <w:pPr>
        <w:autoSpaceDE/>
        <w:autoSpaceDN/>
        <w:adjustRightInd/>
        <w:jc w:val="both"/>
        <w:rPr>
          <w:rFonts w:cs="Arial"/>
          <w:sz w:val="22"/>
          <w:szCs w:val="22"/>
          <w:lang w:val="fr-FR"/>
        </w:rPr>
      </w:pPr>
      <w:r>
        <w:rPr>
          <w:rFonts w:cs="Arial"/>
          <w:iCs/>
          <w:sz w:val="22"/>
          <w:szCs w:val="22"/>
          <w:lang w:val="fr-FR"/>
        </w:rPr>
        <w:t>9</w:t>
      </w:r>
      <w:r w:rsidRPr="00036D17">
        <w:rPr>
          <w:rFonts w:cs="Arial"/>
          <w:iCs/>
          <w:sz w:val="22"/>
          <w:szCs w:val="22"/>
          <w:lang w:val="fr-FR"/>
        </w:rPr>
        <w:t>.</w:t>
      </w:r>
      <w:r w:rsidRPr="00036D17">
        <w:rPr>
          <w:rFonts w:cs="Arial"/>
          <w:iCs/>
          <w:sz w:val="22"/>
          <w:szCs w:val="22"/>
          <w:lang w:val="fr-FR"/>
        </w:rPr>
        <w:tab/>
      </w:r>
      <w:r w:rsidRPr="00036D17">
        <w:rPr>
          <w:rFonts w:cs="Arial"/>
          <w:i/>
          <w:sz w:val="22"/>
          <w:szCs w:val="22"/>
          <w:lang w:val="fr-FR"/>
        </w:rPr>
        <w:t xml:space="preserve">Décide </w:t>
      </w:r>
      <w:r w:rsidRPr="00036D17">
        <w:rPr>
          <w:rFonts w:cs="Arial"/>
          <w:sz w:val="22"/>
          <w:szCs w:val="22"/>
          <w:lang w:val="fr-FR"/>
        </w:rPr>
        <w:t xml:space="preserve">que les représentants des pays dont les arriérés de paiement sont de trois ans ou plus ne devraient pas exercer de fonction au sein des organes de la Convention et devraient se voir refuser le droit de vote; et </w:t>
      </w:r>
      <w:r w:rsidRPr="00036D17">
        <w:rPr>
          <w:rFonts w:cs="Arial"/>
          <w:i/>
          <w:sz w:val="22"/>
          <w:szCs w:val="22"/>
          <w:lang w:val="fr-FR"/>
        </w:rPr>
        <w:t>prie</w:t>
      </w:r>
      <w:r w:rsidRPr="00036D17">
        <w:rPr>
          <w:rFonts w:cs="Arial"/>
          <w:sz w:val="22"/>
          <w:szCs w:val="22"/>
          <w:lang w:val="fr-FR"/>
        </w:rPr>
        <w:t xml:space="preserve"> le Secrétaire exécutif d’étudier avec ces Parties des approches innovantes pour identifier des financements possibles, afin de régler leurs arriérés avant la prochaine réunion;</w:t>
      </w:r>
    </w:p>
    <w:p w:rsidR="00C66A96" w:rsidRPr="00036D17" w:rsidRDefault="00C66A96" w:rsidP="00C66A96">
      <w:pPr>
        <w:contextualSpacing/>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sz w:val="22"/>
          <w:szCs w:val="22"/>
          <w:lang w:val="fr-FR"/>
        </w:rPr>
        <w:t>1</w:t>
      </w:r>
      <w:r>
        <w:rPr>
          <w:rFonts w:cs="Arial"/>
          <w:sz w:val="22"/>
          <w:szCs w:val="22"/>
          <w:lang w:val="fr-FR"/>
        </w:rPr>
        <w:t>0</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Décide</w:t>
      </w:r>
      <w:r w:rsidRPr="00036D17">
        <w:rPr>
          <w:rFonts w:cs="Arial"/>
          <w:sz w:val="22"/>
          <w:szCs w:val="22"/>
          <w:lang w:val="fr-FR"/>
        </w:rPr>
        <w:t xml:space="preserve"> que les résolutions adoptées par la Conférence des Parties mettant en place, entre autres, des organes, des mécanismes ou des activités qui ont des répercussions financières non prévues à l’Annexe I, sont tributaires des fonds disponibles provenant de contributions volontaires;</w:t>
      </w:r>
    </w:p>
    <w:p w:rsidR="00C66A96" w:rsidRPr="00036D17" w:rsidRDefault="00C66A96" w:rsidP="00C66A96">
      <w:pPr>
        <w:autoSpaceDE/>
        <w:autoSpaceDN/>
        <w:adjustRightInd/>
        <w:jc w:val="both"/>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iCs/>
          <w:sz w:val="22"/>
          <w:szCs w:val="22"/>
          <w:lang w:val="fr-FR"/>
        </w:rPr>
        <w:t>1</w:t>
      </w:r>
      <w:r>
        <w:rPr>
          <w:rFonts w:cs="Arial"/>
          <w:iCs/>
          <w:sz w:val="22"/>
          <w:szCs w:val="22"/>
          <w:lang w:val="fr-FR"/>
        </w:rPr>
        <w:t>1</w:t>
      </w:r>
      <w:r w:rsidRPr="00036D17">
        <w:rPr>
          <w:rFonts w:cs="Arial"/>
          <w:iCs/>
          <w:sz w:val="22"/>
          <w:szCs w:val="22"/>
          <w:lang w:val="fr-FR"/>
        </w:rPr>
        <w:t>.</w:t>
      </w:r>
      <w:r w:rsidRPr="00036D17">
        <w:rPr>
          <w:rFonts w:cs="Arial"/>
          <w:iCs/>
          <w:sz w:val="22"/>
          <w:szCs w:val="22"/>
          <w:lang w:val="fr-FR"/>
        </w:rPr>
        <w:tab/>
      </w:r>
      <w:r w:rsidRPr="00036D17">
        <w:rPr>
          <w:rFonts w:cs="Arial"/>
          <w:i/>
          <w:iCs/>
          <w:sz w:val="22"/>
          <w:szCs w:val="22"/>
          <w:lang w:val="fr-FR"/>
        </w:rPr>
        <w:t xml:space="preserve">Encourage </w:t>
      </w:r>
      <w:r w:rsidRPr="00036D17">
        <w:rPr>
          <w:rFonts w:cs="Arial"/>
          <w:sz w:val="22"/>
          <w:szCs w:val="22"/>
          <w:lang w:val="fr-FR"/>
        </w:rPr>
        <w:t>toutes les Parties à verser des contributions volontaires au Fonds d’affectation spéciale, pour appuyer les demandes faites par les pays en développement de participer à la Convention et de contribuer à sa mise en œuvre pendant tout</w:t>
      </w:r>
      <w:r>
        <w:rPr>
          <w:rFonts w:cs="Arial"/>
          <w:sz w:val="22"/>
          <w:szCs w:val="22"/>
          <w:lang w:val="fr-FR"/>
        </w:rPr>
        <w:t>e</w:t>
      </w:r>
      <w:r w:rsidRPr="00036D17">
        <w:rPr>
          <w:rFonts w:cs="Arial"/>
          <w:sz w:val="22"/>
          <w:szCs w:val="22"/>
          <w:lang w:val="fr-FR"/>
        </w:rPr>
        <w:t xml:space="preserve"> la période triennale;</w:t>
      </w:r>
    </w:p>
    <w:p w:rsidR="00C66A96" w:rsidRPr="00036D17" w:rsidRDefault="00C66A96" w:rsidP="00C66A96">
      <w:pPr>
        <w:contextualSpacing/>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iCs/>
          <w:sz w:val="22"/>
          <w:szCs w:val="22"/>
          <w:lang w:val="fr-FR"/>
        </w:rPr>
        <w:t>1</w:t>
      </w:r>
      <w:r>
        <w:rPr>
          <w:rFonts w:cs="Arial"/>
          <w:iCs/>
          <w:sz w:val="22"/>
          <w:szCs w:val="22"/>
          <w:lang w:val="fr-FR"/>
        </w:rPr>
        <w:t>2</w:t>
      </w:r>
      <w:r w:rsidRPr="00036D17">
        <w:rPr>
          <w:rFonts w:cs="Arial"/>
          <w:iCs/>
          <w:sz w:val="22"/>
          <w:szCs w:val="22"/>
          <w:lang w:val="fr-FR"/>
        </w:rPr>
        <w:t>.</w:t>
      </w:r>
      <w:r w:rsidRPr="00036D17">
        <w:rPr>
          <w:rFonts w:cs="Arial"/>
          <w:iCs/>
          <w:sz w:val="22"/>
          <w:szCs w:val="22"/>
          <w:lang w:val="fr-FR"/>
        </w:rPr>
        <w:tab/>
      </w:r>
      <w:r w:rsidRPr="00036D17">
        <w:rPr>
          <w:rFonts w:cs="Arial"/>
          <w:i/>
          <w:iCs/>
          <w:sz w:val="22"/>
          <w:szCs w:val="22"/>
          <w:lang w:val="fr-FR"/>
        </w:rPr>
        <w:t xml:space="preserve">Approuve </w:t>
      </w:r>
      <w:r w:rsidRPr="00036D17">
        <w:rPr>
          <w:rFonts w:cs="Arial"/>
          <w:iCs/>
          <w:sz w:val="22"/>
          <w:szCs w:val="22"/>
          <w:lang w:val="fr-FR"/>
        </w:rPr>
        <w:t xml:space="preserve">le </w:t>
      </w:r>
      <w:r>
        <w:rPr>
          <w:rFonts w:cs="Arial"/>
          <w:iCs/>
          <w:sz w:val="22"/>
          <w:szCs w:val="22"/>
          <w:lang w:val="fr-FR"/>
        </w:rPr>
        <w:t>Programme de travail pour 2018-2020 pour aider les</w:t>
      </w:r>
      <w:r w:rsidRPr="00036D17">
        <w:rPr>
          <w:rFonts w:cs="Arial"/>
          <w:iCs/>
          <w:sz w:val="22"/>
          <w:szCs w:val="22"/>
          <w:lang w:val="fr-FR"/>
        </w:rPr>
        <w:t xml:space="preserve"> Parties </w:t>
      </w:r>
      <w:r>
        <w:rPr>
          <w:rFonts w:cs="Arial"/>
          <w:iCs/>
          <w:sz w:val="22"/>
          <w:szCs w:val="22"/>
          <w:lang w:val="fr-FR"/>
        </w:rPr>
        <w:t>à identifier l</w:t>
      </w:r>
      <w:r w:rsidRPr="00036D17">
        <w:rPr>
          <w:rFonts w:cs="Arial"/>
          <w:iCs/>
          <w:sz w:val="22"/>
          <w:szCs w:val="22"/>
          <w:lang w:val="fr-FR"/>
        </w:rPr>
        <w:t xml:space="preserve">es activités et projets </w:t>
      </w:r>
      <w:r>
        <w:rPr>
          <w:rFonts w:cs="Arial"/>
          <w:iCs/>
          <w:sz w:val="22"/>
          <w:szCs w:val="22"/>
          <w:lang w:val="fr-FR"/>
        </w:rPr>
        <w:t xml:space="preserve">clés en cours </w:t>
      </w:r>
      <w:r w:rsidRPr="00036D17">
        <w:rPr>
          <w:rFonts w:cs="Arial"/>
          <w:iCs/>
          <w:sz w:val="22"/>
          <w:szCs w:val="22"/>
          <w:lang w:val="fr-FR"/>
        </w:rPr>
        <w:t xml:space="preserve">qui ne sont pas couverts par le budget </w:t>
      </w:r>
      <w:r>
        <w:rPr>
          <w:rFonts w:cs="Arial"/>
          <w:iCs/>
          <w:sz w:val="22"/>
          <w:szCs w:val="22"/>
          <w:lang w:val="fr-FR"/>
        </w:rPr>
        <w:t>de base qu’elles entendent financer</w:t>
      </w:r>
      <w:r w:rsidRPr="00036D17">
        <w:rPr>
          <w:rFonts w:cs="Arial"/>
          <w:sz w:val="22"/>
          <w:szCs w:val="22"/>
          <w:lang w:val="fr-FR"/>
        </w:rPr>
        <w:t>;</w:t>
      </w:r>
    </w:p>
    <w:p w:rsidR="00C66A96" w:rsidRPr="00036D17" w:rsidRDefault="00C66A96" w:rsidP="00C66A96">
      <w:pPr>
        <w:contextualSpacing/>
        <w:rPr>
          <w:rFonts w:cs="Arial"/>
          <w:sz w:val="22"/>
          <w:szCs w:val="22"/>
          <w:lang w:val="fr-FR"/>
        </w:rPr>
      </w:pPr>
    </w:p>
    <w:p w:rsidR="00C66A96" w:rsidRDefault="00C66A96" w:rsidP="00C66A96">
      <w:pPr>
        <w:widowControl/>
        <w:autoSpaceDE/>
        <w:autoSpaceDN/>
        <w:adjustRightInd/>
        <w:jc w:val="both"/>
        <w:rPr>
          <w:rFonts w:cs="Arial"/>
          <w:sz w:val="22"/>
          <w:szCs w:val="22"/>
          <w:lang w:val="fr-FR"/>
        </w:rPr>
      </w:pPr>
      <w:r w:rsidRPr="00036D17">
        <w:rPr>
          <w:rFonts w:cs="Arial"/>
          <w:iCs/>
          <w:sz w:val="22"/>
          <w:szCs w:val="22"/>
          <w:lang w:val="fr-FR"/>
        </w:rPr>
        <w:t>1</w:t>
      </w:r>
      <w:r>
        <w:rPr>
          <w:rFonts w:cs="Arial"/>
          <w:iCs/>
          <w:sz w:val="22"/>
          <w:szCs w:val="22"/>
          <w:lang w:val="fr-FR"/>
        </w:rPr>
        <w:t>3</w:t>
      </w:r>
      <w:r w:rsidRPr="00036D17">
        <w:rPr>
          <w:rFonts w:cs="Arial"/>
          <w:iCs/>
          <w:sz w:val="22"/>
          <w:szCs w:val="22"/>
          <w:lang w:val="fr-FR"/>
        </w:rPr>
        <w:t>.</w:t>
      </w:r>
      <w:r w:rsidRPr="00036D17">
        <w:rPr>
          <w:rFonts w:cs="Arial"/>
          <w:iCs/>
          <w:sz w:val="22"/>
          <w:szCs w:val="22"/>
          <w:lang w:val="fr-FR"/>
        </w:rPr>
        <w:tab/>
      </w:r>
      <w:r w:rsidRPr="00036D17">
        <w:rPr>
          <w:rFonts w:cs="Arial"/>
          <w:i/>
          <w:iCs/>
          <w:sz w:val="22"/>
          <w:szCs w:val="22"/>
          <w:lang w:val="fr-FR"/>
        </w:rPr>
        <w:t xml:space="preserve">Encourage </w:t>
      </w:r>
      <w:r w:rsidRPr="00036D17">
        <w:rPr>
          <w:rFonts w:cs="Arial"/>
          <w:sz w:val="22"/>
          <w:szCs w:val="22"/>
          <w:lang w:val="fr-FR"/>
        </w:rPr>
        <w:t>les États qui ne sont pas Parties à la Convention, ainsi que les organisations gouvernementales, intergouvernementales et non-gouvernementales et d’autres entités, à envisager de verser des contributions au Fonds d’affectation spéciale, ou pour des activités spécifiques;</w:t>
      </w:r>
    </w:p>
    <w:p w:rsidR="00C66A96" w:rsidRDefault="00C66A96" w:rsidP="00C66A96">
      <w:pPr>
        <w:widowControl/>
        <w:autoSpaceDE/>
        <w:autoSpaceDN/>
        <w:adjustRightInd/>
        <w:jc w:val="both"/>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Pr>
          <w:rFonts w:cs="Arial"/>
          <w:sz w:val="22"/>
          <w:szCs w:val="22"/>
          <w:lang w:val="fr-FR"/>
        </w:rPr>
        <w:t xml:space="preserve">14. </w:t>
      </w:r>
      <w:r>
        <w:rPr>
          <w:rFonts w:cs="Arial"/>
          <w:sz w:val="22"/>
          <w:szCs w:val="22"/>
          <w:lang w:val="fr-FR"/>
        </w:rPr>
        <w:tab/>
      </w:r>
      <w:r w:rsidRPr="005F2223">
        <w:rPr>
          <w:rFonts w:cs="Arial"/>
          <w:i/>
          <w:sz w:val="22"/>
          <w:szCs w:val="22"/>
          <w:lang w:val="fr-FR"/>
        </w:rPr>
        <w:t xml:space="preserve">Décide </w:t>
      </w:r>
      <w:r w:rsidR="00062534">
        <w:rPr>
          <w:rFonts w:cs="Arial"/>
          <w:sz w:val="22"/>
          <w:szCs w:val="22"/>
          <w:lang w:val="fr-FR"/>
        </w:rPr>
        <w:t>que le Secrétaire exécutif, sous réserve de l’</w:t>
      </w:r>
      <w:r w:rsidR="0044204A">
        <w:rPr>
          <w:rFonts w:cs="Arial"/>
          <w:sz w:val="22"/>
          <w:szCs w:val="22"/>
          <w:lang w:val="fr-FR"/>
        </w:rPr>
        <w:t>approbation</w:t>
      </w:r>
      <w:r w:rsidR="00062534">
        <w:rPr>
          <w:rFonts w:cs="Arial"/>
          <w:sz w:val="22"/>
          <w:szCs w:val="22"/>
          <w:lang w:val="fr-FR"/>
        </w:rPr>
        <w:t xml:space="preserve"> du Comité permanent et</w:t>
      </w:r>
      <w:r w:rsidR="0044204A">
        <w:rPr>
          <w:rFonts w:cs="Arial"/>
          <w:sz w:val="22"/>
          <w:szCs w:val="22"/>
          <w:lang w:val="fr-FR"/>
        </w:rPr>
        <w:t>,</w:t>
      </w:r>
      <w:r w:rsidR="00062534">
        <w:rPr>
          <w:rFonts w:cs="Arial"/>
          <w:sz w:val="22"/>
          <w:szCs w:val="22"/>
          <w:lang w:val="fr-FR"/>
        </w:rPr>
        <w:t xml:space="preserve"> dans les cas urgents</w:t>
      </w:r>
      <w:r w:rsidR="0044204A">
        <w:rPr>
          <w:rFonts w:cs="Arial"/>
          <w:sz w:val="22"/>
          <w:szCs w:val="22"/>
          <w:lang w:val="fr-FR"/>
        </w:rPr>
        <w:t>, avec</w:t>
      </w:r>
      <w:r w:rsidR="00062534">
        <w:rPr>
          <w:rFonts w:cs="Arial"/>
          <w:sz w:val="22"/>
          <w:szCs w:val="22"/>
          <w:lang w:val="fr-FR"/>
        </w:rPr>
        <w:t xml:space="preserve"> l’approbation</w:t>
      </w:r>
      <w:r w:rsidR="0044204A">
        <w:rPr>
          <w:rFonts w:cs="Arial"/>
          <w:sz w:val="22"/>
          <w:szCs w:val="22"/>
          <w:lang w:val="fr-FR"/>
        </w:rPr>
        <w:t xml:space="preserve"> du Président du Comité permanent uniquement, sera </w:t>
      </w:r>
      <w:r w:rsidR="00806E5E">
        <w:rPr>
          <w:rFonts w:cs="Arial"/>
          <w:sz w:val="22"/>
          <w:szCs w:val="22"/>
          <w:lang w:val="fr-FR"/>
        </w:rPr>
        <w:t xml:space="preserve">habilité </w:t>
      </w:r>
      <w:r w:rsidR="0044204A">
        <w:rPr>
          <w:rFonts w:cs="Arial"/>
          <w:sz w:val="22"/>
          <w:szCs w:val="22"/>
          <w:lang w:val="fr-FR"/>
        </w:rPr>
        <w:t>à dépenser ou à util</w:t>
      </w:r>
      <w:r w:rsidR="00B00120">
        <w:rPr>
          <w:rFonts w:cs="Arial"/>
          <w:sz w:val="22"/>
          <w:szCs w:val="22"/>
          <w:lang w:val="fr-FR"/>
        </w:rPr>
        <w:t>i</w:t>
      </w:r>
      <w:r w:rsidR="0044204A">
        <w:rPr>
          <w:rFonts w:cs="Arial"/>
          <w:sz w:val="22"/>
          <w:szCs w:val="22"/>
          <w:lang w:val="fr-FR"/>
        </w:rPr>
        <w:t xml:space="preserve">ser des fonds économisés sur l’exécution du budget de base et des fonds provenant de nouvelles Parties à la Convention pour des activités figurant dans le programme de travail chiffré approuvé non couvertes par le budget de base. </w:t>
      </w:r>
    </w:p>
    <w:p w:rsidR="00C66A96" w:rsidRPr="00036D17" w:rsidRDefault="00C66A96" w:rsidP="00C66A96">
      <w:pPr>
        <w:contextualSpacing/>
        <w:rPr>
          <w:rFonts w:cs="Arial"/>
          <w:sz w:val="22"/>
          <w:szCs w:val="22"/>
          <w:lang w:val="fr-FR"/>
        </w:rPr>
      </w:pPr>
    </w:p>
    <w:p w:rsidR="00C66A96" w:rsidRPr="00036D17" w:rsidRDefault="00C66A96" w:rsidP="00C66A96">
      <w:pPr>
        <w:contextualSpacing/>
        <w:jc w:val="both"/>
        <w:rPr>
          <w:rFonts w:cs="Arial"/>
          <w:sz w:val="22"/>
          <w:szCs w:val="22"/>
          <w:lang w:val="fr-FR"/>
        </w:rPr>
      </w:pPr>
      <w:r w:rsidRPr="00036D17">
        <w:rPr>
          <w:rFonts w:cs="Arial"/>
          <w:sz w:val="22"/>
          <w:szCs w:val="22"/>
          <w:lang w:val="fr-FR"/>
        </w:rPr>
        <w:t>1</w:t>
      </w:r>
      <w:r>
        <w:rPr>
          <w:rFonts w:cs="Arial"/>
          <w:sz w:val="22"/>
          <w:szCs w:val="22"/>
          <w:lang w:val="fr-FR"/>
        </w:rPr>
        <w:t>5</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Décide</w:t>
      </w:r>
      <w:r w:rsidRPr="00036D17">
        <w:rPr>
          <w:rFonts w:cs="Arial"/>
          <w:sz w:val="22"/>
          <w:szCs w:val="22"/>
          <w:lang w:val="fr-FR"/>
        </w:rPr>
        <w:t xml:space="preserve"> que le Secrétaire exécutif est habilité à prendre des décisions personnelles, selon que de besoin, pour mettre en œuvre les priorités établies par les Parties, conformément au programme de travail, dans la mesure où ces décisions restent dans les limites du budget général;</w:t>
      </w:r>
    </w:p>
    <w:p w:rsidR="00C66A96" w:rsidRPr="00036D17" w:rsidRDefault="00C66A96" w:rsidP="00C66A96">
      <w:pPr>
        <w:contextualSpacing/>
        <w:rPr>
          <w:rFonts w:cs="Arial"/>
          <w:sz w:val="22"/>
          <w:szCs w:val="22"/>
          <w:lang w:val="fr-FR"/>
        </w:rPr>
      </w:pPr>
    </w:p>
    <w:p w:rsidR="00C66A96" w:rsidRPr="00036D17" w:rsidRDefault="00C66A96" w:rsidP="00C66A96">
      <w:pPr>
        <w:contextualSpacing/>
        <w:jc w:val="both"/>
        <w:rPr>
          <w:rFonts w:cs="Arial"/>
          <w:sz w:val="22"/>
          <w:szCs w:val="22"/>
          <w:lang w:val="fr-FR"/>
        </w:rPr>
      </w:pPr>
      <w:r w:rsidRPr="00036D17">
        <w:rPr>
          <w:rFonts w:cs="Arial"/>
          <w:sz w:val="22"/>
          <w:szCs w:val="22"/>
          <w:lang w:val="fr-FR"/>
        </w:rPr>
        <w:t>16.</w:t>
      </w:r>
      <w:r w:rsidRPr="00036D17">
        <w:rPr>
          <w:rFonts w:cs="Arial"/>
          <w:sz w:val="22"/>
          <w:szCs w:val="22"/>
          <w:lang w:val="fr-FR"/>
        </w:rPr>
        <w:tab/>
      </w:r>
      <w:r w:rsidRPr="00036D17">
        <w:rPr>
          <w:rFonts w:cs="Arial"/>
          <w:i/>
          <w:sz w:val="22"/>
          <w:szCs w:val="22"/>
          <w:lang w:val="fr-FR"/>
        </w:rPr>
        <w:t>Encourage</w:t>
      </w:r>
      <w:r w:rsidRPr="00036D17">
        <w:rPr>
          <w:rFonts w:cs="Arial"/>
          <w:sz w:val="22"/>
          <w:szCs w:val="22"/>
          <w:lang w:val="fr-FR"/>
        </w:rPr>
        <w:t xml:space="preserve"> le Secrétaire exécutif, conformément aux règles des Nations Unies, à utiliser les opportunités offertes par les postes vacants pour renforcer les capacités du Secrétariat, dans les limites du budget assigné, y compris en effectuant des changements structurels;</w:t>
      </w:r>
    </w:p>
    <w:p w:rsidR="00C66A96" w:rsidRPr="00C66A96" w:rsidRDefault="00C66A96" w:rsidP="00C66A96">
      <w:pPr>
        <w:pStyle w:val="ListParagraph"/>
        <w:ind w:left="0"/>
        <w:rPr>
          <w:rFonts w:cs="Arial"/>
          <w:sz w:val="22"/>
          <w:szCs w:val="22"/>
          <w:lang w:val="fr-FR"/>
        </w:rPr>
      </w:pPr>
    </w:p>
    <w:p w:rsidR="00C66A96" w:rsidRPr="00036D17" w:rsidRDefault="00C66A96" w:rsidP="00C66A96">
      <w:pPr>
        <w:autoSpaceDE/>
        <w:autoSpaceDN/>
        <w:adjustRightInd/>
        <w:jc w:val="both"/>
        <w:rPr>
          <w:rFonts w:cs="Arial"/>
          <w:sz w:val="22"/>
          <w:szCs w:val="22"/>
          <w:lang w:val="en-GB"/>
        </w:rPr>
      </w:pPr>
      <w:r w:rsidRPr="00036D17">
        <w:rPr>
          <w:rFonts w:cs="Arial"/>
          <w:sz w:val="22"/>
          <w:szCs w:val="22"/>
          <w:lang w:val="en-GB"/>
        </w:rPr>
        <w:t>17.</w:t>
      </w:r>
      <w:r w:rsidRPr="00036D17">
        <w:rPr>
          <w:rFonts w:cs="Arial"/>
          <w:sz w:val="22"/>
          <w:szCs w:val="22"/>
          <w:lang w:val="en-GB"/>
        </w:rPr>
        <w:tab/>
      </w:r>
      <w:r w:rsidRPr="00036D17">
        <w:rPr>
          <w:rFonts w:cs="Arial"/>
          <w:i/>
          <w:sz w:val="22"/>
          <w:szCs w:val="22"/>
          <w:lang w:val="en-GB"/>
        </w:rPr>
        <w:t>Approuve</w:t>
      </w:r>
      <w:r w:rsidRPr="00036D17">
        <w:rPr>
          <w:rFonts w:cs="Arial"/>
          <w:sz w:val="22"/>
          <w:szCs w:val="22"/>
          <w:lang w:val="en-GB"/>
        </w:rPr>
        <w:t>:</w:t>
      </w:r>
    </w:p>
    <w:p w:rsidR="00C66A96" w:rsidRPr="00036D17" w:rsidRDefault="00C66A96" w:rsidP="00C66A96">
      <w:pPr>
        <w:pStyle w:val="ListParagraph"/>
        <w:ind w:left="0"/>
        <w:jc w:val="both"/>
        <w:rPr>
          <w:rFonts w:cs="Arial"/>
          <w:iCs/>
          <w:sz w:val="22"/>
          <w:szCs w:val="22"/>
          <w:lang w:val="en-GB"/>
        </w:rPr>
      </w:pPr>
    </w:p>
    <w:p w:rsidR="00C66A96" w:rsidRPr="00036D17" w:rsidRDefault="00C66A96" w:rsidP="00AA2D9E">
      <w:pPr>
        <w:widowControl/>
        <w:numPr>
          <w:ilvl w:val="1"/>
          <w:numId w:val="5"/>
        </w:numPr>
        <w:autoSpaceDE/>
        <w:autoSpaceDN/>
        <w:adjustRightInd/>
        <w:ind w:left="1080"/>
        <w:contextualSpacing/>
        <w:jc w:val="both"/>
        <w:rPr>
          <w:rFonts w:cs="Arial"/>
          <w:iCs/>
          <w:sz w:val="22"/>
          <w:szCs w:val="22"/>
          <w:lang w:val="fr-FR"/>
        </w:rPr>
      </w:pPr>
      <w:r w:rsidRPr="005F2223">
        <w:rPr>
          <w:rFonts w:cs="Arial"/>
          <w:iCs/>
          <w:sz w:val="22"/>
          <w:szCs w:val="22"/>
          <w:lang w:val="fr-FR"/>
        </w:rPr>
        <w:t xml:space="preserve">le </w:t>
      </w:r>
      <w:r w:rsidR="00B00120">
        <w:rPr>
          <w:rFonts w:cs="Arial"/>
          <w:iCs/>
          <w:sz w:val="22"/>
          <w:szCs w:val="22"/>
          <w:lang w:val="fr-FR"/>
        </w:rPr>
        <w:t>reclassement du</w:t>
      </w:r>
      <w:r w:rsidRPr="00036D17">
        <w:rPr>
          <w:rFonts w:cs="Arial"/>
          <w:iCs/>
          <w:sz w:val="22"/>
          <w:szCs w:val="22"/>
          <w:lang w:val="fr-FR"/>
        </w:rPr>
        <w:t xml:space="preserve"> poste P-2 à mi-temps (50</w:t>
      </w:r>
      <w:r>
        <w:rPr>
          <w:rFonts w:cs="Arial"/>
          <w:iCs/>
          <w:sz w:val="22"/>
          <w:szCs w:val="22"/>
          <w:lang w:val="fr-FR"/>
        </w:rPr>
        <w:t xml:space="preserve"> pour cent)</w:t>
      </w:r>
      <w:r w:rsidRPr="00036D17">
        <w:rPr>
          <w:rFonts w:cs="Arial"/>
          <w:iCs/>
          <w:sz w:val="22"/>
          <w:szCs w:val="22"/>
          <w:lang w:val="fr-FR"/>
        </w:rPr>
        <w:t xml:space="preserve"> d’Administrateur associé </w:t>
      </w:r>
      <w:r>
        <w:rPr>
          <w:rFonts w:cs="Arial"/>
          <w:iCs/>
          <w:sz w:val="22"/>
          <w:szCs w:val="22"/>
          <w:lang w:val="fr-FR"/>
        </w:rPr>
        <w:t>chargé de l’information</w:t>
      </w:r>
      <w:r w:rsidR="00B00120">
        <w:rPr>
          <w:rFonts w:cs="Arial"/>
          <w:iCs/>
          <w:sz w:val="22"/>
          <w:szCs w:val="22"/>
          <w:lang w:val="fr-FR"/>
        </w:rPr>
        <w:t xml:space="preserve"> à P-2 à plein temps</w:t>
      </w:r>
      <w:r w:rsidRPr="00036D17">
        <w:rPr>
          <w:rFonts w:cs="Arial"/>
          <w:iCs/>
          <w:sz w:val="22"/>
          <w:szCs w:val="22"/>
          <w:lang w:val="fr-FR"/>
        </w:rPr>
        <w:t>;</w:t>
      </w:r>
    </w:p>
    <w:p w:rsidR="00C66A96" w:rsidRPr="00036D17" w:rsidRDefault="00C66A96" w:rsidP="00C66A96">
      <w:pPr>
        <w:ind w:left="1080"/>
        <w:contextualSpacing/>
        <w:jc w:val="both"/>
        <w:rPr>
          <w:rFonts w:cs="Arial"/>
          <w:iCs/>
          <w:sz w:val="22"/>
          <w:szCs w:val="22"/>
          <w:lang w:val="fr-FR"/>
        </w:rPr>
      </w:pPr>
    </w:p>
    <w:p w:rsidR="00C66A96" w:rsidRPr="005F2223" w:rsidRDefault="00C66A96" w:rsidP="00AA2D9E">
      <w:pPr>
        <w:widowControl/>
        <w:numPr>
          <w:ilvl w:val="1"/>
          <w:numId w:val="5"/>
        </w:numPr>
        <w:autoSpaceDE/>
        <w:autoSpaceDN/>
        <w:adjustRightInd/>
        <w:ind w:left="1080"/>
        <w:contextualSpacing/>
        <w:jc w:val="both"/>
        <w:rPr>
          <w:rFonts w:cs="Arial"/>
          <w:iCs/>
          <w:sz w:val="22"/>
          <w:szCs w:val="22"/>
          <w:lang w:val="fr-FR"/>
        </w:rPr>
      </w:pPr>
      <w:r w:rsidRPr="005F2223">
        <w:rPr>
          <w:rFonts w:cs="Arial"/>
          <w:iCs/>
          <w:sz w:val="22"/>
          <w:szCs w:val="22"/>
          <w:lang w:val="fr-FR"/>
        </w:rPr>
        <w:t xml:space="preserve">la création d’un poste </w:t>
      </w:r>
      <w:r>
        <w:rPr>
          <w:rFonts w:cs="Arial"/>
          <w:iCs/>
          <w:sz w:val="22"/>
          <w:szCs w:val="22"/>
          <w:lang w:val="fr-FR"/>
        </w:rPr>
        <w:t xml:space="preserve">P-3 </w:t>
      </w:r>
      <w:r w:rsidRPr="005F2223">
        <w:rPr>
          <w:rFonts w:cs="Arial"/>
          <w:iCs/>
          <w:sz w:val="22"/>
          <w:szCs w:val="22"/>
          <w:lang w:val="fr-FR"/>
        </w:rPr>
        <w:t>à temps</w:t>
      </w:r>
      <w:r>
        <w:rPr>
          <w:rFonts w:cs="Arial"/>
          <w:iCs/>
          <w:sz w:val="22"/>
          <w:szCs w:val="22"/>
          <w:lang w:val="fr-FR"/>
        </w:rPr>
        <w:t xml:space="preserve"> </w:t>
      </w:r>
      <w:r w:rsidRPr="005F2223">
        <w:rPr>
          <w:rFonts w:cs="Arial"/>
          <w:iCs/>
          <w:sz w:val="22"/>
          <w:szCs w:val="22"/>
          <w:lang w:val="fr-FR"/>
        </w:rPr>
        <w:t>partiel (18 pour cent) d’Administrateur chargé de</w:t>
      </w:r>
      <w:r>
        <w:rPr>
          <w:rFonts w:cs="Arial"/>
          <w:iCs/>
          <w:sz w:val="22"/>
          <w:szCs w:val="22"/>
          <w:lang w:val="fr-FR"/>
        </w:rPr>
        <w:t xml:space="preserve"> programme - </w:t>
      </w:r>
      <w:r w:rsidRPr="005F2223">
        <w:rPr>
          <w:rFonts w:cs="Arial"/>
          <w:iCs/>
          <w:sz w:val="22"/>
          <w:szCs w:val="22"/>
          <w:lang w:val="fr-FR"/>
        </w:rPr>
        <w:t>gestion de l’information, de la communication et de la sensibilisation.</w:t>
      </w:r>
    </w:p>
    <w:p w:rsidR="00C66A96" w:rsidRPr="00036D17" w:rsidRDefault="00C66A96" w:rsidP="00C66A96">
      <w:pPr>
        <w:jc w:val="both"/>
        <w:rPr>
          <w:rFonts w:cs="Arial"/>
          <w:iCs/>
          <w:sz w:val="22"/>
          <w:szCs w:val="22"/>
          <w:lang w:val="fr-FR"/>
        </w:rPr>
      </w:pPr>
    </w:p>
    <w:p w:rsidR="00C66A96" w:rsidRPr="00036D17" w:rsidRDefault="00C66A96" w:rsidP="00C66A96">
      <w:pPr>
        <w:contextualSpacing/>
        <w:jc w:val="both"/>
        <w:rPr>
          <w:rFonts w:cs="Arial"/>
          <w:sz w:val="22"/>
          <w:szCs w:val="22"/>
          <w:lang w:val="fr-FR"/>
        </w:rPr>
      </w:pPr>
      <w:r w:rsidRPr="00036D17">
        <w:rPr>
          <w:rFonts w:cs="Arial"/>
          <w:iCs/>
          <w:sz w:val="22"/>
          <w:szCs w:val="22"/>
          <w:lang w:val="fr-FR"/>
        </w:rPr>
        <w:t>18.</w:t>
      </w:r>
      <w:r w:rsidRPr="00036D17">
        <w:rPr>
          <w:rFonts w:cs="Arial"/>
          <w:iCs/>
          <w:sz w:val="22"/>
          <w:szCs w:val="22"/>
          <w:lang w:val="fr-FR"/>
        </w:rPr>
        <w:tab/>
      </w:r>
      <w:r w:rsidRPr="00036D17">
        <w:rPr>
          <w:rFonts w:cs="Arial"/>
          <w:i/>
          <w:iCs/>
          <w:sz w:val="22"/>
          <w:szCs w:val="22"/>
          <w:lang w:val="fr-FR"/>
        </w:rPr>
        <w:t>Invite</w:t>
      </w:r>
      <w:r w:rsidRPr="00036D17">
        <w:rPr>
          <w:rFonts w:cs="Arial"/>
          <w:sz w:val="22"/>
          <w:szCs w:val="22"/>
          <w:lang w:val="fr-FR"/>
        </w:rPr>
        <w:t xml:space="preserve"> les Parties à examiner la possibilité de financer des Jeunes experts associés (JEA) et/ou de fournir gratuitement du personnel ou des experts techniques au Secrétariat, afin d’accroître ses capacités techniques;</w:t>
      </w:r>
    </w:p>
    <w:p w:rsidR="00C66A96" w:rsidRPr="00036D17" w:rsidRDefault="00C66A96" w:rsidP="00C66A96">
      <w:pPr>
        <w:autoSpaceDE/>
        <w:autoSpaceDN/>
        <w:adjustRightInd/>
        <w:jc w:val="both"/>
        <w:rPr>
          <w:rFonts w:cs="Arial"/>
          <w:sz w:val="22"/>
          <w:szCs w:val="22"/>
          <w:lang w:val="fr-FR"/>
        </w:rPr>
      </w:pPr>
    </w:p>
    <w:p w:rsidR="00C66A96" w:rsidRPr="00036D17" w:rsidRDefault="00C66A96" w:rsidP="00C66A96">
      <w:pPr>
        <w:contextualSpacing/>
        <w:jc w:val="both"/>
        <w:rPr>
          <w:rFonts w:cs="Arial"/>
          <w:iCs/>
          <w:sz w:val="22"/>
          <w:szCs w:val="22"/>
          <w:lang w:val="fr-FR"/>
        </w:rPr>
      </w:pPr>
      <w:r>
        <w:rPr>
          <w:rFonts w:cs="Arial"/>
          <w:sz w:val="22"/>
          <w:szCs w:val="22"/>
          <w:lang w:val="fr-FR"/>
        </w:rPr>
        <w:t>19</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Demande</w:t>
      </w:r>
      <w:r w:rsidRPr="00036D17">
        <w:rPr>
          <w:rFonts w:cs="Arial"/>
          <w:sz w:val="22"/>
          <w:szCs w:val="22"/>
          <w:lang w:val="fr-FR"/>
        </w:rPr>
        <w:t xml:space="preserve"> au Sous-Comité des finances et du budget du Comité permanent :</w:t>
      </w:r>
    </w:p>
    <w:p w:rsidR="00C66A96" w:rsidRPr="00D16DA1" w:rsidRDefault="00C66A96" w:rsidP="00C66A96">
      <w:pPr>
        <w:tabs>
          <w:tab w:val="left" w:pos="720"/>
        </w:tabs>
        <w:ind w:left="1077" w:hanging="357"/>
        <w:jc w:val="both"/>
        <w:rPr>
          <w:rFonts w:cs="Arial"/>
          <w:color w:val="000000"/>
          <w:sz w:val="22"/>
          <w:szCs w:val="22"/>
          <w:lang w:val="fr-FR" w:eastAsia="en-GB"/>
        </w:rPr>
      </w:pPr>
    </w:p>
    <w:p w:rsidR="00C66A96" w:rsidRPr="00036D17" w:rsidRDefault="00C66A96" w:rsidP="00C66A96">
      <w:pPr>
        <w:ind w:left="1418" w:hanging="698"/>
        <w:jc w:val="both"/>
        <w:rPr>
          <w:rFonts w:cs="Arial"/>
          <w:color w:val="000000"/>
          <w:sz w:val="22"/>
          <w:szCs w:val="22"/>
          <w:lang w:val="fr-FR" w:eastAsia="en-GB"/>
        </w:rPr>
      </w:pPr>
      <w:r w:rsidRPr="00036D17">
        <w:rPr>
          <w:rFonts w:cs="Arial"/>
          <w:color w:val="000000"/>
          <w:sz w:val="22"/>
          <w:szCs w:val="22"/>
          <w:lang w:val="fr-FR" w:eastAsia="en-GB"/>
        </w:rPr>
        <w:t>i)</w:t>
      </w:r>
      <w:r w:rsidRPr="00036D17">
        <w:rPr>
          <w:rFonts w:cs="Arial"/>
          <w:color w:val="000000"/>
          <w:sz w:val="22"/>
          <w:szCs w:val="22"/>
          <w:lang w:val="fr-FR" w:eastAsia="en-GB"/>
        </w:rPr>
        <w:tab/>
      </w:r>
      <w:r>
        <w:rPr>
          <w:rFonts w:cs="Arial"/>
          <w:color w:val="000000"/>
          <w:sz w:val="22"/>
          <w:szCs w:val="22"/>
          <w:lang w:val="fr-FR" w:eastAsia="en-GB"/>
        </w:rPr>
        <w:t>d</w:t>
      </w:r>
      <w:r w:rsidRPr="00036D17">
        <w:rPr>
          <w:rFonts w:cs="Arial"/>
          <w:color w:val="000000"/>
          <w:sz w:val="22"/>
          <w:szCs w:val="22"/>
          <w:lang w:val="fr-FR" w:eastAsia="en-GB"/>
        </w:rPr>
        <w:t>e se réunir un jour avant le début de chaque réunion ordinaire du Comité permanent et de mener leurs travaux intersessions par des moyens électroniques ou d’autres moyens;</w:t>
      </w:r>
    </w:p>
    <w:p w:rsidR="00C66A96" w:rsidRPr="00036D17" w:rsidRDefault="00C66A96" w:rsidP="00C66A96">
      <w:pPr>
        <w:ind w:left="1418" w:hanging="698"/>
        <w:jc w:val="both"/>
        <w:rPr>
          <w:rFonts w:cs="Arial"/>
          <w:color w:val="000000"/>
          <w:sz w:val="22"/>
          <w:szCs w:val="22"/>
          <w:lang w:val="fr-FR" w:eastAsia="en-GB"/>
        </w:rPr>
      </w:pPr>
    </w:p>
    <w:p w:rsidR="00C66A96" w:rsidRPr="00036D17" w:rsidRDefault="00C66A96" w:rsidP="00C66A96">
      <w:pPr>
        <w:ind w:left="1418" w:hanging="698"/>
        <w:jc w:val="both"/>
        <w:rPr>
          <w:rFonts w:cs="Arial"/>
          <w:color w:val="000000"/>
          <w:sz w:val="22"/>
          <w:szCs w:val="22"/>
          <w:lang w:val="fr-FR" w:eastAsia="en-GB"/>
        </w:rPr>
      </w:pPr>
      <w:r w:rsidRPr="00036D17">
        <w:rPr>
          <w:rFonts w:cs="Arial"/>
          <w:color w:val="000000"/>
          <w:sz w:val="22"/>
          <w:szCs w:val="22"/>
          <w:lang w:val="fr-FR" w:eastAsia="en-GB"/>
        </w:rPr>
        <w:t>ii)</w:t>
      </w:r>
      <w:r w:rsidRPr="00036D17">
        <w:rPr>
          <w:rFonts w:cs="Arial"/>
          <w:color w:val="000000"/>
          <w:sz w:val="22"/>
          <w:szCs w:val="22"/>
          <w:lang w:val="fr-FR" w:eastAsia="en-GB"/>
        </w:rPr>
        <w:tab/>
      </w:r>
      <w:r>
        <w:rPr>
          <w:rFonts w:cs="Arial"/>
          <w:color w:val="000000"/>
          <w:sz w:val="22"/>
          <w:szCs w:val="22"/>
          <w:lang w:val="fr-FR" w:eastAsia="en-GB"/>
        </w:rPr>
        <w:t>d</w:t>
      </w:r>
      <w:r w:rsidRPr="00036D17">
        <w:rPr>
          <w:rFonts w:cs="Arial"/>
          <w:color w:val="000000"/>
          <w:sz w:val="22"/>
          <w:szCs w:val="22"/>
          <w:lang w:val="fr-FR" w:eastAsia="en-GB"/>
        </w:rPr>
        <w:t xml:space="preserve">e travailler avec le Secrétariat pour préparer tous les documents financiers et budgétaires soumis à l’examen du Comité permanent; </w:t>
      </w:r>
    </w:p>
    <w:p w:rsidR="00C66A96" w:rsidRPr="00036D17" w:rsidRDefault="00C66A96" w:rsidP="00C66A96">
      <w:pPr>
        <w:ind w:left="1418" w:hanging="698"/>
        <w:jc w:val="both"/>
        <w:rPr>
          <w:rFonts w:cs="Arial"/>
          <w:color w:val="000000"/>
          <w:sz w:val="22"/>
          <w:szCs w:val="22"/>
          <w:lang w:val="fr-FR" w:eastAsia="en-GB"/>
        </w:rPr>
      </w:pPr>
    </w:p>
    <w:p w:rsidR="00C66A96" w:rsidRPr="00036D17" w:rsidRDefault="00C66A96" w:rsidP="00C66A96">
      <w:pPr>
        <w:ind w:left="1418" w:hanging="698"/>
        <w:jc w:val="both"/>
        <w:rPr>
          <w:rFonts w:cs="Arial"/>
          <w:color w:val="000000"/>
          <w:sz w:val="22"/>
          <w:szCs w:val="22"/>
          <w:lang w:val="fr-FR" w:eastAsia="en-GB"/>
        </w:rPr>
      </w:pPr>
      <w:r w:rsidRPr="00036D17">
        <w:rPr>
          <w:rFonts w:cs="Arial"/>
          <w:color w:val="000000"/>
          <w:sz w:val="22"/>
          <w:szCs w:val="22"/>
          <w:lang w:val="fr-FR" w:eastAsia="en-GB"/>
        </w:rPr>
        <w:t>iii)</w:t>
      </w:r>
      <w:r w:rsidRPr="00036D17">
        <w:rPr>
          <w:rFonts w:cs="Arial"/>
          <w:color w:val="000000"/>
          <w:sz w:val="22"/>
          <w:szCs w:val="22"/>
          <w:lang w:val="fr-FR" w:eastAsia="en-GB"/>
        </w:rPr>
        <w:tab/>
      </w:r>
      <w:r>
        <w:rPr>
          <w:rFonts w:cs="Arial"/>
          <w:color w:val="000000"/>
          <w:sz w:val="22"/>
          <w:szCs w:val="22"/>
          <w:lang w:val="fr-FR" w:eastAsia="en-GB"/>
        </w:rPr>
        <w:t>d</w:t>
      </w:r>
      <w:r w:rsidRPr="00036D17">
        <w:rPr>
          <w:rFonts w:cs="Arial"/>
          <w:color w:val="000000"/>
          <w:sz w:val="22"/>
          <w:szCs w:val="22"/>
          <w:lang w:val="fr-FR" w:eastAsia="en-GB"/>
        </w:rPr>
        <w:t xml:space="preserve">e fonctionner dans le cadre du mandat énoncé dans l’Annexe </w:t>
      </w:r>
      <w:r w:rsidR="00806E5E">
        <w:rPr>
          <w:rFonts w:cs="Arial"/>
          <w:color w:val="000000"/>
          <w:sz w:val="22"/>
          <w:szCs w:val="22"/>
          <w:lang w:val="fr-FR" w:eastAsia="en-GB"/>
        </w:rPr>
        <w:t>[  ]</w:t>
      </w:r>
      <w:r w:rsidRPr="00036D17">
        <w:rPr>
          <w:rFonts w:cs="Arial"/>
          <w:color w:val="000000"/>
          <w:sz w:val="22"/>
          <w:szCs w:val="22"/>
          <w:lang w:val="fr-FR" w:eastAsia="en-GB"/>
        </w:rPr>
        <w:t xml:space="preserve"> à la présente résolution;</w:t>
      </w:r>
    </w:p>
    <w:p w:rsidR="00C66A96" w:rsidRPr="00D16DA1" w:rsidRDefault="00C66A96" w:rsidP="00C66A96">
      <w:pPr>
        <w:pStyle w:val="ListParagraph"/>
        <w:ind w:left="0"/>
        <w:rPr>
          <w:rFonts w:cs="Arial"/>
          <w:sz w:val="22"/>
          <w:szCs w:val="22"/>
          <w:lang w:val="fr-FR"/>
        </w:rPr>
      </w:pPr>
    </w:p>
    <w:p w:rsidR="00C66A96" w:rsidRPr="00036D17" w:rsidRDefault="00C66A96" w:rsidP="00C66A96">
      <w:pPr>
        <w:widowControl/>
        <w:autoSpaceDE/>
        <w:autoSpaceDN/>
        <w:adjustRightInd/>
        <w:jc w:val="both"/>
        <w:rPr>
          <w:rFonts w:cs="Arial"/>
          <w:sz w:val="22"/>
          <w:szCs w:val="22"/>
          <w:lang w:val="fr-FR"/>
        </w:rPr>
      </w:pPr>
      <w:r w:rsidRPr="00036D17">
        <w:rPr>
          <w:rFonts w:cs="Arial"/>
          <w:sz w:val="22"/>
          <w:szCs w:val="22"/>
          <w:lang w:val="fr-FR"/>
        </w:rPr>
        <w:t>2</w:t>
      </w:r>
      <w:r>
        <w:rPr>
          <w:rFonts w:cs="Arial"/>
          <w:sz w:val="22"/>
          <w:szCs w:val="22"/>
          <w:lang w:val="fr-FR"/>
        </w:rPr>
        <w:t>0</w:t>
      </w:r>
      <w:r w:rsidRPr="00036D17">
        <w:rPr>
          <w:rFonts w:cs="Arial"/>
          <w:sz w:val="22"/>
          <w:szCs w:val="22"/>
          <w:lang w:val="fr-FR"/>
        </w:rPr>
        <w:tab/>
      </w:r>
      <w:r w:rsidRPr="00036D17">
        <w:rPr>
          <w:rFonts w:cs="Arial"/>
          <w:i/>
          <w:sz w:val="22"/>
          <w:szCs w:val="22"/>
          <w:lang w:val="fr-FR"/>
        </w:rPr>
        <w:t>Confirme</w:t>
      </w:r>
      <w:r w:rsidRPr="00036D17">
        <w:rPr>
          <w:rFonts w:cs="Arial"/>
          <w:sz w:val="22"/>
          <w:szCs w:val="22"/>
          <w:lang w:val="fr-FR"/>
        </w:rPr>
        <w:t xml:space="preserve"> que le Secrétariat de la CMS continuera de fournir des services de secrétariat à l’ASCOBANS et à l’Accord sur les gorilles pendant le prochain exercice triennal</w:t>
      </w:r>
      <w:r>
        <w:rPr>
          <w:rFonts w:cs="Arial"/>
          <w:sz w:val="22"/>
          <w:szCs w:val="22"/>
          <w:lang w:val="fr-FR"/>
        </w:rPr>
        <w:t xml:space="preserve"> et </w:t>
      </w:r>
      <w:r w:rsidRPr="001F32AF">
        <w:rPr>
          <w:rFonts w:cs="Arial"/>
          <w:i/>
          <w:sz w:val="22"/>
          <w:szCs w:val="22"/>
          <w:lang w:val="fr-FR"/>
        </w:rPr>
        <w:t>décide</w:t>
      </w:r>
      <w:r>
        <w:rPr>
          <w:rFonts w:cs="Arial"/>
          <w:sz w:val="22"/>
          <w:szCs w:val="22"/>
          <w:lang w:val="fr-FR"/>
        </w:rPr>
        <w:t xml:space="preserve"> que le Secrétariat de la CMS fera office de Secrétariat permanent du MdE Requins</w:t>
      </w:r>
      <w:r w:rsidRPr="00036D17">
        <w:rPr>
          <w:rFonts w:cs="Arial"/>
          <w:sz w:val="22"/>
          <w:szCs w:val="22"/>
          <w:lang w:val="fr-FR"/>
        </w:rPr>
        <w:t>;</w:t>
      </w:r>
    </w:p>
    <w:p w:rsidR="00C66A96" w:rsidRPr="00036D17" w:rsidRDefault="00C66A96" w:rsidP="00C66A96">
      <w:pPr>
        <w:jc w:val="both"/>
        <w:rPr>
          <w:rFonts w:cs="Arial"/>
          <w:sz w:val="22"/>
          <w:szCs w:val="22"/>
          <w:lang w:val="fr-FR"/>
        </w:rPr>
      </w:pPr>
    </w:p>
    <w:p w:rsidR="00C66A96" w:rsidRPr="00036D17" w:rsidRDefault="00C66A96" w:rsidP="00C66A96">
      <w:pPr>
        <w:contextualSpacing/>
        <w:jc w:val="both"/>
        <w:rPr>
          <w:rFonts w:cs="Arial"/>
          <w:sz w:val="22"/>
          <w:szCs w:val="22"/>
          <w:lang w:val="fr-FR"/>
        </w:rPr>
      </w:pPr>
      <w:r w:rsidRPr="00036D17">
        <w:rPr>
          <w:rFonts w:cs="Arial"/>
          <w:iCs/>
          <w:sz w:val="22"/>
          <w:szCs w:val="22"/>
          <w:lang w:val="fr-FR"/>
        </w:rPr>
        <w:t>2</w:t>
      </w:r>
      <w:r>
        <w:rPr>
          <w:rFonts w:cs="Arial"/>
          <w:iCs/>
          <w:sz w:val="22"/>
          <w:szCs w:val="22"/>
          <w:lang w:val="fr-FR"/>
        </w:rPr>
        <w:t>1</w:t>
      </w:r>
      <w:r w:rsidRPr="00036D17">
        <w:rPr>
          <w:rFonts w:cs="Arial"/>
          <w:iCs/>
          <w:sz w:val="22"/>
          <w:szCs w:val="22"/>
          <w:lang w:val="fr-FR"/>
        </w:rPr>
        <w:t>.</w:t>
      </w:r>
      <w:r w:rsidRPr="00036D17">
        <w:rPr>
          <w:rFonts w:cs="Arial"/>
          <w:iCs/>
          <w:sz w:val="22"/>
          <w:szCs w:val="22"/>
          <w:lang w:val="fr-FR"/>
        </w:rPr>
        <w:tab/>
      </w:r>
      <w:r w:rsidRPr="00036D17">
        <w:rPr>
          <w:rFonts w:cs="Arial"/>
          <w:i/>
          <w:sz w:val="22"/>
          <w:szCs w:val="22"/>
          <w:lang w:val="fr-FR"/>
        </w:rPr>
        <w:t>Demande</w:t>
      </w:r>
      <w:r w:rsidRPr="00036D17">
        <w:rPr>
          <w:rFonts w:cs="Arial"/>
          <w:sz w:val="22"/>
          <w:szCs w:val="22"/>
          <w:lang w:val="fr-FR"/>
        </w:rPr>
        <w:t xml:space="preserve"> au Directeur exécutif du PNUE de continuer à intégrer différents aspects du programme de travail de la Convention dans le programme de travail du PNUE et d’envisager, selon qu’il convient, de fournir un appui financier à des activités spécifiques de la CMS dans ce contexte;</w:t>
      </w:r>
    </w:p>
    <w:p w:rsidR="00C66A96" w:rsidRPr="00036D17" w:rsidRDefault="00C66A96" w:rsidP="00C66A96">
      <w:pPr>
        <w:jc w:val="both"/>
        <w:rPr>
          <w:rFonts w:cs="Arial"/>
          <w:color w:val="000000"/>
          <w:sz w:val="22"/>
          <w:szCs w:val="22"/>
          <w:lang w:val="fr-FR" w:eastAsia="en-GB"/>
        </w:rPr>
      </w:pPr>
    </w:p>
    <w:p w:rsidR="00C66A96" w:rsidRPr="00036D17" w:rsidRDefault="00C66A96" w:rsidP="00C66A96">
      <w:pPr>
        <w:contextualSpacing/>
        <w:jc w:val="both"/>
        <w:rPr>
          <w:rFonts w:cs="Arial"/>
          <w:sz w:val="22"/>
          <w:szCs w:val="22"/>
          <w:lang w:val="fr-FR"/>
        </w:rPr>
      </w:pPr>
      <w:r w:rsidRPr="00036D17">
        <w:rPr>
          <w:rFonts w:cs="Arial"/>
          <w:sz w:val="22"/>
          <w:szCs w:val="22"/>
          <w:lang w:val="fr-FR"/>
        </w:rPr>
        <w:t>2</w:t>
      </w:r>
      <w:r>
        <w:rPr>
          <w:rFonts w:cs="Arial"/>
          <w:sz w:val="22"/>
          <w:szCs w:val="22"/>
          <w:lang w:val="fr-FR"/>
        </w:rPr>
        <w:t>2</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Demande</w:t>
      </w:r>
      <w:r w:rsidRPr="00036D17">
        <w:rPr>
          <w:rFonts w:cs="Arial"/>
          <w:sz w:val="22"/>
          <w:szCs w:val="22"/>
          <w:lang w:val="fr-FR"/>
        </w:rPr>
        <w:t xml:space="preserve"> au Directeur exécutif du PNUE de prolonger la durée du Fonds d’affectation spéciale de la Convention jusqu’au 31 décembre 20</w:t>
      </w:r>
      <w:r>
        <w:rPr>
          <w:rFonts w:cs="Arial"/>
          <w:sz w:val="22"/>
          <w:szCs w:val="22"/>
          <w:lang w:val="fr-FR"/>
        </w:rPr>
        <w:t>20</w:t>
      </w:r>
      <w:r w:rsidRPr="00036D17">
        <w:rPr>
          <w:rFonts w:cs="Arial"/>
          <w:sz w:val="22"/>
          <w:szCs w:val="22"/>
          <w:lang w:val="fr-FR"/>
        </w:rPr>
        <w:t>;</w:t>
      </w:r>
    </w:p>
    <w:p w:rsidR="00C66A96" w:rsidRPr="00036D17" w:rsidRDefault="00C66A96" w:rsidP="00C66A96">
      <w:pPr>
        <w:contextualSpacing/>
        <w:jc w:val="both"/>
        <w:rPr>
          <w:rFonts w:cs="Arial"/>
          <w:sz w:val="22"/>
          <w:szCs w:val="22"/>
          <w:lang w:val="fr-FR"/>
        </w:rPr>
      </w:pPr>
    </w:p>
    <w:p w:rsidR="00C66A96" w:rsidRPr="00036D17" w:rsidRDefault="00C66A96" w:rsidP="00C66A96">
      <w:pPr>
        <w:contextualSpacing/>
        <w:jc w:val="both"/>
        <w:rPr>
          <w:rFonts w:cs="Arial"/>
          <w:sz w:val="22"/>
          <w:szCs w:val="22"/>
          <w:lang w:val="fr-FR"/>
        </w:rPr>
      </w:pPr>
      <w:r>
        <w:rPr>
          <w:rFonts w:cs="Arial"/>
          <w:iCs/>
          <w:sz w:val="22"/>
          <w:szCs w:val="22"/>
          <w:lang w:val="fr-FR"/>
        </w:rPr>
        <w:t>23</w:t>
      </w:r>
      <w:r w:rsidRPr="00036D17">
        <w:rPr>
          <w:rFonts w:cs="Arial"/>
          <w:iCs/>
          <w:sz w:val="22"/>
          <w:szCs w:val="22"/>
          <w:lang w:val="fr-FR"/>
        </w:rPr>
        <w:t>.</w:t>
      </w:r>
      <w:r w:rsidRPr="00036D17">
        <w:rPr>
          <w:rFonts w:cs="Arial"/>
          <w:iCs/>
          <w:sz w:val="22"/>
          <w:szCs w:val="22"/>
          <w:lang w:val="fr-FR"/>
        </w:rPr>
        <w:tab/>
      </w:r>
      <w:r w:rsidRPr="00036D17">
        <w:rPr>
          <w:rFonts w:cs="Arial"/>
          <w:i/>
          <w:sz w:val="22"/>
          <w:szCs w:val="22"/>
          <w:lang w:val="fr-FR"/>
        </w:rPr>
        <w:t>Approuve</w:t>
      </w:r>
      <w:r w:rsidRPr="00036D17">
        <w:rPr>
          <w:rFonts w:cs="Arial"/>
          <w:sz w:val="22"/>
          <w:szCs w:val="22"/>
          <w:lang w:val="fr-FR"/>
        </w:rPr>
        <w:t xml:space="preserve"> le mandat pour l’administration du Fonds d’affectation spéciale, tel qu’énoncé </w:t>
      </w:r>
      <w:r w:rsidR="00C877EE">
        <w:rPr>
          <w:rFonts w:cs="Arial"/>
          <w:sz w:val="22"/>
          <w:szCs w:val="22"/>
          <w:lang w:val="fr-FR"/>
        </w:rPr>
        <w:t>à</w:t>
      </w:r>
      <w:r w:rsidRPr="00036D17">
        <w:rPr>
          <w:rFonts w:cs="Arial"/>
          <w:sz w:val="22"/>
          <w:szCs w:val="22"/>
          <w:lang w:val="fr-FR"/>
        </w:rPr>
        <w:t xml:space="preserve"> l’Annexe </w:t>
      </w:r>
      <w:r w:rsidR="00C877EE">
        <w:rPr>
          <w:rFonts w:cs="Arial"/>
          <w:sz w:val="22"/>
          <w:szCs w:val="22"/>
          <w:lang w:val="fr-FR"/>
        </w:rPr>
        <w:t xml:space="preserve">[  </w:t>
      </w:r>
      <w:r w:rsidRPr="00036D17">
        <w:rPr>
          <w:rFonts w:cs="Arial"/>
          <w:sz w:val="22"/>
          <w:szCs w:val="22"/>
          <w:lang w:val="fr-FR"/>
        </w:rPr>
        <w:t xml:space="preserve"> </w:t>
      </w:r>
      <w:r w:rsidR="00C877EE">
        <w:rPr>
          <w:rFonts w:cs="Arial"/>
          <w:sz w:val="22"/>
          <w:szCs w:val="22"/>
          <w:lang w:val="fr-FR"/>
        </w:rPr>
        <w:t>]</w:t>
      </w:r>
      <w:r w:rsidRPr="00036D17">
        <w:rPr>
          <w:rFonts w:cs="Arial"/>
          <w:sz w:val="22"/>
          <w:szCs w:val="22"/>
          <w:lang w:val="fr-FR"/>
        </w:rPr>
        <w:t xml:space="preserve"> </w:t>
      </w:r>
      <w:r>
        <w:rPr>
          <w:rFonts w:cs="Arial"/>
          <w:sz w:val="22"/>
          <w:szCs w:val="22"/>
          <w:lang w:val="fr-FR"/>
        </w:rPr>
        <w:t>de</w:t>
      </w:r>
      <w:r w:rsidRPr="00036D17">
        <w:rPr>
          <w:rFonts w:cs="Arial"/>
          <w:sz w:val="22"/>
          <w:szCs w:val="22"/>
          <w:lang w:val="fr-FR"/>
        </w:rPr>
        <w:t xml:space="preserve"> la présente résolution, pour la période allant de 201</w:t>
      </w:r>
      <w:r>
        <w:rPr>
          <w:rFonts w:cs="Arial"/>
          <w:sz w:val="22"/>
          <w:szCs w:val="22"/>
          <w:lang w:val="fr-FR"/>
        </w:rPr>
        <w:t>8</w:t>
      </w:r>
      <w:r w:rsidRPr="00036D17">
        <w:rPr>
          <w:rFonts w:cs="Arial"/>
          <w:sz w:val="22"/>
          <w:szCs w:val="22"/>
          <w:lang w:val="fr-FR"/>
        </w:rPr>
        <w:t xml:space="preserve"> à 20</w:t>
      </w:r>
      <w:r>
        <w:rPr>
          <w:rFonts w:cs="Arial"/>
          <w:sz w:val="22"/>
          <w:szCs w:val="22"/>
          <w:lang w:val="fr-FR"/>
        </w:rPr>
        <w:t>20</w:t>
      </w:r>
      <w:r w:rsidRPr="00036D17">
        <w:rPr>
          <w:rFonts w:cs="Arial"/>
          <w:sz w:val="22"/>
          <w:szCs w:val="22"/>
          <w:lang w:val="fr-FR"/>
        </w:rPr>
        <w:t xml:space="preserve">; </w:t>
      </w:r>
    </w:p>
    <w:p w:rsidR="00C66A96" w:rsidRPr="00036D17" w:rsidRDefault="00C66A96" w:rsidP="00C66A96">
      <w:pPr>
        <w:contextualSpacing/>
        <w:jc w:val="both"/>
        <w:rPr>
          <w:rFonts w:cs="Arial"/>
          <w:sz w:val="22"/>
          <w:szCs w:val="22"/>
          <w:lang w:val="fr-FR"/>
        </w:rPr>
      </w:pPr>
    </w:p>
    <w:p w:rsidR="00C66A96" w:rsidRPr="00036D17" w:rsidRDefault="00C877EE" w:rsidP="00C66A96">
      <w:pPr>
        <w:widowControl/>
        <w:autoSpaceDE/>
        <w:autoSpaceDN/>
        <w:adjustRightInd/>
        <w:jc w:val="both"/>
        <w:rPr>
          <w:rFonts w:cs="Arial"/>
          <w:sz w:val="22"/>
          <w:szCs w:val="22"/>
          <w:lang w:val="fr-FR"/>
        </w:rPr>
      </w:pPr>
      <w:r>
        <w:rPr>
          <w:rFonts w:cs="Arial"/>
          <w:iCs/>
          <w:sz w:val="22"/>
          <w:szCs w:val="22"/>
          <w:lang w:val="fr-FR"/>
        </w:rPr>
        <w:t>24</w:t>
      </w:r>
      <w:r w:rsidR="00C66A96" w:rsidRPr="00036D17">
        <w:rPr>
          <w:rFonts w:cs="Arial"/>
          <w:iCs/>
          <w:sz w:val="22"/>
          <w:szCs w:val="22"/>
          <w:lang w:val="fr-FR"/>
        </w:rPr>
        <w:t>.</w:t>
      </w:r>
      <w:r w:rsidR="00C66A96" w:rsidRPr="00036D17">
        <w:rPr>
          <w:rFonts w:cs="Arial"/>
          <w:iCs/>
          <w:sz w:val="22"/>
          <w:szCs w:val="22"/>
          <w:lang w:val="fr-FR"/>
        </w:rPr>
        <w:tab/>
      </w:r>
      <w:r w:rsidR="00C66A96" w:rsidRPr="00036D17">
        <w:rPr>
          <w:rFonts w:cs="Arial"/>
          <w:i/>
          <w:iCs/>
          <w:sz w:val="22"/>
          <w:szCs w:val="22"/>
          <w:lang w:val="fr-FR"/>
        </w:rPr>
        <w:t xml:space="preserve">Décide </w:t>
      </w:r>
      <w:r w:rsidR="00C66A96" w:rsidRPr="00036D17">
        <w:rPr>
          <w:rFonts w:cs="Arial"/>
          <w:sz w:val="22"/>
          <w:szCs w:val="22"/>
          <w:lang w:val="fr-FR"/>
        </w:rPr>
        <w:t xml:space="preserve">que toutes les contributions au Fonds d’affectation spéciale seront réglées en </w:t>
      </w:r>
      <w:r w:rsidR="00557352">
        <w:rPr>
          <w:rFonts w:cs="Arial"/>
          <w:sz w:val="22"/>
          <w:szCs w:val="22"/>
          <w:lang w:val="fr-FR"/>
        </w:rPr>
        <w:t>e</w:t>
      </w:r>
      <w:r w:rsidR="00C66A96" w:rsidRPr="00036D17">
        <w:rPr>
          <w:rFonts w:cs="Arial"/>
          <w:sz w:val="22"/>
          <w:szCs w:val="22"/>
          <w:lang w:val="fr-FR"/>
        </w:rPr>
        <w:t>uros;</w:t>
      </w:r>
    </w:p>
    <w:p w:rsidR="00C66A96" w:rsidRPr="00036D17" w:rsidRDefault="00C66A96" w:rsidP="00C66A96">
      <w:pPr>
        <w:jc w:val="both"/>
        <w:rPr>
          <w:rFonts w:cs="Arial"/>
          <w:sz w:val="22"/>
          <w:szCs w:val="22"/>
          <w:lang w:val="fr-FR"/>
        </w:rPr>
      </w:pPr>
    </w:p>
    <w:p w:rsidR="00C66A96" w:rsidRPr="00036D17" w:rsidRDefault="00C66A96" w:rsidP="00C66A96">
      <w:pPr>
        <w:jc w:val="both"/>
        <w:rPr>
          <w:rFonts w:cs="Arial"/>
          <w:sz w:val="22"/>
          <w:szCs w:val="22"/>
          <w:lang w:val="fr-FR"/>
        </w:rPr>
      </w:pPr>
      <w:r w:rsidRPr="00036D17">
        <w:rPr>
          <w:rFonts w:cs="Arial"/>
          <w:sz w:val="22"/>
          <w:szCs w:val="22"/>
          <w:lang w:val="fr-FR"/>
        </w:rPr>
        <w:t>2</w:t>
      </w:r>
      <w:r w:rsidR="00C877EE">
        <w:rPr>
          <w:rFonts w:cs="Arial"/>
          <w:sz w:val="22"/>
          <w:szCs w:val="22"/>
          <w:lang w:val="fr-FR"/>
        </w:rPr>
        <w:t>5</w:t>
      </w:r>
      <w:r w:rsidRPr="00036D17">
        <w:rPr>
          <w:rFonts w:cs="Arial"/>
          <w:sz w:val="22"/>
          <w:szCs w:val="22"/>
          <w:lang w:val="fr-FR"/>
        </w:rPr>
        <w:t>.</w:t>
      </w:r>
      <w:r w:rsidRPr="00036D17">
        <w:rPr>
          <w:rFonts w:cs="Arial"/>
          <w:sz w:val="22"/>
          <w:szCs w:val="22"/>
          <w:lang w:val="fr-FR"/>
        </w:rPr>
        <w:tab/>
      </w:r>
      <w:r w:rsidRPr="00036D17">
        <w:rPr>
          <w:rFonts w:cs="Arial"/>
          <w:i/>
          <w:sz w:val="22"/>
          <w:szCs w:val="22"/>
          <w:lang w:val="fr-FR"/>
        </w:rPr>
        <w:t>Demande</w:t>
      </w:r>
      <w:r w:rsidRPr="00036D17">
        <w:rPr>
          <w:rFonts w:cs="Arial"/>
          <w:sz w:val="22"/>
          <w:szCs w:val="22"/>
          <w:lang w:val="fr-FR"/>
        </w:rPr>
        <w:t xml:space="preserve"> au Secrétariat de surveiller attentivement les variations des taux de change et d’ajuster le niveau des dépenses, selon que de besoin; et </w:t>
      </w:r>
      <w:r w:rsidRPr="00036D17">
        <w:rPr>
          <w:rFonts w:cs="Arial"/>
          <w:i/>
          <w:sz w:val="22"/>
          <w:szCs w:val="22"/>
          <w:lang w:val="fr-FR"/>
        </w:rPr>
        <w:t>décide</w:t>
      </w:r>
      <w:r w:rsidRPr="00036D17">
        <w:rPr>
          <w:rFonts w:cs="Arial"/>
          <w:sz w:val="22"/>
          <w:szCs w:val="22"/>
          <w:lang w:val="fr-FR"/>
        </w:rPr>
        <w:t xml:space="preserve"> que le Secrétariat, en dernier ressort, peut demander au Comité permanent d’effectuer un prélèvement sur le Fonds d’affectation spéciale, à titre exceptionnel;</w:t>
      </w:r>
    </w:p>
    <w:p w:rsidR="00C66A96" w:rsidRPr="00036D17" w:rsidRDefault="00C66A96" w:rsidP="00C66A96">
      <w:pPr>
        <w:jc w:val="both"/>
        <w:rPr>
          <w:rFonts w:cs="Arial"/>
          <w:sz w:val="22"/>
          <w:szCs w:val="22"/>
          <w:lang w:val="fr-FR"/>
        </w:rPr>
      </w:pPr>
    </w:p>
    <w:p w:rsidR="00C66A96" w:rsidRDefault="00C66A96" w:rsidP="00C66A96">
      <w:pPr>
        <w:widowControl/>
        <w:autoSpaceDE/>
        <w:autoSpaceDN/>
        <w:adjustRightInd/>
        <w:jc w:val="both"/>
        <w:rPr>
          <w:rFonts w:cs="Arial"/>
          <w:bCs/>
          <w:sz w:val="22"/>
          <w:szCs w:val="22"/>
          <w:lang w:val="fr-FR"/>
        </w:rPr>
      </w:pPr>
      <w:r w:rsidRPr="00036D17">
        <w:rPr>
          <w:rFonts w:cs="Arial"/>
          <w:iCs/>
          <w:sz w:val="22"/>
          <w:szCs w:val="22"/>
          <w:lang w:val="fr-FR"/>
        </w:rPr>
        <w:t>2</w:t>
      </w:r>
      <w:r w:rsidR="00C877EE">
        <w:rPr>
          <w:rFonts w:cs="Arial"/>
          <w:iCs/>
          <w:sz w:val="22"/>
          <w:szCs w:val="22"/>
          <w:lang w:val="fr-FR"/>
        </w:rPr>
        <w:t>6</w:t>
      </w:r>
      <w:r w:rsidRPr="00036D17">
        <w:rPr>
          <w:rFonts w:cs="Arial"/>
          <w:iCs/>
          <w:sz w:val="22"/>
          <w:szCs w:val="22"/>
          <w:lang w:val="fr-FR"/>
        </w:rPr>
        <w:t>.</w:t>
      </w:r>
      <w:r w:rsidRPr="00036D17">
        <w:rPr>
          <w:rFonts w:cs="Arial"/>
          <w:iCs/>
          <w:sz w:val="22"/>
          <w:szCs w:val="22"/>
          <w:lang w:val="fr-FR"/>
        </w:rPr>
        <w:tab/>
      </w:r>
      <w:r w:rsidRPr="00036D17">
        <w:rPr>
          <w:rFonts w:cs="Arial"/>
          <w:i/>
          <w:iCs/>
          <w:sz w:val="22"/>
          <w:szCs w:val="22"/>
          <w:lang w:val="fr-FR"/>
        </w:rPr>
        <w:t>Décide également</w:t>
      </w:r>
      <w:r w:rsidRPr="00036D17">
        <w:rPr>
          <w:rFonts w:cs="Arial"/>
          <w:sz w:val="22"/>
          <w:szCs w:val="22"/>
          <w:lang w:val="fr-FR"/>
        </w:rPr>
        <w:t xml:space="preserve"> que le fonds de roulement devrait être maintenu à un niveau constant d’au moins 15% des dépenses annuelles estimées ou de </w:t>
      </w:r>
      <w:r w:rsidRPr="00036D17">
        <w:rPr>
          <w:rFonts w:cs="Arial"/>
          <w:bCs/>
          <w:sz w:val="22"/>
          <w:szCs w:val="22"/>
          <w:lang w:val="fr-FR"/>
        </w:rPr>
        <w:t>500 000 USD, le plus élevé de ces deux montants étant retenu.</w:t>
      </w:r>
    </w:p>
    <w:p w:rsidR="00C877EE" w:rsidRDefault="00C877EE" w:rsidP="00C66A96">
      <w:pPr>
        <w:widowControl/>
        <w:autoSpaceDE/>
        <w:autoSpaceDN/>
        <w:adjustRightInd/>
        <w:jc w:val="both"/>
        <w:rPr>
          <w:rFonts w:cs="Arial"/>
          <w:bCs/>
          <w:sz w:val="22"/>
          <w:szCs w:val="22"/>
          <w:lang w:val="fr-FR"/>
        </w:rPr>
      </w:pPr>
    </w:p>
    <w:p w:rsidR="00C877EE" w:rsidRPr="00036D17" w:rsidRDefault="00C877EE" w:rsidP="00C66A96">
      <w:pPr>
        <w:widowControl/>
        <w:autoSpaceDE/>
        <w:autoSpaceDN/>
        <w:adjustRightInd/>
        <w:jc w:val="both"/>
        <w:rPr>
          <w:rFonts w:cs="Arial"/>
          <w:sz w:val="22"/>
          <w:szCs w:val="22"/>
          <w:lang w:val="fr-FR"/>
        </w:rPr>
      </w:pPr>
      <w:r>
        <w:rPr>
          <w:rFonts w:cs="Arial"/>
          <w:bCs/>
          <w:sz w:val="22"/>
          <w:szCs w:val="22"/>
          <w:lang w:val="fr-FR"/>
        </w:rPr>
        <w:t xml:space="preserve">27. </w:t>
      </w:r>
      <w:r>
        <w:rPr>
          <w:rFonts w:cs="Arial"/>
          <w:bCs/>
          <w:sz w:val="22"/>
          <w:szCs w:val="22"/>
          <w:lang w:val="fr-FR"/>
        </w:rPr>
        <w:tab/>
      </w:r>
      <w:r w:rsidRPr="00C877EE">
        <w:rPr>
          <w:rFonts w:cs="Arial"/>
          <w:bCs/>
          <w:i/>
          <w:sz w:val="22"/>
          <w:szCs w:val="22"/>
          <w:lang w:val="fr-FR"/>
        </w:rPr>
        <w:t>Abroge</w:t>
      </w:r>
      <w:r>
        <w:rPr>
          <w:rFonts w:cs="Arial"/>
          <w:bCs/>
          <w:sz w:val="22"/>
          <w:szCs w:val="22"/>
          <w:lang w:val="fr-FR"/>
        </w:rPr>
        <w:t xml:space="preserve"> la Résolution 11.1, mais les contributions </w:t>
      </w:r>
      <w:r w:rsidR="003F3CAB">
        <w:rPr>
          <w:rFonts w:cs="Arial"/>
          <w:bCs/>
          <w:sz w:val="22"/>
          <w:szCs w:val="22"/>
          <w:lang w:val="fr-FR"/>
        </w:rPr>
        <w:t>ordinaires des P</w:t>
      </w:r>
      <w:r>
        <w:rPr>
          <w:rFonts w:cs="Arial"/>
          <w:bCs/>
          <w:sz w:val="22"/>
          <w:szCs w:val="22"/>
          <w:lang w:val="fr-FR"/>
        </w:rPr>
        <w:t xml:space="preserve">arties </w:t>
      </w:r>
      <w:r w:rsidR="003F3CAB">
        <w:rPr>
          <w:rFonts w:cs="Arial"/>
          <w:bCs/>
          <w:sz w:val="22"/>
          <w:szCs w:val="22"/>
          <w:lang w:val="fr-FR"/>
        </w:rPr>
        <w:t xml:space="preserve">servant à </w:t>
      </w:r>
      <w:r>
        <w:rPr>
          <w:rFonts w:cs="Arial"/>
          <w:bCs/>
          <w:sz w:val="22"/>
          <w:szCs w:val="22"/>
          <w:lang w:val="fr-FR"/>
        </w:rPr>
        <w:t xml:space="preserve">financer le budget 2015-2017 telles qu’établies à l’Annexe II de la Résolution </w:t>
      </w:r>
      <w:r w:rsidR="003F3CAB">
        <w:rPr>
          <w:rFonts w:cs="Arial"/>
          <w:bCs/>
          <w:sz w:val="22"/>
          <w:szCs w:val="22"/>
          <w:lang w:val="fr-FR"/>
        </w:rPr>
        <w:t>sont conservées</w:t>
      </w:r>
      <w:r>
        <w:rPr>
          <w:rFonts w:cs="Arial"/>
          <w:bCs/>
          <w:sz w:val="22"/>
          <w:szCs w:val="22"/>
          <w:lang w:val="fr-FR"/>
        </w:rPr>
        <w:t>.</w:t>
      </w:r>
    </w:p>
    <w:p w:rsidR="0046357C" w:rsidRDefault="0046357C" w:rsidP="00C66A96">
      <w:pPr>
        <w:jc w:val="both"/>
        <w:rPr>
          <w:rFonts w:cs="Arial"/>
          <w:sz w:val="22"/>
          <w:szCs w:val="22"/>
          <w:lang w:val="fr-FR"/>
        </w:rPr>
        <w:sectPr w:rsidR="0046357C" w:rsidSect="00620809">
          <w:headerReference w:type="even" r:id="rId23"/>
          <w:headerReference w:type="default" r:id="rId24"/>
          <w:headerReference w:type="first" r:id="rId25"/>
          <w:endnotePr>
            <w:numFmt w:val="decimal"/>
          </w:endnotePr>
          <w:pgSz w:w="11905" w:h="16837" w:code="9"/>
          <w:pgMar w:top="1008" w:right="1411" w:bottom="1152" w:left="1411" w:header="432" w:footer="432" w:gutter="0"/>
          <w:cols w:space="720"/>
          <w:noEndnote/>
          <w:titlePg/>
          <w:docGrid w:linePitch="272"/>
        </w:sectPr>
      </w:pPr>
    </w:p>
    <w:p w:rsidR="00292B9F" w:rsidRPr="00301628" w:rsidRDefault="00292B9F" w:rsidP="0046357C">
      <w:pPr>
        <w:widowControl/>
        <w:autoSpaceDE/>
        <w:adjustRightInd/>
        <w:jc w:val="right"/>
        <w:rPr>
          <w:rFonts w:cs="Arial"/>
          <w:b/>
          <w:bCs/>
          <w:caps/>
          <w:sz w:val="22"/>
          <w:szCs w:val="22"/>
          <w:lang w:val="fr-FR"/>
        </w:rPr>
      </w:pPr>
      <w:r w:rsidRPr="00301628">
        <w:rPr>
          <w:rFonts w:cs="Arial"/>
          <w:b/>
          <w:caps/>
          <w:sz w:val="22"/>
          <w:szCs w:val="22"/>
          <w:lang w:val="fr-FR"/>
        </w:rPr>
        <w:lastRenderedPageBreak/>
        <w:t>Annex</w:t>
      </w:r>
      <w:r w:rsidR="005303B4" w:rsidRPr="00301628">
        <w:rPr>
          <w:rFonts w:cs="Arial"/>
          <w:b/>
          <w:caps/>
          <w:sz w:val="22"/>
          <w:szCs w:val="22"/>
          <w:lang w:val="fr-FR"/>
        </w:rPr>
        <w:t>E</w:t>
      </w:r>
      <w:r w:rsidRPr="00301628">
        <w:rPr>
          <w:rFonts w:cs="Arial"/>
          <w:b/>
          <w:caps/>
          <w:sz w:val="22"/>
          <w:szCs w:val="22"/>
          <w:lang w:val="fr-FR"/>
        </w:rPr>
        <w:t xml:space="preserve"> </w:t>
      </w:r>
      <w:r w:rsidR="009878EA" w:rsidRPr="00301628">
        <w:rPr>
          <w:rFonts w:cs="Arial"/>
          <w:b/>
          <w:caps/>
          <w:sz w:val="22"/>
          <w:szCs w:val="22"/>
          <w:lang w:val="fr-FR"/>
        </w:rPr>
        <w:t>3 (A)</w:t>
      </w:r>
    </w:p>
    <w:p w:rsidR="00292B9F" w:rsidRPr="00301628" w:rsidRDefault="00292B9F" w:rsidP="00292B9F">
      <w:pPr>
        <w:rPr>
          <w:rFonts w:cs="Arial"/>
          <w:sz w:val="22"/>
          <w:szCs w:val="22"/>
          <w:lang w:val="fr-FR"/>
        </w:rPr>
      </w:pPr>
    </w:p>
    <w:p w:rsidR="00292B9F" w:rsidRPr="00B126CD" w:rsidRDefault="00292B9F" w:rsidP="00292B9F">
      <w:pPr>
        <w:pBdr>
          <w:top w:val="single" w:sz="6" w:space="0" w:color="FFFFFF"/>
          <w:left w:val="single" w:sz="6" w:space="0" w:color="FFFFFF"/>
          <w:bottom w:val="single" w:sz="6" w:space="0" w:color="FFFFFF"/>
          <w:right w:val="single" w:sz="6" w:space="0" w:color="FFFFFF"/>
        </w:pBdr>
        <w:jc w:val="center"/>
        <w:outlineLvl w:val="1"/>
        <w:rPr>
          <w:rFonts w:cs="Arial"/>
          <w:b/>
          <w:color w:val="000000"/>
          <w:sz w:val="22"/>
          <w:szCs w:val="22"/>
          <w:lang w:val="fr-FR" w:eastAsia="en-GB"/>
        </w:rPr>
      </w:pPr>
      <w:r w:rsidRPr="00B126CD">
        <w:rPr>
          <w:rFonts w:cs="Arial"/>
          <w:b/>
          <w:color w:val="000000"/>
          <w:sz w:val="22"/>
          <w:szCs w:val="22"/>
          <w:lang w:val="fr-FR" w:eastAsia="en-GB"/>
        </w:rPr>
        <w:t xml:space="preserve">Budget </w:t>
      </w:r>
      <w:r w:rsidR="00B126CD" w:rsidRPr="00B126CD">
        <w:rPr>
          <w:rFonts w:cs="Arial"/>
          <w:b/>
          <w:color w:val="000000"/>
          <w:sz w:val="22"/>
          <w:szCs w:val="22"/>
          <w:lang w:val="fr-FR" w:eastAsia="en-GB"/>
        </w:rPr>
        <w:t>pour la période triennal</w:t>
      </w:r>
      <w:r w:rsidR="00301628">
        <w:rPr>
          <w:rFonts w:cs="Arial"/>
          <w:b/>
          <w:color w:val="000000"/>
          <w:sz w:val="22"/>
          <w:szCs w:val="22"/>
          <w:lang w:val="fr-FR" w:eastAsia="en-GB"/>
        </w:rPr>
        <w:t>e</w:t>
      </w:r>
      <w:r w:rsidRPr="00B126CD">
        <w:rPr>
          <w:rFonts w:cs="Arial"/>
          <w:b/>
          <w:color w:val="000000"/>
          <w:sz w:val="22"/>
          <w:szCs w:val="22"/>
          <w:lang w:val="fr-FR" w:eastAsia="en-GB"/>
        </w:rPr>
        <w:t xml:space="preserve"> 2018-2020 </w:t>
      </w:r>
    </w:p>
    <w:p w:rsidR="00B126CD" w:rsidRPr="00B126CD" w:rsidRDefault="00B126CD" w:rsidP="00292B9F">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rsidR="00292B9F" w:rsidRPr="00B126CD" w:rsidRDefault="00292B9F" w:rsidP="00292B9F">
      <w:pPr>
        <w:tabs>
          <w:tab w:val="left" w:pos="1020"/>
        </w:tabs>
        <w:rPr>
          <w:rFonts w:cs="Arial"/>
          <w:sz w:val="22"/>
          <w:szCs w:val="22"/>
          <w:lang w:val="fr-FR"/>
        </w:rPr>
      </w:pPr>
      <w:r w:rsidRPr="00B126CD">
        <w:rPr>
          <w:rFonts w:cs="Arial"/>
          <w:sz w:val="22"/>
          <w:szCs w:val="22"/>
          <w:lang w:val="fr-FR"/>
        </w:rPr>
        <w:t>[</w:t>
      </w:r>
      <w:r w:rsidR="00B126CD">
        <w:rPr>
          <w:rFonts w:cs="Arial"/>
          <w:sz w:val="22"/>
          <w:szCs w:val="22"/>
          <w:lang w:val="fr-FR"/>
        </w:rPr>
        <w:t xml:space="preserve">À </w:t>
      </w:r>
      <w:r w:rsidR="00B85477">
        <w:rPr>
          <w:rFonts w:cs="Arial"/>
          <w:sz w:val="22"/>
          <w:szCs w:val="22"/>
          <w:lang w:val="fr-FR"/>
        </w:rPr>
        <w:t>remplir</w:t>
      </w:r>
      <w:r w:rsidR="00B126CD">
        <w:rPr>
          <w:rFonts w:cs="Arial"/>
          <w:sz w:val="22"/>
          <w:szCs w:val="22"/>
          <w:lang w:val="fr-FR"/>
        </w:rPr>
        <w:t xml:space="preserve"> aprè</w:t>
      </w:r>
      <w:r w:rsidR="00B126CD" w:rsidRPr="00B126CD">
        <w:rPr>
          <w:rFonts w:cs="Arial"/>
          <w:sz w:val="22"/>
          <w:szCs w:val="22"/>
          <w:lang w:val="fr-FR"/>
        </w:rPr>
        <w:t>s l’adoption du budget</w:t>
      </w:r>
      <w:r w:rsidRPr="00B126CD">
        <w:rPr>
          <w:rFonts w:cs="Arial"/>
          <w:sz w:val="22"/>
          <w:szCs w:val="22"/>
          <w:lang w:val="fr-FR"/>
        </w:rPr>
        <w:t>]</w:t>
      </w:r>
    </w:p>
    <w:p w:rsidR="00292B9F" w:rsidRPr="00B126CD" w:rsidRDefault="00292B9F" w:rsidP="00292B9F">
      <w:pPr>
        <w:widowControl/>
        <w:autoSpaceDE/>
        <w:adjustRightInd/>
        <w:jc w:val="right"/>
        <w:rPr>
          <w:rFonts w:cs="Arial"/>
          <w:sz w:val="22"/>
          <w:szCs w:val="22"/>
          <w:lang w:val="fr-FR"/>
        </w:rPr>
        <w:sectPr w:rsidR="00292B9F" w:rsidRPr="00B126CD" w:rsidSect="00620809">
          <w:headerReference w:type="first" r:id="rId26"/>
          <w:endnotePr>
            <w:numFmt w:val="decimal"/>
          </w:endnotePr>
          <w:pgSz w:w="11905" w:h="16837" w:code="9"/>
          <w:pgMar w:top="1008" w:right="1411" w:bottom="1152" w:left="1411" w:header="432" w:footer="432" w:gutter="0"/>
          <w:cols w:space="720"/>
          <w:noEndnote/>
          <w:titlePg/>
          <w:docGrid w:linePitch="272"/>
        </w:sectPr>
      </w:pPr>
    </w:p>
    <w:p w:rsidR="00292B9F" w:rsidRPr="00305903" w:rsidRDefault="00292B9F" w:rsidP="00292B9F">
      <w:pPr>
        <w:widowControl/>
        <w:autoSpaceDE/>
        <w:adjustRightInd/>
        <w:jc w:val="right"/>
        <w:rPr>
          <w:rFonts w:cs="Arial"/>
          <w:b/>
          <w:bCs/>
          <w:caps/>
          <w:sz w:val="22"/>
          <w:szCs w:val="22"/>
          <w:lang w:val="fr-FR"/>
        </w:rPr>
      </w:pPr>
      <w:r w:rsidRPr="00305903">
        <w:rPr>
          <w:rFonts w:cs="Arial"/>
          <w:b/>
          <w:caps/>
          <w:sz w:val="22"/>
          <w:szCs w:val="22"/>
          <w:lang w:val="fr-FR"/>
        </w:rPr>
        <w:lastRenderedPageBreak/>
        <w:t>Annex</w:t>
      </w:r>
      <w:r w:rsidR="005303B4" w:rsidRPr="00305903">
        <w:rPr>
          <w:rFonts w:cs="Arial"/>
          <w:b/>
          <w:caps/>
          <w:sz w:val="22"/>
          <w:szCs w:val="22"/>
          <w:lang w:val="fr-FR"/>
        </w:rPr>
        <w:t>E</w:t>
      </w:r>
      <w:r w:rsidRPr="00305903">
        <w:rPr>
          <w:rFonts w:cs="Arial"/>
          <w:b/>
          <w:caps/>
          <w:sz w:val="22"/>
          <w:szCs w:val="22"/>
          <w:lang w:val="fr-FR"/>
        </w:rPr>
        <w:t xml:space="preserve"> </w:t>
      </w:r>
      <w:r w:rsidR="009878EA" w:rsidRPr="00305903">
        <w:rPr>
          <w:rFonts w:cs="Arial"/>
          <w:b/>
          <w:caps/>
          <w:sz w:val="22"/>
          <w:szCs w:val="22"/>
          <w:lang w:val="fr-FR"/>
        </w:rPr>
        <w:t>3</w:t>
      </w:r>
      <w:r w:rsidR="00DF6B58" w:rsidRPr="00305903">
        <w:rPr>
          <w:rFonts w:cs="Arial"/>
          <w:b/>
          <w:caps/>
          <w:sz w:val="22"/>
          <w:szCs w:val="22"/>
          <w:lang w:val="fr-FR"/>
        </w:rPr>
        <w:t xml:space="preserve"> (</w:t>
      </w:r>
      <w:r w:rsidRPr="00305903">
        <w:rPr>
          <w:rFonts w:cs="Arial"/>
          <w:b/>
          <w:caps/>
          <w:sz w:val="22"/>
          <w:szCs w:val="22"/>
          <w:lang w:val="fr-FR"/>
        </w:rPr>
        <w:t>b</w:t>
      </w:r>
      <w:r w:rsidR="00DF6B58" w:rsidRPr="00305903">
        <w:rPr>
          <w:rFonts w:cs="Arial"/>
          <w:b/>
          <w:caps/>
          <w:sz w:val="22"/>
          <w:szCs w:val="22"/>
          <w:lang w:val="fr-FR"/>
        </w:rPr>
        <w:t>)</w:t>
      </w:r>
    </w:p>
    <w:p w:rsidR="00292B9F" w:rsidRPr="00305903" w:rsidRDefault="00292B9F" w:rsidP="00292B9F">
      <w:pPr>
        <w:rPr>
          <w:rFonts w:cs="Arial"/>
          <w:sz w:val="22"/>
          <w:szCs w:val="22"/>
          <w:lang w:val="fr-FR"/>
        </w:rPr>
      </w:pPr>
    </w:p>
    <w:p w:rsidR="00292B9F" w:rsidRPr="00DF0CD1" w:rsidRDefault="00DF0CD1" w:rsidP="00292B9F">
      <w:pPr>
        <w:jc w:val="center"/>
        <w:rPr>
          <w:rFonts w:cs="Arial"/>
          <w:b/>
          <w:color w:val="000000"/>
          <w:sz w:val="22"/>
          <w:szCs w:val="22"/>
          <w:lang w:val="fr-FR" w:eastAsia="en-GB"/>
        </w:rPr>
      </w:pPr>
      <w:r w:rsidRPr="00DF0CD1">
        <w:rPr>
          <w:rFonts w:cs="Arial"/>
          <w:b/>
          <w:color w:val="000000"/>
          <w:sz w:val="22"/>
          <w:szCs w:val="22"/>
          <w:lang w:val="fr-FR" w:eastAsia="en-GB"/>
        </w:rPr>
        <w:t xml:space="preserve">Contributions </w:t>
      </w:r>
      <w:r w:rsidR="008F77A6">
        <w:rPr>
          <w:rFonts w:cs="Arial"/>
          <w:b/>
          <w:color w:val="000000"/>
          <w:sz w:val="22"/>
          <w:szCs w:val="22"/>
          <w:lang w:val="fr-FR" w:eastAsia="en-GB"/>
        </w:rPr>
        <w:t>ordinaires</w:t>
      </w:r>
      <w:r w:rsidRPr="00DF0CD1">
        <w:rPr>
          <w:rFonts w:cs="Arial"/>
          <w:b/>
          <w:color w:val="000000"/>
          <w:sz w:val="22"/>
          <w:szCs w:val="22"/>
          <w:lang w:val="fr-FR" w:eastAsia="en-GB"/>
        </w:rPr>
        <w:t xml:space="preserve"> pour la Convention </w:t>
      </w:r>
      <w:r>
        <w:rPr>
          <w:rFonts w:cs="Arial"/>
          <w:b/>
          <w:color w:val="000000"/>
          <w:sz w:val="22"/>
          <w:szCs w:val="22"/>
          <w:lang w:val="fr-FR" w:eastAsia="en-GB"/>
        </w:rPr>
        <w:t>d</w:t>
      </w:r>
      <w:r w:rsidRPr="00DF0CD1">
        <w:rPr>
          <w:rFonts w:cs="Arial"/>
          <w:b/>
          <w:color w:val="000000"/>
          <w:sz w:val="22"/>
          <w:szCs w:val="22"/>
          <w:lang w:val="fr-FR" w:eastAsia="en-GB"/>
        </w:rPr>
        <w:t xml:space="preserve">urant la période triennale </w:t>
      </w:r>
      <w:r w:rsidR="00292B9F" w:rsidRPr="00DF0CD1">
        <w:rPr>
          <w:rFonts w:cs="Arial"/>
          <w:b/>
          <w:color w:val="000000"/>
          <w:sz w:val="22"/>
          <w:szCs w:val="22"/>
          <w:lang w:val="fr-FR" w:eastAsia="en-GB"/>
        </w:rPr>
        <w:t xml:space="preserve">2018-2020 </w:t>
      </w:r>
    </w:p>
    <w:p w:rsidR="00292B9F" w:rsidRPr="00DF0CD1" w:rsidRDefault="00292B9F" w:rsidP="00292B9F">
      <w:pPr>
        <w:jc w:val="center"/>
        <w:rPr>
          <w:rFonts w:cs="Arial"/>
          <w:sz w:val="22"/>
          <w:szCs w:val="22"/>
          <w:lang w:val="fr-FR"/>
        </w:rPr>
      </w:pPr>
    </w:p>
    <w:p w:rsidR="0079075D" w:rsidRPr="00BF1140" w:rsidRDefault="00292B9F" w:rsidP="00292B9F">
      <w:pPr>
        <w:pStyle w:val="Heading2"/>
        <w:keepNext w:val="0"/>
        <w:ind w:left="-90" w:right="-367"/>
        <w:rPr>
          <w:rFonts w:cs="Arial"/>
          <w:b w:val="0"/>
          <w:bCs w:val="0"/>
          <w:sz w:val="22"/>
          <w:szCs w:val="22"/>
          <w:lang w:val="fr-FR"/>
        </w:rPr>
      </w:pPr>
      <w:r w:rsidRPr="00BF1140">
        <w:rPr>
          <w:rFonts w:cs="Arial"/>
          <w:b w:val="0"/>
          <w:bCs w:val="0"/>
          <w:sz w:val="22"/>
          <w:szCs w:val="22"/>
          <w:lang w:val="fr-FR"/>
        </w:rPr>
        <w:t>[</w:t>
      </w:r>
      <w:r w:rsidR="00BF1140" w:rsidRPr="00BF1140">
        <w:rPr>
          <w:rFonts w:cs="Arial"/>
          <w:b w:val="0"/>
          <w:bCs w:val="0"/>
          <w:sz w:val="22"/>
          <w:szCs w:val="22"/>
          <w:lang w:val="fr-FR"/>
        </w:rPr>
        <w:t>À</w:t>
      </w:r>
      <w:r w:rsidR="00BF1140">
        <w:rPr>
          <w:rFonts w:cs="Arial"/>
          <w:b w:val="0"/>
          <w:bCs w:val="0"/>
          <w:sz w:val="22"/>
          <w:szCs w:val="22"/>
          <w:lang w:val="fr-FR"/>
        </w:rPr>
        <w:t xml:space="preserve"> </w:t>
      </w:r>
      <w:r w:rsidR="00B85477">
        <w:rPr>
          <w:rFonts w:cs="Arial"/>
          <w:b w:val="0"/>
          <w:bCs w:val="0"/>
          <w:sz w:val="22"/>
          <w:szCs w:val="22"/>
          <w:lang w:val="fr-FR"/>
        </w:rPr>
        <w:t>remplir</w:t>
      </w:r>
      <w:r w:rsidR="00BF1140" w:rsidRPr="00BF1140">
        <w:rPr>
          <w:rFonts w:cs="Arial"/>
          <w:b w:val="0"/>
          <w:bCs w:val="0"/>
          <w:sz w:val="22"/>
          <w:szCs w:val="22"/>
          <w:lang w:val="fr-FR"/>
        </w:rPr>
        <w:t xml:space="preserve"> après l’adoption du budget</w:t>
      </w:r>
      <w:r w:rsidRPr="00BF1140">
        <w:rPr>
          <w:rFonts w:cs="Arial"/>
          <w:b w:val="0"/>
          <w:bCs w:val="0"/>
          <w:sz w:val="22"/>
          <w:szCs w:val="22"/>
          <w:lang w:val="fr-FR"/>
        </w:rPr>
        <w:t>]</w:t>
      </w:r>
    </w:p>
    <w:p w:rsidR="00292B9F" w:rsidRPr="00BF1140" w:rsidRDefault="00292B9F" w:rsidP="00292B9F">
      <w:pPr>
        <w:rPr>
          <w:lang w:val="fr-FR"/>
        </w:rPr>
        <w:sectPr w:rsidR="00292B9F" w:rsidRPr="00BF1140" w:rsidSect="00620809">
          <w:headerReference w:type="first" r:id="rId27"/>
          <w:endnotePr>
            <w:numFmt w:val="decimal"/>
          </w:endnotePr>
          <w:pgSz w:w="11905" w:h="16837" w:code="9"/>
          <w:pgMar w:top="1008" w:right="1411" w:bottom="1152" w:left="1411" w:header="432" w:footer="432" w:gutter="0"/>
          <w:cols w:space="720"/>
          <w:noEndnote/>
          <w:titlePg/>
          <w:docGrid w:linePitch="272"/>
        </w:sectPr>
      </w:pPr>
    </w:p>
    <w:p w:rsidR="00292B9F" w:rsidRPr="007E4A0F" w:rsidRDefault="00292B9F" w:rsidP="00292B9F">
      <w:pPr>
        <w:widowControl/>
        <w:autoSpaceDE/>
        <w:adjustRightInd/>
        <w:jc w:val="right"/>
        <w:rPr>
          <w:rFonts w:cs="Arial"/>
          <w:b/>
          <w:bCs/>
          <w:caps/>
          <w:sz w:val="22"/>
          <w:szCs w:val="22"/>
          <w:lang w:val="fr-FR"/>
        </w:rPr>
      </w:pPr>
      <w:r w:rsidRPr="007E4A0F">
        <w:rPr>
          <w:rFonts w:cs="Arial"/>
          <w:b/>
          <w:caps/>
          <w:sz w:val="22"/>
          <w:szCs w:val="22"/>
          <w:lang w:val="fr-FR"/>
        </w:rPr>
        <w:lastRenderedPageBreak/>
        <w:t>Annex</w:t>
      </w:r>
      <w:r w:rsidR="005303B4" w:rsidRPr="007E4A0F">
        <w:rPr>
          <w:rFonts w:cs="Arial"/>
          <w:b/>
          <w:caps/>
          <w:sz w:val="22"/>
          <w:szCs w:val="22"/>
          <w:lang w:val="fr-FR"/>
        </w:rPr>
        <w:t>E</w:t>
      </w:r>
      <w:r w:rsidRPr="007E4A0F">
        <w:rPr>
          <w:rFonts w:cs="Arial"/>
          <w:b/>
          <w:caps/>
          <w:sz w:val="22"/>
          <w:szCs w:val="22"/>
          <w:lang w:val="fr-FR"/>
        </w:rPr>
        <w:t xml:space="preserve"> </w:t>
      </w:r>
      <w:r w:rsidR="009878EA" w:rsidRPr="007E4A0F">
        <w:rPr>
          <w:rFonts w:cs="Arial"/>
          <w:b/>
          <w:caps/>
          <w:sz w:val="22"/>
          <w:szCs w:val="22"/>
          <w:lang w:val="fr-FR"/>
        </w:rPr>
        <w:t>3</w:t>
      </w:r>
      <w:r w:rsidR="00DF6B58" w:rsidRPr="007E4A0F">
        <w:rPr>
          <w:rFonts w:cs="Arial"/>
          <w:b/>
          <w:caps/>
          <w:sz w:val="22"/>
          <w:szCs w:val="22"/>
          <w:lang w:val="fr-FR"/>
        </w:rPr>
        <w:t xml:space="preserve"> (</w:t>
      </w:r>
      <w:r w:rsidRPr="007E4A0F">
        <w:rPr>
          <w:rFonts w:cs="Arial"/>
          <w:b/>
          <w:caps/>
          <w:sz w:val="22"/>
          <w:szCs w:val="22"/>
          <w:lang w:val="fr-FR"/>
        </w:rPr>
        <w:t>c</w:t>
      </w:r>
      <w:r w:rsidR="00DF6B58" w:rsidRPr="007E4A0F">
        <w:rPr>
          <w:rFonts w:cs="Arial"/>
          <w:b/>
          <w:caps/>
          <w:sz w:val="22"/>
          <w:szCs w:val="22"/>
          <w:lang w:val="fr-FR"/>
        </w:rPr>
        <w:t>)</w:t>
      </w:r>
    </w:p>
    <w:p w:rsidR="00292B9F" w:rsidRPr="007E4A0F" w:rsidRDefault="00292B9F" w:rsidP="00292B9F">
      <w:pPr>
        <w:rPr>
          <w:rFonts w:cs="Arial"/>
          <w:sz w:val="22"/>
          <w:szCs w:val="22"/>
          <w:lang w:val="fr-FR"/>
        </w:rPr>
      </w:pPr>
    </w:p>
    <w:p w:rsidR="007E4A0F" w:rsidRPr="007E4A0F" w:rsidRDefault="007E4A0F" w:rsidP="00292B9F">
      <w:pPr>
        <w:jc w:val="center"/>
        <w:rPr>
          <w:rFonts w:cs="Arial"/>
          <w:b/>
          <w:color w:val="000000"/>
          <w:sz w:val="22"/>
          <w:szCs w:val="22"/>
          <w:lang w:val="fr-FR" w:eastAsia="en-GB"/>
        </w:rPr>
      </w:pPr>
    </w:p>
    <w:p w:rsidR="00292B9F" w:rsidRPr="007E4A0F" w:rsidRDefault="007E4A0F" w:rsidP="00292B9F">
      <w:pPr>
        <w:jc w:val="center"/>
        <w:rPr>
          <w:rFonts w:cs="Arial"/>
          <w:b/>
          <w:color w:val="000000"/>
          <w:sz w:val="22"/>
          <w:szCs w:val="22"/>
          <w:lang w:val="fr-FR" w:eastAsia="en-GB"/>
        </w:rPr>
      </w:pPr>
      <w:r w:rsidRPr="007E4A0F">
        <w:rPr>
          <w:rFonts w:cs="Arial"/>
          <w:b/>
          <w:color w:val="000000"/>
          <w:sz w:val="22"/>
          <w:szCs w:val="22"/>
          <w:lang w:val="fr-FR" w:eastAsia="en-GB"/>
        </w:rPr>
        <w:t xml:space="preserve">Mandat du </w:t>
      </w:r>
      <w:r>
        <w:rPr>
          <w:rFonts w:cs="Arial"/>
          <w:b/>
          <w:color w:val="000000"/>
          <w:sz w:val="22"/>
          <w:szCs w:val="22"/>
          <w:lang w:val="fr-FR" w:eastAsia="en-GB"/>
        </w:rPr>
        <w:t>S</w:t>
      </w:r>
      <w:r w:rsidRPr="007E4A0F">
        <w:rPr>
          <w:rFonts w:cs="Arial"/>
          <w:b/>
          <w:color w:val="000000"/>
          <w:sz w:val="22"/>
          <w:szCs w:val="22"/>
          <w:lang w:val="fr-FR" w:eastAsia="en-GB"/>
        </w:rPr>
        <w:t>ous-Comité des finances et du budget</w:t>
      </w:r>
    </w:p>
    <w:p w:rsidR="00292B9F" w:rsidRPr="007E4A0F" w:rsidRDefault="00292B9F" w:rsidP="00292B9F">
      <w:pPr>
        <w:jc w:val="center"/>
        <w:rPr>
          <w:rFonts w:cs="Arial"/>
          <w:b/>
          <w:color w:val="000000"/>
          <w:sz w:val="22"/>
          <w:szCs w:val="22"/>
          <w:lang w:val="fr-FR" w:eastAsia="en-GB"/>
        </w:rPr>
      </w:pPr>
    </w:p>
    <w:p w:rsidR="00292B9F" w:rsidRPr="009F4A8E" w:rsidRDefault="00292B9F" w:rsidP="00292B9F">
      <w:pPr>
        <w:jc w:val="both"/>
        <w:rPr>
          <w:rFonts w:cs="Arial"/>
          <w:i/>
          <w:sz w:val="22"/>
          <w:szCs w:val="22"/>
          <w:lang w:val="en-GB"/>
        </w:rPr>
      </w:pPr>
      <w:r w:rsidRPr="009F4A8E">
        <w:rPr>
          <w:rFonts w:cs="Arial"/>
          <w:sz w:val="22"/>
          <w:szCs w:val="22"/>
          <w:lang w:val="en-GB"/>
        </w:rPr>
        <w:t>1.</w:t>
      </w:r>
      <w:r w:rsidRPr="009F4A8E">
        <w:rPr>
          <w:rFonts w:cs="Arial"/>
          <w:sz w:val="22"/>
          <w:szCs w:val="22"/>
          <w:lang w:val="en-GB"/>
        </w:rPr>
        <w:tab/>
      </w:r>
      <w:r w:rsidRPr="009F4A8E">
        <w:rPr>
          <w:rFonts w:cs="Arial"/>
          <w:i/>
          <w:sz w:val="22"/>
          <w:szCs w:val="22"/>
          <w:lang w:val="en-GB"/>
        </w:rPr>
        <w:t xml:space="preserve">Composition </w:t>
      </w:r>
      <w:r w:rsidR="007E4A0F">
        <w:rPr>
          <w:rFonts w:cs="Arial"/>
          <w:i/>
          <w:sz w:val="22"/>
          <w:szCs w:val="22"/>
          <w:lang w:val="en-GB"/>
        </w:rPr>
        <w:t>du Sous-Comité</w:t>
      </w:r>
      <w:r w:rsidRPr="009F4A8E">
        <w:rPr>
          <w:rFonts w:cs="Arial"/>
          <w:i/>
          <w:sz w:val="22"/>
          <w:szCs w:val="22"/>
          <w:lang w:val="en-GB"/>
        </w:rPr>
        <w:t>:</w:t>
      </w:r>
    </w:p>
    <w:p w:rsidR="00292B9F" w:rsidRPr="009F4A8E" w:rsidRDefault="00292B9F" w:rsidP="00292B9F">
      <w:pPr>
        <w:ind w:left="709" w:hanging="709"/>
        <w:jc w:val="both"/>
        <w:rPr>
          <w:rFonts w:cs="Arial"/>
          <w:sz w:val="22"/>
          <w:szCs w:val="22"/>
          <w:lang w:val="en-GB"/>
        </w:rPr>
      </w:pPr>
    </w:p>
    <w:p w:rsidR="00292B9F" w:rsidRPr="00305903" w:rsidRDefault="007E4A0F" w:rsidP="00AA2D9E">
      <w:pPr>
        <w:pStyle w:val="ListParagraph"/>
        <w:numPr>
          <w:ilvl w:val="0"/>
          <w:numId w:val="9"/>
        </w:numPr>
        <w:ind w:left="720" w:hanging="450"/>
        <w:jc w:val="both"/>
        <w:rPr>
          <w:rFonts w:cs="Arial"/>
          <w:sz w:val="22"/>
          <w:szCs w:val="22"/>
          <w:lang w:val="fr-FR"/>
        </w:rPr>
      </w:pPr>
      <w:r w:rsidRPr="00305903">
        <w:rPr>
          <w:sz w:val="22"/>
          <w:szCs w:val="22"/>
          <w:lang w:val="fr-FR"/>
        </w:rPr>
        <w:t xml:space="preserve">Le Sous-Comité des finances et du budget </w:t>
      </w:r>
      <w:r w:rsidR="008F77A6">
        <w:rPr>
          <w:sz w:val="22"/>
          <w:szCs w:val="22"/>
          <w:lang w:val="fr-FR"/>
        </w:rPr>
        <w:t xml:space="preserve">sera composé de </w:t>
      </w:r>
      <w:r w:rsidR="008F77A6" w:rsidRPr="008F77A6">
        <w:rPr>
          <w:sz w:val="22"/>
          <w:szCs w:val="22"/>
          <w:u w:val="single"/>
          <w:lang w:val="fr-FR"/>
        </w:rPr>
        <w:t>membres du</w:t>
      </w:r>
      <w:r w:rsidR="008F77A6">
        <w:rPr>
          <w:sz w:val="22"/>
          <w:szCs w:val="22"/>
          <w:u w:val="single"/>
          <w:lang w:val="fr-FR"/>
        </w:rPr>
        <w:t xml:space="preserve"> </w:t>
      </w:r>
      <w:r w:rsidRPr="008F77A6">
        <w:rPr>
          <w:sz w:val="22"/>
          <w:szCs w:val="22"/>
          <w:u w:val="single"/>
          <w:lang w:val="fr-FR"/>
        </w:rPr>
        <w:t>Comité</w:t>
      </w:r>
      <w:r w:rsidRPr="00305903">
        <w:rPr>
          <w:sz w:val="22"/>
          <w:szCs w:val="22"/>
          <w:u w:val="single"/>
          <w:lang w:val="fr-FR"/>
        </w:rPr>
        <w:t xml:space="preserve"> permanent</w:t>
      </w:r>
      <w:r w:rsidRPr="00305903">
        <w:rPr>
          <w:sz w:val="22"/>
          <w:szCs w:val="22"/>
          <w:lang w:val="fr-FR"/>
        </w:rPr>
        <w:t xml:space="preserve">, </w:t>
      </w:r>
      <w:r w:rsidR="008F77A6">
        <w:rPr>
          <w:sz w:val="22"/>
          <w:szCs w:val="22"/>
          <w:lang w:val="fr-FR"/>
        </w:rPr>
        <w:t xml:space="preserve">avec un </w:t>
      </w:r>
      <w:r w:rsidR="00D27CD6">
        <w:rPr>
          <w:sz w:val="22"/>
          <w:szCs w:val="22"/>
          <w:lang w:val="fr-FR"/>
        </w:rPr>
        <w:t>représentant de pays provenant de</w:t>
      </w:r>
      <w:r w:rsidRPr="00305903">
        <w:rPr>
          <w:sz w:val="22"/>
          <w:szCs w:val="22"/>
          <w:lang w:val="fr-FR"/>
        </w:rPr>
        <w:t xml:space="preserve"> cha</w:t>
      </w:r>
      <w:r w:rsidR="00D27CD6">
        <w:rPr>
          <w:sz w:val="22"/>
          <w:szCs w:val="22"/>
          <w:lang w:val="fr-FR"/>
        </w:rPr>
        <w:t xml:space="preserve">cune des </w:t>
      </w:r>
      <w:r w:rsidRPr="00305903">
        <w:rPr>
          <w:sz w:val="22"/>
          <w:szCs w:val="22"/>
          <w:lang w:val="fr-FR"/>
        </w:rPr>
        <w:t>région</w:t>
      </w:r>
      <w:r w:rsidR="00D27CD6">
        <w:rPr>
          <w:sz w:val="22"/>
          <w:szCs w:val="22"/>
          <w:lang w:val="fr-FR"/>
        </w:rPr>
        <w:t>s</w:t>
      </w:r>
      <w:r w:rsidRPr="00305903">
        <w:rPr>
          <w:sz w:val="22"/>
          <w:szCs w:val="22"/>
          <w:lang w:val="fr-FR"/>
        </w:rPr>
        <w:t xml:space="preserve"> de la CMS, nommé par l</w:t>
      </w:r>
      <w:r w:rsidR="008F77A6">
        <w:rPr>
          <w:sz w:val="22"/>
          <w:szCs w:val="22"/>
          <w:lang w:val="fr-FR"/>
        </w:rPr>
        <w:t>a</w:t>
      </w:r>
      <w:r w:rsidRPr="00305903">
        <w:rPr>
          <w:sz w:val="22"/>
          <w:szCs w:val="22"/>
          <w:lang w:val="fr-FR"/>
        </w:rPr>
        <w:t xml:space="preserve"> région; et </w:t>
      </w:r>
    </w:p>
    <w:p w:rsidR="00C840D0" w:rsidRPr="00305903" w:rsidRDefault="00C840D0" w:rsidP="00C840D0">
      <w:pPr>
        <w:pStyle w:val="ListParagraph"/>
        <w:ind w:left="1065" w:hanging="450"/>
        <w:jc w:val="both"/>
        <w:rPr>
          <w:rFonts w:cs="Arial"/>
          <w:sz w:val="22"/>
          <w:szCs w:val="22"/>
          <w:lang w:val="fr-FR"/>
        </w:rPr>
      </w:pPr>
    </w:p>
    <w:p w:rsidR="00292B9F" w:rsidRPr="00DA018B" w:rsidRDefault="00292B9F" w:rsidP="00C840D0">
      <w:pPr>
        <w:ind w:left="709" w:hanging="450"/>
        <w:jc w:val="both"/>
        <w:rPr>
          <w:rFonts w:cs="Arial"/>
          <w:sz w:val="22"/>
          <w:szCs w:val="22"/>
          <w:lang w:val="fr-FR"/>
        </w:rPr>
      </w:pPr>
      <w:r w:rsidRPr="00DA018B">
        <w:rPr>
          <w:rFonts w:cs="Arial"/>
          <w:sz w:val="22"/>
          <w:szCs w:val="22"/>
          <w:lang w:val="fr-FR"/>
        </w:rPr>
        <w:t xml:space="preserve">b) </w:t>
      </w:r>
      <w:r w:rsidRPr="00DA018B">
        <w:rPr>
          <w:rFonts w:cs="Arial"/>
          <w:sz w:val="22"/>
          <w:szCs w:val="22"/>
          <w:lang w:val="fr-FR"/>
        </w:rPr>
        <w:tab/>
      </w:r>
      <w:r w:rsidR="007E4A0F" w:rsidRPr="00DA018B">
        <w:rPr>
          <w:rFonts w:cs="Arial"/>
          <w:sz w:val="22"/>
          <w:szCs w:val="22"/>
          <w:lang w:val="fr-FR"/>
        </w:rPr>
        <w:t xml:space="preserve">Le Sous-Comité élit un </w:t>
      </w:r>
      <w:r w:rsidR="00DA018B" w:rsidRPr="00DA018B">
        <w:rPr>
          <w:rFonts w:cs="Arial"/>
          <w:sz w:val="22"/>
          <w:szCs w:val="22"/>
          <w:lang w:val="fr-FR"/>
        </w:rPr>
        <w:t>Président</w:t>
      </w:r>
      <w:r w:rsidR="007E4A0F" w:rsidRPr="00DA018B">
        <w:rPr>
          <w:rFonts w:cs="Arial"/>
          <w:sz w:val="22"/>
          <w:szCs w:val="22"/>
          <w:lang w:val="fr-FR"/>
        </w:rPr>
        <w:t xml:space="preserve"> </w:t>
      </w:r>
      <w:r w:rsidR="00DA018B" w:rsidRPr="00DA018B">
        <w:rPr>
          <w:rFonts w:cs="Arial"/>
          <w:sz w:val="22"/>
          <w:szCs w:val="22"/>
          <w:lang w:val="fr-FR"/>
        </w:rPr>
        <w:t>p</w:t>
      </w:r>
      <w:r w:rsidR="007E4A0F" w:rsidRPr="00DA018B">
        <w:rPr>
          <w:rFonts w:cs="Arial"/>
          <w:sz w:val="22"/>
          <w:szCs w:val="22"/>
          <w:lang w:val="fr-FR"/>
        </w:rPr>
        <w:t>armi ses membres</w:t>
      </w:r>
      <w:r w:rsidRPr="00DA018B">
        <w:rPr>
          <w:rFonts w:cs="Arial"/>
          <w:sz w:val="22"/>
          <w:szCs w:val="22"/>
          <w:lang w:val="fr-FR"/>
        </w:rPr>
        <w:t>.</w:t>
      </w:r>
    </w:p>
    <w:p w:rsidR="00292B9F" w:rsidRPr="00DA018B" w:rsidRDefault="00292B9F" w:rsidP="00292B9F">
      <w:pPr>
        <w:ind w:left="709" w:hanging="709"/>
        <w:jc w:val="both"/>
        <w:rPr>
          <w:rFonts w:cs="Arial"/>
          <w:sz w:val="22"/>
          <w:szCs w:val="22"/>
          <w:lang w:val="fr-FR"/>
        </w:rPr>
      </w:pPr>
    </w:p>
    <w:p w:rsidR="00292B9F" w:rsidRPr="00DA018B" w:rsidRDefault="00292B9F" w:rsidP="00292B9F">
      <w:pPr>
        <w:jc w:val="both"/>
        <w:rPr>
          <w:rFonts w:cs="Arial"/>
          <w:i/>
          <w:sz w:val="22"/>
          <w:szCs w:val="22"/>
          <w:lang w:val="fr-FR"/>
        </w:rPr>
      </w:pPr>
      <w:r w:rsidRPr="00DA018B">
        <w:rPr>
          <w:rFonts w:cs="Arial"/>
          <w:sz w:val="22"/>
          <w:szCs w:val="22"/>
          <w:lang w:val="fr-FR"/>
        </w:rPr>
        <w:t>2.</w:t>
      </w:r>
      <w:r w:rsidRPr="00DA018B">
        <w:rPr>
          <w:rFonts w:cs="Arial"/>
          <w:sz w:val="22"/>
          <w:szCs w:val="22"/>
          <w:lang w:val="fr-FR"/>
        </w:rPr>
        <w:tab/>
      </w:r>
      <w:r w:rsidR="00DA018B" w:rsidRPr="00DA018B">
        <w:rPr>
          <w:i/>
          <w:iCs/>
          <w:sz w:val="22"/>
          <w:szCs w:val="22"/>
          <w:lang w:val="fr-FR"/>
        </w:rPr>
        <w:t>Réunions et mode d</w:t>
      </w:r>
      <w:r w:rsidR="008F77A6">
        <w:rPr>
          <w:i/>
          <w:iCs/>
          <w:sz w:val="22"/>
          <w:szCs w:val="22"/>
          <w:lang w:val="fr-FR"/>
        </w:rPr>
        <w:t xml:space="preserve">e fonctionnement </w:t>
      </w:r>
      <w:r w:rsidR="00DA018B" w:rsidRPr="00DA018B">
        <w:rPr>
          <w:i/>
          <w:iCs/>
          <w:sz w:val="22"/>
          <w:szCs w:val="22"/>
          <w:lang w:val="fr-FR"/>
        </w:rPr>
        <w:t>du Sous-Comité</w:t>
      </w:r>
      <w:r w:rsidRPr="00DA018B">
        <w:rPr>
          <w:rFonts w:cs="Arial"/>
          <w:i/>
          <w:sz w:val="22"/>
          <w:szCs w:val="22"/>
          <w:lang w:val="fr-FR"/>
        </w:rPr>
        <w:t>:</w:t>
      </w:r>
    </w:p>
    <w:p w:rsidR="00292B9F" w:rsidRPr="00DA018B" w:rsidRDefault="00292B9F" w:rsidP="00292B9F">
      <w:pPr>
        <w:ind w:left="709" w:hanging="709"/>
        <w:jc w:val="both"/>
        <w:rPr>
          <w:rFonts w:cs="Arial"/>
          <w:sz w:val="22"/>
          <w:szCs w:val="22"/>
          <w:lang w:val="fr-FR"/>
        </w:rPr>
      </w:pPr>
    </w:p>
    <w:p w:rsidR="00292B9F" w:rsidRPr="00DA018B" w:rsidRDefault="00DA018B" w:rsidP="00AA2D9E">
      <w:pPr>
        <w:numPr>
          <w:ilvl w:val="0"/>
          <w:numId w:val="8"/>
        </w:numPr>
        <w:ind w:hanging="435"/>
        <w:jc w:val="both"/>
        <w:rPr>
          <w:rFonts w:cs="Arial"/>
          <w:sz w:val="22"/>
          <w:szCs w:val="22"/>
          <w:lang w:val="fr-FR"/>
        </w:rPr>
      </w:pPr>
      <w:r w:rsidRPr="00DA018B">
        <w:rPr>
          <w:sz w:val="22"/>
          <w:szCs w:val="22"/>
          <w:lang w:val="fr-FR"/>
        </w:rPr>
        <w:t xml:space="preserve">Le Sous-Comité </w:t>
      </w:r>
      <w:r w:rsidR="008F77A6">
        <w:rPr>
          <w:sz w:val="22"/>
          <w:szCs w:val="22"/>
          <w:lang w:val="fr-FR"/>
        </w:rPr>
        <w:t xml:space="preserve">se réunira </w:t>
      </w:r>
      <w:r w:rsidRPr="00DA018B">
        <w:rPr>
          <w:sz w:val="22"/>
          <w:szCs w:val="22"/>
          <w:lang w:val="fr-FR"/>
        </w:rPr>
        <w:t xml:space="preserve">en session close (c.-à-d. que seulement les membres du Sous-Comité, les observateurs provenant de Parties et le Secrétariat pourront assister) un jour avant chaque réunion du Comité </w:t>
      </w:r>
      <w:r w:rsidR="008F77A6">
        <w:rPr>
          <w:sz w:val="22"/>
          <w:szCs w:val="22"/>
          <w:lang w:val="fr-FR"/>
        </w:rPr>
        <w:t>p</w:t>
      </w:r>
      <w:r w:rsidRPr="00DA018B">
        <w:rPr>
          <w:sz w:val="22"/>
          <w:szCs w:val="22"/>
          <w:lang w:val="fr-FR"/>
        </w:rPr>
        <w:t>ermanent;</w:t>
      </w:r>
      <w:r>
        <w:rPr>
          <w:sz w:val="23"/>
          <w:szCs w:val="23"/>
          <w:lang w:val="fr-FR"/>
        </w:rPr>
        <w:t xml:space="preserve"> et</w:t>
      </w:r>
    </w:p>
    <w:p w:rsidR="00292B9F" w:rsidRPr="00DA018B" w:rsidRDefault="00292B9F" w:rsidP="00C840D0">
      <w:pPr>
        <w:ind w:left="1065" w:hanging="435"/>
        <w:jc w:val="both"/>
        <w:rPr>
          <w:rFonts w:cs="Arial"/>
          <w:sz w:val="22"/>
          <w:szCs w:val="22"/>
          <w:lang w:val="fr-FR"/>
        </w:rPr>
      </w:pPr>
    </w:p>
    <w:p w:rsidR="00292B9F" w:rsidRPr="00305903" w:rsidRDefault="00292B9F" w:rsidP="00C840D0">
      <w:pPr>
        <w:ind w:left="709" w:hanging="435"/>
        <w:jc w:val="both"/>
        <w:rPr>
          <w:rFonts w:cs="Arial"/>
          <w:sz w:val="22"/>
          <w:szCs w:val="22"/>
          <w:lang w:val="fr-FR"/>
        </w:rPr>
      </w:pPr>
      <w:r w:rsidRPr="00DA018B">
        <w:rPr>
          <w:rFonts w:cs="Arial"/>
          <w:sz w:val="22"/>
          <w:szCs w:val="22"/>
          <w:lang w:val="fr-FR"/>
        </w:rPr>
        <w:t xml:space="preserve">b) </w:t>
      </w:r>
      <w:r w:rsidRPr="00DA018B">
        <w:rPr>
          <w:rFonts w:cs="Arial"/>
          <w:sz w:val="22"/>
          <w:szCs w:val="22"/>
          <w:lang w:val="fr-FR"/>
        </w:rPr>
        <w:tab/>
      </w:r>
      <w:r w:rsidR="00DA018B" w:rsidRPr="00DA018B">
        <w:rPr>
          <w:sz w:val="22"/>
          <w:szCs w:val="22"/>
          <w:lang w:val="fr-FR"/>
        </w:rPr>
        <w:t>Les membres du Sous-Comité communiquer</w:t>
      </w:r>
      <w:r w:rsidR="008F77A6">
        <w:rPr>
          <w:sz w:val="22"/>
          <w:szCs w:val="22"/>
          <w:lang w:val="fr-FR"/>
        </w:rPr>
        <w:t>ont</w:t>
      </w:r>
      <w:r w:rsidR="00DA018B" w:rsidRPr="00DA018B">
        <w:rPr>
          <w:sz w:val="22"/>
          <w:szCs w:val="22"/>
          <w:lang w:val="fr-FR"/>
        </w:rPr>
        <w:t xml:space="preserve"> par voie électronique entre les réunions du Comité </w:t>
      </w:r>
      <w:r w:rsidR="00DA018B">
        <w:rPr>
          <w:sz w:val="22"/>
          <w:szCs w:val="22"/>
          <w:lang w:val="fr-FR"/>
        </w:rPr>
        <w:t>p</w:t>
      </w:r>
      <w:r w:rsidR="00DA018B" w:rsidRPr="00DA018B">
        <w:rPr>
          <w:sz w:val="22"/>
          <w:szCs w:val="22"/>
          <w:lang w:val="fr-FR"/>
        </w:rPr>
        <w:t xml:space="preserve">ermanent. </w:t>
      </w:r>
      <w:r w:rsidR="008F77A6">
        <w:rPr>
          <w:rFonts w:cs="Arial"/>
          <w:sz w:val="22"/>
          <w:szCs w:val="22"/>
          <w:lang w:val="fr-FR"/>
        </w:rPr>
        <w:t>À</w:t>
      </w:r>
      <w:r w:rsidR="00DA018B" w:rsidRPr="00DA018B">
        <w:rPr>
          <w:sz w:val="22"/>
          <w:szCs w:val="22"/>
          <w:lang w:val="fr-FR"/>
        </w:rPr>
        <w:t xml:space="preserve"> cette fin, le Secrétariat </w:t>
      </w:r>
      <w:r w:rsidR="008F77A6">
        <w:rPr>
          <w:sz w:val="22"/>
          <w:szCs w:val="22"/>
          <w:lang w:val="fr-FR"/>
        </w:rPr>
        <w:t>établira</w:t>
      </w:r>
      <w:r w:rsidR="00DA018B" w:rsidRPr="00DA018B">
        <w:rPr>
          <w:sz w:val="22"/>
          <w:szCs w:val="22"/>
          <w:lang w:val="fr-FR"/>
        </w:rPr>
        <w:t xml:space="preserve"> un forum sur </w:t>
      </w:r>
      <w:r w:rsidR="003350BA">
        <w:rPr>
          <w:sz w:val="22"/>
          <w:szCs w:val="22"/>
          <w:lang w:val="fr-FR"/>
        </w:rPr>
        <w:t>son site Web qui permettra aux membres de communiquer et d’échanger des</w:t>
      </w:r>
      <w:r w:rsidR="00DA018B" w:rsidRPr="00DA018B">
        <w:rPr>
          <w:sz w:val="22"/>
          <w:szCs w:val="22"/>
          <w:lang w:val="fr-FR"/>
        </w:rPr>
        <w:t xml:space="preserve"> documents, qui pourrai</w:t>
      </w:r>
      <w:r w:rsidR="008F77A6">
        <w:rPr>
          <w:sz w:val="22"/>
          <w:szCs w:val="22"/>
          <w:lang w:val="fr-FR"/>
        </w:rPr>
        <w:t xml:space="preserve">ent être lus </w:t>
      </w:r>
      <w:r w:rsidR="00DA018B" w:rsidRPr="00DA018B">
        <w:rPr>
          <w:sz w:val="22"/>
          <w:szCs w:val="22"/>
          <w:lang w:val="fr-FR"/>
        </w:rPr>
        <w:t xml:space="preserve">par des </w:t>
      </w:r>
      <w:r w:rsidR="008F77A6">
        <w:rPr>
          <w:sz w:val="22"/>
          <w:szCs w:val="22"/>
          <w:lang w:val="fr-FR"/>
        </w:rPr>
        <w:t>Parties non m</w:t>
      </w:r>
      <w:r w:rsidR="003350BA">
        <w:rPr>
          <w:sz w:val="22"/>
          <w:szCs w:val="22"/>
          <w:lang w:val="fr-FR"/>
        </w:rPr>
        <w:t>e</w:t>
      </w:r>
      <w:r w:rsidR="008F77A6">
        <w:rPr>
          <w:sz w:val="22"/>
          <w:szCs w:val="22"/>
          <w:lang w:val="fr-FR"/>
        </w:rPr>
        <w:t>mbres</w:t>
      </w:r>
      <w:r w:rsidR="003350BA">
        <w:rPr>
          <w:sz w:val="22"/>
          <w:szCs w:val="22"/>
          <w:lang w:val="fr-FR"/>
        </w:rPr>
        <w:t xml:space="preserve"> et qui feront connaître leurs</w:t>
      </w:r>
      <w:r w:rsidR="00DA018B" w:rsidRPr="00DA018B">
        <w:rPr>
          <w:sz w:val="22"/>
          <w:szCs w:val="22"/>
          <w:lang w:val="fr-FR"/>
        </w:rPr>
        <w:t xml:space="preserve"> vues à leur représentant régional </w:t>
      </w:r>
      <w:r w:rsidR="003350BA">
        <w:rPr>
          <w:sz w:val="22"/>
          <w:szCs w:val="22"/>
          <w:lang w:val="fr-FR"/>
        </w:rPr>
        <w:t>auprès du</w:t>
      </w:r>
      <w:r w:rsidR="00DA018B" w:rsidRPr="00DA018B">
        <w:rPr>
          <w:sz w:val="22"/>
          <w:szCs w:val="22"/>
          <w:lang w:val="fr-FR"/>
        </w:rPr>
        <w:t xml:space="preserve"> Sous-Comité.</w:t>
      </w:r>
      <w:r w:rsidR="00DA018B" w:rsidRPr="00DA018B">
        <w:rPr>
          <w:sz w:val="23"/>
          <w:szCs w:val="23"/>
          <w:lang w:val="fr-FR"/>
        </w:rPr>
        <w:t xml:space="preserve"> </w:t>
      </w:r>
    </w:p>
    <w:p w:rsidR="00292B9F" w:rsidRPr="00305903" w:rsidRDefault="00292B9F" w:rsidP="00292B9F">
      <w:pPr>
        <w:jc w:val="both"/>
        <w:rPr>
          <w:rFonts w:cs="Arial"/>
          <w:i/>
          <w:sz w:val="22"/>
          <w:szCs w:val="22"/>
          <w:lang w:val="fr-FR"/>
        </w:rPr>
      </w:pPr>
    </w:p>
    <w:p w:rsidR="00292B9F" w:rsidRPr="00DA018B" w:rsidRDefault="00292B9F" w:rsidP="00292B9F">
      <w:pPr>
        <w:jc w:val="both"/>
        <w:rPr>
          <w:rFonts w:cs="Arial"/>
          <w:i/>
          <w:sz w:val="22"/>
          <w:szCs w:val="22"/>
          <w:lang w:val="fr-FR"/>
        </w:rPr>
      </w:pPr>
      <w:r w:rsidRPr="00DA018B">
        <w:rPr>
          <w:rFonts w:cs="Arial"/>
          <w:sz w:val="22"/>
          <w:szCs w:val="22"/>
          <w:lang w:val="fr-FR"/>
        </w:rPr>
        <w:t>3.</w:t>
      </w:r>
      <w:r w:rsidRPr="00DA018B">
        <w:rPr>
          <w:rFonts w:cs="Arial"/>
          <w:sz w:val="22"/>
          <w:szCs w:val="22"/>
          <w:lang w:val="fr-FR"/>
        </w:rPr>
        <w:tab/>
      </w:r>
      <w:r w:rsidRPr="00DA018B">
        <w:rPr>
          <w:rFonts w:cs="Arial"/>
          <w:i/>
          <w:sz w:val="22"/>
          <w:szCs w:val="22"/>
          <w:lang w:val="fr-FR"/>
        </w:rPr>
        <w:t>Respons</w:t>
      </w:r>
      <w:r w:rsidR="00DA018B" w:rsidRPr="00DA018B">
        <w:rPr>
          <w:rFonts w:cs="Arial"/>
          <w:i/>
          <w:sz w:val="22"/>
          <w:szCs w:val="22"/>
          <w:lang w:val="fr-FR"/>
        </w:rPr>
        <w:t>abilités des membr</w:t>
      </w:r>
      <w:r w:rsidR="00DA018B">
        <w:rPr>
          <w:rFonts w:cs="Arial"/>
          <w:i/>
          <w:sz w:val="22"/>
          <w:szCs w:val="22"/>
          <w:lang w:val="fr-FR"/>
        </w:rPr>
        <w:t>e</w:t>
      </w:r>
      <w:r w:rsidR="00DA018B" w:rsidRPr="00DA018B">
        <w:rPr>
          <w:rFonts w:cs="Arial"/>
          <w:i/>
          <w:sz w:val="22"/>
          <w:szCs w:val="22"/>
          <w:lang w:val="fr-FR"/>
        </w:rPr>
        <w:t>s du Sous-Comité</w:t>
      </w:r>
      <w:r w:rsidRPr="00DA018B">
        <w:rPr>
          <w:rFonts w:cs="Arial"/>
          <w:i/>
          <w:sz w:val="22"/>
          <w:szCs w:val="22"/>
          <w:lang w:val="fr-FR"/>
        </w:rPr>
        <w:t>:</w:t>
      </w:r>
    </w:p>
    <w:p w:rsidR="00292B9F" w:rsidRPr="003350BA" w:rsidRDefault="00292B9F" w:rsidP="00292B9F">
      <w:pPr>
        <w:jc w:val="both"/>
        <w:rPr>
          <w:rFonts w:cs="Arial"/>
          <w:sz w:val="22"/>
          <w:szCs w:val="22"/>
          <w:lang w:val="fr-FR"/>
        </w:rPr>
      </w:pPr>
    </w:p>
    <w:p w:rsidR="00292B9F" w:rsidRPr="003350BA" w:rsidRDefault="00DA018B" w:rsidP="00DA018B">
      <w:pPr>
        <w:ind w:left="630"/>
        <w:jc w:val="both"/>
        <w:rPr>
          <w:sz w:val="22"/>
          <w:szCs w:val="22"/>
          <w:lang w:val="fr-FR"/>
        </w:rPr>
      </w:pPr>
      <w:r w:rsidRPr="003350BA">
        <w:rPr>
          <w:sz w:val="22"/>
          <w:szCs w:val="22"/>
          <w:lang w:val="fr-FR"/>
        </w:rPr>
        <w:t xml:space="preserve">Les membres du Sous-Comité </w:t>
      </w:r>
      <w:r w:rsidR="003350BA">
        <w:rPr>
          <w:sz w:val="22"/>
          <w:szCs w:val="22"/>
          <w:lang w:val="fr-FR"/>
        </w:rPr>
        <w:t>recueilleront et p</w:t>
      </w:r>
      <w:r w:rsidR="003350BA" w:rsidRPr="003350BA">
        <w:rPr>
          <w:sz w:val="22"/>
          <w:szCs w:val="22"/>
          <w:lang w:val="fr-FR"/>
        </w:rPr>
        <w:t>résenter</w:t>
      </w:r>
      <w:r w:rsidR="003350BA">
        <w:rPr>
          <w:sz w:val="22"/>
          <w:szCs w:val="22"/>
          <w:lang w:val="fr-FR"/>
        </w:rPr>
        <w:t xml:space="preserve">ont </w:t>
      </w:r>
      <w:r w:rsidRPr="003350BA">
        <w:rPr>
          <w:sz w:val="22"/>
          <w:szCs w:val="22"/>
          <w:lang w:val="fr-FR"/>
        </w:rPr>
        <w:t>les vues de leur région en accomplissant leurs tâches et f</w:t>
      </w:r>
      <w:r w:rsidR="003350BA">
        <w:rPr>
          <w:sz w:val="22"/>
          <w:szCs w:val="22"/>
          <w:lang w:val="fr-FR"/>
        </w:rPr>
        <w:t>eront</w:t>
      </w:r>
      <w:r w:rsidR="007F08BE" w:rsidRPr="003350BA">
        <w:rPr>
          <w:sz w:val="22"/>
          <w:szCs w:val="22"/>
          <w:lang w:val="fr-FR"/>
        </w:rPr>
        <w:t xml:space="preserve"> </w:t>
      </w:r>
      <w:r w:rsidRPr="003350BA">
        <w:rPr>
          <w:sz w:val="22"/>
          <w:szCs w:val="22"/>
          <w:lang w:val="fr-FR"/>
        </w:rPr>
        <w:t xml:space="preserve">rapport à leur région. </w:t>
      </w:r>
    </w:p>
    <w:p w:rsidR="00DA018B" w:rsidRPr="003350BA" w:rsidRDefault="00DA018B" w:rsidP="00DA018B">
      <w:pPr>
        <w:ind w:left="630"/>
        <w:jc w:val="both"/>
        <w:rPr>
          <w:rFonts w:cs="Arial"/>
          <w:sz w:val="22"/>
          <w:szCs w:val="22"/>
          <w:lang w:val="fr-FR"/>
        </w:rPr>
      </w:pPr>
    </w:p>
    <w:p w:rsidR="00292B9F" w:rsidRPr="003350BA" w:rsidRDefault="00292B9F" w:rsidP="00292B9F">
      <w:pPr>
        <w:jc w:val="both"/>
        <w:rPr>
          <w:rFonts w:cs="Arial"/>
          <w:i/>
          <w:sz w:val="22"/>
          <w:szCs w:val="22"/>
          <w:lang w:val="fr-FR"/>
        </w:rPr>
      </w:pPr>
      <w:r w:rsidRPr="003350BA">
        <w:rPr>
          <w:rFonts w:cs="Arial"/>
          <w:sz w:val="22"/>
          <w:szCs w:val="22"/>
          <w:lang w:val="fr-FR"/>
        </w:rPr>
        <w:t>4.</w:t>
      </w:r>
      <w:r w:rsidRPr="003350BA">
        <w:rPr>
          <w:rFonts w:cs="Arial"/>
          <w:sz w:val="22"/>
          <w:szCs w:val="22"/>
          <w:lang w:val="fr-FR"/>
        </w:rPr>
        <w:tab/>
      </w:r>
      <w:r w:rsidRPr="003350BA">
        <w:rPr>
          <w:rFonts w:cs="Arial"/>
          <w:i/>
          <w:sz w:val="22"/>
          <w:szCs w:val="22"/>
          <w:lang w:val="fr-FR"/>
        </w:rPr>
        <w:t>Responsibilit</w:t>
      </w:r>
      <w:r w:rsidR="00DA018B" w:rsidRPr="003350BA">
        <w:rPr>
          <w:rFonts w:cs="Arial"/>
          <w:i/>
          <w:sz w:val="22"/>
          <w:szCs w:val="22"/>
          <w:lang w:val="fr-FR"/>
        </w:rPr>
        <w:t>és du Sous-Comité</w:t>
      </w:r>
      <w:r w:rsidRPr="003350BA">
        <w:rPr>
          <w:rFonts w:cs="Arial"/>
          <w:i/>
          <w:sz w:val="22"/>
          <w:szCs w:val="22"/>
          <w:lang w:val="fr-FR"/>
        </w:rPr>
        <w:t>:</w:t>
      </w:r>
    </w:p>
    <w:p w:rsidR="00292B9F" w:rsidRPr="003350BA" w:rsidRDefault="00292B9F" w:rsidP="00292B9F">
      <w:pPr>
        <w:jc w:val="both"/>
        <w:rPr>
          <w:rFonts w:cs="Arial"/>
          <w:sz w:val="22"/>
          <w:szCs w:val="22"/>
          <w:lang w:val="fr-FR"/>
        </w:rPr>
      </w:pPr>
    </w:p>
    <w:p w:rsidR="00292B9F" w:rsidRPr="003350BA" w:rsidRDefault="00DA018B" w:rsidP="00C840D0">
      <w:pPr>
        <w:ind w:left="630"/>
        <w:jc w:val="both"/>
        <w:rPr>
          <w:rFonts w:cs="Arial"/>
          <w:sz w:val="22"/>
          <w:szCs w:val="22"/>
          <w:lang w:val="fr-FR"/>
        </w:rPr>
      </w:pPr>
      <w:r w:rsidRPr="003350BA">
        <w:rPr>
          <w:sz w:val="22"/>
          <w:szCs w:val="22"/>
          <w:lang w:val="fr-FR"/>
        </w:rPr>
        <w:t>Afin de remplir le mandat de la Résolution Conf. 9.14, le Sous-Comité d</w:t>
      </w:r>
      <w:r w:rsidR="003350BA">
        <w:rPr>
          <w:sz w:val="22"/>
          <w:szCs w:val="22"/>
          <w:lang w:val="fr-FR"/>
        </w:rPr>
        <w:t>evra</w:t>
      </w:r>
      <w:r w:rsidRPr="003350BA">
        <w:rPr>
          <w:sz w:val="22"/>
          <w:szCs w:val="22"/>
          <w:lang w:val="fr-FR"/>
        </w:rPr>
        <w:t xml:space="preserve">: </w:t>
      </w:r>
    </w:p>
    <w:p w:rsidR="00292B9F" w:rsidRPr="00DA018B" w:rsidRDefault="00292B9F" w:rsidP="00292B9F">
      <w:pPr>
        <w:jc w:val="both"/>
        <w:rPr>
          <w:rFonts w:cs="Arial"/>
          <w:sz w:val="22"/>
          <w:szCs w:val="22"/>
          <w:lang w:val="fr-FR"/>
        </w:rPr>
      </w:pPr>
    </w:p>
    <w:p w:rsidR="00DA018B" w:rsidRPr="006125A6" w:rsidRDefault="00DA018B" w:rsidP="00AA2D9E">
      <w:pPr>
        <w:pStyle w:val="ListParagraph"/>
        <w:widowControl/>
        <w:numPr>
          <w:ilvl w:val="0"/>
          <w:numId w:val="6"/>
        </w:numPr>
        <w:rPr>
          <w:rFonts w:cs="Arial"/>
          <w:color w:val="000000"/>
          <w:sz w:val="22"/>
          <w:szCs w:val="22"/>
          <w:lang w:val="fr-FR"/>
        </w:rPr>
      </w:pPr>
      <w:r w:rsidRPr="006125A6">
        <w:rPr>
          <w:rFonts w:cs="Arial"/>
          <w:color w:val="000000"/>
          <w:sz w:val="22"/>
          <w:szCs w:val="22"/>
          <w:lang w:val="fr-FR"/>
        </w:rPr>
        <w:t xml:space="preserve">De manière générale, considérer tous les aspects financiers et budgétaires de la Convention et </w:t>
      </w:r>
      <w:r w:rsidR="003350BA" w:rsidRPr="006125A6">
        <w:rPr>
          <w:rFonts w:cs="Arial"/>
          <w:color w:val="000000"/>
          <w:sz w:val="22"/>
          <w:szCs w:val="22"/>
          <w:lang w:val="fr-FR"/>
        </w:rPr>
        <w:t>formuler des</w:t>
      </w:r>
      <w:r w:rsidRPr="006125A6">
        <w:rPr>
          <w:rFonts w:cs="Arial"/>
          <w:color w:val="000000"/>
          <w:sz w:val="22"/>
          <w:szCs w:val="22"/>
          <w:lang w:val="fr-FR"/>
        </w:rPr>
        <w:t xml:space="preserve"> recommandations </w:t>
      </w:r>
      <w:r w:rsidR="003350BA" w:rsidRPr="006125A6">
        <w:rPr>
          <w:rFonts w:cs="Arial"/>
          <w:color w:val="000000"/>
          <w:sz w:val="22"/>
          <w:szCs w:val="22"/>
          <w:lang w:val="fr-FR"/>
        </w:rPr>
        <w:t>à l’adresse du</w:t>
      </w:r>
      <w:r w:rsidRPr="006125A6">
        <w:rPr>
          <w:rFonts w:cs="Arial"/>
          <w:color w:val="000000"/>
          <w:sz w:val="22"/>
          <w:szCs w:val="22"/>
          <w:lang w:val="fr-FR"/>
        </w:rPr>
        <w:t xml:space="preserve"> Comité Permanent. </w:t>
      </w:r>
      <w:r w:rsidR="00A456E1" w:rsidRPr="006125A6">
        <w:rPr>
          <w:rFonts w:cs="Arial"/>
          <w:color w:val="000000"/>
          <w:sz w:val="22"/>
          <w:szCs w:val="22"/>
          <w:lang w:val="fr-FR"/>
        </w:rPr>
        <w:t>Le Sous-Comité</w:t>
      </w:r>
      <w:r w:rsidRPr="006125A6">
        <w:rPr>
          <w:rFonts w:cs="Arial"/>
          <w:color w:val="000000"/>
          <w:sz w:val="22"/>
          <w:szCs w:val="22"/>
          <w:lang w:val="fr-FR"/>
        </w:rPr>
        <w:t xml:space="preserve"> devra s</w:t>
      </w:r>
      <w:r w:rsidR="00A456E1" w:rsidRPr="006125A6">
        <w:rPr>
          <w:rFonts w:cs="Arial"/>
          <w:color w:val="000000"/>
          <w:sz w:val="22"/>
          <w:szCs w:val="22"/>
          <w:lang w:val="fr-FR"/>
        </w:rPr>
        <w:t>’attacher principalement à assurer la solvabilité de la Convention</w:t>
      </w:r>
      <w:r w:rsidRPr="006125A6">
        <w:rPr>
          <w:rFonts w:cs="Arial"/>
          <w:color w:val="000000"/>
          <w:sz w:val="22"/>
          <w:szCs w:val="22"/>
          <w:lang w:val="fr-FR"/>
        </w:rPr>
        <w:t xml:space="preserve"> tout en fournissant </w:t>
      </w:r>
      <w:r w:rsidR="00A456E1" w:rsidRPr="006125A6">
        <w:rPr>
          <w:rFonts w:cs="Arial"/>
          <w:color w:val="000000"/>
          <w:sz w:val="22"/>
          <w:szCs w:val="22"/>
          <w:lang w:val="fr-FR"/>
        </w:rPr>
        <w:t>les services d’appui essentiels pour le</w:t>
      </w:r>
      <w:r w:rsidRPr="006125A6">
        <w:rPr>
          <w:rFonts w:cs="Arial"/>
          <w:color w:val="000000"/>
          <w:sz w:val="22"/>
          <w:szCs w:val="22"/>
          <w:lang w:val="fr-FR"/>
        </w:rPr>
        <w:t xml:space="preserve"> fonctionnement </w:t>
      </w:r>
      <w:r w:rsidR="00A456E1" w:rsidRPr="006125A6">
        <w:rPr>
          <w:rFonts w:cs="Arial"/>
          <w:color w:val="000000"/>
          <w:sz w:val="22"/>
          <w:szCs w:val="22"/>
          <w:lang w:val="fr-FR"/>
        </w:rPr>
        <w:t xml:space="preserve">efficient et </w:t>
      </w:r>
      <w:r w:rsidRPr="006125A6">
        <w:rPr>
          <w:rFonts w:cs="Arial"/>
          <w:color w:val="000000"/>
          <w:sz w:val="22"/>
          <w:szCs w:val="22"/>
          <w:lang w:val="fr-FR"/>
        </w:rPr>
        <w:t xml:space="preserve">efficace de la Convention; </w:t>
      </w:r>
    </w:p>
    <w:p w:rsidR="00292B9F" w:rsidRPr="006125A6" w:rsidRDefault="00292B9F" w:rsidP="00C840D0">
      <w:pPr>
        <w:ind w:left="709" w:hanging="439"/>
        <w:jc w:val="both"/>
        <w:rPr>
          <w:rFonts w:cs="Arial"/>
          <w:sz w:val="22"/>
          <w:szCs w:val="22"/>
          <w:lang w:val="fr-FR"/>
        </w:rPr>
      </w:pPr>
    </w:p>
    <w:p w:rsidR="00DA018B" w:rsidRPr="006125A6" w:rsidRDefault="007F08BE" w:rsidP="00AA2D9E">
      <w:pPr>
        <w:pStyle w:val="ListParagraph"/>
        <w:widowControl/>
        <w:numPr>
          <w:ilvl w:val="0"/>
          <w:numId w:val="6"/>
        </w:numPr>
        <w:rPr>
          <w:rFonts w:cs="Arial"/>
          <w:color w:val="000000"/>
          <w:sz w:val="22"/>
          <w:szCs w:val="22"/>
          <w:lang w:val="fr-FR"/>
        </w:rPr>
      </w:pPr>
      <w:r w:rsidRPr="006125A6">
        <w:rPr>
          <w:rFonts w:cs="Arial"/>
          <w:color w:val="000000"/>
          <w:sz w:val="22"/>
          <w:szCs w:val="22"/>
          <w:lang w:val="fr-FR"/>
        </w:rPr>
        <w:t>Évaluer</w:t>
      </w:r>
      <w:r w:rsidR="00DA018B" w:rsidRPr="006125A6">
        <w:rPr>
          <w:rFonts w:cs="Arial"/>
          <w:color w:val="000000"/>
          <w:sz w:val="22"/>
          <w:szCs w:val="22"/>
          <w:lang w:val="fr-FR"/>
        </w:rPr>
        <w:t xml:space="preserve"> le programme de travail du Secrétariat et d’autres documents ayant des i</w:t>
      </w:r>
      <w:r w:rsidRPr="006125A6">
        <w:rPr>
          <w:rFonts w:cs="Arial"/>
          <w:color w:val="000000"/>
          <w:sz w:val="22"/>
          <w:szCs w:val="22"/>
          <w:lang w:val="fr-FR"/>
        </w:rPr>
        <w:t>ncidences</w:t>
      </w:r>
      <w:r w:rsidR="00DA018B" w:rsidRPr="006125A6">
        <w:rPr>
          <w:rFonts w:cs="Arial"/>
          <w:color w:val="000000"/>
          <w:sz w:val="22"/>
          <w:szCs w:val="22"/>
          <w:lang w:val="fr-FR"/>
        </w:rPr>
        <w:t xml:space="preserve"> budgétaires relative</w:t>
      </w:r>
      <w:r w:rsidRPr="006125A6">
        <w:rPr>
          <w:rFonts w:cs="Arial"/>
          <w:color w:val="000000"/>
          <w:sz w:val="22"/>
          <w:szCs w:val="22"/>
          <w:lang w:val="fr-FR"/>
        </w:rPr>
        <w:t>ment</w:t>
      </w:r>
      <w:r w:rsidR="00DA018B" w:rsidRPr="006125A6">
        <w:rPr>
          <w:rFonts w:cs="Arial"/>
          <w:color w:val="000000"/>
          <w:sz w:val="22"/>
          <w:szCs w:val="22"/>
          <w:lang w:val="fr-FR"/>
        </w:rPr>
        <w:t xml:space="preserve">: </w:t>
      </w:r>
    </w:p>
    <w:p w:rsidR="007F08BE" w:rsidRPr="006125A6" w:rsidRDefault="007F08BE" w:rsidP="007F08BE">
      <w:pPr>
        <w:pStyle w:val="ListParagraph"/>
        <w:rPr>
          <w:rFonts w:cs="Arial"/>
          <w:color w:val="000000"/>
          <w:sz w:val="22"/>
          <w:szCs w:val="22"/>
          <w:lang w:val="fr-FR"/>
        </w:rPr>
      </w:pPr>
    </w:p>
    <w:p w:rsidR="00DA018B" w:rsidRPr="006125A6" w:rsidRDefault="007F08BE" w:rsidP="00AA2D9E">
      <w:pPr>
        <w:pStyle w:val="ListParagraph"/>
        <w:widowControl/>
        <w:numPr>
          <w:ilvl w:val="3"/>
          <w:numId w:val="6"/>
        </w:numPr>
        <w:spacing w:after="27"/>
        <w:ind w:left="1620" w:hanging="540"/>
        <w:jc w:val="both"/>
        <w:rPr>
          <w:rFonts w:cs="Arial"/>
          <w:color w:val="000000"/>
          <w:sz w:val="22"/>
          <w:szCs w:val="22"/>
          <w:lang w:val="fr-FR"/>
        </w:rPr>
      </w:pPr>
      <w:r w:rsidRPr="006125A6">
        <w:rPr>
          <w:rFonts w:cs="Arial"/>
          <w:color w:val="000000"/>
          <w:sz w:val="22"/>
          <w:szCs w:val="22"/>
          <w:lang w:val="fr-FR"/>
        </w:rPr>
        <w:t>Aux</w:t>
      </w:r>
      <w:r w:rsidR="00DA018B" w:rsidRPr="006125A6">
        <w:rPr>
          <w:rFonts w:cs="Arial"/>
          <w:color w:val="000000"/>
          <w:sz w:val="22"/>
          <w:szCs w:val="22"/>
          <w:lang w:val="fr-FR"/>
        </w:rPr>
        <w:t xml:space="preserve"> devoirs et responsabilités du Secrétariat </w:t>
      </w:r>
      <w:r w:rsidR="003350BA" w:rsidRPr="006125A6">
        <w:rPr>
          <w:rFonts w:cs="Arial"/>
          <w:color w:val="000000"/>
          <w:sz w:val="22"/>
          <w:szCs w:val="22"/>
          <w:lang w:val="fr-FR"/>
        </w:rPr>
        <w:t>énoncés</w:t>
      </w:r>
      <w:r w:rsidR="00DA018B" w:rsidRPr="006125A6">
        <w:rPr>
          <w:rFonts w:cs="Arial"/>
          <w:color w:val="000000"/>
          <w:sz w:val="22"/>
          <w:szCs w:val="22"/>
          <w:lang w:val="fr-FR"/>
        </w:rPr>
        <w:t xml:space="preserve"> dans le texte de la Convention; </w:t>
      </w:r>
      <w:r w:rsidRPr="006125A6">
        <w:rPr>
          <w:rFonts w:cs="Arial"/>
          <w:color w:val="000000"/>
          <w:sz w:val="22"/>
          <w:szCs w:val="22"/>
          <w:lang w:val="fr-FR"/>
        </w:rPr>
        <w:t>et</w:t>
      </w:r>
    </w:p>
    <w:p w:rsidR="007F08BE" w:rsidRPr="006125A6" w:rsidRDefault="00D27CD6" w:rsidP="00AA2D9E">
      <w:pPr>
        <w:pStyle w:val="ListParagraph"/>
        <w:widowControl/>
        <w:numPr>
          <w:ilvl w:val="3"/>
          <w:numId w:val="6"/>
        </w:numPr>
        <w:ind w:left="1620" w:hanging="540"/>
        <w:jc w:val="both"/>
        <w:rPr>
          <w:rFonts w:cs="Arial"/>
          <w:color w:val="000000"/>
          <w:sz w:val="22"/>
          <w:szCs w:val="22"/>
          <w:lang w:val="fr-FR"/>
        </w:rPr>
      </w:pPr>
      <w:r w:rsidRPr="006125A6">
        <w:rPr>
          <w:rFonts w:cs="Arial"/>
          <w:color w:val="000000"/>
          <w:sz w:val="22"/>
          <w:szCs w:val="22"/>
          <w:lang w:val="fr-FR"/>
        </w:rPr>
        <w:t>À</w:t>
      </w:r>
      <w:r w:rsidR="00DA018B" w:rsidRPr="006125A6">
        <w:rPr>
          <w:rFonts w:cs="Arial"/>
          <w:color w:val="000000"/>
          <w:sz w:val="22"/>
          <w:szCs w:val="22"/>
          <w:lang w:val="fr-FR"/>
        </w:rPr>
        <w:t xml:space="preserve"> l’assurance que les activités entreprises par le Secrétariat </w:t>
      </w:r>
      <w:r w:rsidR="005639A2" w:rsidRPr="006125A6">
        <w:rPr>
          <w:rFonts w:cs="Arial"/>
          <w:color w:val="000000"/>
          <w:sz w:val="22"/>
          <w:szCs w:val="22"/>
          <w:lang w:val="fr-FR"/>
        </w:rPr>
        <w:t>au titre du</w:t>
      </w:r>
      <w:r w:rsidR="00DA018B" w:rsidRPr="006125A6">
        <w:rPr>
          <w:rFonts w:cs="Arial"/>
          <w:color w:val="000000"/>
          <w:sz w:val="22"/>
          <w:szCs w:val="22"/>
          <w:lang w:val="fr-FR"/>
        </w:rPr>
        <w:t xml:space="preserve"> budget approuvé soient en accord avec les Résolutions et Décisio</w:t>
      </w:r>
      <w:r w:rsidR="003350BA" w:rsidRPr="006125A6">
        <w:rPr>
          <w:rFonts w:cs="Arial"/>
          <w:color w:val="000000"/>
          <w:sz w:val="22"/>
          <w:szCs w:val="22"/>
          <w:lang w:val="fr-FR"/>
        </w:rPr>
        <w:t>ns de la Conférence des Parties</w:t>
      </w:r>
      <w:r w:rsidR="00DA018B" w:rsidRPr="006125A6">
        <w:rPr>
          <w:rFonts w:cs="Arial"/>
          <w:color w:val="000000"/>
          <w:sz w:val="22"/>
          <w:szCs w:val="22"/>
          <w:lang w:val="fr-FR"/>
        </w:rPr>
        <w:t xml:space="preserve">; </w:t>
      </w:r>
    </w:p>
    <w:p w:rsidR="00292B9F" w:rsidRPr="006125A6" w:rsidRDefault="00292B9F" w:rsidP="007F08BE">
      <w:pPr>
        <w:jc w:val="both"/>
        <w:rPr>
          <w:rFonts w:cs="Arial"/>
          <w:sz w:val="22"/>
          <w:szCs w:val="22"/>
          <w:lang w:val="fr-FR"/>
        </w:rPr>
      </w:pPr>
    </w:p>
    <w:p w:rsidR="00DA018B" w:rsidRPr="006125A6" w:rsidRDefault="009D6252" w:rsidP="00AA2D9E">
      <w:pPr>
        <w:pStyle w:val="ListParagraph"/>
        <w:widowControl/>
        <w:numPr>
          <w:ilvl w:val="0"/>
          <w:numId w:val="6"/>
        </w:numPr>
        <w:rPr>
          <w:rFonts w:cs="Arial"/>
          <w:color w:val="000000"/>
          <w:sz w:val="22"/>
          <w:szCs w:val="22"/>
          <w:lang w:val="fr-FR"/>
        </w:rPr>
      </w:pPr>
      <w:r w:rsidRPr="006125A6">
        <w:rPr>
          <w:rFonts w:cs="Arial"/>
          <w:color w:val="000000"/>
          <w:sz w:val="22"/>
          <w:szCs w:val="22"/>
          <w:lang w:val="fr-FR"/>
        </w:rPr>
        <w:t>Considérer les</w:t>
      </w:r>
      <w:r w:rsidR="00DA018B" w:rsidRPr="006125A6">
        <w:rPr>
          <w:rFonts w:cs="Arial"/>
          <w:color w:val="000000"/>
          <w:sz w:val="22"/>
          <w:szCs w:val="22"/>
          <w:lang w:val="fr-FR"/>
        </w:rPr>
        <w:t xml:space="preserve"> procédures administratives et d’autres aspects du financement et de</w:t>
      </w:r>
      <w:r w:rsidRPr="006125A6">
        <w:rPr>
          <w:rFonts w:cs="Arial"/>
          <w:color w:val="000000"/>
          <w:sz w:val="22"/>
          <w:szCs w:val="22"/>
          <w:lang w:val="fr-FR"/>
        </w:rPr>
        <w:t xml:space="preserve"> la budgétisation de</w:t>
      </w:r>
      <w:r w:rsidR="00DA018B" w:rsidRPr="006125A6">
        <w:rPr>
          <w:rFonts w:cs="Arial"/>
          <w:color w:val="000000"/>
          <w:sz w:val="22"/>
          <w:szCs w:val="22"/>
          <w:lang w:val="fr-FR"/>
        </w:rPr>
        <w:t xml:space="preserve"> la Convention, et f</w:t>
      </w:r>
      <w:r w:rsidR="005639A2" w:rsidRPr="006125A6">
        <w:rPr>
          <w:rFonts w:cs="Arial"/>
          <w:color w:val="000000"/>
          <w:sz w:val="22"/>
          <w:szCs w:val="22"/>
          <w:lang w:val="fr-FR"/>
        </w:rPr>
        <w:t>ormuler des</w:t>
      </w:r>
      <w:r w:rsidR="00DA018B" w:rsidRPr="006125A6">
        <w:rPr>
          <w:rFonts w:cs="Arial"/>
          <w:color w:val="000000"/>
          <w:sz w:val="22"/>
          <w:szCs w:val="22"/>
          <w:lang w:val="fr-FR"/>
        </w:rPr>
        <w:t xml:space="preserve"> recommandations </w:t>
      </w:r>
      <w:r w:rsidR="005639A2" w:rsidRPr="006125A6">
        <w:rPr>
          <w:rFonts w:cs="Arial"/>
          <w:color w:val="000000"/>
          <w:sz w:val="22"/>
          <w:szCs w:val="22"/>
          <w:lang w:val="fr-FR"/>
        </w:rPr>
        <w:t>visant à ce que</w:t>
      </w:r>
      <w:r w:rsidR="007F08BE" w:rsidRPr="006125A6">
        <w:rPr>
          <w:rFonts w:cs="Arial"/>
          <w:color w:val="000000"/>
          <w:sz w:val="22"/>
          <w:szCs w:val="22"/>
          <w:lang w:val="fr-FR"/>
        </w:rPr>
        <w:t xml:space="preserve"> les fonds soient utilisés avec plus d’efficacité;</w:t>
      </w:r>
    </w:p>
    <w:p w:rsidR="00DA018B" w:rsidRPr="006125A6" w:rsidRDefault="00DA018B" w:rsidP="00DA018B">
      <w:pPr>
        <w:pStyle w:val="ListParagraph"/>
        <w:widowControl/>
        <w:ind w:left="1065"/>
        <w:rPr>
          <w:rFonts w:cs="Arial"/>
          <w:color w:val="000000"/>
          <w:sz w:val="22"/>
          <w:szCs w:val="22"/>
          <w:lang w:val="fr-FR"/>
        </w:rPr>
      </w:pPr>
    </w:p>
    <w:p w:rsidR="00DA018B" w:rsidRPr="006125A6" w:rsidRDefault="00DA018B" w:rsidP="00DA018B">
      <w:pPr>
        <w:widowControl/>
        <w:rPr>
          <w:rFonts w:cs="Arial"/>
          <w:color w:val="000000"/>
          <w:sz w:val="22"/>
          <w:szCs w:val="22"/>
          <w:lang w:val="fr-FR"/>
        </w:rPr>
      </w:pPr>
    </w:p>
    <w:p w:rsidR="00DA018B" w:rsidRPr="006125A6" w:rsidRDefault="00DA018B" w:rsidP="00AA2D9E">
      <w:pPr>
        <w:pStyle w:val="ListParagraph"/>
        <w:widowControl/>
        <w:numPr>
          <w:ilvl w:val="0"/>
          <w:numId w:val="6"/>
        </w:numPr>
        <w:rPr>
          <w:rFonts w:cs="Arial"/>
          <w:color w:val="000000"/>
          <w:sz w:val="22"/>
          <w:szCs w:val="22"/>
          <w:lang w:val="fr-FR"/>
        </w:rPr>
      </w:pPr>
      <w:r w:rsidRPr="006125A6">
        <w:rPr>
          <w:rFonts w:cs="Arial"/>
          <w:color w:val="000000"/>
          <w:sz w:val="22"/>
          <w:szCs w:val="22"/>
          <w:lang w:val="fr-FR"/>
        </w:rPr>
        <w:t>Utilis</w:t>
      </w:r>
      <w:r w:rsidR="009D6252" w:rsidRPr="006125A6">
        <w:rPr>
          <w:rFonts w:cs="Arial"/>
          <w:color w:val="000000"/>
          <w:sz w:val="22"/>
          <w:szCs w:val="22"/>
          <w:lang w:val="fr-FR"/>
        </w:rPr>
        <w:t>er</w:t>
      </w:r>
      <w:r w:rsidRPr="006125A6">
        <w:rPr>
          <w:rFonts w:cs="Arial"/>
          <w:color w:val="000000"/>
          <w:sz w:val="22"/>
          <w:szCs w:val="22"/>
          <w:lang w:val="fr-FR"/>
        </w:rPr>
        <w:t xml:space="preserve"> l’information développée à travers les processus décrits dans les paragraphes a) à c): </w:t>
      </w:r>
    </w:p>
    <w:p w:rsidR="00DA018B" w:rsidRPr="00DA018B" w:rsidRDefault="00DA018B" w:rsidP="00DA018B">
      <w:pPr>
        <w:widowControl/>
        <w:rPr>
          <w:rFonts w:cs="Arial"/>
          <w:color w:val="000000"/>
          <w:sz w:val="22"/>
          <w:szCs w:val="22"/>
          <w:lang w:val="fr-FR"/>
        </w:rPr>
      </w:pPr>
    </w:p>
    <w:p w:rsidR="007F08BE" w:rsidRDefault="00DA018B" w:rsidP="009A21EE">
      <w:pPr>
        <w:widowControl/>
        <w:tabs>
          <w:tab w:val="left" w:pos="990"/>
        </w:tabs>
        <w:spacing w:after="27"/>
        <w:ind w:left="990" w:hanging="630"/>
        <w:jc w:val="both"/>
        <w:rPr>
          <w:rFonts w:cs="Arial"/>
          <w:color w:val="000000"/>
          <w:sz w:val="22"/>
          <w:szCs w:val="22"/>
          <w:lang w:val="fr-FR"/>
        </w:rPr>
      </w:pPr>
      <w:r w:rsidRPr="00DA018B">
        <w:rPr>
          <w:rFonts w:cs="Arial"/>
          <w:color w:val="000000"/>
          <w:sz w:val="22"/>
          <w:szCs w:val="22"/>
          <w:lang w:val="fr-FR"/>
        </w:rPr>
        <w:t xml:space="preserve">i) </w:t>
      </w:r>
      <w:r w:rsidR="009A21EE">
        <w:rPr>
          <w:rFonts w:cs="Arial"/>
          <w:color w:val="000000"/>
          <w:sz w:val="22"/>
          <w:szCs w:val="22"/>
          <w:lang w:val="fr-FR"/>
        </w:rPr>
        <w:tab/>
      </w:r>
      <w:r w:rsidRPr="00DA018B">
        <w:rPr>
          <w:rFonts w:cs="Arial"/>
          <w:color w:val="000000"/>
          <w:sz w:val="22"/>
          <w:szCs w:val="22"/>
          <w:lang w:val="fr-FR"/>
        </w:rPr>
        <w:t xml:space="preserve">préparer avec le Secrétariat tous les documents financiers et budgétaires </w:t>
      </w:r>
      <w:r w:rsidR="009D6252">
        <w:rPr>
          <w:rFonts w:cs="Arial"/>
          <w:color w:val="000000"/>
          <w:sz w:val="22"/>
          <w:szCs w:val="22"/>
          <w:lang w:val="fr-FR"/>
        </w:rPr>
        <w:t>à soumettre à l’examen du</w:t>
      </w:r>
      <w:r w:rsidRPr="00DA018B">
        <w:rPr>
          <w:rFonts w:cs="Arial"/>
          <w:color w:val="000000"/>
          <w:sz w:val="22"/>
          <w:szCs w:val="22"/>
          <w:lang w:val="fr-FR"/>
        </w:rPr>
        <w:t xml:space="preserve"> Comité Permanent; </w:t>
      </w:r>
    </w:p>
    <w:p w:rsidR="007F08BE" w:rsidRDefault="00DA018B" w:rsidP="009A21EE">
      <w:pPr>
        <w:widowControl/>
        <w:tabs>
          <w:tab w:val="left" w:pos="990"/>
        </w:tabs>
        <w:spacing w:after="27"/>
        <w:ind w:left="990" w:hanging="630"/>
        <w:jc w:val="both"/>
        <w:rPr>
          <w:rFonts w:cs="Arial"/>
          <w:color w:val="000000"/>
          <w:sz w:val="22"/>
          <w:szCs w:val="22"/>
          <w:lang w:val="fr-FR"/>
        </w:rPr>
      </w:pPr>
      <w:r w:rsidRPr="00DA018B">
        <w:rPr>
          <w:rFonts w:cs="Arial"/>
          <w:color w:val="000000"/>
          <w:sz w:val="22"/>
          <w:szCs w:val="22"/>
          <w:lang w:val="fr-FR"/>
        </w:rPr>
        <w:t xml:space="preserve">ii) </w:t>
      </w:r>
      <w:r w:rsidR="009A21EE">
        <w:rPr>
          <w:rFonts w:cs="Arial"/>
          <w:color w:val="000000"/>
          <w:sz w:val="22"/>
          <w:szCs w:val="22"/>
          <w:lang w:val="fr-FR"/>
        </w:rPr>
        <w:tab/>
      </w:r>
      <w:r w:rsidRPr="00DA018B">
        <w:rPr>
          <w:rFonts w:cs="Arial"/>
          <w:color w:val="000000"/>
          <w:sz w:val="22"/>
          <w:szCs w:val="22"/>
          <w:lang w:val="fr-FR"/>
        </w:rPr>
        <w:t xml:space="preserve">en outre développer le </w:t>
      </w:r>
      <w:r w:rsidR="00D27CD6">
        <w:rPr>
          <w:rFonts w:cs="Arial"/>
          <w:color w:val="000000"/>
          <w:sz w:val="22"/>
          <w:szCs w:val="22"/>
          <w:lang w:val="fr-FR"/>
        </w:rPr>
        <w:t>modèle de présentation du</w:t>
      </w:r>
      <w:r w:rsidRPr="00DA018B">
        <w:rPr>
          <w:rFonts w:cs="Arial"/>
          <w:color w:val="000000"/>
          <w:sz w:val="22"/>
          <w:szCs w:val="22"/>
          <w:lang w:val="fr-FR"/>
        </w:rPr>
        <w:t xml:space="preserve"> rapport afin d’assurer que les rapports financiers soient facilemen</w:t>
      </w:r>
      <w:r w:rsidR="007F08BE">
        <w:rPr>
          <w:rFonts w:cs="Arial"/>
          <w:color w:val="000000"/>
          <w:sz w:val="22"/>
          <w:szCs w:val="22"/>
          <w:lang w:val="fr-FR"/>
        </w:rPr>
        <w:t xml:space="preserve">t compréhensibles et transparents, </w:t>
      </w:r>
      <w:r w:rsidRPr="00DA018B">
        <w:rPr>
          <w:rFonts w:cs="Arial"/>
          <w:color w:val="000000"/>
          <w:sz w:val="22"/>
          <w:szCs w:val="22"/>
          <w:lang w:val="fr-FR"/>
        </w:rPr>
        <w:t xml:space="preserve">et qu’ils permettent de prendre des décisions </w:t>
      </w:r>
      <w:r w:rsidR="009D6252">
        <w:rPr>
          <w:rFonts w:cs="Arial"/>
          <w:color w:val="000000"/>
          <w:sz w:val="22"/>
          <w:szCs w:val="22"/>
          <w:lang w:val="fr-FR"/>
        </w:rPr>
        <w:t xml:space="preserve">éclairées par rapport </w:t>
      </w:r>
      <w:r w:rsidR="0061396C">
        <w:rPr>
          <w:rFonts w:cs="Arial"/>
          <w:color w:val="000000"/>
          <w:sz w:val="22"/>
          <w:szCs w:val="22"/>
          <w:lang w:val="fr-FR"/>
        </w:rPr>
        <w:t>aux résultats fin</w:t>
      </w:r>
      <w:r w:rsidR="000E6759">
        <w:rPr>
          <w:rFonts w:cs="Arial"/>
          <w:color w:val="000000"/>
          <w:sz w:val="22"/>
          <w:szCs w:val="22"/>
          <w:lang w:val="fr-FR"/>
        </w:rPr>
        <w:t>a</w:t>
      </w:r>
      <w:r w:rsidR="0061396C">
        <w:rPr>
          <w:rFonts w:cs="Arial"/>
          <w:color w:val="000000"/>
          <w:sz w:val="22"/>
          <w:szCs w:val="22"/>
          <w:lang w:val="fr-FR"/>
        </w:rPr>
        <w:t>nciers</w:t>
      </w:r>
      <w:r w:rsidRPr="00DA018B">
        <w:rPr>
          <w:rFonts w:cs="Arial"/>
          <w:color w:val="000000"/>
          <w:sz w:val="22"/>
          <w:szCs w:val="22"/>
          <w:lang w:val="fr-FR"/>
        </w:rPr>
        <w:t xml:space="preserve"> de la Convention; </w:t>
      </w:r>
    </w:p>
    <w:p w:rsidR="0061396C" w:rsidRDefault="00DA018B" w:rsidP="009A21EE">
      <w:pPr>
        <w:widowControl/>
        <w:tabs>
          <w:tab w:val="left" w:pos="990"/>
        </w:tabs>
        <w:spacing w:after="27"/>
        <w:ind w:left="990" w:hanging="630"/>
        <w:jc w:val="both"/>
        <w:rPr>
          <w:rFonts w:cs="Arial"/>
          <w:color w:val="000000"/>
          <w:sz w:val="22"/>
          <w:szCs w:val="22"/>
          <w:lang w:val="fr-FR"/>
        </w:rPr>
      </w:pPr>
      <w:r w:rsidRPr="00DA018B">
        <w:rPr>
          <w:rFonts w:cs="Arial"/>
          <w:color w:val="000000"/>
          <w:sz w:val="22"/>
          <w:szCs w:val="22"/>
          <w:lang w:val="fr-FR"/>
        </w:rPr>
        <w:t xml:space="preserve">iii) </w:t>
      </w:r>
      <w:r w:rsidR="009A21EE">
        <w:rPr>
          <w:rFonts w:cs="Arial"/>
          <w:color w:val="000000"/>
          <w:sz w:val="22"/>
          <w:szCs w:val="22"/>
          <w:lang w:val="fr-FR"/>
        </w:rPr>
        <w:tab/>
      </w:r>
      <w:r w:rsidRPr="00DA018B">
        <w:rPr>
          <w:rFonts w:cs="Arial"/>
          <w:color w:val="000000"/>
          <w:sz w:val="22"/>
          <w:szCs w:val="22"/>
          <w:lang w:val="fr-FR"/>
        </w:rPr>
        <w:t xml:space="preserve">faire des recommandations au Comité Permanent sur tous les documents financiers et budgétaires et </w:t>
      </w:r>
      <w:r w:rsidR="0061396C">
        <w:rPr>
          <w:rFonts w:cs="Arial"/>
          <w:color w:val="000000"/>
          <w:sz w:val="22"/>
          <w:szCs w:val="22"/>
          <w:lang w:val="fr-FR"/>
        </w:rPr>
        <w:t xml:space="preserve">les </w:t>
      </w:r>
      <w:r w:rsidRPr="00DA018B">
        <w:rPr>
          <w:rFonts w:cs="Arial"/>
          <w:color w:val="000000"/>
          <w:sz w:val="22"/>
          <w:szCs w:val="22"/>
          <w:lang w:val="fr-FR"/>
        </w:rPr>
        <w:t xml:space="preserve">propositions développées à travers ce processus; et </w:t>
      </w:r>
    </w:p>
    <w:p w:rsidR="00DA018B" w:rsidRPr="00DA018B" w:rsidRDefault="00DA018B" w:rsidP="009A21EE">
      <w:pPr>
        <w:widowControl/>
        <w:tabs>
          <w:tab w:val="left" w:pos="990"/>
        </w:tabs>
        <w:ind w:left="990" w:hanging="630"/>
        <w:jc w:val="both"/>
        <w:rPr>
          <w:rFonts w:cs="Arial"/>
          <w:color w:val="000000"/>
          <w:sz w:val="22"/>
          <w:szCs w:val="22"/>
          <w:lang w:val="fr-FR"/>
        </w:rPr>
      </w:pPr>
      <w:r w:rsidRPr="00DA018B">
        <w:rPr>
          <w:rFonts w:cs="Arial"/>
          <w:color w:val="000000"/>
          <w:sz w:val="22"/>
          <w:szCs w:val="22"/>
          <w:lang w:val="fr-FR"/>
        </w:rPr>
        <w:t xml:space="preserve">iv) </w:t>
      </w:r>
      <w:r w:rsidR="009A21EE">
        <w:rPr>
          <w:rFonts w:cs="Arial"/>
          <w:color w:val="000000"/>
          <w:sz w:val="22"/>
          <w:szCs w:val="22"/>
          <w:lang w:val="fr-FR"/>
        </w:rPr>
        <w:tab/>
      </w:r>
      <w:r w:rsidRPr="00DA018B">
        <w:rPr>
          <w:rFonts w:cs="Arial"/>
          <w:color w:val="000000"/>
          <w:sz w:val="22"/>
          <w:szCs w:val="22"/>
          <w:lang w:val="fr-FR"/>
        </w:rPr>
        <w:t>par ailleurs</w:t>
      </w:r>
      <w:r w:rsidR="0061396C">
        <w:rPr>
          <w:rFonts w:cs="Arial"/>
          <w:color w:val="000000"/>
          <w:sz w:val="22"/>
          <w:szCs w:val="22"/>
          <w:lang w:val="fr-FR"/>
        </w:rPr>
        <w:t>,</w:t>
      </w:r>
      <w:r w:rsidRPr="00DA018B">
        <w:rPr>
          <w:rFonts w:cs="Arial"/>
          <w:color w:val="000000"/>
          <w:sz w:val="22"/>
          <w:szCs w:val="22"/>
          <w:lang w:val="fr-FR"/>
        </w:rPr>
        <w:t xml:space="preserve"> a</w:t>
      </w:r>
      <w:r w:rsidR="0061396C">
        <w:rPr>
          <w:rFonts w:cs="Arial"/>
          <w:color w:val="000000"/>
          <w:sz w:val="22"/>
          <w:szCs w:val="22"/>
          <w:lang w:val="fr-FR"/>
        </w:rPr>
        <w:t>ider le</w:t>
      </w:r>
      <w:r w:rsidRPr="00DA018B">
        <w:rPr>
          <w:rFonts w:cs="Arial"/>
          <w:color w:val="000000"/>
          <w:sz w:val="22"/>
          <w:szCs w:val="22"/>
          <w:lang w:val="fr-FR"/>
        </w:rPr>
        <w:t xml:space="preserve"> Comité </w:t>
      </w:r>
      <w:r w:rsidR="0061396C">
        <w:rPr>
          <w:rFonts w:cs="Arial"/>
          <w:color w:val="000000"/>
          <w:sz w:val="22"/>
          <w:szCs w:val="22"/>
          <w:lang w:val="fr-FR"/>
        </w:rPr>
        <w:t>p</w:t>
      </w:r>
      <w:r w:rsidRPr="00DA018B">
        <w:rPr>
          <w:rFonts w:cs="Arial"/>
          <w:color w:val="000000"/>
          <w:sz w:val="22"/>
          <w:szCs w:val="22"/>
          <w:lang w:val="fr-FR"/>
        </w:rPr>
        <w:t xml:space="preserve">ermanent </w:t>
      </w:r>
      <w:r w:rsidR="0061396C">
        <w:rPr>
          <w:rFonts w:cs="Arial"/>
          <w:color w:val="000000"/>
          <w:sz w:val="22"/>
          <w:szCs w:val="22"/>
          <w:lang w:val="fr-FR"/>
        </w:rPr>
        <w:t xml:space="preserve">à </w:t>
      </w:r>
      <w:r w:rsidR="007D56D0">
        <w:rPr>
          <w:rFonts w:cs="Arial"/>
          <w:color w:val="000000"/>
          <w:sz w:val="22"/>
          <w:szCs w:val="22"/>
          <w:lang w:val="fr-FR"/>
        </w:rPr>
        <w:t>donner un aperçu</w:t>
      </w:r>
      <w:r w:rsidRPr="00DA018B">
        <w:rPr>
          <w:rFonts w:cs="Arial"/>
          <w:color w:val="000000"/>
          <w:sz w:val="22"/>
          <w:szCs w:val="22"/>
          <w:lang w:val="fr-FR"/>
        </w:rPr>
        <w:t xml:space="preserve"> des </w:t>
      </w:r>
      <w:r w:rsidR="0061396C">
        <w:rPr>
          <w:rFonts w:cs="Arial"/>
          <w:color w:val="000000"/>
          <w:sz w:val="22"/>
          <w:szCs w:val="22"/>
          <w:lang w:val="fr-FR"/>
        </w:rPr>
        <w:t>questions</w:t>
      </w:r>
      <w:r w:rsidRPr="00DA018B">
        <w:rPr>
          <w:rFonts w:cs="Arial"/>
          <w:color w:val="000000"/>
          <w:sz w:val="22"/>
          <w:szCs w:val="22"/>
          <w:lang w:val="fr-FR"/>
        </w:rPr>
        <w:t xml:space="preserve"> financières et budgétaires, y compris </w:t>
      </w:r>
      <w:r w:rsidR="007D56D0">
        <w:rPr>
          <w:rFonts w:cs="Arial"/>
          <w:color w:val="000000"/>
          <w:sz w:val="22"/>
          <w:szCs w:val="22"/>
          <w:lang w:val="fr-FR"/>
        </w:rPr>
        <w:t>à préparer des</w:t>
      </w:r>
      <w:r w:rsidRPr="00DA018B">
        <w:rPr>
          <w:rFonts w:cs="Arial"/>
          <w:color w:val="000000"/>
          <w:sz w:val="22"/>
          <w:szCs w:val="22"/>
          <w:lang w:val="fr-FR"/>
        </w:rPr>
        <w:t xml:space="preserve"> documents pour les réunions de la Conférence des Parties; </w:t>
      </w:r>
    </w:p>
    <w:p w:rsidR="00DA018B" w:rsidRPr="00DA018B" w:rsidRDefault="00DA018B" w:rsidP="00DA018B">
      <w:pPr>
        <w:widowControl/>
        <w:rPr>
          <w:rFonts w:cs="Arial"/>
          <w:color w:val="000000"/>
          <w:sz w:val="22"/>
          <w:szCs w:val="22"/>
          <w:lang w:val="fr-FR"/>
        </w:rPr>
      </w:pPr>
    </w:p>
    <w:p w:rsidR="00C840D0" w:rsidRPr="009A21EE" w:rsidRDefault="00DA018B" w:rsidP="009A21EE">
      <w:pPr>
        <w:widowControl/>
        <w:tabs>
          <w:tab w:val="left" w:pos="1080"/>
        </w:tabs>
        <w:ind w:left="1080" w:hanging="720"/>
        <w:rPr>
          <w:rFonts w:cs="Arial"/>
          <w:color w:val="000000"/>
          <w:sz w:val="22"/>
          <w:szCs w:val="22"/>
          <w:lang w:val="fr-FR"/>
        </w:rPr>
      </w:pPr>
      <w:r w:rsidRPr="00DA018B">
        <w:rPr>
          <w:rFonts w:cs="Arial"/>
          <w:color w:val="000000"/>
          <w:sz w:val="22"/>
          <w:szCs w:val="22"/>
          <w:lang w:val="fr-FR"/>
        </w:rPr>
        <w:t xml:space="preserve">e) </w:t>
      </w:r>
      <w:r w:rsidR="009A21EE">
        <w:rPr>
          <w:rFonts w:cs="Arial"/>
          <w:color w:val="000000"/>
          <w:sz w:val="22"/>
          <w:szCs w:val="22"/>
          <w:lang w:val="fr-FR"/>
        </w:rPr>
        <w:tab/>
      </w:r>
      <w:r w:rsidRPr="007F08BE">
        <w:rPr>
          <w:rFonts w:cs="Arial"/>
          <w:color w:val="000000"/>
          <w:sz w:val="22"/>
          <w:szCs w:val="22"/>
          <w:u w:val="single"/>
          <w:lang w:val="fr-FR"/>
        </w:rPr>
        <w:t>Tous les six mois</w:t>
      </w:r>
      <w:r w:rsidRPr="00DA018B">
        <w:rPr>
          <w:rFonts w:cs="Arial"/>
          <w:color w:val="000000"/>
          <w:sz w:val="22"/>
          <w:szCs w:val="22"/>
          <w:lang w:val="fr-FR"/>
        </w:rPr>
        <w:t>, le Secrétariat d</w:t>
      </w:r>
      <w:r w:rsidR="0061396C">
        <w:rPr>
          <w:rFonts w:cs="Arial"/>
          <w:color w:val="000000"/>
          <w:sz w:val="22"/>
          <w:szCs w:val="22"/>
          <w:lang w:val="fr-FR"/>
        </w:rPr>
        <w:t>evra</w:t>
      </w:r>
      <w:r w:rsidRPr="00DA018B">
        <w:rPr>
          <w:rFonts w:cs="Arial"/>
          <w:color w:val="000000"/>
          <w:sz w:val="22"/>
          <w:szCs w:val="22"/>
          <w:lang w:val="fr-FR"/>
        </w:rPr>
        <w:t xml:space="preserve"> envoyer par voie électronique à tous les membres du Comité permanent un rapport qui identifie et explique toute dépense prévue qui d</w:t>
      </w:r>
      <w:r w:rsidR="007F08BE">
        <w:rPr>
          <w:rFonts w:cs="Arial"/>
          <w:color w:val="000000"/>
          <w:sz w:val="22"/>
          <w:szCs w:val="22"/>
          <w:lang w:val="fr-FR"/>
        </w:rPr>
        <w:t>épasse le</w:t>
      </w:r>
      <w:r w:rsidRPr="00DA018B">
        <w:rPr>
          <w:rFonts w:cs="Arial"/>
          <w:color w:val="000000"/>
          <w:sz w:val="22"/>
          <w:szCs w:val="22"/>
          <w:lang w:val="fr-FR"/>
        </w:rPr>
        <w:t xml:space="preserve"> budget approuvé de plus de 20% pour la totalité des coûts de personnel ou</w:t>
      </w:r>
      <w:r w:rsidR="007D56D0">
        <w:rPr>
          <w:rFonts w:cs="Arial"/>
          <w:color w:val="000000"/>
          <w:sz w:val="22"/>
          <w:szCs w:val="22"/>
          <w:lang w:val="fr-FR"/>
        </w:rPr>
        <w:t>,</w:t>
      </w:r>
      <w:r w:rsidRPr="00DA018B">
        <w:rPr>
          <w:rFonts w:cs="Arial"/>
          <w:color w:val="000000"/>
          <w:sz w:val="22"/>
          <w:szCs w:val="22"/>
          <w:lang w:val="fr-FR"/>
        </w:rPr>
        <w:t xml:space="preserve"> </w:t>
      </w:r>
      <w:r w:rsidR="007D56D0" w:rsidRPr="007D56D0">
        <w:rPr>
          <w:rFonts w:cs="Arial"/>
          <w:color w:val="000000"/>
          <w:sz w:val="22"/>
          <w:szCs w:val="22"/>
          <w:u w:val="single"/>
          <w:lang w:val="fr-FR"/>
        </w:rPr>
        <w:t>s’il s’agit de</w:t>
      </w:r>
      <w:r w:rsidRPr="00DA018B">
        <w:rPr>
          <w:rFonts w:cs="Arial"/>
          <w:color w:val="000000"/>
          <w:sz w:val="22"/>
          <w:szCs w:val="22"/>
          <w:lang w:val="fr-FR"/>
        </w:rPr>
        <w:t xml:space="preserve"> coûts </w:t>
      </w:r>
      <w:r w:rsidR="007F08BE">
        <w:rPr>
          <w:rFonts w:cs="Arial"/>
          <w:color w:val="000000"/>
          <w:sz w:val="22"/>
          <w:szCs w:val="22"/>
          <w:lang w:val="fr-FR"/>
        </w:rPr>
        <w:t>hors</w:t>
      </w:r>
      <w:r w:rsidRPr="00DA018B">
        <w:rPr>
          <w:rFonts w:cs="Arial"/>
          <w:color w:val="000000"/>
          <w:sz w:val="22"/>
          <w:szCs w:val="22"/>
          <w:lang w:val="fr-FR"/>
        </w:rPr>
        <w:t xml:space="preserve"> personnel</w:t>
      </w:r>
      <w:r w:rsidR="0061396C">
        <w:rPr>
          <w:rFonts w:cs="Arial"/>
          <w:color w:val="000000"/>
          <w:sz w:val="22"/>
          <w:szCs w:val="22"/>
          <w:lang w:val="fr-FR"/>
        </w:rPr>
        <w:t>,</w:t>
      </w:r>
      <w:r w:rsidRPr="00DA018B">
        <w:rPr>
          <w:rFonts w:cs="Arial"/>
          <w:color w:val="000000"/>
          <w:sz w:val="22"/>
          <w:szCs w:val="22"/>
          <w:lang w:val="fr-FR"/>
        </w:rPr>
        <w:t xml:space="preserve"> pour chaque activité, a</w:t>
      </w:r>
      <w:r w:rsidR="007D56D0">
        <w:rPr>
          <w:rFonts w:cs="Arial"/>
          <w:color w:val="000000"/>
          <w:sz w:val="22"/>
          <w:szCs w:val="22"/>
          <w:lang w:val="fr-FR"/>
        </w:rPr>
        <w:t>vec</w:t>
      </w:r>
      <w:r w:rsidRPr="00DA018B">
        <w:rPr>
          <w:rFonts w:cs="Arial"/>
          <w:color w:val="000000"/>
          <w:sz w:val="22"/>
          <w:szCs w:val="22"/>
          <w:lang w:val="fr-FR"/>
        </w:rPr>
        <w:t xml:space="preserve"> l’approche proposée pour gérer tout </w:t>
      </w:r>
      <w:r w:rsidR="0061396C">
        <w:rPr>
          <w:rFonts w:cs="Arial"/>
          <w:color w:val="000000"/>
          <w:sz w:val="22"/>
          <w:szCs w:val="22"/>
          <w:lang w:val="fr-FR"/>
        </w:rPr>
        <w:t>dépassement de c</w:t>
      </w:r>
      <w:r w:rsidRPr="00DA018B">
        <w:rPr>
          <w:rFonts w:cs="Arial"/>
          <w:color w:val="000000"/>
          <w:sz w:val="22"/>
          <w:szCs w:val="22"/>
          <w:lang w:val="fr-FR"/>
        </w:rPr>
        <w:t xml:space="preserve">oût prévu. </w:t>
      </w:r>
    </w:p>
    <w:p w:rsidR="00C840D0" w:rsidRPr="007F08BE" w:rsidRDefault="00C840D0" w:rsidP="00C840D0">
      <w:pPr>
        <w:widowControl/>
        <w:ind w:left="709"/>
        <w:rPr>
          <w:rFonts w:cs="Arial"/>
          <w:sz w:val="22"/>
          <w:szCs w:val="22"/>
          <w:lang w:val="fr-FR"/>
        </w:rPr>
      </w:pPr>
    </w:p>
    <w:p w:rsidR="00C840D0" w:rsidRPr="007F08BE" w:rsidRDefault="00C840D0" w:rsidP="00C840D0">
      <w:pPr>
        <w:widowControl/>
        <w:rPr>
          <w:rFonts w:cs="Arial"/>
          <w:sz w:val="22"/>
          <w:szCs w:val="22"/>
          <w:lang w:val="fr-FR"/>
        </w:rPr>
        <w:sectPr w:rsidR="00C840D0" w:rsidRPr="007F08BE" w:rsidSect="00245E18">
          <w:headerReference w:type="even" r:id="rId28"/>
          <w:headerReference w:type="default" r:id="rId29"/>
          <w:headerReference w:type="first" r:id="rId30"/>
          <w:pgSz w:w="11906" w:h="16838" w:code="9"/>
          <w:pgMar w:top="1134" w:right="1418" w:bottom="1418" w:left="1418" w:header="510" w:footer="510" w:gutter="0"/>
          <w:cols w:space="720"/>
          <w:titlePg/>
          <w:docGrid w:linePitch="360"/>
        </w:sectPr>
      </w:pPr>
    </w:p>
    <w:p w:rsidR="00292B9F" w:rsidRPr="00055582" w:rsidRDefault="00292B9F" w:rsidP="00C840D0">
      <w:pPr>
        <w:rPr>
          <w:rFonts w:cs="Arial"/>
          <w:b/>
          <w:color w:val="000000"/>
          <w:szCs w:val="18"/>
          <w:lang w:val="fr-FR" w:eastAsia="en-GB"/>
        </w:rPr>
      </w:pPr>
    </w:p>
    <w:p w:rsidR="00292B9F" w:rsidRPr="00305903" w:rsidRDefault="00292B9F" w:rsidP="00292B9F">
      <w:pPr>
        <w:widowControl/>
        <w:autoSpaceDE/>
        <w:adjustRightInd/>
        <w:jc w:val="right"/>
        <w:rPr>
          <w:rFonts w:cs="Arial"/>
          <w:b/>
          <w:bCs/>
          <w:caps/>
          <w:sz w:val="22"/>
          <w:szCs w:val="22"/>
          <w:lang w:val="fr-FR"/>
        </w:rPr>
      </w:pPr>
      <w:r w:rsidRPr="00305903">
        <w:rPr>
          <w:rFonts w:cs="Arial"/>
          <w:b/>
          <w:caps/>
          <w:sz w:val="22"/>
          <w:szCs w:val="22"/>
          <w:lang w:val="fr-FR"/>
        </w:rPr>
        <w:t>Annex</w:t>
      </w:r>
      <w:r w:rsidR="005303B4" w:rsidRPr="00305903">
        <w:rPr>
          <w:rFonts w:cs="Arial"/>
          <w:b/>
          <w:caps/>
          <w:sz w:val="22"/>
          <w:szCs w:val="22"/>
          <w:lang w:val="fr-FR"/>
        </w:rPr>
        <w:t>E</w:t>
      </w:r>
      <w:r w:rsidRPr="00305903">
        <w:rPr>
          <w:rFonts w:cs="Arial"/>
          <w:b/>
          <w:caps/>
          <w:sz w:val="22"/>
          <w:szCs w:val="22"/>
          <w:lang w:val="fr-FR"/>
        </w:rPr>
        <w:t xml:space="preserve"> </w:t>
      </w:r>
      <w:r w:rsidR="009878EA" w:rsidRPr="00305903">
        <w:rPr>
          <w:rFonts w:cs="Arial"/>
          <w:b/>
          <w:caps/>
          <w:sz w:val="22"/>
          <w:szCs w:val="22"/>
          <w:lang w:val="fr-FR"/>
        </w:rPr>
        <w:t>3</w:t>
      </w:r>
      <w:r w:rsidR="00DF6B58" w:rsidRPr="00305903">
        <w:rPr>
          <w:rFonts w:cs="Arial"/>
          <w:b/>
          <w:caps/>
          <w:sz w:val="22"/>
          <w:szCs w:val="22"/>
          <w:lang w:val="fr-FR"/>
        </w:rPr>
        <w:t xml:space="preserve"> (</w:t>
      </w:r>
      <w:r w:rsidRPr="00305903">
        <w:rPr>
          <w:rFonts w:cs="Arial"/>
          <w:b/>
          <w:caps/>
          <w:sz w:val="22"/>
          <w:szCs w:val="22"/>
          <w:lang w:val="fr-FR"/>
        </w:rPr>
        <w:t>d</w:t>
      </w:r>
      <w:r w:rsidR="00DF6B58" w:rsidRPr="00305903">
        <w:rPr>
          <w:rFonts w:cs="Arial"/>
          <w:b/>
          <w:caps/>
          <w:sz w:val="22"/>
          <w:szCs w:val="22"/>
          <w:lang w:val="fr-FR"/>
        </w:rPr>
        <w:t>)</w:t>
      </w:r>
    </w:p>
    <w:p w:rsidR="00292B9F" w:rsidRPr="00055582" w:rsidRDefault="00292B9F" w:rsidP="00292B9F">
      <w:pPr>
        <w:rPr>
          <w:rFonts w:cs="Arial"/>
          <w:szCs w:val="18"/>
          <w:lang w:val="fr-FR"/>
        </w:rPr>
      </w:pPr>
    </w:p>
    <w:p w:rsidR="00292B9F" w:rsidRPr="00EF5F1D" w:rsidRDefault="00EF5F1D" w:rsidP="00292B9F">
      <w:pPr>
        <w:jc w:val="center"/>
        <w:rPr>
          <w:rFonts w:cs="Arial"/>
          <w:b/>
          <w:color w:val="000000"/>
          <w:sz w:val="22"/>
          <w:szCs w:val="22"/>
          <w:lang w:val="fr-FR" w:eastAsia="en-GB"/>
        </w:rPr>
      </w:pPr>
      <w:r w:rsidRPr="00EF5F1D">
        <w:rPr>
          <w:rFonts w:cs="Arial"/>
          <w:b/>
          <w:color w:val="000000"/>
          <w:sz w:val="22"/>
          <w:szCs w:val="22"/>
          <w:lang w:val="fr-FR" w:eastAsia="en-GB"/>
        </w:rPr>
        <w:t xml:space="preserve">Projet de </w:t>
      </w:r>
      <w:r w:rsidR="00C66A96">
        <w:rPr>
          <w:rFonts w:cs="Arial"/>
          <w:b/>
          <w:color w:val="000000"/>
          <w:sz w:val="22"/>
          <w:szCs w:val="22"/>
          <w:lang w:val="fr-FR" w:eastAsia="en-GB"/>
        </w:rPr>
        <w:t>mandat</w:t>
      </w:r>
      <w:r w:rsidRPr="00EF5F1D">
        <w:rPr>
          <w:rFonts w:cs="Arial"/>
          <w:b/>
          <w:color w:val="000000"/>
          <w:sz w:val="22"/>
          <w:szCs w:val="22"/>
          <w:lang w:val="fr-FR" w:eastAsia="en-GB"/>
        </w:rPr>
        <w:t xml:space="preserve"> pour l’administration du Fonds d’affectation spécial</w:t>
      </w:r>
      <w:r>
        <w:rPr>
          <w:rFonts w:cs="Arial"/>
          <w:b/>
          <w:color w:val="000000"/>
          <w:sz w:val="22"/>
          <w:szCs w:val="22"/>
          <w:lang w:val="fr-FR" w:eastAsia="en-GB"/>
        </w:rPr>
        <w:t>e</w:t>
      </w:r>
      <w:r w:rsidRPr="00EF5F1D">
        <w:rPr>
          <w:rFonts w:cs="Arial"/>
          <w:b/>
          <w:color w:val="000000"/>
          <w:sz w:val="22"/>
          <w:szCs w:val="22"/>
          <w:lang w:val="fr-FR" w:eastAsia="en-GB"/>
        </w:rPr>
        <w:t xml:space="preserve"> pour la Convention sur la co</w:t>
      </w:r>
      <w:r>
        <w:rPr>
          <w:rFonts w:cs="Arial"/>
          <w:b/>
          <w:color w:val="000000"/>
          <w:sz w:val="22"/>
          <w:szCs w:val="22"/>
          <w:lang w:val="fr-FR" w:eastAsia="en-GB"/>
        </w:rPr>
        <w:t>n</w:t>
      </w:r>
      <w:r w:rsidRPr="00EF5F1D">
        <w:rPr>
          <w:rFonts w:cs="Arial"/>
          <w:b/>
          <w:color w:val="000000"/>
          <w:sz w:val="22"/>
          <w:szCs w:val="22"/>
          <w:lang w:val="fr-FR" w:eastAsia="en-GB"/>
        </w:rPr>
        <w:t>servation des espèces migratrices appart</w:t>
      </w:r>
      <w:r>
        <w:rPr>
          <w:rFonts w:cs="Arial"/>
          <w:b/>
          <w:color w:val="000000"/>
          <w:sz w:val="22"/>
          <w:szCs w:val="22"/>
          <w:lang w:val="fr-FR" w:eastAsia="en-GB"/>
        </w:rPr>
        <w:t>enant</w:t>
      </w:r>
      <w:r w:rsidRPr="00EF5F1D">
        <w:rPr>
          <w:rFonts w:cs="Arial"/>
          <w:b/>
          <w:color w:val="000000"/>
          <w:sz w:val="22"/>
          <w:szCs w:val="22"/>
          <w:lang w:val="fr-FR" w:eastAsia="en-GB"/>
        </w:rPr>
        <w:t xml:space="preserve"> à </w:t>
      </w:r>
      <w:r>
        <w:rPr>
          <w:rFonts w:cs="Arial"/>
          <w:b/>
          <w:color w:val="000000"/>
          <w:sz w:val="22"/>
          <w:szCs w:val="22"/>
          <w:lang w:val="fr-FR" w:eastAsia="en-GB"/>
        </w:rPr>
        <w:t>l</w:t>
      </w:r>
      <w:r w:rsidRPr="00EF5F1D">
        <w:rPr>
          <w:rFonts w:cs="Arial"/>
          <w:b/>
          <w:color w:val="000000"/>
          <w:sz w:val="22"/>
          <w:szCs w:val="22"/>
          <w:lang w:val="fr-FR" w:eastAsia="en-GB"/>
        </w:rPr>
        <w:t>a faune sauvage</w:t>
      </w:r>
    </w:p>
    <w:p w:rsidR="00292B9F" w:rsidRPr="00EF5F1D" w:rsidRDefault="00292B9F" w:rsidP="00292B9F">
      <w:pPr>
        <w:jc w:val="center"/>
        <w:rPr>
          <w:lang w:val="fr-FR"/>
        </w:rPr>
      </w:pPr>
    </w:p>
    <w:p w:rsidR="00C840D0" w:rsidRPr="007E4A0F"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1.</w:t>
      </w:r>
      <w:r w:rsidRPr="002F2543">
        <w:rPr>
          <w:rFonts w:ascii="Arial" w:hAnsi="Arial" w:cs="Arial"/>
          <w:lang w:val="fr-FR"/>
        </w:rPr>
        <w:tab/>
      </w:r>
      <w:r w:rsidR="002F2543" w:rsidRPr="002F2543">
        <w:rPr>
          <w:rFonts w:ascii="Arial" w:hAnsi="Arial" w:cs="Arial"/>
          <w:lang w:val="fr-FR"/>
        </w:rPr>
        <w:t xml:space="preserve">Le </w:t>
      </w:r>
      <w:r w:rsidR="00C66A96">
        <w:rPr>
          <w:rFonts w:ascii="Arial" w:hAnsi="Arial" w:cs="Arial"/>
          <w:lang w:val="fr-FR"/>
        </w:rPr>
        <w:t>F</w:t>
      </w:r>
      <w:r w:rsidR="002F2543" w:rsidRPr="002F2543">
        <w:rPr>
          <w:rFonts w:ascii="Arial" w:hAnsi="Arial" w:cs="Arial"/>
          <w:lang w:val="fr-FR"/>
        </w:rPr>
        <w:t>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w:t>
      </w:r>
      <w:r w:rsidR="002F2543" w:rsidRPr="002F2543">
        <w:rPr>
          <w:sz w:val="23"/>
          <w:szCs w:val="23"/>
          <w:lang w:val="fr-FR"/>
        </w:rPr>
        <w:t xml:space="preserve"> </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2.</w:t>
      </w:r>
      <w:r w:rsidRPr="002F2543">
        <w:rPr>
          <w:rFonts w:ascii="Arial" w:hAnsi="Arial" w:cs="Arial"/>
          <w:lang w:val="fr-FR"/>
        </w:rPr>
        <w:tab/>
      </w:r>
      <w:r w:rsidR="002F2543" w:rsidRPr="002F2543">
        <w:rPr>
          <w:rFonts w:ascii="Arial" w:hAnsi="Arial" w:cs="Arial"/>
          <w:lang w:val="fr-FR"/>
        </w:rPr>
        <w:t xml:space="preserve">La période financière durera trois années calendaires à partir du 1er janvier 2018, se terminera le 31 décembre 2020 et sera sujette à l’approbation de l’Assemblée des </w:t>
      </w:r>
      <w:r w:rsidR="002F2543">
        <w:rPr>
          <w:rFonts w:ascii="Arial" w:hAnsi="Arial" w:cs="Arial"/>
          <w:lang w:val="fr-FR"/>
        </w:rPr>
        <w:t>N</w:t>
      </w:r>
      <w:r w:rsidR="002F2543" w:rsidRPr="002F2543">
        <w:rPr>
          <w:rFonts w:ascii="Arial" w:hAnsi="Arial" w:cs="Arial"/>
          <w:lang w:val="fr-FR"/>
        </w:rPr>
        <w:t xml:space="preserve">ations Unies </w:t>
      </w:r>
      <w:r w:rsidR="00B13A66">
        <w:rPr>
          <w:rFonts w:ascii="Arial" w:hAnsi="Arial" w:cs="Arial"/>
          <w:lang w:val="fr-FR"/>
        </w:rPr>
        <w:t>pour</w:t>
      </w:r>
      <w:r w:rsidR="002F2543" w:rsidRPr="002F2543">
        <w:rPr>
          <w:rFonts w:ascii="Arial" w:hAnsi="Arial" w:cs="Arial"/>
          <w:lang w:val="fr-FR"/>
        </w:rPr>
        <w:t xml:space="preserve"> l’environnement</w:t>
      </w:r>
      <w:r w:rsidRPr="002F2543">
        <w:rPr>
          <w:rFonts w:ascii="Arial" w:hAnsi="Arial" w:cs="Arial"/>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3.</w:t>
      </w:r>
      <w:r w:rsidRPr="002F2543">
        <w:rPr>
          <w:rFonts w:ascii="Arial" w:hAnsi="Arial" w:cs="Arial"/>
          <w:lang w:val="fr-FR"/>
        </w:rPr>
        <w:tab/>
      </w:r>
      <w:r w:rsidR="002F2543" w:rsidRPr="002F2543">
        <w:rPr>
          <w:rFonts w:ascii="Arial" w:hAnsi="Arial" w:cs="Arial"/>
          <w:lang w:val="fr-FR"/>
        </w:rPr>
        <w:t>Le fonds d’affectation spéciale continuera à être administré par le Directeur exécutif du PNUE (Programme des Nations Unies pour l’environnement)</w:t>
      </w:r>
      <w:r w:rsidRPr="002F2543">
        <w:rPr>
          <w:rFonts w:ascii="Arial" w:hAnsi="Arial" w:cs="Arial"/>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4.</w:t>
      </w:r>
      <w:r w:rsidRPr="002F2543">
        <w:rPr>
          <w:rFonts w:ascii="Arial" w:hAnsi="Arial" w:cs="Arial"/>
          <w:lang w:val="fr-FR"/>
        </w:rPr>
        <w:tab/>
      </w:r>
      <w:r w:rsidR="002F2543" w:rsidRPr="002F2543">
        <w:rPr>
          <w:rFonts w:ascii="Arial" w:hAnsi="Arial" w:cs="Arial"/>
          <w:lang w:val="fr-FR"/>
        </w:rPr>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r w:rsidR="002F2543">
        <w:rPr>
          <w:sz w:val="23"/>
          <w:szCs w:val="23"/>
          <w:lang w:val="fr-FR"/>
        </w:rPr>
        <w:t>.</w:t>
      </w:r>
    </w:p>
    <w:p w:rsidR="00C840D0" w:rsidRPr="00055582" w:rsidRDefault="00C840D0" w:rsidP="00C840D0">
      <w:pPr>
        <w:pStyle w:val="ListParagraph"/>
        <w:ind w:left="450" w:hanging="450"/>
        <w:rPr>
          <w:rFonts w:cs="Arial"/>
          <w:szCs w:val="18"/>
          <w:lang w:val="fr-FR"/>
        </w:rPr>
      </w:pPr>
    </w:p>
    <w:p w:rsidR="00C840D0" w:rsidRPr="002F2543" w:rsidRDefault="00C840D0" w:rsidP="00C840D0">
      <w:pPr>
        <w:pStyle w:val="NoSpacing"/>
        <w:widowControl w:val="0"/>
        <w:ind w:left="450" w:hanging="450"/>
        <w:jc w:val="both"/>
        <w:rPr>
          <w:rFonts w:ascii="Arial" w:hAnsi="Arial" w:cs="Arial"/>
          <w:lang w:val="fr-FR"/>
        </w:rPr>
      </w:pPr>
      <w:r w:rsidRPr="002F2543">
        <w:rPr>
          <w:rFonts w:ascii="Arial" w:hAnsi="Arial" w:cs="Arial"/>
          <w:lang w:val="fr-FR"/>
        </w:rPr>
        <w:t>5.</w:t>
      </w:r>
      <w:r w:rsidRPr="002F2543">
        <w:rPr>
          <w:rFonts w:ascii="Arial" w:hAnsi="Arial" w:cs="Arial"/>
          <w:lang w:val="fr-FR"/>
        </w:rPr>
        <w:tab/>
      </w:r>
      <w:r w:rsidR="002F2543" w:rsidRPr="00210613">
        <w:rPr>
          <w:rFonts w:ascii="Arial" w:hAnsi="Arial" w:cs="Arial"/>
          <w:lang w:val="fr-FR"/>
        </w:rPr>
        <w:t xml:space="preserve">Conformément aux règles des Nations Unies, le PNUE déduira des dépenses du </w:t>
      </w:r>
      <w:r w:rsidR="00C66A96">
        <w:rPr>
          <w:rFonts w:ascii="Arial" w:hAnsi="Arial" w:cs="Arial"/>
          <w:lang w:val="fr-FR"/>
        </w:rPr>
        <w:t>F</w:t>
      </w:r>
      <w:r w:rsidR="002F2543" w:rsidRPr="00210613">
        <w:rPr>
          <w:rFonts w:ascii="Arial" w:hAnsi="Arial" w:cs="Arial"/>
          <w:lang w:val="fr-FR"/>
        </w:rPr>
        <w:t>onds d’affectation spéciale les frais administratifs s’élevant à 13 pourcent des dépenses pesant sur ce fonds pour ce qui est des activités que ce fonds finance</w:t>
      </w:r>
      <w:r w:rsidRPr="002F2543">
        <w:rPr>
          <w:rFonts w:ascii="Arial" w:hAnsi="Arial" w:cs="Arial"/>
          <w:lang w:val="fr-FR"/>
        </w:rPr>
        <w:t>.</w:t>
      </w:r>
    </w:p>
    <w:p w:rsidR="00C840D0" w:rsidRPr="00055582" w:rsidRDefault="00C840D0" w:rsidP="00C840D0">
      <w:pPr>
        <w:pStyle w:val="ListParagraph"/>
        <w:ind w:left="0"/>
        <w:rPr>
          <w:rFonts w:cs="Arial"/>
          <w:szCs w:val="18"/>
          <w:lang w:val="fr-FR"/>
        </w:rPr>
      </w:pPr>
    </w:p>
    <w:p w:rsidR="00C840D0" w:rsidRPr="00210613" w:rsidRDefault="00C840D0" w:rsidP="00C840D0">
      <w:pPr>
        <w:pStyle w:val="NoSpacing"/>
        <w:widowControl w:val="0"/>
        <w:ind w:left="450" w:hanging="450"/>
        <w:jc w:val="both"/>
        <w:rPr>
          <w:rFonts w:ascii="Arial" w:hAnsi="Arial" w:cs="Arial"/>
          <w:lang w:val="fr-FR"/>
        </w:rPr>
      </w:pPr>
      <w:r w:rsidRPr="00210613">
        <w:rPr>
          <w:rFonts w:ascii="Arial" w:hAnsi="Arial" w:cs="Arial"/>
          <w:lang w:val="fr-FR"/>
        </w:rPr>
        <w:t>6.</w:t>
      </w:r>
      <w:r w:rsidRPr="00210613">
        <w:rPr>
          <w:rFonts w:ascii="Arial" w:hAnsi="Arial" w:cs="Arial"/>
          <w:lang w:val="fr-FR"/>
        </w:rPr>
        <w:tab/>
      </w:r>
      <w:r w:rsidR="00210613" w:rsidRPr="00210613">
        <w:rPr>
          <w:rFonts w:ascii="Arial" w:hAnsi="Arial" w:cs="Arial"/>
          <w:lang w:val="fr-FR"/>
        </w:rPr>
        <w:t>Les ressources financières du fonds d’affectation spéciale pour 201</w:t>
      </w:r>
      <w:r w:rsidR="00210613">
        <w:rPr>
          <w:rFonts w:ascii="Arial" w:hAnsi="Arial" w:cs="Arial"/>
          <w:lang w:val="fr-FR"/>
        </w:rPr>
        <w:t>8</w:t>
      </w:r>
      <w:r w:rsidR="00210613" w:rsidRPr="00210613">
        <w:rPr>
          <w:rFonts w:ascii="Arial" w:hAnsi="Arial" w:cs="Arial"/>
          <w:lang w:val="fr-FR"/>
        </w:rPr>
        <w:t>-20</w:t>
      </w:r>
      <w:r w:rsidR="00210613">
        <w:rPr>
          <w:rFonts w:ascii="Arial" w:hAnsi="Arial" w:cs="Arial"/>
          <w:lang w:val="fr-FR"/>
        </w:rPr>
        <w:t>20</w:t>
      </w:r>
      <w:r w:rsidR="00210613" w:rsidRPr="00210613">
        <w:rPr>
          <w:rFonts w:ascii="Arial" w:hAnsi="Arial" w:cs="Arial"/>
          <w:lang w:val="fr-FR"/>
        </w:rPr>
        <w:t xml:space="preserve"> proviendront</w:t>
      </w:r>
      <w:r w:rsidRPr="00210613">
        <w:rPr>
          <w:rFonts w:ascii="Arial" w:hAnsi="Arial" w:cs="Arial"/>
          <w:lang w:val="fr-FR"/>
        </w:rPr>
        <w:t>:</w:t>
      </w:r>
    </w:p>
    <w:p w:rsidR="00C840D0" w:rsidRPr="00055582" w:rsidRDefault="00C840D0" w:rsidP="00C840D0">
      <w:pPr>
        <w:pStyle w:val="ListParagraph"/>
        <w:ind w:left="0"/>
        <w:rPr>
          <w:rFonts w:cs="Arial"/>
          <w:szCs w:val="18"/>
          <w:lang w:val="fr-FR"/>
        </w:rPr>
      </w:pPr>
    </w:p>
    <w:p w:rsidR="00210613" w:rsidRPr="00210613" w:rsidRDefault="00210613" w:rsidP="00AA2D9E">
      <w:pPr>
        <w:pStyle w:val="Default"/>
        <w:numPr>
          <w:ilvl w:val="0"/>
          <w:numId w:val="12"/>
        </w:numPr>
        <w:rPr>
          <w:rFonts w:cs="Arial"/>
          <w:sz w:val="22"/>
          <w:szCs w:val="22"/>
          <w:lang w:val="fr-FR"/>
        </w:rPr>
      </w:pPr>
      <w:r w:rsidRPr="00210613">
        <w:rPr>
          <w:rFonts w:cs="Arial"/>
          <w:sz w:val="22"/>
          <w:szCs w:val="22"/>
          <w:lang w:val="fr-FR"/>
        </w:rPr>
        <w:t xml:space="preserve">des contributions faites par les Parties en référence à l’Annexe </w:t>
      </w:r>
      <w:r>
        <w:rPr>
          <w:rFonts w:cs="Arial"/>
          <w:sz w:val="22"/>
          <w:szCs w:val="22"/>
          <w:lang w:val="fr-FR"/>
        </w:rPr>
        <w:t>[  ]</w:t>
      </w:r>
      <w:r w:rsidRPr="00210613">
        <w:rPr>
          <w:rFonts w:cs="Arial"/>
          <w:sz w:val="22"/>
          <w:szCs w:val="22"/>
          <w:lang w:val="fr-FR"/>
        </w:rPr>
        <w:t xml:space="preserve">, y compris les </w:t>
      </w:r>
      <w:r>
        <w:rPr>
          <w:rFonts w:cs="Arial"/>
          <w:sz w:val="22"/>
          <w:szCs w:val="22"/>
          <w:lang w:val="fr-FR"/>
        </w:rPr>
        <w:t xml:space="preserve">       c</w:t>
      </w:r>
      <w:r w:rsidRPr="00210613">
        <w:rPr>
          <w:rFonts w:cs="Arial"/>
          <w:sz w:val="22"/>
          <w:szCs w:val="22"/>
          <w:lang w:val="fr-FR"/>
        </w:rPr>
        <w:t xml:space="preserve">ontributions des nouvelles Parties; et </w:t>
      </w:r>
    </w:p>
    <w:p w:rsidR="00C840D0" w:rsidRPr="00210613" w:rsidRDefault="00C840D0" w:rsidP="00AA2D9E">
      <w:pPr>
        <w:pStyle w:val="NoSpacing"/>
        <w:widowControl w:val="0"/>
        <w:ind w:left="720" w:hanging="270"/>
        <w:jc w:val="both"/>
        <w:rPr>
          <w:rFonts w:ascii="Arial" w:hAnsi="Arial" w:cs="Arial"/>
          <w:lang w:val="fr-FR"/>
        </w:rPr>
      </w:pPr>
    </w:p>
    <w:p w:rsidR="00C840D0" w:rsidRPr="007E4A0F" w:rsidRDefault="00210613" w:rsidP="00AA2D9E">
      <w:pPr>
        <w:pStyle w:val="NoSpacing"/>
        <w:widowControl w:val="0"/>
        <w:numPr>
          <w:ilvl w:val="0"/>
          <w:numId w:val="12"/>
        </w:numPr>
        <w:jc w:val="both"/>
        <w:rPr>
          <w:rFonts w:ascii="Arial" w:hAnsi="Arial" w:cs="Arial"/>
          <w:lang w:val="fr-FR"/>
        </w:rPr>
      </w:pPr>
      <w:r w:rsidRPr="00210613">
        <w:rPr>
          <w:rFonts w:ascii="Arial" w:hAnsi="Arial" w:cs="Arial"/>
          <w:lang w:val="fr-FR"/>
        </w:rPr>
        <w:t xml:space="preserve">d’autres contributions des Parties, ainsi que des subventions des Etats qui ne sont pas des Parties à la Convention, de même qu’en provenance d’autres organisations gouvernementales, intergouvernementales et non-gouvernementales ou d'autres sources. </w:t>
      </w:r>
      <w:r w:rsidR="00C840D0" w:rsidRPr="00210613">
        <w:rPr>
          <w:rFonts w:ascii="Arial" w:hAnsi="Arial" w:cs="Arial"/>
          <w:lang w:val="fr-FR"/>
        </w:rPr>
        <w:t xml:space="preserve"> </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10613">
        <w:rPr>
          <w:rFonts w:ascii="Arial" w:hAnsi="Arial" w:cs="Arial"/>
          <w:lang w:val="fr-FR"/>
        </w:rPr>
        <w:t>7.</w:t>
      </w:r>
      <w:r w:rsidRPr="00210613">
        <w:rPr>
          <w:rFonts w:ascii="Arial" w:hAnsi="Arial" w:cs="Arial"/>
          <w:lang w:val="fr-FR"/>
        </w:rPr>
        <w:tab/>
      </w:r>
      <w:r w:rsidR="00210613" w:rsidRPr="00210613">
        <w:rPr>
          <w:rFonts w:ascii="Arial" w:hAnsi="Arial" w:cs="Arial"/>
          <w:lang w:val="fr-FR"/>
        </w:rPr>
        <w:t>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prorata des contributions des autres Etats Parties et sera au même niveau que celui qui est appliqué sur l’échelle d’évaluation des Nations Unies – mesure appliquée occasionnellement. Cependant, si la contribution d’une nouvelle Partie déterminée sur cette base devait être supérieure à 22 pourcent du budget, la contribution de cette Partie devra être égale à 22 pourcent du budget de l’année financière au cours de laquelle la Partie a rejoint la Convention (ou au pro rata pour une année incomplète). L’échelle des contributions de toutes les Parties devra alors être revue par le Secrétariat le 1er janvier de l’année suivante. Les contributions devront faire l’objet de versements annuels. Les contributions seront dues les 1er janvier 201</w:t>
      </w:r>
      <w:r w:rsidR="00210613">
        <w:rPr>
          <w:rFonts w:ascii="Arial" w:hAnsi="Arial" w:cs="Arial"/>
          <w:lang w:val="fr-FR"/>
        </w:rPr>
        <w:t>8, 2019</w:t>
      </w:r>
      <w:r w:rsidR="00210613" w:rsidRPr="00210613">
        <w:rPr>
          <w:rFonts w:ascii="Arial" w:hAnsi="Arial" w:cs="Arial"/>
          <w:lang w:val="fr-FR"/>
        </w:rPr>
        <w:t xml:space="preserve"> et 20</w:t>
      </w:r>
      <w:r w:rsidR="00210613">
        <w:rPr>
          <w:rFonts w:ascii="Arial" w:hAnsi="Arial" w:cs="Arial"/>
          <w:lang w:val="fr-FR"/>
        </w:rPr>
        <w:t>20</w:t>
      </w:r>
      <w:r w:rsidRPr="00224B1E">
        <w:rPr>
          <w:rFonts w:ascii="Arial" w:hAnsi="Arial" w:cs="Arial"/>
          <w:lang w:val="fr-FR"/>
        </w:rPr>
        <w:t>.</w:t>
      </w:r>
    </w:p>
    <w:p w:rsidR="00C840D0" w:rsidRPr="00055582" w:rsidRDefault="00C840D0" w:rsidP="00C840D0">
      <w:pPr>
        <w:pStyle w:val="NoSpacing"/>
        <w:widowControl w:val="0"/>
        <w:ind w:left="450" w:hanging="450"/>
        <w:jc w:val="both"/>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24B1E">
        <w:rPr>
          <w:rFonts w:ascii="Arial" w:hAnsi="Arial" w:cs="Arial"/>
          <w:lang w:val="fr-FR"/>
        </w:rPr>
        <w:t>8.</w:t>
      </w:r>
      <w:r w:rsidRPr="00224B1E">
        <w:rPr>
          <w:rFonts w:ascii="Arial" w:hAnsi="Arial" w:cs="Arial"/>
          <w:lang w:val="fr-FR"/>
        </w:rPr>
        <w:tab/>
      </w:r>
      <w:r w:rsidR="00224B1E">
        <w:rPr>
          <w:rFonts w:ascii="Arial" w:hAnsi="Arial" w:cs="Arial"/>
          <w:lang w:val="fr-FR"/>
        </w:rPr>
        <w:t>Les contributions devr</w:t>
      </w:r>
      <w:r w:rsidR="00224B1E" w:rsidRPr="00224B1E">
        <w:rPr>
          <w:rFonts w:ascii="Arial" w:hAnsi="Arial" w:cs="Arial"/>
          <w:lang w:val="fr-FR"/>
        </w:rPr>
        <w:t>ont être vers</w:t>
      </w:r>
      <w:r w:rsidR="00224B1E">
        <w:rPr>
          <w:rFonts w:ascii="Arial" w:hAnsi="Arial" w:cs="Arial"/>
          <w:lang w:val="fr-FR"/>
        </w:rPr>
        <w:t>é</w:t>
      </w:r>
      <w:r w:rsidR="00224B1E" w:rsidRPr="00224B1E">
        <w:rPr>
          <w:rFonts w:ascii="Arial" w:hAnsi="Arial" w:cs="Arial"/>
          <w:lang w:val="fr-FR"/>
        </w:rPr>
        <w:t>es sur le compte des Nations Unies sur la b</w:t>
      </w:r>
      <w:r w:rsidR="00224B1E">
        <w:rPr>
          <w:rFonts w:ascii="Arial" w:hAnsi="Arial" w:cs="Arial"/>
          <w:lang w:val="fr-FR"/>
        </w:rPr>
        <w:t>a</w:t>
      </w:r>
      <w:r w:rsidR="00224B1E" w:rsidRPr="00224B1E">
        <w:rPr>
          <w:rFonts w:ascii="Arial" w:hAnsi="Arial" w:cs="Arial"/>
          <w:lang w:val="fr-FR"/>
        </w:rPr>
        <w:t>se de la facture fournie par le PNUE.</w:t>
      </w:r>
      <w:r w:rsidRPr="00224B1E">
        <w:rPr>
          <w:rFonts w:ascii="Arial" w:hAnsi="Arial" w:cs="Arial"/>
          <w:lang w:val="fr-FR"/>
        </w:rPr>
        <w:t xml:space="preserve"> </w:t>
      </w:r>
    </w:p>
    <w:p w:rsidR="00C840D0" w:rsidRPr="00055582" w:rsidRDefault="00C840D0" w:rsidP="00C840D0">
      <w:pPr>
        <w:pStyle w:val="NoSpacing"/>
        <w:widowControl w:val="0"/>
        <w:ind w:left="450" w:hanging="450"/>
        <w:rPr>
          <w:rFonts w:ascii="Arial" w:hAnsi="Arial" w:cs="Arial"/>
          <w:sz w:val="18"/>
          <w:szCs w:val="18"/>
          <w:lang w:val="fr-FR"/>
        </w:rPr>
      </w:pPr>
    </w:p>
    <w:p w:rsidR="00C840D0" w:rsidRPr="00224B1E" w:rsidRDefault="00C840D0" w:rsidP="00C840D0">
      <w:pPr>
        <w:pStyle w:val="NoSpacing"/>
        <w:widowControl w:val="0"/>
        <w:ind w:left="450" w:hanging="450"/>
        <w:jc w:val="both"/>
        <w:rPr>
          <w:rFonts w:ascii="Arial" w:hAnsi="Arial" w:cs="Arial"/>
          <w:lang w:val="fr-FR"/>
        </w:rPr>
      </w:pPr>
      <w:r w:rsidRPr="00224B1E">
        <w:rPr>
          <w:rFonts w:ascii="Arial" w:hAnsi="Arial" w:cs="Arial"/>
          <w:lang w:val="fr-FR"/>
        </w:rPr>
        <w:t>9.</w:t>
      </w:r>
      <w:r w:rsidRPr="00224B1E">
        <w:rPr>
          <w:rFonts w:ascii="Arial" w:hAnsi="Arial" w:cs="Arial"/>
          <w:lang w:val="fr-FR"/>
        </w:rPr>
        <w:tab/>
      </w:r>
      <w:r w:rsidR="00224B1E" w:rsidRPr="00224B1E">
        <w:rPr>
          <w:rFonts w:ascii="Arial" w:hAnsi="Arial" w:cs="Arial"/>
          <w:lang w:val="fr-FR"/>
        </w:rPr>
        <w:t>Dans l’intérêt des Parties, pour chacune des années de la période financière, le Directeur exécutif du PNUE doit, dès que possible, notifier les Parties à la Convention du montant de leur contribution</w:t>
      </w:r>
      <w:r w:rsidRPr="00224B1E">
        <w:rPr>
          <w:rFonts w:ascii="Arial" w:hAnsi="Arial" w:cs="Arial"/>
          <w:lang w:val="fr-FR"/>
        </w:rPr>
        <w:t>.</w:t>
      </w:r>
    </w:p>
    <w:p w:rsidR="00C840D0" w:rsidRPr="00055582" w:rsidRDefault="00C840D0" w:rsidP="00C840D0">
      <w:pPr>
        <w:pStyle w:val="NoSpacing"/>
        <w:ind w:left="450" w:hanging="450"/>
        <w:jc w:val="both"/>
        <w:rPr>
          <w:rFonts w:ascii="Arial" w:hAnsi="Arial" w:cs="Arial"/>
          <w:sz w:val="18"/>
          <w:szCs w:val="18"/>
          <w:lang w:val="fr-FR"/>
        </w:rPr>
      </w:pPr>
    </w:p>
    <w:p w:rsidR="00C840D0" w:rsidRPr="00224B1E" w:rsidRDefault="00C840D0" w:rsidP="00C840D0">
      <w:pPr>
        <w:pStyle w:val="NoSpacing"/>
        <w:ind w:left="450" w:hanging="450"/>
        <w:jc w:val="both"/>
        <w:rPr>
          <w:rFonts w:ascii="Arial" w:hAnsi="Arial" w:cs="Arial"/>
          <w:lang w:val="fr-FR"/>
        </w:rPr>
      </w:pPr>
      <w:r w:rsidRPr="00224B1E">
        <w:rPr>
          <w:rFonts w:ascii="Arial" w:hAnsi="Arial" w:cs="Arial"/>
          <w:lang w:val="fr-FR"/>
        </w:rPr>
        <w:lastRenderedPageBreak/>
        <w:t>10.</w:t>
      </w:r>
      <w:r w:rsidRPr="00224B1E">
        <w:rPr>
          <w:rFonts w:ascii="Arial" w:hAnsi="Arial" w:cs="Arial"/>
          <w:lang w:val="fr-FR"/>
        </w:rPr>
        <w:tab/>
      </w:r>
      <w:r w:rsidR="00224B1E" w:rsidRPr="00224B1E">
        <w:rPr>
          <w:rFonts w:ascii="Arial" w:hAnsi="Arial" w:cs="Arial"/>
          <w:lang w:val="fr-FR"/>
        </w:rPr>
        <w:t>Les contributions reçues dans le fonds d’affectation spéciale qui ne sont pas immédiatement destinées à financer des activités doivent être investies à la discrétion des Nations Unies, et tout revenu doit être crédité au fonds d’affectation spéciale</w:t>
      </w:r>
      <w:r w:rsidRPr="00224B1E">
        <w:rPr>
          <w:rFonts w:ascii="Arial" w:hAnsi="Arial" w:cs="Arial"/>
          <w:lang w:val="fr-FR"/>
        </w:rPr>
        <w:t>.</w:t>
      </w:r>
    </w:p>
    <w:p w:rsidR="00C840D0" w:rsidRPr="00055582" w:rsidRDefault="00C840D0" w:rsidP="00C840D0">
      <w:pPr>
        <w:pStyle w:val="ListParagraph"/>
        <w:ind w:left="0"/>
        <w:rPr>
          <w:rFonts w:cs="Arial"/>
          <w:szCs w:val="18"/>
          <w:lang w:val="fr-FR"/>
        </w:rPr>
      </w:pPr>
    </w:p>
    <w:p w:rsidR="00C840D0" w:rsidRPr="00A549F1" w:rsidRDefault="00C840D0" w:rsidP="00C840D0">
      <w:pPr>
        <w:pStyle w:val="NoSpacing"/>
        <w:ind w:left="360" w:hanging="360"/>
        <w:jc w:val="both"/>
        <w:rPr>
          <w:rFonts w:ascii="Arial" w:hAnsi="Arial" w:cs="Arial"/>
          <w:lang w:val="fr-FR"/>
        </w:rPr>
      </w:pPr>
      <w:r w:rsidRPr="00A549F1">
        <w:rPr>
          <w:rFonts w:ascii="Arial" w:hAnsi="Arial" w:cs="Arial"/>
          <w:lang w:val="fr-FR"/>
        </w:rPr>
        <w:t>11.</w:t>
      </w:r>
      <w:r w:rsidRPr="00A549F1">
        <w:rPr>
          <w:rFonts w:ascii="Arial" w:hAnsi="Arial" w:cs="Arial"/>
          <w:lang w:val="fr-FR"/>
        </w:rPr>
        <w:tab/>
      </w:r>
      <w:r w:rsidR="00A549F1" w:rsidRPr="006F3883">
        <w:rPr>
          <w:rFonts w:ascii="Arial" w:hAnsi="Arial" w:cs="Arial"/>
          <w:lang w:val="fr-FR"/>
        </w:rPr>
        <w:t>Le fonds d’affectation spéciale sera sujet à audit par le comité des commissaires aux comptes des Nations Unies</w:t>
      </w:r>
      <w:r w:rsidRPr="00A549F1">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12.</w:t>
      </w:r>
      <w:r w:rsidRPr="005C5D54">
        <w:rPr>
          <w:rFonts w:ascii="Arial" w:hAnsi="Arial" w:cs="Arial"/>
          <w:lang w:val="fr-FR"/>
        </w:rPr>
        <w:tab/>
      </w:r>
      <w:r w:rsidR="005C5D54" w:rsidRPr="005C5D54">
        <w:rPr>
          <w:rFonts w:ascii="Arial" w:hAnsi="Arial" w:cs="Arial"/>
          <w:lang w:val="fr-FR"/>
        </w:rPr>
        <w:t>Les budgets estimés devant couvrir les revenus et dépenses de chacune des trois années calendaires constituant la période financière, préparés en euros, devront être soumis à la réunion de la conférence des Parties à la Convention</w:t>
      </w:r>
      <w:r w:rsidRPr="005C5D54">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7E4A0F" w:rsidRDefault="00C840D0" w:rsidP="000B4A25">
      <w:pPr>
        <w:pStyle w:val="NoSpacing"/>
        <w:ind w:left="360" w:hanging="360"/>
        <w:jc w:val="both"/>
        <w:rPr>
          <w:rFonts w:ascii="Arial" w:hAnsi="Arial" w:cs="Arial"/>
          <w:spacing w:val="-2"/>
          <w:lang w:val="fr-FR"/>
        </w:rPr>
      </w:pPr>
      <w:r w:rsidRPr="005C5D54">
        <w:rPr>
          <w:rFonts w:ascii="Arial" w:hAnsi="Arial" w:cs="Arial"/>
          <w:spacing w:val="-2"/>
          <w:lang w:val="fr-FR"/>
        </w:rPr>
        <w:t>13.</w:t>
      </w:r>
      <w:r w:rsidRPr="005C5D54">
        <w:rPr>
          <w:rFonts w:ascii="Arial" w:hAnsi="Arial" w:cs="Arial"/>
          <w:spacing w:val="-2"/>
          <w:lang w:val="fr-FR"/>
        </w:rPr>
        <w:tab/>
      </w:r>
      <w:r w:rsidR="005C5D54" w:rsidRPr="005C5D54">
        <w:rPr>
          <w:rFonts w:ascii="Arial" w:hAnsi="Arial" w:cs="Arial"/>
          <w:lang w:val="fr-FR"/>
        </w:rPr>
        <w:t>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du PNUE aura estimées utiles et recommandables. En particulier, les estimations devront aussi être faites par programme de travail pour chacune des années calendaires, les dépenses devant être spécifiées pour chaque programme de façon à ce qu’elles correspondent aux sections, objets de dépenses et lignes budgétaires décrites dans la première phrase du présent paragraphe</w:t>
      </w:r>
      <w:r w:rsidR="005C5D54" w:rsidRPr="005C5D54">
        <w:rPr>
          <w:sz w:val="23"/>
          <w:szCs w:val="23"/>
          <w:lang w:val="fr-FR"/>
        </w:rPr>
        <w:t xml:space="preserve">. </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widowControl w:val="0"/>
        <w:ind w:left="360" w:hanging="360"/>
        <w:jc w:val="both"/>
        <w:rPr>
          <w:rFonts w:ascii="Arial" w:hAnsi="Arial" w:cs="Arial"/>
          <w:lang w:val="fr-FR"/>
        </w:rPr>
      </w:pPr>
      <w:r w:rsidRPr="005C5D54">
        <w:rPr>
          <w:rFonts w:ascii="Arial" w:hAnsi="Arial" w:cs="Arial"/>
          <w:lang w:val="fr-FR"/>
        </w:rPr>
        <w:t>14.</w:t>
      </w:r>
      <w:r w:rsidRPr="005C5D54">
        <w:rPr>
          <w:rFonts w:ascii="Arial" w:hAnsi="Arial" w:cs="Arial"/>
          <w:lang w:val="fr-FR"/>
        </w:rPr>
        <w:tab/>
      </w:r>
      <w:r w:rsidR="005C5D54" w:rsidRPr="005C5D54">
        <w:rPr>
          <w:rFonts w:ascii="Arial" w:hAnsi="Arial" w:cs="Arial"/>
          <w:lang w:val="fr-FR"/>
        </w:rPr>
        <w:t>Le budget proposé, avec toutes les informations nécessaires, sera transmis par le Secrétariat à toutes les Parties au moins 90 jours avant la date fixée pour l'ouverture de la réunion ordinaire de la conférence des Parties au cours de laquelle il sera examiné</w:t>
      </w:r>
      <w:r w:rsidR="005C5D54">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7E4A0F" w:rsidRDefault="00C840D0" w:rsidP="00C840D0">
      <w:pPr>
        <w:pStyle w:val="NoSpacing"/>
        <w:ind w:left="360" w:hanging="360"/>
        <w:jc w:val="both"/>
        <w:rPr>
          <w:rFonts w:ascii="Arial" w:hAnsi="Arial" w:cs="Arial"/>
          <w:lang w:val="fr-FR"/>
        </w:rPr>
      </w:pPr>
      <w:r w:rsidRPr="005C5D54">
        <w:rPr>
          <w:rFonts w:ascii="Arial" w:hAnsi="Arial" w:cs="Arial"/>
          <w:lang w:val="fr-FR"/>
        </w:rPr>
        <w:t>15.</w:t>
      </w:r>
      <w:r w:rsidRPr="005C5D54">
        <w:rPr>
          <w:rFonts w:ascii="Arial" w:hAnsi="Arial" w:cs="Arial"/>
          <w:lang w:val="fr-FR"/>
        </w:rPr>
        <w:tab/>
      </w:r>
      <w:r w:rsidR="005C5D54" w:rsidRPr="005C5D54">
        <w:rPr>
          <w:rFonts w:ascii="Arial" w:hAnsi="Arial" w:cs="Arial"/>
          <w:lang w:val="fr-FR"/>
        </w:rPr>
        <w:t>Le budget sera adopté par un vote unanime des Parties présentes et votantes à cette conférence des Parties.</w:t>
      </w:r>
      <w:r w:rsidR="005C5D54" w:rsidRPr="005C5D54">
        <w:rPr>
          <w:sz w:val="23"/>
          <w:szCs w:val="23"/>
          <w:lang w:val="fr-FR"/>
        </w:rPr>
        <w:t xml:space="preserve"> </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16.</w:t>
      </w:r>
      <w:r w:rsidRPr="005C5D54">
        <w:rPr>
          <w:rFonts w:ascii="Arial" w:hAnsi="Arial" w:cs="Arial"/>
          <w:lang w:val="fr-FR"/>
        </w:rPr>
        <w:tab/>
      </w:r>
      <w:r w:rsidR="005C5D54" w:rsidRPr="005C5D54">
        <w:rPr>
          <w:rFonts w:ascii="Arial" w:hAnsi="Arial" w:cs="Arial"/>
          <w:lang w:val="fr-FR"/>
        </w:rPr>
        <w:t>Dans l’éventualité où le Directeur exécutif du PNUE estimerait que les ressources pourraient être insuffisantes pour couvrir la totalité de la période financière, le Directeur exécutif devra consulter le Secrétariat, qui devra demander conseil au Comité permanent quant à ses priorités pour les dépenses</w:t>
      </w:r>
      <w:r w:rsidRPr="005C5D54">
        <w:rPr>
          <w:rFonts w:ascii="Arial" w:hAnsi="Arial" w:cs="Arial"/>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17.</w:t>
      </w:r>
      <w:r w:rsidRPr="005C5D54">
        <w:rPr>
          <w:rFonts w:ascii="Arial" w:hAnsi="Arial" w:cs="Arial"/>
          <w:lang w:val="fr-FR"/>
        </w:rPr>
        <w:tab/>
      </w:r>
      <w:r w:rsidR="005C5D54" w:rsidRPr="005C5D54">
        <w:rPr>
          <w:rFonts w:ascii="Arial" w:hAnsi="Arial" w:cs="Arial"/>
          <w:lang w:val="fr-FR"/>
        </w:rPr>
        <w:t>On ne peut engager les ressources du fonds d’affectation spéciale que si elles sont couvertes par des revenus suffisants au niveau de la Convention.</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18.</w:t>
      </w:r>
      <w:r w:rsidRPr="005C5D54">
        <w:rPr>
          <w:rFonts w:ascii="Arial" w:hAnsi="Arial" w:cs="Arial"/>
          <w:lang w:val="fr-FR"/>
        </w:rPr>
        <w:tab/>
      </w:r>
      <w:r w:rsidR="005C5D54" w:rsidRPr="005C5D54">
        <w:rPr>
          <w:rFonts w:ascii="Arial" w:hAnsi="Arial" w:cs="Arial"/>
          <w:lang w:val="fr-FR"/>
        </w:rPr>
        <w:t>À la demande du Secrétariat de la Convention, après conseil du Comité permanent, le Directeur exécutif du PNUE doit, de manière compatible avec les règles et la régulation financières des Nations Unies, faire les transferts nécessaires d’une ligne de budget à l'autre. À la fin de la première année calendaire de la période financière, le Directeur exécutif du PNUE peut transférer tout solde restant des dotations à la deuxième année calendaire, à condition que l’ensemble du budget approuvé par les Parties ne soit pas dépassé, sauf consentement spécifique par écrit du Comité permanent</w:t>
      </w:r>
      <w:r w:rsidR="005C5D54" w:rsidRPr="005C5D54">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5C5D54" w:rsidRDefault="00C840D0" w:rsidP="00C840D0">
      <w:pPr>
        <w:pStyle w:val="NoSpacing"/>
        <w:ind w:left="360" w:hanging="360"/>
        <w:jc w:val="both"/>
        <w:rPr>
          <w:rFonts w:ascii="Arial" w:hAnsi="Arial" w:cs="Arial"/>
          <w:lang w:val="fr-FR"/>
        </w:rPr>
      </w:pPr>
      <w:r w:rsidRPr="005C5D54">
        <w:rPr>
          <w:rFonts w:ascii="Arial" w:hAnsi="Arial" w:cs="Arial"/>
          <w:lang w:val="fr-FR"/>
        </w:rPr>
        <w:t>19.</w:t>
      </w:r>
      <w:r w:rsidRPr="005C5D54">
        <w:rPr>
          <w:rFonts w:ascii="Arial" w:hAnsi="Arial" w:cs="Arial"/>
          <w:lang w:val="fr-FR"/>
        </w:rPr>
        <w:tab/>
      </w:r>
      <w:r w:rsidR="005C5D54" w:rsidRPr="005C5D54">
        <w:rPr>
          <w:rFonts w:ascii="Arial" w:hAnsi="Arial" w:cs="Arial"/>
          <w:lang w:val="fr-FR"/>
        </w:rPr>
        <w:t>À la fin de chaque année calendaire</w:t>
      </w:r>
      <w:r w:rsidRPr="005C5D54">
        <w:rPr>
          <w:rStyle w:val="FootnoteReference"/>
          <w:rFonts w:ascii="Arial" w:hAnsi="Arial" w:cs="Arial"/>
          <w:vertAlign w:val="superscript"/>
          <w:lang w:val="en-GB"/>
        </w:rPr>
        <w:footnoteReference w:id="1"/>
      </w:r>
      <w:r w:rsidR="005C5D54" w:rsidRPr="005C5D54">
        <w:rPr>
          <w:rFonts w:ascii="Arial" w:hAnsi="Arial" w:cs="Arial"/>
          <w:lang w:val="fr-FR"/>
        </w:rPr>
        <w:t>, le Directeur exécutif du PNUE devra soumettre aux Parties, par le biais du Secrétariat du PNUE/CMS, les comptes de fin d’année. Le Directeur exécutif devra aussi soumettre, dès que possible, les comptes audités pour la période financière. Ces comptes devront inclure tous les détails des dépenses réelles comparées aux provisions d’origine pour chaque ligne de budget</w:t>
      </w:r>
      <w:r w:rsidRPr="005C5D54">
        <w:rPr>
          <w:rFonts w:ascii="Arial" w:hAnsi="Arial" w:cs="Arial"/>
          <w:lang w:val="fr-FR"/>
        </w:rPr>
        <w:t xml:space="preserve">. </w:t>
      </w:r>
    </w:p>
    <w:p w:rsidR="00C840D0" w:rsidRPr="00055582" w:rsidRDefault="00C840D0" w:rsidP="00C840D0">
      <w:pPr>
        <w:pStyle w:val="NoSpacing"/>
        <w:ind w:left="360" w:hanging="360"/>
        <w:jc w:val="both"/>
        <w:rPr>
          <w:rFonts w:ascii="Arial" w:hAnsi="Arial" w:cs="Arial"/>
          <w:sz w:val="18"/>
          <w:szCs w:val="18"/>
          <w:lang w:val="fr-FR"/>
        </w:rPr>
      </w:pPr>
    </w:p>
    <w:p w:rsidR="00C840D0" w:rsidRPr="00322DD8" w:rsidRDefault="00C840D0" w:rsidP="00C840D0">
      <w:pPr>
        <w:pStyle w:val="NoSpacing"/>
        <w:ind w:left="360" w:hanging="360"/>
        <w:jc w:val="both"/>
        <w:rPr>
          <w:rFonts w:ascii="Arial" w:hAnsi="Arial" w:cs="Arial"/>
          <w:lang w:val="fr-FR"/>
        </w:rPr>
      </w:pPr>
      <w:r w:rsidRPr="00322DD8">
        <w:rPr>
          <w:rFonts w:ascii="Arial" w:hAnsi="Arial" w:cs="Arial"/>
          <w:lang w:val="fr-FR"/>
        </w:rPr>
        <w:t>20.</w:t>
      </w:r>
      <w:r w:rsidRPr="00322DD8">
        <w:rPr>
          <w:rFonts w:ascii="Arial" w:hAnsi="Arial" w:cs="Arial"/>
          <w:lang w:val="fr-FR"/>
        </w:rPr>
        <w:tab/>
      </w:r>
      <w:r w:rsidR="00322DD8" w:rsidRPr="00322DD8">
        <w:rPr>
          <w:rFonts w:ascii="Arial" w:hAnsi="Arial" w:cs="Arial"/>
          <w:lang w:val="fr-FR"/>
        </w:rPr>
        <w:t>Ces rapports financiers, qui doivent être soumis par le Directeur exécutif du PNUE, seront simultanément transmis par le Secrétariat de la Convention aux membres du Comité permanent</w:t>
      </w:r>
      <w:r w:rsidR="00322DD8" w:rsidRPr="00322DD8">
        <w:rPr>
          <w:sz w:val="23"/>
          <w:szCs w:val="23"/>
          <w:lang w:val="fr-FR"/>
        </w:rPr>
        <w:t>.</w:t>
      </w:r>
    </w:p>
    <w:p w:rsidR="00C840D0" w:rsidRPr="00055582" w:rsidRDefault="00C840D0" w:rsidP="00C840D0">
      <w:pPr>
        <w:pStyle w:val="ListParagraph"/>
        <w:ind w:left="360" w:hanging="360"/>
        <w:rPr>
          <w:rFonts w:cs="Arial"/>
          <w:szCs w:val="18"/>
          <w:lang w:val="fr-FR"/>
        </w:rPr>
      </w:pPr>
    </w:p>
    <w:p w:rsidR="00C840D0" w:rsidRPr="00322DD8" w:rsidRDefault="00C840D0" w:rsidP="00C840D0">
      <w:pPr>
        <w:pStyle w:val="NoSpacing"/>
        <w:ind w:left="360" w:hanging="360"/>
        <w:jc w:val="both"/>
        <w:rPr>
          <w:rFonts w:ascii="Arial" w:hAnsi="Arial" w:cs="Arial"/>
          <w:lang w:val="fr-FR"/>
        </w:rPr>
      </w:pPr>
      <w:r w:rsidRPr="00322DD8">
        <w:rPr>
          <w:rFonts w:ascii="Arial" w:hAnsi="Arial" w:cs="Arial"/>
          <w:lang w:val="fr-FR"/>
        </w:rPr>
        <w:lastRenderedPageBreak/>
        <w:t>21.</w:t>
      </w:r>
      <w:r w:rsidRPr="00322DD8">
        <w:rPr>
          <w:rFonts w:ascii="Arial" w:hAnsi="Arial" w:cs="Arial"/>
          <w:lang w:val="fr-FR"/>
        </w:rPr>
        <w:tab/>
      </w:r>
      <w:r w:rsidR="00322DD8" w:rsidRPr="00322DD8">
        <w:rPr>
          <w:rFonts w:ascii="Arial" w:hAnsi="Arial" w:cs="Arial"/>
          <w:lang w:val="fr-FR"/>
        </w:rPr>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r w:rsidR="00322DD8" w:rsidRPr="00322DD8">
        <w:rPr>
          <w:sz w:val="23"/>
          <w:szCs w:val="23"/>
          <w:lang w:val="fr-FR"/>
        </w:rPr>
        <w:t>.</w:t>
      </w:r>
    </w:p>
    <w:p w:rsidR="00C840D0" w:rsidRPr="00322DD8" w:rsidRDefault="00C840D0" w:rsidP="00C840D0">
      <w:pPr>
        <w:pStyle w:val="ListParagraph"/>
        <w:ind w:left="360" w:hanging="360"/>
        <w:rPr>
          <w:rFonts w:cs="Arial"/>
          <w:sz w:val="22"/>
          <w:szCs w:val="22"/>
          <w:lang w:val="fr-FR"/>
        </w:rPr>
      </w:pPr>
    </w:p>
    <w:p w:rsidR="00C840D0" w:rsidRPr="00322DD8" w:rsidRDefault="00C840D0" w:rsidP="00C840D0">
      <w:pPr>
        <w:pStyle w:val="NoSpacing"/>
        <w:ind w:left="360" w:hanging="360"/>
        <w:jc w:val="both"/>
        <w:rPr>
          <w:rFonts w:ascii="Arial" w:hAnsi="Arial" w:cs="Arial"/>
          <w:spacing w:val="-6"/>
          <w:lang w:val="fr-FR"/>
        </w:rPr>
      </w:pPr>
      <w:r w:rsidRPr="00322DD8">
        <w:rPr>
          <w:rFonts w:ascii="Arial" w:hAnsi="Arial" w:cs="Arial"/>
          <w:spacing w:val="-6"/>
          <w:lang w:val="fr-FR"/>
        </w:rPr>
        <w:t>22.</w:t>
      </w:r>
      <w:r w:rsidRPr="00322DD8">
        <w:rPr>
          <w:rFonts w:ascii="Arial" w:hAnsi="Arial" w:cs="Arial"/>
          <w:spacing w:val="-6"/>
          <w:lang w:val="fr-FR"/>
        </w:rPr>
        <w:tab/>
      </w:r>
      <w:r w:rsidR="00322DD8" w:rsidRPr="00322DD8">
        <w:rPr>
          <w:rFonts w:ascii="Arial" w:hAnsi="Arial" w:cs="Arial"/>
          <w:lang w:val="fr-FR"/>
        </w:rPr>
        <w:t>Le</w:t>
      </w:r>
      <w:r w:rsidR="00B13A66">
        <w:rPr>
          <w:rFonts w:ascii="Arial" w:hAnsi="Arial" w:cs="Arial"/>
          <w:lang w:val="fr-FR"/>
        </w:rPr>
        <w:t xml:space="preserve"> présent mandat sera</w:t>
      </w:r>
      <w:r w:rsidR="00322DD8" w:rsidRPr="00322DD8">
        <w:rPr>
          <w:rFonts w:ascii="Arial" w:hAnsi="Arial" w:cs="Arial"/>
          <w:lang w:val="fr-FR"/>
        </w:rPr>
        <w:t xml:space="preserve"> e</w:t>
      </w:r>
      <w:r w:rsidR="00B13A66">
        <w:rPr>
          <w:rFonts w:ascii="Arial" w:hAnsi="Arial" w:cs="Arial"/>
          <w:lang w:val="fr-FR"/>
        </w:rPr>
        <w:t>n vigueur</w:t>
      </w:r>
      <w:r w:rsidR="00322DD8" w:rsidRPr="00322DD8">
        <w:rPr>
          <w:rFonts w:ascii="Arial" w:hAnsi="Arial" w:cs="Arial"/>
          <w:lang w:val="fr-FR"/>
        </w:rPr>
        <w:t xml:space="preserve"> du 1er janvier 2018 au 31 décembre 2020.</w:t>
      </w:r>
    </w:p>
    <w:p w:rsidR="00DA28FC" w:rsidRPr="00322DD8" w:rsidRDefault="00DA28FC" w:rsidP="00292B9F">
      <w:pPr>
        <w:jc w:val="center"/>
        <w:rPr>
          <w:lang w:val="fr-FR"/>
        </w:rPr>
        <w:sectPr w:rsidR="00DA28FC" w:rsidRPr="00322DD8" w:rsidSect="00620809">
          <w:headerReference w:type="even" r:id="rId31"/>
          <w:headerReference w:type="default" r:id="rId32"/>
          <w:headerReference w:type="first" r:id="rId33"/>
          <w:endnotePr>
            <w:numFmt w:val="decimal"/>
          </w:endnotePr>
          <w:pgSz w:w="11905" w:h="16837" w:code="9"/>
          <w:pgMar w:top="1008" w:right="1411" w:bottom="1152" w:left="1411" w:header="432" w:footer="432" w:gutter="0"/>
          <w:cols w:space="720"/>
          <w:noEndnote/>
          <w:titlePg/>
          <w:docGrid w:linePitch="272"/>
        </w:sectPr>
      </w:pPr>
    </w:p>
    <w:p w:rsidR="00DA28FC" w:rsidRPr="00A549F1" w:rsidRDefault="00DA28FC" w:rsidP="00DA28FC">
      <w:pPr>
        <w:widowControl/>
        <w:autoSpaceDE/>
        <w:adjustRightInd/>
        <w:jc w:val="right"/>
        <w:rPr>
          <w:rFonts w:cs="Arial"/>
          <w:b/>
          <w:bCs/>
          <w:caps/>
          <w:sz w:val="22"/>
          <w:szCs w:val="22"/>
          <w:lang w:val="fr-FR"/>
        </w:rPr>
      </w:pPr>
      <w:r w:rsidRPr="00A549F1">
        <w:rPr>
          <w:rFonts w:cs="Arial"/>
          <w:b/>
          <w:caps/>
          <w:sz w:val="22"/>
          <w:szCs w:val="22"/>
          <w:lang w:val="fr-FR"/>
        </w:rPr>
        <w:lastRenderedPageBreak/>
        <w:t>Annex</w:t>
      </w:r>
      <w:r w:rsidR="00A549F1" w:rsidRPr="00A549F1">
        <w:rPr>
          <w:rFonts w:cs="Arial"/>
          <w:b/>
          <w:caps/>
          <w:sz w:val="22"/>
          <w:szCs w:val="22"/>
          <w:lang w:val="fr-FR"/>
        </w:rPr>
        <w:t>E</w:t>
      </w:r>
      <w:r w:rsidRPr="00A549F1">
        <w:rPr>
          <w:rFonts w:cs="Arial"/>
          <w:b/>
          <w:caps/>
          <w:sz w:val="22"/>
          <w:szCs w:val="22"/>
          <w:lang w:val="fr-FR"/>
        </w:rPr>
        <w:t xml:space="preserve"> </w:t>
      </w:r>
      <w:r w:rsidR="009878EA" w:rsidRPr="00A549F1">
        <w:rPr>
          <w:rFonts w:cs="Arial"/>
          <w:b/>
          <w:caps/>
          <w:sz w:val="22"/>
          <w:szCs w:val="22"/>
          <w:lang w:val="fr-FR"/>
        </w:rPr>
        <w:t>3</w:t>
      </w:r>
      <w:r w:rsidR="00DF6B58" w:rsidRPr="00A549F1">
        <w:rPr>
          <w:rFonts w:cs="Arial"/>
          <w:b/>
          <w:caps/>
          <w:sz w:val="22"/>
          <w:szCs w:val="22"/>
          <w:lang w:val="fr-FR"/>
        </w:rPr>
        <w:t xml:space="preserve"> (E)</w:t>
      </w:r>
    </w:p>
    <w:p w:rsidR="00DA28FC" w:rsidRPr="00A549F1" w:rsidRDefault="00DA28FC" w:rsidP="00DA28FC">
      <w:pPr>
        <w:rPr>
          <w:rFonts w:cs="Arial"/>
          <w:sz w:val="22"/>
          <w:szCs w:val="22"/>
          <w:lang w:val="fr-FR"/>
        </w:rPr>
      </w:pPr>
    </w:p>
    <w:p w:rsidR="00DA28FC" w:rsidRPr="00A549F1" w:rsidRDefault="00DA28FC" w:rsidP="00DA28FC">
      <w:pPr>
        <w:jc w:val="center"/>
        <w:rPr>
          <w:rFonts w:cs="Arial"/>
          <w:b/>
          <w:color w:val="000000"/>
          <w:sz w:val="22"/>
          <w:szCs w:val="22"/>
          <w:lang w:val="fr-FR" w:eastAsia="en-GB"/>
        </w:rPr>
      </w:pPr>
      <w:r w:rsidRPr="00A549F1">
        <w:rPr>
          <w:rFonts w:cs="Arial"/>
          <w:b/>
          <w:color w:val="000000"/>
          <w:sz w:val="22"/>
          <w:szCs w:val="22"/>
          <w:lang w:val="fr-FR" w:eastAsia="en-GB"/>
        </w:rPr>
        <w:t xml:space="preserve">Programme </w:t>
      </w:r>
      <w:r w:rsidR="00A549F1" w:rsidRPr="00A549F1">
        <w:rPr>
          <w:rFonts w:cs="Arial"/>
          <w:b/>
          <w:color w:val="000000"/>
          <w:sz w:val="22"/>
          <w:szCs w:val="22"/>
          <w:lang w:val="fr-FR" w:eastAsia="en-GB"/>
        </w:rPr>
        <w:t>de travail</w:t>
      </w:r>
      <w:r w:rsidRPr="00A549F1">
        <w:rPr>
          <w:rFonts w:cs="Arial"/>
          <w:b/>
          <w:color w:val="000000"/>
          <w:sz w:val="22"/>
          <w:szCs w:val="22"/>
          <w:lang w:val="fr-FR" w:eastAsia="en-GB"/>
        </w:rPr>
        <w:t xml:space="preserve"> 2018-2020</w:t>
      </w:r>
    </w:p>
    <w:p w:rsidR="00DA28FC" w:rsidRPr="00A549F1" w:rsidRDefault="00DA28FC" w:rsidP="00DA28FC">
      <w:pPr>
        <w:rPr>
          <w:rFonts w:cs="Arial"/>
          <w:bCs/>
          <w:sz w:val="22"/>
          <w:szCs w:val="22"/>
          <w:lang w:val="fr-FR"/>
        </w:rPr>
      </w:pPr>
    </w:p>
    <w:p w:rsidR="00C840D0" w:rsidRPr="00774C1E" w:rsidRDefault="0008223A" w:rsidP="00DA28FC">
      <w:pPr>
        <w:rPr>
          <w:rFonts w:cs="Arial"/>
          <w:bCs/>
          <w:sz w:val="22"/>
          <w:szCs w:val="22"/>
          <w:lang w:val="fr-FR"/>
        </w:rPr>
      </w:pPr>
      <w:r w:rsidRPr="00774C1E">
        <w:rPr>
          <w:rFonts w:cs="Arial"/>
          <w:bCs/>
          <w:sz w:val="22"/>
          <w:szCs w:val="22"/>
          <w:lang w:val="fr-FR"/>
        </w:rPr>
        <w:t>[</w:t>
      </w:r>
      <w:r w:rsidR="00B13A66" w:rsidRPr="00774C1E">
        <w:rPr>
          <w:rFonts w:cs="Arial"/>
          <w:bCs/>
          <w:sz w:val="22"/>
          <w:szCs w:val="22"/>
          <w:lang w:val="fr-FR"/>
        </w:rPr>
        <w:t xml:space="preserve">À </w:t>
      </w:r>
      <w:r w:rsidR="00B85477">
        <w:rPr>
          <w:rFonts w:cs="Arial"/>
          <w:bCs/>
          <w:sz w:val="22"/>
          <w:szCs w:val="22"/>
          <w:lang w:val="fr-FR"/>
        </w:rPr>
        <w:t>remplir</w:t>
      </w:r>
      <w:r w:rsidR="00B13A66" w:rsidRPr="00774C1E">
        <w:rPr>
          <w:rFonts w:cs="Arial"/>
          <w:bCs/>
          <w:sz w:val="22"/>
          <w:szCs w:val="22"/>
          <w:lang w:val="fr-FR"/>
        </w:rPr>
        <w:t xml:space="preserve"> après l’adoption du budget</w:t>
      </w:r>
      <w:r w:rsidR="00DA28FC" w:rsidRPr="00774C1E">
        <w:rPr>
          <w:rFonts w:cs="Arial"/>
          <w:bCs/>
          <w:sz w:val="22"/>
          <w:szCs w:val="22"/>
          <w:lang w:val="fr-FR"/>
        </w:rPr>
        <w:t>]</w:t>
      </w:r>
    </w:p>
    <w:p w:rsidR="009878EA" w:rsidRPr="00774C1E" w:rsidRDefault="009878EA" w:rsidP="00DA28FC">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9878EA" w:rsidRPr="00774C1E" w:rsidRDefault="009878EA" w:rsidP="009878EA">
      <w:pPr>
        <w:rPr>
          <w:lang w:val="fr-FR"/>
        </w:rPr>
      </w:pPr>
    </w:p>
    <w:p w:rsidR="00B85477" w:rsidRDefault="009878EA" w:rsidP="009878EA">
      <w:pPr>
        <w:tabs>
          <w:tab w:val="left" w:pos="2995"/>
        </w:tabs>
        <w:rPr>
          <w:lang w:val="fr-FR"/>
        </w:rPr>
        <w:sectPr w:rsidR="00B85477" w:rsidSect="00620809">
          <w:headerReference w:type="first" r:id="rId34"/>
          <w:endnotePr>
            <w:numFmt w:val="decimal"/>
          </w:endnotePr>
          <w:pgSz w:w="11905" w:h="16837" w:code="9"/>
          <w:pgMar w:top="1008" w:right="1411" w:bottom="1152" w:left="1411" w:header="432" w:footer="432" w:gutter="0"/>
          <w:cols w:space="720"/>
          <w:noEndnote/>
          <w:titlePg/>
          <w:docGrid w:linePitch="272"/>
        </w:sectPr>
      </w:pPr>
      <w:r w:rsidRPr="00774C1E">
        <w:rPr>
          <w:lang w:val="fr-FR"/>
        </w:rPr>
        <w:tab/>
      </w:r>
    </w:p>
    <w:p w:rsidR="00B85477" w:rsidRPr="00A549F1" w:rsidRDefault="00B85477" w:rsidP="00B85477">
      <w:pPr>
        <w:widowControl/>
        <w:autoSpaceDE/>
        <w:adjustRightInd/>
        <w:jc w:val="right"/>
        <w:rPr>
          <w:rFonts w:cs="Arial"/>
          <w:b/>
          <w:bCs/>
          <w:caps/>
          <w:sz w:val="22"/>
          <w:szCs w:val="22"/>
          <w:lang w:val="fr-FR"/>
        </w:rPr>
      </w:pPr>
      <w:r w:rsidRPr="00A549F1">
        <w:rPr>
          <w:rFonts w:cs="Arial"/>
          <w:b/>
          <w:caps/>
          <w:sz w:val="22"/>
          <w:szCs w:val="22"/>
          <w:lang w:val="fr-FR"/>
        </w:rPr>
        <w:lastRenderedPageBreak/>
        <w:t xml:space="preserve">AnnexE </w:t>
      </w:r>
      <w:r>
        <w:rPr>
          <w:rFonts w:cs="Arial"/>
          <w:b/>
          <w:caps/>
          <w:sz w:val="22"/>
          <w:szCs w:val="22"/>
          <w:lang w:val="fr-FR"/>
        </w:rPr>
        <w:t>4</w:t>
      </w:r>
    </w:p>
    <w:p w:rsidR="00B85477" w:rsidRPr="00A549F1" w:rsidRDefault="00B85477" w:rsidP="00B85477">
      <w:pPr>
        <w:rPr>
          <w:rFonts w:cs="Arial"/>
          <w:sz w:val="22"/>
          <w:szCs w:val="22"/>
          <w:lang w:val="fr-FR"/>
        </w:rPr>
      </w:pPr>
    </w:p>
    <w:p w:rsidR="00B85477" w:rsidRPr="00456A74" w:rsidRDefault="00456A74" w:rsidP="00456A74">
      <w:pPr>
        <w:jc w:val="center"/>
        <w:rPr>
          <w:rFonts w:cs="Arial"/>
          <w:b/>
          <w:color w:val="000000"/>
          <w:sz w:val="22"/>
          <w:szCs w:val="22"/>
          <w:lang w:val="fr-FR" w:eastAsia="en-GB"/>
        </w:rPr>
      </w:pPr>
      <w:r>
        <w:rPr>
          <w:rFonts w:cs="Arial"/>
          <w:b/>
          <w:color w:val="000000"/>
          <w:sz w:val="22"/>
          <w:szCs w:val="22"/>
          <w:lang w:val="fr-FR" w:eastAsia="en-GB"/>
        </w:rPr>
        <w:t>P</w:t>
      </w:r>
      <w:r w:rsidRPr="00456A74">
        <w:rPr>
          <w:rFonts w:cs="Arial"/>
          <w:b/>
          <w:color w:val="000000"/>
          <w:sz w:val="22"/>
          <w:szCs w:val="22"/>
          <w:lang w:val="fr-FR" w:eastAsia="en-GB"/>
        </w:rPr>
        <w:t xml:space="preserve">rogramme de travail </w:t>
      </w:r>
      <w:r>
        <w:rPr>
          <w:rFonts w:cs="Arial"/>
          <w:b/>
          <w:color w:val="000000"/>
          <w:sz w:val="22"/>
          <w:szCs w:val="22"/>
          <w:lang w:val="fr-FR" w:eastAsia="en-GB"/>
        </w:rPr>
        <w:t xml:space="preserve">proposé </w:t>
      </w:r>
      <w:r w:rsidRPr="00456A74">
        <w:rPr>
          <w:rFonts w:cs="Arial"/>
          <w:b/>
          <w:color w:val="000000"/>
          <w:sz w:val="22"/>
          <w:szCs w:val="22"/>
          <w:lang w:val="fr-FR" w:eastAsia="en-GB"/>
        </w:rPr>
        <w:t>pour 2018-2020</w:t>
      </w:r>
    </w:p>
    <w:p w:rsidR="00456A74" w:rsidRPr="00456A74" w:rsidRDefault="00456A74" w:rsidP="00B85477">
      <w:pPr>
        <w:rPr>
          <w:rFonts w:cs="Arial"/>
          <w:b/>
          <w:color w:val="000000"/>
          <w:sz w:val="22"/>
          <w:szCs w:val="22"/>
          <w:lang w:val="fr-FR" w:eastAsia="en-GB"/>
        </w:rPr>
      </w:pPr>
    </w:p>
    <w:p w:rsidR="00B85477" w:rsidRPr="00774C1E" w:rsidRDefault="00B85477" w:rsidP="00B85477">
      <w:pPr>
        <w:rPr>
          <w:rFonts w:cs="Arial"/>
          <w:bCs/>
          <w:sz w:val="22"/>
          <w:szCs w:val="22"/>
          <w:lang w:val="fr-FR"/>
        </w:rPr>
      </w:pPr>
      <w:r w:rsidRPr="00774C1E">
        <w:rPr>
          <w:rFonts w:cs="Arial"/>
          <w:bCs/>
          <w:sz w:val="22"/>
          <w:szCs w:val="22"/>
          <w:lang w:val="fr-FR"/>
        </w:rPr>
        <w:t>[</w:t>
      </w:r>
      <w:r w:rsidR="00862C2D">
        <w:rPr>
          <w:rFonts w:cs="Arial"/>
          <w:bCs/>
          <w:sz w:val="22"/>
          <w:szCs w:val="22"/>
          <w:lang w:val="fr-FR"/>
        </w:rPr>
        <w:t>Sera complété prochainement</w:t>
      </w:r>
      <w:r w:rsidRPr="00774C1E">
        <w:rPr>
          <w:rFonts w:cs="Arial"/>
          <w:bCs/>
          <w:sz w:val="22"/>
          <w:szCs w:val="22"/>
          <w:lang w:val="fr-FR"/>
        </w:rPr>
        <w:t>]</w:t>
      </w:r>
    </w:p>
    <w:p w:rsidR="00B85477" w:rsidRPr="00774C1E" w:rsidRDefault="00B85477" w:rsidP="00B85477">
      <w:pPr>
        <w:rPr>
          <w:lang w:val="fr-FR"/>
        </w:rPr>
      </w:pPr>
    </w:p>
    <w:p w:rsidR="00DF6B58" w:rsidRDefault="00DF6B58"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pPr>
    </w:p>
    <w:p w:rsidR="00862C2D" w:rsidRDefault="00862C2D" w:rsidP="009878EA">
      <w:pPr>
        <w:tabs>
          <w:tab w:val="left" w:pos="2995"/>
        </w:tabs>
        <w:rPr>
          <w:lang w:val="fr-FR"/>
        </w:rPr>
        <w:sectPr w:rsidR="00862C2D" w:rsidSect="00620809">
          <w:headerReference w:type="first" r:id="rId35"/>
          <w:endnotePr>
            <w:numFmt w:val="decimal"/>
          </w:endnotePr>
          <w:pgSz w:w="11905" w:h="16837" w:code="9"/>
          <w:pgMar w:top="1008" w:right="1411" w:bottom="1152" w:left="1411" w:header="432" w:footer="432" w:gutter="0"/>
          <w:cols w:space="720"/>
          <w:noEndnote/>
          <w:titlePg/>
          <w:docGrid w:linePitch="272"/>
        </w:sectPr>
      </w:pPr>
    </w:p>
    <w:p w:rsidR="00862C2D" w:rsidRPr="00A549F1" w:rsidRDefault="00862C2D" w:rsidP="00862C2D">
      <w:pPr>
        <w:widowControl/>
        <w:autoSpaceDE/>
        <w:adjustRightInd/>
        <w:jc w:val="right"/>
        <w:rPr>
          <w:rFonts w:cs="Arial"/>
          <w:b/>
          <w:bCs/>
          <w:caps/>
          <w:sz w:val="22"/>
          <w:szCs w:val="22"/>
          <w:lang w:val="fr-FR"/>
        </w:rPr>
      </w:pPr>
      <w:r w:rsidRPr="00A549F1">
        <w:rPr>
          <w:rFonts w:cs="Arial"/>
          <w:b/>
          <w:caps/>
          <w:sz w:val="22"/>
          <w:szCs w:val="22"/>
          <w:lang w:val="fr-FR"/>
        </w:rPr>
        <w:lastRenderedPageBreak/>
        <w:t xml:space="preserve">AnnexE </w:t>
      </w:r>
      <w:r>
        <w:rPr>
          <w:rFonts w:cs="Arial"/>
          <w:b/>
          <w:caps/>
          <w:sz w:val="22"/>
          <w:szCs w:val="22"/>
          <w:lang w:val="fr-FR"/>
        </w:rPr>
        <w:t>5</w:t>
      </w:r>
    </w:p>
    <w:p w:rsidR="00862C2D" w:rsidRDefault="00862C2D" w:rsidP="009878EA">
      <w:pPr>
        <w:tabs>
          <w:tab w:val="left" w:pos="2995"/>
        </w:tabs>
        <w:rPr>
          <w:lang w:val="fr-FR"/>
        </w:rPr>
      </w:pPr>
    </w:p>
    <w:p w:rsidR="00862C2D" w:rsidRPr="00862C2D" w:rsidRDefault="00862C2D" w:rsidP="00862C2D">
      <w:pPr>
        <w:tabs>
          <w:tab w:val="left" w:pos="2995"/>
        </w:tabs>
        <w:jc w:val="center"/>
        <w:rPr>
          <w:rFonts w:cs="Arial"/>
          <w:b/>
          <w:color w:val="000000"/>
          <w:sz w:val="22"/>
          <w:szCs w:val="22"/>
          <w:lang w:val="fr-FR" w:eastAsia="en-GB"/>
        </w:rPr>
      </w:pPr>
      <w:r w:rsidRPr="00862C2D">
        <w:rPr>
          <w:rFonts w:cs="Arial"/>
          <w:b/>
          <w:color w:val="000000"/>
          <w:sz w:val="22"/>
          <w:szCs w:val="22"/>
          <w:lang w:val="fr-FR" w:eastAsia="en-GB"/>
        </w:rPr>
        <w:t>Rapport sur le reclassement des postes du Secrétariat</w:t>
      </w:r>
    </w:p>
    <w:p w:rsidR="00862C2D" w:rsidRPr="00456A74" w:rsidRDefault="00862C2D" w:rsidP="00862C2D">
      <w:pPr>
        <w:rPr>
          <w:rFonts w:cs="Arial"/>
          <w:b/>
          <w:color w:val="000000"/>
          <w:sz w:val="22"/>
          <w:szCs w:val="22"/>
          <w:lang w:val="fr-FR" w:eastAsia="en-GB"/>
        </w:rPr>
      </w:pPr>
    </w:p>
    <w:p w:rsidR="00862C2D" w:rsidRPr="00774C1E" w:rsidRDefault="00862C2D" w:rsidP="00862C2D">
      <w:pPr>
        <w:rPr>
          <w:rFonts w:cs="Arial"/>
          <w:bCs/>
          <w:sz w:val="22"/>
          <w:szCs w:val="22"/>
          <w:lang w:val="fr-FR"/>
        </w:rPr>
      </w:pPr>
      <w:r w:rsidRPr="00774C1E">
        <w:rPr>
          <w:rFonts w:cs="Arial"/>
          <w:bCs/>
          <w:sz w:val="22"/>
          <w:szCs w:val="22"/>
          <w:lang w:val="fr-FR"/>
        </w:rPr>
        <w:t>[</w:t>
      </w:r>
      <w:r>
        <w:rPr>
          <w:rFonts w:cs="Arial"/>
          <w:bCs/>
          <w:sz w:val="22"/>
          <w:szCs w:val="22"/>
          <w:lang w:val="fr-FR"/>
        </w:rPr>
        <w:t>Sera complété prochainement</w:t>
      </w:r>
      <w:r w:rsidRPr="00774C1E">
        <w:rPr>
          <w:rFonts w:cs="Arial"/>
          <w:bCs/>
          <w:sz w:val="22"/>
          <w:szCs w:val="22"/>
          <w:lang w:val="fr-FR"/>
        </w:rPr>
        <w:t>]</w:t>
      </w:r>
    </w:p>
    <w:p w:rsidR="00862C2D" w:rsidRPr="00774C1E" w:rsidRDefault="00862C2D" w:rsidP="00862C2D">
      <w:pPr>
        <w:rPr>
          <w:lang w:val="fr-FR"/>
        </w:rPr>
      </w:pPr>
    </w:p>
    <w:p w:rsidR="00862C2D" w:rsidRDefault="00862C2D" w:rsidP="00862C2D">
      <w:pPr>
        <w:tabs>
          <w:tab w:val="left" w:pos="2995"/>
        </w:tabs>
        <w:rPr>
          <w:lang w:val="fr-FR"/>
        </w:rPr>
      </w:pPr>
    </w:p>
    <w:p w:rsidR="00862C2D" w:rsidRDefault="00862C2D" w:rsidP="00862C2D">
      <w:pPr>
        <w:tabs>
          <w:tab w:val="left" w:pos="2995"/>
        </w:tabs>
        <w:rPr>
          <w:lang w:val="fr-FR"/>
        </w:rPr>
      </w:pPr>
    </w:p>
    <w:p w:rsidR="00862C2D" w:rsidRPr="00774C1E" w:rsidRDefault="00862C2D" w:rsidP="009878EA">
      <w:pPr>
        <w:tabs>
          <w:tab w:val="left" w:pos="2995"/>
        </w:tabs>
        <w:rPr>
          <w:lang w:val="fr-FR"/>
        </w:rPr>
      </w:pPr>
    </w:p>
    <w:sectPr w:rsidR="00862C2D" w:rsidRPr="00774C1E" w:rsidSect="00620809">
      <w:headerReference w:type="first" r:id="rId3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A1" w:rsidRDefault="00D16DA1">
      <w:r>
        <w:separator/>
      </w:r>
    </w:p>
  </w:endnote>
  <w:endnote w:type="continuationSeparator" w:id="0">
    <w:p w:rsidR="00D16DA1" w:rsidRDefault="00D1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922791" w:rsidRDefault="00D16DA1"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BA4513">
      <w:rPr>
        <w:rFonts w:cs="Arial"/>
        <w:noProof/>
        <w:szCs w:val="18"/>
      </w:rPr>
      <w:t>16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16DA1" w:rsidRDefault="00D16DA1" w:rsidP="00056DC1">
    <w:pPr>
      <w:pStyle w:val="Footer"/>
      <w:ind w:right="-367"/>
      <w:jc w:val="center"/>
      <w:rPr>
        <w:rFonts w:cs="Arial"/>
        <w:szCs w:val="18"/>
      </w:rPr>
    </w:pPr>
    <w:r w:rsidRPr="00D16DA1">
      <w:rPr>
        <w:rFonts w:cs="Arial"/>
        <w:szCs w:val="18"/>
      </w:rPr>
      <w:fldChar w:fldCharType="begin"/>
    </w:r>
    <w:r w:rsidRPr="00D16DA1">
      <w:rPr>
        <w:rFonts w:cs="Arial"/>
        <w:szCs w:val="18"/>
      </w:rPr>
      <w:instrText xml:space="preserve"> PAGE   \* MERGEFORMAT </w:instrText>
    </w:r>
    <w:r w:rsidRPr="00D16DA1">
      <w:rPr>
        <w:rFonts w:cs="Arial"/>
        <w:szCs w:val="18"/>
      </w:rPr>
      <w:fldChar w:fldCharType="separate"/>
    </w:r>
    <w:r w:rsidR="00BA4513">
      <w:rPr>
        <w:rFonts w:cs="Arial"/>
        <w:noProof/>
        <w:szCs w:val="18"/>
      </w:rPr>
      <w:t>3</w:t>
    </w:r>
    <w:r w:rsidRPr="00D16DA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CD7355" w:rsidRDefault="00D16DA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16DA1" w:rsidRDefault="00D16DA1" w:rsidP="00015E07">
    <w:pPr>
      <w:pStyle w:val="Footer"/>
      <w:tabs>
        <w:tab w:val="clear" w:pos="8640"/>
        <w:tab w:val="right" w:pos="9083"/>
      </w:tabs>
      <w:jc w:val="center"/>
      <w:rPr>
        <w:rFonts w:cs="Arial"/>
        <w:szCs w:val="18"/>
      </w:rPr>
    </w:pPr>
    <w:r>
      <w:rPr>
        <w:rFonts w:cs="Arial"/>
        <w:noProof/>
        <w:szCs w:val="18"/>
      </w:rPr>
      <w:tab/>
    </w:r>
    <w:r w:rsidRPr="00D16DA1">
      <w:rPr>
        <w:rFonts w:cs="Arial"/>
        <w:szCs w:val="18"/>
      </w:rPr>
      <w:fldChar w:fldCharType="begin"/>
    </w:r>
    <w:r w:rsidRPr="00D16DA1">
      <w:rPr>
        <w:rFonts w:cs="Arial"/>
        <w:szCs w:val="18"/>
      </w:rPr>
      <w:instrText xml:space="preserve"> PAGE   \* MERGEFORMAT </w:instrText>
    </w:r>
    <w:r w:rsidRPr="00D16DA1">
      <w:rPr>
        <w:rFonts w:cs="Arial"/>
        <w:szCs w:val="18"/>
      </w:rPr>
      <w:fldChar w:fldCharType="separate"/>
    </w:r>
    <w:r w:rsidR="00BA4513">
      <w:rPr>
        <w:rFonts w:cs="Arial"/>
        <w:noProof/>
        <w:szCs w:val="18"/>
      </w:rPr>
      <w:t>2</w:t>
    </w:r>
    <w:r w:rsidRPr="00D16DA1">
      <w:rPr>
        <w:rFonts w:cs="Arial"/>
        <w:noProof/>
        <w:szCs w:val="18"/>
      </w:rPr>
      <w:fldChar w:fldCharType="end"/>
    </w:r>
    <w:r w:rsidRPr="00D16DA1">
      <w:rPr>
        <w:rFonts w:cs="Arial"/>
        <w:noProof/>
        <w:szCs w:val="18"/>
      </w:rPr>
      <w:tab/>
    </w:r>
  </w:p>
  <w:p w:rsidR="00D16DA1" w:rsidRPr="00D605A4" w:rsidRDefault="00D16DA1"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A1" w:rsidRDefault="00D16DA1">
      <w:r>
        <w:separator/>
      </w:r>
    </w:p>
  </w:footnote>
  <w:footnote w:type="continuationSeparator" w:id="0">
    <w:p w:rsidR="00D16DA1" w:rsidRDefault="00D16DA1">
      <w:r>
        <w:continuationSeparator/>
      </w:r>
    </w:p>
  </w:footnote>
  <w:footnote w:id="1">
    <w:p w:rsidR="00D16DA1" w:rsidRPr="005303B4" w:rsidRDefault="00D16DA1" w:rsidP="00C840D0">
      <w:pPr>
        <w:tabs>
          <w:tab w:val="left" w:pos="284"/>
        </w:tabs>
        <w:ind w:left="284" w:hanging="284"/>
        <w:jc w:val="both"/>
        <w:rPr>
          <w:rFonts w:cs="Arial"/>
          <w:sz w:val="16"/>
          <w:szCs w:val="16"/>
          <w:lang w:val="fr-FR"/>
        </w:rPr>
      </w:pPr>
      <w:r w:rsidRPr="009F4A8E">
        <w:rPr>
          <w:rStyle w:val="FootnoteReference"/>
          <w:rFonts w:cs="Arial"/>
          <w:sz w:val="16"/>
          <w:szCs w:val="16"/>
          <w:vertAlign w:val="superscript"/>
        </w:rPr>
        <w:footnoteRef/>
      </w:r>
      <w:r w:rsidRPr="005303B4">
        <w:rPr>
          <w:rFonts w:cs="Arial"/>
          <w:sz w:val="16"/>
          <w:szCs w:val="16"/>
          <w:lang w:val="fr-FR"/>
        </w:rPr>
        <w:t xml:space="preserve"> </w:t>
      </w:r>
      <w:r w:rsidRPr="005303B4">
        <w:rPr>
          <w:rFonts w:cs="Arial"/>
          <w:sz w:val="16"/>
          <w:szCs w:val="16"/>
          <w:lang w:val="fr-FR"/>
        </w:rPr>
        <w:tab/>
      </w:r>
      <w:r w:rsidRPr="005303B4">
        <w:rPr>
          <w:sz w:val="16"/>
          <w:szCs w:val="16"/>
          <w:lang w:val="fr-FR"/>
        </w:rPr>
        <w:t>L'année calendaire du 1er janvier au 31 décembre est l’année de l’exercice comptable et financier, mais la clôture officielle des comptes est le 31 mars de l'année suivante. Ainsi, le 31 mars, les comptes de l'exercice précédent doivent être clos, et, ce n’est qu’alors que le Directeur exécutif peut présenter les comptes de l’année civile préc</w:t>
      </w:r>
      <w:r>
        <w:rPr>
          <w:sz w:val="16"/>
          <w:szCs w:val="16"/>
          <w:lang w:val="fr-FR"/>
        </w:rPr>
        <w:t>édente.</w:t>
      </w:r>
      <w:r w:rsidRPr="005303B4">
        <w:rPr>
          <w:rFonts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232C88" w:rsidRDefault="00D16DA1"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232C88">
      <w:rPr>
        <w:rFonts w:cs="Arial"/>
        <w:b w:val="0"/>
        <w:i/>
        <w:sz w:val="18"/>
        <w:szCs w:val="18"/>
        <w:lang w:val="fr-FR"/>
      </w:rPr>
      <w:t>U</w:t>
    </w:r>
    <w:r>
      <w:rPr>
        <w:rFonts w:cs="Arial"/>
        <w:b w:val="0"/>
        <w:i/>
        <w:sz w:val="18"/>
        <w:szCs w:val="18"/>
        <w:lang w:val="fr-FR"/>
      </w:rPr>
      <w:t>NEP/CMS/COP12/Doc.14.2/Annexe 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D3599E">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7C" w:rsidRPr="00232C88" w:rsidRDefault="0046357C"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232C88">
      <w:rPr>
        <w:rFonts w:cs="Arial"/>
        <w:b w:val="0"/>
        <w:i/>
        <w:sz w:val="18"/>
        <w:szCs w:val="18"/>
        <w:lang w:val="fr-FR"/>
      </w:rPr>
      <w:t>U</w:t>
    </w:r>
    <w:r>
      <w:rPr>
        <w:rFonts w:cs="Arial"/>
        <w:b w:val="0"/>
        <w:i/>
        <w:sz w:val="18"/>
        <w:szCs w:val="18"/>
        <w:lang w:val="fr-FR"/>
      </w:rPr>
      <w:t>NEP/CMS/COP12/Doc.14.2/Annexe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497E66" w:rsidRDefault="00D16DA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14.2</w:t>
    </w:r>
    <w:r w:rsidRPr="00DF6B58">
      <w:rPr>
        <w:rFonts w:cs="Arial"/>
        <w:b w:val="0"/>
        <w:i/>
        <w:sz w:val="18"/>
        <w:szCs w:val="18"/>
        <w:lang w:val="fr-FR"/>
      </w:rPr>
      <w:t>/Annex</w:t>
    </w:r>
    <w:r>
      <w:rPr>
        <w:rFonts w:cs="Arial"/>
        <w:b w:val="0"/>
        <w:i/>
        <w:sz w:val="18"/>
        <w:szCs w:val="18"/>
        <w:lang w:val="fr-FR"/>
      </w:rPr>
      <w:t>e</w:t>
    </w:r>
    <w:r w:rsidRPr="00DF6B58">
      <w:rPr>
        <w:rFonts w:cs="Arial"/>
        <w:b w:val="0"/>
        <w:i/>
        <w:sz w:val="18"/>
        <w:szCs w:val="18"/>
        <w:lang w:val="fr-FR"/>
      </w:rPr>
      <w:t xml:space="preserve"> </w:t>
    </w:r>
    <w:r>
      <w:rPr>
        <w:rFonts w:cs="Arial"/>
        <w:b w:val="0"/>
        <w:i/>
        <w:sz w:val="18"/>
        <w:szCs w:val="18"/>
        <w:lang w:val="fr-FR"/>
      </w:rPr>
      <w:t>3</w:t>
    </w:r>
  </w:p>
  <w:p w:rsidR="00D16DA1" w:rsidRPr="00497E66" w:rsidRDefault="00D16DA1" w:rsidP="00A27BE3">
    <w:pPr>
      <w:jc w:val="right"/>
      <w:rPr>
        <w:i/>
        <w:szCs w:val="20"/>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4A3B08">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14.2/Annexe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7C" w:rsidRPr="00D605A4" w:rsidRDefault="0046357C" w:rsidP="00736637">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14.2/Annexe 3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65" w:rsidRPr="00D605A4" w:rsidRDefault="00BD0765" w:rsidP="00736637">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14.2/Annexe 3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531FA0" w:rsidRDefault="00D16DA1" w:rsidP="008274F7">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w:t>
    </w:r>
    <w:r w:rsidR="00BD0765">
      <w:rPr>
        <w:b w:val="0"/>
        <w:i/>
        <w:sz w:val="20"/>
        <w:szCs w:val="20"/>
      </w:rPr>
      <w:t>NEP/CMS/COP11/Doc.14.2/Annexe 3</w:t>
    </w:r>
    <w:r>
      <w:rPr>
        <w:b w:val="0"/>
        <w:i/>
        <w:sz w:val="20"/>
        <w:szCs w:val="20"/>
      </w:rPr>
      <w:t>(C)</w:t>
    </w:r>
  </w:p>
  <w:p w:rsidR="00D16DA1" w:rsidRPr="00531FA0" w:rsidRDefault="00D16DA1" w:rsidP="008274F7">
    <w:pPr>
      <w:rPr>
        <w:i/>
        <w:szCs w:val="20"/>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E32C6D" w:rsidRDefault="00D16DA1" w:rsidP="008E7656">
    <w:pPr>
      <w:pStyle w:val="Heading1"/>
      <w:keepNext w:val="0"/>
      <w:pBdr>
        <w:bottom w:val="single" w:sz="4" w:space="1" w:color="auto"/>
      </w:pBdr>
      <w:tabs>
        <w:tab w:val="clear" w:pos="-720"/>
      </w:tabs>
      <w:ind w:left="261" w:right="-2" w:hanging="261"/>
      <w:jc w:val="right"/>
      <w:rPr>
        <w:b w:val="0"/>
        <w:i/>
        <w:sz w:val="18"/>
        <w:szCs w:val="18"/>
        <w:lang w:val="en-US"/>
      </w:rPr>
    </w:pPr>
    <w:r w:rsidRPr="00E32C6D">
      <w:rPr>
        <w:b w:val="0"/>
        <w:i/>
        <w:sz w:val="18"/>
        <w:szCs w:val="18"/>
        <w:lang w:val="en-US"/>
      </w:rPr>
      <w:t>UNEP/CMS/COP12/Doc.14.2</w:t>
    </w:r>
    <w:r w:rsidR="008E7656" w:rsidRPr="00E32C6D">
      <w:rPr>
        <w:b w:val="0"/>
        <w:i/>
        <w:sz w:val="18"/>
        <w:szCs w:val="18"/>
        <w:lang w:val="en-US"/>
      </w:rPr>
      <w:t>/Annexe 3 (C)</w:t>
    </w:r>
  </w:p>
  <w:p w:rsidR="00D16DA1" w:rsidRPr="00DD1886" w:rsidRDefault="00D16DA1" w:rsidP="00A27BE3">
    <w:pPr>
      <w:jc w:val="right"/>
      <w:rPr>
        <w:i/>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65" w:rsidRPr="00D605A4" w:rsidRDefault="00BD0765" w:rsidP="00487461">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14.2/Annexe 3 (C)</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E2" w:rsidRPr="00531FA0" w:rsidRDefault="00A12DE2" w:rsidP="008274F7">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w:t>
    </w:r>
    <w:r>
      <w:rPr>
        <w:b w:val="0"/>
        <w:i/>
        <w:sz w:val="20"/>
        <w:szCs w:val="20"/>
      </w:rPr>
      <w:t>NEP/CMS/COP11/Doc.14.2/Annexe 3(D)</w:t>
    </w:r>
  </w:p>
  <w:p w:rsidR="00A12DE2" w:rsidRPr="00531FA0" w:rsidRDefault="00A12DE2" w:rsidP="008274F7">
    <w:pPr>
      <w:rPr>
        <w:i/>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497E66" w:rsidRDefault="00D16DA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14.2</w:t>
    </w:r>
  </w:p>
  <w:p w:rsidR="00D16DA1" w:rsidRPr="00497E66" w:rsidRDefault="00D16DA1" w:rsidP="00A27BE3">
    <w:pPr>
      <w:jc w:val="right"/>
      <w:rPr>
        <w:i/>
        <w:szCs w:val="20"/>
        <w:lang w:val="fr-F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E2" w:rsidRPr="00055582" w:rsidRDefault="00A12DE2" w:rsidP="00A12DE2">
    <w:pPr>
      <w:pStyle w:val="Heading1"/>
      <w:keepNext w:val="0"/>
      <w:pBdr>
        <w:bottom w:val="single" w:sz="4" w:space="1" w:color="auto"/>
      </w:pBdr>
      <w:tabs>
        <w:tab w:val="clear" w:pos="-720"/>
      </w:tabs>
      <w:ind w:left="261" w:right="-2" w:hanging="261"/>
      <w:jc w:val="right"/>
      <w:rPr>
        <w:b w:val="0"/>
        <w:i/>
        <w:sz w:val="18"/>
        <w:szCs w:val="18"/>
        <w:lang w:val="en-US"/>
      </w:rPr>
    </w:pPr>
    <w:r w:rsidRPr="00055582">
      <w:rPr>
        <w:b w:val="0"/>
        <w:i/>
        <w:sz w:val="18"/>
        <w:szCs w:val="18"/>
        <w:lang w:val="en-US"/>
      </w:rPr>
      <w:t>UNEP/CMS/COP12/Doc.14.2/Annexe 3(D)</w:t>
    </w:r>
  </w:p>
  <w:p w:rsidR="00A12DE2" w:rsidRPr="00DD1886" w:rsidRDefault="00A12DE2" w:rsidP="00A27BE3">
    <w:pPr>
      <w:jc w:val="right"/>
      <w:rPr>
        <w:i/>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65" w:rsidRPr="00D605A4" w:rsidRDefault="00BD0765" w:rsidP="00936A9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14.2/Annexe 3(D)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77" w:rsidRPr="00B85477" w:rsidRDefault="00B85477" w:rsidP="00055582">
    <w:pPr>
      <w:pStyle w:val="Header"/>
      <w:pBdr>
        <w:bottom w:val="single" w:sz="4" w:space="1" w:color="auto"/>
      </w:pBdr>
      <w:jc w:val="right"/>
      <w:rPr>
        <w:rFonts w:cs="Arial"/>
        <w:i/>
        <w:szCs w:val="18"/>
        <w:lang w:val="fr-FR"/>
      </w:rPr>
    </w:pPr>
    <w:r w:rsidRPr="00B85477">
      <w:rPr>
        <w:rFonts w:cs="Arial"/>
        <w:i/>
        <w:szCs w:val="18"/>
        <w:lang w:val="fr-FR"/>
      </w:rPr>
      <w:t>UNEP/CMS/COP12/Doc.14.2/Annexe 3 (E)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77" w:rsidRPr="00B85477" w:rsidRDefault="00B85477" w:rsidP="00750630">
    <w:pPr>
      <w:pStyle w:val="Header"/>
      <w:pBdr>
        <w:bottom w:val="single" w:sz="4" w:space="1" w:color="auto"/>
      </w:pBdr>
      <w:rPr>
        <w:rFonts w:cs="Arial"/>
        <w:i/>
        <w:szCs w:val="18"/>
        <w:lang w:val="fr-FR"/>
      </w:rPr>
    </w:pPr>
    <w:r w:rsidRPr="00B85477">
      <w:rPr>
        <w:rFonts w:cs="Arial"/>
        <w:i/>
        <w:szCs w:val="18"/>
        <w:lang w:val="fr-FR"/>
      </w:rPr>
      <w:t>UNEP/CMS/COP12/Doc.14.2/Annexe</w:t>
    </w:r>
    <w:r>
      <w:rPr>
        <w:rFonts w:cs="Arial"/>
        <w:i/>
        <w:szCs w:val="18"/>
        <w:lang w:val="fr-FR"/>
      </w:rPr>
      <w:t xml:space="preserve">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2D" w:rsidRPr="00B85477" w:rsidRDefault="00862C2D" w:rsidP="00750630">
    <w:pPr>
      <w:pStyle w:val="Header"/>
      <w:pBdr>
        <w:bottom w:val="single" w:sz="4" w:space="1" w:color="auto"/>
      </w:pBdr>
      <w:jc w:val="right"/>
      <w:rPr>
        <w:rFonts w:cs="Arial"/>
        <w:i/>
        <w:szCs w:val="18"/>
        <w:lang w:val="fr-FR"/>
      </w:rPr>
    </w:pPr>
    <w:r w:rsidRPr="00B85477">
      <w:rPr>
        <w:rFonts w:cs="Arial"/>
        <w:i/>
        <w:szCs w:val="18"/>
        <w:lang w:val="fr-FR"/>
      </w:rPr>
      <w:t>UNEP/CMS/COP12/Doc.14.2/Annexe</w:t>
    </w:r>
    <w:r>
      <w:rPr>
        <w:rFonts w:cs="Arial"/>
        <w:i/>
        <w:szCs w:val="18"/>
        <w:lang w:val="fr-FR"/>
      </w:rPr>
      <w:t xml:space="preserve">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Default="00D16DA1" w:rsidP="00894D19">
    <w:pPr>
      <w:pStyle w:val="Header"/>
    </w:pPr>
    <w:r>
      <w:rPr>
        <w:noProof/>
        <w:lang w:val="en-US"/>
      </w:rPr>
      <w:drawing>
        <wp:anchor distT="0" distB="0" distL="114300" distR="114300" simplePos="0" relativeHeight="251657216" behindDoc="1" locked="0" layoutInCell="1" allowOverlap="1">
          <wp:simplePos x="0" y="0"/>
          <wp:positionH relativeFrom="column">
            <wp:posOffset>735330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14:anchorId="7BC1BE4F" wp14:editId="52AEE332">
          <wp:simplePos x="0" y="0"/>
          <wp:positionH relativeFrom="column">
            <wp:posOffset>-152400</wp:posOffset>
          </wp:positionH>
          <wp:positionV relativeFrom="paragraph">
            <wp:posOffset>-66675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DA1" w:rsidRDefault="00D16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30" w:rsidRPr="00232C88" w:rsidRDefault="00750630"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232C88">
      <w:rPr>
        <w:rFonts w:cs="Arial"/>
        <w:b w:val="0"/>
        <w:i/>
        <w:sz w:val="18"/>
        <w:szCs w:val="18"/>
        <w:lang w:val="fr-FR"/>
      </w:rPr>
      <w:t>U</w:t>
    </w:r>
    <w:r>
      <w:rPr>
        <w:rFonts w:cs="Arial"/>
        <w:b w:val="0"/>
        <w:i/>
        <w:sz w:val="18"/>
        <w:szCs w:val="18"/>
        <w:lang w:val="fr-FR"/>
      </w:rPr>
      <w:t>NEP/CMS/COP12/Doc.14.2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D16DA1">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D3599E">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14.2/Annexe 1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D3599E">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14.2/Annexe 1 (B)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D605A4" w:rsidRDefault="00D16DA1" w:rsidP="00D3599E">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14.2/Annexe 1(C)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A1" w:rsidRPr="00497E66" w:rsidRDefault="00D16DA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14.2</w:t>
    </w:r>
    <w:r w:rsidRPr="00DF6B58">
      <w:rPr>
        <w:rFonts w:cs="Arial"/>
        <w:b w:val="0"/>
        <w:i/>
        <w:sz w:val="18"/>
        <w:szCs w:val="18"/>
        <w:lang w:val="fr-FR"/>
      </w:rPr>
      <w:t>/Annex</w:t>
    </w:r>
    <w:r>
      <w:rPr>
        <w:rFonts w:cs="Arial"/>
        <w:b w:val="0"/>
        <w:i/>
        <w:sz w:val="18"/>
        <w:szCs w:val="18"/>
        <w:lang w:val="fr-FR"/>
      </w:rPr>
      <w:t>e</w:t>
    </w:r>
    <w:r w:rsidRPr="00DF6B58">
      <w:rPr>
        <w:rFonts w:cs="Arial"/>
        <w:b w:val="0"/>
        <w:i/>
        <w:sz w:val="18"/>
        <w:szCs w:val="18"/>
        <w:lang w:val="fr-FR"/>
      </w:rPr>
      <w:t xml:space="preserve"> </w:t>
    </w:r>
    <w:r>
      <w:rPr>
        <w:rFonts w:cs="Arial"/>
        <w:b w:val="0"/>
        <w:i/>
        <w:sz w:val="18"/>
        <w:szCs w:val="18"/>
        <w:lang w:val="fr-FR"/>
      </w:rPr>
      <w:t>2</w:t>
    </w:r>
  </w:p>
  <w:p w:rsidR="00D16DA1" w:rsidRPr="00497E66" w:rsidRDefault="00D16DA1"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48D7"/>
    <w:multiLevelType w:val="hybridMultilevel"/>
    <w:tmpl w:val="3506AB86"/>
    <w:lvl w:ilvl="0" w:tplc="70E2F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03B67"/>
    <w:multiLevelType w:val="hybridMultilevel"/>
    <w:tmpl w:val="8DF67D66"/>
    <w:lvl w:ilvl="0" w:tplc="2C7042DE">
      <w:start w:val="1"/>
      <w:numFmt w:val="lowerLetter"/>
      <w:lvlText w:val="%1)"/>
      <w:lvlJc w:val="left"/>
      <w:pPr>
        <w:tabs>
          <w:tab w:val="num" w:pos="1065"/>
        </w:tabs>
        <w:ind w:left="1065" w:hanging="705"/>
      </w:pPr>
      <w:rPr>
        <w:rFonts w:ascii="Arial" w:hAnsi="Arial" w:cs="Times New Roman" w:hint="default"/>
        <w:sz w:val="22"/>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6"/>
  </w:num>
  <w:num w:numId="7">
    <w:abstractNumId w:val="10"/>
  </w:num>
  <w:num w:numId="8">
    <w:abstractNumId w:val="8"/>
  </w:num>
  <w:num w:numId="9">
    <w:abstractNumId w:val="4"/>
  </w:num>
  <w:num w:numId="10">
    <w:abstractNumId w:val="3"/>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613F"/>
    <w:rsid w:val="000254DF"/>
    <w:rsid w:val="00031A88"/>
    <w:rsid w:val="0003449E"/>
    <w:rsid w:val="00036C53"/>
    <w:rsid w:val="00047EF3"/>
    <w:rsid w:val="000518C2"/>
    <w:rsid w:val="00055582"/>
    <w:rsid w:val="00056DC1"/>
    <w:rsid w:val="00060156"/>
    <w:rsid w:val="00062534"/>
    <w:rsid w:val="00062FAE"/>
    <w:rsid w:val="00064AFC"/>
    <w:rsid w:val="00066021"/>
    <w:rsid w:val="00070BBC"/>
    <w:rsid w:val="00073C92"/>
    <w:rsid w:val="00080F03"/>
    <w:rsid w:val="0008223A"/>
    <w:rsid w:val="000851AC"/>
    <w:rsid w:val="000900E1"/>
    <w:rsid w:val="0009076A"/>
    <w:rsid w:val="000B4A25"/>
    <w:rsid w:val="000B6220"/>
    <w:rsid w:val="000C21B1"/>
    <w:rsid w:val="000C3C87"/>
    <w:rsid w:val="000C7460"/>
    <w:rsid w:val="000E01C1"/>
    <w:rsid w:val="000E6759"/>
    <w:rsid w:val="000F0B93"/>
    <w:rsid w:val="000F1156"/>
    <w:rsid w:val="000F4B7D"/>
    <w:rsid w:val="000F52BA"/>
    <w:rsid w:val="00100D0F"/>
    <w:rsid w:val="001111A9"/>
    <w:rsid w:val="00112EFC"/>
    <w:rsid w:val="001151A3"/>
    <w:rsid w:val="00120532"/>
    <w:rsid w:val="001245DF"/>
    <w:rsid w:val="00130BFD"/>
    <w:rsid w:val="001419C7"/>
    <w:rsid w:val="00150AC4"/>
    <w:rsid w:val="00162D88"/>
    <w:rsid w:val="00166ABA"/>
    <w:rsid w:val="001743FD"/>
    <w:rsid w:val="001764E6"/>
    <w:rsid w:val="001808F1"/>
    <w:rsid w:val="00185FF5"/>
    <w:rsid w:val="00195164"/>
    <w:rsid w:val="001A33B6"/>
    <w:rsid w:val="001A4E0C"/>
    <w:rsid w:val="001C069F"/>
    <w:rsid w:val="001C514A"/>
    <w:rsid w:val="001C6038"/>
    <w:rsid w:val="001E0915"/>
    <w:rsid w:val="001E0D2C"/>
    <w:rsid w:val="001F3054"/>
    <w:rsid w:val="001F4806"/>
    <w:rsid w:val="001F60A1"/>
    <w:rsid w:val="00200759"/>
    <w:rsid w:val="00200A67"/>
    <w:rsid w:val="00201BE1"/>
    <w:rsid w:val="00201F88"/>
    <w:rsid w:val="00202332"/>
    <w:rsid w:val="00210613"/>
    <w:rsid w:val="002150FA"/>
    <w:rsid w:val="002210F4"/>
    <w:rsid w:val="00221712"/>
    <w:rsid w:val="00224B1E"/>
    <w:rsid w:val="00224DAD"/>
    <w:rsid w:val="00232C88"/>
    <w:rsid w:val="00233DC6"/>
    <w:rsid w:val="00245E18"/>
    <w:rsid w:val="00254721"/>
    <w:rsid w:val="00257709"/>
    <w:rsid w:val="00260969"/>
    <w:rsid w:val="00263159"/>
    <w:rsid w:val="002638F0"/>
    <w:rsid w:val="002779F7"/>
    <w:rsid w:val="00287939"/>
    <w:rsid w:val="00292B9F"/>
    <w:rsid w:val="0029396C"/>
    <w:rsid w:val="002973EB"/>
    <w:rsid w:val="002A0A1C"/>
    <w:rsid w:val="002A380C"/>
    <w:rsid w:val="002B3498"/>
    <w:rsid w:val="002C187A"/>
    <w:rsid w:val="002C20F1"/>
    <w:rsid w:val="002D2161"/>
    <w:rsid w:val="002D2863"/>
    <w:rsid w:val="002D5EC0"/>
    <w:rsid w:val="002E3DEA"/>
    <w:rsid w:val="002E7CC2"/>
    <w:rsid w:val="002F1C21"/>
    <w:rsid w:val="002F2543"/>
    <w:rsid w:val="002F50FF"/>
    <w:rsid w:val="002F6F9B"/>
    <w:rsid w:val="00301628"/>
    <w:rsid w:val="00304DF6"/>
    <w:rsid w:val="00305903"/>
    <w:rsid w:val="00322DD8"/>
    <w:rsid w:val="0033299A"/>
    <w:rsid w:val="003331C6"/>
    <w:rsid w:val="003331F2"/>
    <w:rsid w:val="003350BA"/>
    <w:rsid w:val="00342BBA"/>
    <w:rsid w:val="00345044"/>
    <w:rsid w:val="00346595"/>
    <w:rsid w:val="00351095"/>
    <w:rsid w:val="00354A9C"/>
    <w:rsid w:val="00357375"/>
    <w:rsid w:val="00364973"/>
    <w:rsid w:val="00364C8C"/>
    <w:rsid w:val="00372347"/>
    <w:rsid w:val="003779D4"/>
    <w:rsid w:val="00382398"/>
    <w:rsid w:val="003909E4"/>
    <w:rsid w:val="003A3E30"/>
    <w:rsid w:val="003A70FE"/>
    <w:rsid w:val="003B0C35"/>
    <w:rsid w:val="003B219E"/>
    <w:rsid w:val="003B50CD"/>
    <w:rsid w:val="003E21B3"/>
    <w:rsid w:val="003F3CAB"/>
    <w:rsid w:val="00402ED2"/>
    <w:rsid w:val="00411E65"/>
    <w:rsid w:val="00412DE9"/>
    <w:rsid w:val="00420040"/>
    <w:rsid w:val="00423388"/>
    <w:rsid w:val="00426D73"/>
    <w:rsid w:val="0044204A"/>
    <w:rsid w:val="00446783"/>
    <w:rsid w:val="00454913"/>
    <w:rsid w:val="00456A74"/>
    <w:rsid w:val="00457441"/>
    <w:rsid w:val="004579F6"/>
    <w:rsid w:val="00461B15"/>
    <w:rsid w:val="0046357C"/>
    <w:rsid w:val="004656D0"/>
    <w:rsid w:val="00465B53"/>
    <w:rsid w:val="004675D1"/>
    <w:rsid w:val="00473795"/>
    <w:rsid w:val="00473ABD"/>
    <w:rsid w:val="00475E72"/>
    <w:rsid w:val="00482DCA"/>
    <w:rsid w:val="00487461"/>
    <w:rsid w:val="00497E66"/>
    <w:rsid w:val="004A03BA"/>
    <w:rsid w:val="004A178A"/>
    <w:rsid w:val="004A3B08"/>
    <w:rsid w:val="004B2A35"/>
    <w:rsid w:val="004B6CFD"/>
    <w:rsid w:val="004C204D"/>
    <w:rsid w:val="004D0436"/>
    <w:rsid w:val="004D0936"/>
    <w:rsid w:val="004E2D81"/>
    <w:rsid w:val="004E7ED7"/>
    <w:rsid w:val="004F1275"/>
    <w:rsid w:val="004F243D"/>
    <w:rsid w:val="004F3D8D"/>
    <w:rsid w:val="005076F1"/>
    <w:rsid w:val="00512530"/>
    <w:rsid w:val="00512B91"/>
    <w:rsid w:val="005158EB"/>
    <w:rsid w:val="0052082F"/>
    <w:rsid w:val="00523632"/>
    <w:rsid w:val="005303B4"/>
    <w:rsid w:val="005375F0"/>
    <w:rsid w:val="00542FCC"/>
    <w:rsid w:val="00557352"/>
    <w:rsid w:val="0055762E"/>
    <w:rsid w:val="005639A2"/>
    <w:rsid w:val="00565445"/>
    <w:rsid w:val="00575334"/>
    <w:rsid w:val="005857BF"/>
    <w:rsid w:val="00593736"/>
    <w:rsid w:val="00597F6A"/>
    <w:rsid w:val="005A3181"/>
    <w:rsid w:val="005B0F06"/>
    <w:rsid w:val="005B6141"/>
    <w:rsid w:val="005C3F15"/>
    <w:rsid w:val="005C5D54"/>
    <w:rsid w:val="005F3989"/>
    <w:rsid w:val="005F4303"/>
    <w:rsid w:val="005F51EE"/>
    <w:rsid w:val="005F7B20"/>
    <w:rsid w:val="005F7DB0"/>
    <w:rsid w:val="00601B52"/>
    <w:rsid w:val="0060280B"/>
    <w:rsid w:val="00604422"/>
    <w:rsid w:val="006125A6"/>
    <w:rsid w:val="0061396C"/>
    <w:rsid w:val="00620809"/>
    <w:rsid w:val="00623F5D"/>
    <w:rsid w:val="006468E8"/>
    <w:rsid w:val="0064780D"/>
    <w:rsid w:val="00651341"/>
    <w:rsid w:val="00653899"/>
    <w:rsid w:val="0065510B"/>
    <w:rsid w:val="00660F39"/>
    <w:rsid w:val="0066148D"/>
    <w:rsid w:val="00666F8B"/>
    <w:rsid w:val="006815B2"/>
    <w:rsid w:val="006826E0"/>
    <w:rsid w:val="00682B31"/>
    <w:rsid w:val="006864E1"/>
    <w:rsid w:val="00691001"/>
    <w:rsid w:val="00696E04"/>
    <w:rsid w:val="006A4C13"/>
    <w:rsid w:val="006B1037"/>
    <w:rsid w:val="006E56AD"/>
    <w:rsid w:val="006E5763"/>
    <w:rsid w:val="006F3883"/>
    <w:rsid w:val="007101BB"/>
    <w:rsid w:val="00713308"/>
    <w:rsid w:val="00713E35"/>
    <w:rsid w:val="00715535"/>
    <w:rsid w:val="00725A91"/>
    <w:rsid w:val="00727E01"/>
    <w:rsid w:val="0073030B"/>
    <w:rsid w:val="00736637"/>
    <w:rsid w:val="007415C9"/>
    <w:rsid w:val="0074451E"/>
    <w:rsid w:val="00745222"/>
    <w:rsid w:val="00750630"/>
    <w:rsid w:val="00752E19"/>
    <w:rsid w:val="00757614"/>
    <w:rsid w:val="00762DCF"/>
    <w:rsid w:val="007728B4"/>
    <w:rsid w:val="00774C1E"/>
    <w:rsid w:val="0077622E"/>
    <w:rsid w:val="00777FE4"/>
    <w:rsid w:val="00784ACA"/>
    <w:rsid w:val="0079075D"/>
    <w:rsid w:val="007910DD"/>
    <w:rsid w:val="00794C7C"/>
    <w:rsid w:val="007A588F"/>
    <w:rsid w:val="007B3BDE"/>
    <w:rsid w:val="007B71BE"/>
    <w:rsid w:val="007C1468"/>
    <w:rsid w:val="007C41D7"/>
    <w:rsid w:val="007D56D0"/>
    <w:rsid w:val="007E4A0F"/>
    <w:rsid w:val="007F08BE"/>
    <w:rsid w:val="007F16FB"/>
    <w:rsid w:val="007F1BBA"/>
    <w:rsid w:val="00803854"/>
    <w:rsid w:val="00806E5E"/>
    <w:rsid w:val="0081600F"/>
    <w:rsid w:val="00823BAD"/>
    <w:rsid w:val="00826912"/>
    <w:rsid w:val="0082722D"/>
    <w:rsid w:val="008274F7"/>
    <w:rsid w:val="00830764"/>
    <w:rsid w:val="008441F9"/>
    <w:rsid w:val="00846A99"/>
    <w:rsid w:val="008571AD"/>
    <w:rsid w:val="00862C2D"/>
    <w:rsid w:val="008641D1"/>
    <w:rsid w:val="00870FB9"/>
    <w:rsid w:val="00872F67"/>
    <w:rsid w:val="008879C1"/>
    <w:rsid w:val="008879E9"/>
    <w:rsid w:val="00893346"/>
    <w:rsid w:val="00894D19"/>
    <w:rsid w:val="008A0D8D"/>
    <w:rsid w:val="008B1A69"/>
    <w:rsid w:val="008C1A39"/>
    <w:rsid w:val="008D1B43"/>
    <w:rsid w:val="008E3493"/>
    <w:rsid w:val="008E6F3A"/>
    <w:rsid w:val="008E7656"/>
    <w:rsid w:val="008E7DFB"/>
    <w:rsid w:val="008F56A2"/>
    <w:rsid w:val="008F58F6"/>
    <w:rsid w:val="008F7327"/>
    <w:rsid w:val="008F77A6"/>
    <w:rsid w:val="0090059C"/>
    <w:rsid w:val="0090611A"/>
    <w:rsid w:val="009076C8"/>
    <w:rsid w:val="00915BBE"/>
    <w:rsid w:val="009204C9"/>
    <w:rsid w:val="00921D62"/>
    <w:rsid w:val="00922791"/>
    <w:rsid w:val="00927CD6"/>
    <w:rsid w:val="00930581"/>
    <w:rsid w:val="00933572"/>
    <w:rsid w:val="009363C7"/>
    <w:rsid w:val="00936A94"/>
    <w:rsid w:val="00941129"/>
    <w:rsid w:val="00972D36"/>
    <w:rsid w:val="00973BFB"/>
    <w:rsid w:val="00980406"/>
    <w:rsid w:val="0098718F"/>
    <w:rsid w:val="0098789D"/>
    <w:rsid w:val="009878EA"/>
    <w:rsid w:val="009934D0"/>
    <w:rsid w:val="0099363A"/>
    <w:rsid w:val="00994621"/>
    <w:rsid w:val="00996D85"/>
    <w:rsid w:val="009A21EE"/>
    <w:rsid w:val="009A2C8F"/>
    <w:rsid w:val="009A7B65"/>
    <w:rsid w:val="009B4010"/>
    <w:rsid w:val="009C0557"/>
    <w:rsid w:val="009C154C"/>
    <w:rsid w:val="009D2AD6"/>
    <w:rsid w:val="009D318B"/>
    <w:rsid w:val="009D3A07"/>
    <w:rsid w:val="009D4711"/>
    <w:rsid w:val="009D5DA6"/>
    <w:rsid w:val="009D6252"/>
    <w:rsid w:val="009E000C"/>
    <w:rsid w:val="009E3A84"/>
    <w:rsid w:val="009E72D7"/>
    <w:rsid w:val="009E7ACC"/>
    <w:rsid w:val="009F450E"/>
    <w:rsid w:val="009F54DA"/>
    <w:rsid w:val="00A04629"/>
    <w:rsid w:val="00A06984"/>
    <w:rsid w:val="00A12DE2"/>
    <w:rsid w:val="00A1324E"/>
    <w:rsid w:val="00A14313"/>
    <w:rsid w:val="00A15B6E"/>
    <w:rsid w:val="00A27BE3"/>
    <w:rsid w:val="00A31802"/>
    <w:rsid w:val="00A339B9"/>
    <w:rsid w:val="00A40EDF"/>
    <w:rsid w:val="00A456E1"/>
    <w:rsid w:val="00A549F1"/>
    <w:rsid w:val="00A568DF"/>
    <w:rsid w:val="00A64419"/>
    <w:rsid w:val="00A6744B"/>
    <w:rsid w:val="00A73A79"/>
    <w:rsid w:val="00A93C52"/>
    <w:rsid w:val="00AA2D9E"/>
    <w:rsid w:val="00AA2E9E"/>
    <w:rsid w:val="00AA2F5B"/>
    <w:rsid w:val="00AA451A"/>
    <w:rsid w:val="00AA7368"/>
    <w:rsid w:val="00AB4FF9"/>
    <w:rsid w:val="00AD0FE5"/>
    <w:rsid w:val="00AE1845"/>
    <w:rsid w:val="00AE7B21"/>
    <w:rsid w:val="00AF1980"/>
    <w:rsid w:val="00AF2021"/>
    <w:rsid w:val="00B00120"/>
    <w:rsid w:val="00B016F8"/>
    <w:rsid w:val="00B025B7"/>
    <w:rsid w:val="00B126CD"/>
    <w:rsid w:val="00B138E6"/>
    <w:rsid w:val="00B13A66"/>
    <w:rsid w:val="00B16526"/>
    <w:rsid w:val="00B27AD2"/>
    <w:rsid w:val="00B37ED7"/>
    <w:rsid w:val="00B40951"/>
    <w:rsid w:val="00B471BD"/>
    <w:rsid w:val="00B50396"/>
    <w:rsid w:val="00B50C2D"/>
    <w:rsid w:val="00B50F4B"/>
    <w:rsid w:val="00B51DBD"/>
    <w:rsid w:val="00B556E6"/>
    <w:rsid w:val="00B561BA"/>
    <w:rsid w:val="00B64904"/>
    <w:rsid w:val="00B721C9"/>
    <w:rsid w:val="00B77432"/>
    <w:rsid w:val="00B828D6"/>
    <w:rsid w:val="00B8545C"/>
    <w:rsid w:val="00B85477"/>
    <w:rsid w:val="00B932AF"/>
    <w:rsid w:val="00BA3471"/>
    <w:rsid w:val="00BA4513"/>
    <w:rsid w:val="00BA60CE"/>
    <w:rsid w:val="00BA6D0B"/>
    <w:rsid w:val="00BB7AB8"/>
    <w:rsid w:val="00BC5607"/>
    <w:rsid w:val="00BD0765"/>
    <w:rsid w:val="00BD29BA"/>
    <w:rsid w:val="00BE0D1D"/>
    <w:rsid w:val="00BE2448"/>
    <w:rsid w:val="00BE24D4"/>
    <w:rsid w:val="00BE7F50"/>
    <w:rsid w:val="00BF1140"/>
    <w:rsid w:val="00BF2BE7"/>
    <w:rsid w:val="00BF4512"/>
    <w:rsid w:val="00C05102"/>
    <w:rsid w:val="00C06AEF"/>
    <w:rsid w:val="00C13FA6"/>
    <w:rsid w:val="00C169ED"/>
    <w:rsid w:val="00C44645"/>
    <w:rsid w:val="00C5484D"/>
    <w:rsid w:val="00C60175"/>
    <w:rsid w:val="00C618F2"/>
    <w:rsid w:val="00C66A96"/>
    <w:rsid w:val="00C6742B"/>
    <w:rsid w:val="00C72E76"/>
    <w:rsid w:val="00C73207"/>
    <w:rsid w:val="00C7602A"/>
    <w:rsid w:val="00C82160"/>
    <w:rsid w:val="00C82ED9"/>
    <w:rsid w:val="00C840D0"/>
    <w:rsid w:val="00C868D9"/>
    <w:rsid w:val="00C877EE"/>
    <w:rsid w:val="00C87D68"/>
    <w:rsid w:val="00C9281B"/>
    <w:rsid w:val="00C95DDC"/>
    <w:rsid w:val="00CA367A"/>
    <w:rsid w:val="00CB1D26"/>
    <w:rsid w:val="00CC4C21"/>
    <w:rsid w:val="00CC57AD"/>
    <w:rsid w:val="00CD0FE9"/>
    <w:rsid w:val="00CD7355"/>
    <w:rsid w:val="00CE494E"/>
    <w:rsid w:val="00CE5B83"/>
    <w:rsid w:val="00CE7497"/>
    <w:rsid w:val="00CF46B6"/>
    <w:rsid w:val="00CF6EDD"/>
    <w:rsid w:val="00D03D59"/>
    <w:rsid w:val="00D04A58"/>
    <w:rsid w:val="00D05922"/>
    <w:rsid w:val="00D107A3"/>
    <w:rsid w:val="00D137F2"/>
    <w:rsid w:val="00D1452D"/>
    <w:rsid w:val="00D147EA"/>
    <w:rsid w:val="00D16DA1"/>
    <w:rsid w:val="00D21383"/>
    <w:rsid w:val="00D27CD6"/>
    <w:rsid w:val="00D353B5"/>
    <w:rsid w:val="00D3599E"/>
    <w:rsid w:val="00D42AE1"/>
    <w:rsid w:val="00D46C91"/>
    <w:rsid w:val="00D52FC4"/>
    <w:rsid w:val="00D55CD2"/>
    <w:rsid w:val="00D605A4"/>
    <w:rsid w:val="00D61B13"/>
    <w:rsid w:val="00D7746A"/>
    <w:rsid w:val="00D838FE"/>
    <w:rsid w:val="00D8406F"/>
    <w:rsid w:val="00D859C7"/>
    <w:rsid w:val="00D9021F"/>
    <w:rsid w:val="00DA018B"/>
    <w:rsid w:val="00DA1080"/>
    <w:rsid w:val="00DA12C2"/>
    <w:rsid w:val="00DA14F1"/>
    <w:rsid w:val="00DA28FC"/>
    <w:rsid w:val="00DB30A6"/>
    <w:rsid w:val="00DC30DD"/>
    <w:rsid w:val="00DD6A9E"/>
    <w:rsid w:val="00DE37B8"/>
    <w:rsid w:val="00DE44D1"/>
    <w:rsid w:val="00DF0CD1"/>
    <w:rsid w:val="00DF5829"/>
    <w:rsid w:val="00DF6B58"/>
    <w:rsid w:val="00E0742A"/>
    <w:rsid w:val="00E23367"/>
    <w:rsid w:val="00E3073E"/>
    <w:rsid w:val="00E31569"/>
    <w:rsid w:val="00E31B92"/>
    <w:rsid w:val="00E32C6D"/>
    <w:rsid w:val="00E475D4"/>
    <w:rsid w:val="00E730BA"/>
    <w:rsid w:val="00E74D1C"/>
    <w:rsid w:val="00E81115"/>
    <w:rsid w:val="00E8776E"/>
    <w:rsid w:val="00E9237A"/>
    <w:rsid w:val="00E9304C"/>
    <w:rsid w:val="00EA0B88"/>
    <w:rsid w:val="00EB2285"/>
    <w:rsid w:val="00EB51F9"/>
    <w:rsid w:val="00EC4294"/>
    <w:rsid w:val="00EC681E"/>
    <w:rsid w:val="00ED02D3"/>
    <w:rsid w:val="00ED477B"/>
    <w:rsid w:val="00ED5E31"/>
    <w:rsid w:val="00EE4815"/>
    <w:rsid w:val="00EE64C1"/>
    <w:rsid w:val="00EF001D"/>
    <w:rsid w:val="00EF5F1D"/>
    <w:rsid w:val="00F05AA0"/>
    <w:rsid w:val="00F061CB"/>
    <w:rsid w:val="00F10D2D"/>
    <w:rsid w:val="00F11793"/>
    <w:rsid w:val="00F24050"/>
    <w:rsid w:val="00F248AA"/>
    <w:rsid w:val="00F31539"/>
    <w:rsid w:val="00F37874"/>
    <w:rsid w:val="00F41650"/>
    <w:rsid w:val="00F444EC"/>
    <w:rsid w:val="00F45FE3"/>
    <w:rsid w:val="00F54D03"/>
    <w:rsid w:val="00F57F37"/>
    <w:rsid w:val="00F632C8"/>
    <w:rsid w:val="00F6347A"/>
    <w:rsid w:val="00F732A6"/>
    <w:rsid w:val="00F7503A"/>
    <w:rsid w:val="00F80521"/>
    <w:rsid w:val="00F81FEF"/>
    <w:rsid w:val="00F978B9"/>
    <w:rsid w:val="00FA2476"/>
    <w:rsid w:val="00FA4A5B"/>
    <w:rsid w:val="00FA61AF"/>
    <w:rsid w:val="00FA750B"/>
    <w:rsid w:val="00FB2C17"/>
    <w:rsid w:val="00FC111C"/>
    <w:rsid w:val="00FD3A06"/>
    <w:rsid w:val="00FD7D14"/>
    <w:rsid w:val="00FE79B8"/>
    <w:rsid w:val="00FF06ED"/>
    <w:rsid w:val="00FF7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B79BCA5"/>
  <w15:docId w15:val="{AF221128-751C-4B42-9468-2CACD9F8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NoSpacing">
    <w:name w:val="No Spacing"/>
    <w:uiPriority w:val="1"/>
    <w:qFormat/>
    <w:rsid w:val="0033299A"/>
    <w:rPr>
      <w:rFonts w:ascii="Palatino Linotype" w:eastAsia="Palatino Linotype" w:hAnsi="Palatino Linotype"/>
      <w:sz w:val="22"/>
      <w:szCs w:val="22"/>
    </w:rPr>
  </w:style>
  <w:style w:type="table" w:styleId="TableGrid">
    <w:name w:val="Table Grid"/>
    <w:basedOn w:val="TableNormal"/>
    <w:uiPriority w:val="59"/>
    <w:locked/>
    <w:rsid w:val="00245E18"/>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45E18"/>
  </w:style>
  <w:style w:type="paragraph" w:customStyle="1" w:styleId="xl66">
    <w:name w:val="xl66"/>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67">
    <w:name w:val="xl67"/>
    <w:basedOn w:val="Normal"/>
    <w:rsid w:val="00245E18"/>
    <w:pPr>
      <w:widowControl/>
      <w:autoSpaceDE/>
      <w:autoSpaceDN/>
      <w:adjustRightInd/>
      <w:spacing w:before="100" w:beforeAutospacing="1" w:after="100" w:afterAutospacing="1"/>
      <w:textAlignment w:val="center"/>
    </w:pPr>
    <w:rPr>
      <w:rFonts w:ascii="Times New Roman" w:hAnsi="Times New Roman"/>
      <w:sz w:val="24"/>
    </w:rPr>
  </w:style>
  <w:style w:type="paragraph" w:customStyle="1" w:styleId="xl68">
    <w:name w:val="xl68"/>
    <w:basedOn w:val="Normal"/>
    <w:rsid w:val="00245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rPr>
  </w:style>
  <w:style w:type="paragraph" w:customStyle="1" w:styleId="xl70">
    <w:name w:val="xl70"/>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styleId="BodyTextIndent3">
    <w:name w:val="Body Text Indent 3"/>
    <w:basedOn w:val="Normal"/>
    <w:link w:val="BodyTextIndent3Char"/>
    <w:uiPriority w:val="99"/>
    <w:semiHidden/>
    <w:unhideWhenUsed/>
    <w:rsid w:val="00245E1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245E18"/>
    <w:rPr>
      <w:rFonts w:ascii="Times New Roman" w:hAnsi="Times New Roman"/>
      <w:sz w:val="16"/>
      <w:szCs w:val="16"/>
    </w:rPr>
  </w:style>
  <w:style w:type="character" w:customStyle="1" w:styleId="NormalnumberChar">
    <w:name w:val="Normal_number Char"/>
    <w:link w:val="Normalnumber"/>
    <w:locked/>
    <w:rsid w:val="00245E18"/>
    <w:rPr>
      <w:lang w:val="en-GB"/>
    </w:rPr>
  </w:style>
  <w:style w:type="paragraph" w:customStyle="1" w:styleId="Normalnumber">
    <w:name w:val="Normal_number"/>
    <w:basedOn w:val="Normal"/>
    <w:link w:val="NormalnumberChar"/>
    <w:rsid w:val="00245E18"/>
    <w:pPr>
      <w:widowControl/>
      <w:numPr>
        <w:numId w:val="10"/>
      </w:numPr>
      <w:tabs>
        <w:tab w:val="left" w:pos="624"/>
      </w:tabs>
      <w:autoSpaceDE/>
      <w:autoSpaceDN/>
      <w:adjustRightInd/>
      <w:spacing w:after="120"/>
    </w:pPr>
    <w:rPr>
      <w:lang w:val="en-GB"/>
    </w:rPr>
  </w:style>
  <w:style w:type="paragraph" w:customStyle="1" w:styleId="msonormal0">
    <w:name w:val="msonormal"/>
    <w:basedOn w:val="Normal"/>
    <w:rsid w:val="00245E18"/>
    <w:pPr>
      <w:widowControl/>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rsid w:val="00245E18"/>
    <w:pPr>
      <w:widowControl/>
      <w:autoSpaceDE/>
      <w:autoSpaceDN/>
      <w:adjustRightInd/>
      <w:spacing w:before="100" w:beforeAutospacing="1" w:after="100" w:afterAutospacing="1"/>
      <w:jc w:val="center"/>
      <w:textAlignment w:val="top"/>
    </w:pPr>
    <w:rPr>
      <w:rFonts w:ascii="Times New Roman" w:hAnsi="Times New Roman"/>
      <w:sz w:val="24"/>
    </w:rPr>
  </w:style>
  <w:style w:type="paragraph" w:customStyle="1" w:styleId="xl72">
    <w:name w:val="xl72"/>
    <w:basedOn w:val="Normal"/>
    <w:rsid w:val="00245E18"/>
    <w:pPr>
      <w:widowControl/>
      <w:autoSpaceDE/>
      <w:autoSpaceDN/>
      <w:adjustRightInd/>
      <w:spacing w:before="100" w:beforeAutospacing="1" w:after="100" w:afterAutospacing="1"/>
      <w:textAlignment w:val="top"/>
    </w:pPr>
    <w:rPr>
      <w:rFonts w:ascii="Times New Roman" w:hAnsi="Times New Roman"/>
      <w:sz w:val="24"/>
    </w:rPr>
  </w:style>
  <w:style w:type="paragraph" w:customStyle="1" w:styleId="xl73">
    <w:name w:val="xl73"/>
    <w:basedOn w:val="Normal"/>
    <w:rsid w:val="00245E18"/>
    <w:pPr>
      <w:widowControl/>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4">
    <w:name w:val="xl74"/>
    <w:basedOn w:val="Normal"/>
    <w:rsid w:val="00245E18"/>
    <w:pPr>
      <w:widowControl/>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75">
    <w:name w:val="xl75"/>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6">
    <w:name w:val="xl7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7">
    <w:name w:val="xl7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8">
    <w:name w:val="xl78"/>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9">
    <w:name w:val="xl7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80">
    <w:name w:val="xl80"/>
    <w:basedOn w:val="Normal"/>
    <w:rsid w:val="00245E18"/>
    <w:pPr>
      <w:widowControl/>
      <w:pBdr>
        <w:top w:val="single" w:sz="8"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1">
    <w:name w:val="xl8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2">
    <w:name w:val="xl82"/>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3">
    <w:name w:val="xl83"/>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4">
    <w:name w:val="xl84"/>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5">
    <w:name w:val="xl85"/>
    <w:basedOn w:val="Normal"/>
    <w:rsid w:val="00245E18"/>
    <w:pPr>
      <w:widowControl/>
      <w:pBdr>
        <w:top w:val="dotted" w:sz="4"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6">
    <w:name w:val="xl8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7">
    <w:name w:val="xl8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8">
    <w:name w:val="xl88"/>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9">
    <w:name w:val="xl89"/>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0">
    <w:name w:val="xl90"/>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1">
    <w:name w:val="xl91"/>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2">
    <w:name w:val="xl92"/>
    <w:basedOn w:val="Normal"/>
    <w:rsid w:val="00245E18"/>
    <w:pPr>
      <w:widowControl/>
      <w:pBdr>
        <w:top w:val="dotted"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3">
    <w:name w:val="xl9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4">
    <w:name w:val="xl94"/>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5">
    <w:name w:val="xl95"/>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6">
    <w:name w:val="xl96"/>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7">
    <w:name w:val="xl97"/>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98">
    <w:name w:val="xl98"/>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4"/>
    </w:rPr>
  </w:style>
  <w:style w:type="paragraph" w:customStyle="1" w:styleId="xl99">
    <w:name w:val="xl9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0">
    <w:name w:val="xl100"/>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1">
    <w:name w:val="xl10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2">
    <w:name w:val="xl102"/>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3">
    <w:name w:val="xl10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4">
    <w:name w:val="xl104"/>
    <w:basedOn w:val="Normal"/>
    <w:rsid w:val="00245E18"/>
    <w:pPr>
      <w:widowControl/>
      <w:pBdr>
        <w:top w:val="single" w:sz="4" w:space="0" w:color="auto"/>
        <w:left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5">
    <w:name w:val="xl105"/>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6">
    <w:name w:val="xl106"/>
    <w:basedOn w:val="Normal"/>
    <w:rsid w:val="00245E18"/>
    <w:pPr>
      <w:widowControl/>
      <w:autoSpaceDE/>
      <w:autoSpaceDN/>
      <w:adjustRightInd/>
      <w:spacing w:before="100" w:beforeAutospacing="1" w:after="100" w:afterAutospacing="1"/>
      <w:textAlignment w:val="top"/>
    </w:pPr>
    <w:rPr>
      <w:rFonts w:ascii="Times New Roman" w:hAnsi="Times New Roman"/>
      <w:i/>
      <w:iCs/>
      <w:sz w:val="24"/>
    </w:rPr>
  </w:style>
  <w:style w:type="paragraph" w:customStyle="1" w:styleId="xl107">
    <w:name w:val="xl107"/>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8">
    <w:name w:val="xl108"/>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9">
    <w:name w:val="xl109"/>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0">
    <w:name w:val="xl110"/>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1">
    <w:name w:val="xl111"/>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2">
    <w:name w:val="xl112"/>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3">
    <w:name w:val="xl113"/>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4">
    <w:name w:val="xl114"/>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96960">
      <w:bodyDiv w:val="1"/>
      <w:marLeft w:val="0"/>
      <w:marRight w:val="0"/>
      <w:marTop w:val="0"/>
      <w:marBottom w:val="0"/>
      <w:divBdr>
        <w:top w:val="none" w:sz="0" w:space="0" w:color="auto"/>
        <w:left w:val="none" w:sz="0" w:space="0" w:color="auto"/>
        <w:bottom w:val="none" w:sz="0" w:space="0" w:color="auto"/>
        <w:right w:val="none" w:sz="0" w:space="0" w:color="auto"/>
      </w:divBdr>
      <w:divsChild>
        <w:div w:id="1403795091">
          <w:marLeft w:val="0"/>
          <w:marRight w:val="0"/>
          <w:marTop w:val="0"/>
          <w:marBottom w:val="0"/>
          <w:divBdr>
            <w:top w:val="none" w:sz="0" w:space="0" w:color="auto"/>
            <w:left w:val="none" w:sz="0" w:space="0" w:color="auto"/>
            <w:bottom w:val="none" w:sz="0" w:space="0" w:color="auto"/>
            <w:right w:val="none" w:sz="0" w:space="0" w:color="auto"/>
          </w:divBdr>
          <w:divsChild>
            <w:div w:id="103038575">
              <w:marLeft w:val="0"/>
              <w:marRight w:val="0"/>
              <w:marTop w:val="0"/>
              <w:marBottom w:val="0"/>
              <w:divBdr>
                <w:top w:val="none" w:sz="0" w:space="0" w:color="auto"/>
                <w:left w:val="none" w:sz="0" w:space="0" w:color="auto"/>
                <w:bottom w:val="none" w:sz="0" w:space="0" w:color="auto"/>
                <w:right w:val="none" w:sz="0" w:space="0" w:color="auto"/>
              </w:divBdr>
              <w:divsChild>
                <w:div w:id="872497153">
                  <w:marLeft w:val="0"/>
                  <w:marRight w:val="0"/>
                  <w:marTop w:val="0"/>
                  <w:marBottom w:val="0"/>
                  <w:divBdr>
                    <w:top w:val="none" w:sz="0" w:space="0" w:color="auto"/>
                    <w:left w:val="none" w:sz="0" w:space="0" w:color="auto"/>
                    <w:bottom w:val="none" w:sz="0" w:space="0" w:color="auto"/>
                    <w:right w:val="none" w:sz="0" w:space="0" w:color="auto"/>
                  </w:divBdr>
                  <w:divsChild>
                    <w:div w:id="2047565258">
                      <w:marLeft w:val="0"/>
                      <w:marRight w:val="0"/>
                      <w:marTop w:val="0"/>
                      <w:marBottom w:val="0"/>
                      <w:divBdr>
                        <w:top w:val="none" w:sz="0" w:space="0" w:color="auto"/>
                        <w:left w:val="none" w:sz="0" w:space="0" w:color="auto"/>
                        <w:bottom w:val="none" w:sz="0" w:space="0" w:color="auto"/>
                        <w:right w:val="none" w:sz="0" w:space="0" w:color="auto"/>
                      </w:divBdr>
                      <w:divsChild>
                        <w:div w:id="509105261">
                          <w:marLeft w:val="0"/>
                          <w:marRight w:val="0"/>
                          <w:marTop w:val="0"/>
                          <w:marBottom w:val="0"/>
                          <w:divBdr>
                            <w:top w:val="none" w:sz="0" w:space="0" w:color="auto"/>
                            <w:left w:val="none" w:sz="0" w:space="0" w:color="auto"/>
                            <w:bottom w:val="none" w:sz="0" w:space="0" w:color="auto"/>
                            <w:right w:val="none" w:sz="0" w:space="0" w:color="auto"/>
                          </w:divBdr>
                          <w:divsChild>
                            <w:div w:id="1681932757">
                              <w:marLeft w:val="0"/>
                              <w:marRight w:val="0"/>
                              <w:marTop w:val="0"/>
                              <w:marBottom w:val="0"/>
                              <w:divBdr>
                                <w:top w:val="none" w:sz="0" w:space="0" w:color="auto"/>
                                <w:left w:val="none" w:sz="0" w:space="0" w:color="auto"/>
                                <w:bottom w:val="none" w:sz="0" w:space="0" w:color="auto"/>
                                <w:right w:val="none" w:sz="0" w:space="0" w:color="auto"/>
                              </w:divBdr>
                              <w:divsChild>
                                <w:div w:id="1096905215">
                                  <w:marLeft w:val="0"/>
                                  <w:marRight w:val="0"/>
                                  <w:marTop w:val="24"/>
                                  <w:marBottom w:val="1800"/>
                                  <w:divBdr>
                                    <w:top w:val="none" w:sz="0" w:space="0" w:color="auto"/>
                                    <w:left w:val="none" w:sz="0" w:space="0" w:color="auto"/>
                                    <w:bottom w:val="none" w:sz="0" w:space="0" w:color="auto"/>
                                    <w:right w:val="none" w:sz="0" w:space="0" w:color="auto"/>
                                  </w:divBdr>
                                  <w:divsChild>
                                    <w:div w:id="2056657006">
                                      <w:marLeft w:val="0"/>
                                      <w:marRight w:val="0"/>
                                      <w:marTop w:val="0"/>
                                      <w:marBottom w:val="0"/>
                                      <w:divBdr>
                                        <w:top w:val="none" w:sz="0" w:space="0" w:color="auto"/>
                                        <w:left w:val="none" w:sz="0" w:space="0" w:color="auto"/>
                                        <w:bottom w:val="none" w:sz="0" w:space="0" w:color="auto"/>
                                        <w:right w:val="none" w:sz="0" w:space="0" w:color="auto"/>
                                      </w:divBdr>
                                      <w:divsChild>
                                        <w:div w:id="1428885398">
                                          <w:marLeft w:val="0"/>
                                          <w:marRight w:val="0"/>
                                          <w:marTop w:val="0"/>
                                          <w:marBottom w:val="0"/>
                                          <w:divBdr>
                                            <w:top w:val="none" w:sz="0" w:space="0" w:color="auto"/>
                                            <w:left w:val="none" w:sz="0" w:space="0" w:color="auto"/>
                                            <w:bottom w:val="none" w:sz="0" w:space="0" w:color="auto"/>
                                            <w:right w:val="none" w:sz="0" w:space="0" w:color="auto"/>
                                          </w:divBdr>
                                          <w:divsChild>
                                            <w:div w:id="131994284">
                                              <w:marLeft w:val="0"/>
                                              <w:marRight w:val="0"/>
                                              <w:marTop w:val="0"/>
                                              <w:marBottom w:val="0"/>
                                              <w:divBdr>
                                                <w:top w:val="none" w:sz="0" w:space="0" w:color="auto"/>
                                                <w:left w:val="none" w:sz="0" w:space="0" w:color="auto"/>
                                                <w:bottom w:val="none" w:sz="0" w:space="0" w:color="auto"/>
                                                <w:right w:val="none" w:sz="0" w:space="0" w:color="auto"/>
                                              </w:divBdr>
                                              <w:divsChild>
                                                <w:div w:id="1562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54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6BE1-3583-4B53-8C15-4AE05437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39</TotalTime>
  <Pages>27</Pages>
  <Words>9542</Words>
  <Characters>47657</Characters>
  <Application>Microsoft Office Word</Application>
  <DocSecurity>0</DocSecurity>
  <Lines>397</Lines>
  <Paragraphs>114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57085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22</cp:revision>
  <cp:lastPrinted>2017-07-24T11:17:00Z</cp:lastPrinted>
  <dcterms:created xsi:type="dcterms:W3CDTF">2017-07-24T10:40:00Z</dcterms:created>
  <dcterms:modified xsi:type="dcterms:W3CDTF">2017-07-25T07:27:00Z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