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4B" w:rsidRPr="0095576E" w:rsidRDefault="00094D4B" w:rsidP="00094D4B">
      <w:pPr>
        <w:tabs>
          <w:tab w:val="left" w:pos="-1057"/>
          <w:tab w:val="left" w:pos="-720"/>
        </w:tabs>
        <w:ind w:left="-90"/>
        <w:rPr>
          <w:rFonts w:cs="Arial"/>
          <w:spacing w:val="-8"/>
          <w:sz w:val="12"/>
          <w:szCs w:val="12"/>
          <w:lang w:val="fr-FR"/>
        </w:rPr>
      </w:pPr>
    </w:p>
    <w:p w:rsidR="00094D4B" w:rsidRPr="0095576E" w:rsidRDefault="00094D4B" w:rsidP="00094D4B">
      <w:pPr>
        <w:tabs>
          <w:tab w:val="left" w:pos="-1057"/>
          <w:tab w:val="left" w:pos="-720"/>
        </w:tabs>
        <w:rPr>
          <w:rFonts w:cs="Arial"/>
          <w:sz w:val="22"/>
          <w:szCs w:val="22"/>
          <w:lang w:val="fr-FR"/>
        </w:rPr>
      </w:pPr>
      <w:r w:rsidRPr="0095576E">
        <w:rPr>
          <w:rFonts w:eastAsia="Arial" w:cs="Arial"/>
          <w:sz w:val="22"/>
          <w:szCs w:val="22"/>
          <w:bdr w:val="nil"/>
          <w:lang w:val="fr-FR"/>
        </w:rPr>
        <w:t>12</w:t>
      </w:r>
      <w:r w:rsidRPr="0095576E">
        <w:rPr>
          <w:rFonts w:eastAsia="Arial" w:cs="Arial"/>
          <w:sz w:val="22"/>
          <w:szCs w:val="22"/>
          <w:bdr w:val="nil"/>
          <w:vertAlign w:val="superscript"/>
          <w:lang w:val="fr-FR"/>
        </w:rPr>
        <w:t>ème</w:t>
      </w:r>
      <w:r w:rsidRPr="0095576E">
        <w:rPr>
          <w:rFonts w:eastAsia="Arial" w:cs="Arial"/>
          <w:sz w:val="22"/>
          <w:szCs w:val="22"/>
          <w:bdr w:val="nil"/>
          <w:lang w:val="fr-FR"/>
        </w:rPr>
        <w:t xml:space="preserve"> SESSION DE LA CONFÉRENCE DES PARTIES</w:t>
      </w:r>
    </w:p>
    <w:p w:rsidR="00094D4B" w:rsidRPr="0095576E" w:rsidRDefault="00094D4B" w:rsidP="00094D4B">
      <w:pPr>
        <w:pStyle w:val="Heading2"/>
        <w:keepNext w:val="0"/>
        <w:spacing w:line="228" w:lineRule="auto"/>
        <w:rPr>
          <w:rFonts w:cs="Arial"/>
          <w:b w:val="0"/>
          <w:bCs w:val="0"/>
          <w:sz w:val="22"/>
          <w:szCs w:val="22"/>
          <w:lang w:val="fr-FR"/>
        </w:rPr>
      </w:pPr>
      <w:r w:rsidRPr="0095576E">
        <w:rPr>
          <w:rFonts w:eastAsia="Arial" w:cs="Arial"/>
          <w:b w:val="0"/>
          <w:sz w:val="22"/>
          <w:szCs w:val="22"/>
          <w:bdr w:val="nil"/>
          <w:lang w:val="fr-FR"/>
        </w:rPr>
        <w:t>Manille, Philippines, 23 - 28 octobre 2017</w:t>
      </w:r>
    </w:p>
    <w:p w:rsidR="00094D4B" w:rsidRPr="0095576E" w:rsidRDefault="00094D4B" w:rsidP="00094D4B">
      <w:pPr>
        <w:spacing w:line="228" w:lineRule="auto"/>
        <w:rPr>
          <w:rFonts w:cs="Arial"/>
          <w:iCs/>
          <w:sz w:val="22"/>
          <w:szCs w:val="22"/>
          <w:lang w:val="fr-FR"/>
        </w:rPr>
      </w:pPr>
      <w:r w:rsidRPr="0095576E">
        <w:rPr>
          <w:rFonts w:eastAsia="Arial" w:cs="Arial"/>
          <w:iCs/>
          <w:sz w:val="22"/>
          <w:szCs w:val="22"/>
          <w:bdr w:val="nil"/>
          <w:lang w:val="fr-FR"/>
        </w:rPr>
        <w:t>Point 14.1 de l’ordre du jour</w:t>
      </w:r>
    </w:p>
    <w:p w:rsidR="00094D4B" w:rsidRPr="0095576E" w:rsidRDefault="00094D4B" w:rsidP="00094D4B">
      <w:pPr>
        <w:spacing w:line="228" w:lineRule="auto"/>
        <w:rPr>
          <w:rFonts w:cs="Arial"/>
          <w:iCs/>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75C62" w:rsidRPr="0095576E" w:rsidTr="00094D4B">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094D4B" w:rsidRPr="0095576E" w:rsidRDefault="00094D4B" w:rsidP="00A90356">
            <w:pPr>
              <w:tabs>
                <w:tab w:val="left" w:pos="-1057"/>
                <w:tab w:val="left" w:pos="-720"/>
                <w:tab w:val="left" w:pos="0"/>
                <w:tab w:val="left" w:pos="141"/>
                <w:tab w:val="left" w:pos="480"/>
                <w:tab w:val="left" w:pos="720"/>
                <w:tab w:val="left" w:pos="1155"/>
                <w:tab w:val="right" w:pos="9072"/>
                <w:tab w:val="right" w:pos="9432"/>
              </w:tabs>
              <w:rPr>
                <w:rFonts w:cs="Arial"/>
                <w:sz w:val="22"/>
                <w:szCs w:val="22"/>
                <w:lang w:val="fr-FR"/>
              </w:rPr>
            </w:pPr>
            <w:r w:rsidRPr="0095576E">
              <w:rPr>
                <w:rFonts w:eastAsia="Arial" w:cs="Arial"/>
                <w:b/>
                <w:bCs/>
                <w:sz w:val="28"/>
                <w:szCs w:val="28"/>
                <w:bdr w:val="nil"/>
                <w:lang w:val="fr-FR"/>
              </w:rPr>
              <w:tab/>
            </w:r>
            <w:r w:rsidRPr="0095576E">
              <w:rPr>
                <w:rFonts w:eastAsia="Arial" w:cs="Arial"/>
                <w:b/>
                <w:bCs/>
                <w:sz w:val="28"/>
                <w:szCs w:val="28"/>
                <w:bdr w:val="nil"/>
                <w:lang w:val="fr-FR"/>
              </w:rPr>
              <w:tab/>
            </w:r>
            <w:r w:rsidR="00A90356">
              <w:rPr>
                <w:rFonts w:eastAsia="Arial" w:cs="Arial"/>
                <w:b/>
                <w:bCs/>
                <w:sz w:val="28"/>
                <w:szCs w:val="28"/>
                <w:bdr w:val="nil"/>
                <w:lang w:val="fr-FR"/>
              </w:rPr>
              <w:tab/>
            </w:r>
            <w:r w:rsidRPr="0095576E">
              <w:rPr>
                <w:rFonts w:eastAsia="Arial" w:cs="Arial"/>
                <w:b/>
                <w:bCs/>
                <w:sz w:val="28"/>
                <w:szCs w:val="28"/>
                <w:bdr w:val="nil"/>
                <w:lang w:val="fr-FR"/>
              </w:rPr>
              <w:tab/>
            </w:r>
            <w:r w:rsidRPr="0095576E">
              <w:rPr>
                <w:rFonts w:eastAsia="Arial" w:cs="Arial"/>
                <w:b/>
                <w:bCs/>
                <w:sz w:val="28"/>
                <w:szCs w:val="28"/>
                <w:bdr w:val="nil"/>
                <w:lang w:val="fr-FR"/>
              </w:rPr>
              <w:tab/>
              <w:t>CMS</w:t>
            </w:r>
          </w:p>
          <w:p w:rsidR="00094D4B" w:rsidRPr="0095576E" w:rsidRDefault="00094D4B" w:rsidP="00094D4B">
            <w:pPr>
              <w:tabs>
                <w:tab w:val="left" w:pos="-1057"/>
                <w:tab w:val="left" w:pos="-720"/>
                <w:tab w:val="left" w:pos="0"/>
                <w:tab w:val="left" w:pos="141"/>
                <w:tab w:val="left" w:pos="720"/>
                <w:tab w:val="right" w:pos="9072"/>
              </w:tabs>
              <w:rPr>
                <w:rFonts w:cs="Arial"/>
                <w:sz w:val="22"/>
                <w:szCs w:val="22"/>
                <w:lang w:val="fr-FR"/>
              </w:rPr>
            </w:pPr>
          </w:p>
        </w:tc>
      </w:tr>
      <w:tr w:rsidR="00A75C62" w:rsidRPr="0095576E" w:rsidTr="00094D4B">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094D4B" w:rsidRPr="0095576E" w:rsidRDefault="00094D4B" w:rsidP="00094D4B">
            <w:pPr>
              <w:rPr>
                <w:rFonts w:cs="Arial"/>
                <w:sz w:val="22"/>
                <w:szCs w:val="22"/>
                <w:lang w:val="fr-FR"/>
              </w:rPr>
            </w:pPr>
            <w:r w:rsidRPr="0095576E">
              <w:rPr>
                <w:rFonts w:cs="Arial"/>
                <w:noProof/>
                <w:sz w:val="22"/>
                <w:szCs w:val="22"/>
              </w:rPr>
              <w:drawing>
                <wp:inline distT="0" distB="0" distL="0" distR="0" wp14:anchorId="5869E6C9" wp14:editId="71C7A19B">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094D4B" w:rsidRPr="0095576E" w:rsidRDefault="00094D4B" w:rsidP="00094D4B">
            <w:pPr>
              <w:rPr>
                <w:rFonts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094D4B" w:rsidRPr="0095576E" w:rsidRDefault="00094D4B" w:rsidP="00094D4B">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fr-FR"/>
              </w:rPr>
            </w:pPr>
          </w:p>
          <w:p w:rsidR="00094D4B" w:rsidRPr="00A90356" w:rsidRDefault="00094D4B" w:rsidP="00094D4B">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A90356">
              <w:rPr>
                <w:rFonts w:eastAsia="Arial" w:cs="Arial"/>
                <w:sz w:val="32"/>
                <w:szCs w:val="32"/>
                <w:bdr w:val="nil"/>
                <w:lang w:val="fr-FR"/>
              </w:rPr>
              <w:t>CONVENTION SUR</w:t>
            </w:r>
          </w:p>
          <w:p w:rsidR="00094D4B" w:rsidRPr="00A90356" w:rsidRDefault="00094D4B" w:rsidP="00094D4B">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A90356">
              <w:rPr>
                <w:rFonts w:eastAsia="Arial" w:cs="Arial"/>
                <w:sz w:val="32"/>
                <w:szCs w:val="32"/>
                <w:bdr w:val="nil"/>
                <w:lang w:val="fr-FR"/>
              </w:rPr>
              <w:t>LES ESPÈCES</w:t>
            </w:r>
          </w:p>
          <w:p w:rsidR="00094D4B" w:rsidRPr="0095576E" w:rsidRDefault="00094D4B" w:rsidP="00094D4B">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A90356">
              <w:rPr>
                <w:rFonts w:eastAsia="Arial" w:cs="Arial"/>
                <w:sz w:val="32"/>
                <w:szCs w:val="32"/>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094D4B" w:rsidRPr="0095576E" w:rsidRDefault="00094D4B" w:rsidP="00094D4B">
            <w:pPr>
              <w:tabs>
                <w:tab w:val="left" w:pos="5040"/>
                <w:tab w:val="left" w:pos="5760"/>
                <w:tab w:val="left" w:pos="6008"/>
                <w:tab w:val="left" w:pos="6480"/>
                <w:tab w:val="left" w:pos="7200"/>
                <w:tab w:val="left" w:pos="7920"/>
                <w:tab w:val="left" w:pos="8640"/>
              </w:tabs>
              <w:rPr>
                <w:rFonts w:cs="Arial"/>
                <w:sz w:val="12"/>
                <w:szCs w:val="12"/>
                <w:lang w:val="fr-FR"/>
              </w:rPr>
            </w:pPr>
          </w:p>
          <w:p w:rsidR="00094D4B" w:rsidRPr="0095576E" w:rsidRDefault="00094D4B" w:rsidP="00094D4B">
            <w:pPr>
              <w:tabs>
                <w:tab w:val="left" w:pos="5040"/>
                <w:tab w:val="left" w:pos="5760"/>
                <w:tab w:val="left" w:pos="6008"/>
                <w:tab w:val="left" w:pos="6480"/>
                <w:tab w:val="left" w:pos="7200"/>
                <w:tab w:val="left" w:pos="7920"/>
                <w:tab w:val="left" w:pos="8640"/>
              </w:tabs>
              <w:rPr>
                <w:rFonts w:cs="Arial"/>
                <w:sz w:val="22"/>
                <w:szCs w:val="22"/>
                <w:lang w:val="fr-FR"/>
              </w:rPr>
            </w:pPr>
            <w:proofErr w:type="gramStart"/>
            <w:r w:rsidRPr="0095576E">
              <w:rPr>
                <w:rFonts w:eastAsia="Arial" w:cs="Arial"/>
                <w:sz w:val="22"/>
                <w:szCs w:val="22"/>
                <w:bdr w:val="nil"/>
                <w:lang w:val="fr-FR"/>
              </w:rPr>
              <w:t>Distribution:</w:t>
            </w:r>
            <w:proofErr w:type="gramEnd"/>
            <w:r w:rsidRPr="0095576E">
              <w:rPr>
                <w:rFonts w:eastAsia="Arial" w:cs="Arial"/>
                <w:sz w:val="22"/>
                <w:szCs w:val="22"/>
                <w:bdr w:val="nil"/>
                <w:lang w:val="fr-FR"/>
              </w:rPr>
              <w:t xml:space="preserve"> Générale</w:t>
            </w:r>
          </w:p>
          <w:p w:rsidR="00094D4B" w:rsidRPr="0095576E" w:rsidRDefault="00094D4B" w:rsidP="00094D4B">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rsidR="00094D4B" w:rsidRPr="0095576E" w:rsidRDefault="00094D4B" w:rsidP="00094D4B">
            <w:pPr>
              <w:tabs>
                <w:tab w:val="left" w:pos="5040"/>
                <w:tab w:val="left" w:pos="5760"/>
                <w:tab w:val="left" w:pos="6008"/>
                <w:tab w:val="left" w:pos="6480"/>
                <w:tab w:val="left" w:pos="7200"/>
                <w:tab w:val="left" w:pos="7920"/>
                <w:tab w:val="left" w:pos="8640"/>
              </w:tabs>
              <w:rPr>
                <w:rFonts w:cs="Arial"/>
                <w:sz w:val="22"/>
                <w:szCs w:val="22"/>
                <w:lang w:val="fr-FR"/>
              </w:rPr>
            </w:pPr>
            <w:r w:rsidRPr="0095576E">
              <w:rPr>
                <w:rFonts w:eastAsia="Arial" w:cs="Arial"/>
                <w:sz w:val="22"/>
                <w:szCs w:val="22"/>
                <w:bdr w:val="nil"/>
                <w:lang w:val="fr-FR"/>
              </w:rPr>
              <w:t>UNEP/CMS/COP12/Doc.</w:t>
            </w:r>
            <w:r w:rsidR="00015D21" w:rsidRPr="0095576E">
              <w:rPr>
                <w:rFonts w:eastAsia="Arial" w:cs="Arial"/>
                <w:sz w:val="22"/>
                <w:szCs w:val="22"/>
                <w:bdr w:val="nil"/>
                <w:lang w:val="fr-FR"/>
              </w:rPr>
              <w:t>14.1</w:t>
            </w:r>
          </w:p>
          <w:p w:rsidR="00094D4B" w:rsidRPr="0095576E" w:rsidRDefault="00094D4B" w:rsidP="00094D4B">
            <w:pPr>
              <w:tabs>
                <w:tab w:val="left" w:pos="5040"/>
                <w:tab w:val="left" w:pos="5760"/>
                <w:tab w:val="left" w:pos="6008"/>
                <w:tab w:val="left" w:pos="6480"/>
                <w:tab w:val="left" w:pos="7200"/>
                <w:tab w:val="left" w:pos="7920"/>
                <w:tab w:val="left" w:pos="8640"/>
              </w:tabs>
              <w:rPr>
                <w:rFonts w:cs="Arial"/>
                <w:sz w:val="22"/>
                <w:szCs w:val="22"/>
                <w:lang w:val="fr-FR"/>
              </w:rPr>
            </w:pPr>
            <w:r w:rsidRPr="0095576E">
              <w:rPr>
                <w:rFonts w:eastAsia="Arial" w:cs="Arial"/>
                <w:sz w:val="22"/>
                <w:szCs w:val="22"/>
                <w:bdr w:val="nil"/>
                <w:lang w:val="fr-FR"/>
              </w:rPr>
              <w:t>23 août 2017</w:t>
            </w:r>
          </w:p>
          <w:p w:rsidR="00094D4B" w:rsidRPr="0095576E" w:rsidRDefault="00094D4B" w:rsidP="00094D4B">
            <w:pPr>
              <w:tabs>
                <w:tab w:val="left" w:pos="5040"/>
                <w:tab w:val="left" w:pos="5760"/>
                <w:tab w:val="left" w:pos="6008"/>
                <w:tab w:val="left" w:pos="6480"/>
                <w:tab w:val="left" w:pos="7200"/>
                <w:tab w:val="left" w:pos="7920"/>
                <w:tab w:val="left" w:pos="8640"/>
              </w:tabs>
              <w:rPr>
                <w:rFonts w:cs="Arial"/>
                <w:sz w:val="12"/>
                <w:szCs w:val="12"/>
                <w:lang w:val="fr-FR"/>
              </w:rPr>
            </w:pPr>
          </w:p>
          <w:p w:rsidR="00094D4B" w:rsidRPr="0095576E" w:rsidRDefault="00094D4B" w:rsidP="00094D4B">
            <w:pPr>
              <w:rPr>
                <w:rFonts w:cs="Arial"/>
                <w:sz w:val="22"/>
                <w:szCs w:val="22"/>
                <w:lang w:val="fr-FR"/>
              </w:rPr>
            </w:pPr>
            <w:r w:rsidRPr="0095576E">
              <w:rPr>
                <w:rFonts w:eastAsia="Arial" w:cs="Arial"/>
                <w:sz w:val="22"/>
                <w:szCs w:val="22"/>
                <w:bdr w:val="nil"/>
                <w:lang w:val="fr-FR"/>
              </w:rPr>
              <w:t>Français</w:t>
            </w:r>
          </w:p>
          <w:p w:rsidR="00094D4B" w:rsidRPr="0095576E" w:rsidRDefault="00094D4B" w:rsidP="00094D4B">
            <w:pPr>
              <w:rPr>
                <w:rFonts w:cs="Arial"/>
                <w:sz w:val="22"/>
                <w:szCs w:val="22"/>
                <w:lang w:val="fr-FR"/>
              </w:rPr>
            </w:pPr>
            <w:r w:rsidRPr="0095576E">
              <w:rPr>
                <w:rFonts w:eastAsia="Arial" w:cs="Arial"/>
                <w:sz w:val="22"/>
                <w:szCs w:val="22"/>
                <w:bdr w:val="nil"/>
                <w:lang w:val="fr-FR"/>
              </w:rPr>
              <w:t>Original</w:t>
            </w:r>
            <w:r w:rsidR="00015D21" w:rsidRPr="0095576E">
              <w:rPr>
                <w:rFonts w:eastAsia="Arial" w:cs="Arial"/>
                <w:sz w:val="22"/>
                <w:szCs w:val="22"/>
                <w:bdr w:val="nil"/>
                <w:lang w:val="fr-FR"/>
              </w:rPr>
              <w:t> </w:t>
            </w:r>
            <w:r w:rsidRPr="0095576E">
              <w:rPr>
                <w:rFonts w:eastAsia="Arial" w:cs="Arial"/>
                <w:sz w:val="22"/>
                <w:szCs w:val="22"/>
                <w:bdr w:val="nil"/>
                <w:lang w:val="fr-FR"/>
              </w:rPr>
              <w:t>: Anglais</w:t>
            </w:r>
          </w:p>
          <w:p w:rsidR="00094D4B" w:rsidRPr="0095576E" w:rsidRDefault="00094D4B" w:rsidP="00094D4B">
            <w:pPr>
              <w:rPr>
                <w:rFonts w:cs="Arial"/>
                <w:sz w:val="12"/>
                <w:szCs w:val="12"/>
                <w:lang w:val="fr-FR"/>
              </w:rPr>
            </w:pPr>
          </w:p>
        </w:tc>
      </w:tr>
    </w:tbl>
    <w:p w:rsidR="00094D4B" w:rsidRPr="0095576E" w:rsidRDefault="00094D4B" w:rsidP="00094D4B">
      <w:pPr>
        <w:tabs>
          <w:tab w:val="left" w:pos="7020"/>
        </w:tabs>
        <w:rPr>
          <w:rFonts w:cs="Arial"/>
          <w:sz w:val="22"/>
          <w:szCs w:val="22"/>
          <w:lang w:val="fr-FR"/>
        </w:rPr>
      </w:pPr>
    </w:p>
    <w:p w:rsidR="00094D4B" w:rsidRPr="0095576E" w:rsidRDefault="00094D4B" w:rsidP="00094D4B">
      <w:pPr>
        <w:tabs>
          <w:tab w:val="left" w:pos="7020"/>
        </w:tabs>
        <w:rPr>
          <w:rFonts w:cs="Arial"/>
          <w:sz w:val="22"/>
          <w:szCs w:val="22"/>
          <w:lang w:val="fr-FR"/>
        </w:rPr>
      </w:pPr>
    </w:p>
    <w:p w:rsidR="00015D21" w:rsidRPr="0095576E" w:rsidRDefault="00094D4B" w:rsidP="00094D4B">
      <w:pPr>
        <w:pStyle w:val="Heading2"/>
        <w:keepNext w:val="0"/>
        <w:jc w:val="center"/>
        <w:rPr>
          <w:rFonts w:eastAsia="Arial" w:cs="Arial"/>
          <w:caps/>
          <w:sz w:val="24"/>
          <w:bdr w:val="nil"/>
          <w:lang w:val="fr-FR"/>
        </w:rPr>
      </w:pPr>
      <w:r w:rsidRPr="0095576E">
        <w:rPr>
          <w:rFonts w:eastAsia="Arial" w:cs="Arial"/>
          <w:caps/>
          <w:sz w:val="24"/>
          <w:bdr w:val="nil"/>
          <w:lang w:val="fr-FR"/>
        </w:rPr>
        <w:t xml:space="preserve">EXÉCUTION DU BUDGET DE LA CMS </w:t>
      </w:r>
    </w:p>
    <w:p w:rsidR="00094D4B" w:rsidRPr="0095576E" w:rsidRDefault="00015D21" w:rsidP="00094D4B">
      <w:pPr>
        <w:pStyle w:val="Heading2"/>
        <w:keepNext w:val="0"/>
        <w:jc w:val="center"/>
        <w:rPr>
          <w:bCs w:val="0"/>
          <w:caps/>
          <w:sz w:val="24"/>
          <w:lang w:val="fr-FR"/>
        </w:rPr>
      </w:pPr>
      <w:r w:rsidRPr="0095576E">
        <w:rPr>
          <w:rFonts w:eastAsia="Arial" w:cs="Arial"/>
          <w:caps/>
          <w:sz w:val="24"/>
          <w:bdr w:val="nil"/>
          <w:lang w:val="fr-FR"/>
        </w:rPr>
        <w:t>au cours de</w:t>
      </w:r>
      <w:r w:rsidR="00094D4B" w:rsidRPr="0095576E">
        <w:rPr>
          <w:rFonts w:eastAsia="Arial" w:cs="Arial"/>
          <w:caps/>
          <w:sz w:val="24"/>
          <w:bdr w:val="nil"/>
          <w:lang w:val="fr-FR"/>
        </w:rPr>
        <w:t xml:space="preserve"> LA PÉRIODE TRIENNALE 2015-2017</w:t>
      </w:r>
    </w:p>
    <w:p w:rsidR="00094D4B" w:rsidRPr="0095576E" w:rsidRDefault="00094D4B" w:rsidP="00094D4B">
      <w:pPr>
        <w:rPr>
          <w:sz w:val="8"/>
          <w:szCs w:val="8"/>
          <w:lang w:val="fr-FR"/>
        </w:rPr>
      </w:pPr>
    </w:p>
    <w:p w:rsidR="00094D4B" w:rsidRPr="0095576E" w:rsidRDefault="00094D4B" w:rsidP="00094D4B">
      <w:pPr>
        <w:jc w:val="center"/>
        <w:rPr>
          <w:rFonts w:cs="Arial"/>
          <w:i/>
          <w:sz w:val="22"/>
          <w:szCs w:val="22"/>
          <w:lang w:val="fr-FR"/>
        </w:rPr>
      </w:pPr>
      <w:r w:rsidRPr="0095576E">
        <w:rPr>
          <w:rFonts w:eastAsia="Arial" w:cs="Arial"/>
          <w:i/>
          <w:iCs/>
          <w:sz w:val="22"/>
          <w:szCs w:val="22"/>
          <w:bdr w:val="nil"/>
          <w:lang w:val="fr-FR"/>
        </w:rPr>
        <w:t xml:space="preserve">(Préparé par le Secrétariat) </w:t>
      </w:r>
    </w:p>
    <w:p w:rsidR="00094D4B" w:rsidRPr="0095576E" w:rsidRDefault="00094D4B" w:rsidP="00094D4B">
      <w:pPr>
        <w:rPr>
          <w:sz w:val="8"/>
          <w:szCs w:val="8"/>
          <w:lang w:val="fr-FR"/>
        </w:rPr>
      </w:pPr>
    </w:p>
    <w:p w:rsidR="00094D4B" w:rsidRPr="0095576E" w:rsidRDefault="00094D4B" w:rsidP="00094D4B">
      <w:pPr>
        <w:jc w:val="center"/>
        <w:rPr>
          <w:rFonts w:cs="Arial"/>
          <w:i/>
          <w:sz w:val="22"/>
          <w:szCs w:val="22"/>
          <w:lang w:val="fr-FR"/>
        </w:rPr>
      </w:pPr>
    </w:p>
    <w:p w:rsidR="00094D4B" w:rsidRPr="0095576E" w:rsidRDefault="00094D4B" w:rsidP="00094D4B">
      <w:pPr>
        <w:jc w:val="both"/>
        <w:rPr>
          <w:rFonts w:cs="Arial"/>
          <w:sz w:val="21"/>
          <w:szCs w:val="21"/>
          <w:lang w:val="fr-FR"/>
        </w:rPr>
      </w:pPr>
    </w:p>
    <w:p w:rsidR="00094D4B" w:rsidRPr="0095576E" w:rsidRDefault="00094D4B" w:rsidP="00094D4B">
      <w:pPr>
        <w:tabs>
          <w:tab w:val="left" w:pos="8295"/>
        </w:tabs>
        <w:jc w:val="both"/>
        <w:rPr>
          <w:rFonts w:cs="Arial"/>
          <w:sz w:val="21"/>
          <w:szCs w:val="21"/>
          <w:lang w:val="fr-FR"/>
        </w:rPr>
      </w:pPr>
    </w:p>
    <w:p w:rsidR="00094D4B" w:rsidRPr="0095576E" w:rsidRDefault="00094D4B" w:rsidP="00094D4B">
      <w:pPr>
        <w:rPr>
          <w:rFonts w:cs="Arial"/>
          <w:sz w:val="21"/>
          <w:szCs w:val="21"/>
          <w:lang w:val="fr-FR"/>
        </w:rPr>
      </w:pPr>
      <w:r w:rsidRPr="0095576E">
        <w:rPr>
          <w:rFonts w:cs="Arial"/>
          <w:noProof/>
          <w:sz w:val="21"/>
          <w:szCs w:val="21"/>
        </w:rPr>
        <mc:AlternateContent>
          <mc:Choice Requires="wps">
            <w:drawing>
              <wp:anchor distT="0" distB="0" distL="114300" distR="114300" simplePos="0" relativeHeight="251659264" behindDoc="0" locked="0" layoutInCell="1" allowOverlap="1" wp14:anchorId="128FA96D" wp14:editId="2C6386A7">
                <wp:simplePos x="0" y="0"/>
                <wp:positionH relativeFrom="column">
                  <wp:posOffset>780415</wp:posOffset>
                </wp:positionH>
                <wp:positionV relativeFrom="paragraph">
                  <wp:posOffset>145415</wp:posOffset>
                </wp:positionV>
                <wp:extent cx="4305300" cy="1952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52625"/>
                        </a:xfrm>
                        <a:prstGeom prst="rect">
                          <a:avLst/>
                        </a:prstGeom>
                        <a:solidFill>
                          <a:srgbClr val="FFFFFF"/>
                        </a:solidFill>
                        <a:ln w="3175">
                          <a:solidFill>
                            <a:srgbClr val="000000"/>
                          </a:solidFill>
                          <a:miter lim="800000"/>
                          <a:headEnd/>
                          <a:tailEnd/>
                        </a:ln>
                      </wps:spPr>
                      <wps:txbx>
                        <w:txbxContent>
                          <w:p w:rsidR="00092036" w:rsidRPr="00015D21" w:rsidRDefault="00092036" w:rsidP="00094D4B">
                            <w:pPr>
                              <w:rPr>
                                <w:sz w:val="22"/>
                                <w:szCs w:val="22"/>
                                <w:lang w:val="fr-FR"/>
                              </w:rPr>
                            </w:pPr>
                            <w:r>
                              <w:rPr>
                                <w:rFonts w:eastAsia="Arial" w:cs="Arial"/>
                                <w:sz w:val="22"/>
                                <w:szCs w:val="22"/>
                                <w:bdr w:val="nil"/>
                                <w:lang w:val="fr-FR"/>
                              </w:rPr>
                              <w:t>Résumé :</w:t>
                            </w:r>
                          </w:p>
                          <w:p w:rsidR="00092036" w:rsidRPr="00015D21" w:rsidRDefault="00092036" w:rsidP="00094D4B">
                            <w:pPr>
                              <w:rPr>
                                <w:sz w:val="22"/>
                                <w:szCs w:val="22"/>
                                <w:lang w:val="fr-FR"/>
                              </w:rPr>
                            </w:pPr>
                          </w:p>
                          <w:p w:rsidR="00092036" w:rsidRPr="00015D21" w:rsidRDefault="00092036" w:rsidP="00094D4B">
                            <w:pPr>
                              <w:jc w:val="both"/>
                              <w:rPr>
                                <w:sz w:val="22"/>
                                <w:szCs w:val="22"/>
                                <w:lang w:val="fr-FR"/>
                              </w:rPr>
                            </w:pPr>
                            <w:r>
                              <w:rPr>
                                <w:rFonts w:eastAsia="Arial" w:cs="Arial"/>
                                <w:sz w:val="22"/>
                                <w:szCs w:val="22"/>
                                <w:bdr w:val="nil"/>
                                <w:lang w:val="fr-FR"/>
                              </w:rPr>
                              <w:t>Le présent rapport fournit à la Conférence des Parties l’état des contributions au Fonds d’affectation spéciale ainsi qu’un aperçu de l’exécution du budget de la CMS pour la période triennale 2015-2017, avec une projection au 31 décembre 2017.</w:t>
                            </w:r>
                          </w:p>
                          <w:p w:rsidR="00092036" w:rsidRPr="00015D21" w:rsidRDefault="00092036" w:rsidP="00094D4B">
                            <w:pPr>
                              <w:jc w:val="both"/>
                              <w:rPr>
                                <w:sz w:val="22"/>
                                <w:szCs w:val="22"/>
                                <w:lang w:val="fr-FR"/>
                              </w:rPr>
                            </w:pPr>
                          </w:p>
                          <w:p w:rsidR="00092036" w:rsidRPr="00015D21" w:rsidRDefault="00092036" w:rsidP="00094D4B">
                            <w:pPr>
                              <w:jc w:val="both"/>
                              <w:rPr>
                                <w:sz w:val="22"/>
                                <w:szCs w:val="22"/>
                                <w:lang w:val="fr-FR"/>
                              </w:rPr>
                            </w:pPr>
                            <w:r>
                              <w:rPr>
                                <w:rFonts w:eastAsia="Arial" w:cs="Arial"/>
                                <w:sz w:val="22"/>
                                <w:szCs w:val="22"/>
                                <w:bdr w:val="nil"/>
                                <w:lang w:val="fr-FR"/>
                              </w:rPr>
                              <w:t>Le document devrait être examiné conjointement avec le document UNEP/CMS/COP12/Doc.14.2 sur le budget proposé pour la période triennale 2018-2020.</w:t>
                            </w:r>
                          </w:p>
                          <w:p w:rsidR="00092036" w:rsidRPr="00015D21" w:rsidRDefault="00092036" w:rsidP="00094D4B">
                            <w:pPr>
                              <w:rPr>
                                <w:rFonts w:cs="Arial"/>
                                <w:i/>
                                <w:sz w:val="22"/>
                                <w:szCs w:val="22"/>
                                <w:lang w:val="fr-FR"/>
                              </w:rPr>
                            </w:pPr>
                          </w:p>
                          <w:p w:rsidR="00092036" w:rsidRPr="00015D21" w:rsidRDefault="00092036">
                            <w:pPr>
                              <w:rPr>
                                <w:lang w:val="fr-FR"/>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28FA96D" id="_x0000_t202" coordsize="21600,21600" o:spt="202" path="m,l,21600r21600,l21600,xe">
                <v:stroke joinstyle="miter"/>
                <v:path gradientshapeok="t" o:connecttype="rect"/>
              </v:shapetype>
              <v:shape id="Text Box 4" o:spid="_x0000_s1026" type="#_x0000_t202" style="position:absolute;margin-left:61.45pt;margin-top:11.45pt;width:339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" strokeweight=".25pt">
                <v:textbox>
                  <w:txbxContent>
                    <w:p w:rsidR="00092036" w:rsidRPr="00015D21" w:rsidRDefault="00092036" w:rsidP="00094D4B">
                      <w:pPr>
                        <w:rPr>
                          <w:sz w:val="22"/>
                          <w:szCs w:val="22"/>
                          <w:lang w:val="fr-FR"/>
                        </w:rPr>
                      </w:pPr>
                      <w:r>
                        <w:rPr>
                          <w:rFonts w:eastAsia="Arial" w:cs="Arial"/>
                          <w:sz w:val="22"/>
                          <w:szCs w:val="22"/>
                          <w:bdr w:val="nil"/>
                          <w:lang w:val="fr-FR"/>
                        </w:rPr>
                        <w:t>Résumé :</w:t>
                      </w:r>
                    </w:p>
                    <w:p w:rsidR="00092036" w:rsidRPr="00015D21" w:rsidRDefault="00092036" w:rsidP="00094D4B">
                      <w:pPr>
                        <w:rPr>
                          <w:sz w:val="22"/>
                          <w:szCs w:val="22"/>
                          <w:lang w:val="fr-FR"/>
                        </w:rPr>
                      </w:pPr>
                    </w:p>
                    <w:p w:rsidR="00092036" w:rsidRPr="00015D21" w:rsidRDefault="00092036" w:rsidP="00094D4B">
                      <w:pPr>
                        <w:jc w:val="both"/>
                        <w:rPr>
                          <w:sz w:val="22"/>
                          <w:szCs w:val="22"/>
                          <w:lang w:val="fr-FR"/>
                        </w:rPr>
                      </w:pPr>
                      <w:r>
                        <w:rPr>
                          <w:rFonts w:eastAsia="Arial" w:cs="Arial"/>
                          <w:sz w:val="22"/>
                          <w:szCs w:val="22"/>
                          <w:bdr w:val="nil"/>
                          <w:lang w:val="fr-FR"/>
                        </w:rPr>
                        <w:t>Le présent rapport fournit à la Conférence des Parties l’état des contributions au Fonds d’affectation spéciale ainsi qu’un aperçu de l’exécution du budget de la CMS pour la période triennale 2015-2017, avec une projection au 31 décembre 2017.</w:t>
                      </w:r>
                    </w:p>
                    <w:p w:rsidR="00092036" w:rsidRPr="00015D21" w:rsidRDefault="00092036" w:rsidP="00094D4B">
                      <w:pPr>
                        <w:jc w:val="both"/>
                        <w:rPr>
                          <w:sz w:val="22"/>
                          <w:szCs w:val="22"/>
                          <w:lang w:val="fr-FR"/>
                        </w:rPr>
                      </w:pPr>
                    </w:p>
                    <w:p w:rsidR="00092036" w:rsidRPr="00015D21" w:rsidRDefault="00092036" w:rsidP="00094D4B">
                      <w:pPr>
                        <w:jc w:val="both"/>
                        <w:rPr>
                          <w:sz w:val="22"/>
                          <w:szCs w:val="22"/>
                          <w:lang w:val="fr-FR"/>
                        </w:rPr>
                      </w:pPr>
                      <w:r>
                        <w:rPr>
                          <w:rFonts w:eastAsia="Arial" w:cs="Arial"/>
                          <w:sz w:val="22"/>
                          <w:szCs w:val="22"/>
                          <w:bdr w:val="nil"/>
                          <w:lang w:val="fr-FR"/>
                        </w:rPr>
                        <w:t>Le document devrait être examiné conjointement avec le document UNEP/CMS/COP12/Doc.14.2 sur le budget proposé pour la période triennale 2018-2020.</w:t>
                      </w:r>
                    </w:p>
                    <w:p w:rsidR="00092036" w:rsidRPr="00015D21" w:rsidRDefault="00092036" w:rsidP="00094D4B">
                      <w:pPr>
                        <w:rPr>
                          <w:rFonts w:cs="Arial"/>
                          <w:i/>
                          <w:sz w:val="22"/>
                          <w:szCs w:val="22"/>
                          <w:lang w:val="fr-FR"/>
                        </w:rPr>
                      </w:pPr>
                    </w:p>
                    <w:p w:rsidR="00092036" w:rsidRPr="00015D21" w:rsidRDefault="00092036">
                      <w:pPr>
                        <w:rPr>
                          <w:lang w:val="fr-FR"/>
                        </w:rPr>
                      </w:pPr>
                    </w:p>
                  </w:txbxContent>
                </v:textbox>
              </v:shape>
            </w:pict>
          </mc:Fallback>
        </mc:AlternateContent>
      </w: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1"/>
          <w:szCs w:val="21"/>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rPr>
          <w:rFonts w:cs="Arial"/>
          <w:sz w:val="22"/>
          <w:szCs w:val="22"/>
          <w:lang w:val="fr-FR"/>
        </w:rPr>
      </w:pPr>
    </w:p>
    <w:p w:rsidR="00094D4B" w:rsidRPr="0095576E" w:rsidRDefault="00094D4B" w:rsidP="00094D4B">
      <w:pPr>
        <w:tabs>
          <w:tab w:val="left" w:pos="1020"/>
        </w:tabs>
        <w:rPr>
          <w:rFonts w:cs="Arial"/>
          <w:sz w:val="22"/>
          <w:szCs w:val="22"/>
          <w:lang w:val="fr-FR"/>
        </w:rPr>
        <w:sectPr w:rsidR="00094D4B" w:rsidRPr="0095576E" w:rsidSect="00094D4B">
          <w:headerReference w:type="even" r:id="rId9"/>
          <w:headerReference w:type="default" r:id="rId10"/>
          <w:footerReference w:type="even" r:id="rId11"/>
          <w:footerReference w:type="default" r:id="rId12"/>
          <w:headerReference w:type="first" r:id="rId13"/>
          <w:footerReference w:type="first" r:id="rId14"/>
          <w:pgSz w:w="11905" w:h="16837" w:code="9"/>
          <w:pgMar w:top="1008" w:right="1411" w:bottom="1152" w:left="1411" w:header="432" w:footer="432" w:gutter="0"/>
          <w:cols w:space="720"/>
          <w:noEndnote/>
          <w:titlePg/>
          <w:docGrid w:linePitch="272"/>
        </w:sectPr>
      </w:pPr>
    </w:p>
    <w:p w:rsidR="00094D4B" w:rsidRPr="0095576E" w:rsidRDefault="00094D4B" w:rsidP="00094D4B">
      <w:pPr>
        <w:pStyle w:val="Heading2"/>
        <w:keepNext w:val="0"/>
        <w:jc w:val="center"/>
        <w:rPr>
          <w:bCs w:val="0"/>
          <w:caps/>
          <w:sz w:val="24"/>
          <w:lang w:val="fr-FR"/>
        </w:rPr>
      </w:pPr>
    </w:p>
    <w:p w:rsidR="00015D21" w:rsidRPr="0095576E" w:rsidRDefault="00094D4B" w:rsidP="00094D4B">
      <w:pPr>
        <w:pStyle w:val="Heading2"/>
        <w:keepNext w:val="0"/>
        <w:jc w:val="center"/>
        <w:rPr>
          <w:rFonts w:eastAsia="Arial" w:cs="Arial"/>
          <w:caps/>
          <w:sz w:val="24"/>
          <w:bdr w:val="nil"/>
          <w:lang w:val="fr-FR"/>
        </w:rPr>
      </w:pPr>
      <w:r w:rsidRPr="0095576E">
        <w:rPr>
          <w:rFonts w:eastAsia="Arial" w:cs="Arial"/>
          <w:caps/>
          <w:sz w:val="24"/>
          <w:bdr w:val="nil"/>
          <w:lang w:val="fr-FR"/>
        </w:rPr>
        <w:t xml:space="preserve">EXÉCUTION DU BUDGET DE LA CMS </w:t>
      </w:r>
    </w:p>
    <w:p w:rsidR="00094D4B" w:rsidRPr="0095576E" w:rsidRDefault="00015D21" w:rsidP="00094D4B">
      <w:pPr>
        <w:pStyle w:val="Heading2"/>
        <w:keepNext w:val="0"/>
        <w:jc w:val="center"/>
        <w:rPr>
          <w:bCs w:val="0"/>
          <w:caps/>
          <w:sz w:val="24"/>
          <w:lang w:val="fr-FR"/>
        </w:rPr>
      </w:pPr>
      <w:r w:rsidRPr="0095576E">
        <w:rPr>
          <w:rFonts w:eastAsia="Arial" w:cs="Arial"/>
          <w:caps/>
          <w:sz w:val="24"/>
          <w:bdr w:val="nil"/>
          <w:lang w:val="fr-FR"/>
        </w:rPr>
        <w:t>au cours de</w:t>
      </w:r>
      <w:r w:rsidR="00094D4B" w:rsidRPr="0095576E">
        <w:rPr>
          <w:rFonts w:eastAsia="Arial" w:cs="Arial"/>
          <w:caps/>
          <w:sz w:val="24"/>
          <w:bdr w:val="nil"/>
          <w:lang w:val="fr-FR"/>
        </w:rPr>
        <w:t xml:space="preserve"> LA PÉRIODE TRIENNALE 2015-2017</w:t>
      </w:r>
    </w:p>
    <w:p w:rsidR="00094D4B" w:rsidRPr="0095576E" w:rsidRDefault="00094D4B" w:rsidP="00094D4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rsidR="00094D4B" w:rsidRPr="0095576E" w:rsidRDefault="00094D4B" w:rsidP="00094D4B">
      <w:pPr>
        <w:pStyle w:val="ListParagraph"/>
        <w:ind w:left="0"/>
        <w:jc w:val="both"/>
        <w:rPr>
          <w:b/>
          <w:sz w:val="22"/>
          <w:szCs w:val="22"/>
          <w:highlight w:val="yellow"/>
          <w:lang w:val="fr-FR"/>
        </w:rPr>
      </w:pPr>
    </w:p>
    <w:p w:rsidR="00094D4B" w:rsidRPr="0095576E" w:rsidRDefault="00094D4B" w:rsidP="00094D4B">
      <w:pPr>
        <w:pStyle w:val="ListParagraph"/>
        <w:ind w:left="0"/>
        <w:jc w:val="both"/>
        <w:rPr>
          <w:rFonts w:cs="Arial"/>
          <w:sz w:val="22"/>
          <w:szCs w:val="22"/>
          <w:u w:val="single"/>
          <w:lang w:val="fr-FR"/>
        </w:rPr>
      </w:pPr>
      <w:r w:rsidRPr="0095576E">
        <w:rPr>
          <w:rFonts w:eastAsia="Arial" w:cs="Arial"/>
          <w:sz w:val="22"/>
          <w:szCs w:val="22"/>
          <w:u w:val="single"/>
          <w:bdr w:val="nil"/>
          <w:lang w:val="fr-FR"/>
        </w:rPr>
        <w:t>Contexte</w:t>
      </w:r>
    </w:p>
    <w:p w:rsidR="00094D4B" w:rsidRPr="0095576E" w:rsidRDefault="00094D4B" w:rsidP="00094D4B">
      <w:pPr>
        <w:pStyle w:val="ListParagraph"/>
        <w:ind w:left="0"/>
        <w:jc w:val="both"/>
        <w:rPr>
          <w:rFonts w:cs="Arial"/>
          <w:sz w:val="22"/>
          <w:szCs w:val="22"/>
          <w:lang w:val="fr-FR"/>
        </w:rPr>
      </w:pPr>
    </w:p>
    <w:p w:rsidR="00094D4B" w:rsidRPr="0095576E" w:rsidRDefault="00094D4B" w:rsidP="00094D4B">
      <w:pPr>
        <w:numPr>
          <w:ilvl w:val="0"/>
          <w:numId w:val="10"/>
        </w:numPr>
        <w:ind w:left="360"/>
        <w:contextualSpacing/>
        <w:jc w:val="both"/>
        <w:rPr>
          <w:rFonts w:cs="Arial"/>
          <w:sz w:val="22"/>
          <w:szCs w:val="22"/>
          <w:lang w:val="fr-FR"/>
        </w:rPr>
      </w:pPr>
      <w:r w:rsidRPr="0095576E">
        <w:rPr>
          <w:rFonts w:eastAsia="Arial" w:cs="Arial"/>
          <w:sz w:val="22"/>
          <w:szCs w:val="22"/>
          <w:bdr w:val="nil"/>
          <w:lang w:val="fr-FR"/>
        </w:rPr>
        <w:t xml:space="preserve">Dans la Résolution 11.1, </w:t>
      </w:r>
      <w:r w:rsidRPr="0095576E">
        <w:rPr>
          <w:rFonts w:eastAsia="Arial" w:cs="Arial"/>
          <w:i/>
          <w:sz w:val="22"/>
          <w:szCs w:val="22"/>
          <w:bdr w:val="nil"/>
          <w:lang w:val="fr-FR"/>
        </w:rPr>
        <w:t>Questions financières et administratives</w:t>
      </w:r>
      <w:r w:rsidRPr="0095576E">
        <w:rPr>
          <w:rFonts w:eastAsia="Arial" w:cs="Arial"/>
          <w:sz w:val="22"/>
          <w:szCs w:val="22"/>
          <w:bdr w:val="nil"/>
          <w:lang w:val="fr-FR"/>
        </w:rPr>
        <w:t xml:space="preserve">, la Conférence des Parties (COP) a adopté le budget pour la période triennale 2015-2017. Le présent rapport fournit à la COP un aperçu de </w:t>
      </w:r>
      <w:r w:rsidR="002B6AA2">
        <w:rPr>
          <w:rFonts w:eastAsia="Arial" w:cs="Arial"/>
          <w:sz w:val="22"/>
          <w:szCs w:val="22"/>
          <w:bdr w:val="nil"/>
          <w:lang w:val="fr-FR"/>
        </w:rPr>
        <w:t>l’exécution</w:t>
      </w:r>
      <w:r w:rsidRPr="0095576E">
        <w:rPr>
          <w:rFonts w:eastAsia="Arial" w:cs="Arial"/>
          <w:sz w:val="22"/>
          <w:szCs w:val="22"/>
          <w:bdr w:val="nil"/>
          <w:lang w:val="fr-FR"/>
        </w:rPr>
        <w:t xml:space="preserve"> du budget de la CMS pour la période triennale 2015-2017 ainsi que de l’état des contributions au 17 août 2017. Le rapport répond également </w:t>
      </w:r>
      <w:r w:rsidR="00473C9C" w:rsidRPr="0095576E">
        <w:rPr>
          <w:rFonts w:eastAsia="Arial" w:cs="Arial"/>
          <w:sz w:val="22"/>
          <w:szCs w:val="22"/>
          <w:bdr w:val="nil"/>
          <w:lang w:val="fr-FR"/>
        </w:rPr>
        <w:t>paragraphe 4 e), de l’annexe 4 de</w:t>
      </w:r>
      <w:r w:rsidRPr="0095576E">
        <w:rPr>
          <w:rFonts w:eastAsia="Arial" w:cs="Arial"/>
          <w:sz w:val="22"/>
          <w:szCs w:val="22"/>
          <w:bdr w:val="nil"/>
          <w:lang w:val="fr-FR"/>
        </w:rPr>
        <w:t xml:space="preserve"> la Résolution 11.1 de la CMS, </w:t>
      </w:r>
      <w:r w:rsidR="00473C9C" w:rsidRPr="0095576E">
        <w:rPr>
          <w:rFonts w:eastAsia="Arial" w:cs="Arial"/>
          <w:sz w:val="22"/>
          <w:szCs w:val="22"/>
          <w:bdr w:val="nil"/>
          <w:lang w:val="fr-FR"/>
        </w:rPr>
        <w:t>dans lequel il est</w:t>
      </w:r>
      <w:r w:rsidRPr="0095576E">
        <w:rPr>
          <w:rFonts w:eastAsia="Arial" w:cs="Arial"/>
          <w:sz w:val="22"/>
          <w:szCs w:val="22"/>
          <w:bdr w:val="nil"/>
          <w:lang w:val="fr-FR"/>
        </w:rPr>
        <w:t xml:space="preserve"> demand</w:t>
      </w:r>
      <w:r w:rsidR="00473C9C" w:rsidRPr="0095576E">
        <w:rPr>
          <w:rFonts w:eastAsia="Arial" w:cs="Arial"/>
          <w:sz w:val="22"/>
          <w:szCs w:val="22"/>
          <w:bdr w:val="nil"/>
          <w:lang w:val="fr-FR"/>
        </w:rPr>
        <w:t>é</w:t>
      </w:r>
      <w:r w:rsidRPr="0095576E">
        <w:rPr>
          <w:rFonts w:eastAsia="Arial" w:cs="Arial"/>
          <w:sz w:val="22"/>
          <w:szCs w:val="22"/>
          <w:bdr w:val="nil"/>
          <w:lang w:val="fr-FR"/>
        </w:rPr>
        <w:t xml:space="preserve"> au Secrétariat de fournir aux membres du Sous-Comité des finances et du budget des rapports semestriels identifiant et expliquant « toute dépense prévue qui diverge du budget approuvé de plus de 20 % pour la totalité des coûts de personnel ou dans le cas d’autres coûts non liés au personnel pour chaque activité, allant de pair avec l’approche proposée pour gérer tout surcoût prévu ». </w:t>
      </w:r>
    </w:p>
    <w:p w:rsidR="00094D4B" w:rsidRPr="0095576E" w:rsidRDefault="00094D4B" w:rsidP="00094D4B">
      <w:pPr>
        <w:pStyle w:val="ListParagraph"/>
        <w:ind w:left="0"/>
        <w:jc w:val="both"/>
        <w:rPr>
          <w:rFonts w:cs="Arial"/>
          <w:sz w:val="22"/>
          <w:szCs w:val="22"/>
          <w:lang w:val="fr-FR"/>
        </w:rPr>
      </w:pPr>
    </w:p>
    <w:p w:rsidR="00094D4B" w:rsidRPr="0095576E" w:rsidRDefault="00094D4B" w:rsidP="00094D4B">
      <w:pPr>
        <w:pStyle w:val="ListParagraph"/>
        <w:ind w:left="0"/>
        <w:jc w:val="both"/>
        <w:rPr>
          <w:rFonts w:cs="Arial"/>
          <w:sz w:val="22"/>
          <w:szCs w:val="22"/>
          <w:u w:val="single"/>
          <w:lang w:val="fr-FR"/>
        </w:rPr>
      </w:pPr>
      <w:r w:rsidRPr="0095576E">
        <w:rPr>
          <w:rFonts w:eastAsia="Arial" w:cs="Arial"/>
          <w:sz w:val="22"/>
          <w:szCs w:val="22"/>
          <w:u w:val="single"/>
          <w:bdr w:val="nil"/>
          <w:lang w:val="fr-FR"/>
        </w:rPr>
        <w:t>Exécution du budget pour la période triennale 2015-2017</w:t>
      </w:r>
    </w:p>
    <w:p w:rsidR="00094D4B" w:rsidRPr="0095576E" w:rsidRDefault="00094D4B" w:rsidP="00094D4B">
      <w:pPr>
        <w:pStyle w:val="ListParagraph"/>
        <w:ind w:left="0"/>
        <w:jc w:val="both"/>
        <w:rPr>
          <w:sz w:val="22"/>
          <w:szCs w:val="22"/>
          <w:lang w:val="fr-FR"/>
        </w:rPr>
      </w:pPr>
    </w:p>
    <w:p w:rsidR="00094D4B" w:rsidRPr="0095576E" w:rsidRDefault="00094D4B" w:rsidP="00094D4B">
      <w:pPr>
        <w:pStyle w:val="ListParagraph"/>
        <w:ind w:left="0"/>
        <w:jc w:val="both"/>
        <w:rPr>
          <w:b/>
          <w:sz w:val="22"/>
          <w:szCs w:val="22"/>
          <w:lang w:val="fr-FR"/>
        </w:rPr>
      </w:pPr>
      <w:r w:rsidRPr="0095576E">
        <w:rPr>
          <w:rFonts w:eastAsia="Arial" w:cs="Arial"/>
          <w:b/>
          <w:bCs/>
          <w:sz w:val="22"/>
          <w:szCs w:val="22"/>
          <w:bdr w:val="nil"/>
          <w:lang w:val="fr-FR"/>
        </w:rPr>
        <w:t>État du Fonds d’affectation spéciale pour les contributions évaluées au 17 août 2017</w:t>
      </w:r>
    </w:p>
    <w:p w:rsidR="00094D4B" w:rsidRPr="0095576E" w:rsidRDefault="00094D4B" w:rsidP="00094D4B">
      <w:pPr>
        <w:pStyle w:val="ListParagraph"/>
        <w:ind w:left="0"/>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Le paragraphe 4 de l’Article VII de la Convention demande à chaque Partie de contribuer au budget adopté par la COP pour l’exercice financier, conformément au </w:t>
      </w:r>
      <w:r w:rsidR="00473C9C" w:rsidRPr="0095576E">
        <w:rPr>
          <w:rFonts w:eastAsia="Arial" w:cs="Arial"/>
          <w:sz w:val="22"/>
          <w:szCs w:val="22"/>
          <w:bdr w:val="nil"/>
          <w:lang w:val="fr-FR"/>
        </w:rPr>
        <w:t>b</w:t>
      </w:r>
      <w:r w:rsidRPr="0095576E">
        <w:rPr>
          <w:rFonts w:eastAsia="Arial" w:cs="Arial"/>
          <w:sz w:val="22"/>
          <w:szCs w:val="22"/>
          <w:bdr w:val="nil"/>
          <w:lang w:val="fr-FR"/>
        </w:rPr>
        <w:t xml:space="preserve">arème des contributions des Nations Unies. Selon la Résolution 11.1, les contributions évaluées par la COP11 pour le budget triennal 2015-2017 s’élèvent à 7 442 630 €. </w:t>
      </w:r>
    </w:p>
    <w:p w:rsidR="00094D4B" w:rsidRPr="0095576E" w:rsidRDefault="00094D4B" w:rsidP="00094D4B">
      <w:pPr>
        <w:pStyle w:val="ListParagraph"/>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Au 17 août 2017, 88,2 % du montant total des contributions évaluées pour la période triennale 2015-2017, </w:t>
      </w:r>
      <w:r w:rsidR="00473C9C" w:rsidRPr="0095576E">
        <w:rPr>
          <w:rFonts w:eastAsia="Arial" w:cs="Arial"/>
          <w:sz w:val="22"/>
          <w:szCs w:val="22"/>
          <w:bdr w:val="nil"/>
          <w:lang w:val="fr-FR"/>
        </w:rPr>
        <w:t>soit 6 568 434 €, ont été versé</w:t>
      </w:r>
      <w:r w:rsidRPr="0095576E">
        <w:rPr>
          <w:rFonts w:eastAsia="Arial" w:cs="Arial"/>
          <w:sz w:val="22"/>
          <w:szCs w:val="22"/>
          <w:bdr w:val="nil"/>
          <w:lang w:val="fr-FR"/>
        </w:rPr>
        <w:t xml:space="preserve">s. Cela signifie que le total des </w:t>
      </w:r>
      <w:r w:rsidR="00021C36" w:rsidRPr="0095576E">
        <w:rPr>
          <w:rFonts w:eastAsia="Arial" w:cs="Arial"/>
          <w:sz w:val="22"/>
          <w:szCs w:val="22"/>
          <w:bdr w:val="nil"/>
          <w:lang w:val="fr-FR"/>
        </w:rPr>
        <w:t>contributions non acquittées</w:t>
      </w:r>
      <w:r w:rsidRPr="0095576E">
        <w:rPr>
          <w:rFonts w:eastAsia="Arial" w:cs="Arial"/>
          <w:sz w:val="22"/>
          <w:szCs w:val="22"/>
          <w:bdr w:val="nil"/>
          <w:lang w:val="fr-FR"/>
        </w:rPr>
        <w:t xml:space="preserve"> a</w:t>
      </w:r>
      <w:r w:rsidR="009F0C53">
        <w:rPr>
          <w:rFonts w:eastAsia="Arial" w:cs="Arial"/>
          <w:sz w:val="22"/>
          <w:szCs w:val="22"/>
          <w:bdr w:val="nil"/>
          <w:lang w:val="fr-FR"/>
        </w:rPr>
        <w:t>u 17 août 2017 s’élève à 983 332</w:t>
      </w:r>
      <w:r w:rsidRPr="0095576E">
        <w:rPr>
          <w:rFonts w:eastAsia="Arial" w:cs="Arial"/>
          <w:sz w:val="22"/>
          <w:szCs w:val="22"/>
          <w:bdr w:val="nil"/>
          <w:lang w:val="fr-FR"/>
        </w:rPr>
        <w:t xml:space="preserve"> € (644 378 €</w:t>
      </w:r>
      <w:r w:rsidR="002B6AA2">
        <w:rPr>
          <w:rFonts w:eastAsia="Arial" w:cs="Arial"/>
          <w:sz w:val="22"/>
          <w:szCs w:val="22"/>
          <w:bdr w:val="nil"/>
          <w:lang w:val="fr-FR"/>
        </w:rPr>
        <w:t xml:space="preserve"> </w:t>
      </w:r>
      <w:r w:rsidRPr="0095576E">
        <w:rPr>
          <w:rFonts w:eastAsia="Arial" w:cs="Arial"/>
          <w:sz w:val="22"/>
          <w:szCs w:val="22"/>
          <w:bdr w:val="nil"/>
          <w:lang w:val="fr-FR"/>
        </w:rPr>
        <w:t>pour 2017, 229 818 € pour la période 2015-2016 et 109 13</w:t>
      </w:r>
      <w:r w:rsidR="002B6AA2">
        <w:rPr>
          <w:rFonts w:eastAsia="Arial" w:cs="Arial"/>
          <w:sz w:val="22"/>
          <w:szCs w:val="22"/>
          <w:bdr w:val="nil"/>
          <w:lang w:val="fr-FR"/>
        </w:rPr>
        <w:t>6</w:t>
      </w:r>
      <w:r w:rsidRPr="0095576E">
        <w:rPr>
          <w:rFonts w:eastAsia="Arial" w:cs="Arial"/>
          <w:sz w:val="22"/>
          <w:szCs w:val="22"/>
          <w:bdr w:val="nil"/>
          <w:lang w:val="fr-FR"/>
        </w:rPr>
        <w:t xml:space="preserve"> € pour les années </w:t>
      </w:r>
      <w:r w:rsidR="002B6AA2">
        <w:rPr>
          <w:rFonts w:eastAsia="Arial" w:cs="Arial"/>
          <w:sz w:val="22"/>
          <w:szCs w:val="22"/>
          <w:bdr w:val="nil"/>
          <w:lang w:val="fr-FR"/>
        </w:rPr>
        <w:t>précédentes</w:t>
      </w:r>
      <w:r w:rsidRPr="0095576E">
        <w:rPr>
          <w:rFonts w:eastAsia="Arial" w:cs="Arial"/>
          <w:sz w:val="22"/>
          <w:szCs w:val="22"/>
          <w:bdr w:val="nil"/>
          <w:lang w:val="fr-FR"/>
        </w:rPr>
        <w:t>). Comme le montre le tableau de l’annexe 1, sur un total de 120 Parties, 56 n’ont pas entièrement versé leurs contributions au Fonds d’affectation spéciale pour la période triennale 2015-2017. Sur la base de l’expérience passée, un certain nombre de ces contributions en suspens devraient pouvoir être collectées</w:t>
      </w:r>
      <w:r w:rsidR="0068536B" w:rsidRPr="0095576E">
        <w:rPr>
          <w:rFonts w:eastAsia="Arial" w:cs="Arial"/>
          <w:sz w:val="22"/>
          <w:szCs w:val="22"/>
          <w:bdr w:val="nil"/>
          <w:lang w:val="fr-FR"/>
        </w:rPr>
        <w:t>, et,</w:t>
      </w:r>
      <w:r w:rsidRPr="0095576E">
        <w:rPr>
          <w:rFonts w:eastAsia="Arial" w:cs="Arial"/>
          <w:sz w:val="22"/>
          <w:szCs w:val="22"/>
          <w:bdr w:val="nil"/>
          <w:lang w:val="fr-FR"/>
        </w:rPr>
        <w:t xml:space="preserve"> si cela est le cas, les contributions au Fonds d’affectation spéciale devraient </w:t>
      </w:r>
      <w:r w:rsidR="002B6AA2">
        <w:rPr>
          <w:rFonts w:eastAsia="Arial" w:cs="Arial"/>
          <w:sz w:val="22"/>
          <w:szCs w:val="22"/>
          <w:bdr w:val="nil"/>
          <w:lang w:val="fr-FR"/>
        </w:rPr>
        <w:t xml:space="preserve">encore </w:t>
      </w:r>
      <w:r w:rsidRPr="0095576E">
        <w:rPr>
          <w:rFonts w:eastAsia="Arial" w:cs="Arial"/>
          <w:sz w:val="22"/>
          <w:szCs w:val="22"/>
          <w:bdr w:val="nil"/>
          <w:lang w:val="fr-FR"/>
        </w:rPr>
        <w:t xml:space="preserve">augmenter au cours des derniers mois de 2017.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La tendance de la majorité des Parties à verser leurs </w:t>
      </w:r>
      <w:r w:rsidR="0068536B" w:rsidRPr="0095576E">
        <w:rPr>
          <w:rFonts w:eastAsia="Arial" w:cs="Arial"/>
          <w:sz w:val="22"/>
          <w:szCs w:val="22"/>
          <w:bdr w:val="nil"/>
          <w:lang w:val="fr-FR"/>
        </w:rPr>
        <w:t>contributions</w:t>
      </w:r>
      <w:r w:rsidRPr="0095576E">
        <w:rPr>
          <w:rFonts w:eastAsia="Arial" w:cs="Arial"/>
          <w:sz w:val="22"/>
          <w:szCs w:val="22"/>
          <w:bdr w:val="nil"/>
          <w:lang w:val="fr-FR"/>
        </w:rPr>
        <w:t xml:space="preserve"> à la fin de l’année ou l’année suivant</w:t>
      </w:r>
      <w:r w:rsidR="0068536B" w:rsidRPr="0095576E">
        <w:rPr>
          <w:rFonts w:eastAsia="Arial" w:cs="Arial"/>
          <w:sz w:val="22"/>
          <w:szCs w:val="22"/>
          <w:bdr w:val="nil"/>
          <w:lang w:val="fr-FR"/>
        </w:rPr>
        <w:t>e</w:t>
      </w:r>
      <w:r w:rsidRPr="0095576E">
        <w:rPr>
          <w:rFonts w:eastAsia="Arial" w:cs="Arial"/>
          <w:sz w:val="22"/>
          <w:szCs w:val="22"/>
          <w:bdr w:val="nil"/>
          <w:lang w:val="fr-FR"/>
        </w:rPr>
        <w:t xml:space="preserve"> est une source de préoccupation pour le Secrétariat, car cela a un effet sur les flux de trésorerie, en particulier depuis le récent déploiement du nouveau système de planification des ressources à travers le progiciel de gestion intégré « </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 au sein du Secrétariat de</w:t>
      </w:r>
      <w:r w:rsidR="0068536B" w:rsidRPr="0095576E">
        <w:rPr>
          <w:rFonts w:eastAsia="Arial" w:cs="Arial"/>
          <w:sz w:val="22"/>
          <w:szCs w:val="22"/>
          <w:bdr w:val="nil"/>
          <w:lang w:val="fr-FR"/>
        </w:rPr>
        <w:t>s Nations Unies</w:t>
      </w:r>
      <w:r w:rsidRPr="0095576E">
        <w:rPr>
          <w:rFonts w:eastAsia="Arial" w:cs="Arial"/>
          <w:sz w:val="22"/>
          <w:szCs w:val="22"/>
          <w:bdr w:val="nil"/>
          <w:lang w:val="fr-FR"/>
        </w:rPr>
        <w:t xml:space="preserve">, y compris de l’ONU Environnement. Le nouveau système applique une gestion de trésorerie stricte des contributions des Parties : les fonds ne peuvent être engagés que lorsque les contributions sont versées au Fonds d’affectation spéciale sous forme de trésorerie disponible. Il convient donc de rappeler le paragraphe 5 de la Résolution 11.1, qui « prie instamment toutes les Parties de s’acquitter de leurs contributions dès que possible, de préférence avant la fin du mois de mars de l’année à laquelle elles se rapportent ». </w:t>
      </w:r>
    </w:p>
    <w:p w:rsidR="00094D4B" w:rsidRPr="0095576E" w:rsidRDefault="00094D4B" w:rsidP="0068536B">
      <w:pPr>
        <w:ind w:left="360"/>
        <w:contextualSpacing/>
        <w:jc w:val="center"/>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Pour recueillir les arriérés, le Secrétariat a envoyé </w:t>
      </w:r>
      <w:r w:rsidR="0068536B" w:rsidRPr="0095576E">
        <w:rPr>
          <w:rFonts w:eastAsia="Arial" w:cs="Arial"/>
          <w:sz w:val="22"/>
          <w:szCs w:val="22"/>
          <w:bdr w:val="nil"/>
          <w:lang w:val="fr-FR"/>
        </w:rPr>
        <w:t xml:space="preserve">en mai 2017 </w:t>
      </w:r>
      <w:r w:rsidRPr="0095576E">
        <w:rPr>
          <w:rFonts w:eastAsia="Arial" w:cs="Arial"/>
          <w:sz w:val="22"/>
          <w:szCs w:val="22"/>
          <w:bdr w:val="nil"/>
          <w:lang w:val="fr-FR"/>
        </w:rPr>
        <w:t xml:space="preserve">des lettres personnalisées aux Parties d’Europe qui avaient des contributions en suspens à ce moment-là. En août 2017, le Secrétariat a envoyé des rappels séparés à 17 Parties qui avaient des arriérés de plus de trois ans, attirant leur attention sur le paragraphe 9 de la Résolution 11.1 en vertu duquel leurs droits de vote à la Douzième session de la Conférence des Parties seraient retirés si les paiements n’étaient pas reçus. </w:t>
      </w:r>
    </w:p>
    <w:p w:rsidR="00094D4B" w:rsidRDefault="00094D4B" w:rsidP="00094D4B">
      <w:pPr>
        <w:ind w:left="360"/>
        <w:contextualSpacing/>
        <w:jc w:val="both"/>
        <w:rPr>
          <w:sz w:val="22"/>
          <w:szCs w:val="22"/>
          <w:lang w:val="fr-FR"/>
        </w:rPr>
      </w:pPr>
    </w:p>
    <w:p w:rsidR="009F0C53" w:rsidRPr="0095576E" w:rsidRDefault="009F0C53" w:rsidP="00094D4B">
      <w:pPr>
        <w:ind w:left="360"/>
        <w:contextualSpacing/>
        <w:jc w:val="both"/>
        <w:rPr>
          <w:sz w:val="22"/>
          <w:szCs w:val="22"/>
          <w:lang w:val="fr-FR"/>
        </w:rPr>
      </w:pPr>
    </w:p>
    <w:p w:rsidR="00094D4B" w:rsidRPr="0095576E" w:rsidRDefault="00094D4B" w:rsidP="00094D4B">
      <w:pPr>
        <w:contextualSpacing/>
        <w:jc w:val="both"/>
        <w:rPr>
          <w:b/>
          <w:sz w:val="22"/>
          <w:szCs w:val="22"/>
          <w:lang w:val="fr-FR"/>
        </w:rPr>
      </w:pPr>
      <w:r w:rsidRPr="0095576E">
        <w:rPr>
          <w:rFonts w:eastAsia="Arial" w:cs="Arial"/>
          <w:b/>
          <w:bCs/>
          <w:sz w:val="22"/>
          <w:szCs w:val="22"/>
          <w:bdr w:val="nil"/>
          <w:lang w:val="fr-FR"/>
        </w:rPr>
        <w:lastRenderedPageBreak/>
        <w:t xml:space="preserve">État des contributions évaluées des nouvelles Parties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Quatre nouvelles Parties (Afghanistan en août 2015, Brésil en octobre 2015, Émirats arabes unis en mai 2016 et Irak en août 2016) ont adhéré à la Convention au cours de la période triennale 2015-2017. Le total des nouvelles contributions évaluées attribuables aux quatre nouvelles Parties s’élève à 425 268 €, dont 660 € ont été versés par l’Afghanistan, laissant 424 608 € en </w:t>
      </w:r>
      <w:r w:rsidR="0068536B" w:rsidRPr="0095576E">
        <w:rPr>
          <w:rFonts w:eastAsia="Arial" w:cs="Arial"/>
          <w:sz w:val="22"/>
          <w:szCs w:val="22"/>
          <w:bdr w:val="nil"/>
          <w:lang w:val="fr-FR"/>
        </w:rPr>
        <w:t>suspens</w:t>
      </w:r>
      <w:r w:rsidRPr="0095576E">
        <w:rPr>
          <w:rFonts w:eastAsia="Arial" w:cs="Arial"/>
          <w:sz w:val="22"/>
          <w:szCs w:val="22"/>
          <w:bdr w:val="nil"/>
          <w:lang w:val="fr-FR"/>
        </w:rPr>
        <w:t xml:space="preserve"> pour les trois </w:t>
      </w:r>
      <w:r w:rsidR="002B6AA2">
        <w:rPr>
          <w:rFonts w:eastAsia="Arial" w:cs="Arial"/>
          <w:sz w:val="22"/>
          <w:szCs w:val="22"/>
          <w:bdr w:val="nil"/>
          <w:lang w:val="fr-FR"/>
        </w:rPr>
        <w:t xml:space="preserve">autres </w:t>
      </w:r>
      <w:r w:rsidRPr="0095576E">
        <w:rPr>
          <w:rFonts w:eastAsia="Arial" w:cs="Arial"/>
          <w:sz w:val="22"/>
          <w:szCs w:val="22"/>
          <w:bdr w:val="nil"/>
          <w:lang w:val="fr-FR"/>
        </w:rPr>
        <w:t xml:space="preserve">nouvelles Parties. </w:t>
      </w:r>
    </w:p>
    <w:p w:rsidR="00094D4B" w:rsidRPr="0095576E" w:rsidRDefault="00094D4B" w:rsidP="00094D4B">
      <w:pPr>
        <w:contextualSpacing/>
        <w:jc w:val="both"/>
        <w:rPr>
          <w:sz w:val="22"/>
          <w:szCs w:val="22"/>
          <w:lang w:val="fr-FR"/>
        </w:rPr>
      </w:pPr>
    </w:p>
    <w:p w:rsidR="00094D4B" w:rsidRPr="0095576E" w:rsidRDefault="00094D4B" w:rsidP="00094D4B">
      <w:pPr>
        <w:contextualSpacing/>
        <w:jc w:val="both"/>
        <w:rPr>
          <w:b/>
          <w:sz w:val="22"/>
          <w:szCs w:val="22"/>
          <w:lang w:val="fr-FR"/>
        </w:rPr>
      </w:pPr>
      <w:r w:rsidRPr="0095576E">
        <w:rPr>
          <w:rFonts w:eastAsia="Arial" w:cs="Arial"/>
          <w:b/>
          <w:bCs/>
          <w:sz w:val="22"/>
          <w:szCs w:val="22"/>
          <w:bdr w:val="nil"/>
          <w:lang w:val="fr-FR"/>
        </w:rPr>
        <w:t xml:space="preserve">Exécution du budget pour la période 2015-2017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La COP11 a adopté le budget triennal pour 2015-2017 pour un montant de 7 442 629 €, incluant </w:t>
      </w:r>
      <w:r w:rsidR="0068536B" w:rsidRPr="0095576E">
        <w:rPr>
          <w:rFonts w:eastAsia="Arial" w:cs="Arial"/>
          <w:sz w:val="22"/>
          <w:szCs w:val="22"/>
          <w:bdr w:val="nil"/>
          <w:lang w:val="fr-FR"/>
        </w:rPr>
        <w:t>13 % de</w:t>
      </w:r>
      <w:r w:rsidRPr="0095576E">
        <w:rPr>
          <w:rFonts w:eastAsia="Arial" w:cs="Arial"/>
          <w:sz w:val="22"/>
          <w:szCs w:val="22"/>
          <w:bdr w:val="nil"/>
          <w:lang w:val="fr-FR"/>
        </w:rPr>
        <w:t xml:space="preserve"> </w:t>
      </w:r>
      <w:r w:rsidR="002B6AA2">
        <w:rPr>
          <w:rFonts w:eastAsia="Arial" w:cs="Arial"/>
          <w:sz w:val="22"/>
          <w:szCs w:val="22"/>
          <w:bdr w:val="nil"/>
          <w:lang w:val="fr-FR"/>
        </w:rPr>
        <w:t>D</w:t>
      </w:r>
      <w:r w:rsidRPr="0095576E">
        <w:rPr>
          <w:rFonts w:eastAsia="Arial" w:cs="Arial"/>
          <w:sz w:val="22"/>
          <w:szCs w:val="22"/>
          <w:bdr w:val="nil"/>
          <w:lang w:val="fr-FR"/>
        </w:rPr>
        <w:t xml:space="preserve">épenses d’appui aux programmes (PSC - </w:t>
      </w:r>
      <w:r w:rsidRPr="0095576E">
        <w:rPr>
          <w:rFonts w:eastAsia="Arial" w:cs="Arial"/>
          <w:i/>
          <w:sz w:val="22"/>
          <w:szCs w:val="22"/>
          <w:bdr w:val="nil"/>
          <w:lang w:val="fr-FR"/>
        </w:rPr>
        <w:t xml:space="preserve">Programme Support </w:t>
      </w:r>
      <w:proofErr w:type="spellStart"/>
      <w:r w:rsidRPr="0095576E">
        <w:rPr>
          <w:rFonts w:eastAsia="Arial" w:cs="Arial"/>
          <w:i/>
          <w:sz w:val="22"/>
          <w:szCs w:val="22"/>
          <w:bdr w:val="nil"/>
          <w:lang w:val="fr-FR"/>
        </w:rPr>
        <w:t>Cost</w:t>
      </w:r>
      <w:proofErr w:type="spellEnd"/>
      <w:r w:rsidR="0068536B" w:rsidRPr="0095576E">
        <w:rPr>
          <w:rFonts w:eastAsia="Arial" w:cs="Arial"/>
          <w:sz w:val="22"/>
          <w:szCs w:val="22"/>
          <w:bdr w:val="nil"/>
          <w:lang w:val="fr-FR"/>
        </w:rPr>
        <w:t>).</w:t>
      </w:r>
      <w:r w:rsidRPr="0095576E">
        <w:rPr>
          <w:rFonts w:eastAsia="Arial" w:cs="Arial"/>
          <w:sz w:val="22"/>
          <w:szCs w:val="22"/>
          <w:bdr w:val="nil"/>
          <w:lang w:val="fr-FR"/>
        </w:rPr>
        <w:t xml:space="preserve"> La 44</w:t>
      </w:r>
      <w:r w:rsidRPr="0095576E">
        <w:rPr>
          <w:rFonts w:eastAsia="Arial" w:cs="Arial"/>
          <w:sz w:val="22"/>
          <w:szCs w:val="22"/>
          <w:bdr w:val="nil"/>
          <w:vertAlign w:val="superscript"/>
          <w:lang w:val="fr-FR"/>
        </w:rPr>
        <w:t>ème</w:t>
      </w:r>
      <w:r w:rsidRPr="0095576E">
        <w:rPr>
          <w:rFonts w:eastAsia="Arial" w:cs="Arial"/>
          <w:sz w:val="22"/>
          <w:szCs w:val="22"/>
          <w:bdr w:val="nil"/>
          <w:lang w:val="fr-FR"/>
        </w:rPr>
        <w:t xml:space="preserve"> réunion du Comité permanent (StC44) en octobre 2015 a autorisé le Secrétariat à prélever 179 000 €</w:t>
      </w:r>
      <w:r w:rsidR="0068536B" w:rsidRPr="0095576E">
        <w:rPr>
          <w:rFonts w:eastAsia="Arial" w:cs="Arial"/>
          <w:sz w:val="22"/>
          <w:szCs w:val="22"/>
          <w:bdr w:val="nil"/>
          <w:lang w:val="fr-FR"/>
        </w:rPr>
        <w:t xml:space="preserve">, incluant les </w:t>
      </w:r>
      <w:r w:rsidR="002B6AA2">
        <w:rPr>
          <w:rFonts w:eastAsia="Arial" w:cs="Arial"/>
          <w:sz w:val="22"/>
          <w:szCs w:val="22"/>
          <w:bdr w:val="nil"/>
          <w:lang w:val="fr-FR"/>
        </w:rPr>
        <w:t>D</w:t>
      </w:r>
      <w:r w:rsidR="0068536B" w:rsidRPr="0095576E">
        <w:rPr>
          <w:rFonts w:eastAsia="Arial" w:cs="Arial"/>
          <w:sz w:val="22"/>
          <w:szCs w:val="22"/>
          <w:bdr w:val="nil"/>
          <w:lang w:val="fr-FR"/>
        </w:rPr>
        <w:t>épenses d’appui au Programme,</w:t>
      </w:r>
      <w:r w:rsidRPr="0095576E">
        <w:rPr>
          <w:rFonts w:eastAsia="Arial" w:cs="Arial"/>
          <w:sz w:val="22"/>
          <w:szCs w:val="22"/>
          <w:bdr w:val="nil"/>
          <w:lang w:val="fr-FR"/>
        </w:rPr>
        <w:t xml:space="preserve"> sur la réserve d</w:t>
      </w:r>
      <w:r w:rsidR="002B6AA2">
        <w:rPr>
          <w:rFonts w:eastAsia="Arial" w:cs="Arial"/>
          <w:sz w:val="22"/>
          <w:szCs w:val="22"/>
          <w:bdr w:val="nil"/>
          <w:lang w:val="fr-FR"/>
        </w:rPr>
        <w:t>u</w:t>
      </w:r>
      <w:r w:rsidRPr="0095576E">
        <w:rPr>
          <w:rFonts w:eastAsia="Arial" w:cs="Arial"/>
          <w:sz w:val="22"/>
          <w:szCs w:val="22"/>
          <w:bdr w:val="nil"/>
          <w:lang w:val="fr-FR"/>
        </w:rPr>
        <w:t xml:space="preserve"> Fonds d’affectation spéciale </w:t>
      </w:r>
      <w:r w:rsidR="0068536B" w:rsidRPr="0095576E">
        <w:rPr>
          <w:rFonts w:eastAsia="Arial" w:cs="Arial"/>
          <w:sz w:val="22"/>
          <w:szCs w:val="22"/>
          <w:bdr w:val="nil"/>
          <w:lang w:val="fr-FR"/>
        </w:rPr>
        <w:t>afin de</w:t>
      </w:r>
      <w:r w:rsidRPr="0095576E">
        <w:rPr>
          <w:rFonts w:eastAsia="Arial" w:cs="Arial"/>
          <w:sz w:val="22"/>
          <w:szCs w:val="22"/>
          <w:bdr w:val="nil"/>
          <w:lang w:val="fr-FR"/>
        </w:rPr>
        <w:t xml:space="preserve"> couvrir les domaines suivants en 2016 et 2017 : 35K € pour couvrir le coût du remplacement du poste d’administrateur de programme associé P2 </w:t>
      </w:r>
      <w:r w:rsidR="007B785C">
        <w:rPr>
          <w:rFonts w:eastAsia="Arial" w:cs="Arial"/>
          <w:sz w:val="22"/>
          <w:szCs w:val="22"/>
          <w:bdr w:val="nil"/>
          <w:lang w:val="fr-FR"/>
        </w:rPr>
        <w:t>chargé</w:t>
      </w:r>
      <w:r w:rsidRPr="0095576E">
        <w:rPr>
          <w:rFonts w:eastAsia="Arial" w:cs="Arial"/>
          <w:sz w:val="22"/>
          <w:szCs w:val="22"/>
          <w:bdr w:val="nil"/>
          <w:lang w:val="fr-FR"/>
        </w:rPr>
        <w:t xml:space="preserve"> des espèces terrestres </w:t>
      </w:r>
      <w:r w:rsidR="0068536B" w:rsidRPr="0095576E">
        <w:rPr>
          <w:rFonts w:eastAsia="Arial" w:cs="Arial"/>
          <w:sz w:val="22"/>
          <w:szCs w:val="22"/>
          <w:bdr w:val="nil"/>
          <w:lang w:val="fr-FR"/>
        </w:rPr>
        <w:t>pendant le congé de maternité de</w:t>
      </w:r>
      <w:r w:rsidRPr="0095576E">
        <w:rPr>
          <w:rFonts w:eastAsia="Arial" w:cs="Arial"/>
          <w:sz w:val="22"/>
          <w:szCs w:val="22"/>
          <w:bdr w:val="nil"/>
          <w:lang w:val="fr-FR"/>
        </w:rPr>
        <w:t xml:space="preserve"> la titulaire </w:t>
      </w:r>
      <w:r w:rsidR="0068536B" w:rsidRPr="0095576E">
        <w:rPr>
          <w:rFonts w:eastAsia="Arial" w:cs="Arial"/>
          <w:sz w:val="22"/>
          <w:szCs w:val="22"/>
          <w:bdr w:val="nil"/>
          <w:lang w:val="fr-FR"/>
        </w:rPr>
        <w:t>en 2016 ; 104K € pour couvrir</w:t>
      </w:r>
      <w:r w:rsidR="007B785C">
        <w:rPr>
          <w:rFonts w:eastAsia="Arial" w:cs="Arial"/>
          <w:sz w:val="22"/>
          <w:szCs w:val="22"/>
          <w:bdr w:val="nil"/>
          <w:lang w:val="fr-FR"/>
        </w:rPr>
        <w:t xml:space="preserve"> le passage à temps plein du poste à temps partiel d’a</w:t>
      </w:r>
      <w:r w:rsidRPr="0095576E">
        <w:rPr>
          <w:rFonts w:eastAsia="Arial" w:cs="Arial"/>
          <w:sz w:val="22"/>
          <w:szCs w:val="22"/>
          <w:bdr w:val="nil"/>
          <w:lang w:val="fr-FR"/>
        </w:rPr>
        <w:t>dministrateur associé chargé de l’information P2 afin de renforcer les capacités de l’Unité conjointe chargée de l’information</w:t>
      </w:r>
      <w:r w:rsidR="0068536B" w:rsidRPr="0095576E">
        <w:rPr>
          <w:rFonts w:eastAsia="Arial" w:cs="Arial"/>
          <w:sz w:val="22"/>
          <w:szCs w:val="22"/>
          <w:bdr w:val="nil"/>
          <w:lang w:val="fr-FR"/>
        </w:rPr>
        <w:t> ;</w:t>
      </w:r>
      <w:r w:rsidRPr="0095576E">
        <w:rPr>
          <w:rFonts w:eastAsia="Arial" w:cs="Arial"/>
          <w:sz w:val="22"/>
          <w:szCs w:val="22"/>
          <w:bdr w:val="nil"/>
          <w:lang w:val="fr-FR"/>
        </w:rPr>
        <w:t xml:space="preserve"> et 40K € pour le soutien à la coordination du Groupe de travail </w:t>
      </w:r>
      <w:r w:rsidR="0068536B" w:rsidRPr="0095576E">
        <w:rPr>
          <w:rFonts w:eastAsia="Arial" w:cs="Arial"/>
          <w:sz w:val="22"/>
          <w:szCs w:val="22"/>
          <w:bdr w:val="nil"/>
          <w:lang w:val="fr-FR"/>
        </w:rPr>
        <w:t>sur le</w:t>
      </w:r>
      <w:r w:rsidRPr="0095576E">
        <w:rPr>
          <w:rFonts w:eastAsia="Arial" w:cs="Arial"/>
          <w:sz w:val="22"/>
          <w:szCs w:val="22"/>
          <w:bdr w:val="nil"/>
          <w:lang w:val="fr-FR"/>
        </w:rPr>
        <w:t xml:space="preserve"> Plan stratégique en 2016 et 2017. Cela porte le budget total pour la période triennale 2015-2017 à 7 621 629 €.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Les dépenses totales estimées pour la période triennale </w:t>
      </w:r>
      <w:r w:rsidR="0068536B" w:rsidRPr="0095576E">
        <w:rPr>
          <w:rFonts w:eastAsia="Arial" w:cs="Arial"/>
          <w:sz w:val="22"/>
          <w:szCs w:val="22"/>
          <w:bdr w:val="nil"/>
          <w:lang w:val="fr-FR"/>
        </w:rPr>
        <w:t>2015-2017 s’élèvent à 7 486 318 </w:t>
      </w:r>
      <w:r w:rsidRPr="0095576E">
        <w:rPr>
          <w:rFonts w:eastAsia="Arial" w:cs="Arial"/>
          <w:sz w:val="22"/>
          <w:szCs w:val="22"/>
          <w:bdr w:val="nil"/>
          <w:lang w:val="fr-FR"/>
        </w:rPr>
        <w:t xml:space="preserve">€, ce qui représente </w:t>
      </w:r>
      <w:r w:rsidR="0068536B" w:rsidRPr="0095576E">
        <w:rPr>
          <w:rFonts w:eastAsia="Arial" w:cs="Arial"/>
          <w:sz w:val="22"/>
          <w:szCs w:val="22"/>
          <w:bdr w:val="nil"/>
          <w:lang w:val="fr-FR"/>
        </w:rPr>
        <w:t>un excédent</w:t>
      </w:r>
      <w:r w:rsidRPr="0095576E">
        <w:rPr>
          <w:rFonts w:eastAsia="Arial" w:cs="Arial"/>
          <w:sz w:val="22"/>
          <w:szCs w:val="22"/>
          <w:bdr w:val="nil"/>
          <w:lang w:val="fr-FR"/>
        </w:rPr>
        <w:t xml:space="preserve"> estimé à 135 311 €, incluant les Dépenses d’appui au Programme, par rapport au budget total approuvé par la COP11 avec </w:t>
      </w:r>
      <w:r w:rsidR="0068536B" w:rsidRPr="0095576E">
        <w:rPr>
          <w:rFonts w:eastAsia="Arial" w:cs="Arial"/>
          <w:sz w:val="22"/>
          <w:szCs w:val="22"/>
          <w:bdr w:val="nil"/>
          <w:lang w:val="fr-FR"/>
        </w:rPr>
        <w:t xml:space="preserve">un </w:t>
      </w:r>
      <w:r w:rsidRPr="0095576E">
        <w:rPr>
          <w:rFonts w:eastAsia="Arial" w:cs="Arial"/>
          <w:sz w:val="22"/>
          <w:szCs w:val="22"/>
          <w:bdr w:val="nil"/>
          <w:lang w:val="fr-FR"/>
        </w:rPr>
        <w:t>prélèvement d</w:t>
      </w:r>
      <w:r w:rsidR="0068536B" w:rsidRPr="0095576E">
        <w:rPr>
          <w:rFonts w:eastAsia="Arial" w:cs="Arial"/>
          <w:sz w:val="22"/>
          <w:szCs w:val="22"/>
          <w:bdr w:val="nil"/>
          <w:lang w:val="fr-FR"/>
        </w:rPr>
        <w:t>ans</w:t>
      </w:r>
      <w:r w:rsidRPr="0095576E">
        <w:rPr>
          <w:rFonts w:eastAsia="Arial" w:cs="Arial"/>
          <w:sz w:val="22"/>
          <w:szCs w:val="22"/>
          <w:bdr w:val="nil"/>
          <w:lang w:val="fr-FR"/>
        </w:rPr>
        <w:t xml:space="preserve"> la réserve de fonctionnement. Cela a été principalement réalisé grâce à des économies de coût de personnel de 164 080 € et, dans une moindre mesure, des économies réalisées dans le cadre de l’analyse indépendante des synergies au sein de la Famille CMS et du service aux organes directeurs de 15 743 € et 36 345 € respectivement. Toutefois, les dépenses estimées </w:t>
      </w:r>
      <w:r w:rsidR="00135E56" w:rsidRPr="0095576E">
        <w:rPr>
          <w:rFonts w:eastAsia="Arial" w:cs="Arial"/>
          <w:sz w:val="22"/>
          <w:szCs w:val="22"/>
          <w:bdr w:val="nil"/>
          <w:lang w:val="fr-FR"/>
        </w:rPr>
        <w:t>relatives aux</w:t>
      </w:r>
      <w:r w:rsidRPr="0095576E">
        <w:rPr>
          <w:rFonts w:eastAsia="Arial" w:cs="Arial"/>
          <w:sz w:val="22"/>
          <w:szCs w:val="22"/>
          <w:bdr w:val="nil"/>
          <w:lang w:val="fr-FR"/>
        </w:rPr>
        <w:t xml:space="preserve"> coûts de fonctionnement dépassent le budget alloué de 96 424 €, et seront couvertes par les économies mentionnées ci-dessus réalisées </w:t>
      </w:r>
      <w:r w:rsidR="00135E56" w:rsidRPr="0095576E">
        <w:rPr>
          <w:rFonts w:eastAsia="Arial" w:cs="Arial"/>
          <w:sz w:val="22"/>
          <w:szCs w:val="22"/>
          <w:bdr w:val="nil"/>
          <w:lang w:val="fr-FR"/>
        </w:rPr>
        <w:t>dans</w:t>
      </w:r>
      <w:r w:rsidRPr="0095576E">
        <w:rPr>
          <w:rFonts w:eastAsia="Arial" w:cs="Arial"/>
          <w:sz w:val="22"/>
          <w:szCs w:val="22"/>
          <w:bdr w:val="nil"/>
          <w:lang w:val="fr-FR"/>
        </w:rPr>
        <w:t xml:space="preserve"> les autres postes budgétaires au cours de la période triennale 2015-2017. Les détails des </w:t>
      </w:r>
      <w:r w:rsidR="00135E56" w:rsidRPr="0095576E">
        <w:rPr>
          <w:rFonts w:eastAsia="Arial" w:cs="Arial"/>
          <w:sz w:val="22"/>
          <w:szCs w:val="22"/>
          <w:bdr w:val="nil"/>
          <w:lang w:val="fr-FR"/>
        </w:rPr>
        <w:t>économies</w:t>
      </w:r>
      <w:r w:rsidRPr="0095576E">
        <w:rPr>
          <w:rFonts w:eastAsia="Arial" w:cs="Arial"/>
          <w:sz w:val="22"/>
          <w:szCs w:val="22"/>
          <w:bdr w:val="nil"/>
          <w:lang w:val="fr-FR"/>
        </w:rPr>
        <w:t xml:space="preserve"> et des déficits estimés sont fournis dans les paragraphes suivants et dans le tableau de l’annexe 2. </w:t>
      </w:r>
    </w:p>
    <w:p w:rsidR="00094D4B" w:rsidRPr="0095576E" w:rsidRDefault="00094D4B" w:rsidP="00094D4B">
      <w:pPr>
        <w:ind w:left="360"/>
        <w:contextualSpacing/>
        <w:jc w:val="both"/>
        <w:rPr>
          <w:sz w:val="22"/>
          <w:szCs w:val="22"/>
          <w:lang w:val="fr-FR"/>
        </w:rPr>
      </w:pPr>
    </w:p>
    <w:p w:rsidR="00094D4B" w:rsidRPr="0095576E" w:rsidRDefault="00094D4B" w:rsidP="00094D4B">
      <w:pPr>
        <w:contextualSpacing/>
        <w:jc w:val="both"/>
        <w:rPr>
          <w:b/>
          <w:sz w:val="22"/>
          <w:szCs w:val="22"/>
          <w:lang w:val="fr-FR"/>
        </w:rPr>
      </w:pPr>
      <w:r w:rsidRPr="0095576E">
        <w:rPr>
          <w:rFonts w:eastAsia="Arial" w:cs="Arial"/>
          <w:b/>
          <w:bCs/>
          <w:sz w:val="22"/>
          <w:szCs w:val="22"/>
          <w:bdr w:val="nil"/>
          <w:lang w:val="fr-FR"/>
        </w:rPr>
        <w:t xml:space="preserve">Économies estimées pour la période triennale 2015-2017 : </w:t>
      </w:r>
    </w:p>
    <w:p w:rsidR="00094D4B" w:rsidRPr="0095576E" w:rsidRDefault="00094D4B" w:rsidP="00094D4B">
      <w:pPr>
        <w:ind w:firstLine="360"/>
        <w:contextualSpacing/>
        <w:jc w:val="both"/>
        <w:rPr>
          <w:b/>
          <w:sz w:val="22"/>
          <w:szCs w:val="22"/>
          <w:lang w:val="fr-FR"/>
        </w:rPr>
      </w:pPr>
    </w:p>
    <w:p w:rsidR="00094D4B" w:rsidRPr="0095576E" w:rsidRDefault="00094D4B" w:rsidP="00094D4B">
      <w:pPr>
        <w:ind w:firstLine="360"/>
        <w:contextualSpacing/>
        <w:jc w:val="both"/>
        <w:rPr>
          <w:b/>
          <w:sz w:val="22"/>
          <w:szCs w:val="22"/>
          <w:lang w:val="fr-FR"/>
        </w:rPr>
      </w:pPr>
      <w:r w:rsidRPr="0095576E">
        <w:rPr>
          <w:rFonts w:eastAsia="Arial" w:cs="Arial"/>
          <w:b/>
          <w:bCs/>
          <w:sz w:val="22"/>
          <w:szCs w:val="22"/>
          <w:bdr w:val="nil"/>
          <w:lang w:val="fr-FR"/>
        </w:rPr>
        <w:t>Personnel</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La Résolution 11.1 prévoyait pour le personnel un budget</w:t>
      </w:r>
      <w:r w:rsidR="00135E56" w:rsidRPr="0095576E">
        <w:rPr>
          <w:rFonts w:eastAsia="Arial" w:cs="Arial"/>
          <w:sz w:val="22"/>
          <w:szCs w:val="22"/>
          <w:bdr w:val="nil"/>
          <w:lang w:val="fr-FR"/>
        </w:rPr>
        <w:t xml:space="preserve"> </w:t>
      </w:r>
      <w:r w:rsidRPr="0095576E">
        <w:rPr>
          <w:rFonts w:eastAsia="Arial" w:cs="Arial"/>
          <w:sz w:val="22"/>
          <w:szCs w:val="22"/>
          <w:bdr w:val="nil"/>
          <w:lang w:val="fr-FR"/>
        </w:rPr>
        <w:t>de 5 137 34</w:t>
      </w:r>
      <w:r w:rsidR="007B785C">
        <w:rPr>
          <w:rFonts w:eastAsia="Arial" w:cs="Arial"/>
          <w:sz w:val="22"/>
          <w:szCs w:val="22"/>
          <w:bdr w:val="nil"/>
          <w:lang w:val="fr-FR"/>
        </w:rPr>
        <w:t>6</w:t>
      </w:r>
      <w:r w:rsidRPr="0095576E">
        <w:rPr>
          <w:rFonts w:eastAsia="Arial" w:cs="Arial"/>
          <w:sz w:val="22"/>
          <w:szCs w:val="22"/>
          <w:bdr w:val="nil"/>
          <w:lang w:val="fr-FR"/>
        </w:rPr>
        <w:t> €</w:t>
      </w:r>
      <w:r w:rsidR="00135E56" w:rsidRPr="0095576E">
        <w:rPr>
          <w:rFonts w:eastAsia="Arial" w:cs="Arial"/>
          <w:sz w:val="22"/>
          <w:szCs w:val="22"/>
          <w:bdr w:val="nil"/>
          <w:lang w:val="fr-FR"/>
        </w:rPr>
        <w:t xml:space="preserve">, </w:t>
      </w:r>
      <w:r w:rsidR="00A964DE">
        <w:rPr>
          <w:rFonts w:eastAsia="Arial" w:cs="Arial"/>
          <w:sz w:val="22"/>
          <w:szCs w:val="22"/>
          <w:bdr w:val="nil"/>
          <w:lang w:val="fr-FR"/>
        </w:rPr>
        <w:t>hors</w:t>
      </w:r>
      <w:r w:rsidR="00135E56" w:rsidRPr="0095576E">
        <w:rPr>
          <w:rFonts w:eastAsia="Arial" w:cs="Arial"/>
          <w:sz w:val="22"/>
          <w:szCs w:val="22"/>
          <w:bdr w:val="nil"/>
          <w:lang w:val="fr-FR"/>
        </w:rPr>
        <w:t xml:space="preserve"> dépenses d’appui au Programme, </w:t>
      </w:r>
      <w:r w:rsidRPr="0095576E">
        <w:rPr>
          <w:rFonts w:eastAsia="Arial" w:cs="Arial"/>
          <w:sz w:val="22"/>
          <w:szCs w:val="22"/>
          <w:bdr w:val="nil"/>
          <w:lang w:val="fr-FR"/>
        </w:rPr>
        <w:t xml:space="preserve">pour la période triennale 2015-2017. </w:t>
      </w:r>
      <w:r w:rsidR="00135E56" w:rsidRPr="0095576E">
        <w:rPr>
          <w:rFonts w:eastAsia="Arial" w:cs="Arial"/>
          <w:sz w:val="22"/>
          <w:szCs w:val="22"/>
          <w:bdr w:val="nil"/>
          <w:lang w:val="fr-FR"/>
        </w:rPr>
        <w:t>Grâce à</w:t>
      </w:r>
      <w:r w:rsidRPr="0095576E">
        <w:rPr>
          <w:rFonts w:eastAsia="Arial" w:cs="Arial"/>
          <w:sz w:val="22"/>
          <w:szCs w:val="22"/>
          <w:bdr w:val="nil"/>
          <w:lang w:val="fr-FR"/>
        </w:rPr>
        <w:t xml:space="preserve"> la réserve, la 44</w:t>
      </w:r>
      <w:r w:rsidRPr="0095576E">
        <w:rPr>
          <w:rFonts w:eastAsia="Arial" w:cs="Arial"/>
          <w:sz w:val="22"/>
          <w:szCs w:val="22"/>
          <w:bdr w:val="nil"/>
          <w:vertAlign w:val="superscript"/>
          <w:lang w:val="fr-FR"/>
        </w:rPr>
        <w:t>ème</w:t>
      </w:r>
      <w:r w:rsidR="00135E56" w:rsidRPr="0095576E">
        <w:rPr>
          <w:rFonts w:eastAsia="Arial" w:cs="Arial"/>
          <w:sz w:val="22"/>
          <w:szCs w:val="22"/>
          <w:bdr w:val="nil"/>
          <w:lang w:val="fr-FR"/>
        </w:rPr>
        <w:t xml:space="preserve"> </w:t>
      </w:r>
      <w:r w:rsidRPr="0095576E">
        <w:rPr>
          <w:rFonts w:eastAsia="Arial" w:cs="Arial"/>
          <w:sz w:val="22"/>
          <w:szCs w:val="22"/>
          <w:bdr w:val="nil"/>
          <w:lang w:val="fr-FR"/>
        </w:rPr>
        <w:t xml:space="preserve">réunion du Comité permanent en octobre 2015 est convenue d’augmenter le budget du personnel de 123 009 € </w:t>
      </w:r>
      <w:r w:rsidR="007B785C">
        <w:rPr>
          <w:rFonts w:eastAsia="Arial" w:cs="Arial"/>
          <w:sz w:val="22"/>
          <w:szCs w:val="22"/>
          <w:bdr w:val="nil"/>
          <w:lang w:val="fr-FR"/>
        </w:rPr>
        <w:t>afin de</w:t>
      </w:r>
      <w:r w:rsidRPr="0095576E">
        <w:rPr>
          <w:rFonts w:eastAsia="Arial" w:cs="Arial"/>
          <w:sz w:val="22"/>
          <w:szCs w:val="22"/>
          <w:bdr w:val="nil"/>
          <w:lang w:val="fr-FR"/>
        </w:rPr>
        <w:t xml:space="preserve"> remplace</w:t>
      </w:r>
      <w:r w:rsidR="007B785C">
        <w:rPr>
          <w:rFonts w:eastAsia="Arial" w:cs="Arial"/>
          <w:sz w:val="22"/>
          <w:szCs w:val="22"/>
          <w:bdr w:val="nil"/>
          <w:lang w:val="fr-FR"/>
        </w:rPr>
        <w:t>r le</w:t>
      </w:r>
      <w:r w:rsidRPr="0095576E">
        <w:rPr>
          <w:rFonts w:eastAsia="Arial" w:cs="Arial"/>
          <w:sz w:val="22"/>
          <w:szCs w:val="22"/>
          <w:bdr w:val="nil"/>
          <w:lang w:val="fr-FR"/>
        </w:rPr>
        <w:t xml:space="preserve"> poste d’</w:t>
      </w:r>
      <w:r w:rsidR="00135E56" w:rsidRPr="0095576E">
        <w:rPr>
          <w:rFonts w:eastAsia="Arial" w:cs="Arial"/>
          <w:sz w:val="22"/>
          <w:szCs w:val="22"/>
          <w:bdr w:val="nil"/>
          <w:lang w:val="fr-FR"/>
        </w:rPr>
        <w:t>a</w:t>
      </w:r>
      <w:r w:rsidRPr="0095576E">
        <w:rPr>
          <w:rFonts w:eastAsia="Arial" w:cs="Arial"/>
          <w:sz w:val="22"/>
          <w:szCs w:val="22"/>
          <w:bdr w:val="nil"/>
          <w:lang w:val="fr-FR"/>
        </w:rPr>
        <w:t xml:space="preserve">dministrateur de programme associé P2 </w:t>
      </w:r>
      <w:r w:rsidR="007B785C">
        <w:rPr>
          <w:rFonts w:eastAsia="Arial" w:cs="Arial"/>
          <w:sz w:val="22"/>
          <w:szCs w:val="22"/>
          <w:bdr w:val="nil"/>
          <w:lang w:val="fr-FR"/>
        </w:rPr>
        <w:t>chargé</w:t>
      </w:r>
      <w:r w:rsidRPr="0095576E">
        <w:rPr>
          <w:rFonts w:eastAsia="Arial" w:cs="Arial"/>
          <w:sz w:val="22"/>
          <w:szCs w:val="22"/>
          <w:bdr w:val="nil"/>
          <w:lang w:val="fr-FR"/>
        </w:rPr>
        <w:t xml:space="preserve"> des espèces terrestres pendant le congé de maternité de la titulaire en 2016</w:t>
      </w:r>
      <w:r w:rsidR="007B785C">
        <w:rPr>
          <w:rFonts w:eastAsia="Arial" w:cs="Arial"/>
          <w:sz w:val="22"/>
          <w:szCs w:val="22"/>
          <w:bdr w:val="nil"/>
          <w:lang w:val="fr-FR"/>
        </w:rPr>
        <w:t>,</w:t>
      </w:r>
      <w:r w:rsidRPr="0095576E">
        <w:rPr>
          <w:rFonts w:eastAsia="Arial" w:cs="Arial"/>
          <w:sz w:val="22"/>
          <w:szCs w:val="22"/>
          <w:bdr w:val="nil"/>
          <w:lang w:val="fr-FR"/>
        </w:rPr>
        <w:t xml:space="preserve"> et </w:t>
      </w:r>
      <w:r w:rsidR="007B785C">
        <w:rPr>
          <w:rFonts w:eastAsia="Arial" w:cs="Arial"/>
          <w:sz w:val="22"/>
          <w:szCs w:val="22"/>
          <w:bdr w:val="nil"/>
          <w:lang w:val="fr-FR"/>
        </w:rPr>
        <w:t>de</w:t>
      </w:r>
      <w:r w:rsidRPr="0095576E">
        <w:rPr>
          <w:rFonts w:eastAsia="Arial" w:cs="Arial"/>
          <w:sz w:val="22"/>
          <w:szCs w:val="22"/>
          <w:bdr w:val="nil"/>
          <w:lang w:val="fr-FR"/>
        </w:rPr>
        <w:t xml:space="preserve"> financer le </w:t>
      </w:r>
      <w:r w:rsidR="007B785C">
        <w:rPr>
          <w:rFonts w:eastAsia="Arial" w:cs="Arial"/>
          <w:sz w:val="22"/>
          <w:szCs w:val="22"/>
          <w:bdr w:val="nil"/>
          <w:lang w:val="fr-FR"/>
        </w:rPr>
        <w:t>passage à temps plein du poste à temps partiel d’a</w:t>
      </w:r>
      <w:r w:rsidR="007B785C" w:rsidRPr="0095576E">
        <w:rPr>
          <w:rFonts w:eastAsia="Arial" w:cs="Arial"/>
          <w:sz w:val="22"/>
          <w:szCs w:val="22"/>
          <w:bdr w:val="nil"/>
          <w:lang w:val="fr-FR"/>
        </w:rPr>
        <w:t xml:space="preserve">dministrateur associé chargé de l’information P2 </w:t>
      </w:r>
      <w:r w:rsidR="007B785C">
        <w:rPr>
          <w:rFonts w:eastAsia="Arial" w:cs="Arial"/>
          <w:sz w:val="22"/>
          <w:szCs w:val="22"/>
          <w:bdr w:val="nil"/>
          <w:lang w:val="fr-FR"/>
        </w:rPr>
        <w:t>dans le but</w:t>
      </w:r>
      <w:r w:rsidRPr="0095576E">
        <w:rPr>
          <w:rFonts w:eastAsia="Arial" w:cs="Arial"/>
          <w:sz w:val="22"/>
          <w:szCs w:val="22"/>
          <w:bdr w:val="nil"/>
          <w:lang w:val="fr-FR"/>
        </w:rPr>
        <w:t xml:space="preserve"> de renforcer les capacités de l’Unité conjointe chargée de l’information.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Les dépenses de personnel estimées pour la période triennale 2015-2017 se sont élevées à 5 096 275 € par rapport au budget </w:t>
      </w:r>
      <w:r w:rsidR="00135E56" w:rsidRPr="0095576E">
        <w:rPr>
          <w:rFonts w:eastAsia="Arial" w:cs="Arial"/>
          <w:sz w:val="22"/>
          <w:szCs w:val="22"/>
          <w:bdr w:val="nil"/>
          <w:lang w:val="fr-FR"/>
        </w:rPr>
        <w:t>initial prévu pour le</w:t>
      </w:r>
      <w:r w:rsidRPr="0095576E">
        <w:rPr>
          <w:rFonts w:eastAsia="Arial" w:cs="Arial"/>
          <w:sz w:val="22"/>
          <w:szCs w:val="22"/>
          <w:bdr w:val="nil"/>
          <w:lang w:val="fr-FR"/>
        </w:rPr>
        <w:t xml:space="preserve"> personnel de 5 260 356 €, ce qui représente un solde </w:t>
      </w:r>
      <w:r w:rsidR="00135E56" w:rsidRPr="0095576E">
        <w:rPr>
          <w:rFonts w:eastAsia="Arial" w:cs="Arial"/>
          <w:sz w:val="22"/>
          <w:szCs w:val="22"/>
          <w:bdr w:val="nil"/>
          <w:lang w:val="fr-FR"/>
        </w:rPr>
        <w:t xml:space="preserve">positif </w:t>
      </w:r>
      <w:r w:rsidRPr="0095576E">
        <w:rPr>
          <w:rFonts w:eastAsia="Arial" w:cs="Arial"/>
          <w:sz w:val="22"/>
          <w:szCs w:val="22"/>
          <w:bdr w:val="nil"/>
          <w:lang w:val="fr-FR"/>
        </w:rPr>
        <w:t xml:space="preserve">estimé à 164 080 € d’ici à la fin de décembre 2017. </w:t>
      </w:r>
    </w:p>
    <w:p w:rsidR="00094D4B" w:rsidRPr="0095576E" w:rsidRDefault="00094D4B" w:rsidP="00094D4B">
      <w:pPr>
        <w:pStyle w:val="ListParagrap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En raison d’une sous-estimation des droits appliqués aux membres du personnel recrutés </w:t>
      </w:r>
      <w:r w:rsidR="007B785C">
        <w:rPr>
          <w:rFonts w:eastAsia="Arial" w:cs="Arial"/>
          <w:sz w:val="22"/>
          <w:szCs w:val="22"/>
          <w:bdr w:val="nil"/>
          <w:lang w:val="fr-FR"/>
        </w:rPr>
        <w:t>à l’échelle</w:t>
      </w:r>
      <w:r w:rsidRPr="0095576E">
        <w:rPr>
          <w:rFonts w:eastAsia="Arial" w:cs="Arial"/>
          <w:sz w:val="22"/>
          <w:szCs w:val="22"/>
          <w:bdr w:val="nil"/>
          <w:lang w:val="fr-FR"/>
        </w:rPr>
        <w:t xml:space="preserve"> international</w:t>
      </w:r>
      <w:r w:rsidR="007B785C">
        <w:rPr>
          <w:rFonts w:eastAsia="Arial" w:cs="Arial"/>
          <w:sz w:val="22"/>
          <w:szCs w:val="22"/>
          <w:bdr w:val="nil"/>
          <w:lang w:val="fr-FR"/>
        </w:rPr>
        <w:t>e</w:t>
      </w:r>
      <w:r w:rsidRPr="0095576E">
        <w:rPr>
          <w:rFonts w:eastAsia="Arial" w:cs="Arial"/>
          <w:sz w:val="22"/>
          <w:szCs w:val="22"/>
          <w:bdr w:val="nil"/>
          <w:lang w:val="fr-FR"/>
        </w:rPr>
        <w:t xml:space="preserve">, les dépenses estimées </w:t>
      </w:r>
      <w:r w:rsidR="00135E56" w:rsidRPr="0095576E">
        <w:rPr>
          <w:rFonts w:eastAsia="Arial" w:cs="Arial"/>
          <w:sz w:val="22"/>
          <w:szCs w:val="22"/>
          <w:bdr w:val="nil"/>
          <w:lang w:val="fr-FR"/>
        </w:rPr>
        <w:t>pour</w:t>
      </w:r>
      <w:r w:rsidRPr="0095576E">
        <w:rPr>
          <w:rFonts w:eastAsia="Arial" w:cs="Arial"/>
          <w:sz w:val="22"/>
          <w:szCs w:val="22"/>
          <w:bdr w:val="nil"/>
          <w:lang w:val="fr-FR"/>
        </w:rPr>
        <w:t xml:space="preserve"> cinq postes d’administrateurs devraient dépasser le budget alloué de 218 872 € d’ici à la fin de décembre 2017. Ces dépassements de coûts se rapportent à la ligne du personnel </w:t>
      </w:r>
      <w:r w:rsidR="007B785C">
        <w:rPr>
          <w:rFonts w:eastAsia="Arial" w:cs="Arial"/>
          <w:sz w:val="22"/>
          <w:szCs w:val="22"/>
          <w:bdr w:val="nil"/>
          <w:lang w:val="fr-FR"/>
        </w:rPr>
        <w:t>pour l</w:t>
      </w:r>
      <w:r w:rsidRPr="0095576E">
        <w:rPr>
          <w:rFonts w:eastAsia="Arial" w:cs="Arial"/>
          <w:sz w:val="22"/>
          <w:szCs w:val="22"/>
          <w:bdr w:val="nil"/>
          <w:lang w:val="fr-FR"/>
        </w:rPr>
        <w:t xml:space="preserve">es postes budgétaires 1, 2, 10 et 14 du tableau de l’annexe 2. Toutefois, des économies sur les salaires d’autres </w:t>
      </w:r>
      <w:r w:rsidRPr="0095576E">
        <w:rPr>
          <w:rFonts w:eastAsia="Arial" w:cs="Arial"/>
          <w:sz w:val="22"/>
          <w:szCs w:val="22"/>
          <w:bdr w:val="nil"/>
          <w:lang w:val="fr-FR"/>
        </w:rPr>
        <w:lastRenderedPageBreak/>
        <w:t xml:space="preserve">administrateurs sont prévues à hauteur de 229 529 € pour les raisons </w:t>
      </w:r>
      <w:r w:rsidR="00EE78D0">
        <w:rPr>
          <w:rFonts w:eastAsia="Arial" w:cs="Arial"/>
          <w:sz w:val="22"/>
          <w:szCs w:val="22"/>
          <w:bdr w:val="nil"/>
          <w:lang w:val="fr-FR"/>
        </w:rPr>
        <w:t>suivantes</w:t>
      </w:r>
      <w:r w:rsidRPr="0095576E">
        <w:rPr>
          <w:rFonts w:eastAsia="Arial" w:cs="Arial"/>
          <w:sz w:val="22"/>
          <w:szCs w:val="22"/>
          <w:bdr w:val="nil"/>
          <w:lang w:val="fr-FR"/>
        </w:rPr>
        <w:t xml:space="preserve"> : </w:t>
      </w:r>
    </w:p>
    <w:p w:rsidR="00094D4B" w:rsidRPr="0095576E" w:rsidRDefault="00094D4B" w:rsidP="00094D4B">
      <w:pPr>
        <w:pStyle w:val="ListParagraph"/>
        <w:rPr>
          <w:sz w:val="22"/>
          <w:szCs w:val="22"/>
          <w:lang w:val="fr-FR"/>
        </w:rPr>
      </w:pPr>
    </w:p>
    <w:p w:rsidR="00094D4B" w:rsidRPr="0095576E" w:rsidRDefault="00094D4B" w:rsidP="00094D4B">
      <w:pPr>
        <w:pStyle w:val="ListParagraph"/>
        <w:numPr>
          <w:ilvl w:val="0"/>
          <w:numId w:val="17"/>
        </w:numPr>
        <w:jc w:val="both"/>
        <w:rPr>
          <w:sz w:val="22"/>
          <w:szCs w:val="22"/>
          <w:lang w:val="fr-FR"/>
        </w:rPr>
      </w:pPr>
      <w:r w:rsidRPr="0095576E">
        <w:rPr>
          <w:rFonts w:eastAsia="Arial" w:cs="Arial"/>
          <w:sz w:val="22"/>
          <w:szCs w:val="22"/>
          <w:bdr w:val="nil"/>
          <w:lang w:val="fr-FR"/>
        </w:rPr>
        <w:t xml:space="preserve">Administrateur de programme associé P2 </w:t>
      </w:r>
      <w:r w:rsidR="007B785C">
        <w:rPr>
          <w:rFonts w:eastAsia="Arial" w:cs="Arial"/>
          <w:sz w:val="22"/>
          <w:szCs w:val="22"/>
          <w:bdr w:val="nil"/>
          <w:lang w:val="fr-FR"/>
        </w:rPr>
        <w:t>chargé</w:t>
      </w:r>
      <w:r w:rsidRPr="0095576E">
        <w:rPr>
          <w:rFonts w:eastAsia="Arial" w:cs="Arial"/>
          <w:sz w:val="22"/>
          <w:szCs w:val="22"/>
          <w:bdr w:val="nil"/>
          <w:lang w:val="fr-FR"/>
        </w:rPr>
        <w:t xml:space="preserve"> des espèces terrestres (poste budgétaire 12) : la titulaire était en congé spécial </w:t>
      </w:r>
      <w:r w:rsidR="00EE78D0">
        <w:rPr>
          <w:rFonts w:eastAsia="Arial" w:cs="Arial"/>
          <w:sz w:val="22"/>
          <w:szCs w:val="22"/>
          <w:bdr w:val="nil"/>
          <w:lang w:val="fr-FR"/>
        </w:rPr>
        <w:t>sans solde</w:t>
      </w:r>
      <w:r w:rsidRPr="0095576E">
        <w:rPr>
          <w:rFonts w:eastAsia="Arial" w:cs="Arial"/>
          <w:sz w:val="22"/>
          <w:szCs w:val="22"/>
          <w:bdr w:val="nil"/>
          <w:lang w:val="fr-FR"/>
        </w:rPr>
        <w:t xml:space="preserve"> pour trois mois en 2015. Au cours de cette période, aucun salaire n’a été versé, un montant total de 20 398 € a été économisé en 2015. Pour 2016, le Secrétariat a</w:t>
      </w:r>
      <w:r w:rsidR="00135E56" w:rsidRPr="0095576E">
        <w:rPr>
          <w:rFonts w:eastAsia="Arial" w:cs="Arial"/>
          <w:sz w:val="22"/>
          <w:szCs w:val="22"/>
          <w:bdr w:val="nil"/>
          <w:lang w:val="fr-FR"/>
        </w:rPr>
        <w:t xml:space="preserve"> procédé au recrutement d’un remplaçant de</w:t>
      </w:r>
      <w:r w:rsidRPr="0095576E">
        <w:rPr>
          <w:rFonts w:eastAsia="Arial" w:cs="Arial"/>
          <w:sz w:val="22"/>
          <w:szCs w:val="22"/>
          <w:bdr w:val="nil"/>
          <w:lang w:val="fr-FR"/>
        </w:rPr>
        <w:t xml:space="preserve"> la titulaire en congé de maternité en prévoyant une période de chevauchement de trois mois. À cette fin, 30 677 € supplémentaires ont été autorisés par la 44</w:t>
      </w:r>
      <w:r w:rsidRPr="0095576E">
        <w:rPr>
          <w:rFonts w:eastAsia="Arial" w:cs="Arial"/>
          <w:sz w:val="22"/>
          <w:szCs w:val="22"/>
          <w:bdr w:val="nil"/>
          <w:vertAlign w:val="superscript"/>
          <w:lang w:val="fr-FR"/>
        </w:rPr>
        <w:t>ème</w:t>
      </w:r>
      <w:r w:rsidR="00135E56" w:rsidRPr="0095576E">
        <w:rPr>
          <w:rFonts w:eastAsia="Arial" w:cs="Arial"/>
          <w:sz w:val="22"/>
          <w:szCs w:val="22"/>
          <w:bdr w:val="nil"/>
          <w:lang w:val="fr-FR"/>
        </w:rPr>
        <w:t xml:space="preserve"> </w:t>
      </w:r>
      <w:r w:rsidRPr="0095576E">
        <w:rPr>
          <w:rFonts w:eastAsia="Arial" w:cs="Arial"/>
          <w:sz w:val="22"/>
          <w:szCs w:val="22"/>
          <w:bdr w:val="nil"/>
          <w:lang w:val="fr-FR"/>
        </w:rPr>
        <w:t xml:space="preserve">réunion du Comité permanent en 2016, mais ils n’ont pas été utilisés puisque le nouveau membre du personnel n’est arrivé qu’en mai 2016 alors que la titulaire était déjà en congé de maternité depuis avril. De plus, en raison du niveau de salaire d’entrée lors du recrutement et des différences dans les droits appliqués au nouveau membre du personnel, 30 756 € ont été estimés </w:t>
      </w:r>
      <w:r w:rsidR="00EE78D0">
        <w:rPr>
          <w:rFonts w:eastAsia="Arial" w:cs="Arial"/>
          <w:sz w:val="22"/>
          <w:szCs w:val="22"/>
          <w:bdr w:val="nil"/>
          <w:lang w:val="fr-FR"/>
        </w:rPr>
        <w:t>comme sous-utilisés</w:t>
      </w:r>
      <w:r w:rsidRPr="0095576E">
        <w:rPr>
          <w:rFonts w:eastAsia="Arial" w:cs="Arial"/>
          <w:sz w:val="22"/>
          <w:szCs w:val="22"/>
          <w:bdr w:val="nil"/>
          <w:lang w:val="fr-FR"/>
        </w:rPr>
        <w:t xml:space="preserve"> d’ici à la fin de décembre 2017. Dans l’ensemble, le total des économies est estimé à 81 831 € pour </w:t>
      </w:r>
      <w:r w:rsidR="00135E56" w:rsidRPr="0095576E">
        <w:rPr>
          <w:rFonts w:eastAsia="Arial" w:cs="Arial"/>
          <w:sz w:val="22"/>
          <w:szCs w:val="22"/>
          <w:bdr w:val="nil"/>
          <w:lang w:val="fr-FR"/>
        </w:rPr>
        <w:t>c</w:t>
      </w:r>
      <w:r w:rsidRPr="0095576E">
        <w:rPr>
          <w:rFonts w:eastAsia="Arial" w:cs="Arial"/>
          <w:sz w:val="22"/>
          <w:szCs w:val="22"/>
          <w:bdr w:val="nil"/>
          <w:lang w:val="fr-FR"/>
        </w:rPr>
        <w:t>e poste d’</w:t>
      </w:r>
      <w:r w:rsidR="00135E56" w:rsidRPr="0095576E">
        <w:rPr>
          <w:rFonts w:eastAsia="Arial" w:cs="Arial"/>
          <w:sz w:val="22"/>
          <w:szCs w:val="22"/>
          <w:bdr w:val="nil"/>
          <w:lang w:val="fr-FR"/>
        </w:rPr>
        <w:t>a</w:t>
      </w:r>
      <w:r w:rsidRPr="0095576E">
        <w:rPr>
          <w:rFonts w:eastAsia="Arial" w:cs="Arial"/>
          <w:sz w:val="22"/>
          <w:szCs w:val="22"/>
          <w:bdr w:val="nil"/>
          <w:lang w:val="fr-FR"/>
        </w:rPr>
        <w:t xml:space="preserve">dministrateur de programme associé P2 pour l’ensemble de la période triennale. </w:t>
      </w:r>
    </w:p>
    <w:p w:rsidR="00094D4B" w:rsidRPr="0095576E" w:rsidRDefault="00094D4B" w:rsidP="00094D4B">
      <w:pPr>
        <w:pStyle w:val="ListParagraph"/>
        <w:rPr>
          <w:sz w:val="22"/>
          <w:szCs w:val="22"/>
          <w:lang w:val="fr-FR"/>
        </w:rPr>
      </w:pPr>
    </w:p>
    <w:p w:rsidR="00094D4B" w:rsidRPr="0095576E" w:rsidRDefault="00094D4B" w:rsidP="00094D4B">
      <w:pPr>
        <w:pStyle w:val="ListParagraph"/>
        <w:numPr>
          <w:ilvl w:val="0"/>
          <w:numId w:val="17"/>
        </w:numPr>
        <w:jc w:val="both"/>
        <w:rPr>
          <w:sz w:val="22"/>
          <w:szCs w:val="22"/>
          <w:lang w:val="fr-FR"/>
        </w:rPr>
      </w:pPr>
      <w:r w:rsidRPr="0095576E">
        <w:rPr>
          <w:rFonts w:eastAsia="Arial" w:cs="Arial"/>
          <w:sz w:val="22"/>
          <w:szCs w:val="22"/>
          <w:bdr w:val="nil"/>
          <w:lang w:val="fr-FR"/>
        </w:rPr>
        <w:t xml:space="preserve">Administrateur de programme associé P2 chargé de l’Initiative sur les mammifères d’Asie centrale (poste budgétaire 13) : Alors que le recrutement de </w:t>
      </w:r>
      <w:r w:rsidR="00135E56" w:rsidRPr="0095576E">
        <w:rPr>
          <w:rFonts w:eastAsia="Arial" w:cs="Arial"/>
          <w:sz w:val="22"/>
          <w:szCs w:val="22"/>
          <w:bdr w:val="nil"/>
          <w:lang w:val="fr-FR"/>
        </w:rPr>
        <w:t>ce poste d’</w:t>
      </w:r>
      <w:r w:rsidRPr="0095576E">
        <w:rPr>
          <w:rFonts w:eastAsia="Arial" w:cs="Arial"/>
          <w:sz w:val="22"/>
          <w:szCs w:val="22"/>
          <w:bdr w:val="nil"/>
          <w:lang w:val="fr-FR"/>
        </w:rPr>
        <w:t>administrateur P2 était en cour</w:t>
      </w:r>
      <w:r w:rsidR="00EE78D0">
        <w:rPr>
          <w:rFonts w:eastAsia="Arial" w:cs="Arial"/>
          <w:sz w:val="22"/>
          <w:szCs w:val="22"/>
          <w:bdr w:val="nil"/>
          <w:lang w:val="fr-FR"/>
        </w:rPr>
        <w:t xml:space="preserve">s, deux consultants individuels </w:t>
      </w:r>
      <w:r w:rsidRPr="0095576E">
        <w:rPr>
          <w:rFonts w:eastAsia="Arial" w:cs="Arial"/>
          <w:sz w:val="22"/>
          <w:szCs w:val="22"/>
          <w:bdr w:val="nil"/>
          <w:lang w:val="fr-FR"/>
        </w:rPr>
        <w:t xml:space="preserve">ont été recrutés </w:t>
      </w:r>
      <w:r w:rsidR="00EE78D0" w:rsidRPr="0095576E">
        <w:rPr>
          <w:rFonts w:eastAsia="Arial" w:cs="Arial"/>
          <w:sz w:val="22"/>
          <w:szCs w:val="22"/>
          <w:bdr w:val="nil"/>
          <w:lang w:val="fr-FR"/>
        </w:rPr>
        <w:t xml:space="preserve">à court terme </w:t>
      </w:r>
      <w:r w:rsidRPr="0095576E">
        <w:rPr>
          <w:rFonts w:eastAsia="Arial" w:cs="Arial"/>
          <w:sz w:val="22"/>
          <w:szCs w:val="22"/>
          <w:bdr w:val="nil"/>
          <w:lang w:val="fr-FR"/>
        </w:rPr>
        <w:t xml:space="preserve">pour </w:t>
      </w:r>
      <w:r w:rsidR="00EE78D0">
        <w:rPr>
          <w:rFonts w:eastAsia="Arial" w:cs="Arial"/>
          <w:sz w:val="22"/>
          <w:szCs w:val="22"/>
          <w:bdr w:val="nil"/>
          <w:lang w:val="fr-FR"/>
        </w:rPr>
        <w:t>occuper</w:t>
      </w:r>
      <w:r w:rsidRPr="0095576E">
        <w:rPr>
          <w:rFonts w:eastAsia="Arial" w:cs="Arial"/>
          <w:sz w:val="22"/>
          <w:szCs w:val="22"/>
          <w:bdr w:val="nil"/>
          <w:lang w:val="fr-FR"/>
        </w:rPr>
        <w:t xml:space="preserve"> le poste en 2015 et en 2016 respectivement. </w:t>
      </w:r>
      <w:r w:rsidR="00135E56" w:rsidRPr="0095576E">
        <w:rPr>
          <w:rFonts w:eastAsia="Arial" w:cs="Arial"/>
          <w:sz w:val="22"/>
          <w:szCs w:val="22"/>
          <w:bdr w:val="nil"/>
          <w:lang w:val="fr-FR"/>
        </w:rPr>
        <w:t>L</w:t>
      </w:r>
      <w:r w:rsidRPr="0095576E">
        <w:rPr>
          <w:rFonts w:eastAsia="Arial" w:cs="Arial"/>
          <w:sz w:val="22"/>
          <w:szCs w:val="22"/>
          <w:bdr w:val="nil"/>
          <w:lang w:val="fr-FR"/>
        </w:rPr>
        <w:t>es droits du personnel</w:t>
      </w:r>
      <w:r w:rsidR="00135E56" w:rsidRPr="0095576E">
        <w:rPr>
          <w:rFonts w:eastAsia="Arial" w:cs="Arial"/>
          <w:sz w:val="22"/>
          <w:szCs w:val="22"/>
          <w:bdr w:val="nil"/>
          <w:lang w:val="fr-FR"/>
        </w:rPr>
        <w:t>,</w:t>
      </w:r>
      <w:r w:rsidR="00EE78D0">
        <w:rPr>
          <w:rFonts w:eastAsia="Arial" w:cs="Arial"/>
          <w:sz w:val="22"/>
          <w:szCs w:val="22"/>
          <w:bdr w:val="nil"/>
          <w:lang w:val="fr-FR"/>
        </w:rPr>
        <w:t xml:space="preserve"> tels que le</w:t>
      </w:r>
      <w:r w:rsidRPr="0095576E">
        <w:rPr>
          <w:rFonts w:eastAsia="Arial" w:cs="Arial"/>
          <w:sz w:val="22"/>
          <w:szCs w:val="22"/>
          <w:bdr w:val="nil"/>
          <w:lang w:val="fr-FR"/>
        </w:rPr>
        <w:t xml:space="preserve"> fonds de pension </w:t>
      </w:r>
      <w:r w:rsidR="00EE78D0">
        <w:rPr>
          <w:rFonts w:eastAsia="Arial" w:cs="Arial"/>
          <w:sz w:val="22"/>
          <w:szCs w:val="22"/>
          <w:bdr w:val="nil"/>
          <w:lang w:val="fr-FR"/>
        </w:rPr>
        <w:t>des Nations Unies</w:t>
      </w:r>
      <w:r w:rsidRPr="0095576E">
        <w:rPr>
          <w:rFonts w:eastAsia="Arial" w:cs="Arial"/>
          <w:sz w:val="22"/>
          <w:szCs w:val="22"/>
          <w:bdr w:val="nil"/>
          <w:lang w:val="fr-FR"/>
        </w:rPr>
        <w:t>, l’assurance médicale, etc.</w:t>
      </w:r>
      <w:r w:rsidR="00135E56" w:rsidRPr="0095576E">
        <w:rPr>
          <w:rFonts w:eastAsia="Arial" w:cs="Arial"/>
          <w:sz w:val="22"/>
          <w:szCs w:val="22"/>
          <w:bdr w:val="nil"/>
          <w:lang w:val="fr-FR"/>
        </w:rPr>
        <w:t>,</w:t>
      </w:r>
      <w:r w:rsidRPr="0095576E">
        <w:rPr>
          <w:rFonts w:eastAsia="Arial" w:cs="Arial"/>
          <w:sz w:val="22"/>
          <w:szCs w:val="22"/>
          <w:bdr w:val="nil"/>
          <w:lang w:val="fr-FR"/>
        </w:rPr>
        <w:t xml:space="preserve"> n</w:t>
      </w:r>
      <w:r w:rsidR="00135E56" w:rsidRPr="0095576E">
        <w:rPr>
          <w:rFonts w:eastAsia="Arial" w:cs="Arial"/>
          <w:sz w:val="22"/>
          <w:szCs w:val="22"/>
          <w:bdr w:val="nil"/>
          <w:lang w:val="fr-FR"/>
        </w:rPr>
        <w:t>’étant</w:t>
      </w:r>
      <w:r w:rsidRPr="0095576E">
        <w:rPr>
          <w:rFonts w:eastAsia="Arial" w:cs="Arial"/>
          <w:sz w:val="22"/>
          <w:szCs w:val="22"/>
          <w:bdr w:val="nil"/>
          <w:lang w:val="fr-FR"/>
        </w:rPr>
        <w:t xml:space="preserve"> pas applicables aux consultants, cela a entraîné des économies de 46 734 € pour la période 2015-2016. L’administrateur P2 n’ayant été recruté qu’en mars 2017, 3 350 € ont été économisés en plus des économies enregistrées en 2015-2016. </w:t>
      </w:r>
    </w:p>
    <w:p w:rsidR="00094D4B" w:rsidRPr="0095576E" w:rsidRDefault="00094D4B" w:rsidP="00094D4B">
      <w:pPr>
        <w:pStyle w:val="ListParagraph"/>
        <w:jc w:val="both"/>
        <w:rPr>
          <w:sz w:val="22"/>
          <w:szCs w:val="22"/>
          <w:lang w:val="fr-FR"/>
        </w:rPr>
      </w:pPr>
    </w:p>
    <w:p w:rsidR="00094D4B" w:rsidRPr="0095576E" w:rsidRDefault="00094D4B" w:rsidP="00094D4B">
      <w:pPr>
        <w:pStyle w:val="ListParagraph"/>
        <w:numPr>
          <w:ilvl w:val="0"/>
          <w:numId w:val="17"/>
        </w:numPr>
        <w:jc w:val="both"/>
        <w:rPr>
          <w:sz w:val="22"/>
          <w:szCs w:val="22"/>
          <w:lang w:val="fr-FR"/>
        </w:rPr>
      </w:pPr>
      <w:r w:rsidRPr="0095576E">
        <w:rPr>
          <w:rFonts w:eastAsia="Arial" w:cs="Arial"/>
          <w:sz w:val="22"/>
          <w:szCs w:val="22"/>
          <w:bdr w:val="nil"/>
          <w:lang w:val="fr-FR"/>
        </w:rPr>
        <w:t xml:space="preserve">Conseiller principal et </w:t>
      </w:r>
      <w:r w:rsidR="00F60808" w:rsidRPr="0095576E">
        <w:rPr>
          <w:rFonts w:eastAsia="Arial" w:cs="Arial"/>
          <w:sz w:val="22"/>
          <w:szCs w:val="22"/>
          <w:bdr w:val="nil"/>
          <w:lang w:val="fr-FR"/>
        </w:rPr>
        <w:t xml:space="preserve">Chef </w:t>
      </w:r>
      <w:r w:rsidRPr="0095576E">
        <w:rPr>
          <w:rFonts w:eastAsia="Arial" w:cs="Arial"/>
          <w:sz w:val="22"/>
          <w:szCs w:val="22"/>
          <w:bdr w:val="nil"/>
          <w:lang w:val="fr-FR"/>
        </w:rPr>
        <w:t xml:space="preserve">du Secrétariat de l’IOSEA (poste budgétaire 9) : Un Administrateur P3 </w:t>
      </w:r>
      <w:r w:rsidR="00EE78D0">
        <w:rPr>
          <w:rFonts w:eastAsia="Arial" w:cs="Arial"/>
          <w:sz w:val="22"/>
          <w:szCs w:val="22"/>
          <w:bdr w:val="nil"/>
          <w:lang w:val="fr-FR"/>
        </w:rPr>
        <w:t xml:space="preserve">présent </w:t>
      </w:r>
      <w:r w:rsidRPr="0095576E">
        <w:rPr>
          <w:rFonts w:eastAsia="Arial" w:cs="Arial"/>
          <w:sz w:val="22"/>
          <w:szCs w:val="22"/>
          <w:bdr w:val="nil"/>
          <w:lang w:val="fr-FR"/>
        </w:rPr>
        <w:t xml:space="preserve">au sein du Secrétariat a occupé les fonctions de </w:t>
      </w:r>
      <w:r w:rsidR="00EE78D0">
        <w:rPr>
          <w:rFonts w:eastAsia="Arial" w:cs="Arial"/>
          <w:sz w:val="22"/>
          <w:szCs w:val="22"/>
          <w:bdr w:val="nil"/>
          <w:lang w:val="fr-FR"/>
        </w:rPr>
        <w:t>c</w:t>
      </w:r>
      <w:r w:rsidRPr="0095576E">
        <w:rPr>
          <w:rFonts w:eastAsia="Arial" w:cs="Arial"/>
          <w:sz w:val="22"/>
          <w:szCs w:val="22"/>
          <w:bdr w:val="nil"/>
          <w:lang w:val="fr-FR"/>
        </w:rPr>
        <w:t xml:space="preserve">hef du Secrétariat de l’IOSEA alors que le titulaire était en congé spécial sans solde jusqu’en octobre 2015. Le salaire du titulaire au niveau P5 a été par erreur entièrement comptabilisé en 2015, ce qui a entraîné des dépassements de coûts en 2015. Cependant, une correction a été </w:t>
      </w:r>
      <w:r w:rsidR="0095576E" w:rsidRPr="0095576E">
        <w:rPr>
          <w:rFonts w:eastAsia="Arial" w:cs="Arial"/>
          <w:sz w:val="22"/>
          <w:szCs w:val="22"/>
          <w:bdr w:val="nil"/>
          <w:lang w:val="fr-FR"/>
        </w:rPr>
        <w:t>apportée</w:t>
      </w:r>
      <w:r w:rsidRPr="0095576E">
        <w:rPr>
          <w:rFonts w:eastAsia="Arial" w:cs="Arial"/>
          <w:sz w:val="22"/>
          <w:szCs w:val="22"/>
          <w:bdr w:val="nil"/>
          <w:lang w:val="fr-FR"/>
        </w:rPr>
        <w:t xml:space="preserve"> en 2016 en fonction des dépenses réelles liées au salaire au niveau P5, la part du Secrétariat étant de 12,5 %. Il convient de noter que le titulaire a pris sa retraite en octobre 2016 et qu’aucune dépense n’a été </w:t>
      </w:r>
      <w:r w:rsidR="00EE78D0">
        <w:rPr>
          <w:rFonts w:eastAsia="Arial" w:cs="Arial"/>
          <w:sz w:val="22"/>
          <w:szCs w:val="22"/>
          <w:bdr w:val="nil"/>
          <w:lang w:val="fr-FR"/>
        </w:rPr>
        <w:t>imputée</w:t>
      </w:r>
      <w:r w:rsidRPr="0095576E">
        <w:rPr>
          <w:rFonts w:eastAsia="Arial" w:cs="Arial"/>
          <w:sz w:val="22"/>
          <w:szCs w:val="22"/>
          <w:bdr w:val="nil"/>
          <w:lang w:val="fr-FR"/>
        </w:rPr>
        <w:t xml:space="preserve"> au dernier trimestre de 2016. À compter de janvier 2017, l’Administrateur P2 a occupé les fonctions de </w:t>
      </w:r>
      <w:r w:rsidR="00EE78D0">
        <w:rPr>
          <w:rFonts w:eastAsia="Arial" w:cs="Arial"/>
          <w:sz w:val="22"/>
          <w:szCs w:val="22"/>
          <w:bdr w:val="nil"/>
          <w:lang w:val="fr-FR"/>
        </w:rPr>
        <w:t>c</w:t>
      </w:r>
      <w:r w:rsidRPr="0095576E">
        <w:rPr>
          <w:rFonts w:eastAsia="Arial" w:cs="Arial"/>
          <w:sz w:val="22"/>
          <w:szCs w:val="22"/>
          <w:bdr w:val="nil"/>
          <w:lang w:val="fr-FR"/>
        </w:rPr>
        <w:t>hef du Secrétariat de l’IOSEA en prévision d’une indemnité de poste spéciale au niveau P3 à partir d’avril 2017. Compte tenu de la différence entre les salaires de niveaux P5 et P3 en 2017, et en l’absence de</w:t>
      </w:r>
      <w:r w:rsidR="00F60808" w:rsidRPr="0095576E">
        <w:rPr>
          <w:rFonts w:eastAsia="Arial" w:cs="Arial"/>
          <w:sz w:val="22"/>
          <w:szCs w:val="22"/>
          <w:bdr w:val="nil"/>
          <w:lang w:val="fr-FR"/>
        </w:rPr>
        <w:t xml:space="preserve"> versement de</w:t>
      </w:r>
      <w:r w:rsidRPr="0095576E">
        <w:rPr>
          <w:rFonts w:eastAsia="Arial" w:cs="Arial"/>
          <w:sz w:val="22"/>
          <w:szCs w:val="22"/>
          <w:bdr w:val="nil"/>
          <w:lang w:val="fr-FR"/>
        </w:rPr>
        <w:t xml:space="preserve"> salaire d’octobre à décembre 2016, le solde estimé présente une économie de 15 736 € d’ici à la fin de décembre 2017. </w:t>
      </w:r>
    </w:p>
    <w:p w:rsidR="00094D4B" w:rsidRPr="0095576E" w:rsidRDefault="00094D4B" w:rsidP="00094D4B">
      <w:pPr>
        <w:pStyle w:val="ListParagraph"/>
        <w:rPr>
          <w:sz w:val="22"/>
          <w:szCs w:val="22"/>
          <w:lang w:val="fr-FR"/>
        </w:rPr>
      </w:pPr>
    </w:p>
    <w:p w:rsidR="00094D4B" w:rsidRPr="0095576E" w:rsidRDefault="00094D4B" w:rsidP="00094D4B">
      <w:pPr>
        <w:pStyle w:val="ListParagraph"/>
        <w:numPr>
          <w:ilvl w:val="0"/>
          <w:numId w:val="17"/>
        </w:numPr>
        <w:jc w:val="both"/>
        <w:rPr>
          <w:sz w:val="22"/>
          <w:szCs w:val="22"/>
          <w:lang w:val="fr-FR"/>
        </w:rPr>
      </w:pPr>
      <w:r w:rsidRPr="0095576E">
        <w:rPr>
          <w:rFonts w:eastAsia="Arial" w:cs="Arial"/>
          <w:sz w:val="22"/>
          <w:szCs w:val="22"/>
          <w:bdr w:val="nil"/>
          <w:lang w:val="fr-FR"/>
        </w:rPr>
        <w:t xml:space="preserve">Chef de l’unité de renforcement des capacités (poste budgétaire 27) : en 2015, la ligne budgétaire du salaire P4 a été dépassée de 28 951 € par rapport au budget approuvé par la COP en raison de la sous-estimation des droits du personnel. En août 2016, le poste est devenu vacant, le titulaire ayant rejoint la Division du droit de l’ONU environnement. Un Administrateur P2 temporaire a été recruté à partir d’octobre 2016, ce qui a donné lieu à des économies globales de 81 878 € qui s’expliquent par la différence de salaire entre les niveaux P4 et P2, et en tenant compte des dépenses excédentaires déclarées en 2015. </w:t>
      </w:r>
    </w:p>
    <w:p w:rsidR="00094D4B" w:rsidRPr="0095576E" w:rsidRDefault="00094D4B" w:rsidP="00094D4B">
      <w:pPr>
        <w:pStyle w:val="ListParagraph"/>
        <w:rPr>
          <w:lang w:val="fr-FR"/>
        </w:rPr>
      </w:pPr>
    </w:p>
    <w:p w:rsidR="00094D4B" w:rsidRPr="00F84E3C" w:rsidRDefault="00094D4B" w:rsidP="00F84E3C">
      <w:pPr>
        <w:numPr>
          <w:ilvl w:val="0"/>
          <w:numId w:val="10"/>
        </w:numPr>
        <w:ind w:left="360"/>
        <w:contextualSpacing/>
        <w:jc w:val="both"/>
        <w:rPr>
          <w:sz w:val="22"/>
          <w:szCs w:val="22"/>
          <w:lang w:val="fr-FR"/>
        </w:rPr>
      </w:pPr>
      <w:r w:rsidRPr="0095576E">
        <w:rPr>
          <w:rFonts w:eastAsia="Arial" w:cs="Arial"/>
          <w:sz w:val="22"/>
          <w:szCs w:val="22"/>
          <w:bdr w:val="nil"/>
          <w:lang w:val="fr-FR"/>
        </w:rPr>
        <w:t xml:space="preserve">Des économies supplémentaires ont été générées par les salaires du personnel d’appui des services généraux au cours de la période triennale. Le concept d’utilisation d’une échelle de salaire basée sur la moyenne pondérée de deux échelles de salaires locales (GS4/5 et GS6/7) a une incidence sur la différence entre le budget approuvé et les dépenses estimées. Les </w:t>
      </w:r>
      <w:r w:rsidR="00F84E3C">
        <w:rPr>
          <w:rFonts w:eastAsia="Arial" w:cs="Arial"/>
          <w:sz w:val="22"/>
          <w:szCs w:val="22"/>
          <w:bdr w:val="nil"/>
          <w:lang w:val="fr-FR"/>
        </w:rPr>
        <w:t xml:space="preserve">variations </w:t>
      </w:r>
      <w:r w:rsidRPr="0095576E">
        <w:rPr>
          <w:rFonts w:eastAsia="Arial" w:cs="Arial"/>
          <w:sz w:val="22"/>
          <w:szCs w:val="22"/>
          <w:bdr w:val="nil"/>
          <w:lang w:val="fr-FR"/>
        </w:rPr>
        <w:t xml:space="preserve">individuelles </w:t>
      </w:r>
      <w:r w:rsidR="00F84E3C">
        <w:rPr>
          <w:rFonts w:eastAsia="Arial" w:cs="Arial"/>
          <w:sz w:val="22"/>
          <w:szCs w:val="22"/>
          <w:bdr w:val="nil"/>
          <w:lang w:val="fr-FR"/>
        </w:rPr>
        <w:t>d</w:t>
      </w:r>
      <w:r w:rsidRPr="00F84E3C">
        <w:rPr>
          <w:rFonts w:eastAsia="Arial" w:cs="Arial"/>
          <w:sz w:val="22"/>
          <w:szCs w:val="22"/>
          <w:bdr w:val="nil"/>
          <w:lang w:val="fr-FR"/>
        </w:rPr>
        <w:t xml:space="preserve">es droits du personnel d’appui, tels que les indemnités pour conjoint et enfant, et les indemnités de </w:t>
      </w:r>
      <w:r w:rsidR="00F84E3C" w:rsidRPr="00F84E3C">
        <w:rPr>
          <w:rFonts w:eastAsia="Arial" w:cs="Arial"/>
          <w:sz w:val="22"/>
          <w:szCs w:val="22"/>
          <w:bdr w:val="nil"/>
          <w:lang w:val="fr-FR"/>
        </w:rPr>
        <w:t xml:space="preserve">connaissances linguistiques et de </w:t>
      </w:r>
      <w:r w:rsidRPr="00F84E3C">
        <w:rPr>
          <w:rFonts w:eastAsia="Arial" w:cs="Arial"/>
          <w:sz w:val="22"/>
          <w:szCs w:val="22"/>
          <w:bdr w:val="nil"/>
          <w:lang w:val="fr-FR"/>
        </w:rPr>
        <w:t xml:space="preserve">formation, étaient également parmi les raisons de la réduction du coût du personnel de soutien. Toutefois, il convient de noter que les économies estimées </w:t>
      </w:r>
      <w:r w:rsidR="00F84E3C" w:rsidRPr="00F84E3C">
        <w:rPr>
          <w:rFonts w:eastAsia="Arial" w:cs="Arial"/>
          <w:sz w:val="22"/>
          <w:szCs w:val="22"/>
          <w:bdr w:val="nil"/>
          <w:lang w:val="fr-FR"/>
        </w:rPr>
        <w:t>concernant le</w:t>
      </w:r>
      <w:r w:rsidRPr="00F84E3C">
        <w:rPr>
          <w:rFonts w:eastAsia="Arial" w:cs="Arial"/>
          <w:sz w:val="22"/>
          <w:szCs w:val="22"/>
          <w:bdr w:val="nil"/>
          <w:lang w:val="fr-FR"/>
        </w:rPr>
        <w:t xml:space="preserve"> </w:t>
      </w:r>
      <w:r w:rsidRPr="00F84E3C">
        <w:rPr>
          <w:rFonts w:eastAsia="Arial" w:cs="Arial"/>
          <w:sz w:val="22"/>
          <w:szCs w:val="22"/>
          <w:bdr w:val="nil"/>
          <w:lang w:val="fr-FR"/>
        </w:rPr>
        <w:lastRenderedPageBreak/>
        <w:t>personnel de soutien d’ici à</w:t>
      </w:r>
      <w:r w:rsidR="00F60808" w:rsidRPr="00F84E3C">
        <w:rPr>
          <w:rFonts w:eastAsia="Arial" w:cs="Arial"/>
          <w:sz w:val="22"/>
          <w:szCs w:val="22"/>
          <w:bdr w:val="nil"/>
          <w:lang w:val="fr-FR"/>
        </w:rPr>
        <w:t xml:space="preserve"> </w:t>
      </w:r>
      <w:r w:rsidRPr="00F84E3C">
        <w:rPr>
          <w:rFonts w:eastAsia="Arial" w:cs="Arial"/>
          <w:sz w:val="22"/>
          <w:szCs w:val="22"/>
          <w:bdr w:val="nil"/>
          <w:lang w:val="fr-FR"/>
        </w:rPr>
        <w:t xml:space="preserve">la fin de décembre 2017 pourraient être réduites en </w:t>
      </w:r>
      <w:r w:rsidR="00F84E3C">
        <w:rPr>
          <w:rFonts w:eastAsia="Arial" w:cs="Arial"/>
          <w:sz w:val="22"/>
          <w:szCs w:val="22"/>
          <w:bdr w:val="nil"/>
          <w:lang w:val="fr-FR"/>
        </w:rPr>
        <w:t>cas d’</w:t>
      </w:r>
      <w:r w:rsidR="00F84E3C" w:rsidRPr="00F84E3C">
        <w:rPr>
          <w:rFonts w:eastAsia="Arial" w:cs="Arial"/>
          <w:sz w:val="22"/>
          <w:szCs w:val="22"/>
          <w:bdr w:val="nil"/>
          <w:lang w:val="fr-FR"/>
        </w:rPr>
        <w:t>utilisation non prévue de</w:t>
      </w:r>
      <w:r w:rsidRPr="00F84E3C">
        <w:rPr>
          <w:rFonts w:eastAsia="Arial" w:cs="Arial"/>
          <w:sz w:val="22"/>
          <w:szCs w:val="22"/>
          <w:bdr w:val="nil"/>
          <w:lang w:val="fr-FR"/>
        </w:rPr>
        <w:t xml:space="preserve"> droits du personnel pour cause de maladie, séparation ou congé de maternité. </w:t>
      </w:r>
    </w:p>
    <w:p w:rsidR="00094D4B" w:rsidRPr="0095576E" w:rsidRDefault="00F84E3C" w:rsidP="00F84E3C">
      <w:pPr>
        <w:tabs>
          <w:tab w:val="left" w:pos="3086"/>
        </w:tabs>
        <w:ind w:left="360"/>
        <w:contextualSpacing/>
        <w:jc w:val="both"/>
        <w:rPr>
          <w:sz w:val="22"/>
          <w:szCs w:val="22"/>
          <w:lang w:val="fr-FR"/>
        </w:rPr>
      </w:pPr>
      <w:r>
        <w:rPr>
          <w:sz w:val="22"/>
          <w:szCs w:val="22"/>
          <w:lang w:val="fr-FR"/>
        </w:rPr>
        <w:tab/>
      </w:r>
    </w:p>
    <w:p w:rsidR="00094D4B" w:rsidRPr="0095576E" w:rsidRDefault="00094D4B" w:rsidP="00094D4B">
      <w:pPr>
        <w:ind w:firstLine="360"/>
        <w:contextualSpacing/>
        <w:jc w:val="both"/>
        <w:rPr>
          <w:b/>
          <w:sz w:val="22"/>
          <w:szCs w:val="22"/>
          <w:lang w:val="fr-FR"/>
        </w:rPr>
      </w:pPr>
      <w:r w:rsidRPr="0095576E">
        <w:rPr>
          <w:rFonts w:eastAsia="Arial" w:cs="Arial"/>
          <w:b/>
          <w:bCs/>
          <w:sz w:val="22"/>
          <w:szCs w:val="22"/>
          <w:bdr w:val="nil"/>
          <w:lang w:val="fr-FR"/>
        </w:rPr>
        <w:t xml:space="preserve">Analyse indépendante des synergies au sein de la Famille CMS </w:t>
      </w:r>
    </w:p>
    <w:p w:rsidR="00094D4B" w:rsidRPr="0095576E" w:rsidRDefault="00094D4B" w:rsidP="00094D4B">
      <w:pPr>
        <w:ind w:firstLine="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Une analyse des services communs aux instruments de la Famille CMS a été effectuée par des consultants indépendants en 2015. Bien que l’analyse ait été achevée en 2015, le paiement final n’a été effectué qu’au début de 2017. Initialement, le coût de l’analyse devait être de 43 500 €, mais les frais réels facturés étaient bien inférieurs au budget initial, ce qui a entraîné des économies de 15 743 €. </w:t>
      </w:r>
    </w:p>
    <w:p w:rsidR="00094D4B" w:rsidRPr="0095576E" w:rsidRDefault="00094D4B" w:rsidP="00094D4B">
      <w:pPr>
        <w:ind w:left="360"/>
        <w:contextualSpacing/>
        <w:jc w:val="both"/>
        <w:rPr>
          <w:sz w:val="22"/>
          <w:szCs w:val="22"/>
          <w:lang w:val="fr-FR"/>
        </w:rPr>
      </w:pPr>
    </w:p>
    <w:p w:rsidR="00094D4B" w:rsidRPr="0095576E" w:rsidRDefault="00094D4B" w:rsidP="00094D4B">
      <w:pPr>
        <w:ind w:firstLine="360"/>
        <w:contextualSpacing/>
        <w:jc w:val="both"/>
        <w:rPr>
          <w:b/>
          <w:sz w:val="22"/>
          <w:szCs w:val="22"/>
          <w:lang w:val="fr-FR"/>
        </w:rPr>
      </w:pPr>
      <w:r w:rsidRPr="0095576E">
        <w:rPr>
          <w:rFonts w:eastAsia="Arial" w:cs="Arial"/>
          <w:b/>
          <w:bCs/>
          <w:sz w:val="22"/>
          <w:szCs w:val="22"/>
          <w:bdr w:val="nil"/>
          <w:lang w:val="fr-FR"/>
        </w:rPr>
        <w:t xml:space="preserve">Service aux organes directeurs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La Résolution 11.1 de la COP a approuvé un budget, </w:t>
      </w:r>
      <w:r w:rsidR="00A964DE">
        <w:rPr>
          <w:rFonts w:eastAsia="Arial" w:cs="Arial"/>
          <w:sz w:val="22"/>
          <w:szCs w:val="22"/>
          <w:bdr w:val="nil"/>
          <w:lang w:val="fr-FR"/>
        </w:rPr>
        <w:t>hors</w:t>
      </w:r>
      <w:r w:rsidRPr="0095576E">
        <w:rPr>
          <w:rFonts w:eastAsia="Arial" w:cs="Arial"/>
          <w:sz w:val="22"/>
          <w:szCs w:val="22"/>
          <w:bdr w:val="nil"/>
          <w:lang w:val="fr-FR"/>
        </w:rPr>
        <w:t xml:space="preserve"> Dépenses d’appui au Programme, de 487 318 € pour le service aux organes directeurs au cours de la période triennale 2015-2017. Il couvre tous les coûts liés à la traduction des documents de réunion, à la rédaction du rapport de la COP et aux services de consultants requis pour la COP. De plus, le budget couvre </w:t>
      </w:r>
      <w:r w:rsidR="00892A45">
        <w:rPr>
          <w:rFonts w:eastAsia="Arial" w:cs="Arial"/>
          <w:sz w:val="22"/>
          <w:szCs w:val="22"/>
          <w:bdr w:val="nil"/>
          <w:lang w:val="fr-FR"/>
        </w:rPr>
        <w:t>l’ensemble des</w:t>
      </w:r>
      <w:r w:rsidRPr="0095576E">
        <w:rPr>
          <w:rFonts w:eastAsia="Arial" w:cs="Arial"/>
          <w:sz w:val="22"/>
          <w:szCs w:val="22"/>
          <w:bdr w:val="nil"/>
          <w:lang w:val="fr-FR"/>
        </w:rPr>
        <w:t xml:space="preserve"> coûts liés aux réunions tels que les voyages des participants aux réunions, la location d’équipement technique et le coût des pauses café prévues lors des réunions des organes directeurs. Les estimations des dépenses du service aux organes directeurs pour la période triennale 2015-2017 s’élèvent à 450 973 €, ce qui représente un solde estimé à 36 345 € d’ici à la fin de décembre 2017. Sur l’ensemble des postes budgétaires du service aux organes directeurs, seules les dépenses des réunions du Comité permanent ont dépassé le budget de 19 694 € pour la période triennale en raison des coûts associés à la traduction des documents des réunions. Ces dépassements de coûts seront couverts </w:t>
      </w:r>
      <w:r w:rsidR="00F60808" w:rsidRPr="0095576E">
        <w:rPr>
          <w:rFonts w:eastAsia="Arial" w:cs="Arial"/>
          <w:sz w:val="22"/>
          <w:szCs w:val="22"/>
          <w:bdr w:val="nil"/>
          <w:lang w:val="fr-FR"/>
        </w:rPr>
        <w:t xml:space="preserve">par le budget </w:t>
      </w:r>
      <w:r w:rsidR="00892A45">
        <w:rPr>
          <w:rFonts w:eastAsia="Arial" w:cs="Arial"/>
          <w:sz w:val="22"/>
          <w:szCs w:val="22"/>
          <w:bdr w:val="nil"/>
          <w:lang w:val="fr-FR"/>
        </w:rPr>
        <w:t>non-</w:t>
      </w:r>
      <w:r w:rsidR="00F60808" w:rsidRPr="0095576E">
        <w:rPr>
          <w:rFonts w:eastAsia="Arial" w:cs="Arial"/>
          <w:sz w:val="22"/>
          <w:szCs w:val="22"/>
          <w:bdr w:val="nil"/>
          <w:lang w:val="fr-FR"/>
        </w:rPr>
        <w:t>utilisé pour les déplacements</w:t>
      </w:r>
      <w:r w:rsidRPr="0095576E">
        <w:rPr>
          <w:rFonts w:eastAsia="Arial" w:cs="Arial"/>
          <w:sz w:val="22"/>
          <w:szCs w:val="22"/>
          <w:bdr w:val="nil"/>
          <w:lang w:val="fr-FR"/>
        </w:rPr>
        <w:t xml:space="preserve"> du personnel à la COP12 de la CMS, car ce</w:t>
      </w:r>
      <w:r w:rsidR="00F60808" w:rsidRPr="0095576E">
        <w:rPr>
          <w:rFonts w:eastAsia="Arial" w:cs="Arial"/>
          <w:sz w:val="22"/>
          <w:szCs w:val="22"/>
          <w:bdr w:val="nil"/>
          <w:lang w:val="fr-FR"/>
        </w:rPr>
        <w:t>s</w:t>
      </w:r>
      <w:r w:rsidRPr="0095576E">
        <w:rPr>
          <w:rFonts w:eastAsia="Arial" w:cs="Arial"/>
          <w:sz w:val="22"/>
          <w:szCs w:val="22"/>
          <w:bdr w:val="nil"/>
          <w:lang w:val="fr-FR"/>
        </w:rPr>
        <w:t xml:space="preserve"> </w:t>
      </w:r>
      <w:r w:rsidR="00F60808" w:rsidRPr="0095576E">
        <w:rPr>
          <w:rFonts w:eastAsia="Arial" w:cs="Arial"/>
          <w:sz w:val="22"/>
          <w:szCs w:val="22"/>
          <w:bdr w:val="nil"/>
          <w:lang w:val="fr-FR"/>
        </w:rPr>
        <w:t>dépenses</w:t>
      </w:r>
      <w:r w:rsidRPr="0095576E">
        <w:rPr>
          <w:rFonts w:eastAsia="Arial" w:cs="Arial"/>
          <w:sz w:val="22"/>
          <w:szCs w:val="22"/>
          <w:bdr w:val="nil"/>
          <w:lang w:val="fr-FR"/>
        </w:rPr>
        <w:t xml:space="preserve"> ser</w:t>
      </w:r>
      <w:r w:rsidR="00F60808" w:rsidRPr="0095576E">
        <w:rPr>
          <w:rFonts w:eastAsia="Arial" w:cs="Arial"/>
          <w:sz w:val="22"/>
          <w:szCs w:val="22"/>
          <w:bdr w:val="nil"/>
          <w:lang w:val="fr-FR"/>
        </w:rPr>
        <w:t>ont</w:t>
      </w:r>
      <w:r w:rsidRPr="0095576E">
        <w:rPr>
          <w:rFonts w:eastAsia="Arial" w:cs="Arial"/>
          <w:sz w:val="22"/>
          <w:szCs w:val="22"/>
          <w:bdr w:val="nil"/>
          <w:lang w:val="fr-FR"/>
        </w:rPr>
        <w:t xml:space="preserve"> couvert</w:t>
      </w:r>
      <w:r w:rsidR="00F60808" w:rsidRPr="0095576E">
        <w:rPr>
          <w:rFonts w:eastAsia="Arial" w:cs="Arial"/>
          <w:sz w:val="22"/>
          <w:szCs w:val="22"/>
          <w:bdr w:val="nil"/>
          <w:lang w:val="fr-FR"/>
        </w:rPr>
        <w:t>es</w:t>
      </w:r>
      <w:r w:rsidRPr="0095576E">
        <w:rPr>
          <w:rFonts w:eastAsia="Arial" w:cs="Arial"/>
          <w:sz w:val="22"/>
          <w:szCs w:val="22"/>
          <w:bdr w:val="nil"/>
          <w:lang w:val="fr-FR"/>
        </w:rPr>
        <w:t xml:space="preserve"> par le Gouvernement des Philippines qui contribue généreusement au coût de l’accueil de la COP12 à Manille. </w:t>
      </w:r>
    </w:p>
    <w:p w:rsidR="00094D4B" w:rsidRPr="0095576E" w:rsidRDefault="00094D4B" w:rsidP="00094D4B">
      <w:pPr>
        <w:contextualSpacing/>
        <w:jc w:val="both"/>
        <w:rPr>
          <w:sz w:val="22"/>
          <w:szCs w:val="22"/>
          <w:lang w:val="fr-FR"/>
        </w:rPr>
      </w:pPr>
    </w:p>
    <w:p w:rsidR="00094D4B" w:rsidRPr="0095576E" w:rsidRDefault="00094D4B" w:rsidP="00094D4B">
      <w:pPr>
        <w:contextualSpacing/>
        <w:jc w:val="both"/>
        <w:rPr>
          <w:b/>
          <w:sz w:val="22"/>
          <w:szCs w:val="22"/>
          <w:lang w:val="fr-FR"/>
        </w:rPr>
      </w:pPr>
      <w:r w:rsidRPr="0095576E">
        <w:rPr>
          <w:rFonts w:eastAsia="Arial" w:cs="Arial"/>
          <w:b/>
          <w:bCs/>
          <w:sz w:val="22"/>
          <w:szCs w:val="22"/>
          <w:bdr w:val="nil"/>
          <w:lang w:val="fr-FR"/>
        </w:rPr>
        <w:t>Déficit estimé pour la période triennale 2015-2017 :</w:t>
      </w:r>
    </w:p>
    <w:p w:rsidR="00094D4B" w:rsidRPr="0095576E" w:rsidRDefault="00094D4B" w:rsidP="00094D4B">
      <w:pPr>
        <w:contextualSpacing/>
        <w:jc w:val="both"/>
        <w:rPr>
          <w:sz w:val="22"/>
          <w:szCs w:val="22"/>
          <w:lang w:val="fr-FR"/>
        </w:rPr>
      </w:pPr>
    </w:p>
    <w:p w:rsidR="00094D4B" w:rsidRPr="0095576E" w:rsidRDefault="00094D4B" w:rsidP="00094D4B">
      <w:pPr>
        <w:ind w:firstLine="360"/>
        <w:contextualSpacing/>
        <w:jc w:val="both"/>
        <w:rPr>
          <w:b/>
          <w:sz w:val="22"/>
          <w:szCs w:val="22"/>
          <w:lang w:val="fr-FR"/>
        </w:rPr>
      </w:pPr>
      <w:r w:rsidRPr="0095576E">
        <w:rPr>
          <w:rFonts w:eastAsia="Arial" w:cs="Arial"/>
          <w:b/>
          <w:bCs/>
          <w:sz w:val="22"/>
          <w:szCs w:val="22"/>
          <w:bdr w:val="nil"/>
          <w:lang w:val="fr-FR"/>
        </w:rPr>
        <w:t xml:space="preserve">Coûts de fonctionnement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En ce qui concerne les coûts de fonctionnement, 847 233 € ont été approuvés par la COP11 en tant que budget triennal. Les coûts de fonctionnement estimés s’</w:t>
      </w:r>
      <w:r w:rsidR="00F60808" w:rsidRPr="0095576E">
        <w:rPr>
          <w:rFonts w:eastAsia="Arial" w:cs="Arial"/>
          <w:sz w:val="22"/>
          <w:szCs w:val="22"/>
          <w:bdr w:val="nil"/>
          <w:lang w:val="fr-FR"/>
        </w:rPr>
        <w:t>élèvent</w:t>
      </w:r>
      <w:r w:rsidRPr="0095576E">
        <w:rPr>
          <w:rFonts w:eastAsia="Arial" w:cs="Arial"/>
          <w:sz w:val="22"/>
          <w:szCs w:val="22"/>
          <w:bdr w:val="nil"/>
          <w:lang w:val="fr-FR"/>
        </w:rPr>
        <w:t xml:space="preserve"> à 943 657 € pour l’exercice triennal, ce qui a entraîné un dépassement de 11,3 % ou 96 424 €. Les raisons du dépassement de coût</w:t>
      </w:r>
      <w:r w:rsidR="00892A45">
        <w:rPr>
          <w:rFonts w:eastAsia="Arial" w:cs="Arial"/>
          <w:sz w:val="22"/>
          <w:szCs w:val="22"/>
          <w:bdr w:val="nil"/>
          <w:lang w:val="fr-FR"/>
        </w:rPr>
        <w:t>s</w:t>
      </w:r>
      <w:r w:rsidRPr="0095576E">
        <w:rPr>
          <w:rFonts w:eastAsia="Arial" w:cs="Arial"/>
          <w:sz w:val="22"/>
          <w:szCs w:val="22"/>
          <w:bdr w:val="nil"/>
          <w:lang w:val="fr-FR"/>
        </w:rPr>
        <w:t xml:space="preserve"> pour l’exercice triennal sont expliquées dans les paragraphes suivants.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Un dépassement de coût</w:t>
      </w:r>
      <w:r w:rsidR="00892A45">
        <w:rPr>
          <w:rFonts w:eastAsia="Arial" w:cs="Arial"/>
          <w:sz w:val="22"/>
          <w:szCs w:val="22"/>
          <w:bdr w:val="nil"/>
          <w:lang w:val="fr-FR"/>
        </w:rPr>
        <w:t>s</w:t>
      </w:r>
      <w:r w:rsidRPr="0095576E">
        <w:rPr>
          <w:rFonts w:eastAsia="Arial" w:cs="Arial"/>
          <w:sz w:val="22"/>
          <w:szCs w:val="22"/>
          <w:bdr w:val="nil"/>
          <w:lang w:val="fr-FR"/>
        </w:rPr>
        <w:t xml:space="preserve"> important (36 202 €) provient des </w:t>
      </w:r>
      <w:r w:rsidR="00F60808" w:rsidRPr="0095576E">
        <w:rPr>
          <w:rFonts w:eastAsia="Arial" w:cs="Arial"/>
          <w:sz w:val="22"/>
          <w:szCs w:val="22"/>
          <w:bdr w:val="nil"/>
          <w:lang w:val="fr-FR"/>
        </w:rPr>
        <w:t>s</w:t>
      </w:r>
      <w:r w:rsidRPr="0095576E">
        <w:rPr>
          <w:rFonts w:eastAsia="Arial" w:cs="Arial"/>
          <w:sz w:val="22"/>
          <w:szCs w:val="22"/>
          <w:bdr w:val="nil"/>
          <w:lang w:val="fr-FR"/>
        </w:rPr>
        <w:t xml:space="preserve">ervices informatiques fournis par les Volontaires des Nations Unies (VNU). </w:t>
      </w:r>
      <w:r w:rsidR="00911CE0">
        <w:rPr>
          <w:rFonts w:eastAsia="Arial" w:cs="Arial"/>
          <w:sz w:val="22"/>
          <w:szCs w:val="22"/>
          <w:bdr w:val="nil"/>
          <w:lang w:val="fr-FR"/>
        </w:rPr>
        <w:t>À travers un</w:t>
      </w:r>
      <w:r w:rsidRPr="0095576E">
        <w:rPr>
          <w:rFonts w:eastAsia="Arial" w:cs="Arial"/>
          <w:sz w:val="22"/>
          <w:szCs w:val="22"/>
          <w:bdr w:val="nil"/>
          <w:lang w:val="fr-FR"/>
        </w:rPr>
        <w:t xml:space="preserve"> accord de prestation de service, les VNU fournissent au Secrétariat de la CMS des services informatiques, incluant un bureau d’assistance, un réseau local, un système de sécurité sur Internet, des services DNS, un hébergement de serveurs et des abonnements à Microsoft Office 365 Enterprise E3. Les frais des VNU sont basés sur le nombre d’utilisateurs et les abonnements à Microsoft Office. En 2015, le coût des VNU pour les services informatiques était de 52 258 € ; en 2016, il est passé à 102 051 € en raison de l’augmentation du nombre d’utilisateurs et des frais d’assistance. </w:t>
      </w:r>
      <w:r w:rsidR="00911CE0">
        <w:rPr>
          <w:rFonts w:eastAsia="Arial" w:cs="Arial"/>
          <w:sz w:val="22"/>
          <w:szCs w:val="22"/>
          <w:bdr w:val="nil"/>
          <w:lang w:val="fr-FR"/>
        </w:rPr>
        <w:t>Au regard</w:t>
      </w:r>
      <w:r w:rsidRPr="0095576E">
        <w:rPr>
          <w:rFonts w:eastAsia="Arial" w:cs="Arial"/>
          <w:sz w:val="22"/>
          <w:szCs w:val="22"/>
          <w:bdr w:val="nil"/>
          <w:lang w:val="fr-FR"/>
        </w:rPr>
        <w:t xml:space="preserve"> de l’augmentation inattendue des frais informatiques associés aux frais d’assistance, le Secrétariat a étudié la possibilité </w:t>
      </w:r>
      <w:r w:rsidR="00911CE0">
        <w:rPr>
          <w:rFonts w:eastAsia="Arial" w:cs="Arial"/>
          <w:sz w:val="22"/>
          <w:szCs w:val="22"/>
          <w:bdr w:val="nil"/>
          <w:lang w:val="fr-FR"/>
        </w:rPr>
        <w:t>de faire appel à</w:t>
      </w:r>
      <w:r w:rsidRPr="0095576E">
        <w:rPr>
          <w:rFonts w:eastAsia="Arial" w:cs="Arial"/>
          <w:sz w:val="22"/>
          <w:szCs w:val="22"/>
          <w:bdr w:val="nil"/>
          <w:lang w:val="fr-FR"/>
        </w:rPr>
        <w:t xml:space="preserve"> d’autres agences </w:t>
      </w:r>
      <w:r w:rsidR="00911CE0">
        <w:rPr>
          <w:rFonts w:eastAsia="Arial" w:cs="Arial"/>
          <w:sz w:val="22"/>
          <w:szCs w:val="22"/>
          <w:bdr w:val="nil"/>
          <w:lang w:val="fr-FR"/>
        </w:rPr>
        <w:t>des Nations Unies</w:t>
      </w:r>
      <w:r w:rsidRPr="0095576E">
        <w:rPr>
          <w:rFonts w:eastAsia="Arial" w:cs="Arial"/>
          <w:sz w:val="22"/>
          <w:szCs w:val="22"/>
          <w:bdr w:val="nil"/>
          <w:lang w:val="fr-FR"/>
        </w:rPr>
        <w:t xml:space="preserve"> en tant que fournisseur de services informatiques. Malheureusement, les agences des Nations Unies contactées par le Secrétariat n’ont pas manifesté d’intérêt pour la prise en charge des services informatiques assurés par les VNU à un coût moindre pour le Secrétariat. Pour 2017, le coût des services informatiques des VNU </w:t>
      </w:r>
      <w:r w:rsidR="00911CE0">
        <w:rPr>
          <w:rFonts w:eastAsia="Arial" w:cs="Arial"/>
          <w:sz w:val="22"/>
          <w:szCs w:val="22"/>
          <w:bdr w:val="nil"/>
          <w:lang w:val="fr-FR"/>
        </w:rPr>
        <w:t>sera</w:t>
      </w:r>
      <w:r w:rsidRPr="0095576E">
        <w:rPr>
          <w:rFonts w:eastAsia="Arial" w:cs="Arial"/>
          <w:sz w:val="22"/>
          <w:szCs w:val="22"/>
          <w:bdr w:val="nil"/>
          <w:lang w:val="fr-FR"/>
        </w:rPr>
        <w:t xml:space="preserve"> réduit à 91 893 € car une autre agence des Nations Unies qui se joint au même accord de service partagera certain</w:t>
      </w:r>
      <w:r w:rsidR="00F60808" w:rsidRPr="0095576E">
        <w:rPr>
          <w:rFonts w:eastAsia="Arial" w:cs="Arial"/>
          <w:sz w:val="22"/>
          <w:szCs w:val="22"/>
          <w:bdr w:val="nil"/>
          <w:lang w:val="fr-FR"/>
        </w:rPr>
        <w:t>e</w:t>
      </w:r>
      <w:r w:rsidRPr="0095576E">
        <w:rPr>
          <w:rFonts w:eastAsia="Arial" w:cs="Arial"/>
          <w:sz w:val="22"/>
          <w:szCs w:val="22"/>
          <w:bdr w:val="nil"/>
          <w:lang w:val="fr-FR"/>
        </w:rPr>
        <w:t xml:space="preserve">s </w:t>
      </w:r>
      <w:r w:rsidR="00F60808" w:rsidRPr="0095576E">
        <w:rPr>
          <w:rFonts w:eastAsia="Arial" w:cs="Arial"/>
          <w:sz w:val="22"/>
          <w:szCs w:val="22"/>
          <w:bdr w:val="nil"/>
          <w:lang w:val="fr-FR"/>
        </w:rPr>
        <w:t>dépenses</w:t>
      </w:r>
      <w:r w:rsidRPr="0095576E">
        <w:rPr>
          <w:rFonts w:eastAsia="Arial" w:cs="Arial"/>
          <w:sz w:val="22"/>
          <w:szCs w:val="22"/>
          <w:bdr w:val="nil"/>
          <w:lang w:val="fr-FR"/>
        </w:rPr>
        <w:t xml:space="preserve"> commun</w:t>
      </w:r>
      <w:r w:rsidR="00F60808" w:rsidRPr="0095576E">
        <w:rPr>
          <w:rFonts w:eastAsia="Arial" w:cs="Arial"/>
          <w:sz w:val="22"/>
          <w:szCs w:val="22"/>
          <w:bdr w:val="nil"/>
          <w:lang w:val="fr-FR"/>
        </w:rPr>
        <w:t>e</w:t>
      </w:r>
      <w:r w:rsidRPr="0095576E">
        <w:rPr>
          <w:rFonts w:eastAsia="Arial" w:cs="Arial"/>
          <w:sz w:val="22"/>
          <w:szCs w:val="22"/>
          <w:bdr w:val="nil"/>
          <w:lang w:val="fr-FR"/>
        </w:rPr>
        <w:t xml:space="preserve">s. Le coût 2016 des services informatiques a été intégré </w:t>
      </w:r>
      <w:r w:rsidR="00911CE0">
        <w:rPr>
          <w:rFonts w:eastAsia="Arial" w:cs="Arial"/>
          <w:sz w:val="22"/>
          <w:szCs w:val="22"/>
          <w:bdr w:val="nil"/>
          <w:lang w:val="fr-FR"/>
        </w:rPr>
        <w:t>à</w:t>
      </w:r>
      <w:r w:rsidRPr="0095576E">
        <w:rPr>
          <w:rFonts w:eastAsia="Arial" w:cs="Arial"/>
          <w:sz w:val="22"/>
          <w:szCs w:val="22"/>
          <w:bdr w:val="nil"/>
          <w:lang w:val="fr-FR"/>
        </w:rPr>
        <w:t xml:space="preserve"> l’exercice 2017, en plus du coût estimé </w:t>
      </w:r>
      <w:r w:rsidRPr="0095576E">
        <w:rPr>
          <w:rFonts w:eastAsia="Arial" w:cs="Arial"/>
          <w:sz w:val="22"/>
          <w:szCs w:val="22"/>
          <w:bdr w:val="nil"/>
          <w:lang w:val="fr-FR"/>
        </w:rPr>
        <w:lastRenderedPageBreak/>
        <w:t>des services informatiques de 2017</w:t>
      </w:r>
      <w:r w:rsidR="00911CE0">
        <w:rPr>
          <w:rFonts w:eastAsia="Arial" w:cs="Arial"/>
          <w:sz w:val="22"/>
          <w:szCs w:val="22"/>
          <w:bdr w:val="nil"/>
          <w:lang w:val="fr-FR"/>
        </w:rPr>
        <w:t>,</w:t>
      </w:r>
      <w:r w:rsidRPr="0095576E">
        <w:rPr>
          <w:rFonts w:eastAsia="Arial" w:cs="Arial"/>
          <w:sz w:val="22"/>
          <w:szCs w:val="22"/>
          <w:bdr w:val="nil"/>
          <w:lang w:val="fr-FR"/>
        </w:rPr>
        <w:t xml:space="preserve"> en raison de l’approbation différée du bon de commande dans </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xml:space="preserve"> en 2016.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Au cours de la période triennale 2015-2017, d’autres dépenses importantes (45 765 €) ont été déclarées </w:t>
      </w:r>
      <w:r w:rsidR="00911CE0">
        <w:rPr>
          <w:rFonts w:eastAsia="Arial" w:cs="Arial"/>
          <w:sz w:val="22"/>
          <w:szCs w:val="22"/>
          <w:bdr w:val="nil"/>
          <w:lang w:val="fr-FR"/>
        </w:rPr>
        <w:t>pour des</w:t>
      </w:r>
      <w:r w:rsidRPr="0095576E">
        <w:rPr>
          <w:rFonts w:eastAsia="Arial" w:cs="Arial"/>
          <w:sz w:val="22"/>
          <w:szCs w:val="22"/>
          <w:bdr w:val="nil"/>
          <w:lang w:val="fr-FR"/>
        </w:rPr>
        <w:t xml:space="preserve"> services contractuels, incluant la traduction des documents de réunion </w:t>
      </w:r>
      <w:r w:rsidR="00F60808" w:rsidRPr="0095576E">
        <w:rPr>
          <w:rFonts w:eastAsia="Arial" w:cs="Arial"/>
          <w:sz w:val="22"/>
          <w:szCs w:val="22"/>
          <w:bdr w:val="nil"/>
          <w:lang w:val="fr-FR"/>
        </w:rPr>
        <w:t>et</w:t>
      </w:r>
      <w:r w:rsidRPr="0095576E">
        <w:rPr>
          <w:rFonts w:eastAsia="Arial" w:cs="Arial"/>
          <w:sz w:val="22"/>
          <w:szCs w:val="22"/>
          <w:bdr w:val="nil"/>
          <w:lang w:val="fr-FR"/>
        </w:rPr>
        <w:t xml:space="preserve"> de la correspondance officielle du Secrétariat ainsi que la rédaction des rapports des réunions des organes directeurs. Le Secrétariat s’est efforcé de maintenir les coûts de traduction dans le budget approuvé par la COP en </w:t>
      </w:r>
      <w:r w:rsidR="00F4508E" w:rsidRPr="0095576E">
        <w:rPr>
          <w:rFonts w:eastAsia="Arial" w:cs="Arial"/>
          <w:sz w:val="22"/>
          <w:szCs w:val="22"/>
          <w:bdr w:val="nil"/>
          <w:lang w:val="fr-FR"/>
        </w:rPr>
        <w:t>réalisant</w:t>
      </w:r>
      <w:r w:rsidRPr="0095576E">
        <w:rPr>
          <w:rFonts w:eastAsia="Arial" w:cs="Arial"/>
          <w:sz w:val="22"/>
          <w:szCs w:val="22"/>
          <w:bdr w:val="nil"/>
          <w:lang w:val="fr-FR"/>
        </w:rPr>
        <w:t xml:space="preserve"> </w:t>
      </w:r>
      <w:r w:rsidR="00F4508E" w:rsidRPr="0095576E">
        <w:rPr>
          <w:rFonts w:eastAsia="Arial" w:cs="Arial"/>
          <w:sz w:val="22"/>
          <w:szCs w:val="22"/>
          <w:bdr w:val="nil"/>
          <w:lang w:val="fr-FR"/>
        </w:rPr>
        <w:t xml:space="preserve">dans la mesure du possible </w:t>
      </w:r>
      <w:r w:rsidRPr="0095576E">
        <w:rPr>
          <w:rFonts w:eastAsia="Arial" w:cs="Arial"/>
          <w:sz w:val="22"/>
          <w:szCs w:val="22"/>
          <w:bdr w:val="nil"/>
          <w:lang w:val="fr-FR"/>
        </w:rPr>
        <w:t>des t</w:t>
      </w:r>
      <w:r w:rsidR="00F4508E" w:rsidRPr="0095576E">
        <w:rPr>
          <w:rFonts w:eastAsia="Arial" w:cs="Arial"/>
          <w:sz w:val="22"/>
          <w:szCs w:val="22"/>
          <w:bdr w:val="nil"/>
          <w:lang w:val="fr-FR"/>
        </w:rPr>
        <w:t>raductions en interne</w:t>
      </w:r>
      <w:r w:rsidRPr="0095576E">
        <w:rPr>
          <w:rFonts w:eastAsia="Arial" w:cs="Arial"/>
          <w:sz w:val="22"/>
          <w:szCs w:val="22"/>
          <w:bdr w:val="nil"/>
          <w:lang w:val="fr-FR"/>
        </w:rPr>
        <w:t xml:space="preserve">. Cependant, avec le nombre accru de documents pour les réunions du Comité permanent et les réunions du Comité de session du Conseil scientifique en 2015-2016, le Secrétariat a dû faire appel à des traducteurs </w:t>
      </w:r>
      <w:r w:rsidR="00911CE0">
        <w:rPr>
          <w:rFonts w:eastAsia="Arial" w:cs="Arial"/>
          <w:sz w:val="22"/>
          <w:szCs w:val="22"/>
          <w:bdr w:val="nil"/>
          <w:lang w:val="fr-FR"/>
        </w:rPr>
        <w:t>extérieurs</w:t>
      </w:r>
      <w:r w:rsidRPr="0095576E">
        <w:rPr>
          <w:rFonts w:eastAsia="Arial" w:cs="Arial"/>
          <w:sz w:val="22"/>
          <w:szCs w:val="22"/>
          <w:bdr w:val="nil"/>
          <w:lang w:val="fr-FR"/>
        </w:rPr>
        <w:t xml:space="preserve"> </w:t>
      </w:r>
      <w:r w:rsidR="00911CE0">
        <w:rPr>
          <w:rFonts w:eastAsia="Arial" w:cs="Arial"/>
          <w:sz w:val="22"/>
          <w:szCs w:val="22"/>
          <w:bdr w:val="nil"/>
          <w:lang w:val="fr-FR"/>
        </w:rPr>
        <w:t>ce qui a entraîné</w:t>
      </w:r>
      <w:r w:rsidRPr="0095576E">
        <w:rPr>
          <w:rFonts w:eastAsia="Arial" w:cs="Arial"/>
          <w:sz w:val="22"/>
          <w:szCs w:val="22"/>
          <w:bdr w:val="nil"/>
          <w:lang w:val="fr-FR"/>
        </w:rPr>
        <w:t xml:space="preserve"> des </w:t>
      </w:r>
      <w:r w:rsidR="00911CE0">
        <w:rPr>
          <w:rFonts w:eastAsia="Arial" w:cs="Arial"/>
          <w:sz w:val="22"/>
          <w:szCs w:val="22"/>
          <w:bdr w:val="nil"/>
          <w:lang w:val="fr-FR"/>
        </w:rPr>
        <w:t>dépassements de coûts</w:t>
      </w:r>
      <w:r w:rsidRPr="0095576E">
        <w:rPr>
          <w:rFonts w:eastAsia="Arial" w:cs="Arial"/>
          <w:sz w:val="22"/>
          <w:szCs w:val="22"/>
          <w:bdr w:val="nil"/>
          <w:lang w:val="fr-FR"/>
        </w:rPr>
        <w:t xml:space="preserve"> de 45 765 €. </w:t>
      </w:r>
      <w:r w:rsidR="00911CE0" w:rsidRPr="0095576E">
        <w:rPr>
          <w:rFonts w:eastAsia="Arial" w:cs="Arial"/>
          <w:sz w:val="22"/>
          <w:szCs w:val="22"/>
          <w:bdr w:val="nil"/>
          <w:lang w:val="fr-FR"/>
        </w:rPr>
        <w:t xml:space="preserve">Le </w:t>
      </w:r>
      <w:r w:rsidRPr="0095576E">
        <w:rPr>
          <w:rFonts w:eastAsia="Arial" w:cs="Arial"/>
          <w:sz w:val="22"/>
          <w:szCs w:val="22"/>
          <w:bdr w:val="nil"/>
          <w:lang w:val="fr-FR"/>
        </w:rPr>
        <w:t xml:space="preserve">Secrétariat </w:t>
      </w:r>
      <w:r w:rsidR="00911CE0">
        <w:rPr>
          <w:rFonts w:eastAsia="Arial" w:cs="Arial"/>
          <w:sz w:val="22"/>
          <w:szCs w:val="22"/>
          <w:bdr w:val="nil"/>
          <w:lang w:val="fr-FR"/>
        </w:rPr>
        <w:t>étant</w:t>
      </w:r>
      <w:r w:rsidRPr="0095576E">
        <w:rPr>
          <w:rFonts w:eastAsia="Arial" w:cs="Arial"/>
          <w:sz w:val="22"/>
          <w:szCs w:val="22"/>
          <w:bdr w:val="nil"/>
          <w:lang w:val="fr-FR"/>
        </w:rPr>
        <w:t xml:space="preserve"> tenu de fournir des documents de réunion dans les langues officielles (anglais, français et espagnol) de la Convention, il convient de noter que le budget approuvé pour 2015-2017 s’est avéré insuffisant.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Le reste des dépassements de coûts estimés sont liés aux déplacements du Secrétariat (12 434 €) et au développement du personnel (16 465 €), respectivement, comme indiqué dans le tableau de l’</w:t>
      </w:r>
      <w:r w:rsidR="00F4508E" w:rsidRPr="0095576E">
        <w:rPr>
          <w:rFonts w:eastAsia="Arial" w:cs="Arial"/>
          <w:sz w:val="22"/>
          <w:szCs w:val="22"/>
          <w:bdr w:val="nil"/>
          <w:lang w:val="fr-FR"/>
        </w:rPr>
        <w:t>a</w:t>
      </w:r>
      <w:r w:rsidRPr="0095576E">
        <w:rPr>
          <w:rFonts w:eastAsia="Arial" w:cs="Arial"/>
          <w:sz w:val="22"/>
          <w:szCs w:val="22"/>
          <w:bdr w:val="nil"/>
          <w:lang w:val="fr-FR"/>
        </w:rPr>
        <w:t>nnexe 2. En mai 2015, le Secrétariat des Nations Unies a déployé un nouveau système de planification des ressources à travers le progiciel de gestion intégré « </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 En raison de difficultés techniques, le contrat de</w:t>
      </w:r>
      <w:r w:rsidR="00A964DE">
        <w:rPr>
          <w:rFonts w:eastAsia="Arial" w:cs="Arial"/>
          <w:sz w:val="22"/>
          <w:szCs w:val="22"/>
          <w:bdr w:val="nil"/>
          <w:lang w:val="fr-FR"/>
        </w:rPr>
        <w:t xml:space="preserve"> l’agence de voyage locale</w:t>
      </w:r>
      <w:r w:rsidRPr="0095576E">
        <w:rPr>
          <w:rFonts w:eastAsia="Arial" w:cs="Arial"/>
          <w:sz w:val="22"/>
          <w:szCs w:val="22"/>
          <w:bdr w:val="nil"/>
          <w:lang w:val="fr-FR"/>
        </w:rPr>
        <w:t xml:space="preserve"> </w:t>
      </w:r>
      <w:r w:rsidR="00A964DE">
        <w:rPr>
          <w:rFonts w:eastAsia="Arial" w:cs="Arial"/>
          <w:sz w:val="22"/>
          <w:szCs w:val="22"/>
          <w:bdr w:val="nil"/>
          <w:lang w:val="fr-FR"/>
        </w:rPr>
        <w:t>n’était</w:t>
      </w:r>
      <w:r w:rsidRPr="0095576E">
        <w:rPr>
          <w:rFonts w:eastAsia="Arial" w:cs="Arial"/>
          <w:sz w:val="22"/>
          <w:szCs w:val="22"/>
          <w:bdr w:val="nil"/>
          <w:lang w:val="fr-FR"/>
        </w:rPr>
        <w:t xml:space="preserve"> pas reconnu par le système. Par conséquent, le Secrétariat a dû obtenir des billets pour les missions officielles </w:t>
      </w:r>
      <w:r w:rsidR="00F4508E" w:rsidRPr="0095576E">
        <w:rPr>
          <w:rFonts w:eastAsia="Arial" w:cs="Arial"/>
          <w:sz w:val="22"/>
          <w:szCs w:val="22"/>
          <w:bdr w:val="nil"/>
          <w:lang w:val="fr-FR"/>
        </w:rPr>
        <w:t>auprès</w:t>
      </w:r>
      <w:r w:rsidRPr="0095576E">
        <w:rPr>
          <w:rFonts w:eastAsia="Arial" w:cs="Arial"/>
          <w:sz w:val="22"/>
          <w:szCs w:val="22"/>
          <w:bdr w:val="nil"/>
          <w:lang w:val="fr-FR"/>
        </w:rPr>
        <w:t xml:space="preserve"> d’une agence de voyage basée à Genève, sous contrat avec l’ONU Environnement. Les billets ayant été émis en francs suisses, les tarifs étaient plus élevés que les tarifs des agences de voyage locale</w:t>
      </w:r>
      <w:r w:rsidR="0095576E">
        <w:rPr>
          <w:rFonts w:eastAsia="Arial" w:cs="Arial"/>
          <w:sz w:val="22"/>
          <w:szCs w:val="22"/>
          <w:bdr w:val="nil"/>
          <w:lang w:val="fr-FR"/>
        </w:rPr>
        <w:t>s</w:t>
      </w:r>
      <w:r w:rsidRPr="0095576E">
        <w:rPr>
          <w:rFonts w:eastAsia="Arial" w:cs="Arial"/>
          <w:sz w:val="22"/>
          <w:szCs w:val="22"/>
          <w:bdr w:val="nil"/>
          <w:lang w:val="fr-FR"/>
        </w:rPr>
        <w:t xml:space="preserve">. Cela s’est poursuivi jusqu’en juin 2016 lorsque le contrat de l’agence de voyage locale a été mis en place dans le système, mais </w:t>
      </w:r>
      <w:r w:rsidR="00F4508E" w:rsidRPr="0095576E">
        <w:rPr>
          <w:rFonts w:eastAsia="Arial" w:cs="Arial"/>
          <w:sz w:val="22"/>
          <w:szCs w:val="22"/>
          <w:bdr w:val="nil"/>
          <w:lang w:val="fr-FR"/>
        </w:rPr>
        <w:t>ce problème</w:t>
      </w:r>
      <w:r w:rsidRPr="0095576E">
        <w:rPr>
          <w:rFonts w:eastAsia="Arial" w:cs="Arial"/>
          <w:sz w:val="22"/>
          <w:szCs w:val="22"/>
          <w:bdr w:val="nil"/>
          <w:lang w:val="fr-FR"/>
        </w:rPr>
        <w:t xml:space="preserve"> a</w:t>
      </w:r>
      <w:r w:rsidR="00F4508E" w:rsidRPr="0095576E">
        <w:rPr>
          <w:rFonts w:eastAsia="Arial" w:cs="Arial"/>
          <w:sz w:val="22"/>
          <w:szCs w:val="22"/>
          <w:bdr w:val="nil"/>
          <w:lang w:val="fr-FR"/>
        </w:rPr>
        <w:t>vait</w:t>
      </w:r>
      <w:r w:rsidRPr="0095576E">
        <w:rPr>
          <w:rFonts w:eastAsia="Arial" w:cs="Arial"/>
          <w:sz w:val="22"/>
          <w:szCs w:val="22"/>
          <w:bdr w:val="nil"/>
          <w:lang w:val="fr-FR"/>
        </w:rPr>
        <w:t xml:space="preserve"> déjà entraîné des dépassements de coûts de 12 434 € pour l’ensemble de la période triennale. </w:t>
      </w:r>
    </w:p>
    <w:p w:rsidR="00094D4B" w:rsidRPr="0095576E" w:rsidRDefault="00094D4B" w:rsidP="00094D4B">
      <w:pPr>
        <w:pStyle w:val="ListParagrap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En ce qui concerne le déploiement d’</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le personnel de l’Unité administrative et de gestion des fonds du Secrétariat a d</w:t>
      </w:r>
      <w:r w:rsidR="00F4508E" w:rsidRPr="0095576E">
        <w:rPr>
          <w:rFonts w:eastAsia="Arial" w:cs="Arial"/>
          <w:sz w:val="22"/>
          <w:szCs w:val="22"/>
          <w:bdr w:val="nil"/>
          <w:lang w:val="fr-FR"/>
        </w:rPr>
        <w:t>û</w:t>
      </w:r>
      <w:r w:rsidRPr="0095576E">
        <w:rPr>
          <w:rFonts w:eastAsia="Arial" w:cs="Arial"/>
          <w:sz w:val="22"/>
          <w:szCs w:val="22"/>
          <w:bdr w:val="nil"/>
          <w:lang w:val="fr-FR"/>
        </w:rPr>
        <w:t xml:space="preserve"> assister à une série de formations afin de </w:t>
      </w:r>
      <w:r w:rsidR="00F4508E" w:rsidRPr="0095576E">
        <w:rPr>
          <w:rFonts w:eastAsia="Arial" w:cs="Arial"/>
          <w:sz w:val="22"/>
          <w:szCs w:val="22"/>
          <w:bdr w:val="nil"/>
          <w:lang w:val="fr-FR"/>
        </w:rPr>
        <w:t>travailler</w:t>
      </w:r>
      <w:r w:rsidRPr="0095576E">
        <w:rPr>
          <w:rFonts w:eastAsia="Arial" w:cs="Arial"/>
          <w:sz w:val="22"/>
          <w:szCs w:val="22"/>
          <w:bdr w:val="nil"/>
          <w:lang w:val="fr-FR"/>
        </w:rPr>
        <w:t xml:space="preserve"> efficacement dans le</w:t>
      </w:r>
      <w:r w:rsidR="00F4508E" w:rsidRPr="0095576E">
        <w:rPr>
          <w:rFonts w:eastAsia="Arial" w:cs="Arial"/>
          <w:sz w:val="22"/>
          <w:szCs w:val="22"/>
          <w:bdr w:val="nil"/>
          <w:lang w:val="fr-FR"/>
        </w:rPr>
        <w:t xml:space="preserve"> cadre du</w:t>
      </w:r>
      <w:r w:rsidRPr="0095576E">
        <w:rPr>
          <w:rFonts w:eastAsia="Arial" w:cs="Arial"/>
          <w:sz w:val="22"/>
          <w:szCs w:val="22"/>
          <w:bdr w:val="nil"/>
          <w:lang w:val="fr-FR"/>
        </w:rPr>
        <w:t xml:space="preserve"> nouveau système. Quatre membres du personnel ont participé </w:t>
      </w:r>
      <w:r w:rsidR="00F4508E" w:rsidRPr="0095576E">
        <w:rPr>
          <w:rFonts w:eastAsia="Arial" w:cs="Arial"/>
          <w:sz w:val="22"/>
          <w:szCs w:val="22"/>
          <w:bdr w:val="nil"/>
          <w:lang w:val="fr-FR"/>
        </w:rPr>
        <w:t xml:space="preserve">en 2015 </w:t>
      </w:r>
      <w:r w:rsidRPr="0095576E">
        <w:rPr>
          <w:rFonts w:eastAsia="Arial" w:cs="Arial"/>
          <w:sz w:val="22"/>
          <w:szCs w:val="22"/>
          <w:bdr w:val="nil"/>
          <w:lang w:val="fr-FR"/>
        </w:rPr>
        <w:t>aux cours de formation d’</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xml:space="preserve">, organisés par l’ONU Environnement, à Paris et à Genève, ce qui a entraîné des dépassements de coûts de 16 465 € dans l’ensemble de la ligne budgétaire du développement du personnel (formation, séminaires). </w:t>
      </w:r>
    </w:p>
    <w:p w:rsidR="00094D4B" w:rsidRPr="0095576E" w:rsidRDefault="00094D4B" w:rsidP="00094D4B">
      <w:pPr>
        <w:contextualSpacing/>
        <w:jc w:val="both"/>
        <w:rPr>
          <w:sz w:val="22"/>
          <w:szCs w:val="22"/>
          <w:lang w:val="fr-FR"/>
        </w:rPr>
      </w:pPr>
    </w:p>
    <w:p w:rsidR="00094D4B" w:rsidRPr="0095576E" w:rsidRDefault="00094D4B" w:rsidP="00094D4B">
      <w:pPr>
        <w:contextualSpacing/>
        <w:jc w:val="both"/>
        <w:rPr>
          <w:b/>
          <w:sz w:val="22"/>
          <w:szCs w:val="22"/>
          <w:lang w:val="fr-FR"/>
        </w:rPr>
      </w:pPr>
      <w:r w:rsidRPr="0095576E">
        <w:rPr>
          <w:rFonts w:eastAsia="Arial" w:cs="Arial"/>
          <w:b/>
          <w:bCs/>
          <w:sz w:val="22"/>
          <w:szCs w:val="22"/>
          <w:bdr w:val="nil"/>
          <w:lang w:val="fr-FR"/>
        </w:rPr>
        <w:t>État du solde du Fonds d’affectation spéciale</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 xml:space="preserve">Lors de la clôture des comptes du PNUE au 31 décembre 2014, le solde total du Fonds d’affectation spéciale de la CMS pour les contributions </w:t>
      </w:r>
      <w:r w:rsidR="00473C9C" w:rsidRPr="0095576E">
        <w:rPr>
          <w:rFonts w:eastAsia="Arial" w:cs="Arial"/>
          <w:sz w:val="22"/>
          <w:szCs w:val="22"/>
          <w:bdr w:val="nil"/>
          <w:lang w:val="fr-FR"/>
        </w:rPr>
        <w:t>évaluées</w:t>
      </w:r>
      <w:r w:rsidRPr="0095576E">
        <w:rPr>
          <w:rFonts w:eastAsia="Arial" w:cs="Arial"/>
          <w:sz w:val="22"/>
          <w:szCs w:val="22"/>
          <w:bdr w:val="nil"/>
          <w:lang w:val="fr-FR"/>
        </w:rPr>
        <w:t xml:space="preserve"> s’élevait à 774 191 €</w:t>
      </w:r>
      <w:r w:rsidRPr="0095576E">
        <w:rPr>
          <w:vertAlign w:val="superscript"/>
          <w:lang w:val="fr-FR"/>
        </w:rPr>
        <w:footnoteReference w:id="1"/>
      </w:r>
      <w:r w:rsidRPr="0095576E">
        <w:rPr>
          <w:rFonts w:eastAsia="Arial" w:cs="Arial"/>
          <w:sz w:val="22"/>
          <w:szCs w:val="22"/>
          <w:bdr w:val="nil"/>
          <w:lang w:val="fr-FR"/>
        </w:rPr>
        <w:t xml:space="preserve"> incluant une réserve de fonctionnement de 410 000 €. La réserve de fonctionnement est destinée à couvrir les variations des flux de trésorerie entrants causés par le versement différé des contributions </w:t>
      </w:r>
      <w:r w:rsidR="00473C9C" w:rsidRPr="0095576E">
        <w:rPr>
          <w:rFonts w:eastAsia="Arial" w:cs="Arial"/>
          <w:sz w:val="22"/>
          <w:szCs w:val="22"/>
          <w:bdr w:val="nil"/>
          <w:lang w:val="fr-FR"/>
        </w:rPr>
        <w:t>évaluées</w:t>
      </w:r>
      <w:r w:rsidRPr="0095576E">
        <w:rPr>
          <w:rFonts w:eastAsia="Arial" w:cs="Arial"/>
          <w:sz w:val="22"/>
          <w:szCs w:val="22"/>
          <w:bdr w:val="nil"/>
          <w:lang w:val="fr-FR"/>
        </w:rPr>
        <w:t xml:space="preserve">, ainsi que les fluctuations imprévues du budget des programmes au cours de la période triennale. </w:t>
      </w:r>
    </w:p>
    <w:p w:rsidR="00094D4B" w:rsidRPr="0095576E" w:rsidRDefault="00094D4B" w:rsidP="00094D4B">
      <w:pPr>
        <w:ind w:left="360"/>
        <w:contextualSpacing/>
        <w:jc w:val="both"/>
        <w:rPr>
          <w:sz w:val="22"/>
          <w:szCs w:val="22"/>
          <w:lang w:val="fr-FR"/>
        </w:rPr>
      </w:pPr>
    </w:p>
    <w:p w:rsidR="00094D4B" w:rsidRPr="0095576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En novembre 2016, la 45</w:t>
      </w:r>
      <w:r w:rsidRPr="0095576E">
        <w:rPr>
          <w:rFonts w:eastAsia="Arial" w:cs="Arial"/>
          <w:sz w:val="22"/>
          <w:szCs w:val="22"/>
          <w:bdr w:val="nil"/>
          <w:vertAlign w:val="superscript"/>
          <w:lang w:val="fr-FR"/>
        </w:rPr>
        <w:t>ème</w:t>
      </w:r>
      <w:r w:rsidR="00F4508E" w:rsidRPr="0095576E">
        <w:rPr>
          <w:rFonts w:eastAsia="Arial" w:cs="Arial"/>
          <w:sz w:val="22"/>
          <w:szCs w:val="22"/>
          <w:bdr w:val="nil"/>
          <w:lang w:val="fr-FR"/>
        </w:rPr>
        <w:t xml:space="preserve"> </w:t>
      </w:r>
      <w:r w:rsidRPr="0095576E">
        <w:rPr>
          <w:rFonts w:eastAsia="Arial" w:cs="Arial"/>
          <w:sz w:val="22"/>
          <w:szCs w:val="22"/>
          <w:bdr w:val="nil"/>
          <w:lang w:val="fr-FR"/>
        </w:rPr>
        <w:t xml:space="preserve">réunion du Comité permanent a autorisé le Secrétariat à utiliser 76 788 € de la réserve afin de couvrir les obligations contractuelles de l’année précédente pour des avis techniques relatifs à la préparation une Action concertée de la CMS pour les </w:t>
      </w:r>
      <w:r w:rsidR="00F4508E" w:rsidRPr="0095576E">
        <w:rPr>
          <w:rFonts w:eastAsia="Arial" w:cs="Arial"/>
          <w:sz w:val="22"/>
          <w:szCs w:val="22"/>
          <w:bdr w:val="nil"/>
          <w:lang w:val="fr-FR"/>
        </w:rPr>
        <w:t>m</w:t>
      </w:r>
      <w:r w:rsidRPr="0095576E">
        <w:rPr>
          <w:rFonts w:eastAsia="Arial" w:cs="Arial"/>
          <w:sz w:val="22"/>
          <w:szCs w:val="22"/>
          <w:bdr w:val="nil"/>
          <w:lang w:val="fr-FR"/>
        </w:rPr>
        <w:t xml:space="preserve">ammifères d’Asie centrale et </w:t>
      </w:r>
      <w:r w:rsidR="00A964DE">
        <w:rPr>
          <w:rFonts w:eastAsia="Arial" w:cs="Arial"/>
          <w:sz w:val="22"/>
          <w:szCs w:val="22"/>
          <w:bdr w:val="nil"/>
          <w:lang w:val="fr-FR"/>
        </w:rPr>
        <w:t>de</w:t>
      </w:r>
      <w:r w:rsidRPr="0095576E">
        <w:rPr>
          <w:rFonts w:eastAsia="Arial" w:cs="Arial"/>
          <w:sz w:val="22"/>
          <w:szCs w:val="22"/>
          <w:bdr w:val="nil"/>
          <w:lang w:val="fr-FR"/>
        </w:rPr>
        <w:t xml:space="preserve"> couvrir le coût des</w:t>
      </w:r>
      <w:r w:rsidR="00F4508E" w:rsidRPr="0095576E">
        <w:rPr>
          <w:rFonts w:eastAsia="Arial" w:cs="Arial"/>
          <w:sz w:val="22"/>
          <w:szCs w:val="22"/>
          <w:bdr w:val="nil"/>
          <w:lang w:val="fr-FR"/>
        </w:rPr>
        <w:t xml:space="preserve"> travaux supplémentaires requis</w:t>
      </w:r>
      <w:r w:rsidR="0095576E">
        <w:rPr>
          <w:rFonts w:eastAsia="Arial" w:cs="Arial"/>
          <w:sz w:val="22"/>
          <w:szCs w:val="22"/>
          <w:bdr w:val="nil"/>
          <w:lang w:val="fr-FR"/>
        </w:rPr>
        <w:t xml:space="preserve"> </w:t>
      </w:r>
      <w:r w:rsidR="00F4508E" w:rsidRPr="0095576E">
        <w:rPr>
          <w:rFonts w:eastAsia="Arial" w:cs="Arial"/>
          <w:sz w:val="22"/>
          <w:szCs w:val="22"/>
          <w:bdr w:val="nil"/>
          <w:lang w:val="fr-FR"/>
        </w:rPr>
        <w:t xml:space="preserve">en 2016 </w:t>
      </w:r>
      <w:r w:rsidRPr="0095576E">
        <w:rPr>
          <w:rFonts w:eastAsia="Arial" w:cs="Arial"/>
          <w:sz w:val="22"/>
          <w:szCs w:val="22"/>
          <w:bdr w:val="nil"/>
          <w:lang w:val="fr-FR"/>
        </w:rPr>
        <w:t xml:space="preserve">par l’Équipe conjointe chargée de la gestion de l’information, de la communication et de la sensibilisation. </w:t>
      </w:r>
    </w:p>
    <w:p w:rsidR="00094D4B" w:rsidRPr="0095576E" w:rsidRDefault="00094D4B" w:rsidP="00094D4B">
      <w:pPr>
        <w:ind w:left="360"/>
        <w:contextualSpacing/>
        <w:jc w:val="both"/>
        <w:rPr>
          <w:sz w:val="22"/>
          <w:szCs w:val="22"/>
          <w:lang w:val="fr-FR"/>
        </w:rPr>
      </w:pPr>
    </w:p>
    <w:p w:rsidR="00094D4B" w:rsidRPr="00A964DE" w:rsidRDefault="00094D4B" w:rsidP="00094D4B">
      <w:pPr>
        <w:numPr>
          <w:ilvl w:val="0"/>
          <w:numId w:val="10"/>
        </w:numPr>
        <w:ind w:left="360"/>
        <w:contextualSpacing/>
        <w:jc w:val="both"/>
        <w:rPr>
          <w:sz w:val="22"/>
          <w:szCs w:val="22"/>
          <w:lang w:val="fr-FR"/>
        </w:rPr>
      </w:pPr>
      <w:r w:rsidRPr="0095576E">
        <w:rPr>
          <w:rFonts w:eastAsia="Arial" w:cs="Arial"/>
          <w:sz w:val="22"/>
          <w:szCs w:val="22"/>
          <w:bdr w:val="nil"/>
          <w:lang w:val="fr-FR"/>
        </w:rPr>
        <w:t>Compte tenu des contributions versées et dues au 17 août 2017 et des dépenses estimées pour la période triennale 2015-2017, le solde du Fonds d’affectation spéciale à la fin de décembre 2017 est prévu au niveau de 243 715 €, comme indiqué dans le tableau 1.</w:t>
      </w:r>
    </w:p>
    <w:p w:rsidR="00A964DE" w:rsidRPr="0095576E" w:rsidRDefault="00A964DE" w:rsidP="00A964DE">
      <w:pPr>
        <w:contextualSpacing/>
        <w:jc w:val="both"/>
        <w:rPr>
          <w:sz w:val="22"/>
          <w:szCs w:val="22"/>
          <w:lang w:val="fr-FR"/>
        </w:rPr>
      </w:pPr>
    </w:p>
    <w:tbl>
      <w:tblPr>
        <w:tblStyle w:val="ListTable1Light-Accent51"/>
        <w:tblW w:w="8264" w:type="dxa"/>
        <w:tblInd w:w="412" w:type="dxa"/>
        <w:tblLook w:val="04A0" w:firstRow="1" w:lastRow="0" w:firstColumn="1" w:lastColumn="0" w:noHBand="0" w:noVBand="1"/>
      </w:tblPr>
      <w:tblGrid>
        <w:gridCol w:w="5314"/>
        <w:gridCol w:w="1500"/>
        <w:gridCol w:w="1450"/>
      </w:tblGrid>
      <w:tr w:rsidR="00A75C62" w:rsidRPr="0095576E" w:rsidTr="00A75C6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264" w:type="dxa"/>
            <w:gridSpan w:val="3"/>
            <w:noWrap/>
            <w:hideMark/>
          </w:tcPr>
          <w:p w:rsidR="00094D4B" w:rsidRPr="0095576E" w:rsidRDefault="00094D4B" w:rsidP="00094D4B">
            <w:pPr>
              <w:widowControl/>
              <w:autoSpaceDE/>
              <w:autoSpaceDN/>
              <w:adjustRightInd/>
              <w:rPr>
                <w:rFonts w:cs="Arial"/>
                <w:sz w:val="20"/>
                <w:szCs w:val="20"/>
                <w:lang w:val="fr-FR"/>
              </w:rPr>
            </w:pPr>
          </w:p>
          <w:p w:rsidR="00094D4B" w:rsidRPr="0095576E" w:rsidRDefault="00094D4B" w:rsidP="00094D4B">
            <w:pPr>
              <w:widowControl/>
              <w:autoSpaceDE/>
              <w:autoSpaceDN/>
              <w:adjustRightInd/>
              <w:rPr>
                <w:rFonts w:cs="Arial"/>
                <w:sz w:val="20"/>
                <w:szCs w:val="20"/>
                <w:lang w:val="fr-FR"/>
              </w:rPr>
            </w:pPr>
            <w:r w:rsidRPr="0095576E">
              <w:rPr>
                <w:rFonts w:eastAsia="Arial" w:cs="Arial"/>
                <w:sz w:val="20"/>
                <w:szCs w:val="20"/>
                <w:bdr w:val="nil"/>
                <w:lang w:val="fr-FR"/>
              </w:rPr>
              <w:t xml:space="preserve">Tableau </w:t>
            </w:r>
            <w:proofErr w:type="gramStart"/>
            <w:r w:rsidRPr="0095576E">
              <w:rPr>
                <w:rFonts w:eastAsia="Arial" w:cs="Arial"/>
                <w:sz w:val="20"/>
                <w:szCs w:val="20"/>
                <w:bdr w:val="nil"/>
                <w:lang w:val="fr-FR"/>
              </w:rPr>
              <w:t>1:</w:t>
            </w:r>
            <w:proofErr w:type="gramEnd"/>
            <w:r w:rsidRPr="0095576E">
              <w:rPr>
                <w:rFonts w:eastAsia="Arial" w:cs="Arial"/>
                <w:sz w:val="20"/>
                <w:szCs w:val="20"/>
                <w:bdr w:val="nil"/>
                <w:lang w:val="fr-FR"/>
              </w:rPr>
              <w:t xml:space="preserve"> État du solde du Fonds d’affectation spéciale au 31 décembre 2017 </w:t>
            </w:r>
          </w:p>
          <w:p w:rsidR="00094D4B" w:rsidRPr="0095576E" w:rsidRDefault="00094D4B" w:rsidP="00094D4B">
            <w:pPr>
              <w:widowControl/>
              <w:autoSpaceDE/>
              <w:autoSpaceDN/>
              <w:adjustRightInd/>
              <w:jc w:val="right"/>
              <w:rPr>
                <w:rFonts w:cs="Arial"/>
                <w:color w:val="000000"/>
                <w:sz w:val="20"/>
                <w:szCs w:val="20"/>
                <w:lang w:val="fr-FR"/>
              </w:rPr>
            </w:pPr>
            <w:r w:rsidRPr="0095576E">
              <w:rPr>
                <w:rFonts w:eastAsia="Arial" w:cs="Arial"/>
                <w:color w:val="000000"/>
                <w:sz w:val="20"/>
                <w:szCs w:val="20"/>
                <w:bdr w:val="nil"/>
                <w:lang w:val="fr-FR"/>
              </w:rPr>
              <w:t>EUR</w:t>
            </w:r>
          </w:p>
        </w:tc>
      </w:tr>
      <w:tr w:rsidR="00A75C62" w:rsidRPr="0095576E" w:rsidTr="00A75C62">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094D4B" w:rsidRPr="0095576E" w:rsidRDefault="00094D4B" w:rsidP="00094D4B">
            <w:pPr>
              <w:widowControl/>
              <w:autoSpaceDE/>
              <w:autoSpaceDN/>
              <w:adjustRightInd/>
              <w:rPr>
                <w:rFonts w:cs="Arial"/>
                <w:color w:val="000000"/>
                <w:sz w:val="20"/>
                <w:szCs w:val="20"/>
                <w:lang w:val="fr-FR"/>
              </w:rPr>
            </w:pPr>
            <w:r w:rsidRPr="0095576E">
              <w:rPr>
                <w:rFonts w:eastAsia="Arial" w:cs="Arial"/>
                <w:color w:val="000000"/>
                <w:sz w:val="20"/>
                <w:szCs w:val="20"/>
                <w:bdr w:val="nil"/>
                <w:lang w:val="fr-FR"/>
              </w:rPr>
              <w:t>Solde total du Fon</w:t>
            </w:r>
            <w:r w:rsidR="00F4508E" w:rsidRPr="0095576E">
              <w:rPr>
                <w:rFonts w:eastAsia="Arial" w:cs="Arial"/>
                <w:color w:val="000000"/>
                <w:sz w:val="20"/>
                <w:szCs w:val="20"/>
                <w:bdr w:val="nil"/>
                <w:lang w:val="fr-FR"/>
              </w:rPr>
              <w:t>ds d’affectation spéciale au 31 </w:t>
            </w:r>
            <w:r w:rsidRPr="0095576E">
              <w:rPr>
                <w:rFonts w:eastAsia="Arial" w:cs="Arial"/>
                <w:color w:val="000000"/>
                <w:sz w:val="20"/>
                <w:szCs w:val="20"/>
                <w:bdr w:val="nil"/>
                <w:lang w:val="fr-FR"/>
              </w:rPr>
              <w:t>décembre 2014, hors réserve de fonctionnement</w:t>
            </w:r>
          </w:p>
        </w:tc>
        <w:tc>
          <w:tcPr>
            <w:tcW w:w="1500" w:type="dxa"/>
            <w:noWrap/>
            <w:vAlign w:val="center"/>
          </w:tcPr>
          <w:p w:rsidR="00094D4B" w:rsidRPr="0095576E" w:rsidRDefault="00094D4B" w:rsidP="00094D4B">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fr-FR"/>
              </w:rPr>
            </w:pPr>
          </w:p>
        </w:tc>
        <w:tc>
          <w:tcPr>
            <w:tcW w:w="1450" w:type="dxa"/>
            <w:noWrap/>
            <w:vAlign w:val="center"/>
            <w:hideMark/>
          </w:tcPr>
          <w:p w:rsidR="00094D4B" w:rsidRPr="0095576E" w:rsidRDefault="00094D4B" w:rsidP="00094D4B">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fr-FR"/>
              </w:rPr>
            </w:pPr>
            <w:r w:rsidRPr="0095576E">
              <w:rPr>
                <w:rFonts w:cs="Arial"/>
                <w:b/>
                <w:bCs/>
                <w:color w:val="000000"/>
                <w:sz w:val="20"/>
                <w:szCs w:val="20"/>
                <w:lang w:val="fr-FR"/>
              </w:rPr>
              <w:t>364 191</w:t>
            </w:r>
          </w:p>
        </w:tc>
      </w:tr>
      <w:tr w:rsidR="00A75C62" w:rsidRPr="0095576E" w:rsidTr="00A75C62">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094D4B" w:rsidRPr="0095576E" w:rsidRDefault="00094D4B" w:rsidP="00094D4B">
            <w:pPr>
              <w:widowControl/>
              <w:autoSpaceDE/>
              <w:autoSpaceDN/>
              <w:adjustRightInd/>
              <w:rPr>
                <w:rFonts w:cs="Arial"/>
                <w:color w:val="000000"/>
                <w:sz w:val="20"/>
                <w:szCs w:val="20"/>
                <w:lang w:val="fr-FR"/>
              </w:rPr>
            </w:pPr>
            <w:r w:rsidRPr="0095576E">
              <w:rPr>
                <w:rFonts w:eastAsia="Arial" w:cs="Arial"/>
                <w:b w:val="0"/>
                <w:bCs w:val="0"/>
                <w:color w:val="000000"/>
                <w:sz w:val="20"/>
                <w:szCs w:val="20"/>
                <w:bdr w:val="nil"/>
                <w:lang w:val="fr-FR"/>
              </w:rPr>
              <w:t>Prélèvement approuvé d</w:t>
            </w:r>
            <w:r w:rsidR="00A964DE">
              <w:rPr>
                <w:rFonts w:eastAsia="Arial" w:cs="Arial"/>
                <w:b w:val="0"/>
                <w:bCs w:val="0"/>
                <w:color w:val="000000"/>
                <w:sz w:val="20"/>
                <w:szCs w:val="20"/>
                <w:bdr w:val="nil"/>
                <w:lang w:val="fr-FR"/>
              </w:rPr>
              <w:t>ans</w:t>
            </w:r>
            <w:r w:rsidRPr="0095576E">
              <w:rPr>
                <w:rFonts w:eastAsia="Arial" w:cs="Arial"/>
                <w:b w:val="0"/>
                <w:bCs w:val="0"/>
                <w:color w:val="000000"/>
                <w:sz w:val="20"/>
                <w:szCs w:val="20"/>
                <w:bdr w:val="nil"/>
                <w:lang w:val="fr-FR"/>
              </w:rPr>
              <w:t xml:space="preserve"> la réserve du Fonds d’affectation spéciale pour financer les </w:t>
            </w:r>
          </w:p>
          <w:p w:rsidR="00094D4B" w:rsidRPr="0095576E" w:rsidRDefault="00094D4B" w:rsidP="00094D4B">
            <w:pPr>
              <w:widowControl/>
              <w:autoSpaceDE/>
              <w:autoSpaceDN/>
              <w:adjustRightInd/>
              <w:rPr>
                <w:rFonts w:cs="Arial"/>
                <w:color w:val="000000"/>
                <w:sz w:val="20"/>
                <w:szCs w:val="20"/>
                <w:lang w:val="fr-FR"/>
              </w:rPr>
            </w:pPr>
            <w:proofErr w:type="gramStart"/>
            <w:r w:rsidRPr="0095576E">
              <w:rPr>
                <w:rFonts w:eastAsia="Arial" w:cs="Arial"/>
                <w:b w:val="0"/>
                <w:bCs w:val="0"/>
                <w:color w:val="000000"/>
                <w:sz w:val="20"/>
                <w:szCs w:val="20"/>
                <w:bdr w:val="nil"/>
                <w:lang w:val="fr-FR"/>
              </w:rPr>
              <w:t>engagements</w:t>
            </w:r>
            <w:proofErr w:type="gramEnd"/>
            <w:r w:rsidRPr="0095576E">
              <w:rPr>
                <w:rFonts w:eastAsia="Arial" w:cs="Arial"/>
                <w:b w:val="0"/>
                <w:bCs w:val="0"/>
                <w:color w:val="000000"/>
                <w:sz w:val="20"/>
                <w:szCs w:val="20"/>
                <w:bdr w:val="nil"/>
                <w:lang w:val="fr-FR"/>
              </w:rPr>
              <w:t xml:space="preserve"> de l’exercice précédent (paragraphe 21)</w:t>
            </w:r>
          </w:p>
        </w:tc>
        <w:tc>
          <w:tcPr>
            <w:tcW w:w="1500" w:type="dxa"/>
            <w:noWrap/>
            <w:vAlign w:val="center"/>
          </w:tcPr>
          <w:p w:rsidR="00094D4B" w:rsidRPr="0095576E" w:rsidRDefault="00094D4B" w:rsidP="00094D4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p>
        </w:tc>
        <w:tc>
          <w:tcPr>
            <w:tcW w:w="1450" w:type="dxa"/>
            <w:noWrap/>
            <w:vAlign w:val="center"/>
            <w:hideMark/>
          </w:tcPr>
          <w:p w:rsidR="00094D4B" w:rsidRPr="0095576E" w:rsidRDefault="00094D4B" w:rsidP="00094D4B">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95576E">
              <w:rPr>
                <w:rFonts w:cs="Arial"/>
                <w:color w:val="000000"/>
                <w:sz w:val="20"/>
                <w:szCs w:val="20"/>
                <w:lang w:val="fr-FR"/>
              </w:rPr>
              <w:t>(76 788)</w:t>
            </w:r>
          </w:p>
        </w:tc>
      </w:tr>
      <w:tr w:rsidR="00A75C62" w:rsidRPr="0095576E" w:rsidTr="00A75C62">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094D4B" w:rsidRPr="0095576E" w:rsidRDefault="00094D4B" w:rsidP="00094D4B">
            <w:pPr>
              <w:widowControl/>
              <w:autoSpaceDE/>
              <w:autoSpaceDN/>
              <w:adjustRightInd/>
              <w:rPr>
                <w:rFonts w:cs="Arial"/>
                <w:color w:val="000000"/>
                <w:sz w:val="20"/>
                <w:szCs w:val="20"/>
                <w:lang w:val="fr-FR"/>
              </w:rPr>
            </w:pPr>
            <w:r w:rsidRPr="0095576E">
              <w:rPr>
                <w:rFonts w:eastAsia="Arial" w:cs="Arial"/>
                <w:b w:val="0"/>
                <w:bCs w:val="0"/>
                <w:color w:val="000000"/>
                <w:sz w:val="20"/>
                <w:szCs w:val="20"/>
                <w:bdr w:val="nil"/>
                <w:lang w:val="fr-FR"/>
              </w:rPr>
              <w:t>Contributions versées pour la période triennale 2015-2017 au 17 août 2017 (paragraphe 3)</w:t>
            </w:r>
          </w:p>
        </w:tc>
        <w:tc>
          <w:tcPr>
            <w:tcW w:w="1500" w:type="dxa"/>
            <w:noWrap/>
            <w:vAlign w:val="center"/>
          </w:tcPr>
          <w:p w:rsidR="00094D4B" w:rsidRPr="0095576E" w:rsidRDefault="00094D4B" w:rsidP="00094D4B">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p>
        </w:tc>
        <w:tc>
          <w:tcPr>
            <w:tcW w:w="1450" w:type="dxa"/>
            <w:noWrap/>
            <w:vAlign w:val="center"/>
            <w:hideMark/>
          </w:tcPr>
          <w:p w:rsidR="00094D4B" w:rsidRPr="0095576E" w:rsidRDefault="00094D4B" w:rsidP="00094D4B">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95576E">
              <w:rPr>
                <w:rFonts w:cs="Arial"/>
                <w:color w:val="000000"/>
                <w:sz w:val="20"/>
                <w:szCs w:val="20"/>
                <w:lang w:val="fr-FR"/>
              </w:rPr>
              <w:t>6 568 434</w:t>
            </w:r>
          </w:p>
        </w:tc>
      </w:tr>
      <w:tr w:rsidR="00A75C62" w:rsidRPr="0095576E" w:rsidTr="00A75C62">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tcPr>
          <w:p w:rsidR="00094D4B" w:rsidRPr="0095576E" w:rsidRDefault="00094D4B" w:rsidP="00094D4B">
            <w:pPr>
              <w:widowControl/>
              <w:autoSpaceDE/>
              <w:autoSpaceDN/>
              <w:adjustRightInd/>
              <w:rPr>
                <w:rFonts w:cs="Arial"/>
                <w:color w:val="000000"/>
                <w:sz w:val="20"/>
                <w:szCs w:val="20"/>
                <w:lang w:val="fr-FR"/>
              </w:rPr>
            </w:pPr>
            <w:r w:rsidRPr="0095576E">
              <w:rPr>
                <w:rFonts w:eastAsia="Arial" w:cs="Arial"/>
                <w:b w:val="0"/>
                <w:bCs w:val="0"/>
                <w:color w:val="000000"/>
                <w:sz w:val="20"/>
                <w:szCs w:val="20"/>
                <w:bdr w:val="nil"/>
                <w:lang w:val="fr-FR"/>
              </w:rPr>
              <w:t>Contributions dues pour la période triennale 2015-2017 (paragraphe 3 et annexe 1)</w:t>
            </w:r>
          </w:p>
        </w:tc>
        <w:tc>
          <w:tcPr>
            <w:tcW w:w="1500" w:type="dxa"/>
            <w:noWrap/>
            <w:vAlign w:val="center"/>
          </w:tcPr>
          <w:p w:rsidR="00094D4B" w:rsidRPr="0095576E" w:rsidRDefault="00094D4B" w:rsidP="00094D4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p>
        </w:tc>
        <w:tc>
          <w:tcPr>
            <w:tcW w:w="1450" w:type="dxa"/>
            <w:noWrap/>
            <w:vAlign w:val="center"/>
          </w:tcPr>
          <w:p w:rsidR="00094D4B" w:rsidRPr="0095576E" w:rsidRDefault="00094D4B" w:rsidP="00094D4B">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95576E">
              <w:rPr>
                <w:rFonts w:cs="Arial"/>
                <w:color w:val="000000"/>
                <w:sz w:val="20"/>
                <w:szCs w:val="20"/>
                <w:lang w:val="fr-FR"/>
              </w:rPr>
              <w:t>874 196</w:t>
            </w:r>
          </w:p>
        </w:tc>
      </w:tr>
      <w:tr w:rsidR="00A75C62" w:rsidRPr="0095576E" w:rsidTr="00A75C62">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094D4B" w:rsidRPr="0095576E" w:rsidRDefault="00094D4B" w:rsidP="00094D4B">
            <w:pPr>
              <w:widowControl/>
              <w:autoSpaceDE/>
              <w:autoSpaceDN/>
              <w:adjustRightInd/>
              <w:rPr>
                <w:rFonts w:cs="Arial"/>
                <w:color w:val="000000"/>
                <w:sz w:val="20"/>
                <w:szCs w:val="20"/>
                <w:lang w:val="fr-FR"/>
              </w:rPr>
            </w:pPr>
            <w:r w:rsidRPr="0095576E">
              <w:rPr>
                <w:rFonts w:eastAsia="Arial" w:cs="Arial"/>
                <w:b w:val="0"/>
                <w:bCs w:val="0"/>
                <w:color w:val="000000"/>
                <w:sz w:val="20"/>
                <w:szCs w:val="20"/>
                <w:bdr w:val="nil"/>
                <w:lang w:val="fr-FR"/>
              </w:rPr>
              <w:t>Estimation des dépenses pour la période triennale 2015-2017 (Annexe 2)</w:t>
            </w:r>
          </w:p>
        </w:tc>
        <w:tc>
          <w:tcPr>
            <w:tcW w:w="1500" w:type="dxa"/>
            <w:noWrap/>
            <w:vAlign w:val="center"/>
          </w:tcPr>
          <w:p w:rsidR="00094D4B" w:rsidRPr="0095576E" w:rsidRDefault="00094D4B" w:rsidP="00094D4B">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p>
        </w:tc>
        <w:tc>
          <w:tcPr>
            <w:tcW w:w="1450" w:type="dxa"/>
            <w:noWrap/>
            <w:vAlign w:val="center"/>
            <w:hideMark/>
          </w:tcPr>
          <w:p w:rsidR="00094D4B" w:rsidRPr="0095576E" w:rsidRDefault="00094D4B" w:rsidP="00094D4B">
            <w:pPr>
              <w:widowControl/>
              <w:autoSpaceDE/>
              <w:autoSpaceDN/>
              <w:adjustRightInd/>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95576E">
              <w:rPr>
                <w:rFonts w:cs="Arial"/>
                <w:color w:val="000000"/>
                <w:sz w:val="20"/>
                <w:szCs w:val="20"/>
                <w:lang w:val="fr-FR"/>
              </w:rPr>
              <w:t>(7 486 318)</w:t>
            </w:r>
          </w:p>
        </w:tc>
      </w:tr>
      <w:tr w:rsidR="00A75C62" w:rsidRPr="0095576E" w:rsidTr="00A75C62">
        <w:trPr>
          <w:trHeight w:val="564"/>
        </w:trPr>
        <w:tc>
          <w:tcPr>
            <w:cnfStyle w:val="001000000000" w:firstRow="0" w:lastRow="0" w:firstColumn="1" w:lastColumn="0" w:oddVBand="0" w:evenVBand="0" w:oddHBand="0" w:evenHBand="0" w:firstRowFirstColumn="0" w:firstRowLastColumn="0" w:lastRowFirstColumn="0" w:lastRowLastColumn="0"/>
            <w:tcW w:w="5314" w:type="dxa"/>
            <w:noWrap/>
            <w:vAlign w:val="center"/>
            <w:hideMark/>
          </w:tcPr>
          <w:p w:rsidR="00094D4B" w:rsidRPr="0095576E" w:rsidRDefault="00094D4B" w:rsidP="00094D4B">
            <w:pPr>
              <w:widowControl/>
              <w:autoSpaceDE/>
              <w:autoSpaceDN/>
              <w:adjustRightInd/>
              <w:rPr>
                <w:rFonts w:cs="Arial"/>
                <w:color w:val="000000"/>
                <w:sz w:val="20"/>
                <w:szCs w:val="20"/>
                <w:u w:val="single"/>
                <w:lang w:val="fr-FR"/>
              </w:rPr>
            </w:pPr>
            <w:r w:rsidRPr="0095576E">
              <w:rPr>
                <w:rFonts w:eastAsia="Arial" w:cs="Arial"/>
                <w:color w:val="000000"/>
                <w:sz w:val="20"/>
                <w:szCs w:val="20"/>
                <w:u w:val="single"/>
                <w:bdr w:val="nil"/>
                <w:lang w:val="fr-FR"/>
              </w:rPr>
              <w:t>Solde estimé du Fon</w:t>
            </w:r>
            <w:r w:rsidR="00F4508E" w:rsidRPr="0095576E">
              <w:rPr>
                <w:rFonts w:eastAsia="Arial" w:cs="Arial"/>
                <w:color w:val="000000"/>
                <w:sz w:val="20"/>
                <w:szCs w:val="20"/>
                <w:u w:val="single"/>
                <w:bdr w:val="nil"/>
                <w:lang w:val="fr-FR"/>
              </w:rPr>
              <w:t>ds d’affectation spéciale au 31 </w:t>
            </w:r>
            <w:r w:rsidRPr="0095576E">
              <w:rPr>
                <w:rFonts w:eastAsia="Arial" w:cs="Arial"/>
                <w:color w:val="000000"/>
                <w:sz w:val="20"/>
                <w:szCs w:val="20"/>
                <w:u w:val="single"/>
                <w:bdr w:val="nil"/>
                <w:lang w:val="fr-FR"/>
              </w:rPr>
              <w:t xml:space="preserve">décembre 2017, hors réserve de fonctionnement </w:t>
            </w:r>
          </w:p>
        </w:tc>
        <w:tc>
          <w:tcPr>
            <w:tcW w:w="1500" w:type="dxa"/>
            <w:noWrap/>
            <w:vAlign w:val="center"/>
          </w:tcPr>
          <w:p w:rsidR="00094D4B" w:rsidRPr="0095576E" w:rsidRDefault="00094D4B" w:rsidP="00094D4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p>
        </w:tc>
        <w:tc>
          <w:tcPr>
            <w:tcW w:w="1450" w:type="dxa"/>
            <w:noWrap/>
            <w:vAlign w:val="center"/>
            <w:hideMark/>
          </w:tcPr>
          <w:p w:rsidR="00094D4B" w:rsidRPr="0095576E" w:rsidRDefault="00094D4B" w:rsidP="00094D4B">
            <w:pPr>
              <w:widowControl/>
              <w:autoSpaceDE/>
              <w:autoSpaceDN/>
              <w:adjustRightInd/>
              <w:jc w:val="right"/>
              <w:cnfStyle w:val="000000000000" w:firstRow="0" w:lastRow="0" w:firstColumn="0" w:lastColumn="0" w:oddVBand="0" w:evenVBand="0" w:oddHBand="0" w:evenHBand="0" w:firstRowFirstColumn="0" w:firstRowLastColumn="0" w:lastRowFirstColumn="0" w:lastRowLastColumn="0"/>
              <w:rPr>
                <w:rFonts w:cs="Arial"/>
                <w:sz w:val="20"/>
                <w:szCs w:val="20"/>
                <w:u w:val="single"/>
                <w:lang w:val="fr-FR"/>
              </w:rPr>
            </w:pPr>
            <w:r w:rsidRPr="0095576E">
              <w:rPr>
                <w:rFonts w:cs="Arial"/>
                <w:b/>
                <w:bCs/>
                <w:color w:val="000000"/>
                <w:sz w:val="20"/>
                <w:szCs w:val="20"/>
                <w:u w:val="single"/>
                <w:lang w:val="fr-FR"/>
              </w:rPr>
              <w:t>243 715</w:t>
            </w:r>
          </w:p>
        </w:tc>
      </w:tr>
    </w:tbl>
    <w:p w:rsidR="00094D4B" w:rsidRPr="0095576E" w:rsidRDefault="00094D4B" w:rsidP="00094D4B">
      <w:pPr>
        <w:pBdr>
          <w:top w:val="single" w:sz="6" w:space="0" w:color="FFFFFF"/>
          <w:left w:val="single" w:sz="6" w:space="0" w:color="FFFFFF"/>
          <w:bottom w:val="single" w:sz="6" w:space="0" w:color="FFFFFF"/>
          <w:right w:val="single" w:sz="6" w:space="0" w:color="FFFFFF"/>
        </w:pBdr>
        <w:outlineLvl w:val="1"/>
        <w:rPr>
          <w:sz w:val="22"/>
          <w:szCs w:val="22"/>
          <w:lang w:val="fr-FR"/>
        </w:rPr>
      </w:pPr>
    </w:p>
    <w:p w:rsidR="00094D4B" w:rsidRPr="0095576E" w:rsidRDefault="00094D4B" w:rsidP="00094D4B">
      <w:pPr>
        <w:ind w:left="360"/>
        <w:contextualSpacing/>
        <w:jc w:val="both"/>
        <w:rPr>
          <w:color w:val="000000"/>
          <w:sz w:val="22"/>
          <w:szCs w:val="22"/>
          <w:lang w:val="fr-FR"/>
        </w:rPr>
      </w:pPr>
      <w:r w:rsidRPr="0095576E">
        <w:rPr>
          <w:rFonts w:eastAsia="Arial" w:cs="Arial"/>
          <w:color w:val="000000"/>
          <w:sz w:val="22"/>
          <w:szCs w:val="22"/>
          <w:bdr w:val="nil"/>
          <w:lang w:val="fr-FR"/>
        </w:rPr>
        <w:t xml:space="preserve">Toutefois, le solde estimé du Fonds </w:t>
      </w:r>
      <w:r w:rsidR="00F4508E" w:rsidRPr="0095576E">
        <w:rPr>
          <w:rFonts w:eastAsia="Arial" w:cs="Arial"/>
          <w:color w:val="000000"/>
          <w:sz w:val="22"/>
          <w:szCs w:val="22"/>
          <w:bdr w:val="nil"/>
          <w:lang w:val="fr-FR"/>
        </w:rPr>
        <w:t xml:space="preserve">d’affectation spéciale </w:t>
      </w:r>
      <w:r w:rsidRPr="0095576E">
        <w:rPr>
          <w:rFonts w:eastAsia="Arial" w:cs="Arial"/>
          <w:color w:val="000000"/>
          <w:sz w:val="22"/>
          <w:szCs w:val="22"/>
          <w:bdr w:val="nil"/>
          <w:lang w:val="fr-FR"/>
        </w:rPr>
        <w:t xml:space="preserve">comprend les </w:t>
      </w:r>
      <w:r w:rsidR="00021C36" w:rsidRPr="0095576E">
        <w:rPr>
          <w:rFonts w:eastAsia="Arial" w:cs="Arial"/>
          <w:color w:val="000000"/>
          <w:sz w:val="22"/>
          <w:szCs w:val="22"/>
          <w:bdr w:val="nil"/>
          <w:lang w:val="fr-FR"/>
        </w:rPr>
        <w:t>contributions non acquittées</w:t>
      </w:r>
      <w:r w:rsidRPr="0095576E">
        <w:rPr>
          <w:rFonts w:eastAsia="Arial" w:cs="Arial"/>
          <w:color w:val="000000"/>
          <w:sz w:val="22"/>
          <w:szCs w:val="22"/>
          <w:bdr w:val="nil"/>
          <w:lang w:val="fr-FR"/>
        </w:rPr>
        <w:t xml:space="preserve"> </w:t>
      </w:r>
      <w:r w:rsidR="00A964DE">
        <w:rPr>
          <w:rFonts w:eastAsia="Arial" w:cs="Arial"/>
          <w:color w:val="000000"/>
          <w:sz w:val="22"/>
          <w:szCs w:val="22"/>
          <w:bdr w:val="nil"/>
          <w:lang w:val="fr-FR"/>
        </w:rPr>
        <w:t xml:space="preserve">pour un montant </w:t>
      </w:r>
      <w:r w:rsidRPr="0095576E">
        <w:rPr>
          <w:rFonts w:eastAsia="Arial" w:cs="Arial"/>
          <w:color w:val="000000"/>
          <w:sz w:val="22"/>
          <w:szCs w:val="22"/>
          <w:bdr w:val="nil"/>
          <w:lang w:val="fr-FR"/>
        </w:rPr>
        <w:t xml:space="preserve">de 109 136 € pour les années </w:t>
      </w:r>
      <w:r w:rsidR="00F4508E" w:rsidRPr="0095576E">
        <w:rPr>
          <w:rFonts w:eastAsia="Arial" w:cs="Arial"/>
          <w:color w:val="000000"/>
          <w:sz w:val="22"/>
          <w:szCs w:val="22"/>
          <w:bdr w:val="nil"/>
          <w:lang w:val="fr-FR"/>
        </w:rPr>
        <w:t>précédentes</w:t>
      </w:r>
      <w:r w:rsidRPr="0095576E">
        <w:rPr>
          <w:rFonts w:eastAsia="Arial" w:cs="Arial"/>
          <w:color w:val="000000"/>
          <w:sz w:val="22"/>
          <w:szCs w:val="22"/>
          <w:bdr w:val="nil"/>
          <w:lang w:val="fr-FR"/>
        </w:rPr>
        <w:t xml:space="preserve"> jusqu’en 2015. Par conséquent, si aucune contribution n’est perçue auprès des Parties ayant des arriérés relatifs aux années précédentes d’ici à la fin de décembre 2017, le solde du Fonds d’affectation spéciale sera encore réduit à </w:t>
      </w:r>
      <w:r w:rsidRPr="0095576E">
        <w:rPr>
          <w:rFonts w:eastAsia="Arial" w:cs="Arial"/>
          <w:sz w:val="22"/>
          <w:szCs w:val="22"/>
          <w:bdr w:val="nil"/>
          <w:lang w:val="fr-FR"/>
        </w:rPr>
        <w:t>134 579 €</w:t>
      </w:r>
      <w:r w:rsidR="00A964DE">
        <w:rPr>
          <w:rFonts w:eastAsia="Arial" w:cs="Arial"/>
          <w:sz w:val="22"/>
          <w:szCs w:val="22"/>
          <w:bdr w:val="nil"/>
          <w:lang w:val="fr-FR"/>
        </w:rPr>
        <w:t>,</w:t>
      </w:r>
      <w:r w:rsidRPr="0095576E">
        <w:rPr>
          <w:rFonts w:eastAsia="Arial" w:cs="Arial"/>
          <w:sz w:val="22"/>
          <w:szCs w:val="22"/>
          <w:bdr w:val="nil"/>
          <w:lang w:val="fr-FR"/>
        </w:rPr>
        <w:t xml:space="preserve"> hors réserve de fonctionnement. Avec la mise en œuvre d’</w:t>
      </w:r>
      <w:proofErr w:type="spellStart"/>
      <w:r w:rsidRPr="0095576E">
        <w:rPr>
          <w:rFonts w:eastAsia="Arial" w:cs="Arial"/>
          <w:sz w:val="22"/>
          <w:szCs w:val="22"/>
          <w:bdr w:val="nil"/>
          <w:lang w:val="fr-FR"/>
        </w:rPr>
        <w:t>Umoja</w:t>
      </w:r>
      <w:proofErr w:type="spellEnd"/>
      <w:r w:rsidRPr="0095576E">
        <w:rPr>
          <w:rFonts w:eastAsia="Arial" w:cs="Arial"/>
          <w:sz w:val="22"/>
          <w:szCs w:val="22"/>
          <w:bdr w:val="nil"/>
          <w:lang w:val="fr-FR"/>
        </w:rPr>
        <w:t>, une situation saine du Fonds d’affectation spéciale est devenue une condition</w:t>
      </w:r>
      <w:r w:rsidR="00F4508E" w:rsidRPr="0095576E">
        <w:rPr>
          <w:rFonts w:eastAsia="Arial" w:cs="Arial"/>
          <w:sz w:val="22"/>
          <w:szCs w:val="22"/>
          <w:bdr w:val="nil"/>
          <w:lang w:val="fr-FR"/>
        </w:rPr>
        <w:t xml:space="preserve"> </w:t>
      </w:r>
      <w:r w:rsidRPr="0095576E">
        <w:rPr>
          <w:rFonts w:eastAsia="Arial" w:cs="Arial"/>
          <w:sz w:val="22"/>
          <w:szCs w:val="22"/>
          <w:bdr w:val="nil"/>
          <w:lang w:val="fr-FR"/>
        </w:rPr>
        <w:t xml:space="preserve">indispensable à la poursuite du fonctionnement du Secrétariat. Par conséquent, le Secrétariat souhaite </w:t>
      </w:r>
      <w:r w:rsidR="00F4508E" w:rsidRPr="0095576E">
        <w:rPr>
          <w:rFonts w:eastAsia="Arial" w:cs="Arial"/>
          <w:sz w:val="22"/>
          <w:szCs w:val="22"/>
          <w:bdr w:val="nil"/>
          <w:lang w:val="fr-FR"/>
        </w:rPr>
        <w:t xml:space="preserve">prier </w:t>
      </w:r>
      <w:r w:rsidRPr="0095576E">
        <w:rPr>
          <w:rFonts w:eastAsia="Arial" w:cs="Arial"/>
          <w:sz w:val="22"/>
          <w:szCs w:val="22"/>
          <w:bdr w:val="nil"/>
          <w:lang w:val="fr-FR"/>
        </w:rPr>
        <w:t xml:space="preserve">instamment les Parties ayant des arriérés de régler leurs contributions avant la fin de la période triennale actuelle en décembre 2017. </w:t>
      </w:r>
    </w:p>
    <w:p w:rsidR="00094D4B" w:rsidRPr="0095576E" w:rsidRDefault="00094D4B" w:rsidP="00094D4B">
      <w:pPr>
        <w:rPr>
          <w:rFonts w:cs="Arial"/>
          <w:sz w:val="22"/>
          <w:szCs w:val="22"/>
          <w:u w:val="single"/>
          <w:lang w:val="fr-FR"/>
        </w:rPr>
      </w:pPr>
    </w:p>
    <w:p w:rsidR="00094D4B" w:rsidRPr="0095576E" w:rsidRDefault="00094D4B" w:rsidP="00094D4B">
      <w:pPr>
        <w:rPr>
          <w:rFonts w:cs="Arial"/>
          <w:sz w:val="22"/>
          <w:szCs w:val="22"/>
          <w:lang w:val="fr-FR"/>
        </w:rPr>
      </w:pPr>
      <w:r w:rsidRPr="0095576E">
        <w:rPr>
          <w:rFonts w:eastAsia="Arial" w:cs="Arial"/>
          <w:sz w:val="22"/>
          <w:szCs w:val="22"/>
          <w:u w:val="single"/>
          <w:bdr w:val="nil"/>
          <w:lang w:val="fr-FR"/>
        </w:rPr>
        <w:t>Actions recommandées</w:t>
      </w:r>
    </w:p>
    <w:p w:rsidR="00094D4B" w:rsidRPr="0095576E" w:rsidRDefault="00094D4B" w:rsidP="00094D4B">
      <w:pPr>
        <w:pBdr>
          <w:top w:val="single" w:sz="6" w:space="0" w:color="FFFFFF"/>
          <w:left w:val="single" w:sz="6" w:space="0" w:color="FFFFFF"/>
          <w:bottom w:val="single" w:sz="6" w:space="0" w:color="FFFFFF"/>
          <w:right w:val="single" w:sz="6" w:space="0" w:color="FFFFFF"/>
        </w:pBdr>
        <w:outlineLvl w:val="1"/>
        <w:rPr>
          <w:color w:val="000000"/>
          <w:sz w:val="22"/>
          <w:szCs w:val="22"/>
          <w:lang w:val="fr-FR"/>
        </w:rPr>
      </w:pPr>
    </w:p>
    <w:p w:rsidR="00094D4B" w:rsidRPr="0095576E" w:rsidRDefault="00094D4B" w:rsidP="009F0C53">
      <w:pPr>
        <w:pStyle w:val="ListParagraph"/>
        <w:numPr>
          <w:ilvl w:val="0"/>
          <w:numId w:val="10"/>
        </w:numPr>
        <w:ind w:left="426" w:hanging="426"/>
        <w:jc w:val="both"/>
        <w:rPr>
          <w:color w:val="000000"/>
          <w:sz w:val="22"/>
          <w:szCs w:val="22"/>
          <w:lang w:val="fr-FR"/>
        </w:rPr>
        <w:sectPr w:rsidR="00094D4B" w:rsidRPr="0095576E" w:rsidSect="00094D4B">
          <w:headerReference w:type="default" r:id="rId15"/>
          <w:headerReference w:type="first" r:id="rId16"/>
          <w:footerReference w:type="first" r:id="rId17"/>
          <w:pgSz w:w="11905" w:h="16837" w:code="9"/>
          <w:pgMar w:top="1008" w:right="1411" w:bottom="1152" w:left="1411" w:header="432" w:footer="432" w:gutter="0"/>
          <w:cols w:space="720"/>
          <w:noEndnote/>
          <w:titlePg/>
          <w:docGrid w:linePitch="272"/>
        </w:sectPr>
      </w:pPr>
      <w:r w:rsidRPr="0095576E">
        <w:rPr>
          <w:rFonts w:eastAsia="Arial" w:cs="Arial"/>
          <w:sz w:val="22"/>
          <w:szCs w:val="22"/>
          <w:bdr w:val="nil"/>
          <w:lang w:val="fr-FR"/>
        </w:rPr>
        <w:t>Il est recommandé à la Conférence des Parties de prendre note du présent document et de formuler des commentaires et des conseils au Secrétariat, si nécessaire.</w:t>
      </w:r>
    </w:p>
    <w:p w:rsidR="00094D4B" w:rsidRPr="0095576E" w:rsidRDefault="00094D4B" w:rsidP="00094D4B">
      <w:pPr>
        <w:widowControl/>
        <w:autoSpaceDE/>
        <w:autoSpaceDN/>
        <w:adjustRightInd/>
        <w:ind w:left="360"/>
        <w:jc w:val="center"/>
        <w:rPr>
          <w:b/>
          <w:bCs/>
          <w:sz w:val="22"/>
          <w:szCs w:val="22"/>
          <w:lang w:val="fr-FR"/>
        </w:rPr>
      </w:pPr>
    </w:p>
    <w:p w:rsidR="00094D4B" w:rsidRPr="0095576E" w:rsidRDefault="00094D4B" w:rsidP="00094D4B">
      <w:pPr>
        <w:widowControl/>
        <w:autoSpaceDE/>
        <w:autoSpaceDN/>
        <w:adjustRightInd/>
        <w:ind w:left="360"/>
        <w:jc w:val="center"/>
        <w:rPr>
          <w:b/>
          <w:sz w:val="22"/>
          <w:szCs w:val="22"/>
          <w:lang w:val="fr-FR"/>
        </w:rPr>
      </w:pPr>
      <w:r w:rsidRPr="0095576E">
        <w:rPr>
          <w:rFonts w:eastAsia="Arial" w:cs="Arial"/>
          <w:b/>
          <w:bCs/>
          <w:sz w:val="22"/>
          <w:szCs w:val="22"/>
          <w:bdr w:val="nil"/>
          <w:lang w:val="fr-FR"/>
        </w:rPr>
        <w:t xml:space="preserve">Annexe 1. Fonds d’affectation spéciale de la Convention sur la conservation des espèces migratrices appartenant à la faune sauvage </w:t>
      </w:r>
    </w:p>
    <w:p w:rsidR="00094D4B" w:rsidRPr="0095576E" w:rsidRDefault="00094D4B" w:rsidP="00094D4B">
      <w:pPr>
        <w:widowControl/>
        <w:autoSpaceDE/>
        <w:autoSpaceDN/>
        <w:adjustRightInd/>
        <w:jc w:val="center"/>
        <w:rPr>
          <w:b/>
          <w:sz w:val="22"/>
          <w:szCs w:val="22"/>
          <w:lang w:val="fr-FR"/>
        </w:rPr>
      </w:pPr>
      <w:r w:rsidRPr="0095576E">
        <w:rPr>
          <w:rFonts w:eastAsia="Arial" w:cs="Arial"/>
          <w:b/>
          <w:bCs/>
          <w:sz w:val="22"/>
          <w:szCs w:val="22"/>
          <w:bdr w:val="nil"/>
          <w:lang w:val="fr-FR"/>
        </w:rPr>
        <w:t xml:space="preserve">Statut des contributions au 17 août 2017 </w:t>
      </w:r>
      <w:r w:rsidRPr="0095576E">
        <w:rPr>
          <w:rFonts w:eastAsia="Arial" w:cs="Arial"/>
          <w:sz w:val="22"/>
          <w:szCs w:val="22"/>
          <w:bdr w:val="nil"/>
          <w:lang w:val="fr-FR"/>
        </w:rPr>
        <w:t>(</w:t>
      </w:r>
      <w:r w:rsidRPr="0095576E">
        <w:rPr>
          <w:rFonts w:eastAsia="Arial" w:cs="Arial"/>
          <w:i/>
          <w:iCs/>
          <w:sz w:val="22"/>
          <w:szCs w:val="22"/>
          <w:bdr w:val="nil"/>
          <w:lang w:val="fr-FR"/>
        </w:rPr>
        <w:t>en euros</w:t>
      </w:r>
      <w:r w:rsidRPr="0095576E">
        <w:rPr>
          <w:rFonts w:eastAsia="Arial" w:cs="Arial"/>
          <w:sz w:val="22"/>
          <w:szCs w:val="22"/>
          <w:bdr w:val="nil"/>
          <w:lang w:val="fr-FR"/>
        </w:rPr>
        <w:t>)</w:t>
      </w:r>
    </w:p>
    <w:p w:rsidR="00094D4B" w:rsidRPr="0095576E" w:rsidRDefault="00094D4B" w:rsidP="00094D4B">
      <w:pPr>
        <w:pStyle w:val="ListParagraph"/>
        <w:widowControl/>
        <w:autoSpaceDE/>
        <w:autoSpaceDN/>
        <w:adjustRightInd/>
        <w:rPr>
          <w:b/>
          <w:sz w:val="24"/>
          <w:lang w:val="fr-FR"/>
        </w:rPr>
      </w:pPr>
    </w:p>
    <w:tbl>
      <w:tblPr>
        <w:tblW w:w="5000" w:type="pct"/>
        <w:tblLook w:val="04A0" w:firstRow="1" w:lastRow="0" w:firstColumn="1" w:lastColumn="0" w:noHBand="0" w:noVBand="1"/>
      </w:tblPr>
      <w:tblGrid>
        <w:gridCol w:w="489"/>
        <w:gridCol w:w="2417"/>
        <w:gridCol w:w="1387"/>
        <w:gridCol w:w="1387"/>
        <w:gridCol w:w="1387"/>
        <w:gridCol w:w="1387"/>
        <w:gridCol w:w="1387"/>
        <w:gridCol w:w="1387"/>
        <w:gridCol w:w="1387"/>
        <w:gridCol w:w="1387"/>
        <w:gridCol w:w="1375"/>
      </w:tblGrid>
      <w:tr w:rsidR="00A75C62" w:rsidRPr="009F0C53" w:rsidTr="00094D4B">
        <w:trPr>
          <w:trHeight w:val="936"/>
          <w:tblHeader/>
        </w:trPr>
        <w:tc>
          <w:tcPr>
            <w:tcW w:w="159" w:type="pct"/>
            <w:tcBorders>
              <w:top w:val="single" w:sz="18" w:space="0" w:color="auto"/>
              <w:left w:val="single" w:sz="8" w:space="0" w:color="auto"/>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N°</w:t>
            </w:r>
          </w:p>
        </w:tc>
        <w:tc>
          <w:tcPr>
            <w:tcW w:w="786"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rPr>
                <w:rFonts w:cs="Arial"/>
                <w:b/>
                <w:bCs/>
                <w:color w:val="000000" w:themeColor="text1"/>
                <w:sz w:val="16"/>
                <w:szCs w:val="16"/>
                <w:lang w:val="fr-FR"/>
              </w:rPr>
            </w:pPr>
            <w:r w:rsidRPr="0095576E">
              <w:rPr>
                <w:rFonts w:eastAsia="Arial" w:cs="Arial"/>
                <w:b/>
                <w:bCs/>
                <w:color w:val="000000"/>
                <w:sz w:val="16"/>
                <w:szCs w:val="16"/>
                <w:bdr w:val="nil"/>
                <w:lang w:val="fr-FR"/>
              </w:rPr>
              <w:t>Parties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DA3E00" w:rsidP="00DA3E00">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Contributions non acquittées</w:t>
            </w:r>
            <w:r w:rsidR="00473C9C" w:rsidRPr="0095576E">
              <w:rPr>
                <w:rFonts w:eastAsia="Arial" w:cs="Arial"/>
                <w:b/>
                <w:bCs/>
                <w:color w:val="000000"/>
                <w:sz w:val="16"/>
                <w:szCs w:val="16"/>
                <w:bdr w:val="nil"/>
                <w:lang w:val="fr-FR"/>
              </w:rPr>
              <w:t xml:space="preserve"> </w:t>
            </w:r>
            <w:r w:rsidRPr="0095576E">
              <w:rPr>
                <w:rFonts w:eastAsia="Arial" w:cs="Arial"/>
                <w:b/>
                <w:bCs/>
                <w:color w:val="000000"/>
                <w:sz w:val="16"/>
                <w:szCs w:val="16"/>
                <w:bdr w:val="nil"/>
                <w:lang w:val="fr-FR"/>
              </w:rPr>
              <w:t>pour</w:t>
            </w:r>
            <w:r w:rsidR="00094D4B" w:rsidRPr="0095576E">
              <w:rPr>
                <w:rFonts w:eastAsia="Arial" w:cs="Arial"/>
                <w:b/>
                <w:bCs/>
                <w:color w:val="000000"/>
                <w:sz w:val="16"/>
                <w:szCs w:val="16"/>
                <w:bdr w:val="nil"/>
                <w:lang w:val="fr-FR"/>
              </w:rPr>
              <w:t xml:space="preserve"> 2016 et les années précédentes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Paiements anticipés pour les prochaines années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DA3E00"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Contributions annoncées</w:t>
            </w:r>
            <w:r w:rsidR="00094D4B" w:rsidRPr="0095576E">
              <w:rPr>
                <w:rFonts w:eastAsia="Arial" w:cs="Arial"/>
                <w:b/>
                <w:bCs/>
                <w:color w:val="000000"/>
                <w:sz w:val="16"/>
                <w:szCs w:val="16"/>
                <w:bdr w:val="nil"/>
                <w:lang w:val="fr-FR"/>
              </w:rPr>
              <w:t xml:space="preserve"> pour 2017</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Contributions reçues en 2017 pour 2016 et les années précédentes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Contributions reçues en 2017 pour 2017</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Contributions reçues en 2017 pour les prochaines années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DA3E00" w:rsidP="00F4508E">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 xml:space="preserve">Contributions non acquittées </w:t>
            </w:r>
            <w:r w:rsidR="00F4508E" w:rsidRPr="0095576E">
              <w:rPr>
                <w:rFonts w:eastAsia="Arial" w:cs="Arial"/>
                <w:b/>
                <w:bCs/>
                <w:color w:val="000000"/>
                <w:sz w:val="16"/>
                <w:szCs w:val="16"/>
                <w:bdr w:val="nil"/>
                <w:lang w:val="fr-FR"/>
              </w:rPr>
              <w:t>pour</w:t>
            </w:r>
            <w:r w:rsidR="00094D4B" w:rsidRPr="0095576E">
              <w:rPr>
                <w:rFonts w:eastAsia="Arial" w:cs="Arial"/>
                <w:b/>
                <w:bCs/>
                <w:color w:val="000000"/>
                <w:sz w:val="16"/>
                <w:szCs w:val="16"/>
                <w:bdr w:val="nil"/>
                <w:lang w:val="fr-FR"/>
              </w:rPr>
              <w:t xml:space="preserve"> 2016 et les années précédentes</w:t>
            </w:r>
          </w:p>
        </w:tc>
        <w:tc>
          <w:tcPr>
            <w:tcW w:w="451" w:type="pct"/>
            <w:tcBorders>
              <w:top w:val="single" w:sz="18" w:space="0" w:color="auto"/>
              <w:left w:val="nil"/>
              <w:bottom w:val="single" w:sz="18" w:space="0" w:color="auto"/>
              <w:right w:val="single" w:sz="4" w:space="0" w:color="auto"/>
            </w:tcBorders>
            <w:shd w:val="clear" w:color="auto" w:fill="DEEAF6" w:themeFill="accent1" w:themeFillTint="33"/>
            <w:vAlign w:val="center"/>
            <w:hideMark/>
          </w:tcPr>
          <w:p w:rsidR="00094D4B" w:rsidRPr="0095576E" w:rsidRDefault="00DA3E00" w:rsidP="00F4508E">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 xml:space="preserve">Contributions non acquittées </w:t>
            </w:r>
            <w:r w:rsidR="00F4508E" w:rsidRPr="0095576E">
              <w:rPr>
                <w:rFonts w:eastAsia="Arial" w:cs="Arial"/>
                <w:b/>
                <w:bCs/>
                <w:color w:val="000000"/>
                <w:sz w:val="16"/>
                <w:szCs w:val="16"/>
                <w:bdr w:val="nil"/>
                <w:lang w:val="fr-FR"/>
              </w:rPr>
              <w:t>pour</w:t>
            </w:r>
            <w:r w:rsidR="00094D4B" w:rsidRPr="0095576E">
              <w:rPr>
                <w:rFonts w:eastAsia="Arial" w:cs="Arial"/>
                <w:b/>
                <w:bCs/>
                <w:color w:val="000000"/>
                <w:sz w:val="16"/>
                <w:szCs w:val="16"/>
                <w:bdr w:val="nil"/>
                <w:lang w:val="fr-FR"/>
              </w:rPr>
              <w:t xml:space="preserve"> 2017</w:t>
            </w:r>
          </w:p>
        </w:tc>
        <w:tc>
          <w:tcPr>
            <w:tcW w:w="451" w:type="pct"/>
            <w:tcBorders>
              <w:top w:val="single" w:sz="18" w:space="0" w:color="auto"/>
              <w:left w:val="nil"/>
              <w:bottom w:val="single" w:sz="18" w:space="0" w:color="auto"/>
              <w:right w:val="single" w:sz="8" w:space="0" w:color="auto"/>
            </w:tcBorders>
            <w:shd w:val="clear" w:color="auto" w:fill="DEEAF6" w:themeFill="accent1" w:themeFillTint="33"/>
            <w:vAlign w:val="center"/>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Paiements anticipés pour les prochaines années</w:t>
            </w:r>
          </w:p>
        </w:tc>
      </w:tr>
      <w:tr w:rsidR="00A75C62" w:rsidRPr="0095576E" w:rsidTr="00094D4B">
        <w:trPr>
          <w:trHeight w:val="255"/>
        </w:trPr>
        <w:tc>
          <w:tcPr>
            <w:tcW w:w="159" w:type="pct"/>
            <w:tcBorders>
              <w:top w:val="single" w:sz="18" w:space="0" w:color="auto"/>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786"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c>
          <w:tcPr>
            <w:tcW w:w="451" w:type="pct"/>
            <w:tcBorders>
              <w:top w:val="single" w:sz="18" w:space="0" w:color="auto"/>
              <w:left w:val="nil"/>
              <w:bottom w:val="single" w:sz="4" w:space="0" w:color="auto"/>
              <w:right w:val="single" w:sz="8" w:space="0" w:color="auto"/>
            </w:tcBorders>
            <w:shd w:val="clear" w:color="auto" w:fill="auto"/>
            <w:vAlign w:val="center"/>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EUR</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Albania</w:t>
            </w:r>
            <w:proofErr w:type="spellEnd"/>
            <w:r w:rsidRPr="0095576E">
              <w:rPr>
                <w:rFonts w:eastAsia="Arial" w:cs="Arial"/>
                <w:color w:val="000000"/>
                <w:sz w:val="16"/>
                <w:szCs w:val="16"/>
                <w:bdr w:val="nil"/>
                <w:lang w:val="fr-FR"/>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Algeria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8 136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8 136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Angola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567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567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Antigua &amp; Barbuda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Argentina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22 231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25 657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22 231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25 657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Armenia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Australia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123 177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123 177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Austria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47 394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47 394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Bangladesh</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Belarus</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3 326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3 326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Belgium</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12 007</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59 271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59 271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12 007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Benin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Bolivia (Plurinational State of)</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463 </w:t>
            </w:r>
          </w:p>
        </w:tc>
        <w:tc>
          <w:tcPr>
            <w:tcW w:w="451" w:type="pct"/>
            <w:tcBorders>
              <w:top w:val="nil"/>
              <w:left w:val="nil"/>
              <w:bottom w:val="single" w:sz="4" w:space="0" w:color="auto"/>
              <w:right w:val="single" w:sz="4" w:space="0" w:color="auto"/>
            </w:tcBorders>
            <w:shd w:val="clear" w:color="000000" w:fill="FFFFFF"/>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Bulgaria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Burkina Faso</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57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Burundi</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311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Cabo Verde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Cameroon</w:t>
            </w:r>
            <w:proofErr w:type="spellEnd"/>
            <w:r w:rsidRPr="0095576E">
              <w:rPr>
                <w:rFonts w:eastAsia="Arial" w:cs="Arial"/>
                <w:color w:val="000000"/>
                <w:sz w:val="16"/>
                <w:szCs w:val="16"/>
                <w:bdr w:val="nil"/>
                <w:lang w:val="fr-FR"/>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1 244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1 244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714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Chad</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1 319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1 319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Chile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19 837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19 306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Congo</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296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296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Cook </w:t>
            </w:r>
            <w:proofErr w:type="spellStart"/>
            <w:r w:rsidRPr="0095576E">
              <w:rPr>
                <w:rFonts w:eastAsia="Arial" w:cs="Arial"/>
                <w:color w:val="000000"/>
                <w:sz w:val="16"/>
                <w:szCs w:val="16"/>
                <w:bdr w:val="nil"/>
                <w:lang w:val="fr-FR"/>
              </w:rPr>
              <w:t>Islands</w:t>
            </w:r>
            <w:proofErr w:type="spellEnd"/>
            <w:r w:rsidRPr="0095576E">
              <w:rPr>
                <w:rFonts w:eastAsia="Arial" w:cs="Arial"/>
                <w:color w:val="000000"/>
                <w:sz w:val="16"/>
                <w:szCs w:val="16"/>
                <w:bdr w:val="nil"/>
                <w:lang w:val="fr-FR"/>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Costa Rica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2 256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1 666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Côte d’Ivoire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22 792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654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22 138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Croatia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7 485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7 485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Cuba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26 782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4 099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26 782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4 099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Cyprus</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Czech</w:t>
            </w:r>
            <w:proofErr w:type="spellEnd"/>
            <w:r w:rsidRPr="0095576E">
              <w:rPr>
                <w:rFonts w:eastAsia="Arial" w:cs="Arial"/>
                <w:color w:val="000000"/>
                <w:sz w:val="16"/>
                <w:szCs w:val="16"/>
                <w:bdr w:val="nil"/>
                <w:lang w:val="fr-FR"/>
              </w:rPr>
              <w:t xml:space="preserve"> </w:t>
            </w:r>
            <w:proofErr w:type="spellStart"/>
            <w:r w:rsidRPr="0095576E">
              <w:rPr>
                <w:rFonts w:eastAsia="Arial" w:cs="Arial"/>
                <w:color w:val="000000"/>
                <w:sz w:val="16"/>
                <w:szCs w:val="16"/>
                <w:bdr w:val="nil"/>
                <w:lang w:val="fr-FR"/>
              </w:rPr>
              <w:t>Republic</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22 926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22 926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2B6AA2" w:rsidRDefault="00094D4B" w:rsidP="00094D4B">
            <w:pPr>
              <w:widowControl/>
              <w:autoSpaceDE/>
              <w:autoSpaceDN/>
              <w:adjustRightInd/>
              <w:rPr>
                <w:rFonts w:cs="Arial"/>
                <w:color w:val="000000"/>
                <w:sz w:val="16"/>
                <w:szCs w:val="16"/>
                <w:lang w:val="en-GB"/>
              </w:rPr>
            </w:pPr>
            <w:r w:rsidRPr="002B6AA2">
              <w:rPr>
                <w:rFonts w:eastAsia="Arial" w:cs="Arial"/>
                <w:color w:val="000000"/>
                <w:sz w:val="16"/>
                <w:szCs w:val="16"/>
                <w:bdr w:val="nil"/>
                <w:lang w:val="en-GB"/>
              </w:rPr>
              <w:t>Dem. Rep. of the Congo</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3 446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3 446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Denmark</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75 169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40 089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35 080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lastRenderedPageBreak/>
              <w:t>31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Djibouti</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557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557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Ecuador</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4 403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2 614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4 403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2 614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Egypt</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6 897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7 960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6 897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7 960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Equatorial </w:t>
            </w:r>
            <w:proofErr w:type="spellStart"/>
            <w:r w:rsidRPr="0095576E">
              <w:rPr>
                <w:rFonts w:eastAsia="Arial" w:cs="Arial"/>
                <w:color w:val="000000"/>
                <w:sz w:val="16"/>
                <w:szCs w:val="16"/>
                <w:bdr w:val="nil"/>
                <w:lang w:val="fr-FR"/>
              </w:rPr>
              <w:t>Guinea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2 311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2 311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Eritrea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164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Estonia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Ethiopia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European</w:t>
            </w:r>
            <w:proofErr w:type="spellEnd"/>
            <w:r w:rsidRPr="0095576E">
              <w:rPr>
                <w:rFonts w:eastAsia="Arial" w:cs="Arial"/>
                <w:color w:val="000000"/>
                <w:sz w:val="16"/>
                <w:szCs w:val="16"/>
                <w:bdr w:val="nil"/>
                <w:lang w:val="fr-FR"/>
              </w:rPr>
              <w:t xml:space="preserve"> Union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67 869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67 869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Fiji</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Finland</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30 823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30 823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France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332 176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332 176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Gabon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5 356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1 189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5 356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1 189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Gambia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Georgia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Germany</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424 114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424 114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Ghana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831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831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eastAsia="Arial" w:cs="Arial"/>
                <w:color w:val="000000"/>
                <w:sz w:val="16"/>
                <w:szCs w:val="16"/>
                <w:bdr w:val="nil"/>
                <w:lang w:val="fr-FR"/>
              </w:rPr>
              <w:t>(0)</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Greece</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101 911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37 893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69 078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32 833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37 893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Guinea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1 219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1 219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Guinea-Bissau</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Honduras</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413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Hungary</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15 797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15 797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India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34 302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39 554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34 302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39 554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Iran (</w:t>
            </w:r>
            <w:proofErr w:type="spellStart"/>
            <w:r w:rsidRPr="0095576E">
              <w:rPr>
                <w:rFonts w:eastAsia="Arial" w:cs="Arial"/>
                <w:color w:val="000000"/>
                <w:sz w:val="16"/>
                <w:szCs w:val="16"/>
                <w:bdr w:val="nil"/>
                <w:lang w:val="fr-FR"/>
              </w:rPr>
              <w:t>Islamic</w:t>
            </w:r>
            <w:proofErr w:type="spellEnd"/>
            <w:r w:rsidRPr="0095576E">
              <w:rPr>
                <w:rFonts w:eastAsia="Arial" w:cs="Arial"/>
                <w:color w:val="000000"/>
                <w:sz w:val="16"/>
                <w:szCs w:val="16"/>
                <w:bdr w:val="nil"/>
                <w:lang w:val="fr-FR"/>
              </w:rPr>
              <w:t xml:space="preserve"> </w:t>
            </w:r>
            <w:proofErr w:type="spellStart"/>
            <w:r w:rsidRPr="0095576E">
              <w:rPr>
                <w:rFonts w:eastAsia="Arial" w:cs="Arial"/>
                <w:color w:val="000000"/>
                <w:sz w:val="16"/>
                <w:szCs w:val="16"/>
                <w:bdr w:val="nil"/>
                <w:lang w:val="fr-FR"/>
              </w:rPr>
              <w:t>Republic</w:t>
            </w:r>
            <w:proofErr w:type="spellEnd"/>
            <w:r w:rsidRPr="0095576E">
              <w:rPr>
                <w:rFonts w:eastAsia="Arial" w:cs="Arial"/>
                <w:color w:val="000000"/>
                <w:sz w:val="16"/>
                <w:szCs w:val="16"/>
                <w:bdr w:val="nil"/>
                <w:lang w:val="fr-FR"/>
              </w:rPr>
              <w:t xml:space="preserve"> of)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39 932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21 143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18 319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21 613</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21 143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Ireland</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24 827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24 827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Israel</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23 518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23 518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Italy</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264 174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264 174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Jordan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1 776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1 306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1 776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1 306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Kazakhstan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7 186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7 186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59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Kenya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Kyrgyzstan</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Latvia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2 791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Liberia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Libya</w:t>
            </w:r>
            <w:proofErr w:type="spellEnd"/>
            <w:r w:rsidRPr="0095576E">
              <w:rPr>
                <w:rFonts w:eastAsia="Arial" w:cs="Arial"/>
                <w:color w:val="000000"/>
                <w:sz w:val="16"/>
                <w:szCs w:val="16"/>
                <w:bdr w:val="nil"/>
                <w:lang w:val="fr-FR"/>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66 031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8 435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66 031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8 435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Liechtenstein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Lithuania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4 335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4 335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lastRenderedPageBreak/>
              <w:t>66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Luxembourg</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8 906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4 811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8 906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4 811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Madagascar</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Mali</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69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Malta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950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950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Mauritania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637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637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Mauritius</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Monaco</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Mongolia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Montenegro</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296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296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Morocco</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3 681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3 681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Mozambique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Netherlands</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98 234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98 234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New </w:t>
            </w:r>
            <w:proofErr w:type="spellStart"/>
            <w:r w:rsidRPr="0095576E">
              <w:rPr>
                <w:rFonts w:eastAsia="Arial" w:cs="Arial"/>
                <w:color w:val="000000"/>
                <w:sz w:val="16"/>
                <w:szCs w:val="16"/>
                <w:bdr w:val="nil"/>
                <w:lang w:val="fr-FR"/>
              </w:rPr>
              <w:t>Zealand</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15 026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15 026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79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Niger</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2 105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2 105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Nigeria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9 309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5 345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9 309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5 345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Norway</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50 541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50 541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Pakistan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1 139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5 049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3 910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Palau</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4 380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4 320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Panama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1 545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1 513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Paraguay</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Peru</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3 397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6 950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3 553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1 532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1 532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Philippines</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9 581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9 146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9 146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435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9 146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Poland</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54 700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54 700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89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Portugal</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50 956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28 152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24 393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26 563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28 152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Republic</w:t>
            </w:r>
            <w:proofErr w:type="spellEnd"/>
            <w:r w:rsidRPr="0095576E">
              <w:rPr>
                <w:rFonts w:eastAsia="Arial" w:cs="Arial"/>
                <w:color w:val="000000"/>
                <w:sz w:val="16"/>
                <w:szCs w:val="16"/>
                <w:bdr w:val="nil"/>
                <w:lang w:val="fr-FR"/>
              </w:rPr>
              <w:t xml:space="preserve"> of Moldova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Romania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13 422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13 422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Rwanda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208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Samoa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18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Sao Tome &amp; Principe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650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650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Saudi</w:t>
            </w:r>
            <w:proofErr w:type="spellEnd"/>
            <w:r w:rsidRPr="0095576E">
              <w:rPr>
                <w:rFonts w:eastAsia="Arial" w:cs="Arial"/>
                <w:color w:val="000000"/>
                <w:sz w:val="16"/>
                <w:szCs w:val="16"/>
                <w:bdr w:val="nil"/>
                <w:lang w:val="fr-FR"/>
              </w:rPr>
              <w:t xml:space="preserve"> </w:t>
            </w:r>
            <w:proofErr w:type="spellStart"/>
            <w:r w:rsidRPr="0095576E">
              <w:rPr>
                <w:rFonts w:eastAsia="Arial" w:cs="Arial"/>
                <w:color w:val="000000"/>
                <w:sz w:val="16"/>
                <w:szCs w:val="16"/>
                <w:bdr w:val="nil"/>
                <w:lang w:val="fr-FR"/>
              </w:rPr>
              <w:t>Arabia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44 397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51 314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44 397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51 314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Senegal</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1 682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1 682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267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Serbia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Seychelles</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99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Slovakia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10 156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10 156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Slovenia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5 940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5 940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lastRenderedPageBreak/>
              <w:t>101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Somalia</w:t>
            </w:r>
            <w:proofErr w:type="spellEnd"/>
            <w:r w:rsidRPr="0095576E">
              <w:rPr>
                <w:rFonts w:eastAsia="Arial" w:cs="Arial"/>
                <w:color w:val="000000"/>
                <w:sz w:val="16"/>
                <w:szCs w:val="16"/>
                <w:bdr w:val="nil"/>
                <w:lang w:val="fr-FR"/>
              </w:rPr>
              <w:t xml:space="preserve">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1 840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South </w:t>
            </w:r>
            <w:proofErr w:type="spellStart"/>
            <w:r w:rsidRPr="0095576E">
              <w:rPr>
                <w:rFonts w:eastAsia="Arial" w:cs="Arial"/>
                <w:color w:val="000000"/>
                <w:sz w:val="16"/>
                <w:szCs w:val="16"/>
                <w:bdr w:val="nil"/>
                <w:lang w:val="fr-FR"/>
              </w:rPr>
              <w:t>Africa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22 093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22 093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Spain</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176 571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176 571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Sri Lanka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1 485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1 485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Swaziland</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312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312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Sweden</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57 016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57 016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Switzerland</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62 182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62 182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Syrian</w:t>
            </w:r>
            <w:proofErr w:type="spellEnd"/>
            <w:r w:rsidRPr="0095576E">
              <w:rPr>
                <w:rFonts w:eastAsia="Arial" w:cs="Arial"/>
                <w:color w:val="000000"/>
                <w:sz w:val="16"/>
                <w:szCs w:val="16"/>
                <w:bdr w:val="nil"/>
                <w:lang w:val="fr-FR"/>
              </w:rPr>
              <w:t xml:space="preserve"> </w:t>
            </w:r>
            <w:proofErr w:type="spellStart"/>
            <w:r w:rsidRPr="0095576E">
              <w:rPr>
                <w:rFonts w:eastAsia="Arial" w:cs="Arial"/>
                <w:color w:val="000000"/>
                <w:sz w:val="16"/>
                <w:szCs w:val="16"/>
                <w:bdr w:val="nil"/>
                <w:lang w:val="fr-FR"/>
              </w:rPr>
              <w:t>Arab</w:t>
            </w:r>
            <w:proofErr w:type="spellEnd"/>
            <w:r w:rsidRPr="0095576E">
              <w:rPr>
                <w:rFonts w:eastAsia="Arial" w:cs="Arial"/>
                <w:color w:val="000000"/>
                <w:sz w:val="16"/>
                <w:szCs w:val="16"/>
                <w:bdr w:val="nil"/>
                <w:lang w:val="fr-FR"/>
              </w:rPr>
              <w:t xml:space="preserve"> </w:t>
            </w:r>
            <w:proofErr w:type="spellStart"/>
            <w:r w:rsidRPr="0095576E">
              <w:rPr>
                <w:rFonts w:eastAsia="Arial" w:cs="Arial"/>
                <w:color w:val="000000"/>
                <w:sz w:val="16"/>
                <w:szCs w:val="16"/>
                <w:bdr w:val="nil"/>
                <w:lang w:val="fr-FR"/>
              </w:rPr>
              <w:t>Republic</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8 009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2 139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8 009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2 139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109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Tajikistan</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581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581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eastAsia="Arial" w:cs="Arial"/>
                <w:color w:val="000000"/>
                <w:sz w:val="16"/>
                <w:szCs w:val="16"/>
                <w:bdr w:val="nil"/>
                <w:lang w:val="fr-FR"/>
              </w:rPr>
              <w:t>(0)</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110</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The FYR of </w:t>
            </w:r>
            <w:proofErr w:type="spellStart"/>
            <w:r w:rsidRPr="0095576E">
              <w:rPr>
                <w:rFonts w:eastAsia="Arial" w:cs="Arial"/>
                <w:color w:val="000000"/>
                <w:sz w:val="16"/>
                <w:szCs w:val="16"/>
                <w:bdr w:val="nil"/>
                <w:lang w:val="fr-FR"/>
              </w:rPr>
              <w:t>Macedonia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2 309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475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2 309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475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111</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Togo</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104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60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300"/>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112</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Tunisia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8 119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2 139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3 726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2 139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4 393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113</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Uganda</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356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cs="Arial"/>
                <w:color w:val="000000" w:themeColor="text1"/>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themeColor="text1"/>
                <w:sz w:val="16"/>
                <w:szCs w:val="16"/>
                <w:lang w:val="fr-FR"/>
              </w:rPr>
            </w:pPr>
            <w:r w:rsidRPr="0095576E">
              <w:rPr>
                <w:rFonts w:eastAsia="Arial" w:cs="Arial"/>
                <w:color w:val="000000"/>
                <w:sz w:val="16"/>
                <w:szCs w:val="16"/>
                <w:bdr w:val="nil"/>
                <w:lang w:val="fr-FR"/>
              </w:rPr>
              <w:t>(0)</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114</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Ukraine</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5 880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5 880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115</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United </w:t>
            </w:r>
            <w:proofErr w:type="spellStart"/>
            <w:r w:rsidRPr="0095576E">
              <w:rPr>
                <w:rFonts w:eastAsia="Arial" w:cs="Arial"/>
                <w:color w:val="000000"/>
                <w:sz w:val="16"/>
                <w:szCs w:val="16"/>
                <w:bdr w:val="nil"/>
                <w:lang w:val="fr-FR"/>
              </w:rPr>
              <w:t>Kingdom</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307 588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307 588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116</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United </w:t>
            </w:r>
            <w:proofErr w:type="spellStart"/>
            <w:r w:rsidRPr="0095576E">
              <w:rPr>
                <w:rFonts w:eastAsia="Arial" w:cs="Arial"/>
                <w:color w:val="000000"/>
                <w:sz w:val="16"/>
                <w:szCs w:val="16"/>
                <w:bdr w:val="nil"/>
                <w:lang w:val="fr-FR"/>
              </w:rPr>
              <w:t>Republic</w:t>
            </w:r>
            <w:proofErr w:type="spellEnd"/>
            <w:r w:rsidRPr="0095576E">
              <w:rPr>
                <w:rFonts w:eastAsia="Arial" w:cs="Arial"/>
                <w:color w:val="000000"/>
                <w:sz w:val="16"/>
                <w:szCs w:val="16"/>
                <w:bdr w:val="nil"/>
                <w:lang w:val="fr-FR"/>
              </w:rPr>
              <w:t xml:space="preserve"> of </w:t>
            </w:r>
            <w:proofErr w:type="spellStart"/>
            <w:r w:rsidRPr="0095576E">
              <w:rPr>
                <w:rFonts w:eastAsia="Arial" w:cs="Arial"/>
                <w:color w:val="000000"/>
                <w:sz w:val="16"/>
                <w:szCs w:val="16"/>
                <w:bdr w:val="nil"/>
                <w:lang w:val="fr-FR"/>
              </w:rPr>
              <w:t>Tanzania</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931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931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463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72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117</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Uruguay</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5 380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3 089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5 380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3 089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118</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Uzbekistan</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3 445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890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772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2 673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890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4"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119</w:t>
            </w:r>
          </w:p>
        </w:tc>
        <w:tc>
          <w:tcPr>
            <w:tcW w:w="786" w:type="pct"/>
            <w:tcBorders>
              <w:top w:val="nil"/>
              <w:left w:val="nil"/>
              <w:bottom w:val="single" w:sz="4"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proofErr w:type="spellStart"/>
            <w:r w:rsidRPr="0095576E">
              <w:rPr>
                <w:rFonts w:eastAsia="Arial" w:cs="Arial"/>
                <w:color w:val="000000"/>
                <w:sz w:val="16"/>
                <w:szCs w:val="16"/>
                <w:bdr w:val="nil"/>
                <w:lang w:val="fr-FR"/>
              </w:rPr>
              <w:t>Yemen</w:t>
            </w:r>
            <w:proofErr w:type="spellEnd"/>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1 752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1 752 </w:t>
            </w:r>
          </w:p>
        </w:tc>
        <w:tc>
          <w:tcPr>
            <w:tcW w:w="451" w:type="pct"/>
            <w:tcBorders>
              <w:top w:val="nil"/>
              <w:left w:val="nil"/>
              <w:bottom w:val="single" w:sz="4"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595 </w:t>
            </w:r>
          </w:p>
        </w:tc>
        <w:tc>
          <w:tcPr>
            <w:tcW w:w="451" w:type="pct"/>
            <w:tcBorders>
              <w:top w:val="nil"/>
              <w:left w:val="nil"/>
              <w:bottom w:val="single" w:sz="4"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255"/>
        </w:trPr>
        <w:tc>
          <w:tcPr>
            <w:tcW w:w="159" w:type="pct"/>
            <w:tcBorders>
              <w:top w:val="nil"/>
              <w:left w:val="single" w:sz="8" w:space="0" w:color="auto"/>
              <w:bottom w:val="single" w:sz="12"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120</w:t>
            </w:r>
          </w:p>
        </w:tc>
        <w:tc>
          <w:tcPr>
            <w:tcW w:w="786" w:type="pct"/>
            <w:tcBorders>
              <w:top w:val="nil"/>
              <w:left w:val="nil"/>
              <w:bottom w:val="single" w:sz="12" w:space="0" w:color="auto"/>
              <w:right w:val="single" w:sz="4" w:space="0" w:color="auto"/>
            </w:tcBorders>
            <w:shd w:val="clear" w:color="000000" w:fill="FFFFFF"/>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Zimbabwe</w:t>
            </w:r>
          </w:p>
        </w:tc>
        <w:tc>
          <w:tcPr>
            <w:tcW w:w="451" w:type="pct"/>
            <w:tcBorders>
              <w:top w:val="nil"/>
              <w:left w:val="nil"/>
              <w:bottom w:val="single" w:sz="12"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12"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12"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119 </w:t>
            </w:r>
          </w:p>
        </w:tc>
        <w:tc>
          <w:tcPr>
            <w:tcW w:w="451" w:type="pct"/>
            <w:tcBorders>
              <w:top w:val="nil"/>
              <w:left w:val="nil"/>
              <w:bottom w:val="single" w:sz="12"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12"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12"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51" w:type="pct"/>
            <w:tcBorders>
              <w:top w:val="nil"/>
              <w:left w:val="nil"/>
              <w:bottom w:val="single" w:sz="12"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12" w:space="0" w:color="auto"/>
              <w:right w:val="single" w:sz="4" w:space="0" w:color="auto"/>
            </w:tcBorders>
            <w:shd w:val="clear" w:color="000000" w:fill="FFFFFF"/>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51" w:type="pct"/>
            <w:tcBorders>
              <w:top w:val="nil"/>
              <w:left w:val="nil"/>
              <w:bottom w:val="single" w:sz="12"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094D4B">
        <w:trPr>
          <w:trHeight w:val="300"/>
        </w:trPr>
        <w:tc>
          <w:tcPr>
            <w:tcW w:w="159" w:type="pct"/>
            <w:tcBorders>
              <w:top w:val="single" w:sz="12" w:space="0" w:color="auto"/>
              <w:left w:val="single" w:sz="8" w:space="0" w:color="auto"/>
              <w:bottom w:val="single" w:sz="18" w:space="0" w:color="auto"/>
              <w:right w:val="single" w:sz="4" w:space="0" w:color="auto"/>
            </w:tcBorders>
            <w:shd w:val="clear" w:color="auto" w:fill="auto"/>
            <w:noWrap/>
            <w:vAlign w:val="bottom"/>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786"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Total</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497 741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494 009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2 714 794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158 787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1 638 440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2 250 </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338 954</w:t>
            </w:r>
          </w:p>
        </w:tc>
        <w:tc>
          <w:tcPr>
            <w:tcW w:w="451" w:type="pct"/>
            <w:tcBorders>
              <w:top w:val="single" w:sz="12" w:space="0" w:color="auto"/>
              <w:left w:val="nil"/>
              <w:bottom w:val="single" w:sz="18" w:space="0" w:color="auto"/>
              <w:right w:val="single" w:sz="4"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644 378 </w:t>
            </w:r>
          </w:p>
        </w:tc>
        <w:tc>
          <w:tcPr>
            <w:tcW w:w="451" w:type="pct"/>
            <w:tcBorders>
              <w:top w:val="single" w:sz="12" w:space="0" w:color="auto"/>
              <w:left w:val="nil"/>
              <w:bottom w:val="single" w:sz="18" w:space="0" w:color="auto"/>
              <w:right w:val="single" w:sz="8" w:space="0" w:color="auto"/>
            </w:tcBorders>
            <w:shd w:val="clear" w:color="000000" w:fill="FFFFFF"/>
            <w:noWrap/>
            <w:vAlign w:val="bottom"/>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64 283 </w:t>
            </w:r>
          </w:p>
        </w:tc>
      </w:tr>
    </w:tbl>
    <w:p w:rsidR="00094D4B" w:rsidRPr="0095576E" w:rsidRDefault="00094D4B" w:rsidP="00094D4B">
      <w:pPr>
        <w:pBdr>
          <w:top w:val="single" w:sz="6" w:space="0" w:color="FFFFFF"/>
          <w:left w:val="single" w:sz="6" w:space="0" w:color="FFFFFF"/>
          <w:bottom w:val="single" w:sz="6" w:space="0" w:color="FFFFFF"/>
          <w:right w:val="single" w:sz="6" w:space="0" w:color="FFFFFF"/>
        </w:pBdr>
        <w:outlineLvl w:val="1"/>
        <w:rPr>
          <w:rFonts w:cs="Arial"/>
          <w:sz w:val="16"/>
          <w:szCs w:val="16"/>
          <w:lang w:val="fr-FR"/>
        </w:rPr>
      </w:pPr>
    </w:p>
    <w:p w:rsidR="00094D4B" w:rsidRPr="0095576E" w:rsidRDefault="00094D4B" w:rsidP="00094D4B">
      <w:pPr>
        <w:pBdr>
          <w:top w:val="single" w:sz="6" w:space="0" w:color="FFFFFF"/>
          <w:left w:val="single" w:sz="6" w:space="0" w:color="FFFFFF"/>
          <w:bottom w:val="single" w:sz="6" w:space="0" w:color="FFFFFF"/>
          <w:right w:val="single" w:sz="6" w:space="0" w:color="FFFFFF"/>
        </w:pBdr>
        <w:outlineLvl w:val="1"/>
        <w:rPr>
          <w:rFonts w:cs="Arial"/>
          <w:b/>
          <w:caps/>
          <w:sz w:val="22"/>
          <w:szCs w:val="22"/>
          <w:lang w:val="fr-FR"/>
        </w:rPr>
        <w:sectPr w:rsidR="00094D4B" w:rsidRPr="0095576E" w:rsidSect="00094D4B">
          <w:headerReference w:type="even" r:id="rId18"/>
          <w:headerReference w:type="default" r:id="rId19"/>
          <w:headerReference w:type="first" r:id="rId20"/>
          <w:pgSz w:w="16837" w:h="11905" w:orient="landscape" w:code="9"/>
          <w:pgMar w:top="720" w:right="720" w:bottom="720" w:left="720" w:header="432" w:footer="432" w:gutter="0"/>
          <w:cols w:space="720"/>
          <w:noEndnote/>
          <w:titlePg/>
          <w:docGrid w:linePitch="272"/>
        </w:sectPr>
      </w:pPr>
    </w:p>
    <w:p w:rsidR="00094D4B" w:rsidRPr="0095576E" w:rsidRDefault="00094D4B" w:rsidP="004D469F">
      <w:pPr>
        <w:widowControl/>
        <w:autoSpaceDE/>
        <w:autoSpaceDN/>
        <w:adjustRightInd/>
        <w:spacing w:after="120"/>
        <w:jc w:val="center"/>
        <w:rPr>
          <w:b/>
          <w:sz w:val="22"/>
          <w:szCs w:val="22"/>
          <w:lang w:val="fr-FR"/>
        </w:rPr>
      </w:pPr>
      <w:r w:rsidRPr="0095576E">
        <w:rPr>
          <w:rFonts w:eastAsia="Arial" w:cs="Arial"/>
          <w:b/>
          <w:bCs/>
          <w:sz w:val="22"/>
          <w:szCs w:val="22"/>
          <w:bdr w:val="nil"/>
          <w:lang w:val="fr-FR"/>
        </w:rPr>
        <w:lastRenderedPageBreak/>
        <w:t>Annexe 2. Exécution du budget 2015-2017 (en euros)</w:t>
      </w:r>
    </w:p>
    <w:tbl>
      <w:tblPr>
        <w:tblW w:w="5000" w:type="pct"/>
        <w:tblBorders>
          <w:top w:val="single" w:sz="12" w:space="0" w:color="auto"/>
          <w:bottom w:val="single" w:sz="12" w:space="0" w:color="auto"/>
        </w:tblBorders>
        <w:tblLook w:val="04A0" w:firstRow="1" w:lastRow="0" w:firstColumn="1" w:lastColumn="0" w:noHBand="0" w:noVBand="1"/>
      </w:tblPr>
      <w:tblGrid>
        <w:gridCol w:w="427"/>
        <w:gridCol w:w="412"/>
        <w:gridCol w:w="4070"/>
        <w:gridCol w:w="957"/>
        <w:gridCol w:w="1138"/>
        <w:gridCol w:w="991"/>
        <w:gridCol w:w="818"/>
        <w:gridCol w:w="1144"/>
        <w:gridCol w:w="994"/>
        <w:gridCol w:w="809"/>
        <w:gridCol w:w="1170"/>
        <w:gridCol w:w="958"/>
        <w:gridCol w:w="1509"/>
      </w:tblGrid>
      <w:tr w:rsidR="00A75C62" w:rsidRPr="0095576E" w:rsidTr="004D469F">
        <w:trPr>
          <w:trHeight w:val="242"/>
          <w:tblHeader/>
        </w:trPr>
        <w:tc>
          <w:tcPr>
            <w:tcW w:w="142" w:type="pct"/>
            <w:tcBorders>
              <w:bottom w:val="nil"/>
            </w:tcBorders>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tcBorders>
              <w:bottom w:val="nil"/>
            </w:tcBorders>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bottom w:val="nil"/>
              <w:right w:val="single" w:sz="4" w:space="0" w:color="auto"/>
            </w:tcBorders>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662" w:type="pct"/>
            <w:gridSpan w:val="2"/>
            <w:tcBorders>
              <w:top w:val="single" w:sz="12" w:space="0" w:color="auto"/>
              <w:left w:val="single" w:sz="4" w:space="0" w:color="auto"/>
              <w:bottom w:val="single" w:sz="4" w:space="0" w:color="auto"/>
              <w:right w:val="single" w:sz="4" w:space="0" w:color="auto"/>
            </w:tcBorders>
            <w:shd w:val="clear" w:color="000000" w:fill="DCE6F1"/>
            <w:noWrap/>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cs="Arial"/>
                <w:b/>
                <w:bCs/>
                <w:color w:val="000000"/>
                <w:sz w:val="16"/>
                <w:szCs w:val="16"/>
                <w:lang w:val="fr-FR"/>
              </w:rPr>
              <w:t>2015</w:t>
            </w:r>
          </w:p>
        </w:tc>
        <w:tc>
          <w:tcPr>
            <w:tcW w:w="952" w:type="pct"/>
            <w:gridSpan w:val="3"/>
            <w:tcBorders>
              <w:top w:val="single" w:sz="12" w:space="0" w:color="auto"/>
              <w:left w:val="single" w:sz="4" w:space="0" w:color="auto"/>
              <w:bottom w:val="single" w:sz="4" w:space="0" w:color="auto"/>
              <w:right w:val="single" w:sz="4" w:space="0" w:color="auto"/>
            </w:tcBorders>
            <w:shd w:val="clear" w:color="000000" w:fill="DCE6F1"/>
            <w:noWrap/>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cs="Arial"/>
                <w:b/>
                <w:bCs/>
                <w:color w:val="000000"/>
                <w:sz w:val="16"/>
                <w:szCs w:val="16"/>
                <w:lang w:val="fr-FR"/>
              </w:rPr>
              <w:t>2016</w:t>
            </w:r>
          </w:p>
        </w:tc>
        <w:tc>
          <w:tcPr>
            <w:tcW w:w="975" w:type="pct"/>
            <w:gridSpan w:val="3"/>
            <w:tcBorders>
              <w:top w:val="single" w:sz="12" w:space="0" w:color="auto"/>
              <w:left w:val="single" w:sz="4" w:space="0" w:color="auto"/>
              <w:bottom w:val="single" w:sz="4" w:space="0" w:color="auto"/>
              <w:right w:val="single" w:sz="4" w:space="0" w:color="auto"/>
            </w:tcBorders>
            <w:shd w:val="clear" w:color="000000" w:fill="DCE6F1"/>
            <w:noWrap/>
            <w:hideMark/>
          </w:tcPr>
          <w:p w:rsidR="00094D4B" w:rsidRPr="0095576E" w:rsidRDefault="00094D4B" w:rsidP="00094D4B">
            <w:pPr>
              <w:widowControl/>
              <w:autoSpaceDE/>
              <w:autoSpaceDN/>
              <w:adjustRightInd/>
              <w:jc w:val="center"/>
              <w:rPr>
                <w:rFonts w:cs="Arial"/>
                <w:b/>
                <w:bCs/>
                <w:color w:val="000000"/>
                <w:sz w:val="16"/>
                <w:szCs w:val="16"/>
                <w:lang w:val="fr-FR"/>
              </w:rPr>
            </w:pPr>
            <w:r w:rsidRPr="0095576E">
              <w:rPr>
                <w:rFonts w:cs="Arial"/>
                <w:b/>
                <w:bCs/>
                <w:color w:val="000000"/>
                <w:sz w:val="16"/>
                <w:szCs w:val="16"/>
                <w:lang w:val="fr-FR"/>
              </w:rPr>
              <w:t>2017</w:t>
            </w:r>
          </w:p>
        </w:tc>
        <w:tc>
          <w:tcPr>
            <w:tcW w:w="807" w:type="pct"/>
            <w:gridSpan w:val="2"/>
            <w:tcBorders>
              <w:top w:val="single" w:sz="12" w:space="0" w:color="auto"/>
              <w:left w:val="single" w:sz="4" w:space="0" w:color="auto"/>
              <w:bottom w:val="single" w:sz="4" w:space="0" w:color="auto"/>
            </w:tcBorders>
            <w:shd w:val="clear" w:color="000000" w:fill="DCE6F1"/>
            <w:noWrap/>
            <w:hideMark/>
          </w:tcPr>
          <w:p w:rsidR="00094D4B" w:rsidRPr="0095576E" w:rsidRDefault="0095576E" w:rsidP="00094D4B">
            <w:pPr>
              <w:widowControl/>
              <w:autoSpaceDE/>
              <w:autoSpaceDN/>
              <w:adjustRightInd/>
              <w:jc w:val="center"/>
              <w:rPr>
                <w:rFonts w:cs="Arial"/>
                <w:b/>
                <w:bCs/>
                <w:color w:val="000000"/>
                <w:sz w:val="16"/>
                <w:szCs w:val="16"/>
                <w:lang w:val="fr-FR"/>
              </w:rPr>
            </w:pPr>
            <w:r w:rsidRPr="0095576E">
              <w:rPr>
                <w:rFonts w:eastAsia="Arial" w:cs="Arial"/>
                <w:b/>
                <w:bCs/>
                <w:color w:val="000000"/>
                <w:sz w:val="16"/>
                <w:szCs w:val="16"/>
                <w:bdr w:val="nil"/>
                <w:lang w:val="fr-FR"/>
              </w:rPr>
              <w:t>TOTAL 2015-</w:t>
            </w:r>
            <w:r w:rsidR="00094D4B" w:rsidRPr="0095576E">
              <w:rPr>
                <w:rFonts w:eastAsia="Arial" w:cs="Arial"/>
                <w:b/>
                <w:bCs/>
                <w:color w:val="000000"/>
                <w:sz w:val="16"/>
                <w:szCs w:val="16"/>
                <w:bdr w:val="nil"/>
                <w:lang w:val="fr-FR"/>
              </w:rPr>
              <w:t>2017</w:t>
            </w:r>
          </w:p>
        </w:tc>
      </w:tr>
      <w:tr w:rsidR="00A75C62" w:rsidRPr="004D469F" w:rsidTr="004D469F">
        <w:trPr>
          <w:trHeight w:val="225"/>
          <w:tblHeader/>
        </w:trPr>
        <w:tc>
          <w:tcPr>
            <w:tcW w:w="142" w:type="pct"/>
            <w:tcBorders>
              <w:top w:val="nil"/>
              <w:bottom w:val="nil"/>
            </w:tcBorders>
            <w:shd w:val="clear" w:color="000000" w:fill="DCE6F1"/>
            <w:noWrap/>
            <w:hideMark/>
          </w:tcPr>
          <w:p w:rsidR="00094D4B" w:rsidRPr="0095576E" w:rsidRDefault="00094D4B" w:rsidP="00094D4B">
            <w:pPr>
              <w:widowControl/>
              <w:autoSpaceDE/>
              <w:autoSpaceDN/>
              <w:adjustRightInd/>
              <w:jc w:val="center"/>
              <w:rPr>
                <w:rFonts w:cs="Arial"/>
                <w:b/>
                <w:bCs/>
                <w:i/>
                <w:iCs/>
                <w:color w:val="000000"/>
                <w:sz w:val="16"/>
                <w:szCs w:val="16"/>
                <w:lang w:val="fr-FR"/>
              </w:rPr>
            </w:pPr>
            <w:r w:rsidRPr="0095576E">
              <w:rPr>
                <w:rFonts w:cs="Arial"/>
                <w:b/>
                <w:bCs/>
                <w:i/>
                <w:iCs/>
                <w:color w:val="000000"/>
                <w:sz w:val="16"/>
                <w:szCs w:val="16"/>
                <w:lang w:val="fr-FR"/>
              </w:rPr>
              <w:t> </w:t>
            </w:r>
          </w:p>
        </w:tc>
        <w:tc>
          <w:tcPr>
            <w:tcW w:w="137" w:type="pct"/>
            <w:tcBorders>
              <w:top w:val="nil"/>
              <w:bottom w:val="nil"/>
            </w:tcBorders>
            <w:shd w:val="clear" w:color="000000" w:fill="DCE6F1"/>
            <w:noWrap/>
            <w:hideMark/>
          </w:tcPr>
          <w:p w:rsidR="00094D4B" w:rsidRPr="0095576E" w:rsidRDefault="00094D4B" w:rsidP="00094D4B">
            <w:pPr>
              <w:widowControl/>
              <w:autoSpaceDE/>
              <w:autoSpaceDN/>
              <w:adjustRightInd/>
              <w:jc w:val="center"/>
              <w:rPr>
                <w:rFonts w:cs="Arial"/>
                <w:b/>
                <w:bCs/>
                <w:iCs/>
                <w:color w:val="000000"/>
                <w:sz w:val="16"/>
                <w:szCs w:val="16"/>
                <w:lang w:val="fr-FR"/>
              </w:rPr>
            </w:pPr>
            <w:r w:rsidRPr="0095576E">
              <w:rPr>
                <w:rFonts w:eastAsia="Arial" w:cs="Arial"/>
                <w:b/>
                <w:bCs/>
                <w:iCs/>
                <w:color w:val="000000"/>
                <w:sz w:val="16"/>
                <w:szCs w:val="16"/>
                <w:bdr w:val="nil"/>
                <w:lang w:val="fr-FR"/>
              </w:rPr>
              <w:t>N°</w:t>
            </w:r>
          </w:p>
        </w:tc>
        <w:tc>
          <w:tcPr>
            <w:tcW w:w="1325" w:type="pct"/>
            <w:tcBorders>
              <w:top w:val="nil"/>
              <w:bottom w:val="nil"/>
              <w:right w:val="single" w:sz="4" w:space="0" w:color="auto"/>
            </w:tcBorders>
            <w:shd w:val="clear" w:color="000000" w:fill="DCE6F1"/>
            <w:noWrap/>
            <w:hideMark/>
          </w:tcPr>
          <w:p w:rsidR="00094D4B" w:rsidRPr="0095576E" w:rsidRDefault="00094D4B" w:rsidP="00094D4B">
            <w:pPr>
              <w:widowControl/>
              <w:autoSpaceDE/>
              <w:autoSpaceDN/>
              <w:adjustRightInd/>
              <w:rPr>
                <w:rFonts w:cs="Arial"/>
                <w:b/>
                <w:bCs/>
                <w:iCs/>
                <w:color w:val="000000"/>
                <w:sz w:val="16"/>
                <w:szCs w:val="16"/>
                <w:lang w:val="fr-FR"/>
              </w:rPr>
            </w:pPr>
            <w:r w:rsidRPr="0095576E">
              <w:rPr>
                <w:rFonts w:eastAsia="Arial" w:cs="Arial"/>
                <w:b/>
                <w:bCs/>
                <w:iCs/>
                <w:color w:val="000000"/>
                <w:sz w:val="16"/>
                <w:szCs w:val="16"/>
                <w:bdr w:val="nil"/>
                <w:lang w:val="fr-FR"/>
              </w:rPr>
              <w:t>Poste budgétaire </w:t>
            </w:r>
          </w:p>
        </w:tc>
        <w:tc>
          <w:tcPr>
            <w:tcW w:w="314" w:type="pct"/>
            <w:tcBorders>
              <w:top w:val="single" w:sz="4" w:space="0" w:color="auto"/>
              <w:left w:val="single" w:sz="4" w:space="0" w:color="auto"/>
              <w:bottom w:val="nil"/>
            </w:tcBorders>
            <w:shd w:val="clear" w:color="000000" w:fill="DCE6F1"/>
            <w:hideMark/>
          </w:tcPr>
          <w:p w:rsidR="00094D4B" w:rsidRPr="0095576E" w:rsidRDefault="00094D4B" w:rsidP="00094D4B">
            <w:pPr>
              <w:widowControl/>
              <w:autoSpaceDE/>
              <w:autoSpaceDN/>
              <w:adjustRightInd/>
              <w:jc w:val="center"/>
              <w:rPr>
                <w:rFonts w:cs="Arial"/>
                <w:b/>
                <w:bCs/>
                <w:sz w:val="16"/>
                <w:szCs w:val="16"/>
                <w:lang w:val="fr-FR"/>
              </w:rPr>
            </w:pPr>
            <w:r w:rsidRPr="0095576E">
              <w:rPr>
                <w:rFonts w:eastAsia="Arial" w:cs="Arial"/>
                <w:b/>
                <w:bCs/>
                <w:sz w:val="16"/>
                <w:szCs w:val="16"/>
                <w:bdr w:val="nil"/>
                <w:lang w:val="fr-FR"/>
              </w:rPr>
              <w:t>BUDGET</w:t>
            </w:r>
          </w:p>
        </w:tc>
        <w:tc>
          <w:tcPr>
            <w:tcW w:w="348" w:type="pct"/>
            <w:vMerge w:val="restart"/>
            <w:tcBorders>
              <w:top w:val="single" w:sz="4" w:space="0" w:color="auto"/>
              <w:bottom w:val="nil"/>
              <w:right w:val="single" w:sz="4" w:space="0" w:color="auto"/>
            </w:tcBorders>
            <w:shd w:val="clear" w:color="000000" w:fill="DCE6F1"/>
            <w:hideMark/>
          </w:tcPr>
          <w:p w:rsidR="00094D4B" w:rsidRPr="009F0C53" w:rsidRDefault="00094D4B" w:rsidP="009F0C53">
            <w:pPr>
              <w:widowControl/>
              <w:autoSpaceDE/>
              <w:autoSpaceDN/>
              <w:adjustRightInd/>
              <w:jc w:val="center"/>
              <w:rPr>
                <w:rFonts w:eastAsia="Arial" w:cs="Arial"/>
                <w:b/>
                <w:bCs/>
                <w:sz w:val="16"/>
                <w:szCs w:val="16"/>
                <w:bdr w:val="nil"/>
                <w:lang w:val="fr-FR"/>
              </w:rPr>
            </w:pPr>
            <w:r w:rsidRPr="009F0C53">
              <w:rPr>
                <w:rFonts w:eastAsia="Arial" w:cs="Arial"/>
                <w:b/>
                <w:bCs/>
                <w:sz w:val="16"/>
                <w:szCs w:val="16"/>
                <w:bdr w:val="nil"/>
                <w:lang w:val="fr-FR"/>
              </w:rPr>
              <w:t>DÉPENSES</w:t>
            </w:r>
            <w:r w:rsidRPr="009F0C53">
              <w:rPr>
                <w:rFonts w:eastAsia="Arial" w:cs="Arial"/>
                <w:b/>
                <w:bCs/>
                <w:sz w:val="14"/>
                <w:szCs w:val="14"/>
                <w:bdr w:val="nil"/>
                <w:vertAlign w:val="superscript"/>
                <w:lang w:val="fr-FR"/>
              </w:rPr>
              <w:t>3</w:t>
            </w:r>
          </w:p>
        </w:tc>
        <w:tc>
          <w:tcPr>
            <w:tcW w:w="594" w:type="pct"/>
            <w:gridSpan w:val="2"/>
            <w:tcBorders>
              <w:top w:val="single" w:sz="4" w:space="0" w:color="auto"/>
              <w:left w:val="single" w:sz="4" w:space="0" w:color="auto"/>
              <w:bottom w:val="nil"/>
            </w:tcBorders>
            <w:shd w:val="clear" w:color="000000" w:fill="DCE6F1"/>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BUDGET</w:t>
            </w:r>
          </w:p>
        </w:tc>
        <w:tc>
          <w:tcPr>
            <w:tcW w:w="358" w:type="pct"/>
            <w:vMerge w:val="restart"/>
            <w:tcBorders>
              <w:top w:val="single" w:sz="4" w:space="0" w:color="auto"/>
              <w:bottom w:val="nil"/>
              <w:right w:val="single" w:sz="4" w:space="0" w:color="auto"/>
            </w:tcBorders>
            <w:shd w:val="clear" w:color="000000" w:fill="DCE6F1"/>
            <w:hideMark/>
          </w:tcPr>
          <w:p w:rsidR="00094D4B" w:rsidRPr="009F0C53" w:rsidRDefault="00094D4B" w:rsidP="009F0C53">
            <w:pPr>
              <w:widowControl/>
              <w:autoSpaceDE/>
              <w:autoSpaceDN/>
              <w:adjustRightInd/>
              <w:jc w:val="center"/>
              <w:rPr>
                <w:rFonts w:eastAsia="Arial" w:cs="Arial"/>
                <w:b/>
                <w:bCs/>
                <w:color w:val="000000"/>
                <w:sz w:val="16"/>
                <w:szCs w:val="16"/>
                <w:bdr w:val="nil"/>
                <w:lang w:val="fr-FR"/>
              </w:rPr>
            </w:pPr>
            <w:r w:rsidRPr="0095576E">
              <w:rPr>
                <w:rFonts w:eastAsia="Arial" w:cs="Arial"/>
                <w:b/>
                <w:bCs/>
                <w:color w:val="000000"/>
                <w:sz w:val="16"/>
                <w:szCs w:val="16"/>
                <w:bdr w:val="nil"/>
                <w:lang w:val="fr-FR"/>
              </w:rPr>
              <w:t>DÉPENSES</w:t>
            </w:r>
            <w:r w:rsidRPr="0095576E">
              <w:rPr>
                <w:rFonts w:eastAsia="Arial" w:cs="Arial"/>
                <w:b/>
                <w:bCs/>
                <w:color w:val="000000"/>
                <w:sz w:val="16"/>
                <w:szCs w:val="16"/>
                <w:bdr w:val="nil"/>
                <w:vertAlign w:val="superscript"/>
                <w:lang w:val="fr-FR"/>
              </w:rPr>
              <w:t>3</w:t>
            </w:r>
          </w:p>
        </w:tc>
        <w:tc>
          <w:tcPr>
            <w:tcW w:w="592" w:type="pct"/>
            <w:gridSpan w:val="2"/>
            <w:tcBorders>
              <w:top w:val="single" w:sz="4" w:space="0" w:color="auto"/>
              <w:left w:val="single" w:sz="4" w:space="0" w:color="auto"/>
              <w:bottom w:val="nil"/>
            </w:tcBorders>
            <w:shd w:val="clear" w:color="000000" w:fill="DCE6F1"/>
            <w:noWrap/>
            <w:hideMark/>
          </w:tcPr>
          <w:p w:rsidR="00094D4B" w:rsidRPr="0095576E" w:rsidRDefault="00094D4B" w:rsidP="00094D4B">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BUDGET</w:t>
            </w:r>
          </w:p>
        </w:tc>
        <w:tc>
          <w:tcPr>
            <w:tcW w:w="383" w:type="pct"/>
            <w:vMerge w:val="restart"/>
            <w:tcBorders>
              <w:top w:val="single" w:sz="4" w:space="0" w:color="auto"/>
              <w:bottom w:val="nil"/>
              <w:right w:val="single" w:sz="4" w:space="0" w:color="auto"/>
            </w:tcBorders>
            <w:shd w:val="clear" w:color="000000" w:fill="DCE6F1"/>
            <w:hideMark/>
          </w:tcPr>
          <w:p w:rsidR="00094D4B" w:rsidRPr="009F0C53" w:rsidRDefault="00094D4B" w:rsidP="009F0C53">
            <w:pPr>
              <w:widowControl/>
              <w:autoSpaceDE/>
              <w:autoSpaceDN/>
              <w:adjustRightInd/>
              <w:jc w:val="center"/>
              <w:rPr>
                <w:rFonts w:eastAsia="Arial" w:cs="Arial"/>
                <w:b/>
                <w:bCs/>
                <w:color w:val="000000"/>
                <w:sz w:val="16"/>
                <w:szCs w:val="16"/>
                <w:bdr w:val="nil"/>
                <w:lang w:val="fr-FR"/>
              </w:rPr>
            </w:pPr>
            <w:r w:rsidRPr="0095576E">
              <w:rPr>
                <w:rFonts w:eastAsia="Arial" w:cs="Arial"/>
                <w:b/>
                <w:bCs/>
                <w:color w:val="000000"/>
                <w:sz w:val="16"/>
                <w:szCs w:val="16"/>
                <w:bdr w:val="nil"/>
                <w:lang w:val="fr-FR"/>
              </w:rPr>
              <w:t>DÉPENSES</w:t>
            </w:r>
            <w:r w:rsidR="0095576E" w:rsidRPr="0095576E">
              <w:rPr>
                <w:rFonts w:eastAsia="Arial" w:cs="Arial"/>
                <w:b/>
                <w:bCs/>
                <w:color w:val="000000"/>
                <w:sz w:val="16"/>
                <w:szCs w:val="16"/>
                <w:bdr w:val="nil"/>
                <w:lang w:val="fr-FR"/>
              </w:rPr>
              <w:t xml:space="preserve"> ESTIMÉES</w:t>
            </w:r>
            <w:bookmarkStart w:id="0" w:name="_GoBack"/>
            <w:bookmarkEnd w:id="0"/>
            <w:r w:rsidRPr="0095576E">
              <w:rPr>
                <w:rFonts w:eastAsia="Arial" w:cs="Arial"/>
                <w:b/>
                <w:bCs/>
                <w:color w:val="000000"/>
                <w:sz w:val="16"/>
                <w:szCs w:val="16"/>
                <w:bdr w:val="nil"/>
                <w:vertAlign w:val="superscript"/>
                <w:lang w:val="fr-FR"/>
              </w:rPr>
              <w:t>3</w:t>
            </w:r>
          </w:p>
          <w:p w:rsidR="00094D4B" w:rsidRPr="0095576E" w:rsidRDefault="00094D4B" w:rsidP="004D469F">
            <w:pPr>
              <w:widowControl/>
              <w:autoSpaceDE/>
              <w:autoSpaceDN/>
              <w:adjustRightInd/>
              <w:jc w:val="center"/>
              <w:rPr>
                <w:rFonts w:cs="Arial"/>
                <w:b/>
                <w:bCs/>
                <w:color w:val="000000" w:themeColor="text1"/>
                <w:sz w:val="16"/>
                <w:szCs w:val="16"/>
                <w:lang w:val="fr-FR"/>
              </w:rPr>
            </w:pPr>
            <w:r w:rsidRPr="0095576E">
              <w:rPr>
                <w:rFonts w:eastAsia="Arial" w:cs="Arial"/>
                <w:b/>
                <w:bCs/>
                <w:color w:val="000000"/>
                <w:sz w:val="16"/>
                <w:szCs w:val="16"/>
                <w:bdr w:val="nil"/>
                <w:lang w:val="fr-FR"/>
              </w:rPr>
              <w:t>(</w:t>
            </w:r>
            <w:proofErr w:type="gramStart"/>
            <w:r w:rsidR="004D469F">
              <w:rPr>
                <w:rFonts w:eastAsia="Arial" w:cs="Arial"/>
                <w:b/>
                <w:bCs/>
                <w:color w:val="000000"/>
                <w:sz w:val="16"/>
                <w:szCs w:val="16"/>
                <w:bdr w:val="nil"/>
                <w:lang w:val="fr-FR"/>
              </w:rPr>
              <w:t>j</w:t>
            </w:r>
            <w:r w:rsidRPr="0095576E">
              <w:rPr>
                <w:rFonts w:eastAsia="Arial" w:cs="Arial"/>
                <w:b/>
                <w:bCs/>
                <w:color w:val="000000"/>
                <w:sz w:val="16"/>
                <w:szCs w:val="16"/>
                <w:bdr w:val="nil"/>
                <w:lang w:val="fr-FR"/>
              </w:rPr>
              <w:t>an</w:t>
            </w:r>
            <w:proofErr w:type="gramEnd"/>
            <w:r w:rsidRPr="0095576E">
              <w:rPr>
                <w:rFonts w:eastAsia="Arial" w:cs="Arial"/>
                <w:b/>
                <w:bCs/>
                <w:color w:val="000000"/>
                <w:sz w:val="16"/>
                <w:szCs w:val="16"/>
                <w:bdr w:val="nil"/>
                <w:lang w:val="fr-FR"/>
              </w:rPr>
              <w:t>-</w:t>
            </w:r>
            <w:proofErr w:type="spellStart"/>
            <w:r w:rsidRPr="0095576E">
              <w:rPr>
                <w:rFonts w:eastAsia="Arial" w:cs="Arial"/>
                <w:b/>
                <w:bCs/>
                <w:color w:val="000000"/>
                <w:sz w:val="16"/>
                <w:szCs w:val="16"/>
                <w:bdr w:val="nil"/>
                <w:lang w:val="fr-FR"/>
              </w:rPr>
              <w:t>déc</w:t>
            </w:r>
            <w:proofErr w:type="spellEnd"/>
            <w:r w:rsidRPr="0095576E">
              <w:rPr>
                <w:rFonts w:eastAsia="Arial" w:cs="Arial"/>
                <w:b/>
                <w:bCs/>
                <w:i/>
                <w:iCs/>
                <w:color w:val="000000"/>
                <w:sz w:val="16"/>
                <w:szCs w:val="16"/>
                <w:bdr w:val="nil"/>
                <w:lang w:val="fr-FR"/>
              </w:rPr>
              <w:t>)</w:t>
            </w:r>
          </w:p>
        </w:tc>
        <w:tc>
          <w:tcPr>
            <w:tcW w:w="314" w:type="pct"/>
            <w:vMerge w:val="restart"/>
            <w:tcBorders>
              <w:top w:val="single" w:sz="4" w:space="0" w:color="auto"/>
              <w:left w:val="single" w:sz="4" w:space="0" w:color="auto"/>
              <w:bottom w:val="nil"/>
            </w:tcBorders>
            <w:shd w:val="clear" w:color="000000" w:fill="DCE6F1"/>
            <w:hideMark/>
          </w:tcPr>
          <w:p w:rsidR="00094D4B" w:rsidRPr="0095576E" w:rsidRDefault="00094D4B" w:rsidP="00094D4B">
            <w:pPr>
              <w:widowControl/>
              <w:autoSpaceDE/>
              <w:autoSpaceDN/>
              <w:adjustRightInd/>
              <w:jc w:val="center"/>
              <w:rPr>
                <w:rFonts w:cs="Arial"/>
                <w:b/>
                <w:bCs/>
                <w:sz w:val="16"/>
                <w:szCs w:val="16"/>
                <w:lang w:val="fr-FR"/>
              </w:rPr>
            </w:pPr>
            <w:r w:rsidRPr="0095576E">
              <w:rPr>
                <w:rFonts w:eastAsia="Arial" w:cs="Arial"/>
                <w:b/>
                <w:bCs/>
                <w:sz w:val="16"/>
                <w:szCs w:val="16"/>
                <w:bdr w:val="nil"/>
                <w:lang w:val="fr-FR"/>
              </w:rPr>
              <w:t>BUDGET</w:t>
            </w:r>
          </w:p>
        </w:tc>
        <w:tc>
          <w:tcPr>
            <w:tcW w:w="493" w:type="pct"/>
            <w:vMerge w:val="restart"/>
            <w:tcBorders>
              <w:top w:val="single" w:sz="4" w:space="0" w:color="auto"/>
              <w:bottom w:val="nil"/>
            </w:tcBorders>
            <w:shd w:val="clear" w:color="000000" w:fill="DCE6F1"/>
            <w:hideMark/>
          </w:tcPr>
          <w:p w:rsidR="00094D4B" w:rsidRPr="0095576E" w:rsidRDefault="00094D4B" w:rsidP="00094D4B">
            <w:pPr>
              <w:widowControl/>
              <w:autoSpaceDE/>
              <w:autoSpaceDN/>
              <w:adjustRightInd/>
              <w:jc w:val="center"/>
              <w:rPr>
                <w:rFonts w:cs="Arial"/>
                <w:b/>
                <w:bCs/>
                <w:sz w:val="16"/>
                <w:szCs w:val="16"/>
                <w:lang w:val="fr-FR"/>
              </w:rPr>
            </w:pPr>
            <w:r w:rsidRPr="0095576E">
              <w:rPr>
                <w:rFonts w:eastAsia="Arial" w:cs="Arial"/>
                <w:b/>
                <w:bCs/>
                <w:sz w:val="16"/>
                <w:szCs w:val="16"/>
                <w:bdr w:val="nil"/>
                <w:lang w:val="fr-FR"/>
              </w:rPr>
              <w:t>DÉPENSES ESTIMÉES</w:t>
            </w:r>
          </w:p>
        </w:tc>
      </w:tr>
      <w:tr w:rsidR="00A75C62" w:rsidRPr="009F0C53" w:rsidTr="004D469F">
        <w:trPr>
          <w:trHeight w:val="317"/>
          <w:tblHeader/>
        </w:trPr>
        <w:tc>
          <w:tcPr>
            <w:tcW w:w="142" w:type="pct"/>
            <w:tcBorders>
              <w:top w:val="nil"/>
              <w:bottom w:val="single" w:sz="12" w:space="0" w:color="auto"/>
            </w:tcBorders>
            <w:shd w:val="clear" w:color="000000" w:fill="DCE6F1"/>
            <w:noWrap/>
            <w:hideMark/>
          </w:tcPr>
          <w:p w:rsidR="00094D4B" w:rsidRPr="0095576E" w:rsidRDefault="00094D4B" w:rsidP="00094D4B">
            <w:pPr>
              <w:widowControl/>
              <w:autoSpaceDE/>
              <w:autoSpaceDN/>
              <w:adjustRightInd/>
              <w:jc w:val="center"/>
              <w:rPr>
                <w:rFonts w:cs="Arial"/>
                <w:b/>
                <w:bCs/>
                <w:i/>
                <w:iCs/>
                <w:color w:val="000000"/>
                <w:sz w:val="16"/>
                <w:szCs w:val="16"/>
                <w:lang w:val="fr-FR"/>
              </w:rPr>
            </w:pPr>
            <w:r w:rsidRPr="0095576E">
              <w:rPr>
                <w:rFonts w:cs="Arial"/>
                <w:b/>
                <w:bCs/>
                <w:i/>
                <w:iCs/>
                <w:color w:val="000000"/>
                <w:sz w:val="16"/>
                <w:szCs w:val="16"/>
                <w:lang w:val="fr-FR"/>
              </w:rPr>
              <w:t> </w:t>
            </w:r>
          </w:p>
        </w:tc>
        <w:tc>
          <w:tcPr>
            <w:tcW w:w="137" w:type="pct"/>
            <w:tcBorders>
              <w:top w:val="nil"/>
              <w:bottom w:val="single" w:sz="12" w:space="0" w:color="auto"/>
            </w:tcBorders>
            <w:shd w:val="clear" w:color="000000" w:fill="DCE6F1"/>
            <w:noWrap/>
            <w:hideMark/>
          </w:tcPr>
          <w:p w:rsidR="00094D4B" w:rsidRPr="0095576E" w:rsidRDefault="00094D4B" w:rsidP="00094D4B">
            <w:pPr>
              <w:widowControl/>
              <w:autoSpaceDE/>
              <w:autoSpaceDN/>
              <w:adjustRightInd/>
              <w:jc w:val="center"/>
              <w:rPr>
                <w:rFonts w:cs="Arial"/>
                <w:b/>
                <w:bCs/>
                <w:i/>
                <w:iCs/>
                <w:color w:val="000000"/>
                <w:sz w:val="16"/>
                <w:szCs w:val="16"/>
                <w:lang w:val="fr-FR"/>
              </w:rPr>
            </w:pPr>
            <w:r w:rsidRPr="0095576E">
              <w:rPr>
                <w:rFonts w:cs="Arial"/>
                <w:b/>
                <w:bCs/>
                <w:i/>
                <w:iCs/>
                <w:color w:val="000000"/>
                <w:sz w:val="16"/>
                <w:szCs w:val="16"/>
                <w:lang w:val="fr-FR"/>
              </w:rPr>
              <w:t> </w:t>
            </w:r>
          </w:p>
        </w:tc>
        <w:tc>
          <w:tcPr>
            <w:tcW w:w="1325" w:type="pct"/>
            <w:tcBorders>
              <w:top w:val="nil"/>
              <w:bottom w:val="single" w:sz="12" w:space="0" w:color="auto"/>
              <w:right w:val="single" w:sz="4" w:space="0" w:color="auto"/>
            </w:tcBorders>
            <w:shd w:val="clear" w:color="000000" w:fill="DCE6F1"/>
            <w:noWrap/>
            <w:hideMark/>
          </w:tcPr>
          <w:p w:rsidR="00094D4B" w:rsidRPr="0095576E" w:rsidRDefault="00094D4B" w:rsidP="00094D4B">
            <w:pPr>
              <w:widowControl/>
              <w:autoSpaceDE/>
              <w:autoSpaceDN/>
              <w:adjustRightInd/>
              <w:jc w:val="center"/>
              <w:rPr>
                <w:rFonts w:cs="Arial"/>
                <w:b/>
                <w:bCs/>
                <w:i/>
                <w:iCs/>
                <w:color w:val="000000"/>
                <w:sz w:val="16"/>
                <w:szCs w:val="16"/>
                <w:lang w:val="fr-FR"/>
              </w:rPr>
            </w:pPr>
          </w:p>
        </w:tc>
        <w:tc>
          <w:tcPr>
            <w:tcW w:w="314" w:type="pct"/>
            <w:tcBorders>
              <w:top w:val="nil"/>
              <w:left w:val="single" w:sz="4" w:space="0" w:color="auto"/>
              <w:bottom w:val="single" w:sz="12" w:space="0" w:color="auto"/>
            </w:tcBorders>
            <w:shd w:val="clear" w:color="000000" w:fill="DCE6F1"/>
            <w:hideMark/>
          </w:tcPr>
          <w:p w:rsidR="00094D4B" w:rsidRPr="0095576E" w:rsidRDefault="00094D4B" w:rsidP="00094D4B">
            <w:pPr>
              <w:widowControl/>
              <w:autoSpaceDE/>
              <w:autoSpaceDN/>
              <w:adjustRightInd/>
              <w:jc w:val="center"/>
              <w:rPr>
                <w:rFonts w:cs="Arial"/>
                <w:b/>
                <w:bCs/>
                <w:sz w:val="16"/>
                <w:szCs w:val="16"/>
                <w:lang w:val="fr-FR"/>
              </w:rPr>
            </w:pPr>
            <w:r w:rsidRPr="0095576E">
              <w:rPr>
                <w:rFonts w:cs="Arial"/>
                <w:b/>
                <w:bCs/>
                <w:sz w:val="16"/>
                <w:szCs w:val="16"/>
                <w:lang w:val="fr-FR"/>
              </w:rPr>
              <w:t> </w:t>
            </w:r>
          </w:p>
        </w:tc>
        <w:tc>
          <w:tcPr>
            <w:tcW w:w="348" w:type="pct"/>
            <w:vMerge/>
            <w:tcBorders>
              <w:top w:val="nil"/>
              <w:bottom w:val="single" w:sz="12" w:space="0" w:color="auto"/>
              <w:right w:val="single" w:sz="4" w:space="0" w:color="auto"/>
            </w:tcBorders>
            <w:vAlign w:val="center"/>
            <w:hideMark/>
          </w:tcPr>
          <w:p w:rsidR="00094D4B" w:rsidRPr="0095576E" w:rsidRDefault="00094D4B" w:rsidP="00094D4B">
            <w:pPr>
              <w:widowControl/>
              <w:autoSpaceDE/>
              <w:autoSpaceDN/>
              <w:adjustRightInd/>
              <w:rPr>
                <w:rFonts w:cs="Arial"/>
                <w:b/>
                <w:bCs/>
                <w:sz w:val="16"/>
                <w:szCs w:val="16"/>
                <w:lang w:val="fr-FR"/>
              </w:rPr>
            </w:pPr>
          </w:p>
        </w:tc>
        <w:tc>
          <w:tcPr>
            <w:tcW w:w="325" w:type="pct"/>
            <w:tcBorders>
              <w:top w:val="nil"/>
              <w:left w:val="single" w:sz="4" w:space="0" w:color="auto"/>
              <w:bottom w:val="single" w:sz="12" w:space="0" w:color="auto"/>
            </w:tcBorders>
            <w:shd w:val="clear" w:color="000000" w:fill="DCE6F1"/>
            <w:hideMark/>
          </w:tcPr>
          <w:p w:rsidR="00094D4B" w:rsidRPr="0095576E" w:rsidRDefault="00094D4B" w:rsidP="00094D4B">
            <w:pPr>
              <w:widowControl/>
              <w:autoSpaceDE/>
              <w:autoSpaceDN/>
              <w:adjustRightInd/>
              <w:jc w:val="center"/>
              <w:rPr>
                <w:rFonts w:cs="Arial"/>
                <w:b/>
                <w:bCs/>
                <w:iCs/>
                <w:color w:val="000000" w:themeColor="text1"/>
                <w:sz w:val="16"/>
                <w:szCs w:val="16"/>
                <w:lang w:val="fr-FR"/>
              </w:rPr>
            </w:pPr>
            <w:r w:rsidRPr="0095576E">
              <w:rPr>
                <w:rFonts w:eastAsia="Arial" w:cs="Arial"/>
                <w:b/>
                <w:bCs/>
                <w:iCs/>
                <w:color w:val="000000"/>
                <w:sz w:val="16"/>
                <w:szCs w:val="16"/>
                <w:bdr w:val="nil"/>
                <w:lang w:val="fr-FR"/>
              </w:rPr>
              <w:t>Approuvé par la COP11</w:t>
            </w:r>
          </w:p>
        </w:tc>
        <w:tc>
          <w:tcPr>
            <w:tcW w:w="268" w:type="pct"/>
            <w:tcBorders>
              <w:top w:val="nil"/>
              <w:bottom w:val="single" w:sz="12" w:space="0" w:color="auto"/>
            </w:tcBorders>
            <w:shd w:val="clear" w:color="000000" w:fill="DCE6F1"/>
            <w:hideMark/>
          </w:tcPr>
          <w:p w:rsidR="00094D4B" w:rsidRPr="0095576E" w:rsidRDefault="00094D4B" w:rsidP="00094D4B">
            <w:pPr>
              <w:widowControl/>
              <w:autoSpaceDE/>
              <w:autoSpaceDN/>
              <w:adjustRightInd/>
              <w:jc w:val="center"/>
              <w:rPr>
                <w:rFonts w:cs="Arial"/>
                <w:b/>
                <w:bCs/>
                <w:iCs/>
                <w:color w:val="000000" w:themeColor="text1"/>
                <w:sz w:val="16"/>
                <w:szCs w:val="16"/>
                <w:lang w:val="fr-FR"/>
              </w:rPr>
            </w:pPr>
            <w:r w:rsidRPr="0095576E">
              <w:rPr>
                <w:rFonts w:eastAsia="Arial" w:cs="Arial"/>
                <w:b/>
                <w:bCs/>
                <w:iCs/>
                <w:color w:val="000000"/>
                <w:sz w:val="16"/>
                <w:szCs w:val="16"/>
                <w:bdr w:val="nil"/>
                <w:lang w:val="fr-FR"/>
              </w:rPr>
              <w:t>De la réserve du Fonds</w:t>
            </w:r>
          </w:p>
        </w:tc>
        <w:tc>
          <w:tcPr>
            <w:tcW w:w="358" w:type="pct"/>
            <w:vMerge/>
            <w:tcBorders>
              <w:top w:val="nil"/>
              <w:bottom w:val="single" w:sz="12" w:space="0" w:color="auto"/>
              <w:right w:val="single" w:sz="4" w:space="0" w:color="auto"/>
            </w:tcBorders>
            <w:vAlign w:val="center"/>
            <w:hideMark/>
          </w:tcPr>
          <w:p w:rsidR="00094D4B" w:rsidRPr="0095576E" w:rsidRDefault="00094D4B" w:rsidP="00094D4B">
            <w:pPr>
              <w:widowControl/>
              <w:autoSpaceDE/>
              <w:autoSpaceDN/>
              <w:adjustRightInd/>
              <w:rPr>
                <w:rFonts w:cs="Arial"/>
                <w:b/>
                <w:bCs/>
                <w:color w:val="000000" w:themeColor="text1"/>
                <w:sz w:val="16"/>
                <w:szCs w:val="16"/>
                <w:lang w:val="fr-FR"/>
              </w:rPr>
            </w:pPr>
          </w:p>
        </w:tc>
        <w:tc>
          <w:tcPr>
            <w:tcW w:w="326" w:type="pct"/>
            <w:tcBorders>
              <w:top w:val="nil"/>
              <w:left w:val="single" w:sz="4" w:space="0" w:color="auto"/>
              <w:bottom w:val="single" w:sz="12" w:space="0" w:color="auto"/>
            </w:tcBorders>
            <w:shd w:val="clear" w:color="000000" w:fill="DCE6F1"/>
            <w:hideMark/>
          </w:tcPr>
          <w:p w:rsidR="00094D4B" w:rsidRPr="0095576E" w:rsidRDefault="00094D4B" w:rsidP="00094D4B">
            <w:pPr>
              <w:widowControl/>
              <w:autoSpaceDE/>
              <w:autoSpaceDN/>
              <w:adjustRightInd/>
              <w:jc w:val="center"/>
              <w:rPr>
                <w:rFonts w:cs="Arial"/>
                <w:b/>
                <w:bCs/>
                <w:iCs/>
                <w:color w:val="000000" w:themeColor="text1"/>
                <w:sz w:val="16"/>
                <w:szCs w:val="16"/>
                <w:lang w:val="fr-FR"/>
              </w:rPr>
            </w:pPr>
            <w:r w:rsidRPr="0095576E">
              <w:rPr>
                <w:rFonts w:eastAsia="Arial" w:cs="Arial"/>
                <w:b/>
                <w:bCs/>
                <w:iCs/>
                <w:color w:val="000000"/>
                <w:sz w:val="16"/>
                <w:szCs w:val="16"/>
                <w:bdr w:val="nil"/>
                <w:lang w:val="fr-FR"/>
              </w:rPr>
              <w:t>Approuvé par la COP11</w:t>
            </w:r>
          </w:p>
        </w:tc>
        <w:tc>
          <w:tcPr>
            <w:tcW w:w="265" w:type="pct"/>
            <w:tcBorders>
              <w:top w:val="nil"/>
              <w:bottom w:val="single" w:sz="12" w:space="0" w:color="auto"/>
            </w:tcBorders>
            <w:shd w:val="clear" w:color="000000" w:fill="DCE6F1"/>
            <w:hideMark/>
          </w:tcPr>
          <w:p w:rsidR="00094D4B" w:rsidRPr="0095576E" w:rsidRDefault="00094D4B" w:rsidP="00094D4B">
            <w:pPr>
              <w:widowControl/>
              <w:autoSpaceDE/>
              <w:autoSpaceDN/>
              <w:adjustRightInd/>
              <w:jc w:val="center"/>
              <w:rPr>
                <w:rFonts w:cs="Arial"/>
                <w:b/>
                <w:bCs/>
                <w:iCs/>
                <w:color w:val="000000" w:themeColor="text1"/>
                <w:sz w:val="16"/>
                <w:szCs w:val="16"/>
                <w:lang w:val="fr-FR"/>
              </w:rPr>
            </w:pPr>
            <w:r w:rsidRPr="0095576E">
              <w:rPr>
                <w:rFonts w:eastAsia="Arial" w:cs="Arial"/>
                <w:b/>
                <w:bCs/>
                <w:iCs/>
                <w:color w:val="000000"/>
                <w:sz w:val="16"/>
                <w:szCs w:val="16"/>
                <w:bdr w:val="nil"/>
                <w:lang w:val="fr-FR"/>
              </w:rPr>
              <w:t>De la réserve du Fonds</w:t>
            </w:r>
          </w:p>
        </w:tc>
        <w:tc>
          <w:tcPr>
            <w:tcW w:w="383" w:type="pct"/>
            <w:vMerge/>
            <w:tcBorders>
              <w:top w:val="nil"/>
              <w:bottom w:val="single" w:sz="12" w:space="0" w:color="auto"/>
              <w:right w:val="single" w:sz="4" w:space="0" w:color="auto"/>
            </w:tcBorders>
            <w:vAlign w:val="center"/>
            <w:hideMark/>
          </w:tcPr>
          <w:p w:rsidR="00094D4B" w:rsidRPr="0095576E" w:rsidRDefault="00094D4B" w:rsidP="00094D4B">
            <w:pPr>
              <w:widowControl/>
              <w:autoSpaceDE/>
              <w:autoSpaceDN/>
              <w:adjustRightInd/>
              <w:rPr>
                <w:rFonts w:cs="Arial"/>
                <w:b/>
                <w:bCs/>
                <w:color w:val="000000" w:themeColor="text1"/>
                <w:sz w:val="16"/>
                <w:szCs w:val="16"/>
                <w:lang w:val="fr-FR"/>
              </w:rPr>
            </w:pPr>
          </w:p>
        </w:tc>
        <w:tc>
          <w:tcPr>
            <w:tcW w:w="314" w:type="pct"/>
            <w:vMerge/>
            <w:tcBorders>
              <w:top w:val="nil"/>
              <w:left w:val="single" w:sz="4" w:space="0" w:color="auto"/>
              <w:bottom w:val="single" w:sz="12" w:space="0" w:color="auto"/>
            </w:tcBorders>
            <w:vAlign w:val="center"/>
            <w:hideMark/>
          </w:tcPr>
          <w:p w:rsidR="00094D4B" w:rsidRPr="0095576E" w:rsidRDefault="00094D4B" w:rsidP="00094D4B">
            <w:pPr>
              <w:widowControl/>
              <w:autoSpaceDE/>
              <w:autoSpaceDN/>
              <w:adjustRightInd/>
              <w:rPr>
                <w:rFonts w:cs="Arial"/>
                <w:b/>
                <w:bCs/>
                <w:sz w:val="16"/>
                <w:szCs w:val="16"/>
                <w:lang w:val="fr-FR"/>
              </w:rPr>
            </w:pPr>
          </w:p>
        </w:tc>
        <w:tc>
          <w:tcPr>
            <w:tcW w:w="493" w:type="pct"/>
            <w:vMerge/>
            <w:tcBorders>
              <w:top w:val="nil"/>
              <w:bottom w:val="single" w:sz="12" w:space="0" w:color="auto"/>
            </w:tcBorders>
            <w:vAlign w:val="center"/>
            <w:hideMark/>
          </w:tcPr>
          <w:p w:rsidR="00094D4B" w:rsidRPr="0095576E" w:rsidRDefault="00094D4B" w:rsidP="00094D4B">
            <w:pPr>
              <w:widowControl/>
              <w:autoSpaceDE/>
              <w:autoSpaceDN/>
              <w:adjustRightInd/>
              <w:rPr>
                <w:rFonts w:cs="Arial"/>
                <w:b/>
                <w:bCs/>
                <w:sz w:val="16"/>
                <w:szCs w:val="16"/>
                <w:lang w:val="fr-FR"/>
              </w:rPr>
            </w:pPr>
          </w:p>
        </w:tc>
      </w:tr>
      <w:tr w:rsidR="00A75C62" w:rsidRPr="0095576E" w:rsidTr="004D469F">
        <w:trPr>
          <w:trHeight w:val="225"/>
        </w:trPr>
        <w:tc>
          <w:tcPr>
            <w:tcW w:w="1604" w:type="pct"/>
            <w:gridSpan w:val="3"/>
            <w:tcBorders>
              <w:top w:val="single" w:sz="12"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Direction exécutive et administration</w:t>
            </w:r>
          </w:p>
        </w:tc>
        <w:tc>
          <w:tcPr>
            <w:tcW w:w="314" w:type="pct"/>
            <w:tcBorders>
              <w:top w:val="single" w:sz="12" w:space="0" w:color="auto"/>
              <w:lef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348" w:type="pct"/>
            <w:tcBorders>
              <w:top w:val="single" w:sz="12"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sz w:val="16"/>
                <w:szCs w:val="16"/>
                <w:lang w:val="fr-FR"/>
              </w:rPr>
            </w:pPr>
            <w:r w:rsidRPr="0095576E">
              <w:rPr>
                <w:rFonts w:cs="Arial"/>
                <w:sz w:val="16"/>
                <w:szCs w:val="16"/>
                <w:lang w:val="fr-FR"/>
              </w:rPr>
              <w:t> </w:t>
            </w:r>
          </w:p>
        </w:tc>
        <w:tc>
          <w:tcPr>
            <w:tcW w:w="325" w:type="pct"/>
            <w:tcBorders>
              <w:top w:val="single" w:sz="12" w:space="0" w:color="auto"/>
              <w:lef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268" w:type="pct"/>
            <w:tcBorders>
              <w:top w:val="single" w:sz="12"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358" w:type="pct"/>
            <w:tcBorders>
              <w:top w:val="single" w:sz="12"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sz w:val="16"/>
                <w:szCs w:val="16"/>
                <w:lang w:val="fr-FR"/>
              </w:rPr>
            </w:pPr>
            <w:r w:rsidRPr="0095576E">
              <w:rPr>
                <w:rFonts w:cs="Arial"/>
                <w:sz w:val="16"/>
                <w:szCs w:val="16"/>
                <w:lang w:val="fr-FR"/>
              </w:rPr>
              <w:t> </w:t>
            </w:r>
          </w:p>
        </w:tc>
        <w:tc>
          <w:tcPr>
            <w:tcW w:w="326" w:type="pct"/>
            <w:tcBorders>
              <w:top w:val="single" w:sz="12" w:space="0" w:color="auto"/>
              <w:lef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265" w:type="pct"/>
            <w:tcBorders>
              <w:top w:val="single" w:sz="12"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383" w:type="pct"/>
            <w:tcBorders>
              <w:top w:val="single" w:sz="12" w:space="0" w:color="auto"/>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top w:val="single" w:sz="12" w:space="0" w:color="auto"/>
              <w:lef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493" w:type="pct"/>
            <w:tcBorders>
              <w:top w:val="single" w:sz="12" w:space="0" w:color="auto"/>
              <w:bottom w:val="nil"/>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 exécutif</w:t>
            </w:r>
            <w:r w:rsidRPr="0095576E">
              <w:rPr>
                <w:rFonts w:eastAsia="Arial" w:cs="Arial"/>
                <w:color w:val="000000"/>
                <w:sz w:val="16"/>
                <w:szCs w:val="16"/>
                <w:bdr w:val="nil"/>
                <w:vertAlign w:val="superscript"/>
                <w:lang w:val="fr-FR"/>
              </w:rPr>
              <w:t>1</w:t>
            </w:r>
            <w:r w:rsidR="0095576E" w:rsidRPr="0095576E">
              <w:rPr>
                <w:rFonts w:eastAsia="Arial" w:cs="Arial"/>
                <w:color w:val="000000"/>
                <w:sz w:val="16"/>
                <w:szCs w:val="16"/>
                <w:bdr w:val="nil"/>
                <w:vertAlign w:val="superscript"/>
                <w:lang w:val="fr-FR"/>
              </w:rPr>
              <w:t xml:space="preserve"> </w:t>
            </w:r>
            <w:r w:rsidRPr="0095576E">
              <w:rPr>
                <w:rFonts w:eastAsia="Arial" w:cs="Arial"/>
                <w:color w:val="000000"/>
                <w:sz w:val="16"/>
                <w:szCs w:val="16"/>
                <w:bdr w:val="nil"/>
                <w:lang w:val="fr-FR"/>
              </w:rPr>
              <w:t>97 %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169 794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222 068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173 190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194 589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176 653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147 449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519 637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564 107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2</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 exécutif adjoint</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157 059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147 732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160 200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156 941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163 404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202 596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480 663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507 269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3</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Assistant personnel du Secrétaire exécutif</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82 775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68 815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84 430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69 838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86 119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72 102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253 324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210 755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4</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 du Secrétaire exécutif adjoint</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42 459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43 408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46 680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132 548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5</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Plan stratégique (Indicateurs, Guide d’accompagnement,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17 699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23 376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15 000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17 699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57 022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80 398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80 398 </w:t>
            </w:r>
          </w:p>
        </w:tc>
      </w:tr>
      <w:tr w:rsidR="00A75C62" w:rsidRPr="0095576E" w:rsidTr="004D469F">
        <w:trPr>
          <w:trHeight w:val="227"/>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6</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Analyse indépendante des synergies au sein de la Famille CMS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42 928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eastAsia="Arial" w:cs="Arial"/>
                <w:sz w:val="16"/>
                <w:szCs w:val="16"/>
                <w:bdr w:val="nil"/>
                <w:lang w:val="fr-FR"/>
              </w:rPr>
              <w:t>(21 722)</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13 050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50 000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34 257 </w:t>
            </w:r>
          </w:p>
        </w:tc>
      </w:tr>
      <w:tr w:rsidR="009F0C53" w:rsidRPr="0095576E" w:rsidTr="004D469F">
        <w:trPr>
          <w:trHeight w:val="254"/>
        </w:trPr>
        <w:tc>
          <w:tcPr>
            <w:tcW w:w="142"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506 783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524 002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465 618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17 699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466 430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474 630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17 699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538 900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1 482 429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1 529 333 </w:t>
            </w:r>
          </w:p>
        </w:tc>
      </w:tr>
      <w:tr w:rsidR="00A75C62" w:rsidRPr="009F0C53"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Soutien à la mise en œuvre</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
                <w:bCs/>
                <w:sz w:val="16"/>
                <w:szCs w:val="16"/>
                <w:lang w:val="fr-FR"/>
              </w:rPr>
              <w:t>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7</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Chef d’unité, Espèces aquatiques</w:t>
            </w:r>
            <w:r w:rsidRPr="0095576E">
              <w:rPr>
                <w:rFonts w:eastAsia="Arial" w:cs="Arial"/>
                <w:color w:val="000000"/>
                <w:sz w:val="16"/>
                <w:szCs w:val="16"/>
                <w:bdr w:val="nil"/>
                <w:vertAlign w:val="superscript"/>
                <w:lang w:val="fr-FR"/>
              </w:rPr>
              <w:t>1</w:t>
            </w:r>
            <w:r w:rsidR="004D469F">
              <w:rPr>
                <w:rFonts w:eastAsia="Arial" w:cs="Arial"/>
                <w:color w:val="000000"/>
                <w:sz w:val="16"/>
                <w:szCs w:val="16"/>
                <w:bdr w:val="nil"/>
                <w:lang w:val="fr-FR"/>
              </w:rPr>
              <w:t xml:space="preserve">, </w:t>
            </w:r>
            <w:r w:rsidRPr="0095576E">
              <w:rPr>
                <w:rFonts w:eastAsia="Arial" w:cs="Arial"/>
                <w:color w:val="000000"/>
                <w:sz w:val="16"/>
                <w:szCs w:val="16"/>
                <w:bdr w:val="nil"/>
                <w:lang w:val="fr-FR"/>
              </w:rPr>
              <w:t>85 %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121 774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133 014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124 210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134 253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126 694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83 076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372 678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350 343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8</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Administrateur associé, Mammifères marins</w:t>
            </w:r>
            <w:r w:rsidRPr="0095576E">
              <w:rPr>
                <w:rFonts w:eastAsia="Arial" w:cs="Arial"/>
                <w:color w:val="000000"/>
                <w:sz w:val="16"/>
                <w:szCs w:val="16"/>
                <w:bdr w:val="nil"/>
                <w:vertAlign w:val="superscript"/>
                <w:lang w:val="fr-FR"/>
              </w:rPr>
              <w:t>1</w:t>
            </w:r>
            <w:r w:rsidR="004D469F">
              <w:rPr>
                <w:rFonts w:eastAsia="Arial" w:cs="Arial"/>
                <w:color w:val="000000"/>
                <w:sz w:val="16"/>
                <w:szCs w:val="16"/>
                <w:bdr w:val="nil"/>
                <w:lang w:val="fr-FR"/>
              </w:rPr>
              <w:t xml:space="preserve">, </w:t>
            </w:r>
            <w:r w:rsidRPr="0095576E">
              <w:rPr>
                <w:rFonts w:eastAsia="Arial" w:cs="Arial"/>
                <w:color w:val="000000"/>
                <w:sz w:val="16"/>
                <w:szCs w:val="16"/>
                <w:bdr w:val="nil"/>
                <w:lang w:val="fr-FR"/>
              </w:rPr>
              <w:t>25 %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22 551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23 002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21 821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23 463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44 350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69 016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66 171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9</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Conseiller principal et Chef d’IOSEA</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environ 12,5 %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20 376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35 783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20 376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eastAsia="Arial" w:cs="Arial"/>
                <w:sz w:val="16"/>
                <w:szCs w:val="16"/>
                <w:bdr w:val="nil"/>
                <w:lang w:val="fr-FR"/>
              </w:rPr>
              <w:t>(14 883)</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20 376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24 493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61 128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45 392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462" w:type="pct"/>
            <w:gridSpan w:val="2"/>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14" w:type="pct"/>
            <w:tcBorders>
              <w:top w:val="nil"/>
              <w:left w:val="single" w:sz="4" w:space="0" w:color="auto"/>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sz w:val="16"/>
                <w:szCs w:val="16"/>
                <w:lang w:val="fr-FR"/>
              </w:rPr>
              <w:t> </w:t>
            </w:r>
          </w:p>
        </w:tc>
        <w:tc>
          <w:tcPr>
            <w:tcW w:w="493" w:type="pct"/>
            <w:tcBorders>
              <w:top w:val="nil"/>
              <w:left w:val="nil"/>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10</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Chef d’unité, Espèces aviaires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143 264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172 014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146 129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157 467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149 051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151 547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438 444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481 028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462" w:type="pct"/>
            <w:gridSpan w:val="2"/>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14" w:type="pct"/>
            <w:tcBorders>
              <w:top w:val="nil"/>
              <w:left w:val="single" w:sz="4" w:space="0" w:color="auto"/>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sz w:val="16"/>
                <w:szCs w:val="16"/>
                <w:lang w:val="fr-FR"/>
              </w:rPr>
              <w:t> </w:t>
            </w:r>
          </w:p>
        </w:tc>
        <w:tc>
          <w:tcPr>
            <w:tcW w:w="493" w:type="pct"/>
            <w:tcBorders>
              <w:top w:val="nil"/>
              <w:left w:val="nil"/>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11</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Chef d’unité</w:t>
            </w:r>
            <w:r w:rsidRPr="0095576E">
              <w:rPr>
                <w:rFonts w:eastAsia="Arial" w:cs="Arial"/>
                <w:color w:val="000000"/>
                <w:sz w:val="16"/>
                <w:szCs w:val="16"/>
                <w:bdr w:val="nil"/>
                <w:vertAlign w:val="superscript"/>
                <w:lang w:val="fr-FR"/>
              </w:rPr>
              <w:t>2</w:t>
            </w:r>
            <w:r w:rsidR="0095576E" w:rsidRPr="0095576E">
              <w:rPr>
                <w:rFonts w:eastAsia="Arial" w:cs="Arial"/>
                <w:color w:val="000000"/>
                <w:sz w:val="16"/>
                <w:szCs w:val="16"/>
                <w:bdr w:val="nil"/>
                <w:lang w:val="fr-FR"/>
              </w:rPr>
              <w:t xml:space="preserve">, </w:t>
            </w:r>
            <w:r w:rsidRPr="0095576E">
              <w:rPr>
                <w:rFonts w:eastAsia="Arial" w:cs="Arial"/>
                <w:color w:val="000000"/>
                <w:sz w:val="16"/>
                <w:szCs w:val="16"/>
                <w:bdr w:val="nil"/>
                <w:lang w:val="fr-FR"/>
              </w:rPr>
              <w:t>Espèces terrestres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12</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Administrateur de programme associé</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90 203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69 805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92 007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30 677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77 989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93 847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77 110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306 734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224 903 </w:t>
            </w:r>
          </w:p>
        </w:tc>
      </w:tr>
      <w:tr w:rsidR="00A75C62" w:rsidRPr="0095576E" w:rsidTr="004D469F">
        <w:trPr>
          <w:trHeight w:val="240"/>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13</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w:t>
            </w:r>
            <w:r w:rsidR="004D469F">
              <w:rPr>
                <w:rFonts w:eastAsia="Arial" w:cs="Arial"/>
                <w:color w:val="000000"/>
                <w:sz w:val="16"/>
                <w:szCs w:val="16"/>
                <w:bdr w:val="nil"/>
                <w:lang w:val="fr-FR"/>
              </w:rPr>
              <w:t xml:space="preserve">ateur de programme associé CAMI, </w:t>
            </w:r>
            <w:r w:rsidRPr="0095576E">
              <w:rPr>
                <w:rFonts w:eastAsia="Arial" w:cs="Arial"/>
                <w:color w:val="000000"/>
                <w:sz w:val="16"/>
                <w:szCs w:val="16"/>
                <w:bdr w:val="nil"/>
                <w:lang w:val="fr-FR"/>
              </w:rPr>
              <w:t>50 %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45 102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26 598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46 004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17 774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46 924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43 574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138 030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87 946 </w:t>
            </w:r>
          </w:p>
        </w:tc>
      </w:tr>
      <w:tr w:rsidR="009F0C53" w:rsidRPr="0095576E" w:rsidTr="004D469F">
        <w:trPr>
          <w:trHeight w:val="344"/>
        </w:trPr>
        <w:tc>
          <w:tcPr>
            <w:tcW w:w="142"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443 270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437 213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451 728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30 677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394 420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460 355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424 150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1 386 030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1 255 784 </w:t>
            </w:r>
          </w:p>
        </w:tc>
      </w:tr>
      <w:tr w:rsidR="00A75C62" w:rsidRPr="0095576E"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Services consultatifs scientifiques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40"/>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14</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Conseiller scientifique</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143 264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177 120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146 129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180 344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149 051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186 192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438 444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543 657 </w:t>
            </w:r>
          </w:p>
        </w:tc>
      </w:tr>
      <w:tr w:rsidR="009F0C53" w:rsidRPr="0095576E" w:rsidTr="004D469F">
        <w:trPr>
          <w:trHeight w:val="254"/>
        </w:trPr>
        <w:tc>
          <w:tcPr>
            <w:tcW w:w="142"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143 264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177 120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146 129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180 344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149 051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186 192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438 444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543 657 </w:t>
            </w:r>
          </w:p>
        </w:tc>
      </w:tr>
      <w:tr w:rsidR="00A75C62" w:rsidRPr="009F0C53"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Services de conférence et d’appui</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15</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Chef d’unité</w:t>
            </w:r>
            <w:r w:rsidRPr="0095576E">
              <w:rPr>
                <w:rFonts w:eastAsia="Arial" w:cs="Arial"/>
                <w:color w:val="000000"/>
                <w:sz w:val="16"/>
                <w:szCs w:val="16"/>
                <w:bdr w:val="nil"/>
                <w:vertAlign w:val="superscript"/>
                <w:lang w:val="fr-FR"/>
              </w:rPr>
              <w:t>2</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16</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Assistant de programme (GS-5)</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64 310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59 483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65 596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55 945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66 908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61 022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196 814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176 450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17</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24 500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25 460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30 947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80 906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18</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Greffier</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4D469F">
        <w:trPr>
          <w:trHeight w:val="225"/>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19</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32 638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29 309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33 057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95 004 </w:t>
            </w:r>
          </w:p>
        </w:tc>
      </w:tr>
      <w:tr w:rsidR="00A75C62" w:rsidRPr="0095576E" w:rsidTr="004D469F">
        <w:trPr>
          <w:trHeight w:val="240"/>
        </w:trPr>
        <w:tc>
          <w:tcPr>
            <w:tcW w:w="142"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20</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38 930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42 097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45 326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126 353 </w:t>
            </w:r>
          </w:p>
        </w:tc>
      </w:tr>
      <w:tr w:rsidR="009F0C53" w:rsidRPr="0095576E" w:rsidTr="004D469F">
        <w:trPr>
          <w:trHeight w:val="240"/>
        </w:trPr>
        <w:tc>
          <w:tcPr>
            <w:tcW w:w="142"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192 930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155 550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196 789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152 811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200 724 </w:t>
            </w:r>
          </w:p>
        </w:tc>
        <w:tc>
          <w:tcPr>
            <w:tcW w:w="265" w:type="pct"/>
            <w:shd w:val="clear" w:color="000000" w:fill="DCE6F1"/>
            <w:noWrap/>
            <w:vAlign w:val="center"/>
          </w:tcPr>
          <w:p w:rsidR="00094D4B" w:rsidRPr="0095576E" w:rsidRDefault="00094D4B" w:rsidP="00094D4B">
            <w:pPr>
              <w:widowControl/>
              <w:autoSpaceDE/>
              <w:autoSpaceDN/>
              <w:adjustRightInd/>
              <w:jc w:val="right"/>
              <w:rPr>
                <w:rFonts w:cs="Arial"/>
                <w:b/>
                <w:bCs/>
                <w:color w:val="000000"/>
                <w:sz w:val="16"/>
                <w:szCs w:val="16"/>
                <w:lang w:val="fr-FR"/>
              </w:rPr>
            </w:pP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170 351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590 443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478 712 </w:t>
            </w:r>
          </w:p>
        </w:tc>
      </w:tr>
      <w:tr w:rsidR="00A75C62" w:rsidRPr="009F0C53"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p>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 xml:space="preserve">Mobilisation des ressources et affaires </w:t>
            </w:r>
            <w:proofErr w:type="spellStart"/>
            <w:r w:rsidRPr="0095576E">
              <w:rPr>
                <w:rFonts w:eastAsia="Arial" w:cs="Arial"/>
                <w:b/>
                <w:bCs/>
                <w:color w:val="000000"/>
                <w:sz w:val="16"/>
                <w:szCs w:val="16"/>
                <w:bdr w:val="nil"/>
                <w:lang w:val="fr-FR"/>
              </w:rPr>
              <w:t>interagences</w:t>
            </w:r>
            <w:proofErr w:type="spellEnd"/>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21</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Administrateur associé, Partenariats et collecte de fonds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90 203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88 899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92 007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91 266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93 847 </w:t>
            </w:r>
          </w:p>
        </w:tc>
        <w:tc>
          <w:tcPr>
            <w:tcW w:w="265" w:type="pct"/>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94 393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276 057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274 558 </w:t>
            </w:r>
          </w:p>
        </w:tc>
      </w:tr>
      <w:tr w:rsidR="00A75C62" w:rsidRPr="0095576E" w:rsidTr="004D469F">
        <w:trPr>
          <w:trHeight w:val="465"/>
        </w:trPr>
        <w:tc>
          <w:tcPr>
            <w:tcW w:w="142" w:type="pct"/>
            <w:tcBorders>
              <w:bottom w:val="nil"/>
            </w:tcBorders>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tcBorders>
              <w:bottom w:val="nil"/>
            </w:tcBorders>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22</w:t>
            </w:r>
          </w:p>
        </w:tc>
        <w:tc>
          <w:tcPr>
            <w:tcW w:w="1325" w:type="pct"/>
            <w:tcBorders>
              <w:bottom w:val="nil"/>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Administrateur de programme associé, Hémisphère occidental</w:t>
            </w:r>
            <w:r w:rsidR="004D469F">
              <w:rPr>
                <w:rFonts w:eastAsia="Arial" w:cs="Arial"/>
                <w:color w:val="000000"/>
                <w:sz w:val="16"/>
                <w:szCs w:val="16"/>
                <w:bdr w:val="nil"/>
                <w:lang w:val="fr-FR"/>
              </w:rPr>
              <w:t>,</w:t>
            </w:r>
            <w:r w:rsidRPr="0095576E">
              <w:rPr>
                <w:rFonts w:eastAsia="Arial" w:cs="Arial"/>
                <w:color w:val="000000"/>
                <w:sz w:val="16"/>
                <w:szCs w:val="16"/>
                <w:bdr w:val="nil"/>
                <w:lang w:val="fr-FR"/>
              </w:rPr>
              <w:t xml:space="preserve"> 50 %</w:t>
            </w:r>
          </w:p>
        </w:tc>
        <w:tc>
          <w:tcPr>
            <w:tcW w:w="314" w:type="pct"/>
            <w:tcBorders>
              <w:left w:val="single" w:sz="4" w:space="0" w:color="auto"/>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w:t>
            </w:r>
          </w:p>
        </w:tc>
        <w:tc>
          <w:tcPr>
            <w:tcW w:w="348" w:type="pct"/>
            <w:tcBorders>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 </w:t>
            </w:r>
          </w:p>
        </w:tc>
        <w:tc>
          <w:tcPr>
            <w:tcW w:w="325" w:type="pct"/>
            <w:tcBorders>
              <w:left w:val="single" w:sz="4" w:space="0" w:color="auto"/>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268" w:type="pct"/>
            <w:tcBorders>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358" w:type="pct"/>
            <w:tcBorders>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 </w:t>
            </w:r>
          </w:p>
        </w:tc>
        <w:tc>
          <w:tcPr>
            <w:tcW w:w="326" w:type="pct"/>
            <w:tcBorders>
              <w:left w:val="single" w:sz="4" w:space="0" w:color="auto"/>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265" w:type="pct"/>
            <w:tcBorders>
              <w:bottom w:val="nil"/>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14" w:type="pct"/>
            <w:tcBorders>
              <w:left w:val="single" w:sz="4" w:space="0" w:color="auto"/>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9F0C53" w:rsidRPr="0095576E" w:rsidTr="004D469F">
        <w:trPr>
          <w:trHeight w:val="240"/>
        </w:trPr>
        <w:tc>
          <w:tcPr>
            <w:tcW w:w="142" w:type="pct"/>
            <w:tcBorders>
              <w:top w:val="nil"/>
              <w:bottom w:val="single" w:sz="4" w:space="0" w:color="auto"/>
            </w:tcBorders>
            <w:shd w:val="clear" w:color="000000" w:fill="DCE6F1"/>
            <w:noWrap/>
            <w:hideMark/>
          </w:tcPr>
          <w:p w:rsidR="00094D4B" w:rsidRPr="0095576E" w:rsidRDefault="00094D4B" w:rsidP="00094D4B">
            <w:pPr>
              <w:widowControl/>
              <w:autoSpaceDE/>
              <w:autoSpaceDN/>
              <w:adjustRightInd/>
              <w:rPr>
                <w:rFonts w:cs="Arial"/>
                <w:b/>
                <w:bCs/>
                <w:sz w:val="16"/>
                <w:szCs w:val="16"/>
                <w:lang w:val="fr-FR"/>
              </w:rPr>
            </w:pPr>
            <w:r w:rsidRPr="0095576E">
              <w:rPr>
                <w:rFonts w:cs="Arial"/>
                <w:b/>
                <w:bCs/>
                <w:sz w:val="16"/>
                <w:szCs w:val="16"/>
                <w:lang w:val="fr-FR"/>
              </w:rPr>
              <w:t> </w:t>
            </w:r>
          </w:p>
        </w:tc>
        <w:tc>
          <w:tcPr>
            <w:tcW w:w="137" w:type="pct"/>
            <w:tcBorders>
              <w:top w:val="nil"/>
              <w:bottom w:val="single" w:sz="4" w:space="0" w:color="auto"/>
            </w:tcBorders>
            <w:shd w:val="clear" w:color="000000" w:fill="DCE6F1"/>
            <w:noWrap/>
            <w:hideMark/>
          </w:tcPr>
          <w:p w:rsidR="00094D4B" w:rsidRPr="0095576E" w:rsidRDefault="00094D4B" w:rsidP="00094D4B">
            <w:pPr>
              <w:widowControl/>
              <w:autoSpaceDE/>
              <w:autoSpaceDN/>
              <w:adjustRightInd/>
              <w:rPr>
                <w:rFonts w:cs="Arial"/>
                <w:b/>
                <w:bCs/>
                <w:sz w:val="16"/>
                <w:szCs w:val="16"/>
                <w:lang w:val="fr-FR"/>
              </w:rPr>
            </w:pPr>
            <w:r w:rsidRPr="0095576E">
              <w:rPr>
                <w:rFonts w:cs="Arial"/>
                <w:b/>
                <w:bCs/>
                <w:sz w:val="16"/>
                <w:szCs w:val="16"/>
                <w:lang w:val="fr-FR"/>
              </w:rPr>
              <w:t> </w:t>
            </w:r>
          </w:p>
        </w:tc>
        <w:tc>
          <w:tcPr>
            <w:tcW w:w="1325" w:type="pct"/>
            <w:tcBorders>
              <w:top w:val="nil"/>
              <w:bottom w:val="single" w:sz="4" w:space="0" w:color="auto"/>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eastAsia="Arial" w:cs="Arial"/>
                <w:b/>
                <w:bCs/>
                <w:sz w:val="16"/>
                <w:szCs w:val="16"/>
                <w:bdr w:val="nil"/>
                <w:lang w:val="fr-FR"/>
              </w:rPr>
              <w:t>Sous-total</w:t>
            </w:r>
          </w:p>
        </w:tc>
        <w:tc>
          <w:tcPr>
            <w:tcW w:w="314" w:type="pct"/>
            <w:tcBorders>
              <w:top w:val="nil"/>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90 203 </w:t>
            </w:r>
          </w:p>
        </w:tc>
        <w:tc>
          <w:tcPr>
            <w:tcW w:w="348" w:type="pct"/>
            <w:tcBorders>
              <w:top w:val="nil"/>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88 899 </w:t>
            </w:r>
          </w:p>
        </w:tc>
        <w:tc>
          <w:tcPr>
            <w:tcW w:w="325" w:type="pct"/>
            <w:tcBorders>
              <w:top w:val="nil"/>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92 007 </w:t>
            </w:r>
          </w:p>
        </w:tc>
        <w:tc>
          <w:tcPr>
            <w:tcW w:w="268" w:type="pct"/>
            <w:tcBorders>
              <w:top w:val="nil"/>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 </w:t>
            </w:r>
          </w:p>
        </w:tc>
        <w:tc>
          <w:tcPr>
            <w:tcW w:w="358" w:type="pct"/>
            <w:tcBorders>
              <w:top w:val="nil"/>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91 266 </w:t>
            </w:r>
          </w:p>
        </w:tc>
        <w:tc>
          <w:tcPr>
            <w:tcW w:w="326" w:type="pct"/>
            <w:tcBorders>
              <w:top w:val="nil"/>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93 847 </w:t>
            </w:r>
          </w:p>
        </w:tc>
        <w:tc>
          <w:tcPr>
            <w:tcW w:w="265" w:type="pct"/>
            <w:tcBorders>
              <w:top w:val="nil"/>
              <w:bottom w:val="single" w:sz="4" w:space="0" w:color="auto"/>
            </w:tcBorders>
            <w:shd w:val="clear" w:color="000000" w:fill="DCE6F1"/>
            <w:noWrap/>
            <w:vAlign w:val="center"/>
          </w:tcPr>
          <w:p w:rsidR="00094D4B" w:rsidRPr="0095576E" w:rsidRDefault="00094D4B" w:rsidP="00094D4B">
            <w:pPr>
              <w:widowControl/>
              <w:autoSpaceDE/>
              <w:autoSpaceDN/>
              <w:adjustRightInd/>
              <w:jc w:val="right"/>
              <w:rPr>
                <w:rFonts w:cs="Arial"/>
                <w:b/>
                <w:bCs/>
                <w:sz w:val="16"/>
                <w:szCs w:val="16"/>
                <w:lang w:val="fr-FR"/>
              </w:rPr>
            </w:pPr>
          </w:p>
        </w:tc>
        <w:tc>
          <w:tcPr>
            <w:tcW w:w="383" w:type="pct"/>
            <w:tcBorders>
              <w:top w:val="nil"/>
              <w:left w:val="nil"/>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94 393 </w:t>
            </w:r>
          </w:p>
        </w:tc>
        <w:tc>
          <w:tcPr>
            <w:tcW w:w="314" w:type="pct"/>
            <w:tcBorders>
              <w:top w:val="nil"/>
              <w:left w:val="single" w:sz="4" w:space="0" w:color="auto"/>
              <w:bottom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276 057 </w:t>
            </w:r>
          </w:p>
        </w:tc>
        <w:tc>
          <w:tcPr>
            <w:tcW w:w="493" w:type="pct"/>
            <w:tcBorders>
              <w:top w:val="nil"/>
              <w:left w:val="nil"/>
              <w:bottom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274 558 </w:t>
            </w:r>
          </w:p>
        </w:tc>
      </w:tr>
      <w:tr w:rsidR="00A75C62" w:rsidRPr="009F0C53" w:rsidTr="004D469F">
        <w:trPr>
          <w:trHeight w:val="225"/>
        </w:trPr>
        <w:tc>
          <w:tcPr>
            <w:tcW w:w="1604" w:type="pct"/>
            <w:gridSpan w:val="3"/>
            <w:tcBorders>
              <w:top w:val="nil"/>
              <w:bottom w:val="nil"/>
              <w:right w:val="nil"/>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lastRenderedPageBreak/>
              <w:t>Gestion de l’information, communication et sensibilisation</w:t>
            </w:r>
          </w:p>
        </w:tc>
        <w:tc>
          <w:tcPr>
            <w:tcW w:w="314"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top w:val="nil"/>
              <w:left w:val="nil"/>
              <w:bottom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single" w:sz="4" w:space="0" w:color="auto"/>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p>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
                <w:bCs/>
                <w:sz w:val="16"/>
                <w:szCs w:val="16"/>
                <w:lang w:val="fr-FR"/>
              </w:rPr>
              <w:t> </w:t>
            </w:r>
          </w:p>
        </w:tc>
      </w:tr>
      <w:tr w:rsidR="00A75C62" w:rsidRPr="0095576E" w:rsidTr="00A90356">
        <w:trPr>
          <w:trHeight w:val="80"/>
        </w:trPr>
        <w:tc>
          <w:tcPr>
            <w:tcW w:w="142" w:type="pct"/>
            <w:tcBorders>
              <w:top w:val="nil"/>
            </w:tcBorders>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tcBorders>
              <w:top w:val="nil"/>
            </w:tcBorders>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23</w:t>
            </w:r>
          </w:p>
        </w:tc>
        <w:tc>
          <w:tcPr>
            <w:tcW w:w="1325" w:type="pct"/>
            <w:tcBorders>
              <w:top w:val="nil"/>
              <w:right w:val="single" w:sz="4" w:space="0" w:color="auto"/>
            </w:tcBorders>
            <w:shd w:val="clear" w:color="auto" w:fill="auto"/>
            <w:vAlign w:val="center"/>
            <w:hideMark/>
          </w:tcPr>
          <w:p w:rsidR="00094D4B" w:rsidRPr="0095576E" w:rsidRDefault="00094D4B" w:rsidP="0095576E">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Administrateur associé chargé de l’information, 50 %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45 102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77 378 </w:t>
            </w:r>
          </w:p>
        </w:tc>
        <w:tc>
          <w:tcPr>
            <w:tcW w:w="325" w:type="pct"/>
            <w:tcBorders>
              <w:top w:val="nil"/>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46 004 </w:t>
            </w:r>
          </w:p>
        </w:tc>
        <w:tc>
          <w:tcPr>
            <w:tcW w:w="268" w:type="pct"/>
            <w:tcBorders>
              <w:top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46 015 </w:t>
            </w:r>
          </w:p>
        </w:tc>
        <w:tc>
          <w:tcPr>
            <w:tcW w:w="358" w:type="pct"/>
            <w:tcBorders>
              <w:top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63 534 </w:t>
            </w:r>
          </w:p>
        </w:tc>
        <w:tc>
          <w:tcPr>
            <w:tcW w:w="326" w:type="pct"/>
            <w:tcBorders>
              <w:top w:val="nil"/>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46 924 </w:t>
            </w:r>
          </w:p>
        </w:tc>
        <w:tc>
          <w:tcPr>
            <w:tcW w:w="265" w:type="pct"/>
            <w:tcBorders>
              <w:top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46 317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88 885 </w:t>
            </w:r>
          </w:p>
        </w:tc>
        <w:tc>
          <w:tcPr>
            <w:tcW w:w="314" w:type="pct"/>
            <w:tcBorders>
              <w:top w:val="nil"/>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230 362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229 797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24</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Assistant principal chargé de l’information</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82 775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72 807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84 430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74 388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86 119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78 665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253 324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225 860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25</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Assistant administratif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64 310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53 699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65 596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55 302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66 908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68 397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196 814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177 399 </w:t>
            </w:r>
          </w:p>
        </w:tc>
      </w:tr>
      <w:tr w:rsidR="009F0C53" w:rsidRPr="0095576E" w:rsidTr="004D469F">
        <w:trPr>
          <w:trHeight w:val="240"/>
        </w:trPr>
        <w:tc>
          <w:tcPr>
            <w:tcW w:w="142" w:type="pct"/>
            <w:shd w:val="clear" w:color="000000" w:fill="FFFFFF"/>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000000" w:fill="FFFFFF"/>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26</w:t>
            </w:r>
          </w:p>
        </w:tc>
        <w:tc>
          <w:tcPr>
            <w:tcW w:w="1325" w:type="pct"/>
            <w:tcBorders>
              <w:right w:val="single" w:sz="4" w:space="0" w:color="auto"/>
            </w:tcBorders>
            <w:shd w:val="clear" w:color="000000" w:fill="FFFFFF"/>
            <w:vAlign w:val="center"/>
            <w:hideMark/>
          </w:tcPr>
          <w:p w:rsidR="00094D4B" w:rsidRPr="0095576E" w:rsidRDefault="00A90356" w:rsidP="00094D4B">
            <w:pPr>
              <w:widowControl/>
              <w:autoSpaceDE/>
              <w:autoSpaceDN/>
              <w:adjustRightInd/>
              <w:rPr>
                <w:rFonts w:cs="Arial"/>
                <w:color w:val="000000"/>
                <w:sz w:val="16"/>
                <w:szCs w:val="16"/>
                <w:lang w:val="fr-FR"/>
              </w:rPr>
            </w:pPr>
            <w:r>
              <w:rPr>
                <w:rFonts w:eastAsia="Arial" w:cs="Arial"/>
                <w:color w:val="000000"/>
                <w:sz w:val="16"/>
                <w:szCs w:val="16"/>
                <w:bdr w:val="nil"/>
                <w:lang w:val="fr-FR"/>
              </w:rPr>
              <w:t xml:space="preserve">Outils TIC, développement </w:t>
            </w:r>
            <w:r w:rsidR="00094D4B" w:rsidRPr="0095576E">
              <w:rPr>
                <w:rFonts w:eastAsia="Arial" w:cs="Arial"/>
                <w:color w:val="000000"/>
                <w:sz w:val="16"/>
                <w:szCs w:val="16"/>
                <w:bdr w:val="nil"/>
                <w:lang w:val="fr-FR"/>
              </w:rPr>
              <w:t>maintenance du site Web</w:t>
            </w:r>
          </w:p>
        </w:tc>
        <w:tc>
          <w:tcPr>
            <w:tcW w:w="314" w:type="pct"/>
            <w:tcBorders>
              <w:lef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6 500 </w:t>
            </w:r>
          </w:p>
        </w:tc>
        <w:tc>
          <w:tcPr>
            <w:tcW w:w="348" w:type="pct"/>
            <w:tcBorders>
              <w:righ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5 684 </w:t>
            </w:r>
          </w:p>
        </w:tc>
        <w:tc>
          <w:tcPr>
            <w:tcW w:w="325" w:type="pct"/>
            <w:tcBorders>
              <w:lef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6 500 </w:t>
            </w:r>
          </w:p>
        </w:tc>
        <w:tc>
          <w:tcPr>
            <w:tcW w:w="268" w:type="pct"/>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642 </w:t>
            </w:r>
          </w:p>
        </w:tc>
        <w:tc>
          <w:tcPr>
            <w:tcW w:w="326" w:type="pct"/>
            <w:tcBorders>
              <w:lef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6 500 </w:t>
            </w:r>
          </w:p>
        </w:tc>
        <w:tc>
          <w:tcPr>
            <w:tcW w:w="265" w:type="pct"/>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000000" w:fill="FFFFFF"/>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13 175 </w:t>
            </w:r>
          </w:p>
        </w:tc>
        <w:tc>
          <w:tcPr>
            <w:tcW w:w="314" w:type="pct"/>
            <w:tcBorders>
              <w:left w:val="single" w:sz="4" w:space="0" w:color="auto"/>
              <w:right w:val="nil"/>
            </w:tcBorders>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19 500 </w:t>
            </w:r>
          </w:p>
        </w:tc>
        <w:tc>
          <w:tcPr>
            <w:tcW w:w="493" w:type="pct"/>
            <w:tcBorders>
              <w:top w:val="nil"/>
              <w:left w:val="nil"/>
              <w:bottom w:val="nil"/>
              <w:right w:val="nil"/>
            </w:tcBorders>
            <w:shd w:val="clear" w:color="000000" w:fill="FFFFFF"/>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19 500 </w:t>
            </w:r>
          </w:p>
        </w:tc>
      </w:tr>
      <w:tr w:rsidR="009F0C53" w:rsidRPr="0095576E" w:rsidTr="004D469F">
        <w:trPr>
          <w:trHeight w:val="240"/>
        </w:trPr>
        <w:tc>
          <w:tcPr>
            <w:tcW w:w="142"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198 687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209 569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202 530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46 015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193 866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206 451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46 317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249 122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700 000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652 557 </w:t>
            </w:r>
          </w:p>
        </w:tc>
      </w:tr>
      <w:tr w:rsidR="00A75C62" w:rsidRPr="0095576E"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Renforcement des capacités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27</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Chef d’Unité, Renforcement des capacités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143 264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172 215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146 129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130 096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149 051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54 254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438 444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356 566 </w:t>
            </w:r>
          </w:p>
        </w:tc>
      </w:tr>
      <w:tr w:rsidR="00A75C62" w:rsidRPr="0095576E" w:rsidTr="004D469F">
        <w:trPr>
          <w:trHeight w:val="240"/>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28</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Secrétaire, 50%</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32 155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55 323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32 798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40 154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33 454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43 787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98 407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139 263 </w:t>
            </w:r>
          </w:p>
        </w:tc>
      </w:tr>
      <w:tr w:rsidR="009F0C53" w:rsidRPr="0095576E" w:rsidTr="004D469F">
        <w:trPr>
          <w:trHeight w:val="240"/>
        </w:trPr>
        <w:tc>
          <w:tcPr>
            <w:tcW w:w="142"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175 419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227 538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178 927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170 250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182 505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98 041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536 851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495 829 </w:t>
            </w:r>
          </w:p>
        </w:tc>
      </w:tr>
      <w:tr w:rsidR="009F0C53" w:rsidRPr="0095576E" w:rsidTr="004D469F">
        <w:trPr>
          <w:trHeight w:val="240"/>
        </w:trPr>
        <w:tc>
          <w:tcPr>
            <w:tcW w:w="142"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 xml:space="preserve">Sous-total (personnel) </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1 679 056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1 771 280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1 712 228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76 692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1 647 093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1 746 063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46 317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1 677 903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5 260 356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5 096 275 </w:t>
            </w:r>
          </w:p>
        </w:tc>
      </w:tr>
      <w:tr w:rsidR="00A75C62" w:rsidRPr="0095576E"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Service aux organes directeurs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29</w:t>
            </w:r>
          </w:p>
        </w:tc>
        <w:tc>
          <w:tcPr>
            <w:tcW w:w="1325" w:type="pct"/>
            <w:tcBorders>
              <w:right w:val="single" w:sz="4" w:space="0" w:color="auto"/>
            </w:tcBorders>
            <w:shd w:val="clear" w:color="auto" w:fill="auto"/>
            <w:vAlign w:val="center"/>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Services contractuels (traduction, interprétation, etc.)</w:t>
            </w:r>
          </w:p>
        </w:tc>
        <w:tc>
          <w:tcPr>
            <w:tcW w:w="314" w:type="pct"/>
            <w:tcBorders>
              <w:lef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48" w:type="pct"/>
            <w:tcBorders>
              <w:righ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sz w:val="16"/>
                <w:szCs w:val="16"/>
                <w:lang w:val="fr-FR"/>
              </w:rPr>
            </w:pPr>
          </w:p>
        </w:tc>
        <w:tc>
          <w:tcPr>
            <w:tcW w:w="325" w:type="pct"/>
            <w:tcBorders>
              <w:lef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268" w:type="pct"/>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58" w:type="pct"/>
            <w:tcBorders>
              <w:righ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sz w:val="16"/>
                <w:szCs w:val="16"/>
                <w:lang w:val="fr-FR"/>
              </w:rPr>
            </w:pP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289 710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289 515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289 710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289 515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30</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Déplacements du personnel de la CMS : COP12</w:t>
            </w:r>
          </w:p>
        </w:tc>
        <w:tc>
          <w:tcPr>
            <w:tcW w:w="314" w:type="pct"/>
            <w:tcBorders>
              <w:lef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48" w:type="pct"/>
            <w:tcBorders>
              <w:righ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sz w:val="16"/>
                <w:szCs w:val="16"/>
                <w:lang w:val="fr-FR"/>
              </w:rPr>
            </w:pPr>
          </w:p>
        </w:tc>
        <w:tc>
          <w:tcPr>
            <w:tcW w:w="325" w:type="pct"/>
            <w:tcBorders>
              <w:lef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268" w:type="pct"/>
            <w:shd w:val="clear" w:color="auto" w:fill="auto"/>
            <w:noWrap/>
            <w:vAlign w:val="center"/>
          </w:tcPr>
          <w:p w:rsidR="00094D4B" w:rsidRPr="0095576E" w:rsidRDefault="00094D4B" w:rsidP="00094D4B">
            <w:pPr>
              <w:widowControl/>
              <w:autoSpaceDE/>
              <w:autoSpaceDN/>
              <w:adjustRightInd/>
              <w:jc w:val="right"/>
              <w:rPr>
                <w:rFonts w:cs="Arial"/>
                <w:color w:val="000000"/>
                <w:sz w:val="16"/>
                <w:szCs w:val="16"/>
                <w:lang w:val="fr-FR"/>
              </w:rPr>
            </w:pPr>
          </w:p>
        </w:tc>
        <w:tc>
          <w:tcPr>
            <w:tcW w:w="358" w:type="pct"/>
            <w:tcBorders>
              <w:right w:val="single" w:sz="4" w:space="0" w:color="auto"/>
            </w:tcBorders>
            <w:shd w:val="clear" w:color="auto" w:fill="auto"/>
            <w:noWrap/>
            <w:vAlign w:val="center"/>
          </w:tcPr>
          <w:p w:rsidR="00094D4B" w:rsidRPr="0095576E" w:rsidRDefault="00094D4B" w:rsidP="00094D4B">
            <w:pPr>
              <w:widowControl/>
              <w:autoSpaceDE/>
              <w:autoSpaceDN/>
              <w:adjustRightInd/>
              <w:jc w:val="right"/>
              <w:rPr>
                <w:rFonts w:cs="Arial"/>
                <w:sz w:val="16"/>
                <w:szCs w:val="16"/>
                <w:lang w:val="fr-FR"/>
              </w:rPr>
            </w:pP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53 061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53 061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31</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Réunions du Comité permanent (délégués,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21 649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15 387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22 082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48 465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eastAsia="Arial" w:cs="Arial"/>
                <w:sz w:val="16"/>
                <w:szCs w:val="16"/>
                <w:bdr w:val="nil"/>
                <w:lang w:val="fr-FR"/>
              </w:rPr>
              <w:t>(427)</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43 731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63 425 </w:t>
            </w:r>
          </w:p>
        </w:tc>
      </w:tr>
      <w:tr w:rsidR="00A75C62" w:rsidRPr="0095576E" w:rsidTr="004D469F">
        <w:trPr>
          <w:trHeight w:val="46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32</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 xml:space="preserve">Conseil scientifique (délégués, processus </w:t>
            </w:r>
            <w:proofErr w:type="spellStart"/>
            <w:r w:rsidRPr="0095576E">
              <w:rPr>
                <w:rFonts w:eastAsia="Arial" w:cs="Arial"/>
                <w:color w:val="000000"/>
                <w:sz w:val="16"/>
                <w:szCs w:val="16"/>
                <w:bdr w:val="nil"/>
                <w:lang w:val="fr-FR"/>
              </w:rPr>
              <w:t>intergouv</w:t>
            </w:r>
            <w:proofErr w:type="spellEnd"/>
            <w:r w:rsidRPr="0095576E">
              <w:rPr>
                <w:rFonts w:eastAsia="Arial" w:cs="Arial"/>
                <w:color w:val="000000"/>
                <w:sz w:val="16"/>
                <w:szCs w:val="16"/>
                <w:bdr w:val="nil"/>
                <w:lang w:val="fr-FR"/>
              </w:rPr>
              <w:t>.,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50 408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50 408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58 031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40 002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100 816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98 033 </w:t>
            </w:r>
          </w:p>
        </w:tc>
      </w:tr>
      <w:tr w:rsidR="009F0C53" w:rsidRPr="0095576E" w:rsidTr="004D469F">
        <w:trPr>
          <w:trHeight w:val="240"/>
        </w:trPr>
        <w:tc>
          <w:tcPr>
            <w:tcW w:w="142" w:type="pct"/>
            <w:shd w:val="clear" w:color="000000" w:fill="DCE6F1"/>
            <w:noWrap/>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cs="Arial"/>
                <w:b/>
                <w:bCs/>
                <w:color w:val="000000"/>
                <w:sz w:val="16"/>
                <w:szCs w:val="16"/>
                <w:lang w:val="fr-FR"/>
              </w:rPr>
              <w:t> </w:t>
            </w:r>
          </w:p>
        </w:tc>
        <w:tc>
          <w:tcPr>
            <w:tcW w:w="137"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eastAsia="Arial" w:cs="Arial"/>
                <w:b/>
                <w:bCs/>
                <w:color w:val="000000"/>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72 057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15 387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72 490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106 495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342 771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329 090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487 318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color w:val="000000"/>
                <w:sz w:val="16"/>
                <w:szCs w:val="16"/>
                <w:lang w:val="fr-FR"/>
              </w:rPr>
            </w:pPr>
            <w:r w:rsidRPr="0095576E">
              <w:rPr>
                <w:rFonts w:cs="Arial"/>
                <w:b/>
                <w:bCs/>
                <w:color w:val="000000"/>
                <w:sz w:val="16"/>
                <w:szCs w:val="16"/>
                <w:lang w:val="fr-FR"/>
              </w:rPr>
              <w:t xml:space="preserve">450 973 </w:t>
            </w:r>
          </w:p>
        </w:tc>
      </w:tr>
      <w:tr w:rsidR="00A75C62" w:rsidRPr="0095576E" w:rsidTr="004D469F">
        <w:trPr>
          <w:trHeight w:val="225"/>
        </w:trPr>
        <w:tc>
          <w:tcPr>
            <w:tcW w:w="1604" w:type="pct"/>
            <w:gridSpan w:val="3"/>
            <w:tcBorders>
              <w:right w:val="single" w:sz="4" w:space="0" w:color="auto"/>
            </w:tcBorders>
            <w:shd w:val="clear" w:color="auto" w:fill="auto"/>
            <w:noWrap/>
            <w:vAlign w:val="center"/>
            <w:hideMark/>
          </w:tcPr>
          <w:p w:rsidR="00094D4B" w:rsidRPr="0095576E" w:rsidRDefault="00094D4B" w:rsidP="00094D4B">
            <w:pPr>
              <w:widowControl/>
              <w:autoSpaceDE/>
              <w:autoSpaceDN/>
              <w:adjustRightInd/>
              <w:rPr>
                <w:rFonts w:cs="Arial"/>
                <w:b/>
                <w:bCs/>
                <w:color w:val="000000"/>
                <w:sz w:val="16"/>
                <w:szCs w:val="16"/>
                <w:lang w:val="fr-FR"/>
              </w:rPr>
            </w:pPr>
            <w:r w:rsidRPr="0095576E">
              <w:rPr>
                <w:rFonts w:eastAsia="Arial" w:cs="Arial"/>
                <w:b/>
                <w:bCs/>
                <w:color w:val="000000"/>
                <w:sz w:val="16"/>
                <w:szCs w:val="16"/>
                <w:bdr w:val="nil"/>
                <w:lang w:val="fr-FR"/>
              </w:rPr>
              <w:t>Coûts de fonctionnement</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bCs/>
                <w:sz w:val="16"/>
                <w:szCs w:val="16"/>
                <w:lang w:val="fr-FR"/>
              </w:rPr>
              <w:t>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33</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Services contractuels (traduction, interprétation,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70 000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80 399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70 000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109 080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88 400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84 687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228 400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274 165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34</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Déplacements du personnel du Secrétariat</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66 300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87 301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66 300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58 723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63 700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62 710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196 300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208 734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35</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Développement du personnel (formation, séminaires,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15 400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42 935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eastAsia="Arial" w:cs="Arial"/>
                <w:sz w:val="16"/>
                <w:szCs w:val="16"/>
                <w:bdr w:val="nil"/>
                <w:lang w:val="fr-FR"/>
              </w:rPr>
              <w:t>(335)</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9 266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35 400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51 865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36</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Fournitures de bureau</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5 500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3 093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5 800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3 514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5 800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10 209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17 100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16 816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37</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Équipement</w:t>
            </w:r>
            <w:r w:rsidR="004D469F">
              <w:rPr>
                <w:rFonts w:eastAsia="Arial" w:cs="Arial"/>
                <w:color w:val="000000"/>
                <w:sz w:val="16"/>
                <w:szCs w:val="16"/>
                <w:bdr w:val="nil"/>
                <w:lang w:val="fr-FR"/>
              </w:rPr>
              <w:t>s</w:t>
            </w:r>
            <w:r w:rsidRPr="0095576E">
              <w:rPr>
                <w:rFonts w:eastAsia="Arial" w:cs="Arial"/>
                <w:color w:val="000000"/>
                <w:sz w:val="16"/>
                <w:szCs w:val="16"/>
                <w:bdr w:val="nil"/>
                <w:lang w:val="fr-FR"/>
              </w:rPr>
              <w:t xml:space="preserve"> non consommable</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7 709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10 500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9 494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10 500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13 410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31 000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30 613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38</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Services informatiques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70 000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52 258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70 000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0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70 000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193 944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210 000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246 202 </w:t>
            </w:r>
          </w:p>
        </w:tc>
      </w:tr>
      <w:tr w:rsidR="00A75C62" w:rsidRPr="0095576E" w:rsidTr="004D469F">
        <w:trPr>
          <w:trHeight w:val="450"/>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39</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Services bureautiques (location d’imprimante, hébergement, etc.)</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11 772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5 858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10 000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9 655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30 000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27 286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40</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Production de matériel d’information et de documents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12 000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22 308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12 000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5 783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12 500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11 533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36 500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39 625 </w:t>
            </w:r>
          </w:p>
        </w:tc>
      </w:tr>
      <w:tr w:rsidR="00A75C62" w:rsidRPr="0095576E" w:rsidTr="004D469F">
        <w:trPr>
          <w:trHeight w:val="225"/>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41</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Services de communication et courrier</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16 900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10 659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17 100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13 811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17 500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16 682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51 500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41 152 </w:t>
            </w:r>
          </w:p>
        </w:tc>
      </w:tr>
      <w:tr w:rsidR="00A75C62" w:rsidRPr="0095576E" w:rsidTr="004D469F">
        <w:trPr>
          <w:trHeight w:val="240"/>
        </w:trPr>
        <w:tc>
          <w:tcPr>
            <w:tcW w:w="142" w:type="pct"/>
            <w:shd w:val="clear" w:color="auto" w:fill="auto"/>
            <w:noWrap/>
            <w:hideMark/>
          </w:tcPr>
          <w:p w:rsidR="00094D4B" w:rsidRPr="0095576E" w:rsidRDefault="00094D4B" w:rsidP="00094D4B">
            <w:pPr>
              <w:widowControl/>
              <w:autoSpaceDE/>
              <w:autoSpaceDN/>
              <w:adjustRightInd/>
              <w:rPr>
                <w:rFonts w:cs="Arial"/>
                <w:color w:val="000000"/>
                <w:sz w:val="16"/>
                <w:szCs w:val="16"/>
                <w:lang w:val="fr-FR"/>
              </w:rPr>
            </w:pPr>
            <w:r w:rsidRPr="0095576E">
              <w:rPr>
                <w:rFonts w:cs="Arial"/>
                <w:color w:val="000000"/>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42</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rPr>
                <w:rFonts w:cs="Arial"/>
                <w:color w:val="000000"/>
                <w:sz w:val="16"/>
                <w:szCs w:val="16"/>
                <w:lang w:val="fr-FR"/>
              </w:rPr>
            </w:pPr>
            <w:r w:rsidRPr="0095576E">
              <w:rPr>
                <w:rFonts w:eastAsia="Arial" w:cs="Arial"/>
                <w:color w:val="000000"/>
                <w:sz w:val="16"/>
                <w:szCs w:val="16"/>
                <w:bdr w:val="nil"/>
                <w:lang w:val="fr-FR"/>
              </w:rPr>
              <w:t>Divers</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3 553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1 207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3 742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2 573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3 738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sz w:val="16"/>
                <w:szCs w:val="16"/>
                <w:lang w:val="fr-FR"/>
              </w:rPr>
            </w:pPr>
            <w:r w:rsidRPr="0095576E">
              <w:rPr>
                <w:rFonts w:cs="Arial"/>
                <w:sz w:val="16"/>
                <w:szCs w:val="16"/>
                <w:lang w:val="fr-FR"/>
              </w:rPr>
              <w:t xml:space="preserve">3 418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11 033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color w:val="000000"/>
                <w:sz w:val="16"/>
                <w:szCs w:val="16"/>
                <w:lang w:val="fr-FR"/>
              </w:rPr>
            </w:pPr>
            <w:r w:rsidRPr="0095576E">
              <w:rPr>
                <w:rFonts w:cs="Arial"/>
                <w:color w:val="000000"/>
                <w:sz w:val="16"/>
                <w:szCs w:val="16"/>
                <w:lang w:val="fr-FR"/>
              </w:rPr>
              <w:t xml:space="preserve">7 198 </w:t>
            </w:r>
          </w:p>
        </w:tc>
      </w:tr>
      <w:tr w:rsidR="009F0C53" w:rsidRPr="0095576E" w:rsidTr="004D469F">
        <w:trPr>
          <w:trHeight w:val="240"/>
        </w:trPr>
        <w:tc>
          <w:tcPr>
            <w:tcW w:w="142" w:type="pct"/>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7" w:type="pct"/>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eastAsia="Arial" w:cs="Arial"/>
                <w:b/>
                <w:bCs/>
                <w:sz w:val="16"/>
                <w:szCs w:val="16"/>
                <w:bdr w:val="nil"/>
                <w:lang w:val="fr-FR"/>
              </w:rPr>
              <w:t>Sous-total</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279 653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319 642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275 442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208 500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292 138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415 514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847 233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943 657 </w:t>
            </w:r>
          </w:p>
        </w:tc>
      </w:tr>
      <w:tr w:rsidR="00A75C62" w:rsidRPr="0095576E" w:rsidTr="004D469F">
        <w:trPr>
          <w:trHeight w:val="240"/>
        </w:trPr>
        <w:tc>
          <w:tcPr>
            <w:tcW w:w="142" w:type="pct"/>
            <w:shd w:val="clear" w:color="auto" w:fill="auto"/>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7" w:type="pct"/>
            <w:shd w:val="clear" w:color="auto" w:fill="auto"/>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25" w:type="pct"/>
            <w:tcBorders>
              <w:right w:val="single" w:sz="4" w:space="0" w:color="auto"/>
            </w:tcBorders>
            <w:shd w:val="clear" w:color="auto" w:fill="auto"/>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4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25"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268" w:type="pct"/>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58" w:type="pct"/>
            <w:tcBorders>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26" w:type="pct"/>
            <w:tcBorders>
              <w:lef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265" w:type="pct"/>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83" w:type="pct"/>
            <w:tcBorders>
              <w:top w:val="nil"/>
              <w:left w:val="nil"/>
              <w:bottom w:val="nil"/>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314" w:type="pct"/>
            <w:tcBorders>
              <w:left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0 </w:t>
            </w:r>
          </w:p>
        </w:tc>
        <w:tc>
          <w:tcPr>
            <w:tcW w:w="493" w:type="pct"/>
            <w:tcBorders>
              <w:top w:val="nil"/>
              <w:left w:val="nil"/>
              <w:bottom w:val="nil"/>
              <w:right w:val="nil"/>
            </w:tcBorders>
            <w:shd w:val="clear" w:color="auto" w:fill="auto"/>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r>
      <w:tr w:rsidR="009F0C53" w:rsidRPr="0095576E" w:rsidTr="004D469F">
        <w:trPr>
          <w:trHeight w:val="299"/>
        </w:trPr>
        <w:tc>
          <w:tcPr>
            <w:tcW w:w="142" w:type="pct"/>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7" w:type="pct"/>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25" w:type="pct"/>
            <w:tcBorders>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eastAsia="Arial" w:cs="Arial"/>
                <w:b/>
                <w:bCs/>
                <w:sz w:val="16"/>
                <w:szCs w:val="16"/>
                <w:bdr w:val="nil"/>
                <w:lang w:val="fr-FR"/>
              </w:rPr>
              <w:t>Total </w:t>
            </w:r>
          </w:p>
        </w:tc>
        <w:tc>
          <w:tcPr>
            <w:tcW w:w="314"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2 102 266 </w:t>
            </w:r>
          </w:p>
        </w:tc>
        <w:tc>
          <w:tcPr>
            <w:tcW w:w="34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2 154 921 </w:t>
            </w:r>
          </w:p>
        </w:tc>
        <w:tc>
          <w:tcPr>
            <w:tcW w:w="325"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2 081 660 </w:t>
            </w:r>
          </w:p>
        </w:tc>
        <w:tc>
          <w:tcPr>
            <w:tcW w:w="268" w:type="pct"/>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94 391 </w:t>
            </w:r>
          </w:p>
        </w:tc>
        <w:tc>
          <w:tcPr>
            <w:tcW w:w="358" w:type="pct"/>
            <w:tcBorders>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1 964 385 </w:t>
            </w:r>
          </w:p>
        </w:tc>
        <w:tc>
          <w:tcPr>
            <w:tcW w:w="326" w:type="pct"/>
            <w:tcBorders>
              <w:lef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2 402 472 </w:t>
            </w:r>
          </w:p>
        </w:tc>
        <w:tc>
          <w:tcPr>
            <w:tcW w:w="265" w:type="pct"/>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64 016 </w:t>
            </w:r>
          </w:p>
        </w:tc>
        <w:tc>
          <w:tcPr>
            <w:tcW w:w="383" w:type="pct"/>
            <w:tcBorders>
              <w:top w:val="nil"/>
              <w:left w:val="nil"/>
              <w:bottom w:val="nil"/>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2 505 754 </w:t>
            </w:r>
          </w:p>
        </w:tc>
        <w:tc>
          <w:tcPr>
            <w:tcW w:w="314" w:type="pct"/>
            <w:tcBorders>
              <w:left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6 744 805 </w:t>
            </w:r>
          </w:p>
        </w:tc>
        <w:tc>
          <w:tcPr>
            <w:tcW w:w="493" w:type="pct"/>
            <w:tcBorders>
              <w:top w:val="nil"/>
              <w:left w:val="nil"/>
              <w:bottom w:val="nil"/>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6 625 060 </w:t>
            </w:r>
          </w:p>
        </w:tc>
      </w:tr>
      <w:tr w:rsidR="00A75C62" w:rsidRPr="0095576E" w:rsidTr="004D469F">
        <w:trPr>
          <w:trHeight w:val="240"/>
        </w:trPr>
        <w:tc>
          <w:tcPr>
            <w:tcW w:w="142" w:type="pct"/>
            <w:tcBorders>
              <w:bottom w:val="single" w:sz="4" w:space="0" w:color="auto"/>
            </w:tcBorders>
            <w:shd w:val="clear" w:color="auto" w:fill="auto"/>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7" w:type="pct"/>
            <w:tcBorders>
              <w:bottom w:val="single" w:sz="4" w:space="0" w:color="auto"/>
            </w:tcBorders>
            <w:shd w:val="clear" w:color="auto" w:fill="auto"/>
            <w:noWrap/>
            <w:hideMark/>
          </w:tcPr>
          <w:p w:rsidR="00094D4B" w:rsidRPr="0095576E" w:rsidRDefault="00094D4B" w:rsidP="00094D4B">
            <w:pPr>
              <w:widowControl/>
              <w:autoSpaceDE/>
              <w:autoSpaceDN/>
              <w:adjustRightInd/>
              <w:jc w:val="right"/>
              <w:rPr>
                <w:rFonts w:cs="Arial"/>
                <w:b/>
                <w:bCs/>
                <w:sz w:val="16"/>
                <w:szCs w:val="16"/>
                <w:lang w:val="fr-FR"/>
              </w:rPr>
            </w:pPr>
          </w:p>
        </w:tc>
        <w:tc>
          <w:tcPr>
            <w:tcW w:w="1325" w:type="pct"/>
            <w:tcBorders>
              <w:bottom w:val="single" w:sz="4" w:space="0" w:color="auto"/>
              <w:right w:val="single" w:sz="4" w:space="0" w:color="auto"/>
            </w:tcBorders>
            <w:shd w:val="clear" w:color="auto" w:fill="auto"/>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eastAsia="Arial" w:cs="Arial"/>
                <w:bCs/>
                <w:sz w:val="16"/>
                <w:szCs w:val="16"/>
                <w:bdr w:val="nil"/>
                <w:lang w:val="fr-FR"/>
              </w:rPr>
              <w:t>Dépenses d’appui aux programmes : 13 %</w:t>
            </w:r>
          </w:p>
        </w:tc>
        <w:tc>
          <w:tcPr>
            <w:tcW w:w="314" w:type="pct"/>
            <w:tcBorders>
              <w:left w:val="single" w:sz="4" w:space="0" w:color="auto"/>
              <w:bottom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273 295 </w:t>
            </w:r>
          </w:p>
        </w:tc>
        <w:tc>
          <w:tcPr>
            <w:tcW w:w="348" w:type="pct"/>
            <w:tcBorders>
              <w:bottom w:val="single" w:sz="4"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280 140 </w:t>
            </w:r>
          </w:p>
        </w:tc>
        <w:tc>
          <w:tcPr>
            <w:tcW w:w="325" w:type="pct"/>
            <w:tcBorders>
              <w:left w:val="single" w:sz="4" w:space="0" w:color="auto"/>
              <w:bottom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270 616 </w:t>
            </w:r>
          </w:p>
        </w:tc>
        <w:tc>
          <w:tcPr>
            <w:tcW w:w="268" w:type="pct"/>
            <w:tcBorders>
              <w:bottom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12 271 </w:t>
            </w:r>
          </w:p>
        </w:tc>
        <w:tc>
          <w:tcPr>
            <w:tcW w:w="358" w:type="pct"/>
            <w:tcBorders>
              <w:bottom w:val="single" w:sz="4"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255 370 </w:t>
            </w:r>
          </w:p>
        </w:tc>
        <w:tc>
          <w:tcPr>
            <w:tcW w:w="326" w:type="pct"/>
            <w:tcBorders>
              <w:left w:val="single" w:sz="4" w:space="0" w:color="auto"/>
              <w:bottom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312 321 </w:t>
            </w:r>
          </w:p>
        </w:tc>
        <w:tc>
          <w:tcPr>
            <w:tcW w:w="265" w:type="pct"/>
            <w:tcBorders>
              <w:bottom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8 322 </w:t>
            </w:r>
          </w:p>
        </w:tc>
        <w:tc>
          <w:tcPr>
            <w:tcW w:w="383" w:type="pct"/>
            <w:tcBorders>
              <w:top w:val="nil"/>
              <w:left w:val="nil"/>
              <w:bottom w:val="single" w:sz="4" w:space="0" w:color="auto"/>
              <w:right w:val="single" w:sz="4" w:space="0" w:color="auto"/>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325 748 </w:t>
            </w:r>
          </w:p>
        </w:tc>
        <w:tc>
          <w:tcPr>
            <w:tcW w:w="314" w:type="pct"/>
            <w:tcBorders>
              <w:left w:val="single" w:sz="4" w:space="0" w:color="auto"/>
              <w:bottom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876 825 </w:t>
            </w:r>
          </w:p>
        </w:tc>
        <w:tc>
          <w:tcPr>
            <w:tcW w:w="493" w:type="pct"/>
            <w:tcBorders>
              <w:top w:val="nil"/>
              <w:left w:val="nil"/>
              <w:bottom w:val="single" w:sz="4" w:space="0" w:color="auto"/>
              <w:right w:val="nil"/>
            </w:tcBorders>
            <w:shd w:val="clear" w:color="auto" w:fill="auto"/>
            <w:noWrap/>
            <w:vAlign w:val="center"/>
            <w:hideMark/>
          </w:tcPr>
          <w:p w:rsidR="00094D4B" w:rsidRPr="0095576E" w:rsidRDefault="00094D4B" w:rsidP="00094D4B">
            <w:pPr>
              <w:widowControl/>
              <w:autoSpaceDE/>
              <w:autoSpaceDN/>
              <w:adjustRightInd/>
              <w:jc w:val="right"/>
              <w:rPr>
                <w:rFonts w:cs="Arial"/>
                <w:bCs/>
                <w:sz w:val="16"/>
                <w:szCs w:val="16"/>
                <w:lang w:val="fr-FR"/>
              </w:rPr>
            </w:pPr>
            <w:r w:rsidRPr="0095576E">
              <w:rPr>
                <w:rFonts w:cs="Arial"/>
                <w:bCs/>
                <w:sz w:val="16"/>
                <w:szCs w:val="16"/>
                <w:lang w:val="fr-FR"/>
              </w:rPr>
              <w:t xml:space="preserve">861 258 </w:t>
            </w:r>
          </w:p>
        </w:tc>
      </w:tr>
      <w:tr w:rsidR="009F0C53" w:rsidRPr="0095576E" w:rsidTr="004D469F">
        <w:trPr>
          <w:trHeight w:val="299"/>
        </w:trPr>
        <w:tc>
          <w:tcPr>
            <w:tcW w:w="142" w:type="pct"/>
            <w:tcBorders>
              <w:top w:val="single" w:sz="4" w:space="0" w:color="auto"/>
              <w:bottom w:val="single" w:sz="4" w:space="0" w:color="auto"/>
            </w:tcBorders>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7" w:type="pct"/>
            <w:tcBorders>
              <w:top w:val="single" w:sz="4" w:space="0" w:color="auto"/>
              <w:bottom w:val="single" w:sz="4" w:space="0" w:color="auto"/>
            </w:tcBorders>
            <w:shd w:val="clear" w:color="000000" w:fill="DCE6F1"/>
            <w:noWrap/>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w:t>
            </w:r>
          </w:p>
        </w:tc>
        <w:tc>
          <w:tcPr>
            <w:tcW w:w="1325" w:type="pct"/>
            <w:tcBorders>
              <w:top w:val="single" w:sz="4" w:space="0" w:color="auto"/>
              <w:bottom w:val="single" w:sz="4" w:space="0" w:color="auto"/>
              <w:right w:val="single" w:sz="4" w:space="0" w:color="auto"/>
            </w:tcBorders>
            <w:shd w:val="clear" w:color="000000" w:fill="DCE6F1"/>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eastAsia="Arial" w:cs="Arial"/>
                <w:b/>
                <w:bCs/>
                <w:sz w:val="16"/>
                <w:szCs w:val="16"/>
                <w:bdr w:val="nil"/>
                <w:lang w:val="fr-FR"/>
              </w:rPr>
              <w:t>Grand Total</w:t>
            </w:r>
          </w:p>
        </w:tc>
        <w:tc>
          <w:tcPr>
            <w:tcW w:w="314" w:type="pct"/>
            <w:tcBorders>
              <w:top w:val="single" w:sz="4" w:space="0" w:color="auto"/>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2 375 561 </w:t>
            </w:r>
          </w:p>
        </w:tc>
        <w:tc>
          <w:tcPr>
            <w:tcW w:w="348" w:type="pct"/>
            <w:tcBorders>
              <w:top w:val="single" w:sz="4" w:space="0" w:color="auto"/>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2 435 060 </w:t>
            </w:r>
          </w:p>
        </w:tc>
        <w:tc>
          <w:tcPr>
            <w:tcW w:w="325" w:type="pct"/>
            <w:tcBorders>
              <w:top w:val="single" w:sz="4" w:space="0" w:color="auto"/>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2 352 275 </w:t>
            </w:r>
          </w:p>
        </w:tc>
        <w:tc>
          <w:tcPr>
            <w:tcW w:w="268" w:type="pct"/>
            <w:tcBorders>
              <w:top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106 662 </w:t>
            </w:r>
          </w:p>
        </w:tc>
        <w:tc>
          <w:tcPr>
            <w:tcW w:w="358" w:type="pct"/>
            <w:tcBorders>
              <w:top w:val="single" w:sz="4" w:space="0" w:color="auto"/>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2 219 755 </w:t>
            </w:r>
          </w:p>
        </w:tc>
        <w:tc>
          <w:tcPr>
            <w:tcW w:w="326" w:type="pct"/>
            <w:tcBorders>
              <w:top w:val="single" w:sz="4" w:space="0" w:color="auto"/>
              <w:left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2 714 793 </w:t>
            </w:r>
          </w:p>
        </w:tc>
        <w:tc>
          <w:tcPr>
            <w:tcW w:w="265" w:type="pct"/>
            <w:tcBorders>
              <w:top w:val="single" w:sz="4" w:space="0" w:color="auto"/>
              <w:bottom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72 338 </w:t>
            </w:r>
          </w:p>
        </w:tc>
        <w:tc>
          <w:tcPr>
            <w:tcW w:w="383" w:type="pct"/>
            <w:tcBorders>
              <w:top w:val="single" w:sz="4" w:space="0" w:color="auto"/>
              <w:left w:val="nil"/>
              <w:bottom w:val="single" w:sz="4" w:space="0" w:color="auto"/>
              <w:right w:val="single" w:sz="4" w:space="0" w:color="auto"/>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2 831 502 </w:t>
            </w:r>
          </w:p>
        </w:tc>
        <w:tc>
          <w:tcPr>
            <w:tcW w:w="314" w:type="pct"/>
            <w:tcBorders>
              <w:top w:val="single" w:sz="4" w:space="0" w:color="auto"/>
              <w:left w:val="single" w:sz="4" w:space="0" w:color="auto"/>
              <w:bottom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7 621 629 </w:t>
            </w:r>
          </w:p>
        </w:tc>
        <w:tc>
          <w:tcPr>
            <w:tcW w:w="493" w:type="pct"/>
            <w:tcBorders>
              <w:top w:val="single" w:sz="4" w:space="0" w:color="auto"/>
              <w:left w:val="nil"/>
              <w:bottom w:val="single" w:sz="4" w:space="0" w:color="auto"/>
              <w:right w:val="nil"/>
            </w:tcBorders>
            <w:shd w:val="clear" w:color="000000" w:fill="DCE6F1"/>
            <w:noWrap/>
            <w:vAlign w:val="center"/>
            <w:hideMark/>
          </w:tcPr>
          <w:p w:rsidR="00094D4B" w:rsidRPr="0095576E" w:rsidRDefault="00094D4B" w:rsidP="00094D4B">
            <w:pPr>
              <w:widowControl/>
              <w:autoSpaceDE/>
              <w:autoSpaceDN/>
              <w:adjustRightInd/>
              <w:jc w:val="right"/>
              <w:rPr>
                <w:rFonts w:cs="Arial"/>
                <w:b/>
                <w:bCs/>
                <w:sz w:val="16"/>
                <w:szCs w:val="16"/>
                <w:lang w:val="fr-FR"/>
              </w:rPr>
            </w:pPr>
            <w:r w:rsidRPr="0095576E">
              <w:rPr>
                <w:rFonts w:cs="Arial"/>
                <w:b/>
                <w:bCs/>
                <w:sz w:val="16"/>
                <w:szCs w:val="16"/>
                <w:lang w:val="fr-FR"/>
              </w:rPr>
              <w:t xml:space="preserve">7 486 318 </w:t>
            </w:r>
          </w:p>
        </w:tc>
      </w:tr>
    </w:tbl>
    <w:p w:rsidR="00A90356" w:rsidRPr="00A90356" w:rsidRDefault="00094D4B">
      <w:pPr>
        <w:pStyle w:val="ListParagraph"/>
        <w:pBdr>
          <w:top w:val="single" w:sz="6" w:space="8" w:color="FFFFFF"/>
          <w:left w:val="single" w:sz="6" w:space="0" w:color="FFFFFF"/>
          <w:bottom w:val="single" w:sz="6" w:space="0" w:color="FFFFFF"/>
          <w:right w:val="single" w:sz="6" w:space="0" w:color="FFFFFF"/>
        </w:pBdr>
        <w:ind w:left="0"/>
        <w:outlineLvl w:val="1"/>
        <w:rPr>
          <w:rFonts w:cs="Arial"/>
          <w:b/>
          <w:caps/>
          <w:sz w:val="12"/>
          <w:szCs w:val="12"/>
          <w:vertAlign w:val="superscript"/>
          <w:lang w:val="fr-FR"/>
        </w:rPr>
      </w:pPr>
      <w:r w:rsidRPr="00A90356">
        <w:rPr>
          <w:rFonts w:eastAsia="Arial" w:cs="Arial"/>
          <w:sz w:val="12"/>
          <w:szCs w:val="12"/>
          <w:bdr w:val="nil"/>
          <w:vertAlign w:val="superscript"/>
          <w:lang w:val="fr-FR"/>
        </w:rPr>
        <w:t>1</w:t>
      </w:r>
      <w:r w:rsidRPr="00A90356">
        <w:rPr>
          <w:rFonts w:eastAsia="Arial" w:cs="Arial"/>
          <w:sz w:val="12"/>
          <w:szCs w:val="12"/>
          <w:bdr w:val="nil"/>
          <w:lang w:val="fr-FR"/>
        </w:rPr>
        <w:t xml:space="preserve"> Partage des coûts avec le Secrétariat de l’ASCOBANS</w:t>
      </w:r>
      <w:r w:rsidR="00A90356" w:rsidRPr="00A90356">
        <w:rPr>
          <w:rFonts w:eastAsia="Arial" w:cs="Arial"/>
          <w:sz w:val="12"/>
          <w:szCs w:val="12"/>
          <w:bdr w:val="nil"/>
          <w:lang w:val="fr-FR"/>
        </w:rPr>
        <w:t xml:space="preserve"> - </w:t>
      </w:r>
      <w:r w:rsidR="00A90356" w:rsidRPr="00A90356">
        <w:rPr>
          <w:rFonts w:eastAsia="Arial" w:cs="Arial"/>
          <w:sz w:val="12"/>
          <w:szCs w:val="12"/>
          <w:bdr w:val="nil"/>
          <w:vertAlign w:val="superscript"/>
          <w:lang w:val="fr-FR"/>
        </w:rPr>
        <w:t>2</w:t>
      </w:r>
      <w:r w:rsidR="00A90356" w:rsidRPr="00A90356">
        <w:rPr>
          <w:rFonts w:eastAsia="Arial" w:cs="Arial"/>
          <w:sz w:val="12"/>
          <w:szCs w:val="12"/>
          <w:bdr w:val="nil"/>
          <w:lang w:val="fr-FR"/>
        </w:rPr>
        <w:t xml:space="preserve"> Fonctions remplies par le Secrétaire exécutif adjoint- </w:t>
      </w:r>
      <w:r w:rsidR="00A90356" w:rsidRPr="00A90356">
        <w:rPr>
          <w:rFonts w:eastAsia="Arial" w:cs="Arial"/>
          <w:sz w:val="12"/>
          <w:szCs w:val="12"/>
          <w:bdr w:val="nil"/>
          <w:vertAlign w:val="superscript"/>
          <w:lang w:val="fr-FR"/>
        </w:rPr>
        <w:t>3</w:t>
      </w:r>
      <w:r w:rsidR="00A90356" w:rsidRPr="00A90356">
        <w:rPr>
          <w:rFonts w:eastAsia="Arial" w:cs="Arial"/>
          <w:sz w:val="12"/>
          <w:szCs w:val="12"/>
          <w:bdr w:val="nil"/>
          <w:lang w:val="fr-FR"/>
        </w:rPr>
        <w:t xml:space="preserve"> Les comptes officiels du PNUE sont tenus en dollars américains (USD), cependant, aux fins du présent rapport, les dépenses en euros (EUR) ont été estimées en utilisant une moyenne des taux de change officiels mensuels des Nations Unies au cours de la période de dépenses. Les taux utilisés sont les suivants : 2015, 1 USD = 0,901 € ; 2016, 1 USD = 0,903 € et 2017 (janvier-août), 1 USD = 0,914 €.</w:t>
      </w:r>
    </w:p>
    <w:sectPr w:rsidR="00A90356" w:rsidRPr="00A90356" w:rsidSect="00094D4B">
      <w:headerReference w:type="even" r:id="rId21"/>
      <w:headerReference w:type="default" r:id="rId22"/>
      <w:headerReference w:type="first" r:id="rId23"/>
      <w:pgSz w:w="16837" w:h="11905" w:orient="landscape" w:code="9"/>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36" w:rsidRDefault="00092036">
      <w:r>
        <w:separator/>
      </w:r>
    </w:p>
  </w:endnote>
  <w:endnote w:type="continuationSeparator" w:id="0">
    <w:p w:rsidR="00092036" w:rsidRDefault="000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922791" w:rsidRDefault="00092036" w:rsidP="00094D4B">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F0C53">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42497"/>
      <w:docPartObj>
        <w:docPartGallery w:val="Page Numbers (Bottom of Page)"/>
        <w:docPartUnique/>
      </w:docPartObj>
    </w:sdtPr>
    <w:sdtEndPr>
      <w:rPr>
        <w:noProof/>
      </w:rPr>
    </w:sdtEndPr>
    <w:sdtContent>
      <w:p w:rsidR="00092036" w:rsidRDefault="00092036">
        <w:pPr>
          <w:pStyle w:val="Footer"/>
          <w:jc w:val="center"/>
        </w:pPr>
        <w:r>
          <w:fldChar w:fldCharType="begin"/>
        </w:r>
        <w:r>
          <w:instrText xml:space="preserve"> PAGE   \* MERGEFORMAT </w:instrText>
        </w:r>
        <w:r>
          <w:fldChar w:fldCharType="separate"/>
        </w:r>
        <w:r w:rsidR="009F0C53">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CD7355" w:rsidRDefault="00092036" w:rsidP="00094D4B">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7792"/>
      <w:docPartObj>
        <w:docPartGallery w:val="Page Numbers (Bottom of Page)"/>
        <w:docPartUnique/>
      </w:docPartObj>
    </w:sdtPr>
    <w:sdtEndPr>
      <w:rPr>
        <w:noProof/>
      </w:rPr>
    </w:sdtEndPr>
    <w:sdtContent>
      <w:p w:rsidR="00092036" w:rsidRDefault="00092036">
        <w:pPr>
          <w:pStyle w:val="Footer"/>
          <w:jc w:val="center"/>
        </w:pPr>
        <w:r>
          <w:fldChar w:fldCharType="begin"/>
        </w:r>
        <w:r>
          <w:instrText xml:space="preserve"> PAGE   \* MERGEFORMAT </w:instrText>
        </w:r>
        <w:r>
          <w:fldChar w:fldCharType="separate"/>
        </w:r>
        <w:r w:rsidR="009F0C53">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36" w:rsidRDefault="00092036">
      <w:r>
        <w:separator/>
      </w:r>
    </w:p>
  </w:footnote>
  <w:footnote w:type="continuationSeparator" w:id="0">
    <w:p w:rsidR="00092036" w:rsidRDefault="00092036">
      <w:r>
        <w:continuationSeparator/>
      </w:r>
    </w:p>
  </w:footnote>
  <w:footnote w:id="1">
    <w:p w:rsidR="00092036" w:rsidRPr="00015D21" w:rsidRDefault="00092036" w:rsidP="00094D4B">
      <w:pPr>
        <w:pStyle w:val="FootnoteText"/>
        <w:tabs>
          <w:tab w:val="left" w:pos="284"/>
        </w:tabs>
        <w:rPr>
          <w:szCs w:val="18"/>
          <w:lang w:val="fr-FR"/>
        </w:rPr>
      </w:pPr>
      <w:r w:rsidRPr="004840AF">
        <w:rPr>
          <w:rStyle w:val="FootnoteReference"/>
          <w:szCs w:val="18"/>
          <w:vertAlign w:val="superscript"/>
        </w:rPr>
        <w:footnoteRef/>
      </w:r>
      <w:r>
        <w:rPr>
          <w:rFonts w:eastAsia="Arial" w:cs="Arial"/>
          <w:szCs w:val="18"/>
          <w:bdr w:val="nil"/>
          <w:lang w:val="fr-FR"/>
        </w:rPr>
        <w:t xml:space="preserve"> </w:t>
      </w:r>
      <w:r>
        <w:rPr>
          <w:rFonts w:eastAsia="Arial" w:cs="Arial"/>
          <w:szCs w:val="18"/>
          <w:bdr w:val="nil"/>
          <w:lang w:val="fr-FR"/>
        </w:rPr>
        <w:tab/>
      </w:r>
      <w:r>
        <w:rPr>
          <w:rFonts w:eastAsia="Arial" w:cs="Arial"/>
          <w:sz w:val="16"/>
          <w:szCs w:val="16"/>
          <w:bdr w:val="nil"/>
          <w:lang w:val="fr-FR"/>
        </w:rPr>
        <w:t>Sur la base du taux de change opérationnel des Nations Unies au 31 décembre 2014 de 1 USD = 0,82 €.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922791" w:rsidRDefault="00092036" w:rsidP="00094D4B">
    <w:pPr>
      <w:pStyle w:val="Heading1"/>
      <w:keepNext w:val="0"/>
      <w:pBdr>
        <w:bottom w:val="single" w:sz="4" w:space="1" w:color="auto"/>
      </w:pBdr>
      <w:tabs>
        <w:tab w:val="clear" w:pos="-720"/>
      </w:tabs>
      <w:ind w:left="261" w:right="-277" w:hanging="261"/>
      <w:rPr>
        <w:rFonts w:cs="Arial"/>
        <w:b w:val="0"/>
        <w:i/>
        <w:sz w:val="18"/>
        <w:szCs w:val="18"/>
        <w:lang w:val="en-US"/>
      </w:rPr>
    </w:pPr>
    <w:r>
      <w:rPr>
        <w:rFonts w:eastAsia="Arial" w:cs="Arial"/>
        <w:b w:val="0"/>
        <w:i/>
        <w:iCs/>
        <w:sz w:val="18"/>
        <w:szCs w:val="18"/>
        <w:bdr w:val="nil"/>
        <w:lang w:val="fr-FR"/>
      </w:rPr>
      <w:t>UNEP/CMS/COP12/Doc.14.1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497E66" w:rsidRDefault="00092036" w:rsidP="00A90356">
    <w:pPr>
      <w:pStyle w:val="Heading1"/>
      <w:keepNext w:val="0"/>
      <w:pBdr>
        <w:bottom w:val="single" w:sz="4" w:space="1" w:color="auto"/>
      </w:pBdr>
      <w:tabs>
        <w:tab w:val="clear" w:pos="-720"/>
      </w:tabs>
      <w:ind w:left="261" w:right="-54" w:hanging="261"/>
      <w:jc w:val="right"/>
      <w:rPr>
        <w:rFonts w:cs="Arial"/>
        <w:b w:val="0"/>
        <w:i/>
        <w:sz w:val="18"/>
        <w:szCs w:val="18"/>
        <w:lang w:val="fr-FR"/>
      </w:rPr>
    </w:pPr>
    <w:r>
      <w:rPr>
        <w:rFonts w:eastAsia="Arial" w:cs="Arial"/>
        <w:b w:val="0"/>
        <w:i/>
        <w:iCs/>
        <w:sz w:val="18"/>
        <w:szCs w:val="18"/>
        <w:bdr w:val="nil"/>
        <w:lang w:val="fr-FR"/>
      </w:rPr>
      <w:t>UNEP/CMS/COP12/Doc.14.1/Annexe 2</w:t>
    </w:r>
  </w:p>
  <w:p w:rsidR="00092036" w:rsidRPr="00497E66" w:rsidRDefault="00092036" w:rsidP="00094D4B">
    <w:pPr>
      <w:jc w:val="right"/>
      <w:rPr>
        <w:i/>
        <w:szCs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D605A4" w:rsidRDefault="00092036" w:rsidP="00094D4B">
    <w:pPr>
      <w:pStyle w:val="Header"/>
      <w:pBdr>
        <w:bottom w:val="single" w:sz="4" w:space="1" w:color="auto"/>
      </w:pBdr>
      <w:jc w:val="right"/>
      <w:rPr>
        <w:rFonts w:cs="Arial"/>
        <w:i/>
        <w:szCs w:val="18"/>
        <w:lang w:val="de-DE"/>
      </w:rPr>
    </w:pPr>
    <w:r>
      <w:rPr>
        <w:rFonts w:eastAsia="Arial" w:cs="Arial"/>
        <w:i/>
        <w:iCs/>
        <w:szCs w:val="18"/>
        <w:bdr w:val="nil"/>
        <w:lang w:val="fr-FR"/>
      </w:rPr>
      <w:t>UNEP/CMS/COP12/Doc.14.1/Annexe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497E66" w:rsidRDefault="00092036" w:rsidP="00094D4B">
    <w:pPr>
      <w:pStyle w:val="Heading1"/>
      <w:keepNext w:val="0"/>
      <w:pBdr>
        <w:bottom w:val="single" w:sz="4" w:space="1" w:color="auto"/>
      </w:pBdr>
      <w:tabs>
        <w:tab w:val="clear" w:pos="-720"/>
      </w:tabs>
      <w:ind w:left="261" w:right="-277" w:hanging="261"/>
      <w:jc w:val="right"/>
      <w:rPr>
        <w:rFonts w:cs="Arial"/>
        <w:b w:val="0"/>
        <w:i/>
        <w:sz w:val="18"/>
        <w:szCs w:val="18"/>
        <w:lang w:val="fr-FR"/>
      </w:rPr>
    </w:pPr>
    <w:r>
      <w:rPr>
        <w:rFonts w:eastAsia="Arial" w:cs="Arial"/>
        <w:b w:val="0"/>
        <w:i/>
        <w:iCs/>
        <w:sz w:val="18"/>
        <w:szCs w:val="18"/>
        <w:bdr w:val="nil"/>
        <w:lang w:val="fr-FR"/>
      </w:rPr>
      <w:t>UNEP/CMS/COP12/Doc14.1</w:t>
    </w:r>
  </w:p>
  <w:p w:rsidR="00092036" w:rsidRPr="00497E66" w:rsidRDefault="00092036" w:rsidP="00094D4B">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Default="00A90356" w:rsidP="00094D4B">
    <w:pPr>
      <w:pStyle w:val="Header"/>
    </w:pPr>
    <w:r w:rsidRPr="000E6D60">
      <w:rPr>
        <w:noProof/>
        <w:lang w:val="en-US"/>
      </w:rPr>
      <w:drawing>
        <wp:anchor distT="0" distB="0" distL="114300" distR="114300" simplePos="0" relativeHeight="251658240" behindDoc="1" locked="0" layoutInCell="1" allowOverlap="1" wp14:anchorId="4A701774" wp14:editId="49409196">
          <wp:simplePos x="0" y="0"/>
          <wp:positionH relativeFrom="column">
            <wp:posOffset>880110</wp:posOffset>
          </wp:positionH>
          <wp:positionV relativeFrom="paragraph">
            <wp:posOffset>635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D60">
      <w:rPr>
        <w:noProof/>
        <w:lang w:val="en-US"/>
      </w:rPr>
      <w:drawing>
        <wp:anchor distT="0" distB="0" distL="114300" distR="114300" simplePos="0" relativeHeight="251659264" behindDoc="1" locked="0" layoutInCell="1" allowOverlap="1" wp14:anchorId="4D1DF62B" wp14:editId="11799ED3">
          <wp:simplePos x="0" y="0"/>
          <wp:positionH relativeFrom="column">
            <wp:posOffset>-67310</wp:posOffset>
          </wp:positionH>
          <wp:positionV relativeFrom="paragraph">
            <wp:posOffset>5080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36" w:rsidRDefault="000920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497E66" w:rsidRDefault="00092036" w:rsidP="00094D4B">
    <w:pPr>
      <w:pStyle w:val="Heading1"/>
      <w:keepNext w:val="0"/>
      <w:pBdr>
        <w:bottom w:val="single" w:sz="4" w:space="1" w:color="auto"/>
      </w:pBdr>
      <w:tabs>
        <w:tab w:val="clear" w:pos="-720"/>
      </w:tabs>
      <w:ind w:left="261" w:right="-277" w:hanging="261"/>
      <w:jc w:val="right"/>
      <w:rPr>
        <w:rFonts w:cs="Arial"/>
        <w:b w:val="0"/>
        <w:i/>
        <w:sz w:val="18"/>
        <w:szCs w:val="18"/>
        <w:lang w:val="fr-FR"/>
      </w:rPr>
    </w:pPr>
    <w:r>
      <w:rPr>
        <w:rFonts w:eastAsia="Arial" w:cs="Arial"/>
        <w:b w:val="0"/>
        <w:i/>
        <w:iCs/>
        <w:sz w:val="18"/>
        <w:szCs w:val="18"/>
        <w:bdr w:val="nil"/>
        <w:lang w:val="fr-FR"/>
      </w:rPr>
      <w:t>UNEP/CMS/COP12/Doc.14.1</w:t>
    </w:r>
  </w:p>
  <w:p w:rsidR="00092036" w:rsidRPr="00497E66" w:rsidRDefault="00092036" w:rsidP="00094D4B">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D605A4" w:rsidRDefault="00092036" w:rsidP="00094D4B">
    <w:pPr>
      <w:pStyle w:val="Header"/>
      <w:pBdr>
        <w:bottom w:val="single" w:sz="4" w:space="1" w:color="auto"/>
      </w:pBdr>
      <w:rPr>
        <w:rFonts w:cs="Arial"/>
        <w:i/>
        <w:szCs w:val="18"/>
        <w:lang w:val="de-DE"/>
      </w:rPr>
    </w:pPr>
    <w:r>
      <w:rPr>
        <w:rFonts w:eastAsia="Arial" w:cs="Arial"/>
        <w:i/>
        <w:iCs/>
        <w:szCs w:val="18"/>
        <w:bdr w:val="nil"/>
        <w:lang w:val="fr-FR"/>
      </w:rPr>
      <w:t>UNEP/CMS/COP12/Doc.14.1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922791" w:rsidRDefault="00092036" w:rsidP="00A90356">
    <w:pPr>
      <w:pStyle w:val="Heading1"/>
      <w:keepNext w:val="0"/>
      <w:pBdr>
        <w:bottom w:val="single" w:sz="4" w:space="1" w:color="auto"/>
      </w:pBdr>
      <w:tabs>
        <w:tab w:val="clear" w:pos="-720"/>
      </w:tabs>
      <w:ind w:left="261" w:right="-54" w:hanging="261"/>
      <w:rPr>
        <w:rFonts w:cs="Arial"/>
        <w:b w:val="0"/>
        <w:i/>
        <w:sz w:val="18"/>
        <w:szCs w:val="18"/>
        <w:lang w:val="en-US"/>
      </w:rPr>
    </w:pPr>
    <w:r>
      <w:rPr>
        <w:rFonts w:eastAsia="Arial" w:cs="Arial"/>
        <w:b w:val="0"/>
        <w:i/>
        <w:iCs/>
        <w:sz w:val="18"/>
        <w:szCs w:val="18"/>
        <w:bdr w:val="nil"/>
        <w:lang w:val="fr-FR"/>
      </w:rPr>
      <w:t>UNEP/CMS/COP12/Doc.14.1/Annexe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497E66" w:rsidRDefault="00092036" w:rsidP="00A90356">
    <w:pPr>
      <w:pStyle w:val="Heading1"/>
      <w:keepNext w:val="0"/>
      <w:pBdr>
        <w:bottom w:val="single" w:sz="4" w:space="1" w:color="auto"/>
      </w:pBdr>
      <w:tabs>
        <w:tab w:val="clear" w:pos="-720"/>
      </w:tabs>
      <w:ind w:left="261" w:right="-54" w:hanging="261"/>
      <w:jc w:val="right"/>
      <w:rPr>
        <w:rFonts w:cs="Arial"/>
        <w:b w:val="0"/>
        <w:i/>
        <w:sz w:val="18"/>
        <w:szCs w:val="18"/>
        <w:lang w:val="fr-FR"/>
      </w:rPr>
    </w:pPr>
    <w:r>
      <w:rPr>
        <w:rFonts w:eastAsia="Arial" w:cs="Arial"/>
        <w:b w:val="0"/>
        <w:i/>
        <w:iCs/>
        <w:sz w:val="18"/>
        <w:szCs w:val="18"/>
        <w:bdr w:val="nil"/>
        <w:lang w:val="fr-FR"/>
      </w:rPr>
      <w:t>UNEP/CMS/COP12/Doc.14.1/Annexe 1</w:t>
    </w:r>
  </w:p>
  <w:p w:rsidR="00092036" w:rsidRPr="00497E66" w:rsidRDefault="00092036" w:rsidP="00094D4B">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D605A4" w:rsidRDefault="00092036" w:rsidP="00094D4B">
    <w:pPr>
      <w:pStyle w:val="Header"/>
      <w:pBdr>
        <w:bottom w:val="single" w:sz="4" w:space="1" w:color="auto"/>
      </w:pBdr>
      <w:jc w:val="right"/>
      <w:rPr>
        <w:rFonts w:cs="Arial"/>
        <w:i/>
        <w:szCs w:val="18"/>
        <w:lang w:val="de-DE"/>
      </w:rPr>
    </w:pPr>
    <w:r>
      <w:rPr>
        <w:rFonts w:eastAsia="Arial" w:cs="Arial"/>
        <w:i/>
        <w:iCs/>
        <w:szCs w:val="18"/>
        <w:bdr w:val="nil"/>
        <w:lang w:val="fr-FR"/>
      </w:rPr>
      <w:t>UNEP/CMS/COP12/Doc.14.1/Annexe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6" w:rsidRPr="00922791" w:rsidRDefault="00092036" w:rsidP="00094D4B">
    <w:pPr>
      <w:pStyle w:val="Heading1"/>
      <w:keepNext w:val="0"/>
      <w:pBdr>
        <w:bottom w:val="single" w:sz="4" w:space="1" w:color="auto"/>
      </w:pBdr>
      <w:tabs>
        <w:tab w:val="clear" w:pos="-720"/>
      </w:tabs>
      <w:ind w:left="261" w:right="-277" w:hanging="261"/>
      <w:rPr>
        <w:rFonts w:cs="Arial"/>
        <w:b w:val="0"/>
        <w:i/>
        <w:sz w:val="18"/>
        <w:szCs w:val="18"/>
        <w:lang w:val="en-US"/>
      </w:rPr>
    </w:pPr>
    <w:r>
      <w:rPr>
        <w:rFonts w:eastAsia="Arial" w:cs="Arial"/>
        <w:b w:val="0"/>
        <w:i/>
        <w:iCs/>
        <w:sz w:val="18"/>
        <w:szCs w:val="18"/>
        <w:bdr w:val="nil"/>
        <w:lang w:val="fr-FR"/>
      </w:rPr>
      <w:t>UNEP/CMS/COP12/Doc.14.1/Annexe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7A66377C">
      <w:start w:val="1"/>
      <w:numFmt w:val="lowerLetter"/>
      <w:lvlText w:val="%1)"/>
      <w:lvlJc w:val="left"/>
      <w:pPr>
        <w:ind w:left="720" w:hanging="360"/>
      </w:pPr>
    </w:lvl>
    <w:lvl w:ilvl="1" w:tplc="E20A1E46">
      <w:start w:val="1"/>
      <w:numFmt w:val="lowerLetter"/>
      <w:lvlText w:val="%2."/>
      <w:lvlJc w:val="left"/>
      <w:pPr>
        <w:ind w:left="1440" w:hanging="360"/>
      </w:pPr>
    </w:lvl>
    <w:lvl w:ilvl="2" w:tplc="AFFC03B2">
      <w:start w:val="1"/>
      <w:numFmt w:val="lowerRoman"/>
      <w:lvlText w:val="%3."/>
      <w:lvlJc w:val="right"/>
      <w:pPr>
        <w:ind w:left="2160" w:hanging="180"/>
      </w:pPr>
    </w:lvl>
    <w:lvl w:ilvl="3" w:tplc="1A50E1B0">
      <w:start w:val="1"/>
      <w:numFmt w:val="decimal"/>
      <w:lvlText w:val="%4."/>
      <w:lvlJc w:val="left"/>
      <w:pPr>
        <w:ind w:left="2880" w:hanging="360"/>
      </w:pPr>
    </w:lvl>
    <w:lvl w:ilvl="4" w:tplc="C67AC81A">
      <w:start w:val="1"/>
      <w:numFmt w:val="lowerLetter"/>
      <w:lvlText w:val="%5."/>
      <w:lvlJc w:val="left"/>
      <w:pPr>
        <w:ind w:left="3600" w:hanging="360"/>
      </w:pPr>
    </w:lvl>
    <w:lvl w:ilvl="5" w:tplc="10F63546">
      <w:start w:val="1"/>
      <w:numFmt w:val="lowerRoman"/>
      <w:lvlText w:val="%6."/>
      <w:lvlJc w:val="right"/>
      <w:pPr>
        <w:ind w:left="4320" w:hanging="180"/>
      </w:pPr>
    </w:lvl>
    <w:lvl w:ilvl="6" w:tplc="087AA146">
      <w:start w:val="1"/>
      <w:numFmt w:val="decimal"/>
      <w:lvlText w:val="%7."/>
      <w:lvlJc w:val="left"/>
      <w:pPr>
        <w:ind w:left="5040" w:hanging="360"/>
      </w:pPr>
    </w:lvl>
    <w:lvl w:ilvl="7" w:tplc="793ED9B0">
      <w:start w:val="1"/>
      <w:numFmt w:val="lowerLetter"/>
      <w:lvlText w:val="%8."/>
      <w:lvlJc w:val="left"/>
      <w:pPr>
        <w:ind w:left="5760" w:hanging="360"/>
      </w:pPr>
    </w:lvl>
    <w:lvl w:ilvl="8" w:tplc="D6506FDE">
      <w:start w:val="1"/>
      <w:numFmt w:val="lowerRoman"/>
      <w:lvlText w:val="%9."/>
      <w:lvlJc w:val="right"/>
      <w:pPr>
        <w:ind w:left="6480" w:hanging="180"/>
      </w:pPr>
    </w:lvl>
  </w:abstractNum>
  <w:abstractNum w:abstractNumId="2" w15:restartNumberingAfterBreak="0">
    <w:nsid w:val="2426759F"/>
    <w:multiLevelType w:val="hybridMultilevel"/>
    <w:tmpl w:val="534CF7DA"/>
    <w:lvl w:ilvl="0" w:tplc="D826DA2C">
      <w:start w:val="1"/>
      <w:numFmt w:val="lowerLetter"/>
      <w:lvlText w:val="%1)"/>
      <w:lvlJc w:val="left"/>
      <w:pPr>
        <w:ind w:left="720" w:hanging="360"/>
      </w:pPr>
    </w:lvl>
    <w:lvl w:ilvl="1" w:tplc="44C23F0A">
      <w:start w:val="1"/>
      <w:numFmt w:val="lowerLetter"/>
      <w:lvlText w:val="%2."/>
      <w:lvlJc w:val="left"/>
      <w:pPr>
        <w:ind w:left="1440" w:hanging="360"/>
      </w:pPr>
    </w:lvl>
    <w:lvl w:ilvl="2" w:tplc="B50E6AFC">
      <w:start w:val="1"/>
      <w:numFmt w:val="lowerRoman"/>
      <w:lvlText w:val="%3."/>
      <w:lvlJc w:val="right"/>
      <w:pPr>
        <w:ind w:left="2160" w:hanging="180"/>
      </w:pPr>
    </w:lvl>
    <w:lvl w:ilvl="3" w:tplc="B24A396C">
      <w:start w:val="1"/>
      <w:numFmt w:val="decimal"/>
      <w:lvlText w:val="%4."/>
      <w:lvlJc w:val="left"/>
      <w:pPr>
        <w:ind w:left="2880" w:hanging="360"/>
      </w:pPr>
    </w:lvl>
    <w:lvl w:ilvl="4" w:tplc="712E51A0">
      <w:start w:val="1"/>
      <w:numFmt w:val="lowerLetter"/>
      <w:lvlText w:val="%5."/>
      <w:lvlJc w:val="left"/>
      <w:pPr>
        <w:ind w:left="3600" w:hanging="360"/>
      </w:pPr>
    </w:lvl>
    <w:lvl w:ilvl="5" w:tplc="E0FCAB16">
      <w:start w:val="1"/>
      <w:numFmt w:val="lowerRoman"/>
      <w:lvlText w:val="%6."/>
      <w:lvlJc w:val="right"/>
      <w:pPr>
        <w:ind w:left="4320" w:hanging="180"/>
      </w:pPr>
    </w:lvl>
    <w:lvl w:ilvl="6" w:tplc="088A069C">
      <w:start w:val="1"/>
      <w:numFmt w:val="decimal"/>
      <w:lvlText w:val="%7."/>
      <w:lvlJc w:val="left"/>
      <w:pPr>
        <w:ind w:left="5040" w:hanging="360"/>
      </w:pPr>
    </w:lvl>
    <w:lvl w:ilvl="7" w:tplc="CFF2015E">
      <w:start w:val="1"/>
      <w:numFmt w:val="lowerLetter"/>
      <w:lvlText w:val="%8."/>
      <w:lvlJc w:val="left"/>
      <w:pPr>
        <w:ind w:left="5760" w:hanging="360"/>
      </w:pPr>
    </w:lvl>
    <w:lvl w:ilvl="8" w:tplc="AC780884">
      <w:start w:val="1"/>
      <w:numFmt w:val="lowerRoman"/>
      <w:lvlText w:val="%9."/>
      <w:lvlJc w:val="right"/>
      <w:pPr>
        <w:ind w:left="6480" w:hanging="180"/>
      </w:pPr>
    </w:lvl>
  </w:abstractNum>
  <w:abstractNum w:abstractNumId="3" w15:restartNumberingAfterBreak="0">
    <w:nsid w:val="25613F33"/>
    <w:multiLevelType w:val="hybridMultilevel"/>
    <w:tmpl w:val="31F83C7C"/>
    <w:lvl w:ilvl="0" w:tplc="C2D022DE">
      <w:start w:val="1"/>
      <w:numFmt w:val="bullet"/>
      <w:lvlText w:val="-"/>
      <w:lvlJc w:val="left"/>
      <w:pPr>
        <w:ind w:left="720" w:hanging="360"/>
      </w:pPr>
      <w:rPr>
        <w:rFonts w:ascii="Arial" w:eastAsia="Times New Roman" w:hAnsi="Arial" w:cs="Arial" w:hint="default"/>
      </w:rPr>
    </w:lvl>
    <w:lvl w:ilvl="1" w:tplc="0CE4E38E" w:tentative="1">
      <w:start w:val="1"/>
      <w:numFmt w:val="bullet"/>
      <w:lvlText w:val="o"/>
      <w:lvlJc w:val="left"/>
      <w:pPr>
        <w:ind w:left="1440" w:hanging="360"/>
      </w:pPr>
      <w:rPr>
        <w:rFonts w:ascii="Courier New" w:hAnsi="Courier New" w:cs="Courier New" w:hint="default"/>
      </w:rPr>
    </w:lvl>
    <w:lvl w:ilvl="2" w:tplc="7A4AE4E8" w:tentative="1">
      <w:start w:val="1"/>
      <w:numFmt w:val="bullet"/>
      <w:lvlText w:val=""/>
      <w:lvlJc w:val="left"/>
      <w:pPr>
        <w:ind w:left="2160" w:hanging="360"/>
      </w:pPr>
      <w:rPr>
        <w:rFonts w:ascii="Wingdings" w:hAnsi="Wingdings" w:hint="default"/>
      </w:rPr>
    </w:lvl>
    <w:lvl w:ilvl="3" w:tplc="44DABEB2" w:tentative="1">
      <w:start w:val="1"/>
      <w:numFmt w:val="bullet"/>
      <w:lvlText w:val=""/>
      <w:lvlJc w:val="left"/>
      <w:pPr>
        <w:ind w:left="2880" w:hanging="360"/>
      </w:pPr>
      <w:rPr>
        <w:rFonts w:ascii="Symbol" w:hAnsi="Symbol" w:hint="default"/>
      </w:rPr>
    </w:lvl>
    <w:lvl w:ilvl="4" w:tplc="60B69E9A" w:tentative="1">
      <w:start w:val="1"/>
      <w:numFmt w:val="bullet"/>
      <w:lvlText w:val="o"/>
      <w:lvlJc w:val="left"/>
      <w:pPr>
        <w:ind w:left="3600" w:hanging="360"/>
      </w:pPr>
      <w:rPr>
        <w:rFonts w:ascii="Courier New" w:hAnsi="Courier New" w:cs="Courier New" w:hint="default"/>
      </w:rPr>
    </w:lvl>
    <w:lvl w:ilvl="5" w:tplc="2610B0EE" w:tentative="1">
      <w:start w:val="1"/>
      <w:numFmt w:val="bullet"/>
      <w:lvlText w:val=""/>
      <w:lvlJc w:val="left"/>
      <w:pPr>
        <w:ind w:left="4320" w:hanging="360"/>
      </w:pPr>
      <w:rPr>
        <w:rFonts w:ascii="Wingdings" w:hAnsi="Wingdings" w:hint="default"/>
      </w:rPr>
    </w:lvl>
    <w:lvl w:ilvl="6" w:tplc="4404E100" w:tentative="1">
      <w:start w:val="1"/>
      <w:numFmt w:val="bullet"/>
      <w:lvlText w:val=""/>
      <w:lvlJc w:val="left"/>
      <w:pPr>
        <w:ind w:left="5040" w:hanging="360"/>
      </w:pPr>
      <w:rPr>
        <w:rFonts w:ascii="Symbol" w:hAnsi="Symbol" w:hint="default"/>
      </w:rPr>
    </w:lvl>
    <w:lvl w:ilvl="7" w:tplc="83166556" w:tentative="1">
      <w:start w:val="1"/>
      <w:numFmt w:val="bullet"/>
      <w:lvlText w:val="o"/>
      <w:lvlJc w:val="left"/>
      <w:pPr>
        <w:ind w:left="5760" w:hanging="360"/>
      </w:pPr>
      <w:rPr>
        <w:rFonts w:ascii="Courier New" w:hAnsi="Courier New" w:cs="Courier New" w:hint="default"/>
      </w:rPr>
    </w:lvl>
    <w:lvl w:ilvl="8" w:tplc="FE6E6784" w:tentative="1">
      <w:start w:val="1"/>
      <w:numFmt w:val="bullet"/>
      <w:lvlText w:val=""/>
      <w:lvlJc w:val="left"/>
      <w:pPr>
        <w:ind w:left="6480" w:hanging="360"/>
      </w:pPr>
      <w:rPr>
        <w:rFonts w:ascii="Wingdings" w:hAnsi="Wingdings" w:hint="default"/>
      </w:r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9BA8EA6A">
      <w:start w:val="1"/>
      <w:numFmt w:val="lowerLetter"/>
      <w:lvlText w:val="%1)"/>
      <w:lvlJc w:val="left"/>
      <w:pPr>
        <w:ind w:left="720" w:hanging="360"/>
      </w:pPr>
    </w:lvl>
    <w:lvl w:ilvl="1" w:tplc="6B540024">
      <w:start w:val="1"/>
      <w:numFmt w:val="lowerLetter"/>
      <w:lvlText w:val="%2."/>
      <w:lvlJc w:val="left"/>
      <w:pPr>
        <w:ind w:left="1440" w:hanging="360"/>
      </w:pPr>
    </w:lvl>
    <w:lvl w:ilvl="2" w:tplc="ACAEF926">
      <w:start w:val="1"/>
      <w:numFmt w:val="lowerRoman"/>
      <w:lvlText w:val="%3."/>
      <w:lvlJc w:val="right"/>
      <w:pPr>
        <w:ind w:left="2160" w:hanging="180"/>
      </w:pPr>
    </w:lvl>
    <w:lvl w:ilvl="3" w:tplc="EA3A49B0">
      <w:start w:val="1"/>
      <w:numFmt w:val="decimal"/>
      <w:lvlText w:val="%4."/>
      <w:lvlJc w:val="left"/>
      <w:pPr>
        <w:ind w:left="2880" w:hanging="360"/>
      </w:pPr>
    </w:lvl>
    <w:lvl w:ilvl="4" w:tplc="4444405C">
      <w:start w:val="1"/>
      <w:numFmt w:val="lowerLetter"/>
      <w:lvlText w:val="%5."/>
      <w:lvlJc w:val="left"/>
      <w:pPr>
        <w:ind w:left="3600" w:hanging="360"/>
      </w:pPr>
    </w:lvl>
    <w:lvl w:ilvl="5" w:tplc="87B0EE20">
      <w:start w:val="1"/>
      <w:numFmt w:val="lowerRoman"/>
      <w:lvlText w:val="%6."/>
      <w:lvlJc w:val="right"/>
      <w:pPr>
        <w:ind w:left="4320" w:hanging="180"/>
      </w:pPr>
    </w:lvl>
    <w:lvl w:ilvl="6" w:tplc="066A771C">
      <w:start w:val="1"/>
      <w:numFmt w:val="decimal"/>
      <w:lvlText w:val="%7."/>
      <w:lvlJc w:val="left"/>
      <w:pPr>
        <w:ind w:left="5040" w:hanging="360"/>
      </w:pPr>
    </w:lvl>
    <w:lvl w:ilvl="7" w:tplc="D87A77D8">
      <w:start w:val="1"/>
      <w:numFmt w:val="lowerLetter"/>
      <w:lvlText w:val="%8."/>
      <w:lvlJc w:val="left"/>
      <w:pPr>
        <w:ind w:left="5760" w:hanging="360"/>
      </w:pPr>
    </w:lvl>
    <w:lvl w:ilvl="8" w:tplc="0088AE5E">
      <w:start w:val="1"/>
      <w:numFmt w:val="lowerRoman"/>
      <w:lvlText w:val="%9."/>
      <w:lvlJc w:val="right"/>
      <w:pPr>
        <w:ind w:left="6480" w:hanging="180"/>
      </w:pPr>
    </w:lvl>
  </w:abstractNum>
  <w:abstractNum w:abstractNumId="6" w15:restartNumberingAfterBreak="0">
    <w:nsid w:val="456875C1"/>
    <w:multiLevelType w:val="hybridMultilevel"/>
    <w:tmpl w:val="9C2A8D36"/>
    <w:lvl w:ilvl="0" w:tplc="81A4E390">
      <w:start w:val="1"/>
      <w:numFmt w:val="bullet"/>
      <w:lvlText w:val=""/>
      <w:lvlJc w:val="left"/>
      <w:pPr>
        <w:ind w:left="1080" w:hanging="360"/>
      </w:pPr>
      <w:rPr>
        <w:rFonts w:ascii="Symbol" w:eastAsia="Times New Roman" w:hAnsi="Symbol" w:cs="Arial" w:hint="default"/>
      </w:rPr>
    </w:lvl>
    <w:lvl w:ilvl="1" w:tplc="AE6AACEA" w:tentative="1">
      <w:start w:val="1"/>
      <w:numFmt w:val="bullet"/>
      <w:lvlText w:val="o"/>
      <w:lvlJc w:val="left"/>
      <w:pPr>
        <w:ind w:left="1800" w:hanging="360"/>
      </w:pPr>
      <w:rPr>
        <w:rFonts w:ascii="Courier New" w:hAnsi="Courier New" w:cs="Courier New" w:hint="default"/>
      </w:rPr>
    </w:lvl>
    <w:lvl w:ilvl="2" w:tplc="FEEC3BDE" w:tentative="1">
      <w:start w:val="1"/>
      <w:numFmt w:val="bullet"/>
      <w:lvlText w:val=""/>
      <w:lvlJc w:val="left"/>
      <w:pPr>
        <w:ind w:left="2520" w:hanging="360"/>
      </w:pPr>
      <w:rPr>
        <w:rFonts w:ascii="Wingdings" w:hAnsi="Wingdings" w:hint="default"/>
      </w:rPr>
    </w:lvl>
    <w:lvl w:ilvl="3" w:tplc="01B84EF6" w:tentative="1">
      <w:start w:val="1"/>
      <w:numFmt w:val="bullet"/>
      <w:lvlText w:val=""/>
      <w:lvlJc w:val="left"/>
      <w:pPr>
        <w:ind w:left="3240" w:hanging="360"/>
      </w:pPr>
      <w:rPr>
        <w:rFonts w:ascii="Symbol" w:hAnsi="Symbol" w:hint="default"/>
      </w:rPr>
    </w:lvl>
    <w:lvl w:ilvl="4" w:tplc="BCD02B4A" w:tentative="1">
      <w:start w:val="1"/>
      <w:numFmt w:val="bullet"/>
      <w:lvlText w:val="o"/>
      <w:lvlJc w:val="left"/>
      <w:pPr>
        <w:ind w:left="3960" w:hanging="360"/>
      </w:pPr>
      <w:rPr>
        <w:rFonts w:ascii="Courier New" w:hAnsi="Courier New" w:cs="Courier New" w:hint="default"/>
      </w:rPr>
    </w:lvl>
    <w:lvl w:ilvl="5" w:tplc="0BBA2E1E" w:tentative="1">
      <w:start w:val="1"/>
      <w:numFmt w:val="bullet"/>
      <w:lvlText w:val=""/>
      <w:lvlJc w:val="left"/>
      <w:pPr>
        <w:ind w:left="4680" w:hanging="360"/>
      </w:pPr>
      <w:rPr>
        <w:rFonts w:ascii="Wingdings" w:hAnsi="Wingdings" w:hint="default"/>
      </w:rPr>
    </w:lvl>
    <w:lvl w:ilvl="6" w:tplc="BD308926" w:tentative="1">
      <w:start w:val="1"/>
      <w:numFmt w:val="bullet"/>
      <w:lvlText w:val=""/>
      <w:lvlJc w:val="left"/>
      <w:pPr>
        <w:ind w:left="5400" w:hanging="360"/>
      </w:pPr>
      <w:rPr>
        <w:rFonts w:ascii="Symbol" w:hAnsi="Symbol" w:hint="default"/>
      </w:rPr>
    </w:lvl>
    <w:lvl w:ilvl="7" w:tplc="F42A82E2" w:tentative="1">
      <w:start w:val="1"/>
      <w:numFmt w:val="bullet"/>
      <w:lvlText w:val="o"/>
      <w:lvlJc w:val="left"/>
      <w:pPr>
        <w:ind w:left="6120" w:hanging="360"/>
      </w:pPr>
      <w:rPr>
        <w:rFonts w:ascii="Courier New" w:hAnsi="Courier New" w:cs="Courier New" w:hint="default"/>
      </w:rPr>
    </w:lvl>
    <w:lvl w:ilvl="8" w:tplc="978421D6" w:tentative="1">
      <w:start w:val="1"/>
      <w:numFmt w:val="bullet"/>
      <w:lvlText w:val=""/>
      <w:lvlJc w:val="left"/>
      <w:pPr>
        <w:ind w:left="6840" w:hanging="360"/>
      </w:pPr>
      <w:rPr>
        <w:rFonts w:ascii="Wingdings" w:hAnsi="Wingdings" w:hint="default"/>
      </w:rPr>
    </w:lvl>
  </w:abstractNum>
  <w:abstractNum w:abstractNumId="7" w15:restartNumberingAfterBreak="0">
    <w:nsid w:val="4A02612F"/>
    <w:multiLevelType w:val="hybridMultilevel"/>
    <w:tmpl w:val="DF9AAB10"/>
    <w:lvl w:ilvl="0" w:tplc="A23EC0F8">
      <w:start w:val="1"/>
      <w:numFmt w:val="bullet"/>
      <w:lvlText w:val=""/>
      <w:lvlJc w:val="left"/>
      <w:pPr>
        <w:ind w:left="720" w:hanging="360"/>
      </w:pPr>
      <w:rPr>
        <w:rFonts w:ascii="Symbol" w:eastAsia="Times New Roman" w:hAnsi="Symbol" w:cs="Arial" w:hint="default"/>
      </w:rPr>
    </w:lvl>
    <w:lvl w:ilvl="1" w:tplc="6F14F5A8" w:tentative="1">
      <w:start w:val="1"/>
      <w:numFmt w:val="bullet"/>
      <w:lvlText w:val="o"/>
      <w:lvlJc w:val="left"/>
      <w:pPr>
        <w:ind w:left="1440" w:hanging="360"/>
      </w:pPr>
      <w:rPr>
        <w:rFonts w:ascii="Courier New" w:hAnsi="Courier New" w:cs="Courier New" w:hint="default"/>
      </w:rPr>
    </w:lvl>
    <w:lvl w:ilvl="2" w:tplc="B31EF67E" w:tentative="1">
      <w:start w:val="1"/>
      <w:numFmt w:val="bullet"/>
      <w:lvlText w:val=""/>
      <w:lvlJc w:val="left"/>
      <w:pPr>
        <w:ind w:left="2160" w:hanging="360"/>
      </w:pPr>
      <w:rPr>
        <w:rFonts w:ascii="Wingdings" w:hAnsi="Wingdings" w:hint="default"/>
      </w:rPr>
    </w:lvl>
    <w:lvl w:ilvl="3" w:tplc="E7C4CED8" w:tentative="1">
      <w:start w:val="1"/>
      <w:numFmt w:val="bullet"/>
      <w:lvlText w:val=""/>
      <w:lvlJc w:val="left"/>
      <w:pPr>
        <w:ind w:left="2880" w:hanging="360"/>
      </w:pPr>
      <w:rPr>
        <w:rFonts w:ascii="Symbol" w:hAnsi="Symbol" w:hint="default"/>
      </w:rPr>
    </w:lvl>
    <w:lvl w:ilvl="4" w:tplc="D6D6524E" w:tentative="1">
      <w:start w:val="1"/>
      <w:numFmt w:val="bullet"/>
      <w:lvlText w:val="o"/>
      <w:lvlJc w:val="left"/>
      <w:pPr>
        <w:ind w:left="3600" w:hanging="360"/>
      </w:pPr>
      <w:rPr>
        <w:rFonts w:ascii="Courier New" w:hAnsi="Courier New" w:cs="Courier New" w:hint="default"/>
      </w:rPr>
    </w:lvl>
    <w:lvl w:ilvl="5" w:tplc="EDC8AAD8" w:tentative="1">
      <w:start w:val="1"/>
      <w:numFmt w:val="bullet"/>
      <w:lvlText w:val=""/>
      <w:lvlJc w:val="left"/>
      <w:pPr>
        <w:ind w:left="4320" w:hanging="360"/>
      </w:pPr>
      <w:rPr>
        <w:rFonts w:ascii="Wingdings" w:hAnsi="Wingdings" w:hint="default"/>
      </w:rPr>
    </w:lvl>
    <w:lvl w:ilvl="6" w:tplc="BF8E59B4" w:tentative="1">
      <w:start w:val="1"/>
      <w:numFmt w:val="bullet"/>
      <w:lvlText w:val=""/>
      <w:lvlJc w:val="left"/>
      <w:pPr>
        <w:ind w:left="5040" w:hanging="360"/>
      </w:pPr>
      <w:rPr>
        <w:rFonts w:ascii="Symbol" w:hAnsi="Symbol" w:hint="default"/>
      </w:rPr>
    </w:lvl>
    <w:lvl w:ilvl="7" w:tplc="E1BA56DA" w:tentative="1">
      <w:start w:val="1"/>
      <w:numFmt w:val="bullet"/>
      <w:lvlText w:val="o"/>
      <w:lvlJc w:val="left"/>
      <w:pPr>
        <w:ind w:left="5760" w:hanging="360"/>
      </w:pPr>
      <w:rPr>
        <w:rFonts w:ascii="Courier New" w:hAnsi="Courier New" w:cs="Courier New" w:hint="default"/>
      </w:rPr>
    </w:lvl>
    <w:lvl w:ilvl="8" w:tplc="4E300F7E" w:tentative="1">
      <w:start w:val="1"/>
      <w:numFmt w:val="bullet"/>
      <w:lvlText w:val=""/>
      <w:lvlJc w:val="left"/>
      <w:pPr>
        <w:ind w:left="6480" w:hanging="360"/>
      </w:pPr>
      <w:rPr>
        <w:rFonts w:ascii="Wingdings" w:hAnsi="Wingdings" w:hint="default"/>
      </w:rPr>
    </w:lvl>
  </w:abstractNum>
  <w:abstractNum w:abstractNumId="8" w15:restartNumberingAfterBreak="0">
    <w:nsid w:val="4AF30FD0"/>
    <w:multiLevelType w:val="hybridMultilevel"/>
    <w:tmpl w:val="30E63326"/>
    <w:lvl w:ilvl="0" w:tplc="F0B28C9A">
      <w:start w:val="1"/>
      <w:numFmt w:val="bullet"/>
      <w:lvlText w:val=""/>
      <w:lvlJc w:val="left"/>
      <w:pPr>
        <w:ind w:left="720" w:hanging="360"/>
      </w:pPr>
      <w:rPr>
        <w:rFonts w:ascii="Symbol" w:eastAsia="Times New Roman" w:hAnsi="Symbol" w:cs="Arial" w:hint="default"/>
      </w:rPr>
    </w:lvl>
    <w:lvl w:ilvl="1" w:tplc="55AE5228" w:tentative="1">
      <w:start w:val="1"/>
      <w:numFmt w:val="bullet"/>
      <w:lvlText w:val="o"/>
      <w:lvlJc w:val="left"/>
      <w:pPr>
        <w:ind w:left="1440" w:hanging="360"/>
      </w:pPr>
      <w:rPr>
        <w:rFonts w:ascii="Courier New" w:hAnsi="Courier New" w:cs="Courier New" w:hint="default"/>
      </w:rPr>
    </w:lvl>
    <w:lvl w:ilvl="2" w:tplc="176CC850" w:tentative="1">
      <w:start w:val="1"/>
      <w:numFmt w:val="bullet"/>
      <w:lvlText w:val=""/>
      <w:lvlJc w:val="left"/>
      <w:pPr>
        <w:ind w:left="2160" w:hanging="360"/>
      </w:pPr>
      <w:rPr>
        <w:rFonts w:ascii="Wingdings" w:hAnsi="Wingdings" w:hint="default"/>
      </w:rPr>
    </w:lvl>
    <w:lvl w:ilvl="3" w:tplc="55ECC068" w:tentative="1">
      <w:start w:val="1"/>
      <w:numFmt w:val="bullet"/>
      <w:lvlText w:val=""/>
      <w:lvlJc w:val="left"/>
      <w:pPr>
        <w:ind w:left="2880" w:hanging="360"/>
      </w:pPr>
      <w:rPr>
        <w:rFonts w:ascii="Symbol" w:hAnsi="Symbol" w:hint="default"/>
      </w:rPr>
    </w:lvl>
    <w:lvl w:ilvl="4" w:tplc="CCF6B380" w:tentative="1">
      <w:start w:val="1"/>
      <w:numFmt w:val="bullet"/>
      <w:lvlText w:val="o"/>
      <w:lvlJc w:val="left"/>
      <w:pPr>
        <w:ind w:left="3600" w:hanging="360"/>
      </w:pPr>
      <w:rPr>
        <w:rFonts w:ascii="Courier New" w:hAnsi="Courier New" w:cs="Courier New" w:hint="default"/>
      </w:rPr>
    </w:lvl>
    <w:lvl w:ilvl="5" w:tplc="D34C80B6" w:tentative="1">
      <w:start w:val="1"/>
      <w:numFmt w:val="bullet"/>
      <w:lvlText w:val=""/>
      <w:lvlJc w:val="left"/>
      <w:pPr>
        <w:ind w:left="4320" w:hanging="360"/>
      </w:pPr>
      <w:rPr>
        <w:rFonts w:ascii="Wingdings" w:hAnsi="Wingdings" w:hint="default"/>
      </w:rPr>
    </w:lvl>
    <w:lvl w:ilvl="6" w:tplc="4BCA0E6E" w:tentative="1">
      <w:start w:val="1"/>
      <w:numFmt w:val="bullet"/>
      <w:lvlText w:val=""/>
      <w:lvlJc w:val="left"/>
      <w:pPr>
        <w:ind w:left="5040" w:hanging="360"/>
      </w:pPr>
      <w:rPr>
        <w:rFonts w:ascii="Symbol" w:hAnsi="Symbol" w:hint="default"/>
      </w:rPr>
    </w:lvl>
    <w:lvl w:ilvl="7" w:tplc="D854CEDE" w:tentative="1">
      <w:start w:val="1"/>
      <w:numFmt w:val="bullet"/>
      <w:lvlText w:val="o"/>
      <w:lvlJc w:val="left"/>
      <w:pPr>
        <w:ind w:left="5760" w:hanging="360"/>
      </w:pPr>
      <w:rPr>
        <w:rFonts w:ascii="Courier New" w:hAnsi="Courier New" w:cs="Courier New" w:hint="default"/>
      </w:rPr>
    </w:lvl>
    <w:lvl w:ilvl="8" w:tplc="C2549102" w:tentative="1">
      <w:start w:val="1"/>
      <w:numFmt w:val="bullet"/>
      <w:lvlText w:val=""/>
      <w:lvlJc w:val="left"/>
      <w:pPr>
        <w:ind w:left="6480" w:hanging="360"/>
      </w:pPr>
      <w:rPr>
        <w:rFonts w:ascii="Wingdings" w:hAnsi="Wingdings" w:hint="default"/>
      </w:rPr>
    </w:lvl>
  </w:abstractNum>
  <w:abstractNum w:abstractNumId="9" w15:restartNumberingAfterBreak="0">
    <w:nsid w:val="4D7002BD"/>
    <w:multiLevelType w:val="hybridMultilevel"/>
    <w:tmpl w:val="8F90323E"/>
    <w:lvl w:ilvl="0" w:tplc="5D6A22A8">
      <w:start w:val="1"/>
      <w:numFmt w:val="bullet"/>
      <w:lvlText w:val=""/>
      <w:lvlJc w:val="left"/>
      <w:pPr>
        <w:ind w:left="720" w:hanging="360"/>
      </w:pPr>
      <w:rPr>
        <w:rFonts w:ascii="Symbol" w:eastAsia="Times New Roman" w:hAnsi="Symbol" w:cs="Arial" w:hint="default"/>
      </w:rPr>
    </w:lvl>
    <w:lvl w:ilvl="1" w:tplc="1308701C" w:tentative="1">
      <w:start w:val="1"/>
      <w:numFmt w:val="bullet"/>
      <w:lvlText w:val="o"/>
      <w:lvlJc w:val="left"/>
      <w:pPr>
        <w:ind w:left="1440" w:hanging="360"/>
      </w:pPr>
      <w:rPr>
        <w:rFonts w:ascii="Courier New" w:hAnsi="Courier New" w:cs="Courier New" w:hint="default"/>
      </w:rPr>
    </w:lvl>
    <w:lvl w:ilvl="2" w:tplc="6A860812" w:tentative="1">
      <w:start w:val="1"/>
      <w:numFmt w:val="bullet"/>
      <w:lvlText w:val=""/>
      <w:lvlJc w:val="left"/>
      <w:pPr>
        <w:ind w:left="2160" w:hanging="360"/>
      </w:pPr>
      <w:rPr>
        <w:rFonts w:ascii="Wingdings" w:hAnsi="Wingdings" w:hint="default"/>
      </w:rPr>
    </w:lvl>
    <w:lvl w:ilvl="3" w:tplc="E3D87CE8" w:tentative="1">
      <w:start w:val="1"/>
      <w:numFmt w:val="bullet"/>
      <w:lvlText w:val=""/>
      <w:lvlJc w:val="left"/>
      <w:pPr>
        <w:ind w:left="2880" w:hanging="360"/>
      </w:pPr>
      <w:rPr>
        <w:rFonts w:ascii="Symbol" w:hAnsi="Symbol" w:hint="default"/>
      </w:rPr>
    </w:lvl>
    <w:lvl w:ilvl="4" w:tplc="31DE5A96" w:tentative="1">
      <w:start w:val="1"/>
      <w:numFmt w:val="bullet"/>
      <w:lvlText w:val="o"/>
      <w:lvlJc w:val="left"/>
      <w:pPr>
        <w:ind w:left="3600" w:hanging="360"/>
      </w:pPr>
      <w:rPr>
        <w:rFonts w:ascii="Courier New" w:hAnsi="Courier New" w:cs="Courier New" w:hint="default"/>
      </w:rPr>
    </w:lvl>
    <w:lvl w:ilvl="5" w:tplc="B31479F0" w:tentative="1">
      <w:start w:val="1"/>
      <w:numFmt w:val="bullet"/>
      <w:lvlText w:val=""/>
      <w:lvlJc w:val="left"/>
      <w:pPr>
        <w:ind w:left="4320" w:hanging="360"/>
      </w:pPr>
      <w:rPr>
        <w:rFonts w:ascii="Wingdings" w:hAnsi="Wingdings" w:hint="default"/>
      </w:rPr>
    </w:lvl>
    <w:lvl w:ilvl="6" w:tplc="4A7C0E28" w:tentative="1">
      <w:start w:val="1"/>
      <w:numFmt w:val="bullet"/>
      <w:lvlText w:val=""/>
      <w:lvlJc w:val="left"/>
      <w:pPr>
        <w:ind w:left="5040" w:hanging="360"/>
      </w:pPr>
      <w:rPr>
        <w:rFonts w:ascii="Symbol" w:hAnsi="Symbol" w:hint="default"/>
      </w:rPr>
    </w:lvl>
    <w:lvl w:ilvl="7" w:tplc="6BFADCC4" w:tentative="1">
      <w:start w:val="1"/>
      <w:numFmt w:val="bullet"/>
      <w:lvlText w:val="o"/>
      <w:lvlJc w:val="left"/>
      <w:pPr>
        <w:ind w:left="5760" w:hanging="360"/>
      </w:pPr>
      <w:rPr>
        <w:rFonts w:ascii="Courier New" w:hAnsi="Courier New" w:cs="Courier New" w:hint="default"/>
      </w:rPr>
    </w:lvl>
    <w:lvl w:ilvl="8" w:tplc="E0E67FCC" w:tentative="1">
      <w:start w:val="1"/>
      <w:numFmt w:val="bullet"/>
      <w:lvlText w:val=""/>
      <w:lvlJc w:val="left"/>
      <w:pPr>
        <w:ind w:left="6480" w:hanging="360"/>
      </w:pPr>
      <w:rPr>
        <w:rFonts w:ascii="Wingdings" w:hAnsi="Wingdings" w:hint="default"/>
      </w:rPr>
    </w:lvl>
  </w:abstractNum>
  <w:abstractNum w:abstractNumId="10" w15:restartNumberingAfterBreak="0">
    <w:nsid w:val="4E8630E2"/>
    <w:multiLevelType w:val="hybridMultilevel"/>
    <w:tmpl w:val="42704FEA"/>
    <w:lvl w:ilvl="0" w:tplc="D6005410">
      <w:start w:val="1"/>
      <w:numFmt w:val="decimal"/>
      <w:lvlText w:val="%1."/>
      <w:lvlJc w:val="left"/>
      <w:pPr>
        <w:ind w:left="720" w:hanging="360"/>
      </w:pPr>
      <w:rPr>
        <w:rFonts w:hint="default"/>
      </w:rPr>
    </w:lvl>
    <w:lvl w:ilvl="1" w:tplc="5050A2F2">
      <w:start w:val="1"/>
      <w:numFmt w:val="lowerLetter"/>
      <w:lvlText w:val="%2."/>
      <w:lvlJc w:val="left"/>
      <w:pPr>
        <w:ind w:left="1440" w:hanging="360"/>
      </w:pPr>
    </w:lvl>
    <w:lvl w:ilvl="2" w:tplc="AD8E91D6" w:tentative="1">
      <w:start w:val="1"/>
      <w:numFmt w:val="lowerRoman"/>
      <w:lvlText w:val="%3."/>
      <w:lvlJc w:val="right"/>
      <w:pPr>
        <w:ind w:left="2160" w:hanging="180"/>
      </w:pPr>
    </w:lvl>
    <w:lvl w:ilvl="3" w:tplc="26B42BF4" w:tentative="1">
      <w:start w:val="1"/>
      <w:numFmt w:val="decimal"/>
      <w:lvlText w:val="%4."/>
      <w:lvlJc w:val="left"/>
      <w:pPr>
        <w:ind w:left="2880" w:hanging="360"/>
      </w:pPr>
    </w:lvl>
    <w:lvl w:ilvl="4" w:tplc="B3A65642" w:tentative="1">
      <w:start w:val="1"/>
      <w:numFmt w:val="lowerLetter"/>
      <w:lvlText w:val="%5."/>
      <w:lvlJc w:val="left"/>
      <w:pPr>
        <w:ind w:left="3600" w:hanging="360"/>
      </w:pPr>
    </w:lvl>
    <w:lvl w:ilvl="5" w:tplc="B4CA5906" w:tentative="1">
      <w:start w:val="1"/>
      <w:numFmt w:val="lowerRoman"/>
      <w:lvlText w:val="%6."/>
      <w:lvlJc w:val="right"/>
      <w:pPr>
        <w:ind w:left="4320" w:hanging="180"/>
      </w:pPr>
    </w:lvl>
    <w:lvl w:ilvl="6" w:tplc="AA3AEE08" w:tentative="1">
      <w:start w:val="1"/>
      <w:numFmt w:val="decimal"/>
      <w:lvlText w:val="%7."/>
      <w:lvlJc w:val="left"/>
      <w:pPr>
        <w:ind w:left="5040" w:hanging="360"/>
      </w:pPr>
    </w:lvl>
    <w:lvl w:ilvl="7" w:tplc="418055F2" w:tentative="1">
      <w:start w:val="1"/>
      <w:numFmt w:val="lowerLetter"/>
      <w:lvlText w:val="%8."/>
      <w:lvlJc w:val="left"/>
      <w:pPr>
        <w:ind w:left="5760" w:hanging="360"/>
      </w:pPr>
    </w:lvl>
    <w:lvl w:ilvl="8" w:tplc="9BAA76C4" w:tentative="1">
      <w:start w:val="1"/>
      <w:numFmt w:val="lowerRoman"/>
      <w:lvlText w:val="%9."/>
      <w:lvlJc w:val="right"/>
      <w:pPr>
        <w:ind w:left="6480" w:hanging="180"/>
      </w:pPr>
    </w:lvl>
  </w:abstractNum>
  <w:abstractNum w:abstractNumId="11" w15:restartNumberingAfterBreak="0">
    <w:nsid w:val="547C66B8"/>
    <w:multiLevelType w:val="hybridMultilevel"/>
    <w:tmpl w:val="3514A814"/>
    <w:lvl w:ilvl="0" w:tplc="53B0DAA0">
      <w:start w:val="1"/>
      <w:numFmt w:val="lowerLetter"/>
      <w:lvlText w:val="%1)"/>
      <w:lvlJc w:val="left"/>
      <w:pPr>
        <w:ind w:left="720" w:hanging="360"/>
      </w:pPr>
    </w:lvl>
    <w:lvl w:ilvl="1" w:tplc="CDC475D2">
      <w:start w:val="1"/>
      <w:numFmt w:val="lowerLetter"/>
      <w:lvlText w:val="%2."/>
      <w:lvlJc w:val="left"/>
      <w:pPr>
        <w:ind w:left="1440" w:hanging="360"/>
      </w:pPr>
    </w:lvl>
    <w:lvl w:ilvl="2" w:tplc="8286AF56">
      <w:start w:val="1"/>
      <w:numFmt w:val="lowerRoman"/>
      <w:lvlText w:val="%3."/>
      <w:lvlJc w:val="right"/>
      <w:pPr>
        <w:ind w:left="2160" w:hanging="180"/>
      </w:pPr>
    </w:lvl>
    <w:lvl w:ilvl="3" w:tplc="0980F7E6">
      <w:start w:val="1"/>
      <w:numFmt w:val="decimal"/>
      <w:lvlText w:val="%4."/>
      <w:lvlJc w:val="left"/>
      <w:pPr>
        <w:ind w:left="2880" w:hanging="360"/>
      </w:pPr>
    </w:lvl>
    <w:lvl w:ilvl="4" w:tplc="EBB400C8">
      <w:start w:val="1"/>
      <w:numFmt w:val="lowerLetter"/>
      <w:lvlText w:val="%5."/>
      <w:lvlJc w:val="left"/>
      <w:pPr>
        <w:ind w:left="3600" w:hanging="360"/>
      </w:pPr>
    </w:lvl>
    <w:lvl w:ilvl="5" w:tplc="5A98D8DC">
      <w:start w:val="1"/>
      <w:numFmt w:val="lowerRoman"/>
      <w:lvlText w:val="%6."/>
      <w:lvlJc w:val="right"/>
      <w:pPr>
        <w:ind w:left="4320" w:hanging="180"/>
      </w:pPr>
    </w:lvl>
    <w:lvl w:ilvl="6" w:tplc="FBD6D678">
      <w:start w:val="1"/>
      <w:numFmt w:val="decimal"/>
      <w:lvlText w:val="%7."/>
      <w:lvlJc w:val="left"/>
      <w:pPr>
        <w:ind w:left="5040" w:hanging="360"/>
      </w:pPr>
    </w:lvl>
    <w:lvl w:ilvl="7" w:tplc="332814D8">
      <w:start w:val="1"/>
      <w:numFmt w:val="lowerLetter"/>
      <w:lvlText w:val="%8."/>
      <w:lvlJc w:val="left"/>
      <w:pPr>
        <w:ind w:left="5760" w:hanging="360"/>
      </w:pPr>
    </w:lvl>
    <w:lvl w:ilvl="8" w:tplc="F63CE2D4">
      <w:start w:val="1"/>
      <w:numFmt w:val="lowerRoman"/>
      <w:lvlText w:val="%9."/>
      <w:lvlJc w:val="right"/>
      <w:pPr>
        <w:ind w:left="6480" w:hanging="180"/>
      </w:pPr>
    </w:lvl>
  </w:abstractNum>
  <w:abstractNum w:abstractNumId="12" w15:restartNumberingAfterBreak="0">
    <w:nsid w:val="5F11692E"/>
    <w:multiLevelType w:val="hybridMultilevel"/>
    <w:tmpl w:val="75EEBB3A"/>
    <w:lvl w:ilvl="0" w:tplc="9CF606A2">
      <w:start w:val="1"/>
      <w:numFmt w:val="bullet"/>
      <w:lvlText w:val=""/>
      <w:lvlJc w:val="left"/>
      <w:pPr>
        <w:ind w:left="720" w:hanging="360"/>
      </w:pPr>
      <w:rPr>
        <w:rFonts w:ascii="Symbol" w:eastAsia="Times New Roman" w:hAnsi="Symbol" w:cs="Arial" w:hint="default"/>
      </w:rPr>
    </w:lvl>
    <w:lvl w:ilvl="1" w:tplc="CCB858EE" w:tentative="1">
      <w:start w:val="1"/>
      <w:numFmt w:val="bullet"/>
      <w:lvlText w:val="o"/>
      <w:lvlJc w:val="left"/>
      <w:pPr>
        <w:ind w:left="1440" w:hanging="360"/>
      </w:pPr>
      <w:rPr>
        <w:rFonts w:ascii="Courier New" w:hAnsi="Courier New" w:cs="Courier New" w:hint="default"/>
      </w:rPr>
    </w:lvl>
    <w:lvl w:ilvl="2" w:tplc="08A89768" w:tentative="1">
      <w:start w:val="1"/>
      <w:numFmt w:val="bullet"/>
      <w:lvlText w:val=""/>
      <w:lvlJc w:val="left"/>
      <w:pPr>
        <w:ind w:left="2160" w:hanging="360"/>
      </w:pPr>
      <w:rPr>
        <w:rFonts w:ascii="Wingdings" w:hAnsi="Wingdings" w:hint="default"/>
      </w:rPr>
    </w:lvl>
    <w:lvl w:ilvl="3" w:tplc="13CE2D70" w:tentative="1">
      <w:start w:val="1"/>
      <w:numFmt w:val="bullet"/>
      <w:lvlText w:val=""/>
      <w:lvlJc w:val="left"/>
      <w:pPr>
        <w:ind w:left="2880" w:hanging="360"/>
      </w:pPr>
      <w:rPr>
        <w:rFonts w:ascii="Symbol" w:hAnsi="Symbol" w:hint="default"/>
      </w:rPr>
    </w:lvl>
    <w:lvl w:ilvl="4" w:tplc="B1BE3A1C" w:tentative="1">
      <w:start w:val="1"/>
      <w:numFmt w:val="bullet"/>
      <w:lvlText w:val="o"/>
      <w:lvlJc w:val="left"/>
      <w:pPr>
        <w:ind w:left="3600" w:hanging="360"/>
      </w:pPr>
      <w:rPr>
        <w:rFonts w:ascii="Courier New" w:hAnsi="Courier New" w:cs="Courier New" w:hint="default"/>
      </w:rPr>
    </w:lvl>
    <w:lvl w:ilvl="5" w:tplc="95C4F566" w:tentative="1">
      <w:start w:val="1"/>
      <w:numFmt w:val="bullet"/>
      <w:lvlText w:val=""/>
      <w:lvlJc w:val="left"/>
      <w:pPr>
        <w:ind w:left="4320" w:hanging="360"/>
      </w:pPr>
      <w:rPr>
        <w:rFonts w:ascii="Wingdings" w:hAnsi="Wingdings" w:hint="default"/>
      </w:rPr>
    </w:lvl>
    <w:lvl w:ilvl="6" w:tplc="ECC61D16" w:tentative="1">
      <w:start w:val="1"/>
      <w:numFmt w:val="bullet"/>
      <w:lvlText w:val=""/>
      <w:lvlJc w:val="left"/>
      <w:pPr>
        <w:ind w:left="5040" w:hanging="360"/>
      </w:pPr>
      <w:rPr>
        <w:rFonts w:ascii="Symbol" w:hAnsi="Symbol" w:hint="default"/>
      </w:rPr>
    </w:lvl>
    <w:lvl w:ilvl="7" w:tplc="5732B22C" w:tentative="1">
      <w:start w:val="1"/>
      <w:numFmt w:val="bullet"/>
      <w:lvlText w:val="o"/>
      <w:lvlJc w:val="left"/>
      <w:pPr>
        <w:ind w:left="5760" w:hanging="360"/>
      </w:pPr>
      <w:rPr>
        <w:rFonts w:ascii="Courier New" w:hAnsi="Courier New" w:cs="Courier New" w:hint="default"/>
      </w:rPr>
    </w:lvl>
    <w:lvl w:ilvl="8" w:tplc="D57A6874" w:tentative="1">
      <w:start w:val="1"/>
      <w:numFmt w:val="bullet"/>
      <w:lvlText w:val=""/>
      <w:lvlJc w:val="left"/>
      <w:pPr>
        <w:ind w:left="6480" w:hanging="360"/>
      </w:pPr>
      <w:rPr>
        <w:rFonts w:ascii="Wingdings" w:hAnsi="Wingdings" w:hint="default"/>
      </w:rPr>
    </w:lvl>
  </w:abstractNum>
  <w:abstractNum w:abstractNumId="13" w15:restartNumberingAfterBreak="0">
    <w:nsid w:val="69A23F83"/>
    <w:multiLevelType w:val="hybridMultilevel"/>
    <w:tmpl w:val="A6DA6EC0"/>
    <w:lvl w:ilvl="0" w:tplc="40D21848">
      <w:start w:val="1"/>
      <w:numFmt w:val="decimal"/>
      <w:lvlText w:val="%1."/>
      <w:lvlJc w:val="left"/>
      <w:pPr>
        <w:ind w:left="360" w:hanging="360"/>
      </w:pPr>
    </w:lvl>
    <w:lvl w:ilvl="1" w:tplc="FB2212C8">
      <w:start w:val="1"/>
      <w:numFmt w:val="lowerLetter"/>
      <w:lvlText w:val="%2."/>
      <w:lvlJc w:val="left"/>
      <w:pPr>
        <w:ind w:left="1080" w:hanging="360"/>
      </w:pPr>
    </w:lvl>
    <w:lvl w:ilvl="2" w:tplc="DDDCE874">
      <w:start w:val="1"/>
      <w:numFmt w:val="lowerRoman"/>
      <w:lvlText w:val="%3."/>
      <w:lvlJc w:val="right"/>
      <w:pPr>
        <w:ind w:left="1800" w:hanging="180"/>
      </w:pPr>
    </w:lvl>
    <w:lvl w:ilvl="3" w:tplc="6B0C25B0">
      <w:start w:val="1"/>
      <w:numFmt w:val="decimal"/>
      <w:lvlText w:val="%4."/>
      <w:lvlJc w:val="left"/>
      <w:pPr>
        <w:ind w:left="2520" w:hanging="360"/>
      </w:pPr>
    </w:lvl>
    <w:lvl w:ilvl="4" w:tplc="32BCA08E">
      <w:start w:val="1"/>
      <w:numFmt w:val="lowerLetter"/>
      <w:lvlText w:val="%5."/>
      <w:lvlJc w:val="left"/>
      <w:pPr>
        <w:ind w:left="3240" w:hanging="360"/>
      </w:pPr>
    </w:lvl>
    <w:lvl w:ilvl="5" w:tplc="EDAA286E">
      <w:start w:val="1"/>
      <w:numFmt w:val="lowerRoman"/>
      <w:lvlText w:val="%6."/>
      <w:lvlJc w:val="right"/>
      <w:pPr>
        <w:ind w:left="3960" w:hanging="180"/>
      </w:pPr>
    </w:lvl>
    <w:lvl w:ilvl="6" w:tplc="6616CB52">
      <w:start w:val="1"/>
      <w:numFmt w:val="decimal"/>
      <w:lvlText w:val="%7."/>
      <w:lvlJc w:val="left"/>
      <w:pPr>
        <w:ind w:left="4680" w:hanging="360"/>
      </w:pPr>
    </w:lvl>
    <w:lvl w:ilvl="7" w:tplc="8F321380">
      <w:start w:val="1"/>
      <w:numFmt w:val="lowerLetter"/>
      <w:lvlText w:val="%8."/>
      <w:lvlJc w:val="left"/>
      <w:pPr>
        <w:ind w:left="5400" w:hanging="360"/>
      </w:pPr>
    </w:lvl>
    <w:lvl w:ilvl="8" w:tplc="58D08022">
      <w:start w:val="1"/>
      <w:numFmt w:val="lowerRoman"/>
      <w:lvlText w:val="%9."/>
      <w:lvlJc w:val="right"/>
      <w:pPr>
        <w:ind w:left="6120" w:hanging="180"/>
      </w:pPr>
    </w:lvl>
  </w:abstractNum>
  <w:abstractNum w:abstractNumId="14" w15:restartNumberingAfterBreak="0">
    <w:nsid w:val="6AAF7842"/>
    <w:multiLevelType w:val="hybridMultilevel"/>
    <w:tmpl w:val="C1323E34"/>
    <w:lvl w:ilvl="0" w:tplc="21F4DCFC">
      <w:start w:val="1"/>
      <w:numFmt w:val="lowerLetter"/>
      <w:lvlText w:val="%1)"/>
      <w:lvlJc w:val="left"/>
      <w:pPr>
        <w:ind w:left="720" w:hanging="360"/>
      </w:pPr>
    </w:lvl>
    <w:lvl w:ilvl="1" w:tplc="5ADE5F62">
      <w:start w:val="1"/>
      <w:numFmt w:val="lowerLetter"/>
      <w:lvlText w:val="%2."/>
      <w:lvlJc w:val="left"/>
      <w:pPr>
        <w:ind w:left="1440" w:hanging="360"/>
      </w:pPr>
    </w:lvl>
    <w:lvl w:ilvl="2" w:tplc="C02E4B88">
      <w:start w:val="1"/>
      <w:numFmt w:val="lowerRoman"/>
      <w:lvlText w:val="%3."/>
      <w:lvlJc w:val="right"/>
      <w:pPr>
        <w:ind w:left="2160" w:hanging="180"/>
      </w:pPr>
    </w:lvl>
    <w:lvl w:ilvl="3" w:tplc="0EB6B3D2">
      <w:start w:val="1"/>
      <w:numFmt w:val="decimal"/>
      <w:lvlText w:val="%4."/>
      <w:lvlJc w:val="left"/>
      <w:pPr>
        <w:ind w:left="2880" w:hanging="360"/>
      </w:pPr>
    </w:lvl>
    <w:lvl w:ilvl="4" w:tplc="2274FE04">
      <w:start w:val="1"/>
      <w:numFmt w:val="lowerLetter"/>
      <w:lvlText w:val="%5."/>
      <w:lvlJc w:val="left"/>
      <w:pPr>
        <w:ind w:left="3600" w:hanging="360"/>
      </w:pPr>
    </w:lvl>
    <w:lvl w:ilvl="5" w:tplc="8EA26496">
      <w:start w:val="1"/>
      <w:numFmt w:val="lowerRoman"/>
      <w:lvlText w:val="%6."/>
      <w:lvlJc w:val="right"/>
      <w:pPr>
        <w:ind w:left="4320" w:hanging="180"/>
      </w:pPr>
    </w:lvl>
    <w:lvl w:ilvl="6" w:tplc="5ED0BA28">
      <w:start w:val="1"/>
      <w:numFmt w:val="decimal"/>
      <w:lvlText w:val="%7."/>
      <w:lvlJc w:val="left"/>
      <w:pPr>
        <w:ind w:left="5040" w:hanging="360"/>
      </w:pPr>
    </w:lvl>
    <w:lvl w:ilvl="7" w:tplc="2AFA3B78">
      <w:start w:val="1"/>
      <w:numFmt w:val="lowerLetter"/>
      <w:lvlText w:val="%8."/>
      <w:lvlJc w:val="left"/>
      <w:pPr>
        <w:ind w:left="5760" w:hanging="360"/>
      </w:pPr>
    </w:lvl>
    <w:lvl w:ilvl="8" w:tplc="CD581CEE">
      <w:start w:val="1"/>
      <w:numFmt w:val="lowerRoman"/>
      <w:lvlText w:val="%9."/>
      <w:lvlJc w:val="right"/>
      <w:pPr>
        <w:ind w:left="6480" w:hanging="180"/>
      </w:pPr>
    </w:lvl>
  </w:abstractNum>
  <w:abstractNum w:abstractNumId="15" w15:restartNumberingAfterBreak="0">
    <w:nsid w:val="6DBB6082"/>
    <w:multiLevelType w:val="hybridMultilevel"/>
    <w:tmpl w:val="E01E732A"/>
    <w:lvl w:ilvl="0" w:tplc="408CA7EC">
      <w:numFmt w:val="bullet"/>
      <w:lvlText w:val=""/>
      <w:lvlJc w:val="left"/>
      <w:pPr>
        <w:ind w:left="720" w:hanging="360"/>
      </w:pPr>
      <w:rPr>
        <w:rFonts w:ascii="Symbol" w:eastAsia="Times New Roman" w:hAnsi="Symbol" w:cs="Arial" w:hint="default"/>
      </w:rPr>
    </w:lvl>
    <w:lvl w:ilvl="1" w:tplc="924E4572" w:tentative="1">
      <w:start w:val="1"/>
      <w:numFmt w:val="bullet"/>
      <w:lvlText w:val="o"/>
      <w:lvlJc w:val="left"/>
      <w:pPr>
        <w:ind w:left="1440" w:hanging="360"/>
      </w:pPr>
      <w:rPr>
        <w:rFonts w:ascii="Courier New" w:hAnsi="Courier New" w:cs="Courier New" w:hint="default"/>
      </w:rPr>
    </w:lvl>
    <w:lvl w:ilvl="2" w:tplc="861079B8" w:tentative="1">
      <w:start w:val="1"/>
      <w:numFmt w:val="bullet"/>
      <w:lvlText w:val=""/>
      <w:lvlJc w:val="left"/>
      <w:pPr>
        <w:ind w:left="2160" w:hanging="360"/>
      </w:pPr>
      <w:rPr>
        <w:rFonts w:ascii="Wingdings" w:hAnsi="Wingdings" w:hint="default"/>
      </w:rPr>
    </w:lvl>
    <w:lvl w:ilvl="3" w:tplc="FCCCA756" w:tentative="1">
      <w:start w:val="1"/>
      <w:numFmt w:val="bullet"/>
      <w:lvlText w:val=""/>
      <w:lvlJc w:val="left"/>
      <w:pPr>
        <w:ind w:left="2880" w:hanging="360"/>
      </w:pPr>
      <w:rPr>
        <w:rFonts w:ascii="Symbol" w:hAnsi="Symbol" w:hint="default"/>
      </w:rPr>
    </w:lvl>
    <w:lvl w:ilvl="4" w:tplc="0FF45274" w:tentative="1">
      <w:start w:val="1"/>
      <w:numFmt w:val="bullet"/>
      <w:lvlText w:val="o"/>
      <w:lvlJc w:val="left"/>
      <w:pPr>
        <w:ind w:left="3600" w:hanging="360"/>
      </w:pPr>
      <w:rPr>
        <w:rFonts w:ascii="Courier New" w:hAnsi="Courier New" w:cs="Courier New" w:hint="default"/>
      </w:rPr>
    </w:lvl>
    <w:lvl w:ilvl="5" w:tplc="7EF4C7B6" w:tentative="1">
      <w:start w:val="1"/>
      <w:numFmt w:val="bullet"/>
      <w:lvlText w:val=""/>
      <w:lvlJc w:val="left"/>
      <w:pPr>
        <w:ind w:left="4320" w:hanging="360"/>
      </w:pPr>
      <w:rPr>
        <w:rFonts w:ascii="Wingdings" w:hAnsi="Wingdings" w:hint="default"/>
      </w:rPr>
    </w:lvl>
    <w:lvl w:ilvl="6" w:tplc="3A8EE294" w:tentative="1">
      <w:start w:val="1"/>
      <w:numFmt w:val="bullet"/>
      <w:lvlText w:val=""/>
      <w:lvlJc w:val="left"/>
      <w:pPr>
        <w:ind w:left="5040" w:hanging="360"/>
      </w:pPr>
      <w:rPr>
        <w:rFonts w:ascii="Symbol" w:hAnsi="Symbol" w:hint="default"/>
      </w:rPr>
    </w:lvl>
    <w:lvl w:ilvl="7" w:tplc="0E0AD9DE" w:tentative="1">
      <w:start w:val="1"/>
      <w:numFmt w:val="bullet"/>
      <w:lvlText w:val="o"/>
      <w:lvlJc w:val="left"/>
      <w:pPr>
        <w:ind w:left="5760" w:hanging="360"/>
      </w:pPr>
      <w:rPr>
        <w:rFonts w:ascii="Courier New" w:hAnsi="Courier New" w:cs="Courier New" w:hint="default"/>
      </w:rPr>
    </w:lvl>
    <w:lvl w:ilvl="8" w:tplc="C4F0A66A" w:tentative="1">
      <w:start w:val="1"/>
      <w:numFmt w:val="bullet"/>
      <w:lvlText w:val=""/>
      <w:lvlJc w:val="left"/>
      <w:pPr>
        <w:ind w:left="6480" w:hanging="360"/>
      </w:pPr>
      <w:rPr>
        <w:rFonts w:ascii="Wingdings" w:hAnsi="Wingdings" w:hint="default"/>
      </w:rPr>
    </w:lvl>
  </w:abstractNum>
  <w:abstractNum w:abstractNumId="16" w15:restartNumberingAfterBreak="0">
    <w:nsid w:val="7B36076D"/>
    <w:multiLevelType w:val="hybridMultilevel"/>
    <w:tmpl w:val="3AA2A316"/>
    <w:lvl w:ilvl="0" w:tplc="0F2EB426">
      <w:start w:val="1"/>
      <w:numFmt w:val="lowerLetter"/>
      <w:lvlText w:val="%1)"/>
      <w:lvlJc w:val="left"/>
      <w:pPr>
        <w:ind w:left="1440" w:hanging="720"/>
      </w:pPr>
    </w:lvl>
    <w:lvl w:ilvl="1" w:tplc="9A286B2E">
      <w:start w:val="1"/>
      <w:numFmt w:val="lowerLetter"/>
      <w:lvlText w:val="%2."/>
      <w:lvlJc w:val="left"/>
      <w:pPr>
        <w:ind w:left="1800" w:hanging="360"/>
      </w:pPr>
    </w:lvl>
    <w:lvl w:ilvl="2" w:tplc="29E48AD8">
      <w:start w:val="1"/>
      <w:numFmt w:val="lowerRoman"/>
      <w:lvlText w:val="%3."/>
      <w:lvlJc w:val="right"/>
      <w:pPr>
        <w:ind w:left="2520" w:hanging="180"/>
      </w:pPr>
    </w:lvl>
    <w:lvl w:ilvl="3" w:tplc="0FBE5052">
      <w:start w:val="1"/>
      <w:numFmt w:val="decimal"/>
      <w:lvlText w:val="%4."/>
      <w:lvlJc w:val="left"/>
      <w:pPr>
        <w:ind w:left="3240" w:hanging="360"/>
      </w:pPr>
    </w:lvl>
    <w:lvl w:ilvl="4" w:tplc="C4AC9950">
      <w:start w:val="1"/>
      <w:numFmt w:val="lowerLetter"/>
      <w:lvlText w:val="%5."/>
      <w:lvlJc w:val="left"/>
      <w:pPr>
        <w:ind w:left="3960" w:hanging="360"/>
      </w:pPr>
    </w:lvl>
    <w:lvl w:ilvl="5" w:tplc="061E1CB0">
      <w:start w:val="1"/>
      <w:numFmt w:val="lowerRoman"/>
      <w:lvlText w:val="%6."/>
      <w:lvlJc w:val="right"/>
      <w:pPr>
        <w:ind w:left="4680" w:hanging="180"/>
      </w:pPr>
    </w:lvl>
    <w:lvl w:ilvl="6" w:tplc="D8D63AA2">
      <w:start w:val="1"/>
      <w:numFmt w:val="decimal"/>
      <w:lvlText w:val="%7."/>
      <w:lvlJc w:val="left"/>
      <w:pPr>
        <w:ind w:left="5400" w:hanging="360"/>
      </w:pPr>
    </w:lvl>
    <w:lvl w:ilvl="7" w:tplc="AAA87D10">
      <w:start w:val="1"/>
      <w:numFmt w:val="lowerLetter"/>
      <w:lvlText w:val="%8."/>
      <w:lvlJc w:val="left"/>
      <w:pPr>
        <w:ind w:left="6120" w:hanging="360"/>
      </w:pPr>
    </w:lvl>
    <w:lvl w:ilvl="8" w:tplc="520AD9EA">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6"/>
  </w:num>
  <w:num w:numId="14">
    <w:abstractNumId w:val="8"/>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2"/>
    <w:rsid w:val="00015D21"/>
    <w:rsid w:val="00021C36"/>
    <w:rsid w:val="00092036"/>
    <w:rsid w:val="00094D4B"/>
    <w:rsid w:val="001123D0"/>
    <w:rsid w:val="00135E56"/>
    <w:rsid w:val="002B6AA2"/>
    <w:rsid w:val="00473C9C"/>
    <w:rsid w:val="004D469F"/>
    <w:rsid w:val="004D629B"/>
    <w:rsid w:val="005E625A"/>
    <w:rsid w:val="0068536B"/>
    <w:rsid w:val="00696223"/>
    <w:rsid w:val="007B785C"/>
    <w:rsid w:val="00892A45"/>
    <w:rsid w:val="00911CE0"/>
    <w:rsid w:val="0095576E"/>
    <w:rsid w:val="009F0C53"/>
    <w:rsid w:val="00A75C62"/>
    <w:rsid w:val="00A90356"/>
    <w:rsid w:val="00A964DE"/>
    <w:rsid w:val="00DA3E00"/>
    <w:rsid w:val="00EE78D0"/>
    <w:rsid w:val="00F4508E"/>
    <w:rsid w:val="00F60808"/>
    <w:rsid w:val="00F8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8B1B0"/>
  <w15:docId w15:val="{2FDB80F3-C0F8-49ED-9EDA-A831B487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4112F6"/>
  </w:style>
  <w:style w:type="paragraph" w:customStyle="1" w:styleId="msonormal0">
    <w:name w:val="msonormal"/>
    <w:basedOn w:val="Normal"/>
    <w:rsid w:val="004112F6"/>
    <w:pPr>
      <w:widowControl/>
      <w:autoSpaceDE/>
      <w:autoSpaceDN/>
      <w:adjustRightInd/>
      <w:spacing w:before="100" w:beforeAutospacing="1" w:after="100" w:afterAutospacing="1"/>
    </w:pPr>
    <w:rPr>
      <w:rFonts w:ascii="Times New Roman" w:hAnsi="Times New Roman"/>
      <w:sz w:val="24"/>
    </w:rPr>
  </w:style>
  <w:style w:type="paragraph" w:customStyle="1" w:styleId="font5">
    <w:name w:val="font5"/>
    <w:basedOn w:val="Normal"/>
    <w:rsid w:val="004112F6"/>
    <w:pPr>
      <w:widowControl/>
      <w:autoSpaceDE/>
      <w:autoSpaceDN/>
      <w:adjustRightInd/>
      <w:spacing w:before="100" w:beforeAutospacing="1" w:after="100" w:afterAutospacing="1"/>
    </w:pPr>
    <w:rPr>
      <w:rFonts w:cs="Arial"/>
      <w:b/>
      <w:bCs/>
      <w:color w:val="1F497D"/>
      <w:sz w:val="16"/>
      <w:szCs w:val="16"/>
    </w:rPr>
  </w:style>
  <w:style w:type="paragraph" w:customStyle="1" w:styleId="font6">
    <w:name w:val="font6"/>
    <w:basedOn w:val="Normal"/>
    <w:rsid w:val="004112F6"/>
    <w:pPr>
      <w:widowControl/>
      <w:autoSpaceDE/>
      <w:autoSpaceDN/>
      <w:adjustRightInd/>
      <w:spacing w:before="100" w:beforeAutospacing="1" w:after="100" w:afterAutospacing="1"/>
    </w:pPr>
    <w:rPr>
      <w:rFonts w:cs="Arial"/>
      <w:b/>
      <w:bCs/>
      <w:i/>
      <w:iCs/>
      <w:color w:val="1F497D"/>
      <w:sz w:val="16"/>
      <w:szCs w:val="16"/>
    </w:rPr>
  </w:style>
  <w:style w:type="paragraph" w:customStyle="1" w:styleId="font7">
    <w:name w:val="font7"/>
    <w:basedOn w:val="Normal"/>
    <w:rsid w:val="004112F6"/>
    <w:pPr>
      <w:widowControl/>
      <w:autoSpaceDE/>
      <w:autoSpaceDN/>
      <w:adjustRightInd/>
      <w:spacing w:before="100" w:beforeAutospacing="1" w:after="100" w:afterAutospacing="1"/>
    </w:pPr>
    <w:rPr>
      <w:rFonts w:cs="Arial"/>
      <w:color w:val="000000"/>
      <w:sz w:val="16"/>
      <w:szCs w:val="16"/>
    </w:rPr>
  </w:style>
  <w:style w:type="paragraph" w:customStyle="1" w:styleId="font8">
    <w:name w:val="font8"/>
    <w:basedOn w:val="Normal"/>
    <w:rsid w:val="004112F6"/>
    <w:pPr>
      <w:widowControl/>
      <w:autoSpaceDE/>
      <w:autoSpaceDN/>
      <w:adjustRightInd/>
      <w:spacing w:before="100" w:beforeAutospacing="1" w:after="100" w:afterAutospacing="1"/>
    </w:pPr>
    <w:rPr>
      <w:rFonts w:cs="Arial"/>
      <w:color w:val="000000"/>
      <w:sz w:val="16"/>
      <w:szCs w:val="16"/>
    </w:rPr>
  </w:style>
  <w:style w:type="paragraph" w:customStyle="1" w:styleId="xl71">
    <w:name w:val="xl71"/>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2">
    <w:name w:val="xl72"/>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3">
    <w:name w:val="xl73"/>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4">
    <w:name w:val="xl74"/>
    <w:basedOn w:val="Normal"/>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5">
    <w:name w:val="xl75"/>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6">
    <w:name w:val="xl76"/>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7">
    <w:name w:val="xl77"/>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78">
    <w:name w:val="xl78"/>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9">
    <w:name w:val="xl79"/>
    <w:basedOn w:val="Normal"/>
    <w:rsid w:val="004112F6"/>
    <w:pPr>
      <w:widowControl/>
      <w:pBdr>
        <w:top w:val="single" w:sz="8"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0">
    <w:name w:val="xl80"/>
    <w:basedOn w:val="Normal"/>
    <w:rsid w:val="004112F6"/>
    <w:pPr>
      <w:widowControl/>
      <w:autoSpaceDE/>
      <w:autoSpaceDN/>
      <w:adjustRightInd/>
      <w:spacing w:before="100" w:beforeAutospacing="1" w:after="100" w:afterAutospacing="1"/>
      <w:jc w:val="center"/>
      <w:textAlignment w:val="top"/>
    </w:pPr>
    <w:rPr>
      <w:rFonts w:cs="Arial"/>
      <w:b/>
      <w:bCs/>
      <w:i/>
      <w:iCs/>
      <w:sz w:val="16"/>
      <w:szCs w:val="16"/>
    </w:rPr>
  </w:style>
  <w:style w:type="paragraph" w:customStyle="1" w:styleId="xl81">
    <w:name w:val="xl81"/>
    <w:basedOn w:val="Normal"/>
    <w:rsid w:val="004112F6"/>
    <w:pPr>
      <w:widowControl/>
      <w:pBdr>
        <w:top w:val="single" w:sz="8" w:space="0" w:color="auto"/>
        <w:left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2">
    <w:name w:val="xl82"/>
    <w:basedOn w:val="Normal"/>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3">
    <w:name w:val="xl83"/>
    <w:basedOn w:val="Normal"/>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4">
    <w:name w:val="xl84"/>
    <w:basedOn w:val="Normal"/>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5">
    <w:name w:val="xl85"/>
    <w:basedOn w:val="Normal"/>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6">
    <w:name w:val="xl86"/>
    <w:basedOn w:val="Normal"/>
    <w:rsid w:val="004112F6"/>
    <w:pPr>
      <w:widowControl/>
      <w:pBdr>
        <w:top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7">
    <w:name w:val="xl87"/>
    <w:basedOn w:val="Normal"/>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8">
    <w:name w:val="xl88"/>
    <w:basedOn w:val="Normal"/>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9">
    <w:name w:val="xl89"/>
    <w:basedOn w:val="Normal"/>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90">
    <w:name w:val="xl90"/>
    <w:basedOn w:val="Normal"/>
    <w:rsid w:val="004112F6"/>
    <w:pPr>
      <w:widowControl/>
      <w:pBdr>
        <w:top w:val="single" w:sz="8" w:space="0" w:color="auto"/>
        <w:left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1">
    <w:name w:val="xl91"/>
    <w:basedOn w:val="Normal"/>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2">
    <w:name w:val="xl92"/>
    <w:basedOn w:val="Normal"/>
    <w:rsid w:val="004112F6"/>
    <w:pPr>
      <w:widowControl/>
      <w:pBdr>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3">
    <w:name w:val="xl93"/>
    <w:basedOn w:val="Normal"/>
    <w:rsid w:val="004112F6"/>
    <w:pPr>
      <w:widowControl/>
      <w:pBdr>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4">
    <w:name w:val="xl94"/>
    <w:basedOn w:val="Normal"/>
    <w:rsid w:val="004112F6"/>
    <w:pPr>
      <w:widowControl/>
      <w:pBdr>
        <w:top w:val="single" w:sz="4" w:space="0" w:color="auto"/>
        <w:left w:val="single" w:sz="8"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5">
    <w:name w:val="xl95"/>
    <w:basedOn w:val="Normal"/>
    <w:rsid w:val="004112F6"/>
    <w:pPr>
      <w:widowControl/>
      <w:pBdr>
        <w:top w:val="single" w:sz="4" w:space="0" w:color="auto"/>
        <w:left w:val="dotted" w:sz="4"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6">
    <w:name w:val="xl96"/>
    <w:basedOn w:val="Normal"/>
    <w:rsid w:val="004112F6"/>
    <w:pPr>
      <w:widowControl/>
      <w:pBdr>
        <w:top w:val="single" w:sz="4" w:space="0" w:color="auto"/>
        <w:left w:val="dott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7">
    <w:name w:val="xl97"/>
    <w:basedOn w:val="Normal"/>
    <w:rsid w:val="004112F6"/>
    <w:pPr>
      <w:widowControl/>
      <w:pBdr>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8">
    <w:name w:val="xl98"/>
    <w:basedOn w:val="Normal"/>
    <w:rsid w:val="004112F6"/>
    <w:pPr>
      <w:widowControl/>
      <w:pBdr>
        <w:top w:val="single" w:sz="4" w:space="0" w:color="auto"/>
        <w:left w:val="single" w:sz="8" w:space="0" w:color="auto"/>
        <w:bottom w:val="single" w:sz="4" w:space="0" w:color="auto"/>
        <w:right w:val="dash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9">
    <w:name w:val="xl99"/>
    <w:basedOn w:val="Normal"/>
    <w:rsid w:val="004112F6"/>
    <w:pPr>
      <w:widowControl/>
      <w:pBdr>
        <w:top w:val="single" w:sz="4" w:space="0" w:color="auto"/>
        <w:left w:val="dash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0">
    <w:name w:val="xl100"/>
    <w:basedOn w:val="Normal"/>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1">
    <w:name w:val="xl101"/>
    <w:basedOn w:val="Normal"/>
    <w:rsid w:val="004112F6"/>
    <w:pPr>
      <w:widowControl/>
      <w:pBdr>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2">
    <w:name w:val="xl102"/>
    <w:basedOn w:val="Normal"/>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3">
    <w:name w:val="xl103"/>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4">
    <w:name w:val="xl104"/>
    <w:basedOn w:val="Normal"/>
    <w:rsid w:val="004112F6"/>
    <w:pPr>
      <w:widowControl/>
      <w:pBdr>
        <w:top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5">
    <w:name w:val="xl105"/>
    <w:basedOn w:val="Normal"/>
    <w:rsid w:val="004112F6"/>
    <w:pPr>
      <w:widowControl/>
      <w:pBdr>
        <w:top w:val="single" w:sz="8" w:space="0" w:color="auto"/>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6">
    <w:name w:val="xl106"/>
    <w:basedOn w:val="Normal"/>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7">
    <w:name w:val="xl107"/>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08">
    <w:name w:val="xl108"/>
    <w:basedOn w:val="Normal"/>
    <w:rsid w:val="004112F6"/>
    <w:pPr>
      <w:widowControl/>
      <w:pBdr>
        <w:top w:val="single" w:sz="8" w:space="0" w:color="auto"/>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09">
    <w:name w:val="xl109"/>
    <w:basedOn w:val="Normal"/>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0">
    <w:name w:val="xl110"/>
    <w:basedOn w:val="Normal"/>
    <w:rsid w:val="004112F6"/>
    <w:pPr>
      <w:widowControl/>
      <w:pBdr>
        <w:top w:val="single" w:sz="8" w:space="0" w:color="auto"/>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1">
    <w:name w:val="xl111"/>
    <w:basedOn w:val="Normal"/>
    <w:rsid w:val="004112F6"/>
    <w:pPr>
      <w:widowControl/>
      <w:pBdr>
        <w:top w:val="single" w:sz="8" w:space="0" w:color="auto"/>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2">
    <w:name w:val="xl112"/>
    <w:basedOn w:val="Normal"/>
    <w:rsid w:val="004112F6"/>
    <w:pPr>
      <w:widowControl/>
      <w:pBdr>
        <w:top w:val="single" w:sz="8" w:space="0" w:color="auto"/>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3">
    <w:name w:val="xl113"/>
    <w:basedOn w:val="Normal"/>
    <w:rsid w:val="004112F6"/>
    <w:pPr>
      <w:widowControl/>
      <w:pBdr>
        <w:top w:val="single" w:sz="8" w:space="0" w:color="auto"/>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4">
    <w:name w:val="xl114"/>
    <w:basedOn w:val="Normal"/>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5">
    <w:name w:val="xl115"/>
    <w:basedOn w:val="Normal"/>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6">
    <w:name w:val="xl116"/>
    <w:basedOn w:val="Normal"/>
    <w:rsid w:val="004112F6"/>
    <w:pPr>
      <w:widowControl/>
      <w:pBdr>
        <w:top w:val="single" w:sz="8" w:space="0" w:color="auto"/>
        <w:left w:val="single" w:sz="4" w:space="0" w:color="auto"/>
        <w:righ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7">
    <w:name w:val="xl117"/>
    <w:basedOn w:val="Normal"/>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8">
    <w:name w:val="xl118"/>
    <w:basedOn w:val="Normal"/>
    <w:rsid w:val="004112F6"/>
    <w:pPr>
      <w:widowControl/>
      <w:autoSpaceDE/>
      <w:autoSpaceDN/>
      <w:adjustRightInd/>
      <w:spacing w:before="100" w:beforeAutospacing="1" w:after="100" w:afterAutospacing="1"/>
      <w:jc w:val="right"/>
      <w:textAlignment w:val="top"/>
    </w:pPr>
    <w:rPr>
      <w:rFonts w:cs="Arial"/>
      <w:color w:val="000000"/>
      <w:sz w:val="16"/>
      <w:szCs w:val="16"/>
    </w:rPr>
  </w:style>
  <w:style w:type="paragraph" w:customStyle="1" w:styleId="xl119">
    <w:name w:val="xl119"/>
    <w:basedOn w:val="Normal"/>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20">
    <w:name w:val="xl120"/>
    <w:basedOn w:val="Normal"/>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1">
    <w:name w:val="xl121"/>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2">
    <w:name w:val="xl122"/>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3">
    <w:name w:val="xl123"/>
    <w:basedOn w:val="Normal"/>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4">
    <w:name w:val="xl124"/>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5">
    <w:name w:val="xl125"/>
    <w:basedOn w:val="Normal"/>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6">
    <w:name w:val="xl126"/>
    <w:basedOn w:val="Normal"/>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7">
    <w:name w:val="xl127"/>
    <w:basedOn w:val="Normal"/>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8">
    <w:name w:val="xl128"/>
    <w:basedOn w:val="Normal"/>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9">
    <w:name w:val="xl129"/>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30">
    <w:name w:val="xl130"/>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1">
    <w:name w:val="xl131"/>
    <w:basedOn w:val="Normal"/>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2">
    <w:name w:val="xl132"/>
    <w:basedOn w:val="Normal"/>
    <w:rsid w:val="004112F6"/>
    <w:pPr>
      <w:widowControl/>
      <w:pBdr>
        <w:left w:val="single" w:sz="8" w:space="0" w:color="auto"/>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3">
    <w:name w:val="xl133"/>
    <w:basedOn w:val="Normal"/>
    <w:rsid w:val="004112F6"/>
    <w:pPr>
      <w:widowControl/>
      <w:pBdr>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4">
    <w:name w:val="xl134"/>
    <w:basedOn w:val="Normal"/>
    <w:rsid w:val="004112F6"/>
    <w:pPr>
      <w:widowControl/>
      <w:pBdr>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5">
    <w:name w:val="xl135"/>
    <w:basedOn w:val="Normal"/>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6">
    <w:name w:val="xl136"/>
    <w:basedOn w:val="Normal"/>
    <w:rsid w:val="004112F6"/>
    <w:pPr>
      <w:widowControl/>
      <w:pBdr>
        <w:left w:val="single" w:sz="8" w:space="0" w:color="auto"/>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7">
    <w:name w:val="xl137"/>
    <w:basedOn w:val="Normal"/>
    <w:rsid w:val="004112F6"/>
    <w:pPr>
      <w:widowControl/>
      <w:pBdr>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8">
    <w:name w:val="xl138"/>
    <w:basedOn w:val="Normal"/>
    <w:rsid w:val="004112F6"/>
    <w:pPr>
      <w:widowControl/>
      <w:pBdr>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9">
    <w:name w:val="xl139"/>
    <w:basedOn w:val="Normal"/>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40">
    <w:name w:val="xl140"/>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1">
    <w:name w:val="xl141"/>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2">
    <w:name w:val="xl142"/>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3">
    <w:name w:val="xl143"/>
    <w:basedOn w:val="Normal"/>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4">
    <w:name w:val="xl144"/>
    <w:basedOn w:val="Normal"/>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5">
    <w:name w:val="xl145"/>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6">
    <w:name w:val="xl146"/>
    <w:basedOn w:val="Normal"/>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7">
    <w:name w:val="xl147"/>
    <w:basedOn w:val="Normal"/>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8">
    <w:name w:val="xl148"/>
    <w:basedOn w:val="Normal"/>
    <w:rsid w:val="004112F6"/>
    <w:pPr>
      <w:widowControl/>
      <w:pBdr>
        <w:top w:val="single" w:sz="8" w:space="0" w:color="auto"/>
        <w:left w:val="dott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9">
    <w:name w:val="xl149"/>
    <w:basedOn w:val="Normal"/>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0">
    <w:name w:val="xl150"/>
    <w:basedOn w:val="Normal"/>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1">
    <w:name w:val="xl151"/>
    <w:basedOn w:val="Normal"/>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2">
    <w:name w:val="xl152"/>
    <w:basedOn w:val="Normal"/>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53">
    <w:name w:val="xl153"/>
    <w:basedOn w:val="Normal"/>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4">
    <w:name w:val="xl154"/>
    <w:basedOn w:val="Normal"/>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5">
    <w:name w:val="xl155"/>
    <w:basedOn w:val="Normal"/>
    <w:rsid w:val="004112F6"/>
    <w:pPr>
      <w:widowControl/>
      <w:pBdr>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56">
    <w:name w:val="xl156"/>
    <w:basedOn w:val="Normal"/>
    <w:rsid w:val="004112F6"/>
    <w:pPr>
      <w:widowControl/>
      <w:autoSpaceDE/>
      <w:autoSpaceDN/>
      <w:adjustRightInd/>
      <w:spacing w:before="100" w:beforeAutospacing="1" w:after="100" w:afterAutospacing="1"/>
      <w:textAlignment w:val="top"/>
    </w:pPr>
    <w:rPr>
      <w:rFonts w:cs="Arial"/>
      <w:b/>
      <w:bCs/>
      <w:color w:val="000000"/>
      <w:sz w:val="16"/>
      <w:szCs w:val="16"/>
    </w:rPr>
  </w:style>
  <w:style w:type="paragraph" w:customStyle="1" w:styleId="xl157">
    <w:name w:val="xl157"/>
    <w:basedOn w:val="Normal"/>
    <w:rsid w:val="004112F6"/>
    <w:pPr>
      <w:widowControl/>
      <w:pBdr>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8">
    <w:name w:val="xl158"/>
    <w:basedOn w:val="Normal"/>
    <w:rsid w:val="004112F6"/>
    <w:pPr>
      <w:widowControl/>
      <w:pBdr>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9">
    <w:name w:val="xl159"/>
    <w:basedOn w:val="Normal"/>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60">
    <w:name w:val="xl160"/>
    <w:basedOn w:val="Normal"/>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1">
    <w:name w:val="xl161"/>
    <w:basedOn w:val="Normal"/>
    <w:rsid w:val="004112F6"/>
    <w:pPr>
      <w:widowControl/>
      <w:pBdr>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2">
    <w:name w:val="xl162"/>
    <w:basedOn w:val="Normal"/>
    <w:rsid w:val="004112F6"/>
    <w:pPr>
      <w:widowControl/>
      <w:pBdr>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3">
    <w:name w:val="xl163"/>
    <w:basedOn w:val="Normal"/>
    <w:rsid w:val="004112F6"/>
    <w:pPr>
      <w:widowControl/>
      <w:pBdr>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4">
    <w:name w:val="xl164"/>
    <w:basedOn w:val="Normal"/>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5">
    <w:name w:val="xl165"/>
    <w:basedOn w:val="Normal"/>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6">
    <w:name w:val="xl166"/>
    <w:basedOn w:val="Normal"/>
    <w:rsid w:val="004112F6"/>
    <w:pPr>
      <w:widowControl/>
      <w:pBdr>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7">
    <w:name w:val="xl167"/>
    <w:basedOn w:val="Normal"/>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8">
    <w:name w:val="xl168"/>
    <w:basedOn w:val="Normal"/>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9">
    <w:name w:val="xl169"/>
    <w:basedOn w:val="Normal"/>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70">
    <w:name w:val="xl170"/>
    <w:basedOn w:val="Normal"/>
    <w:rsid w:val="004112F6"/>
    <w:pPr>
      <w:widowControl/>
      <w:pBdr>
        <w:left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71">
    <w:name w:val="xl171"/>
    <w:basedOn w:val="Normal"/>
    <w:rsid w:val="004112F6"/>
    <w:pPr>
      <w:widowControl/>
      <w:pBdr>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172">
    <w:name w:val="xl172"/>
    <w:basedOn w:val="Normal"/>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73">
    <w:name w:val="xl173"/>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4">
    <w:name w:val="xl174"/>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5">
    <w:name w:val="xl175"/>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6">
    <w:name w:val="xl176"/>
    <w:basedOn w:val="Normal"/>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7">
    <w:name w:val="xl177"/>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8">
    <w:name w:val="xl178"/>
    <w:basedOn w:val="Normal"/>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9">
    <w:name w:val="xl179"/>
    <w:basedOn w:val="Normal"/>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0">
    <w:name w:val="xl180"/>
    <w:basedOn w:val="Normal"/>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1">
    <w:name w:val="xl181"/>
    <w:basedOn w:val="Normal"/>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2">
    <w:name w:val="xl182"/>
    <w:basedOn w:val="Normal"/>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3">
    <w:name w:val="xl183"/>
    <w:basedOn w:val="Normal"/>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184">
    <w:name w:val="xl184"/>
    <w:basedOn w:val="Normal"/>
    <w:rsid w:val="004112F6"/>
    <w:pPr>
      <w:widowControl/>
      <w:pBdr>
        <w:left w:val="single" w:sz="8" w:space="0" w:color="auto"/>
      </w:pBdr>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5">
    <w:name w:val="xl185"/>
    <w:basedOn w:val="Normal"/>
    <w:rsid w:val="004112F6"/>
    <w:pPr>
      <w:widowControl/>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6">
    <w:name w:val="xl186"/>
    <w:basedOn w:val="Normal"/>
    <w:rsid w:val="004112F6"/>
    <w:pPr>
      <w:widowControl/>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7">
    <w:name w:val="xl187"/>
    <w:basedOn w:val="Normal"/>
    <w:rsid w:val="004112F6"/>
    <w:pPr>
      <w:widowControl/>
      <w:pBdr>
        <w:left w:val="single" w:sz="8"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8">
    <w:name w:val="xl188"/>
    <w:basedOn w:val="Normal"/>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89">
    <w:name w:val="xl189"/>
    <w:basedOn w:val="Normal"/>
    <w:rsid w:val="004112F6"/>
    <w:pPr>
      <w:widowControl/>
      <w:pBdr>
        <w:lef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0">
    <w:name w:val="xl190"/>
    <w:basedOn w:val="Normal"/>
    <w:rsid w:val="004112F6"/>
    <w:pPr>
      <w:widowControl/>
      <w:pBdr>
        <w:left w:val="dotted" w:sz="4" w:space="0" w:color="auto"/>
        <w:right w:val="dott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1">
    <w:name w:val="xl191"/>
    <w:basedOn w:val="Normal"/>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2">
    <w:name w:val="xl192"/>
    <w:basedOn w:val="Normal"/>
    <w:rsid w:val="004112F6"/>
    <w:pPr>
      <w:widowControl/>
      <w:pBdr>
        <w:left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3">
    <w:name w:val="xl193"/>
    <w:basedOn w:val="Normal"/>
    <w:rsid w:val="004112F6"/>
    <w:pPr>
      <w:widowControl/>
      <w:pBdr>
        <w:left w:val="single" w:sz="8"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4">
    <w:name w:val="xl194"/>
    <w:basedOn w:val="Normal"/>
    <w:rsid w:val="004112F6"/>
    <w:pPr>
      <w:widowControl/>
      <w:pBdr>
        <w:left w:val="dashed" w:sz="4"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5">
    <w:name w:val="xl195"/>
    <w:basedOn w:val="Normal"/>
    <w:rsid w:val="004112F6"/>
    <w:pPr>
      <w:widowControl/>
      <w:pBdr>
        <w:left w:val="dash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6">
    <w:name w:val="xl196"/>
    <w:basedOn w:val="Normal"/>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7">
    <w:name w:val="xl197"/>
    <w:basedOn w:val="Normal"/>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8">
    <w:name w:val="xl198"/>
    <w:basedOn w:val="Normal"/>
    <w:rsid w:val="004112F6"/>
    <w:pPr>
      <w:widowControl/>
      <w:pBdr>
        <w:left w:val="single" w:sz="4" w:space="0" w:color="auto"/>
        <w:righ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9">
    <w:name w:val="xl199"/>
    <w:basedOn w:val="Normal"/>
    <w:rsid w:val="004112F6"/>
    <w:pPr>
      <w:widowControl/>
      <w:shd w:val="clear" w:color="000000" w:fill="FFFFFF"/>
      <w:autoSpaceDE/>
      <w:autoSpaceDN/>
      <w:adjustRightInd/>
      <w:spacing w:before="100" w:beforeAutospacing="1" w:after="100" w:afterAutospacing="1"/>
      <w:textAlignment w:val="top"/>
    </w:pPr>
    <w:rPr>
      <w:rFonts w:cs="Arial"/>
      <w:sz w:val="16"/>
      <w:szCs w:val="16"/>
    </w:rPr>
  </w:style>
  <w:style w:type="paragraph" w:customStyle="1" w:styleId="xl200">
    <w:name w:val="xl200"/>
    <w:basedOn w:val="Normal"/>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1">
    <w:name w:val="xl201"/>
    <w:basedOn w:val="Normal"/>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2">
    <w:name w:val="xl202"/>
    <w:basedOn w:val="Normal"/>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3">
    <w:name w:val="xl203"/>
    <w:basedOn w:val="Normal"/>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4">
    <w:name w:val="xl204"/>
    <w:basedOn w:val="Normal"/>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5">
    <w:name w:val="xl205"/>
    <w:basedOn w:val="Normal"/>
    <w:rsid w:val="004112F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6">
    <w:name w:val="xl206"/>
    <w:basedOn w:val="Normal"/>
    <w:rsid w:val="004112F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7">
    <w:name w:val="xl207"/>
    <w:basedOn w:val="Normal"/>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8">
    <w:name w:val="xl208"/>
    <w:basedOn w:val="Normal"/>
    <w:rsid w:val="004112F6"/>
    <w:pPr>
      <w:widowControl/>
      <w:pBdr>
        <w:top w:val="single" w:sz="8" w:space="0" w:color="auto"/>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9">
    <w:name w:val="xl209"/>
    <w:basedOn w:val="Normal"/>
    <w:rsid w:val="004112F6"/>
    <w:pPr>
      <w:widowControl/>
      <w:pBdr>
        <w:top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0">
    <w:name w:val="xl210"/>
    <w:basedOn w:val="Normal"/>
    <w:rsid w:val="004112F6"/>
    <w:pPr>
      <w:widowControl/>
      <w:pBdr>
        <w:top w:val="single" w:sz="8" w:space="0" w:color="auto"/>
        <w:left w:val="dott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1">
    <w:name w:val="xl211"/>
    <w:basedOn w:val="Normal"/>
    <w:rsid w:val="004112F6"/>
    <w:pPr>
      <w:widowControl/>
      <w:pBdr>
        <w:top w:val="single" w:sz="8" w:space="0" w:color="auto"/>
        <w:left w:val="single" w:sz="8"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2">
    <w:name w:val="xl212"/>
    <w:basedOn w:val="Normal"/>
    <w:rsid w:val="004112F6"/>
    <w:pPr>
      <w:widowControl/>
      <w:pBdr>
        <w:top w:val="single" w:sz="8" w:space="0" w:color="auto"/>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3">
    <w:name w:val="xl213"/>
    <w:basedOn w:val="Normal"/>
    <w:rsid w:val="004112F6"/>
    <w:pPr>
      <w:widowControl/>
      <w:pBdr>
        <w:top w:val="single" w:sz="8" w:space="0" w:color="auto"/>
        <w:left w:val="dash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4">
    <w:name w:val="xl214"/>
    <w:basedOn w:val="Normal"/>
    <w:rsid w:val="004112F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5">
    <w:name w:val="xl215"/>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6">
    <w:name w:val="xl216"/>
    <w:basedOn w:val="Normal"/>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7">
    <w:name w:val="xl217"/>
    <w:basedOn w:val="Normal"/>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8">
    <w:name w:val="xl218"/>
    <w:basedOn w:val="Normal"/>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9">
    <w:name w:val="xl219"/>
    <w:basedOn w:val="Normal"/>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0">
    <w:name w:val="xl220"/>
    <w:basedOn w:val="Normal"/>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1">
    <w:name w:val="xl221"/>
    <w:basedOn w:val="Normal"/>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2">
    <w:name w:val="xl222"/>
    <w:basedOn w:val="Normal"/>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3">
    <w:name w:val="xl223"/>
    <w:basedOn w:val="Normal"/>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4">
    <w:name w:val="xl224"/>
    <w:basedOn w:val="Normal"/>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5">
    <w:name w:val="xl225"/>
    <w:basedOn w:val="Normal"/>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6">
    <w:name w:val="xl226"/>
    <w:basedOn w:val="Normal"/>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7">
    <w:name w:val="xl227"/>
    <w:basedOn w:val="Normal"/>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8">
    <w:name w:val="xl228"/>
    <w:basedOn w:val="Normal"/>
    <w:rsid w:val="004112F6"/>
    <w:pPr>
      <w:widowControl/>
      <w:pBdr>
        <w:top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9">
    <w:name w:val="xl229"/>
    <w:basedOn w:val="Normal"/>
    <w:rsid w:val="004112F6"/>
    <w:pPr>
      <w:widowControl/>
      <w:pBdr>
        <w:top w:val="single" w:sz="8" w:space="0" w:color="auto"/>
        <w:righ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30">
    <w:name w:val="xl230"/>
    <w:basedOn w:val="Normal"/>
    <w:rsid w:val="004112F6"/>
    <w:pPr>
      <w:widowControl/>
      <w:pBdr>
        <w:lef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1">
    <w:name w:val="xl231"/>
    <w:basedOn w:val="Normal"/>
    <w:rsid w:val="004112F6"/>
    <w:pPr>
      <w:widowControl/>
      <w:pBdr>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2">
    <w:name w:val="xl232"/>
    <w:basedOn w:val="Normal"/>
    <w:rsid w:val="004112F6"/>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3">
    <w:name w:val="xl233"/>
    <w:basedOn w:val="Normal"/>
    <w:rsid w:val="004112F6"/>
    <w:pPr>
      <w:widowControl/>
      <w:pBdr>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4">
    <w:name w:val="xl234"/>
    <w:basedOn w:val="Normal"/>
    <w:rsid w:val="004112F6"/>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table" w:customStyle="1" w:styleId="PlainTable31">
    <w:name w:val="Plain Table 31"/>
    <w:basedOn w:val="TableNormal"/>
    <w:uiPriority w:val="43"/>
    <w:rsid w:val="00EF6F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51">
    <w:name w:val="List Table 1 Light - Accent 51"/>
    <w:basedOn w:val="TableNormal"/>
    <w:uiPriority w:val="46"/>
    <w:rsid w:val="00EF6F2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 Accent 11"/>
    <w:basedOn w:val="TableNormal"/>
    <w:uiPriority w:val="47"/>
    <w:rsid w:val="00EF6F2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1">
    <w:name w:val="List Table 21"/>
    <w:basedOn w:val="TableNormal"/>
    <w:uiPriority w:val="47"/>
    <w:rsid w:val="00EF6F2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EF6F2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uiPriority w:val="52"/>
    <w:rsid w:val="00EF6F2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EF6F2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7Colorful-Accent41">
    <w:name w:val="Grid Table 7 Colorful - Accent 41"/>
    <w:basedOn w:val="TableNormal"/>
    <w:uiPriority w:val="52"/>
    <w:rsid w:val="00EF6F2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5Dark-Accent31">
    <w:name w:val="Grid Table 5 Dark - Accent 31"/>
    <w:basedOn w:val="TableNormal"/>
    <w:uiPriority w:val="50"/>
    <w:rsid w:val="00EF6F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1">
    <w:name w:val="Grid Table 5 Dark - Accent 51"/>
    <w:basedOn w:val="TableNormal"/>
    <w:uiPriority w:val="50"/>
    <w:rsid w:val="00EF6F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7Colorful-Accent31">
    <w:name w:val="Grid Table 7 Colorful - Accent 31"/>
    <w:basedOn w:val="TableNormal"/>
    <w:uiPriority w:val="52"/>
    <w:rsid w:val="00EF6F2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2-Accent31">
    <w:name w:val="List Table 2 - Accent 31"/>
    <w:basedOn w:val="TableNormal"/>
    <w:uiPriority w:val="47"/>
    <w:rsid w:val="00EF6F2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21">
    <w:name w:val="List Table 2 - Accent 21"/>
    <w:basedOn w:val="TableNormal"/>
    <w:uiPriority w:val="47"/>
    <w:rsid w:val="009B0DD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9B0DD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qFormat/>
    <w:locked/>
    <w:rsid w:val="00DA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758B-9CFB-4D6B-9C67-25AAA512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13</Pages>
  <Words>6267</Words>
  <Characters>29351</Characters>
  <Application>Microsoft Office Word</Application>
  <DocSecurity>0</DocSecurity>
  <Lines>244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4</cp:revision>
  <cp:lastPrinted>2017-08-23T13:59:00Z</cp:lastPrinted>
  <dcterms:created xsi:type="dcterms:W3CDTF">2017-08-24T08:25:00Z</dcterms:created>
  <dcterms:modified xsi:type="dcterms:W3CDTF">2017-08-24T09:04:00Z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