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153DC0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9B3BC1">
              <w:rPr>
                <w:rFonts w:ascii="Arial" w:hAnsi="Arial" w:cs="Arial"/>
                <w:sz w:val="22"/>
                <w:szCs w:val="22"/>
                <w:lang w:val="fr-FR"/>
              </w:rPr>
              <w:t>12</w:t>
            </w:r>
          </w:p>
          <w:p w:rsidR="00260772" w:rsidRPr="005B42D9" w:rsidRDefault="009B3BC1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BC6025" w:rsidRPr="00BC6025" w:rsidRDefault="00BC6025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7314F3" w:rsidRPr="007314F3" w:rsidRDefault="007314F3" w:rsidP="007314F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fr-FR"/>
        </w:rPr>
      </w:pPr>
      <w:r w:rsidRPr="007314F3">
        <w:rPr>
          <w:rFonts w:ascii="Arial" w:hAnsi="Arial" w:cs="Arial"/>
          <w:b/>
          <w:bCs/>
          <w:sz w:val="22"/>
          <w:szCs w:val="22"/>
          <w:lang w:val="fr-FR"/>
        </w:rPr>
        <w:t xml:space="preserve">CONSÉQUENCES DE LA CULTURE ANIMALE ET DE LA COMPLEXITÉ SOCIALE </w:t>
      </w:r>
    </w:p>
    <w:p w:rsidR="007314F3" w:rsidRPr="007314F3" w:rsidRDefault="007314F3" w:rsidP="007314F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/>
          <w:bCs/>
          <w:sz w:val="22"/>
          <w:szCs w:val="22"/>
          <w:lang w:val="fr-FR"/>
        </w:rPr>
      </w:pPr>
      <w:r w:rsidRPr="007314F3">
        <w:rPr>
          <w:rFonts w:ascii="Arial" w:hAnsi="Arial" w:cs="Arial"/>
          <w:b/>
          <w:bCs/>
          <w:sz w:val="22"/>
          <w:szCs w:val="22"/>
          <w:lang w:val="fr-FR"/>
        </w:rPr>
        <w:t>POUR LA CONSERVATION</w:t>
      </w:r>
    </w:p>
    <w:p w:rsidR="00BC6025" w:rsidRPr="001F1DA4" w:rsidRDefault="00BC6025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Pr="00F243DE" w:rsidRDefault="00BC6025" w:rsidP="00F243DE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>(UNEP/CMS/COP12/</w:t>
      </w:r>
      <w:r w:rsidRPr="00894A29">
        <w:rPr>
          <w:rFonts w:ascii="Arial" w:hAnsi="Arial" w:cs="Arial"/>
          <w:bCs/>
          <w:sz w:val="22"/>
          <w:szCs w:val="22"/>
          <w:lang w:val="fr-FR"/>
        </w:rPr>
        <w:t>Doc</w:t>
      </w:r>
      <w:r w:rsidR="009B3BC1">
        <w:rPr>
          <w:rFonts w:ascii="Arial" w:hAnsi="Arial" w:cs="Arial"/>
          <w:bCs/>
          <w:caps/>
          <w:sz w:val="22"/>
          <w:szCs w:val="22"/>
          <w:lang w:val="fr-FR"/>
        </w:rPr>
        <w:t>.24.4.3</w:t>
      </w:r>
      <w:r w:rsidR="00DB5663">
        <w:rPr>
          <w:rFonts w:ascii="Arial" w:hAnsi="Arial" w:cs="Arial"/>
          <w:bCs/>
          <w:caps/>
          <w:sz w:val="22"/>
          <w:szCs w:val="22"/>
          <w:lang w:val="fr-FR"/>
        </w:rPr>
        <w:t xml:space="preserve"> </w:t>
      </w:r>
      <w:r w:rsidR="00F243DE">
        <w:rPr>
          <w:rFonts w:ascii="Arial" w:hAnsi="Arial" w:cs="Arial"/>
          <w:bCs/>
          <w:sz w:val="22"/>
          <w:szCs w:val="22"/>
          <w:lang w:val="fr-FR"/>
        </w:rPr>
        <w:t>et</w:t>
      </w:r>
      <w:r w:rsidR="00DB5663">
        <w:rPr>
          <w:rFonts w:ascii="Arial" w:hAnsi="Arial" w:cs="Arial"/>
          <w:bCs/>
          <w:caps/>
          <w:sz w:val="22"/>
          <w:szCs w:val="22"/>
          <w:lang w:val="fr-FR"/>
        </w:rPr>
        <w:t xml:space="preserve"> </w:t>
      </w:r>
      <w:r w:rsidR="00F243DE" w:rsidRPr="00153DC0">
        <w:rPr>
          <w:rFonts w:ascii="Arial" w:hAnsi="Arial" w:cs="Arial"/>
          <w:bCs/>
          <w:caps/>
          <w:sz w:val="22"/>
          <w:szCs w:val="22"/>
          <w:lang w:val="fr-FR"/>
        </w:rPr>
        <w:t>UNEP/cms/</w:t>
      </w:r>
      <w:r w:rsidR="00F243DE" w:rsidRPr="00153DC0">
        <w:rPr>
          <w:rFonts w:ascii="Arial" w:hAnsi="Arial" w:cs="Arial"/>
          <w:bCs/>
          <w:sz w:val="22"/>
          <w:szCs w:val="22"/>
          <w:lang w:val="fr-FR"/>
        </w:rPr>
        <w:t>doc</w:t>
      </w:r>
      <w:r w:rsidR="00F243DE" w:rsidRPr="00153DC0">
        <w:rPr>
          <w:rFonts w:ascii="Arial" w:hAnsi="Arial" w:cs="Arial"/>
          <w:bCs/>
          <w:caps/>
          <w:sz w:val="22"/>
          <w:szCs w:val="22"/>
          <w:lang w:val="fr-FR"/>
        </w:rPr>
        <w:t>.21.1.32</w:t>
      </w:r>
      <w:r w:rsidRPr="00BC6025">
        <w:rPr>
          <w:rFonts w:ascii="Arial" w:hAnsi="Arial" w:cs="Arial"/>
          <w:bCs/>
          <w:caps/>
          <w:sz w:val="22"/>
          <w:szCs w:val="22"/>
          <w:lang w:val="fr-FR"/>
        </w:rPr>
        <w:t xml:space="preserve">) </w:t>
      </w:r>
    </w:p>
    <w:p w:rsidR="00371686" w:rsidRPr="00BC6025" w:rsidRDefault="00371686" w:rsidP="00BC6025">
      <w:pPr>
        <w:jc w:val="center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BC6025" w:rsidRDefault="00BC6025" w:rsidP="00796FCE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153DC0">
        <w:rPr>
          <w:rFonts w:ascii="Arial" w:hAnsi="Arial" w:cs="Arial"/>
          <w:bCs/>
          <w:i/>
          <w:iCs/>
          <w:sz w:val="22"/>
          <w:szCs w:val="22"/>
          <w:lang w:val="fr-FR"/>
        </w:rPr>
        <w:t>(</w:t>
      </w:r>
      <w:r w:rsidR="00796FCE" w:rsidRPr="00153DC0">
        <w:rPr>
          <w:rFonts w:ascii="Arial" w:hAnsi="Arial" w:cs="Arial"/>
          <w:bCs/>
          <w:i/>
          <w:iCs/>
          <w:sz w:val="22"/>
          <w:szCs w:val="22"/>
          <w:lang w:val="fr-FR"/>
        </w:rPr>
        <w:t xml:space="preserve">Préparé par </w:t>
      </w:r>
      <w:r w:rsidR="00D05CF9" w:rsidRPr="00153DC0">
        <w:rPr>
          <w:rFonts w:ascii="Arial" w:hAnsi="Arial" w:cs="Arial"/>
          <w:bCs/>
          <w:i/>
          <w:iCs/>
          <w:sz w:val="22"/>
          <w:szCs w:val="22"/>
          <w:lang w:val="fr-FR"/>
        </w:rPr>
        <w:t>le c</w:t>
      </w:r>
      <w:r w:rsidR="0055530D" w:rsidRPr="00153DC0">
        <w:rPr>
          <w:rFonts w:ascii="Arial" w:hAnsi="Arial" w:cs="Arial"/>
          <w:bCs/>
          <w:i/>
          <w:iCs/>
          <w:sz w:val="22"/>
          <w:szCs w:val="22"/>
          <w:lang w:val="fr-FR"/>
        </w:rPr>
        <w:t>omité plénier</w:t>
      </w:r>
      <w:r w:rsidRPr="00153DC0">
        <w:rPr>
          <w:rFonts w:ascii="Arial" w:hAnsi="Arial" w:cs="Arial"/>
          <w:bCs/>
          <w:i/>
          <w:iCs/>
          <w:sz w:val="22"/>
          <w:szCs w:val="22"/>
          <w:lang w:val="fr-FR"/>
        </w:rPr>
        <w:t>)</w:t>
      </w:r>
    </w:p>
    <w:p w:rsidR="0099730F" w:rsidRDefault="0099730F" w:rsidP="00796FCE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:rsidR="0099730F" w:rsidRPr="001F1DA4" w:rsidRDefault="0099730F" w:rsidP="00796FCE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:rsidR="00BC6025" w:rsidRPr="0099730F" w:rsidRDefault="0099730F" w:rsidP="0099730F">
      <w:pPr>
        <w:widowControl/>
        <w:autoSpaceDE/>
        <w:adjustRightInd/>
        <w:jc w:val="center"/>
        <w:rPr>
          <w:rFonts w:ascii="Arial" w:hAnsi="Arial" w:cs="Arial"/>
          <w:sz w:val="22"/>
          <w:szCs w:val="22"/>
          <w:lang w:val="fr-FR"/>
        </w:rPr>
      </w:pPr>
      <w:r w:rsidRPr="0099730F">
        <w:rPr>
          <w:rFonts w:ascii="Arial" w:hAnsi="Arial" w:cs="Arial"/>
          <w:sz w:val="22"/>
          <w:szCs w:val="22"/>
          <w:lang w:val="fr-FR"/>
        </w:rPr>
        <w:t>PROJET DE DÉCISIONS</w:t>
      </w:r>
    </w:p>
    <w:p w:rsidR="00BC6025" w:rsidRPr="001F1DA4" w:rsidRDefault="00BC6025" w:rsidP="00BC6025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fr-FR"/>
        </w:rPr>
      </w:pPr>
      <w:r w:rsidRPr="007314F3">
        <w:rPr>
          <w:rFonts w:ascii="Arial" w:hAnsi="Arial" w:cs="Arial"/>
          <w:b/>
          <w:iCs/>
          <w:sz w:val="22"/>
          <w:szCs w:val="22"/>
          <w:lang w:val="fr-FR"/>
        </w:rPr>
        <w:t>A l’adresse du Groupe d’experts sur la culture et la complexité sociale</w:t>
      </w: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7314F3" w:rsidRPr="007314F3" w:rsidRDefault="007314F3" w:rsidP="007314F3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7314F3">
        <w:rPr>
          <w:rFonts w:ascii="Arial" w:hAnsi="Arial" w:cs="Arial"/>
          <w:sz w:val="22"/>
          <w:szCs w:val="22"/>
          <w:lang w:val="fr-FR"/>
        </w:rPr>
        <w:t>12.AA</w:t>
      </w:r>
      <w:r w:rsidRPr="007314F3">
        <w:rPr>
          <w:rFonts w:ascii="Arial" w:hAnsi="Arial" w:cs="Arial"/>
          <w:sz w:val="22"/>
          <w:szCs w:val="22"/>
          <w:lang w:val="fr-FR"/>
        </w:rPr>
        <w:tab/>
      </w:r>
      <w:r w:rsidRPr="004F3C53">
        <w:rPr>
          <w:rFonts w:ascii="Arial" w:hAnsi="Arial" w:cs="Arial"/>
          <w:iCs/>
          <w:sz w:val="22"/>
          <w:szCs w:val="22"/>
          <w:lang w:val="fr-FR"/>
        </w:rPr>
        <w:t>Dans la limite des ressources disponibles</w:t>
      </w:r>
      <w:r w:rsidRPr="007314F3">
        <w:rPr>
          <w:rFonts w:ascii="Arial" w:hAnsi="Arial" w:cs="Arial"/>
          <w:iCs/>
          <w:sz w:val="22"/>
          <w:szCs w:val="22"/>
          <w:lang w:val="fr-FR"/>
        </w:rPr>
        <w:t xml:space="preserve">, le groupe d’experts est prié </w:t>
      </w:r>
      <w:proofErr w:type="gramStart"/>
      <w:r w:rsidRPr="007314F3">
        <w:rPr>
          <w:rFonts w:ascii="Arial" w:hAnsi="Arial" w:cs="Arial"/>
          <w:iCs/>
          <w:sz w:val="22"/>
          <w:szCs w:val="22"/>
          <w:lang w:val="fr-FR"/>
        </w:rPr>
        <w:t>de:</w:t>
      </w:r>
      <w:proofErr w:type="gramEnd"/>
    </w:p>
    <w:p w:rsidR="007314F3" w:rsidRPr="007314F3" w:rsidRDefault="007314F3" w:rsidP="007314F3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153DC0" w:rsidRDefault="007314F3" w:rsidP="007314F3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153DC0">
        <w:rPr>
          <w:rFonts w:ascii="Arial" w:hAnsi="Arial" w:cs="Arial"/>
          <w:iCs/>
          <w:sz w:val="22"/>
          <w:szCs w:val="22"/>
          <w:lang w:val="fr-FR"/>
        </w:rPr>
        <w:t xml:space="preserve">Etablir un plan de travail pour faire avancer ces travaux, en utilisant les études de cas jointes en annexe au rapport complet figurant dans le document </w:t>
      </w:r>
      <w:r w:rsidRPr="00153DC0">
        <w:rPr>
          <w:rFonts w:ascii="Arial" w:hAnsi="Arial" w:cs="Arial"/>
          <w:sz w:val="22"/>
          <w:szCs w:val="22"/>
          <w:lang w:val="fr-FR"/>
        </w:rPr>
        <w:t>UNEP/CMS/COP12/Inf.14, comme base pour</w:t>
      </w:r>
      <w:r w:rsidRPr="00153DC0">
        <w:rPr>
          <w:rFonts w:ascii="Arial" w:hAnsi="Arial" w:cs="Arial"/>
          <w:iCs/>
          <w:sz w:val="22"/>
          <w:szCs w:val="22"/>
          <w:lang w:val="fr-FR"/>
        </w:rPr>
        <w:t xml:space="preserve"> identifier et effectuer d’autres études de cas pour les espèces visées par la </w:t>
      </w:r>
      <w:proofErr w:type="gramStart"/>
      <w:r w:rsidRPr="00153DC0">
        <w:rPr>
          <w:rFonts w:ascii="Arial" w:hAnsi="Arial" w:cs="Arial"/>
          <w:iCs/>
          <w:sz w:val="22"/>
          <w:szCs w:val="22"/>
          <w:lang w:val="fr-FR"/>
        </w:rPr>
        <w:t>CMS</w:t>
      </w:r>
      <w:r w:rsidRPr="00153DC0">
        <w:rPr>
          <w:rFonts w:ascii="Arial" w:hAnsi="Arial" w:cs="Arial"/>
          <w:sz w:val="22"/>
          <w:szCs w:val="22"/>
          <w:lang w:val="fr-FR"/>
        </w:rPr>
        <w:t>;</w:t>
      </w:r>
      <w:proofErr w:type="gramEnd"/>
    </w:p>
    <w:p w:rsidR="007314F3" w:rsidRPr="007314F3" w:rsidRDefault="007314F3" w:rsidP="007314F3">
      <w:pPr>
        <w:ind w:left="720"/>
        <w:jc w:val="both"/>
        <w:rPr>
          <w:rFonts w:ascii="Arial" w:hAnsi="Arial" w:cs="Arial"/>
          <w:iCs/>
          <w:sz w:val="22"/>
          <w:szCs w:val="22"/>
          <w:u w:val="single"/>
          <w:lang w:val="fr-FR"/>
        </w:rPr>
      </w:pPr>
    </w:p>
    <w:p w:rsidR="007314F3" w:rsidRPr="007314F3" w:rsidRDefault="007314F3" w:rsidP="007314F3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7314F3">
        <w:rPr>
          <w:rFonts w:ascii="Arial" w:hAnsi="Arial" w:cs="Arial"/>
          <w:sz w:val="22"/>
          <w:szCs w:val="22"/>
          <w:lang w:val="fr-FR"/>
        </w:rPr>
        <w:t xml:space="preserve">Etablir une liste d’espèces prioritaires inscrites aux </w:t>
      </w:r>
      <w:r w:rsidRPr="008F1594">
        <w:rPr>
          <w:rFonts w:ascii="Arial" w:hAnsi="Arial" w:cs="Arial"/>
          <w:sz w:val="22"/>
          <w:szCs w:val="22"/>
          <w:lang w:val="fr-FR"/>
        </w:rPr>
        <w:t>Annexes de la CMS,</w:t>
      </w:r>
      <w:r w:rsidRPr="007314F3">
        <w:rPr>
          <w:rFonts w:ascii="Arial" w:hAnsi="Arial" w:cs="Arial"/>
          <w:sz w:val="22"/>
          <w:szCs w:val="22"/>
          <w:lang w:val="fr-FR"/>
        </w:rPr>
        <w:t xml:space="preserve"> afin d’effectuer une recherche exhaustive sur la culture et la structure sociale et de commencer une analyse plus détaillée, selon qu’il convient, y compris par exemple en élaborant une liste de facteurs clés qui devraient être pris en considération pour assurer une conservation </w:t>
      </w:r>
      <w:proofErr w:type="gramStart"/>
      <w:r w:rsidRPr="007314F3">
        <w:rPr>
          <w:rFonts w:ascii="Arial" w:hAnsi="Arial" w:cs="Arial"/>
          <w:sz w:val="22"/>
          <w:szCs w:val="22"/>
          <w:lang w:val="fr-FR"/>
        </w:rPr>
        <w:t>effective</w:t>
      </w:r>
      <w:r w:rsidRPr="007314F3">
        <w:rPr>
          <w:rFonts w:ascii="Arial" w:hAnsi="Arial" w:cs="Arial"/>
          <w:sz w:val="22"/>
          <w:szCs w:val="22"/>
          <w:u w:val="single"/>
          <w:lang w:val="fr-FR"/>
        </w:rPr>
        <w:t>;</w:t>
      </w:r>
      <w:bookmarkStart w:id="0" w:name="_GoBack"/>
      <w:bookmarkEnd w:id="0"/>
      <w:proofErr w:type="gramEnd"/>
    </w:p>
    <w:p w:rsidR="007314F3" w:rsidRPr="007314F3" w:rsidRDefault="007314F3" w:rsidP="007314F3">
      <w:pPr>
        <w:ind w:left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3808BC" w:rsidRDefault="007314F3" w:rsidP="007314F3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En utilisant le modèle mis au point par Whitehead et </w:t>
      </w:r>
      <w:proofErr w:type="spellStart"/>
      <w:r w:rsidRPr="003808BC">
        <w:rPr>
          <w:rFonts w:ascii="Arial" w:hAnsi="Arial" w:cs="Arial"/>
          <w:iCs/>
          <w:sz w:val="22"/>
          <w:szCs w:val="22"/>
          <w:lang w:val="fr-FR"/>
        </w:rPr>
        <w:t>Rendell</w:t>
      </w:r>
      <w:proofErr w:type="spellEnd"/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 à l’atelier de 2014 (voir</w:t>
      </w:r>
      <w:r w:rsidRPr="003808BC">
        <w:rPr>
          <w:rFonts w:ascii="Arial" w:hAnsi="Arial" w:cs="Arial"/>
          <w:sz w:val="22"/>
          <w:szCs w:val="22"/>
          <w:lang w:val="fr-FR"/>
        </w:rPr>
        <w:t xml:space="preserve"> </w:t>
      </w: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UNEP/CMS/COP11/Inf.18), élaborer une taxonomie de la culture pour d’autres taxons qui intéressent la CMS, afin d’aider à identifier des espèces prioritaires pour des études de </w:t>
      </w:r>
      <w:proofErr w:type="gramStart"/>
      <w:r w:rsidRPr="003808BC">
        <w:rPr>
          <w:rFonts w:ascii="Arial" w:hAnsi="Arial" w:cs="Arial"/>
          <w:iCs/>
          <w:sz w:val="22"/>
          <w:szCs w:val="22"/>
          <w:lang w:val="fr-FR"/>
        </w:rPr>
        <w:t>cas;</w:t>
      </w:r>
      <w:proofErr w:type="gramEnd"/>
    </w:p>
    <w:p w:rsidR="007314F3" w:rsidRPr="007314F3" w:rsidRDefault="007314F3" w:rsidP="007314F3">
      <w:pPr>
        <w:ind w:left="720"/>
        <w:contextualSpacing/>
        <w:rPr>
          <w:rFonts w:ascii="Arial" w:hAnsi="Arial" w:cs="Arial"/>
          <w:iCs/>
          <w:sz w:val="22"/>
          <w:szCs w:val="22"/>
          <w:u w:val="single"/>
          <w:lang w:val="fr-FR"/>
        </w:rPr>
      </w:pPr>
    </w:p>
    <w:p w:rsidR="007314F3" w:rsidRPr="003808BC" w:rsidRDefault="007314F3" w:rsidP="007314F3">
      <w:pPr>
        <w:numPr>
          <w:ilvl w:val="0"/>
          <w:numId w:val="47"/>
        </w:numPr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Formuler des recommandations </w:t>
      </w:r>
      <w:r w:rsidR="0098531D" w:rsidRPr="003808BC">
        <w:rPr>
          <w:rFonts w:ascii="Arial" w:hAnsi="Arial" w:cs="Arial"/>
          <w:iCs/>
          <w:sz w:val="22"/>
          <w:szCs w:val="22"/>
          <w:lang w:val="fr-FR"/>
        </w:rPr>
        <w:t>à</w:t>
      </w: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 la 4</w:t>
      </w:r>
      <w:r w:rsidRPr="003808BC">
        <w:rPr>
          <w:rFonts w:ascii="Arial" w:hAnsi="Arial" w:cs="Arial"/>
          <w:iCs/>
          <w:sz w:val="22"/>
          <w:szCs w:val="22"/>
          <w:vertAlign w:val="superscript"/>
          <w:lang w:val="fr-FR"/>
        </w:rPr>
        <w:t>ème</w:t>
      </w: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 réunion du Comité en session</w:t>
      </w:r>
      <w:r w:rsidR="0098531D" w:rsidRPr="003808BC">
        <w:rPr>
          <w:rFonts w:ascii="Arial" w:hAnsi="Arial" w:cs="Arial"/>
          <w:iCs/>
          <w:sz w:val="22"/>
          <w:szCs w:val="22"/>
          <w:lang w:val="fr-FR"/>
        </w:rPr>
        <w:t xml:space="preserve"> du Conseil Scientifique</w:t>
      </w:r>
      <w:r w:rsidR="00034D6A" w:rsidRPr="003808BC">
        <w:rPr>
          <w:rFonts w:ascii="Arial" w:hAnsi="Arial" w:cs="Arial"/>
          <w:iCs/>
          <w:sz w:val="22"/>
          <w:szCs w:val="22"/>
          <w:lang w:val="fr-FR"/>
        </w:rPr>
        <w:t xml:space="preserve"> précédant la 13</w:t>
      </w:r>
      <w:r w:rsidR="00034D6A" w:rsidRPr="003808BC">
        <w:rPr>
          <w:rFonts w:ascii="Arial" w:hAnsi="Arial" w:cs="Arial"/>
          <w:iCs/>
          <w:sz w:val="22"/>
          <w:szCs w:val="22"/>
          <w:vertAlign w:val="superscript"/>
          <w:lang w:val="fr-FR"/>
        </w:rPr>
        <w:t>ème</w:t>
      </w:r>
      <w:r w:rsidR="00034D6A" w:rsidRPr="003808BC">
        <w:rPr>
          <w:rFonts w:ascii="Arial" w:hAnsi="Arial" w:cs="Arial"/>
          <w:iCs/>
          <w:sz w:val="22"/>
          <w:szCs w:val="22"/>
          <w:lang w:val="fr-FR"/>
        </w:rPr>
        <w:t xml:space="preserve"> réunion de la Conférence des Parties</w:t>
      </w:r>
      <w:r w:rsidRPr="003808BC">
        <w:rPr>
          <w:rFonts w:ascii="Arial" w:hAnsi="Arial" w:cs="Arial"/>
          <w:iCs/>
          <w:sz w:val="22"/>
          <w:szCs w:val="22"/>
          <w:lang w:val="fr-FR"/>
        </w:rPr>
        <w:t xml:space="preserve">, basées sur les données factuelles présentées dans les études de cas jointes annexe au document </w:t>
      </w:r>
      <w:r w:rsidRPr="003808BC">
        <w:rPr>
          <w:rFonts w:ascii="Arial" w:hAnsi="Arial" w:cs="Arial"/>
          <w:sz w:val="22"/>
          <w:szCs w:val="22"/>
          <w:lang w:val="fr-FR"/>
        </w:rPr>
        <w:t xml:space="preserve">UNEP/CMS/COP12/Inf.14. </w:t>
      </w:r>
    </w:p>
    <w:p w:rsidR="007314F3" w:rsidRPr="007314F3" w:rsidRDefault="007314F3" w:rsidP="007314F3">
      <w:pPr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7314F3" w:rsidRDefault="007314F3" w:rsidP="007314F3">
      <w:pPr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fr-FR"/>
        </w:rPr>
      </w:pPr>
      <w:r w:rsidRPr="007314F3">
        <w:rPr>
          <w:rFonts w:ascii="Arial" w:hAnsi="Arial" w:cs="Arial"/>
          <w:b/>
          <w:iCs/>
          <w:sz w:val="22"/>
          <w:szCs w:val="22"/>
          <w:lang w:val="fr-FR"/>
        </w:rPr>
        <w:t>A l’adresse du Secrétariat</w:t>
      </w: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fr-FR"/>
        </w:rPr>
      </w:pPr>
    </w:p>
    <w:p w:rsidR="007314F3" w:rsidRPr="007314F3" w:rsidRDefault="007314F3" w:rsidP="007314F3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7314F3">
        <w:rPr>
          <w:rFonts w:ascii="Arial" w:hAnsi="Arial" w:cs="Arial"/>
          <w:sz w:val="22"/>
          <w:szCs w:val="22"/>
          <w:lang w:val="fr-FR"/>
        </w:rPr>
        <w:t>12.</w:t>
      </w:r>
      <w:r w:rsidR="002D029A">
        <w:rPr>
          <w:rFonts w:ascii="Arial" w:hAnsi="Arial" w:cs="Arial"/>
          <w:sz w:val="22"/>
          <w:szCs w:val="22"/>
          <w:lang w:val="fr-FR"/>
        </w:rPr>
        <w:t>BB</w:t>
      </w:r>
      <w:r w:rsidRPr="007314F3">
        <w:rPr>
          <w:rFonts w:ascii="Arial" w:hAnsi="Arial" w:cs="Arial"/>
          <w:sz w:val="22"/>
          <w:szCs w:val="22"/>
          <w:lang w:val="fr-FR"/>
        </w:rPr>
        <w:tab/>
      </w:r>
      <w:r w:rsidRPr="007314F3">
        <w:rPr>
          <w:rFonts w:ascii="Arial" w:hAnsi="Arial" w:cs="Arial"/>
          <w:iCs/>
          <w:sz w:val="22"/>
          <w:szCs w:val="22"/>
          <w:lang w:val="fr-FR"/>
        </w:rPr>
        <w:t xml:space="preserve">Le Secrétariat </w:t>
      </w:r>
      <w:r w:rsidR="002D029A">
        <w:rPr>
          <w:rFonts w:ascii="Arial" w:hAnsi="Arial" w:cs="Arial"/>
          <w:iCs/>
          <w:sz w:val="22"/>
          <w:szCs w:val="22"/>
          <w:lang w:val="fr-FR"/>
        </w:rPr>
        <w:t xml:space="preserve">devrait </w:t>
      </w:r>
      <w:r w:rsidRPr="007314F3">
        <w:rPr>
          <w:rFonts w:ascii="Arial" w:hAnsi="Arial" w:cs="Arial"/>
          <w:iCs/>
          <w:sz w:val="22"/>
          <w:szCs w:val="22"/>
          <w:lang w:val="fr-FR"/>
        </w:rPr>
        <w:t>:</w:t>
      </w:r>
    </w:p>
    <w:p w:rsidR="007314F3" w:rsidRPr="007314F3" w:rsidRDefault="007314F3" w:rsidP="007314F3">
      <w:pPr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606747" w:rsidRDefault="007314F3" w:rsidP="007314F3">
      <w:pPr>
        <w:numPr>
          <w:ilvl w:val="0"/>
          <w:numId w:val="48"/>
        </w:numPr>
        <w:spacing w:after="1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606747">
        <w:rPr>
          <w:rFonts w:ascii="Arial" w:hAnsi="Arial" w:cs="Arial"/>
          <w:iCs/>
          <w:sz w:val="22"/>
          <w:szCs w:val="22"/>
          <w:lang w:val="fr-FR"/>
        </w:rPr>
        <w:t xml:space="preserve">Dans la limite des ressources disponibles, </w:t>
      </w:r>
      <w:r w:rsidRPr="00606747">
        <w:rPr>
          <w:rFonts w:ascii="Arial" w:hAnsi="Arial" w:cs="Arial"/>
          <w:sz w:val="22"/>
          <w:szCs w:val="22"/>
          <w:lang w:val="fr-FR"/>
        </w:rPr>
        <w:t xml:space="preserve">organiser un atelier pour aider le Groupe d’experts sur la culture et la complexité sociale </w:t>
      </w:r>
      <w:proofErr w:type="gramStart"/>
      <w:r w:rsidRPr="00606747">
        <w:rPr>
          <w:rFonts w:ascii="Arial" w:hAnsi="Arial" w:cs="Arial"/>
          <w:sz w:val="22"/>
          <w:szCs w:val="22"/>
          <w:lang w:val="fr-FR"/>
        </w:rPr>
        <w:t>à:</w:t>
      </w:r>
      <w:proofErr w:type="gramEnd"/>
      <w:r w:rsidRPr="00606747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7314F3" w:rsidRPr="00606747" w:rsidRDefault="007314F3" w:rsidP="007314F3">
      <w:pPr>
        <w:numPr>
          <w:ilvl w:val="0"/>
          <w:numId w:val="49"/>
        </w:numPr>
        <w:spacing w:before="120" w:after="120"/>
        <w:contextualSpacing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606747">
        <w:rPr>
          <w:rFonts w:ascii="Arial" w:hAnsi="Arial" w:cs="Arial"/>
          <w:sz w:val="22"/>
          <w:szCs w:val="22"/>
          <w:lang w:val="fr-FR"/>
        </w:rPr>
        <w:t xml:space="preserve">Etablir une liste de principaux facteurs pour identifier des espèces et populations prioritaires visées par la CMS, lorsque l’apprentissage social peut influencer leur </w:t>
      </w:r>
      <w:proofErr w:type="gramStart"/>
      <w:r w:rsidRPr="00606747">
        <w:rPr>
          <w:rFonts w:ascii="Arial" w:hAnsi="Arial" w:cs="Arial"/>
          <w:sz w:val="22"/>
          <w:szCs w:val="22"/>
          <w:lang w:val="fr-FR"/>
        </w:rPr>
        <w:t>conservation;</w:t>
      </w:r>
      <w:proofErr w:type="gramEnd"/>
    </w:p>
    <w:p w:rsidR="007314F3" w:rsidRPr="00606747" w:rsidRDefault="007314F3" w:rsidP="007314F3">
      <w:pPr>
        <w:numPr>
          <w:ilvl w:val="0"/>
          <w:numId w:val="49"/>
        </w:numPr>
        <w:contextualSpacing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606747">
        <w:rPr>
          <w:rFonts w:ascii="Arial" w:hAnsi="Arial" w:cs="Arial"/>
          <w:sz w:val="22"/>
          <w:szCs w:val="22"/>
          <w:lang w:val="fr-FR"/>
        </w:rPr>
        <w:t>Etudier les possibilités d’une participation pour l’ensemble des accords conclus au titre de la CMS.</w:t>
      </w:r>
    </w:p>
    <w:p w:rsidR="007314F3" w:rsidRPr="00606747" w:rsidRDefault="007314F3" w:rsidP="007314F3">
      <w:pPr>
        <w:widowControl/>
        <w:autoSpaceDE/>
        <w:autoSpaceDN/>
        <w:adjustRightInd/>
        <w:ind w:left="710"/>
        <w:contextualSpacing/>
        <w:jc w:val="both"/>
        <w:rPr>
          <w:rFonts w:ascii="Arial" w:hAnsi="Arial" w:cs="Arial"/>
          <w:sz w:val="22"/>
          <w:szCs w:val="22"/>
          <w:lang w:val="fr-FR"/>
        </w:rPr>
      </w:pP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fr-FR"/>
        </w:rPr>
      </w:pP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b/>
          <w:iCs/>
          <w:sz w:val="22"/>
          <w:szCs w:val="22"/>
          <w:lang w:val="fr-FR"/>
        </w:rPr>
      </w:pPr>
      <w:r w:rsidRPr="007314F3">
        <w:rPr>
          <w:rFonts w:ascii="Arial" w:hAnsi="Arial" w:cs="Arial"/>
          <w:b/>
          <w:iCs/>
          <w:sz w:val="22"/>
          <w:szCs w:val="22"/>
          <w:lang w:val="fr-FR"/>
        </w:rPr>
        <w:t>A l’adresse du Conseil scientifique</w:t>
      </w: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fr-FR"/>
        </w:rPr>
      </w:pPr>
    </w:p>
    <w:p w:rsidR="007314F3" w:rsidRPr="007314F3" w:rsidRDefault="007314F3" w:rsidP="007314F3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7314F3">
        <w:rPr>
          <w:rFonts w:ascii="Arial" w:hAnsi="Arial" w:cs="Arial"/>
          <w:sz w:val="22"/>
          <w:szCs w:val="22"/>
          <w:lang w:val="fr-FR"/>
        </w:rPr>
        <w:t>12.</w:t>
      </w:r>
      <w:r w:rsidR="004A3476">
        <w:rPr>
          <w:rFonts w:ascii="Arial" w:hAnsi="Arial" w:cs="Arial"/>
          <w:sz w:val="22"/>
          <w:szCs w:val="22"/>
          <w:lang w:val="fr-FR"/>
        </w:rPr>
        <w:t>CC</w:t>
      </w:r>
      <w:r w:rsidRPr="007314F3">
        <w:rPr>
          <w:rFonts w:ascii="Arial" w:hAnsi="Arial" w:cs="Arial"/>
          <w:sz w:val="22"/>
          <w:szCs w:val="22"/>
          <w:lang w:val="fr-FR"/>
        </w:rPr>
        <w:tab/>
      </w:r>
      <w:r w:rsidRPr="007314F3">
        <w:rPr>
          <w:rFonts w:ascii="Arial" w:hAnsi="Arial" w:cs="Arial"/>
          <w:iCs/>
          <w:sz w:val="22"/>
          <w:szCs w:val="22"/>
          <w:lang w:val="fr-FR"/>
        </w:rPr>
        <w:t xml:space="preserve">Le Conseil scientifique </w:t>
      </w:r>
      <w:r w:rsidR="004A3476">
        <w:rPr>
          <w:rFonts w:ascii="Arial" w:hAnsi="Arial" w:cs="Arial"/>
          <w:iCs/>
          <w:sz w:val="22"/>
          <w:szCs w:val="22"/>
          <w:lang w:val="fr-FR"/>
        </w:rPr>
        <w:t xml:space="preserve">devrait </w:t>
      </w:r>
      <w:r w:rsidRPr="007314F3">
        <w:rPr>
          <w:rFonts w:ascii="Arial" w:hAnsi="Arial" w:cs="Arial"/>
          <w:iCs/>
          <w:sz w:val="22"/>
          <w:szCs w:val="22"/>
          <w:lang w:val="fr-FR"/>
        </w:rPr>
        <w:t>:</w:t>
      </w:r>
    </w:p>
    <w:p w:rsidR="007314F3" w:rsidRPr="005E10AC" w:rsidRDefault="007314F3" w:rsidP="007314F3">
      <w:pPr>
        <w:ind w:left="720" w:hanging="720"/>
        <w:jc w:val="both"/>
        <w:rPr>
          <w:rFonts w:ascii="Arial" w:hAnsi="Arial" w:cs="Arial"/>
          <w:iCs/>
          <w:sz w:val="22"/>
          <w:szCs w:val="22"/>
          <w:lang w:val="fr-FR"/>
        </w:rPr>
      </w:pPr>
    </w:p>
    <w:p w:rsidR="007314F3" w:rsidRPr="005E10AC" w:rsidRDefault="004B6A4B" w:rsidP="00153DC0">
      <w:pPr>
        <w:ind w:left="360"/>
        <w:contextualSpacing/>
        <w:jc w:val="both"/>
        <w:rPr>
          <w:rFonts w:ascii="Arial" w:hAnsi="Arial" w:cs="Arial"/>
          <w:iCs/>
          <w:sz w:val="22"/>
          <w:szCs w:val="22"/>
          <w:lang w:val="fr-FR"/>
        </w:rPr>
      </w:pPr>
      <w:r w:rsidRPr="005E10AC">
        <w:rPr>
          <w:rFonts w:ascii="Arial" w:hAnsi="Arial" w:cs="Arial"/>
          <w:iCs/>
          <w:sz w:val="22"/>
          <w:szCs w:val="22"/>
          <w:lang w:val="fr-FR"/>
        </w:rPr>
        <w:t>a) Sous</w:t>
      </w:r>
      <w:r w:rsidR="003D71C0" w:rsidRPr="005E10AC">
        <w:rPr>
          <w:rFonts w:ascii="Arial" w:hAnsi="Arial" w:cs="Arial"/>
          <w:iCs/>
          <w:sz w:val="22"/>
          <w:szCs w:val="22"/>
          <w:lang w:val="fr-FR"/>
        </w:rPr>
        <w:t xml:space="preserve"> réserve de la disponibilité de</w:t>
      </w:r>
      <w:r w:rsidRPr="005E10AC">
        <w:rPr>
          <w:rFonts w:ascii="Arial" w:hAnsi="Arial" w:cs="Arial"/>
          <w:iCs/>
          <w:sz w:val="22"/>
          <w:szCs w:val="22"/>
          <w:lang w:val="fr-FR"/>
        </w:rPr>
        <w:t xml:space="preserve"> ressources, e</w:t>
      </w:r>
      <w:r w:rsidR="007314F3" w:rsidRPr="005E10AC">
        <w:rPr>
          <w:rFonts w:ascii="Arial" w:hAnsi="Arial" w:cs="Arial"/>
          <w:iCs/>
          <w:sz w:val="22"/>
          <w:szCs w:val="22"/>
          <w:lang w:val="fr-FR"/>
        </w:rPr>
        <w:t>xaminer les résultats du Groupe d’experts sur la culture et complexité sociale et formuler des recommandations pour la 13</w:t>
      </w:r>
      <w:r w:rsidR="007314F3" w:rsidRPr="005E10AC">
        <w:rPr>
          <w:rFonts w:ascii="Arial" w:hAnsi="Arial" w:cs="Arial"/>
          <w:iCs/>
          <w:sz w:val="22"/>
          <w:szCs w:val="22"/>
          <w:vertAlign w:val="superscript"/>
          <w:lang w:val="fr-FR"/>
        </w:rPr>
        <w:t>ème</w:t>
      </w:r>
      <w:r w:rsidR="007314F3" w:rsidRPr="005E10AC">
        <w:rPr>
          <w:rFonts w:ascii="Arial" w:hAnsi="Arial" w:cs="Arial"/>
          <w:iCs/>
          <w:sz w:val="22"/>
          <w:szCs w:val="22"/>
          <w:lang w:val="fr-FR"/>
        </w:rPr>
        <w:t xml:space="preserve"> session de la Conférence des Parties (COP13), basées sur ses résultats.</w:t>
      </w:r>
    </w:p>
    <w:p w:rsidR="007314F3" w:rsidRPr="007314F3" w:rsidRDefault="007314F3" w:rsidP="007314F3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3F6700" w:rsidRDefault="003F6700" w:rsidP="007314F3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3F6700" w:rsidRPr="003F6700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9B3BC1">
      <w:rPr>
        <w:rFonts w:asciiTheme="minorBidi" w:hAnsiTheme="minorBidi" w:cstheme="minorBidi"/>
        <w:noProof/>
        <w:sz w:val="18"/>
        <w:szCs w:val="18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26759F"/>
    <w:multiLevelType w:val="hybridMultilevel"/>
    <w:tmpl w:val="444ECC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9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8B70B54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6256D6A"/>
    <w:multiLevelType w:val="hybridMultilevel"/>
    <w:tmpl w:val="9E5E1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1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3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6"/>
  </w:num>
  <w:num w:numId="3">
    <w:abstractNumId w:val="11"/>
  </w:num>
  <w:num w:numId="4">
    <w:abstractNumId w:val="25"/>
  </w:num>
  <w:num w:numId="5">
    <w:abstractNumId w:val="12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7"/>
  </w:num>
  <w:num w:numId="10">
    <w:abstractNumId w:val="24"/>
  </w:num>
  <w:num w:numId="11">
    <w:abstractNumId w:val="42"/>
  </w:num>
  <w:num w:numId="12">
    <w:abstractNumId w:val="3"/>
  </w:num>
  <w:num w:numId="13">
    <w:abstractNumId w:val="20"/>
  </w:num>
  <w:num w:numId="14">
    <w:abstractNumId w:val="40"/>
  </w:num>
  <w:num w:numId="15">
    <w:abstractNumId w:val="2"/>
  </w:num>
  <w:num w:numId="16">
    <w:abstractNumId w:val="10"/>
  </w:num>
  <w:num w:numId="17">
    <w:abstractNumId w:val="43"/>
  </w:num>
  <w:num w:numId="18">
    <w:abstractNumId w:val="23"/>
  </w:num>
  <w:num w:numId="19">
    <w:abstractNumId w:val="41"/>
  </w:num>
  <w:num w:numId="20">
    <w:abstractNumId w:val="47"/>
  </w:num>
  <w:num w:numId="21">
    <w:abstractNumId w:val="4"/>
  </w:num>
  <w:num w:numId="22">
    <w:abstractNumId w:val="18"/>
  </w:num>
  <w:num w:numId="23">
    <w:abstractNumId w:val="28"/>
  </w:num>
  <w:num w:numId="24">
    <w:abstractNumId w:val="17"/>
  </w:num>
  <w:num w:numId="25">
    <w:abstractNumId w:val="33"/>
  </w:num>
  <w:num w:numId="26">
    <w:abstractNumId w:val="0"/>
  </w:num>
  <w:num w:numId="27">
    <w:abstractNumId w:val="44"/>
  </w:num>
  <w:num w:numId="28">
    <w:abstractNumId w:val="6"/>
  </w:num>
  <w:num w:numId="29">
    <w:abstractNumId w:val="21"/>
  </w:num>
  <w:num w:numId="30">
    <w:abstractNumId w:val="14"/>
  </w:num>
  <w:num w:numId="31">
    <w:abstractNumId w:val="31"/>
  </w:num>
  <w:num w:numId="32">
    <w:abstractNumId w:val="30"/>
  </w:num>
  <w:num w:numId="33">
    <w:abstractNumId w:val="5"/>
  </w:num>
  <w:num w:numId="34">
    <w:abstractNumId w:val="19"/>
  </w:num>
  <w:num w:numId="35">
    <w:abstractNumId w:val="16"/>
  </w:num>
  <w:num w:numId="36">
    <w:abstractNumId w:val="34"/>
  </w:num>
  <w:num w:numId="37">
    <w:abstractNumId w:val="39"/>
  </w:num>
  <w:num w:numId="38">
    <w:abstractNumId w:val="9"/>
  </w:num>
  <w:num w:numId="39">
    <w:abstractNumId w:val="32"/>
  </w:num>
  <w:num w:numId="40">
    <w:abstractNumId w:val="45"/>
  </w:num>
  <w:num w:numId="41">
    <w:abstractNumId w:val="26"/>
  </w:num>
  <w:num w:numId="42">
    <w:abstractNumId w:val="27"/>
  </w:num>
  <w:num w:numId="43">
    <w:abstractNumId w:val="35"/>
  </w:num>
  <w:num w:numId="44">
    <w:abstractNumId w:val="8"/>
  </w:num>
  <w:num w:numId="45">
    <w:abstractNumId w:val="29"/>
  </w:num>
  <w:num w:numId="46">
    <w:abstractNumId w:val="15"/>
  </w:num>
  <w:num w:numId="47">
    <w:abstractNumId w:val="13"/>
  </w:num>
  <w:num w:numId="48">
    <w:abstractNumId w:val="22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4D6A"/>
    <w:rsid w:val="00036C53"/>
    <w:rsid w:val="000518C2"/>
    <w:rsid w:val="000564C8"/>
    <w:rsid w:val="00056DC1"/>
    <w:rsid w:val="00060156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3146"/>
    <w:rsid w:val="001151A3"/>
    <w:rsid w:val="0012294F"/>
    <w:rsid w:val="001245DF"/>
    <w:rsid w:val="00130BFD"/>
    <w:rsid w:val="001419C7"/>
    <w:rsid w:val="00150AC4"/>
    <w:rsid w:val="00153DC0"/>
    <w:rsid w:val="00162D88"/>
    <w:rsid w:val="00166ABA"/>
    <w:rsid w:val="001743FD"/>
    <w:rsid w:val="001764E6"/>
    <w:rsid w:val="001808F1"/>
    <w:rsid w:val="001A33B6"/>
    <w:rsid w:val="001C6038"/>
    <w:rsid w:val="001F1DA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C187A"/>
    <w:rsid w:val="002C20F1"/>
    <w:rsid w:val="002D029A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1686"/>
    <w:rsid w:val="00372347"/>
    <w:rsid w:val="003779D4"/>
    <w:rsid w:val="003808BC"/>
    <w:rsid w:val="00382398"/>
    <w:rsid w:val="003909E4"/>
    <w:rsid w:val="003A0D8F"/>
    <w:rsid w:val="003A3E30"/>
    <w:rsid w:val="003A70FE"/>
    <w:rsid w:val="003B0C35"/>
    <w:rsid w:val="003B219E"/>
    <w:rsid w:val="003D71C0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A3476"/>
    <w:rsid w:val="004B6A4B"/>
    <w:rsid w:val="004B6CFD"/>
    <w:rsid w:val="004C204D"/>
    <w:rsid w:val="004D0436"/>
    <w:rsid w:val="004D0936"/>
    <w:rsid w:val="004F243D"/>
    <w:rsid w:val="004F3C53"/>
    <w:rsid w:val="004F3D8D"/>
    <w:rsid w:val="005076F1"/>
    <w:rsid w:val="00512B91"/>
    <w:rsid w:val="005158EB"/>
    <w:rsid w:val="0052082F"/>
    <w:rsid w:val="00542FCC"/>
    <w:rsid w:val="00553795"/>
    <w:rsid w:val="0055530D"/>
    <w:rsid w:val="0055762E"/>
    <w:rsid w:val="00565445"/>
    <w:rsid w:val="00575334"/>
    <w:rsid w:val="00593736"/>
    <w:rsid w:val="005B0F06"/>
    <w:rsid w:val="005B398E"/>
    <w:rsid w:val="005B42D9"/>
    <w:rsid w:val="005B6141"/>
    <w:rsid w:val="005C3F15"/>
    <w:rsid w:val="005E10AC"/>
    <w:rsid w:val="005F3989"/>
    <w:rsid w:val="005F4303"/>
    <w:rsid w:val="00601B52"/>
    <w:rsid w:val="0060280B"/>
    <w:rsid w:val="00604422"/>
    <w:rsid w:val="00606747"/>
    <w:rsid w:val="0062486D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314F3"/>
    <w:rsid w:val="00757614"/>
    <w:rsid w:val="007728B4"/>
    <w:rsid w:val="0077622E"/>
    <w:rsid w:val="00777913"/>
    <w:rsid w:val="00777FE4"/>
    <w:rsid w:val="0079075D"/>
    <w:rsid w:val="00796FCE"/>
    <w:rsid w:val="007C1468"/>
    <w:rsid w:val="007C26F2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1594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531D"/>
    <w:rsid w:val="0099730F"/>
    <w:rsid w:val="009A2C8F"/>
    <w:rsid w:val="009A4CD2"/>
    <w:rsid w:val="009A7B65"/>
    <w:rsid w:val="009B3BC1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367A"/>
    <w:rsid w:val="00CB1D26"/>
    <w:rsid w:val="00CC4C21"/>
    <w:rsid w:val="00CC57AD"/>
    <w:rsid w:val="00CE5B83"/>
    <w:rsid w:val="00CF6EDD"/>
    <w:rsid w:val="00D05922"/>
    <w:rsid w:val="00D05CF9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B5663"/>
    <w:rsid w:val="00DD6A9E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AD8"/>
    <w:rsid w:val="00F05AA0"/>
    <w:rsid w:val="00F061CB"/>
    <w:rsid w:val="00F06B5B"/>
    <w:rsid w:val="00F24050"/>
    <w:rsid w:val="00F243DE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6</TotalTime>
  <Pages>2</Pages>
  <Words>362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8</cp:revision>
  <cp:lastPrinted>2017-03-22T10:51:00Z</cp:lastPrinted>
  <dcterms:created xsi:type="dcterms:W3CDTF">2017-10-26T01:59:00Z</dcterms:created>
  <dcterms:modified xsi:type="dcterms:W3CDTF">2017-10-26T02:06:00Z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