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B6" w:rsidRPr="00F75A2A" w:rsidRDefault="00100FB6" w:rsidP="00FA6772">
      <w:pPr>
        <w:ind w:right="-199"/>
        <w:jc w:val="center"/>
        <w:rPr>
          <w:rFonts w:ascii="Times New Roman" w:hAnsi="Times New Roman"/>
          <w:b/>
          <w:lang w:val="es-ES_tradnl"/>
        </w:rPr>
      </w:pPr>
      <w:bookmarkStart w:id="0" w:name="_GoBack"/>
      <w:bookmarkEnd w:id="0"/>
      <w:r w:rsidRPr="00F75A2A">
        <w:rPr>
          <w:rFonts w:ascii="Times New Roman" w:hAnsi="Times New Roman"/>
          <w:b/>
          <w:lang w:val="es-ES_tradnl"/>
        </w:rPr>
        <w:t>PROYECTO DE INFORME DE LA 11 ª REUNIÓN</w:t>
      </w:r>
    </w:p>
    <w:p w:rsidR="00100FB6" w:rsidRPr="00F75A2A" w:rsidRDefault="00100FB6" w:rsidP="00FA6772">
      <w:pPr>
        <w:ind w:right="-199"/>
        <w:jc w:val="center"/>
        <w:rPr>
          <w:rFonts w:ascii="Times New Roman" w:hAnsi="Times New Roman"/>
          <w:b/>
          <w:lang w:val="es-ES_tradnl"/>
        </w:rPr>
      </w:pPr>
      <w:r w:rsidRPr="00F75A2A">
        <w:rPr>
          <w:rFonts w:ascii="Times New Roman" w:hAnsi="Times New Roman"/>
          <w:b/>
          <w:lang w:val="es-ES_tradnl"/>
        </w:rPr>
        <w:t>DE</w:t>
      </w:r>
      <w:r w:rsidR="00F672A1" w:rsidRPr="00F75A2A">
        <w:rPr>
          <w:rFonts w:ascii="Times New Roman" w:hAnsi="Times New Roman"/>
          <w:b/>
          <w:lang w:val="es-ES_tradnl"/>
        </w:rPr>
        <w:t xml:space="preserve"> LA CONFERENCIA DE LAS PARTES DE</w:t>
      </w:r>
      <w:r w:rsidRPr="00F75A2A">
        <w:rPr>
          <w:rFonts w:ascii="Times New Roman" w:hAnsi="Times New Roman"/>
          <w:b/>
          <w:lang w:val="es-ES_tradnl"/>
        </w:rPr>
        <w:t xml:space="preserve"> LA CONVENCIÓN SOBRE LA</w:t>
      </w:r>
    </w:p>
    <w:p w:rsidR="00100FB6" w:rsidRPr="00F75A2A" w:rsidRDefault="00100FB6" w:rsidP="00FA6772">
      <w:pPr>
        <w:ind w:right="-199"/>
        <w:jc w:val="center"/>
        <w:rPr>
          <w:rFonts w:ascii="Times New Roman" w:hAnsi="Times New Roman"/>
          <w:b/>
          <w:lang w:val="es-ES_tradnl"/>
        </w:rPr>
      </w:pPr>
      <w:r w:rsidRPr="00F75A2A">
        <w:rPr>
          <w:rFonts w:ascii="Times New Roman" w:hAnsi="Times New Roman"/>
          <w:b/>
          <w:lang w:val="es-ES_tradnl"/>
        </w:rPr>
        <w:t xml:space="preserve">CONSERVACIÓN DE </w:t>
      </w:r>
      <w:r w:rsidR="00F672A1" w:rsidRPr="00F75A2A">
        <w:rPr>
          <w:rFonts w:ascii="Times New Roman" w:hAnsi="Times New Roman"/>
          <w:b/>
          <w:lang w:val="es-ES_tradnl"/>
        </w:rPr>
        <w:t xml:space="preserve">LAS </w:t>
      </w:r>
      <w:r w:rsidRPr="00F75A2A">
        <w:rPr>
          <w:rFonts w:ascii="Times New Roman" w:hAnsi="Times New Roman"/>
          <w:b/>
          <w:lang w:val="es-ES_tradnl"/>
        </w:rPr>
        <w:t>ESPECIES MIGRATORIAS DE ANIMALES SILVESTRES</w:t>
      </w:r>
    </w:p>
    <w:p w:rsidR="00100FB6" w:rsidRPr="00F75A2A" w:rsidRDefault="00100FB6" w:rsidP="00FA6772">
      <w:pPr>
        <w:jc w:val="center"/>
        <w:rPr>
          <w:rFonts w:ascii="Times New Roman" w:hAnsi="Times New Roman"/>
          <w:lang w:val="es-ES_tradnl"/>
        </w:rPr>
      </w:pPr>
    </w:p>
    <w:p w:rsidR="00100FB6" w:rsidRPr="00F75A2A" w:rsidRDefault="00100FB6" w:rsidP="00FA6772">
      <w:pPr>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u w:val="single"/>
          <w:lang w:val="es-ES_tradnl"/>
        </w:rPr>
        <w:t>Nota</w:t>
      </w:r>
      <w:r w:rsidRPr="00F75A2A">
        <w:rPr>
          <w:lang w:val="es-ES_tradnl"/>
        </w:rPr>
        <w:t>:</w:t>
      </w:r>
      <w:r w:rsidRPr="00F75A2A">
        <w:rPr>
          <w:rFonts w:ascii="Times New Roman" w:hAnsi="Times New Roman"/>
          <w:lang w:val="es-ES_tradnl"/>
        </w:rPr>
        <w:t xml:space="preserve"> Este proyecto de informe sigue la secuencia en que se </w:t>
      </w:r>
      <w:r w:rsidR="00F672A1" w:rsidRPr="00F75A2A">
        <w:rPr>
          <w:rFonts w:ascii="Times New Roman" w:hAnsi="Times New Roman"/>
          <w:lang w:val="es-ES_tradnl"/>
        </w:rPr>
        <w:t>debatieron</w:t>
      </w:r>
      <w:r w:rsidRPr="00F75A2A">
        <w:rPr>
          <w:rFonts w:ascii="Times New Roman" w:hAnsi="Times New Roman"/>
          <w:lang w:val="es-ES_tradnl"/>
        </w:rPr>
        <w:t xml:space="preserve"> los </w:t>
      </w:r>
      <w:r w:rsidR="00F672A1" w:rsidRPr="00F75A2A">
        <w:rPr>
          <w:rFonts w:ascii="Times New Roman" w:hAnsi="Times New Roman"/>
          <w:lang w:val="es-ES_tradnl"/>
        </w:rPr>
        <w:t>puntos de la agenda</w:t>
      </w:r>
      <w:r w:rsidRPr="00F75A2A">
        <w:rPr>
          <w:rFonts w:ascii="Times New Roman" w:hAnsi="Times New Roman"/>
          <w:lang w:val="es-ES_tradnl"/>
        </w:rPr>
        <w:t xml:space="preserve">. El informe final se reestructurará </w:t>
      </w:r>
      <w:r w:rsidR="00F672A1" w:rsidRPr="00F75A2A">
        <w:rPr>
          <w:rFonts w:ascii="Times New Roman" w:hAnsi="Times New Roman"/>
          <w:lang w:val="es-ES_tradnl"/>
        </w:rPr>
        <w:t>para seguir el</w:t>
      </w:r>
      <w:r w:rsidRPr="00F75A2A">
        <w:rPr>
          <w:rFonts w:ascii="Times New Roman" w:hAnsi="Times New Roman"/>
          <w:lang w:val="es-ES_tradnl"/>
        </w:rPr>
        <w:t xml:space="preserve"> orden numérico de los puntos del orden del día.</w:t>
      </w:r>
    </w:p>
    <w:p w:rsidR="00100FB6" w:rsidRPr="00F75A2A" w:rsidRDefault="00100FB6" w:rsidP="00FA6772">
      <w:pPr>
        <w:rPr>
          <w:rFonts w:ascii="Times New Roman" w:hAnsi="Times New Roman"/>
          <w:lang w:val="es-ES_tradnl"/>
        </w:rPr>
      </w:pPr>
    </w:p>
    <w:p w:rsidR="00100FB6" w:rsidRPr="00F75A2A" w:rsidRDefault="00F672A1" w:rsidP="00FA6772">
      <w:pPr>
        <w:rPr>
          <w:rFonts w:ascii="Times New Roman" w:hAnsi="Times New Roman"/>
          <w:b/>
          <w:bCs/>
          <w:lang w:val="es-ES_tradnl"/>
        </w:rPr>
      </w:pPr>
      <w:r w:rsidRPr="00F75A2A">
        <w:rPr>
          <w:rFonts w:ascii="Times New Roman" w:hAnsi="Times New Roman"/>
          <w:b/>
          <w:lang w:val="es-ES_tradnl"/>
        </w:rPr>
        <w:t xml:space="preserve">Día 3 - jueves, </w:t>
      </w:r>
      <w:r w:rsidR="00100FB6" w:rsidRPr="00F75A2A">
        <w:rPr>
          <w:rFonts w:ascii="Times New Roman" w:hAnsi="Times New Roman"/>
          <w:b/>
          <w:lang w:val="es-ES_tradnl"/>
        </w:rPr>
        <w:t>6 de noviembre de 2014</w:t>
      </w:r>
    </w:p>
    <w:p w:rsidR="00100FB6" w:rsidRPr="00F75A2A" w:rsidRDefault="00100FB6" w:rsidP="00FA6772">
      <w:pPr>
        <w:rPr>
          <w:rFonts w:ascii="Times New Roman" w:hAnsi="Times New Roman"/>
          <w:b/>
          <w:lang w:val="es-ES_tradnl"/>
        </w:rPr>
      </w:pPr>
    </w:p>
    <w:p w:rsidR="00100FB6" w:rsidRPr="00F75A2A" w:rsidRDefault="00100FB6" w:rsidP="00FA6772">
      <w:pPr>
        <w:pBdr>
          <w:top w:val="single" w:sz="4" w:space="1" w:color="auto"/>
          <w:left w:val="single" w:sz="4" w:space="4" w:color="auto"/>
          <w:bottom w:val="single" w:sz="4" w:space="1" w:color="auto"/>
          <w:right w:val="single" w:sz="4" w:space="4" w:color="auto"/>
        </w:pBdr>
        <w:rPr>
          <w:rFonts w:ascii="Times New Roman" w:hAnsi="Times New Roman"/>
          <w:b/>
          <w:lang w:val="es-ES_tradnl"/>
        </w:rPr>
      </w:pPr>
      <w:r w:rsidRPr="00F75A2A">
        <w:rPr>
          <w:rFonts w:ascii="Times New Roman" w:hAnsi="Times New Roman"/>
          <w:b/>
          <w:lang w:val="es-ES_tradnl"/>
        </w:rPr>
        <w:t>Comité Plenario 10.00–13.00</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b/>
          <w:lang w:val="es-ES_tradnl"/>
        </w:rPr>
      </w:pPr>
      <w:r w:rsidRPr="00F75A2A">
        <w:rPr>
          <w:rFonts w:ascii="Times New Roman" w:hAnsi="Times New Roman"/>
          <w:b/>
          <w:u w:val="single"/>
          <w:lang w:val="es-ES_tradnl"/>
        </w:rPr>
        <w:t>Nota</w:t>
      </w:r>
      <w:r w:rsidRPr="00F75A2A">
        <w:rPr>
          <w:lang w:val="es-ES_tradnl"/>
        </w:rPr>
        <w:t>:</w:t>
      </w:r>
      <w:r w:rsidRPr="00F75A2A">
        <w:rPr>
          <w:rFonts w:ascii="Times New Roman" w:hAnsi="Times New Roman"/>
          <w:b/>
          <w:lang w:val="es-ES_tradnl"/>
        </w:rPr>
        <w:t xml:space="preserve"> La numeración de los párrafos </w:t>
      </w:r>
      <w:r w:rsidR="00F672A1" w:rsidRPr="00F75A2A">
        <w:rPr>
          <w:rFonts w:ascii="Times New Roman" w:hAnsi="Times New Roman"/>
          <w:b/>
          <w:lang w:val="es-ES_tradnl"/>
        </w:rPr>
        <w:t>es</w:t>
      </w:r>
      <w:r w:rsidRPr="00F75A2A">
        <w:rPr>
          <w:rFonts w:ascii="Times New Roman" w:hAnsi="Times New Roman"/>
          <w:b/>
          <w:lang w:val="es-ES_tradnl"/>
        </w:rPr>
        <w:t xml:space="preserve"> la continuación del informe del segundo día ya distribuido.</w:t>
      </w:r>
    </w:p>
    <w:p w:rsidR="00100FB6" w:rsidRPr="00F75A2A" w:rsidRDefault="00100FB6" w:rsidP="00FA6772">
      <w:pPr>
        <w:jc w:val="both"/>
        <w:rPr>
          <w:rFonts w:ascii="Times New Roman" w:hAnsi="Times New Roman"/>
          <w:b/>
          <w:u w:val="single"/>
          <w:lang w:val="es-ES_tradnl"/>
        </w:rPr>
      </w:pPr>
    </w:p>
    <w:p w:rsidR="00100FB6" w:rsidRPr="00F75A2A" w:rsidRDefault="00100FB6" w:rsidP="00FA6772">
      <w:pPr>
        <w:jc w:val="center"/>
        <w:rPr>
          <w:rFonts w:ascii="Times New Roman" w:hAnsi="Times New Roman"/>
          <w:b/>
          <w:lang w:val="es-ES_tradnl"/>
        </w:rPr>
      </w:pPr>
      <w:r w:rsidRPr="00F75A2A">
        <w:rPr>
          <w:rFonts w:ascii="Times New Roman" w:hAnsi="Times New Roman"/>
          <w:b/>
          <w:lang w:val="es-ES_tradnl"/>
        </w:rPr>
        <w:t>INFORME PROVISIONAL</w:t>
      </w:r>
    </w:p>
    <w:p w:rsidR="00100FB6" w:rsidRPr="00F75A2A" w:rsidRDefault="00100FB6" w:rsidP="00FA6772">
      <w:pPr>
        <w:jc w:val="center"/>
        <w:rPr>
          <w:rFonts w:ascii="Times New Roman" w:hAnsi="Times New Roman"/>
          <w:b/>
          <w:lang w:val="es-ES_tradnl"/>
        </w:rPr>
      </w:pPr>
      <w:r w:rsidRPr="00F75A2A">
        <w:rPr>
          <w:rFonts w:ascii="Times New Roman" w:hAnsi="Times New Roman"/>
          <w:b/>
          <w:lang w:val="es-ES_tradnl"/>
        </w:rPr>
        <w:t>REUNIÓN DEL COMITÉ DE CREDENCIALES</w:t>
      </w:r>
    </w:p>
    <w:p w:rsidR="00100FB6" w:rsidRPr="00F75A2A" w:rsidRDefault="00100FB6" w:rsidP="00FA6772">
      <w:pPr>
        <w:jc w:val="center"/>
        <w:rPr>
          <w:rFonts w:ascii="Times New Roman" w:hAnsi="Times New Roman"/>
          <w:b/>
          <w:lang w:val="es-ES_tradnl"/>
        </w:rPr>
      </w:pPr>
      <w:r w:rsidRPr="00F75A2A">
        <w:rPr>
          <w:rFonts w:ascii="Times New Roman" w:hAnsi="Times New Roman"/>
          <w:b/>
          <w:lang w:val="es-ES_tradnl"/>
        </w:rPr>
        <w:t xml:space="preserve">(PUNTO 25 </w:t>
      </w:r>
      <w:r w:rsidRPr="00F75A2A">
        <w:rPr>
          <w:rFonts w:ascii="Times New Roman" w:hAnsi="Times New Roman"/>
          <w:lang w:val="es-ES_tradnl"/>
        </w:rPr>
        <w:t>continuación</w:t>
      </w:r>
      <w:r w:rsidRPr="00F75A2A">
        <w:rPr>
          <w:rFonts w:ascii="Times New Roman" w:hAnsi="Times New Roman"/>
          <w:b/>
          <w:lang w:val="es-ES_tradnl"/>
        </w:rPr>
        <w:t>)</w:t>
      </w:r>
    </w:p>
    <w:p w:rsidR="00100FB6" w:rsidRPr="00F75A2A" w:rsidRDefault="00100FB6" w:rsidP="00FA6772">
      <w:pPr>
        <w:jc w:val="both"/>
        <w:rPr>
          <w:rFonts w:ascii="Times New Roman" w:hAnsi="Times New Roman"/>
          <w:b/>
          <w:u w:val="single"/>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 xml:space="preserve">210. El Presidente del Comité de Credenciales (Pakistán) informó de que ninguna otra Parte había presentado sus credenciales desde el día anterior. El Comité había aprobado en consecuencia las credenciales de 53 países. </w:t>
      </w:r>
    </w:p>
    <w:p w:rsidR="00100FB6" w:rsidRPr="00F75A2A" w:rsidRDefault="00100FB6" w:rsidP="00FA6772">
      <w:pPr>
        <w:rPr>
          <w:rFonts w:ascii="Times New Roman" w:hAnsi="Times New Roman"/>
          <w:lang w:val="es-ES_tradnl"/>
        </w:rPr>
      </w:pPr>
    </w:p>
    <w:p w:rsidR="00100FB6" w:rsidRPr="00F75A2A" w:rsidRDefault="00100FB6" w:rsidP="00FA6772">
      <w:pPr>
        <w:jc w:val="center"/>
        <w:rPr>
          <w:rFonts w:ascii="Times New Roman" w:hAnsi="Times New Roman"/>
          <w:b/>
          <w:lang w:val="es-ES_tradnl"/>
        </w:rPr>
      </w:pPr>
      <w:r w:rsidRPr="00F75A2A">
        <w:rPr>
          <w:rFonts w:ascii="Times New Roman" w:hAnsi="Times New Roman"/>
          <w:b/>
          <w:lang w:val="es-ES_tradnl"/>
        </w:rPr>
        <w:t>PROGRESOS DE LOS GRUPOS DE REDACCIÓN Y DE TRABAJO</w:t>
      </w:r>
    </w:p>
    <w:p w:rsidR="00100FB6" w:rsidRPr="00F75A2A" w:rsidRDefault="00100FB6" w:rsidP="00FA6772">
      <w:pPr>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211. El Presidente invitó a presentar las actualizaciones del Grupo de Redacción y de los grupos de trabajo.</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212. El profesor Alfred Oteng-Yeboah, Presidente del Grupo de Redacción, informó de que el Grupo se había reunido el 5 de noviembre. Había terminado de examinar el punto del orden del día sobre las relaciones entre la CMS y la sociedad civil. El Grupo había abordado también la cuestión de las sinergias en el ámbito de la familia de la CMS y realizado buenos progresos.</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213. El Sr. David Stroud, Presidente del Grupo de trabajo sobre cuestiones aviarias, informó de que el grupo se había reunido dos veces, y que se había completado casi el trabajo acerca del Programa de trabajo sobre rutas aéreas y taxonomía.</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 xml:space="preserve">214. Sr. Barry Baker, Presidente del Grupo de trabajo sobre cuestiones acuáticas, informó de que el Grupo se había reunido dos veces y había completado el trabajo relativo a dos de los seis proyectos de resolución. </w:t>
      </w:r>
    </w:p>
    <w:p w:rsidR="00100FB6" w:rsidRPr="00F75A2A" w:rsidRDefault="00100FB6" w:rsidP="00FA6772">
      <w:pPr>
        <w:rPr>
          <w:rFonts w:ascii="Times New Roman" w:hAnsi="Times New Roman"/>
          <w:lang w:val="es-ES_tradnl"/>
        </w:rPr>
      </w:pPr>
    </w:p>
    <w:p w:rsidR="00100FB6" w:rsidRPr="00F75A2A" w:rsidRDefault="00100FB6" w:rsidP="00FA6772">
      <w:pPr>
        <w:jc w:val="center"/>
        <w:rPr>
          <w:rFonts w:ascii="Times New Roman" w:hAnsi="Times New Roman"/>
          <w:b/>
          <w:lang w:val="es-ES_tradnl"/>
        </w:rPr>
      </w:pPr>
      <w:r w:rsidRPr="00F75A2A">
        <w:rPr>
          <w:rFonts w:ascii="Times New Roman" w:hAnsi="Times New Roman"/>
          <w:b/>
          <w:lang w:val="es-ES_tradnl"/>
        </w:rPr>
        <w:t xml:space="preserve">ASUNTOS RELATIVOS A LA CONSERVACIÓN (PUNTO 23 </w:t>
      </w:r>
      <w:r w:rsidRPr="00F75A2A">
        <w:rPr>
          <w:rFonts w:ascii="Times New Roman" w:hAnsi="Times New Roman"/>
          <w:lang w:val="es-ES_tradnl"/>
        </w:rPr>
        <w:t>continuación</w:t>
      </w:r>
      <w:r w:rsidRPr="00F75A2A">
        <w:rPr>
          <w:rFonts w:ascii="Times New Roman" w:hAnsi="Times New Roman"/>
          <w:b/>
          <w:lang w:val="es-ES_tradnl"/>
        </w:rPr>
        <w:t>)</w:t>
      </w:r>
    </w:p>
    <w:p w:rsidR="00100FB6" w:rsidRPr="00F75A2A" w:rsidRDefault="00100FB6" w:rsidP="00FA6772">
      <w:pPr>
        <w:rPr>
          <w:rFonts w:ascii="Times New Roman" w:hAnsi="Times New Roman"/>
          <w:lang w:val="es-ES_tradnl"/>
        </w:rPr>
      </w:pPr>
    </w:p>
    <w:p w:rsidR="00100FB6" w:rsidRPr="00F75A2A" w:rsidRDefault="00100FB6" w:rsidP="00FA6772">
      <w:pPr>
        <w:rPr>
          <w:rFonts w:ascii="Times New Roman" w:hAnsi="Times New Roman"/>
          <w:lang w:val="es-ES_tradnl"/>
        </w:rPr>
      </w:pPr>
      <w:r w:rsidRPr="00F75A2A">
        <w:rPr>
          <w:rFonts w:ascii="Times New Roman" w:hAnsi="Times New Roman"/>
          <w:b/>
          <w:lang w:val="es-ES_tradnl"/>
        </w:rPr>
        <w:t>Delitos contra la fauna silvestre (punto 23.4.7)</w:t>
      </w:r>
    </w:p>
    <w:p w:rsidR="00100FB6" w:rsidRPr="00F75A2A" w:rsidRDefault="00100FB6" w:rsidP="00FA6772">
      <w:pPr>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 xml:space="preserve">215. El profesor Oteng-Yeboah (Ghana) presentó el documento PNUMA/CMS/COP11/Doc.23.4.7/Rev 1 </w:t>
      </w:r>
      <w:r w:rsidRPr="00F75A2A">
        <w:rPr>
          <w:rFonts w:ascii="Times New Roman" w:hAnsi="Times New Roman"/>
          <w:i/>
          <w:lang w:val="es-ES_tradnl"/>
        </w:rPr>
        <w:t>Combatir los delitos contra la fauna silvestre dentro y fuera de las fronteras</w:t>
      </w:r>
      <w:r w:rsidRPr="00F75A2A">
        <w:rPr>
          <w:rFonts w:ascii="Times New Roman" w:hAnsi="Times New Roman"/>
          <w:lang w:val="es-ES_tradnl"/>
        </w:rPr>
        <w:t xml:space="preserve">, incluido el proyecto de resolución, patrocinado conjuntamente por Ghana y Mónaco, que figura en el Anexo del documento. Los delitos contra la fauna afectaban al desarrollo económico, a la seguridad nacional e internacional, así como a la biodiversidad. El proyecto de resolución incluía medidas para mejorar la gestión de las poblaciones de fauna silvestre </w:t>
      </w:r>
      <w:r w:rsidRPr="00F75A2A">
        <w:rPr>
          <w:rFonts w:ascii="Times New Roman" w:hAnsi="Times New Roman"/>
          <w:lang w:val="es-ES_tradnl"/>
        </w:rPr>
        <w:lastRenderedPageBreak/>
        <w:t>compartidas, mejorar la aplicación de las leyes transfronterizas, aumentar la sensibilización, promover medios de vida alternativos y reducir la demanda de productos de fauna silvestre ilegales.</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216. El representante de Mónaco, con el apoyo de Uganda, hizo hincapié en la importancia de fortalecer la cooperación entre los diferentes organismos, entre ellos la INTERPOL y la CITES, y mencionó los riesgos que representaban para el desarrollo económico y el turismo. Consideró una cuestión importante la mejora de la trazabilidad de los productos objeto de tráfico ilegal en los países importadores.</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217. El representante de la Unión Europea y sus Estados Miembros consideró que la iniciativa de combatir la delincuencia contra la fauna silvestre constituía una máxima prioridad. Los Estados Miembros de la UE habían iniciado, organizado y apoyado varios eventos de alto nivel, tales como:</w:t>
      </w:r>
    </w:p>
    <w:p w:rsidR="00100FB6" w:rsidRPr="00F75A2A" w:rsidRDefault="00100FB6" w:rsidP="00FA6772">
      <w:pPr>
        <w:jc w:val="both"/>
        <w:rPr>
          <w:rFonts w:ascii="Times New Roman" w:hAnsi="Times New Roman"/>
          <w:lang w:val="es-ES_tradnl"/>
        </w:rPr>
      </w:pPr>
    </w:p>
    <w:p w:rsidR="00100FB6" w:rsidRPr="00F75A2A" w:rsidRDefault="00100FB6" w:rsidP="00FA6772">
      <w:pPr>
        <w:numPr>
          <w:ilvl w:val="0"/>
          <w:numId w:val="1"/>
        </w:numPr>
        <w:jc w:val="both"/>
        <w:rPr>
          <w:rFonts w:ascii="Times New Roman" w:hAnsi="Times New Roman"/>
          <w:lang w:val="es-ES_tradnl"/>
        </w:rPr>
      </w:pPr>
      <w:r w:rsidRPr="00F75A2A">
        <w:rPr>
          <w:rFonts w:ascii="Times New Roman" w:hAnsi="Times New Roman"/>
          <w:lang w:val="es-ES_tradnl"/>
        </w:rPr>
        <w:t xml:space="preserve">La Cumbre sobre el elefante africano (Gaborone, diciembre de 2013), </w:t>
      </w:r>
    </w:p>
    <w:p w:rsidR="00100FB6" w:rsidRPr="00F75A2A" w:rsidRDefault="00100FB6" w:rsidP="00FA6772">
      <w:pPr>
        <w:numPr>
          <w:ilvl w:val="0"/>
          <w:numId w:val="1"/>
        </w:numPr>
        <w:jc w:val="both"/>
        <w:rPr>
          <w:rFonts w:ascii="Times New Roman" w:hAnsi="Times New Roman"/>
          <w:lang w:val="es-ES_tradnl"/>
        </w:rPr>
      </w:pPr>
      <w:r w:rsidRPr="00F75A2A">
        <w:rPr>
          <w:rFonts w:ascii="Times New Roman" w:hAnsi="Times New Roman"/>
          <w:lang w:val="es-ES_tradnl"/>
        </w:rPr>
        <w:t xml:space="preserve">La Cumbre del Elíseo para la Paz y Seguridad en África (París, diciembre de 2013), </w:t>
      </w:r>
    </w:p>
    <w:p w:rsidR="00100FB6" w:rsidRPr="00F75A2A" w:rsidRDefault="00100FB6" w:rsidP="00FA6772">
      <w:pPr>
        <w:numPr>
          <w:ilvl w:val="0"/>
          <w:numId w:val="1"/>
        </w:numPr>
        <w:jc w:val="both"/>
        <w:rPr>
          <w:rFonts w:ascii="Times New Roman" w:hAnsi="Times New Roman"/>
          <w:lang w:val="es-ES_tradnl"/>
        </w:rPr>
      </w:pPr>
      <w:r w:rsidRPr="00F75A2A">
        <w:rPr>
          <w:rFonts w:ascii="Times New Roman" w:hAnsi="Times New Roman"/>
          <w:lang w:val="es-ES_tradnl"/>
        </w:rPr>
        <w:t xml:space="preserve">La Cumbre de Londres sobre el comercio ilegal de fauna silvestre (Londres, febrero de 2014), </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218. La UE y sus Estados Miembros reconocían que la CMS tenía también que desempeñar una función importante en la respuesta mundial a la delincuencia contra la fauna silvestre, tanto dentro de los Estados del área de distribución como a través de las fronteras nacionales. La UE presentó dos enmiendas a un párrafo dispositivo del proyecto de resolución.</w:t>
      </w:r>
    </w:p>
    <w:p w:rsidR="00100FB6" w:rsidRPr="00F75A2A" w:rsidRDefault="00100FB6" w:rsidP="00FA6772">
      <w:pPr>
        <w:jc w:val="both"/>
        <w:rPr>
          <w:rFonts w:ascii="Times New Roman" w:hAnsi="Times New Roman"/>
          <w:b/>
          <w:bCs/>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219. El representante del Uruguay consideró el proyecto de resolución como el lógico fortalecimiento de la cooperación entre la CMS y la CITES. Casi todos los países de la CMS eran también Partes en la CITES, pero no todas las especies incluidas en los Apéndices de la CMS figuraban también en las listas de la CITES. Era necesario enmendar el lenguaje utilizado en relación con la delincuencia, ya que los delitos contra la fauna silvestre no estaban sujetos a la acción penal en muchos países. El uso de términos como "violación" o "infracción" ayudaría en este sentido.</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220. El representante del Brasil, con el apoyo de Chile, refrendó el proyecto de resolución. Consideró una ventaja que no comportara nuevas líneas de trabajo para la Secretaría de la CMS. Brasil consideraba las referencias a la seguridad nacional y regional exageradas y deberían ser modificadas o suprimidas. Brasil creía que el proyecto de resolución podría fortalecerse en su parte dispositiva, mediante la inclusión de dos párrafos adicionales. En ellos deberían proponerse medidas adicionales para las Partes y las no Partes destinadas a intensificar la cooperación para impedir y minimizar los daños causados por los delitos contra la fauna silvestre dentro y fuera de las fronteras. Con estas y otras enmiendas menores, Brasil estaba dispuesto a apoyar el proyecto de resolución.</w:t>
      </w:r>
    </w:p>
    <w:p w:rsidR="00100FB6" w:rsidRPr="00F75A2A" w:rsidRDefault="00100FB6" w:rsidP="00FA6772">
      <w:pPr>
        <w:jc w:val="both"/>
        <w:rPr>
          <w:rFonts w:ascii="Times New Roman" w:hAnsi="Times New Roman"/>
          <w:lang w:val="es-ES_tradnl"/>
        </w:rPr>
      </w:pPr>
    </w:p>
    <w:p w:rsidR="00100FB6" w:rsidRPr="00F75A2A" w:rsidRDefault="00F672A1" w:rsidP="00FA6772">
      <w:pPr>
        <w:jc w:val="both"/>
        <w:rPr>
          <w:rFonts w:ascii="Times New Roman" w:hAnsi="Times New Roman"/>
          <w:lang w:val="es-ES_tradnl"/>
        </w:rPr>
      </w:pPr>
      <w:r w:rsidRPr="00F75A2A">
        <w:rPr>
          <w:rFonts w:ascii="Times New Roman" w:hAnsi="Times New Roman"/>
          <w:lang w:val="es-ES_tradnl"/>
        </w:rPr>
        <w:t>221. El representante de Keni</w:t>
      </w:r>
      <w:r w:rsidR="00100FB6" w:rsidRPr="00F75A2A">
        <w:rPr>
          <w:rFonts w:ascii="Times New Roman" w:hAnsi="Times New Roman"/>
          <w:lang w:val="es-ES_tradnl"/>
        </w:rPr>
        <w:t>a expresó su profunda preocupación por la caza furtiva para obtener marfil de elefante y cuernos de rinoceronte. En el documento se proporciona un medio para que la CMS responda a la gravedad de estas amenazas. Sugirió una enmienda a un párrafo operativo, pero instó a todas las Partes a que apoyaran el proyecto de resolución.</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222. El representante del Pakistán hizo referencia al comercio ilegal generalizado en la región de Asia de grupos como geckos, pangolines, tortugas de agua dulce y los escorpiones. Propuso que se reflejara esta cuestión en el documento.</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lastRenderedPageBreak/>
        <w:t>223. El representante de Sudáfrica destacó el compromiso de su país en hacer frente a la delincuencia contra la fauna silvestre, y en particular el flagelo de la caza furtiva de rinocerontes. Indicó que las enmiendas a dos párrafos del proyecto de resolución se enviarían a la Secretaría.</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224. El representante de Egipto declaró que era el momento de actuar. La cooperación entre las organizaciones internacionales era esencial, y se necesitaban realmente soluciones innovadoras. Era necesario abordar también las causas profundas de la delincuencia contra la fauna silvestre, tales como la pobreza, la corrupción, la inestabilidad política y la inseguridad.</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225. El representante de Israel hizo hincapié en la cuestión de la prevención. Israel estaba implementando un importante proyecto de lucha contra la caza furtiva en África utilizando tecnologías innovadoras. Se ofreció a ayudar a las Partes o las organizaciones que pudieran estar interesadas en adoptar tales métodos. Refutó la declaración del Brasil que se oponía a la referencia al aumento de los p</w:t>
      </w:r>
      <w:r w:rsidR="00F672A1" w:rsidRPr="00F75A2A">
        <w:rPr>
          <w:rFonts w:ascii="Times New Roman" w:hAnsi="Times New Roman"/>
          <w:lang w:val="es-ES_tradnl"/>
        </w:rPr>
        <w:t>roblemas de seguridad nacional e internacional</w:t>
      </w:r>
      <w:r w:rsidRPr="00F75A2A">
        <w:rPr>
          <w:rFonts w:ascii="Times New Roman" w:hAnsi="Times New Roman"/>
          <w:lang w:val="es-ES_tradnl"/>
        </w:rPr>
        <w:t xml:space="preserve"> que derivaban de la delincuencia contra la fauna silvestre, habida cuenta de las abundantes pruebas de que ésta era de hecho la situación. </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226. El representante del Ecuador señaló a la atención de los presentes los cambios necesarios en el lenguaje utilizado en dos puntos del documento en el que se hacía referencia incorrectamente a la fauna y la flora. Considerando que el documento se refería a los delitos contra los animales silvestres, se deberían eliminar las referencias a la flora.</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227. El observador de la Secretaría de la CITES recordó que el enfoque principal de la CITES era sobre los delitos internacionales y que el enfoque adicional de la CMS respecto de la delincuencia dentro de las fronteras nacionales sería complementario. Presentaría a la Secretaría el texto de una propuesta de enmienda a un párrafo operativo.</w:t>
      </w:r>
      <w:r w:rsidRPr="00F75A2A">
        <w:rPr>
          <w:rFonts w:ascii="Times New Roman" w:hAnsi="Times New Roman"/>
          <w:color w:val="FF0000"/>
          <w:lang w:val="es-ES_tradnl"/>
        </w:rPr>
        <w:t xml:space="preserve"> </w:t>
      </w:r>
      <w:r w:rsidRPr="00F75A2A">
        <w:rPr>
          <w:rFonts w:ascii="Times New Roman" w:hAnsi="Times New Roman"/>
          <w:lang w:val="es-ES_tradnl"/>
        </w:rPr>
        <w:t>Elogió el proyecto de resolución y esperaba que fuera aprobado por la Conferencia de las Partes.</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228. El observador del PNUMA hizo referencia a la Resolución PNUMA/EA.1/3 sobre el comercio ilegal de fauna silvestre que se había aprobado en la primera reunión de la UNEA en junio de 2014. En ella se pedía al PNUMA que se adoptaran medidas de colaboración para fortalecer las respuestas al comercio ilegal de fauna silvestre. Este esfuerzo incluía la prestación de apoyo a las medidas legales, judiciales y de observancia, así como un enfoque orientado a la sensibilización y la reducción de la demanda de productos de fauna silvestre de origen ilegal.</w:t>
      </w:r>
    </w:p>
    <w:p w:rsidR="00100FB6" w:rsidRPr="00F75A2A" w:rsidRDefault="00100FB6" w:rsidP="00FA6772">
      <w:pPr>
        <w:jc w:val="both"/>
        <w:rPr>
          <w:rFonts w:ascii="Times New Roman" w:hAnsi="Times New Roman"/>
          <w:b/>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229. El observador de la Born Free Foundation (Fundación Nacido Libre) instó a las Partes a que aseguraran que el lenguaje del proyecto de resolución añadiera valor a las medidas ya existentes.</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230. El Presidente pidió al representante de Mónaco que verificara todas las enmiendas propuestas y volviera a presentar un texto revisado al Comité Plenario para nuevo examen.</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b/>
          <w:lang w:val="es-ES_tradnl"/>
        </w:rPr>
      </w:pPr>
      <w:r w:rsidRPr="00F75A2A">
        <w:rPr>
          <w:rFonts w:ascii="Times New Roman" w:hAnsi="Times New Roman"/>
          <w:b/>
          <w:lang w:val="es-ES_tradnl"/>
        </w:rPr>
        <w:t>Especies exóticas invasoras (punto 23.4.4)</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 xml:space="preserve">231. El Sr. Borja Heredia (Secretaría) hizo una exposición para presentar el documento PNUMA/CMS/COP11/Doc.23.4.4 </w:t>
      </w:r>
      <w:r w:rsidRPr="00F75A2A">
        <w:rPr>
          <w:rFonts w:ascii="Times New Roman" w:hAnsi="Times New Roman"/>
          <w:i/>
          <w:lang w:val="es-ES_tradnl"/>
        </w:rPr>
        <w:t>Revisión del impacto de las especies exóticas invasoras en las especies de la Convención sobre las Especies Migratorias</w:t>
      </w:r>
      <w:r w:rsidRPr="00F75A2A">
        <w:rPr>
          <w:rFonts w:ascii="Times New Roman" w:hAnsi="Times New Roman"/>
          <w:lang w:val="es-ES_tradnl"/>
        </w:rPr>
        <w:t>, incluido el proyecto de resolución contenido en el Anexo II del documento. Señaló que el documento PNUMA/CMS/COP11/Inf.32 contenía la versión completa del estudio del impacto de las especies exóticas invasoras (IAS). Tanto el estudio como el proyecto de resolución habían sido examinados por el Consejo Científico.</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lastRenderedPageBreak/>
        <w:t>232. El representante de Australia apoyó la labor de la CMS sobre las IAS y se ofreció a compartir sus experiencias sobre esta cuestión con otras Partes y organizaciones. Australia presentó una propuesta de enmienda a un párrafo del preámbulo del proyecto de resolución.</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 xml:space="preserve">233. Los representantes de Estados Unidos, Chile, Costa Rica, Fiji y Perú apoyaron el proyecto de resolución. Se presentaron otras enmiendas a tres párrafos del preámbulo. </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234. El representante de Egipto, si bien apoyaba el proyecto de resolución, consideró que la cuestión de las IAS requería un enfoque con ideas más innovadoras. Sugirió que podría ser útil emprender un proyecto piloto.</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 xml:space="preserve">235. El representante de la UE y sus Estados Miembros hizo referencia a la reciente aprobación de un Reglamento de la UE sobre las IAS, en el que se establecía un marco de medidas eficaces para toda la UE. La UE apoyaba el proyecto de resolución y se complacía </w:t>
      </w:r>
      <w:r w:rsidR="00F75A2A" w:rsidRPr="00F75A2A">
        <w:rPr>
          <w:rFonts w:ascii="Times New Roman" w:hAnsi="Times New Roman"/>
          <w:lang w:val="es-ES_tradnl"/>
        </w:rPr>
        <w:t>que</w:t>
      </w:r>
      <w:r w:rsidRPr="00F75A2A">
        <w:rPr>
          <w:rFonts w:ascii="Times New Roman" w:hAnsi="Times New Roman"/>
          <w:lang w:val="es-ES_tradnl"/>
        </w:rPr>
        <w:t xml:space="preserve"> en él se subrayara la importancia de la coordinación con otras instituciones y acuerdos ambientales multilaterales (AAM), en particular el CDB. La conclusión formulada en el informe, de que las poblaciones de aves marinas y tortugas marinas en sus áreas de reproducción y anidación en las islas se encontraban expuestas a la amenaza mayor proveniente de las IAS, sugería que esta cuestión debería constituir una prioridad para el trabajo futuro. Se habían presentado varias enmiendas textuales menores a la Secretaría.</w:t>
      </w:r>
    </w:p>
    <w:p w:rsidR="00100FB6" w:rsidRPr="00F75A2A" w:rsidRDefault="00100FB6" w:rsidP="00FA6772">
      <w:pPr>
        <w:jc w:val="both"/>
        <w:rPr>
          <w:rFonts w:ascii="Times New Roman" w:hAnsi="Times New Roman"/>
          <w:u w:val="single"/>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236. El representante de Nueva Zelandia se mostró complacido de que el Grupo de Especialistas de la UICN sobre las IAS, que tenía su sede en la Universidad de Auckland, había preparado el informe sobre el que se basaba el documento. La enmienda textual propuesta se había remitido a la Secretaría.</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237. El representante de la Argentina se unió a otros en expresar su apoyo al proyecto de resolución e hizo referencia a un proyecto del FMAM sobre esta cuestión, así como a una iniciativa bilateral con Chile sobre dos IAS compartidas.</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b/>
          <w:lang w:val="es-ES_tradnl"/>
        </w:rPr>
      </w:pPr>
      <w:r w:rsidRPr="00F75A2A">
        <w:rPr>
          <w:rFonts w:ascii="Times New Roman" w:hAnsi="Times New Roman"/>
          <w:b/>
          <w:lang w:val="es-ES_tradnl"/>
        </w:rPr>
        <w:t>Turismo de observación de la fauna silvestre desde embarcaciones (punto 23.4.5)</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 xml:space="preserve">238. La Sra. Frisch (Secretaría) hizo una exposición para presentar el documento PNUMA/CMS/COP11/Doc.23.4.5 </w:t>
      </w:r>
      <w:r w:rsidRPr="00F75A2A">
        <w:rPr>
          <w:rFonts w:ascii="Times New Roman" w:hAnsi="Times New Roman"/>
          <w:i/>
          <w:lang w:val="es-ES_tradnl"/>
        </w:rPr>
        <w:t>Turismo de observación de la fauna silvestre desde embarcaciones,</w:t>
      </w:r>
      <w:r w:rsidRPr="00F75A2A">
        <w:rPr>
          <w:rFonts w:ascii="Times New Roman" w:hAnsi="Times New Roman"/>
          <w:lang w:val="es-ES_tradnl"/>
        </w:rPr>
        <w:t xml:space="preserve"> incluido el proyecto de resolución contenido en el Anexo I del documento. Esta cuestión afectaba a todos los grupos de especies marinas de las que se ocupaba la CMS. Se había mantenido un amplio debate en el Grupo de trabajo sobre cuestiones acuáticas, y el documento había cambiado ya considerablemente. Se proporcionaría una versión revisada al Comité Plenario para su examen adicional a su debido tiempo.</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239. El Presidente suspendió las nuevas deliberaciones del Comité Plenario sobre esta cuestión, en espera de recibir el documento revisado.</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b/>
          <w:lang w:val="es-ES_tradnl"/>
        </w:rPr>
        <w:t>Manejo de desechos marinos (punto 23.4.6)</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 xml:space="preserve">240. La Sra. Frisch (Secretaría) hizo una exposición para presentar el documento PNUMA/CMS/COP11/Doc.23.4.6 </w:t>
      </w:r>
      <w:r w:rsidRPr="00F75A2A">
        <w:rPr>
          <w:rFonts w:ascii="Times New Roman" w:hAnsi="Times New Roman"/>
          <w:i/>
          <w:lang w:val="es-ES_tradnl"/>
        </w:rPr>
        <w:t>Gestión de desechos marinos</w:t>
      </w:r>
      <w:r w:rsidRPr="00F75A2A">
        <w:rPr>
          <w:rFonts w:ascii="Times New Roman" w:hAnsi="Times New Roman"/>
          <w:lang w:val="es-ES_tradnl"/>
        </w:rPr>
        <w:t xml:space="preserve">, incluido el proyecto de resolución contenido en el Anexo I del documento. En la Resolución 10.4 se habían dado instrucciones al Consejo Científico para coordinar tres exámenes, financiados con cargo a una contribución voluntaria de Australia, relativos a carencias de conocimientos, gestión de desechos en los buques marinos, y la eficacia de una campaña de sensibilización pública. Los informes fueron presentados </w:t>
      </w:r>
      <w:r w:rsidRPr="00F75A2A">
        <w:rPr>
          <w:rFonts w:ascii="Times New Roman" w:hAnsi="Times New Roman"/>
          <w:lang w:val="es-ES_tradnl"/>
        </w:rPr>
        <w:lastRenderedPageBreak/>
        <w:t>como documentos PNUMA/CMS/COP 11/Inf.27, COP 11/Inf.28 y COP 11/Inf.29. El Grupo de trabajo sobre cuestiones acuática abordaría esta cuestión más tarde ese día.</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241. El observador del PNUMA presentó una enmienda al proyecto de resolución, hizo referencia a la resolución sobre desechos marinos de plástico y micro plásticos, aprobada por la Asamblea de las Naciones Unidas para el Medio Ambiente (UNEA) en junio de 2014.</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242. El representante de la Argentina consideró que la cuestión de la existencia o la carencia de legislación era objeto de examen a nivel nacional. Era, pues, inapropiado incluir este tema en el presente documento.</w:t>
      </w:r>
    </w:p>
    <w:p w:rsidR="00100FB6" w:rsidRPr="00F75A2A" w:rsidRDefault="00100FB6" w:rsidP="00FA6772">
      <w:pPr>
        <w:jc w:val="both"/>
        <w:rPr>
          <w:rFonts w:ascii="Times New Roman" w:hAnsi="Times New Roman"/>
          <w:lang w:val="es-ES_tradnl"/>
        </w:rPr>
      </w:pPr>
    </w:p>
    <w:p w:rsidR="00100FB6" w:rsidRPr="00F75A2A" w:rsidRDefault="00100FB6" w:rsidP="00FA6772">
      <w:pPr>
        <w:jc w:val="both"/>
        <w:rPr>
          <w:rFonts w:ascii="Times New Roman" w:hAnsi="Times New Roman"/>
          <w:lang w:val="es-ES_tradnl"/>
        </w:rPr>
      </w:pPr>
      <w:r w:rsidRPr="00F75A2A">
        <w:rPr>
          <w:rFonts w:ascii="Times New Roman" w:hAnsi="Times New Roman"/>
          <w:lang w:val="es-ES_tradnl"/>
        </w:rPr>
        <w:t>243. El Presidente concluyó que el examen ulterior por el Comité Plenario debía supeditarse a la recepción de un texto revisado del Grupo de trabajo.</w:t>
      </w:r>
    </w:p>
    <w:p w:rsidR="00F672A1" w:rsidRPr="00F75A2A" w:rsidRDefault="00F672A1" w:rsidP="00F672A1">
      <w:pPr>
        <w:suppressAutoHyphens/>
        <w:autoSpaceDN w:val="0"/>
        <w:jc w:val="center"/>
        <w:textAlignment w:val="baseline"/>
        <w:rPr>
          <w:rFonts w:ascii="Times New Roman" w:hAnsi="Times New Roman"/>
          <w:b/>
          <w:lang w:val="es-ES_tradnl" w:eastAsia="en-US"/>
        </w:rPr>
      </w:pPr>
    </w:p>
    <w:p w:rsidR="00F672A1" w:rsidRPr="00F75A2A" w:rsidRDefault="00F672A1" w:rsidP="00F672A1">
      <w:pPr>
        <w:suppressAutoHyphens/>
        <w:autoSpaceDN w:val="0"/>
        <w:jc w:val="center"/>
        <w:textAlignment w:val="baseline"/>
        <w:rPr>
          <w:rFonts w:ascii="Times New Roman" w:hAnsi="Times New Roman"/>
          <w:b/>
          <w:lang w:val="es-ES_tradnl" w:eastAsia="en-US"/>
        </w:rPr>
      </w:pPr>
      <w:r w:rsidRPr="00F75A2A">
        <w:rPr>
          <w:rFonts w:ascii="Times New Roman" w:hAnsi="Times New Roman"/>
          <w:b/>
          <w:lang w:val="es-ES_tradnl" w:eastAsia="en-US"/>
        </w:rPr>
        <w:t>ENMIENDAS A LOS APÉNDICES DE LA CMS (</w:t>
      </w:r>
      <w:r w:rsidR="00DF2785" w:rsidRPr="00F75A2A">
        <w:rPr>
          <w:rFonts w:ascii="Times New Roman" w:hAnsi="Times New Roman"/>
          <w:b/>
          <w:lang w:val="es-ES_tradnl" w:eastAsia="en-US"/>
        </w:rPr>
        <w:t>PUNTO</w:t>
      </w:r>
      <w:r w:rsidRPr="00F75A2A">
        <w:rPr>
          <w:rFonts w:ascii="Times New Roman" w:hAnsi="Times New Roman"/>
          <w:b/>
          <w:lang w:val="es-ES_tradnl" w:eastAsia="en-US"/>
        </w:rPr>
        <w:t xml:space="preserve"> 24)</w:t>
      </w:r>
    </w:p>
    <w:p w:rsidR="00F672A1" w:rsidRPr="00F75A2A" w:rsidRDefault="00F672A1" w:rsidP="00F672A1">
      <w:pPr>
        <w:suppressAutoHyphens/>
        <w:autoSpaceDN w:val="0"/>
        <w:jc w:val="center"/>
        <w:textAlignment w:val="baseline"/>
        <w:rPr>
          <w:rFonts w:ascii="Times New Roman" w:hAnsi="Times New Roman"/>
          <w:b/>
          <w:lang w:val="es-ES_tradnl" w:eastAsia="en-US"/>
        </w:rPr>
      </w:pPr>
    </w:p>
    <w:p w:rsidR="00F672A1" w:rsidRPr="00F75A2A" w:rsidRDefault="00F672A1" w:rsidP="00F672A1">
      <w:pPr>
        <w:suppressAutoHyphens/>
        <w:autoSpaceDN w:val="0"/>
        <w:textAlignment w:val="baseline"/>
        <w:rPr>
          <w:rFonts w:ascii="Times New Roman" w:hAnsi="Times New Roman"/>
          <w:b/>
          <w:lang w:val="es-ES_tradnl" w:eastAsia="en-US"/>
        </w:rPr>
      </w:pPr>
      <w:r w:rsidRPr="00F75A2A">
        <w:rPr>
          <w:rFonts w:ascii="Times New Roman" w:hAnsi="Times New Roman"/>
          <w:b/>
          <w:lang w:val="es-ES_tradnl" w:eastAsia="en-US"/>
        </w:rPr>
        <w:t>Propuestas de Enmienda a los Apéndices I y II de la Convención ( 24.1)</w:t>
      </w:r>
    </w:p>
    <w:p w:rsidR="00F672A1" w:rsidRPr="00F75A2A" w:rsidRDefault="00F672A1" w:rsidP="00F672A1">
      <w:pPr>
        <w:suppressAutoHyphens/>
        <w:autoSpaceDN w:val="0"/>
        <w:textAlignment w:val="baseline"/>
        <w:rPr>
          <w:rFonts w:ascii="Times New Roman" w:hAnsi="Times New Roman"/>
          <w:b/>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244. La presidenta indicó que se invitaría al proponente de cada propuesta de Enmienda a los Apéndices I y II de la CMS a presentar brevemente la propuesta. El Comité Plenario no debatirá extensamente las posibles enmiendas a la propuesta. Realizar enmiendas sobre la propuestas será responsabilidad del (los) proponente(s). Se instó a los Participantes a entregar a la Secretaría cualquier declaración que deseen realizar y, en la medida de lo posible, a evitar largas intervenciones verbales. Lo más importante era exponer claramente si la propuesta cuenta con apoyo, sí o no. Si contara ya con un claro apoyo generalizado, o incluso con consenso pleno, éste recomendaría al presidente del Plenario que éste pudiera adoptar la propuesta sin mayor dificultad. Sin embargo, si hubiera claras diferencias de opinión o incluso oposición de forma generalizada, éste  informaría al presidente del plenario de que no existe consenso en el Comité Plenario, para que pudiera determinar la forma más apropiada de continuar en el Plenario.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 xml:space="preserve">245. El representante de la UE presentó el documento </w:t>
      </w:r>
      <w:r w:rsidRPr="00F75A2A">
        <w:rPr>
          <w:rFonts w:ascii="Times New Roman" w:hAnsi="Times New Roman"/>
          <w:b/>
          <w:lang w:val="es-ES_tradnl" w:eastAsia="en-US"/>
        </w:rPr>
        <w:t>P</w:t>
      </w:r>
      <w:r w:rsidR="00DF2785" w:rsidRPr="00F75A2A">
        <w:rPr>
          <w:rFonts w:ascii="Times New Roman" w:hAnsi="Times New Roman"/>
          <w:b/>
          <w:lang w:val="es-ES_tradnl" w:eastAsia="en-US"/>
        </w:rPr>
        <w:t>NUMA</w:t>
      </w:r>
      <w:r w:rsidRPr="00F75A2A">
        <w:rPr>
          <w:rFonts w:ascii="Times New Roman" w:hAnsi="Times New Roman"/>
          <w:b/>
          <w:lang w:val="es-ES_tradnl" w:eastAsia="en-US"/>
        </w:rPr>
        <w:t>/CMS/COP11/Doc.24.1.1 Propuesta para la inclusión de la población mediterránea del Ballenato de Cuvier (</w:t>
      </w:r>
      <w:r w:rsidRPr="00F75A2A">
        <w:rPr>
          <w:rFonts w:ascii="Times New Roman" w:hAnsi="Times New Roman"/>
          <w:b/>
          <w:i/>
          <w:lang w:val="es-ES_tradnl" w:eastAsia="en-US"/>
        </w:rPr>
        <w:t>Ziphius cavirostris</w:t>
      </w:r>
      <w:r w:rsidRPr="00F75A2A">
        <w:rPr>
          <w:rFonts w:ascii="Times New Roman" w:hAnsi="Times New Roman"/>
          <w:b/>
          <w:lang w:val="es-ES_tradnl" w:eastAsia="en-US"/>
        </w:rPr>
        <w:t>) en el Apéndice I de la CMS.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 xml:space="preserve">246. El observador de Wild Migration, representando también a Born Free Foundation, Humane Society International, IFAW, NRDC, OceanCare y Whale and Dolphin Conservation y, como anticipó, a tantas otras </w:t>
      </w:r>
      <w:r w:rsidR="00F75A2A" w:rsidRPr="00F75A2A">
        <w:rPr>
          <w:rFonts w:ascii="Times New Roman" w:hAnsi="Times New Roman"/>
          <w:lang w:val="es-ES_tradnl" w:eastAsia="en-US"/>
        </w:rPr>
        <w:t>ONG</w:t>
      </w:r>
      <w:r w:rsidRPr="00F75A2A">
        <w:rPr>
          <w:rFonts w:ascii="Times New Roman" w:hAnsi="Times New Roman"/>
          <w:lang w:val="es-ES_tradnl" w:eastAsia="en-US"/>
        </w:rPr>
        <w:t xml:space="preserve"> presentes, acogió y apoyó la propuesta.</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247. El observador de la Secretaría de ACCOBAMS apuntó que la propuesta había sido preparada originalmente por el Comité Científico de ACCOBAMS. Mostró su agradecimiento a España y  a la UE por haber respaldado y apoyado la propuesta.</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248. Chile, en representación del grupo regional de América Latina y el Caribe, apoyó la propuesta.</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249. El observador de la Secretaría de CITES realizó la siguiente declaración:</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ind w:left="720"/>
        <w:jc w:val="both"/>
        <w:textAlignment w:val="baseline"/>
        <w:rPr>
          <w:rFonts w:ascii="Times New Roman" w:hAnsi="Times New Roman"/>
          <w:lang w:val="es-ES_tradnl" w:eastAsia="en-US"/>
        </w:rPr>
      </w:pPr>
      <w:r w:rsidRPr="00F75A2A">
        <w:rPr>
          <w:rFonts w:ascii="Times New Roman" w:hAnsi="Times New Roman"/>
          <w:lang w:val="es-ES_tradnl" w:eastAsia="en-US"/>
        </w:rPr>
        <w:t xml:space="preserve">“Es cierto que todas las subespecies, razas, poblaciones, subpoblaciones y demás, así como cada espécimen, tienen valor para la conservación de la especie y que el texto de la CMS así lo indica en su definición del término "Especie", que incluye "toda parte de ella geográficamente aislada, de cualquier especie o grupo taxonómico inferior de animales silvestres”. Sin embargo, luchamos de manera colectiva para abordar de forma adecuada la </w:t>
      </w:r>
      <w:r w:rsidRPr="00F75A2A">
        <w:rPr>
          <w:rFonts w:ascii="Times New Roman" w:hAnsi="Times New Roman"/>
          <w:lang w:val="es-ES_tradnl" w:eastAsia="en-US"/>
        </w:rPr>
        <w:lastRenderedPageBreak/>
        <w:t>conservación de especies completas y si dividimos todas las especies para considerar cada subgrupo de población, tenemos sin duda mucho trabajo por hacer. Parece que abordar los problemas a nivel taxonómico por debajo de la especie debería hacerse con moderación y cuando exista una necesidad particular para un enfoque tan específico. Esta especie se encuentra en el listado del Apéndice II de CITES y observamos que si fuera adoptada, esta inclusión significaría que el estado de este subgrupo de población en la CMS dejaría de estar en sincronía con el de la lista de CITES, situación que lamentaríamos.”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250. El representante de Mónaco apoyó encarecidamente la propuesta.</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251. En vista del apoyo expresado por las Partes, La presidenta concluyó que esta propuesta podría llevarse al Plenario, y sugirió que podría ser adoptada por consenso.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 xml:space="preserve">252. En relación con la propuesta incluida en el documento </w:t>
      </w:r>
      <w:r w:rsidRPr="00F75A2A">
        <w:rPr>
          <w:rFonts w:ascii="Times New Roman" w:hAnsi="Times New Roman"/>
          <w:b/>
          <w:lang w:val="es-ES_tradnl" w:eastAsia="en-US"/>
        </w:rPr>
        <w:t>P</w:t>
      </w:r>
      <w:r w:rsidR="00DF2785" w:rsidRPr="00F75A2A">
        <w:rPr>
          <w:rFonts w:ascii="Times New Roman" w:hAnsi="Times New Roman"/>
          <w:b/>
          <w:lang w:val="es-ES_tradnl" w:eastAsia="en-US"/>
        </w:rPr>
        <w:t>NUMA</w:t>
      </w:r>
      <w:r w:rsidRPr="00F75A2A">
        <w:rPr>
          <w:rFonts w:ascii="Times New Roman" w:hAnsi="Times New Roman"/>
          <w:b/>
          <w:lang w:val="es-ES_tradnl" w:eastAsia="en-US"/>
        </w:rPr>
        <w:t>/CMS/COP11/Doc.24.1.2 Propuesta para la inclusión del león asiático (</w:t>
      </w:r>
      <w:r w:rsidRPr="00F75A2A">
        <w:rPr>
          <w:rFonts w:ascii="Times New Roman" w:hAnsi="Times New Roman"/>
          <w:b/>
          <w:i/>
          <w:lang w:val="es-ES_tradnl" w:eastAsia="en-US"/>
        </w:rPr>
        <w:t>Panthera leo persica</w:t>
      </w:r>
      <w:r w:rsidRPr="00F75A2A">
        <w:rPr>
          <w:rFonts w:ascii="Times New Roman" w:hAnsi="Times New Roman"/>
          <w:b/>
          <w:lang w:val="es-ES_tradnl" w:eastAsia="en-US"/>
        </w:rPr>
        <w:t xml:space="preserve">) en el Apéndices I de la CMS, </w:t>
      </w:r>
      <w:r w:rsidRPr="00F75A2A">
        <w:rPr>
          <w:rFonts w:ascii="Times New Roman" w:hAnsi="Times New Roman"/>
          <w:b/>
          <w:i/>
          <w:lang w:val="es-ES_tradnl" w:eastAsia="en-US"/>
        </w:rPr>
        <w:t>y todas las demás subespecies de Panthera leo</w:t>
      </w:r>
      <w:r w:rsidRPr="00F75A2A">
        <w:rPr>
          <w:rFonts w:ascii="Times New Roman" w:hAnsi="Times New Roman"/>
          <w:b/>
          <w:lang w:val="es-ES_tradnl" w:eastAsia="en-US"/>
        </w:rPr>
        <w:t xml:space="preserve">  en el Apéndice II de la CMS</w:t>
      </w:r>
      <w:r w:rsidRPr="00F75A2A">
        <w:rPr>
          <w:rFonts w:ascii="Times New Roman" w:hAnsi="Times New Roman"/>
          <w:lang w:val="es-ES_tradnl" w:eastAsia="en-US"/>
        </w:rPr>
        <w:t>,</w:t>
      </w:r>
      <w:r w:rsidRPr="00F75A2A">
        <w:rPr>
          <w:rFonts w:ascii="Times New Roman" w:hAnsi="Times New Roman"/>
          <w:b/>
          <w:lang w:val="es-ES_tradnl" w:eastAsia="en-US"/>
        </w:rPr>
        <w:t xml:space="preserve"> </w:t>
      </w:r>
      <w:r w:rsidRPr="00F75A2A">
        <w:rPr>
          <w:rFonts w:ascii="Times New Roman" w:hAnsi="Times New Roman"/>
          <w:lang w:val="es-ES_tradnl" w:eastAsia="en-US"/>
        </w:rPr>
        <w:t>el representante de Kenia informó al Comité Plenario de que, en calidad de proponente de la propuesta, Kenia se ha reunido con la Secretaría para ocuparse de los asuntos relacionados con la propuesta de inclusión a través de un Proyecto de Resolución.</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253. La presidenta confirmó que el documento COP11/Doc.24.1.2 se había retirado.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254. El debate sobre el documento</w:t>
      </w:r>
      <w:r w:rsidRPr="00F75A2A">
        <w:rPr>
          <w:rFonts w:ascii="Times New Roman" w:hAnsi="Times New Roman"/>
          <w:b/>
          <w:lang w:val="es-ES_tradnl" w:eastAsia="en-US"/>
        </w:rPr>
        <w:t xml:space="preserve"> </w:t>
      </w:r>
      <w:r w:rsidR="00DF2785" w:rsidRPr="00F75A2A">
        <w:rPr>
          <w:rFonts w:ascii="Times New Roman" w:hAnsi="Times New Roman"/>
          <w:b/>
          <w:lang w:val="es-ES_tradnl" w:eastAsia="en-US"/>
        </w:rPr>
        <w:t>PNUMA</w:t>
      </w:r>
      <w:r w:rsidRPr="00F75A2A">
        <w:rPr>
          <w:rFonts w:ascii="Times New Roman" w:hAnsi="Times New Roman"/>
          <w:b/>
          <w:lang w:val="es-ES_tradnl" w:eastAsia="en-US"/>
        </w:rPr>
        <w:t>/CMS/COP11/Doc.24.1.3 Propuesta para la incl</w:t>
      </w:r>
      <w:r w:rsidR="00DF2785" w:rsidRPr="00F75A2A">
        <w:rPr>
          <w:rFonts w:ascii="Times New Roman" w:hAnsi="Times New Roman"/>
          <w:b/>
          <w:lang w:val="es-ES_tradnl" w:eastAsia="en-US"/>
        </w:rPr>
        <w:t>usión de la gacela de frenti</w:t>
      </w:r>
      <w:r w:rsidRPr="00F75A2A">
        <w:rPr>
          <w:rFonts w:ascii="Times New Roman" w:hAnsi="Times New Roman"/>
          <w:b/>
          <w:lang w:val="es-ES_tradnl" w:eastAsia="en-US"/>
        </w:rPr>
        <w:t>roja (</w:t>
      </w:r>
      <w:r w:rsidRPr="00F75A2A">
        <w:rPr>
          <w:rFonts w:ascii="Times New Roman" w:hAnsi="Times New Roman"/>
          <w:b/>
          <w:i/>
          <w:lang w:val="es-ES_tradnl" w:eastAsia="en-US"/>
        </w:rPr>
        <w:t>Eudorcas rufifrons</w:t>
      </w:r>
      <w:r w:rsidRPr="00F75A2A">
        <w:rPr>
          <w:rFonts w:ascii="Times New Roman" w:hAnsi="Times New Roman"/>
          <w:b/>
          <w:lang w:val="es-ES_tradnl" w:eastAsia="en-US"/>
        </w:rPr>
        <w:t xml:space="preserve">) en el Apéndice I de la CMS </w:t>
      </w:r>
      <w:r w:rsidRPr="00F75A2A">
        <w:rPr>
          <w:rFonts w:ascii="Times New Roman" w:hAnsi="Times New Roman"/>
          <w:lang w:val="es-ES_tradnl" w:eastAsia="en-US"/>
        </w:rPr>
        <w:t>fue aplazado hasta la siguiente sesión del Comité Plenario.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255. El representante de Mongolia presentó el documento</w:t>
      </w:r>
      <w:r w:rsidRPr="00F75A2A">
        <w:rPr>
          <w:rFonts w:ascii="Times New Roman" w:hAnsi="Times New Roman"/>
          <w:b/>
          <w:lang w:val="es-ES_tradnl" w:eastAsia="en-US"/>
        </w:rPr>
        <w:t xml:space="preserve"> </w:t>
      </w:r>
      <w:r w:rsidR="00DF2785" w:rsidRPr="00F75A2A">
        <w:rPr>
          <w:rFonts w:ascii="Times New Roman" w:hAnsi="Times New Roman"/>
          <w:b/>
          <w:lang w:val="es-ES_tradnl" w:eastAsia="en-US"/>
        </w:rPr>
        <w:t>PNUMA</w:t>
      </w:r>
      <w:r w:rsidRPr="00F75A2A">
        <w:rPr>
          <w:rFonts w:ascii="Times New Roman" w:hAnsi="Times New Roman"/>
          <w:b/>
          <w:lang w:val="es-ES_tradnl" w:eastAsia="en-US"/>
        </w:rPr>
        <w:t>/CMS/COP11/Doc. 24.1.4/Rev.1 Propuesta de inclusión de la población global de avutarda común (</w:t>
      </w:r>
      <w:r w:rsidRPr="00F75A2A">
        <w:rPr>
          <w:rFonts w:ascii="Times New Roman" w:hAnsi="Times New Roman"/>
          <w:b/>
          <w:i/>
          <w:lang w:val="es-ES_tradnl" w:eastAsia="en-US"/>
        </w:rPr>
        <w:t>Otis tarda</w:t>
      </w:r>
      <w:r w:rsidRPr="00F75A2A">
        <w:rPr>
          <w:rFonts w:ascii="Times New Roman" w:hAnsi="Times New Roman"/>
          <w:b/>
          <w:lang w:val="es-ES_tradnl" w:eastAsia="en-US"/>
        </w:rPr>
        <w:t>) en el Apéndice I de la CMS.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256. La propuesta fue ampliamente respaldada por los representantes de los miembros estado de la UE Kirguistán, Pakistán, Ucrania y la UICN (a través del grupo de especialistas en avutarda).</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 xml:space="preserve">257. El observador la Secretaría del  CITES indicó que </w:t>
      </w:r>
      <w:r w:rsidRPr="00F75A2A">
        <w:rPr>
          <w:rFonts w:ascii="Times New Roman" w:eastAsia="Times New Roman" w:hAnsi="Times New Roman"/>
          <w:iCs/>
          <w:lang w:val="es-ES_tradnl" w:eastAsia="en-US"/>
        </w:rPr>
        <w:t>esta especie está incluida en el Apéndice II de CITES y que si la propuesta fue adoptada y la especie se encuentra realmente amenazada, se espera que se realice una propuesta futura de CITES COP para que el estado de la especie en ambas Convenciones se combinen para aunar esfuerzos en la conservación de esta especie.</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258. En vista del apoyo expresado por las Partes, La presidenta concluyó que esta propuesta podría llevarse al Plenario, y sugirió que podría ser adoptada por consenso.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259. En nombre de los proponentes: Ecuador y Paraguay, la representante de Ecuador presentó el documento</w:t>
      </w:r>
      <w:r w:rsidRPr="00F75A2A">
        <w:rPr>
          <w:rFonts w:ascii="Times New Roman" w:hAnsi="Times New Roman"/>
          <w:b/>
          <w:lang w:val="es-ES_tradnl" w:eastAsia="en-US"/>
        </w:rPr>
        <w:t xml:space="preserve"> </w:t>
      </w:r>
      <w:r w:rsidR="00DF2785" w:rsidRPr="00F75A2A">
        <w:rPr>
          <w:rFonts w:ascii="Times New Roman" w:hAnsi="Times New Roman"/>
          <w:b/>
          <w:lang w:val="es-ES_tradnl" w:eastAsia="en-US"/>
        </w:rPr>
        <w:t>PNUMA</w:t>
      </w:r>
      <w:r w:rsidRPr="00F75A2A">
        <w:rPr>
          <w:rFonts w:ascii="Times New Roman" w:hAnsi="Times New Roman"/>
          <w:b/>
          <w:lang w:val="es-ES_tradnl" w:eastAsia="en-US"/>
        </w:rPr>
        <w:t>/CMS/COP11/Doc. 24.1.5 Propuest</w:t>
      </w:r>
      <w:r w:rsidR="00DF2785" w:rsidRPr="00F75A2A">
        <w:rPr>
          <w:rFonts w:ascii="Times New Roman" w:hAnsi="Times New Roman"/>
          <w:b/>
          <w:lang w:val="es-ES_tradnl" w:eastAsia="en-US"/>
        </w:rPr>
        <w:t>a para la inclusión del  correlim</w:t>
      </w:r>
      <w:r w:rsidRPr="00F75A2A">
        <w:rPr>
          <w:rFonts w:ascii="Times New Roman" w:hAnsi="Times New Roman"/>
          <w:b/>
          <w:lang w:val="es-ES_tradnl" w:eastAsia="en-US"/>
        </w:rPr>
        <w:t>os semipalmeado (</w:t>
      </w:r>
      <w:r w:rsidRPr="00F75A2A">
        <w:rPr>
          <w:rFonts w:ascii="Times New Roman" w:hAnsi="Times New Roman"/>
          <w:b/>
          <w:i/>
          <w:lang w:val="es-ES_tradnl" w:eastAsia="en-US"/>
        </w:rPr>
        <w:t>Calidris pusilla</w:t>
      </w:r>
      <w:r w:rsidRPr="00F75A2A">
        <w:rPr>
          <w:rFonts w:ascii="Times New Roman" w:hAnsi="Times New Roman"/>
          <w:b/>
          <w:lang w:val="es-ES_tradnl" w:eastAsia="en-US"/>
        </w:rPr>
        <w:t>) en  el Apéndice I de la CMS.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260. La propuesta fue respaldada por los representantes de Argentina (que agradecieron a Ecuador y a Paraguay la incorporación de los comentarios de Argentina en un borrador anterior), Chile (en nombre de la región de América Latina y el Caribe) y la UE y sus Estados miembros.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261. En vista del apoyo expresado por las Partes, La presidenta concluyó que esta propuesta podría llevarse al Plenario, y sugirió que podría ser adoptada por consenso.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262. El representante de Filipinas presentó el documento</w:t>
      </w:r>
      <w:r w:rsidRPr="00F75A2A">
        <w:rPr>
          <w:rFonts w:ascii="Times New Roman" w:hAnsi="Times New Roman"/>
          <w:b/>
          <w:lang w:val="es-ES_tradnl" w:eastAsia="en-US"/>
        </w:rPr>
        <w:t xml:space="preserve"> </w:t>
      </w:r>
      <w:r w:rsidR="00DF2785" w:rsidRPr="00F75A2A">
        <w:rPr>
          <w:rFonts w:ascii="Times New Roman" w:hAnsi="Times New Roman"/>
          <w:b/>
          <w:lang w:val="es-ES_tradnl" w:eastAsia="en-US"/>
        </w:rPr>
        <w:t>PNUMA</w:t>
      </w:r>
      <w:r w:rsidRPr="00F75A2A">
        <w:rPr>
          <w:rFonts w:ascii="Times New Roman" w:hAnsi="Times New Roman"/>
          <w:b/>
          <w:lang w:val="es-ES_tradnl" w:eastAsia="en-US"/>
        </w:rPr>
        <w:t>/CMS/COP11/Doc. 24.1.6 Propues</w:t>
      </w:r>
      <w:r w:rsidR="00DF2785" w:rsidRPr="00F75A2A">
        <w:rPr>
          <w:rFonts w:ascii="Times New Roman" w:hAnsi="Times New Roman"/>
          <w:b/>
          <w:lang w:val="es-ES_tradnl" w:eastAsia="en-US"/>
        </w:rPr>
        <w:t>ta para la inclusión del Correlim</w:t>
      </w:r>
      <w:r w:rsidRPr="00F75A2A">
        <w:rPr>
          <w:rFonts w:ascii="Times New Roman" w:hAnsi="Times New Roman"/>
          <w:b/>
          <w:lang w:val="es-ES_tradnl" w:eastAsia="en-US"/>
        </w:rPr>
        <w:t>os grande (</w:t>
      </w:r>
      <w:r w:rsidRPr="00F75A2A">
        <w:rPr>
          <w:rFonts w:ascii="Times New Roman" w:hAnsi="Times New Roman"/>
          <w:b/>
          <w:i/>
          <w:lang w:val="es-ES_tradnl" w:eastAsia="en-US"/>
        </w:rPr>
        <w:t>Calidris tenuirostris</w:t>
      </w:r>
      <w:r w:rsidRPr="00F75A2A">
        <w:rPr>
          <w:rFonts w:ascii="Times New Roman" w:hAnsi="Times New Roman"/>
          <w:b/>
          <w:lang w:val="es-ES_tradnl" w:eastAsia="en-US"/>
        </w:rPr>
        <w:t>) en el Apéndice I.</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263. La propuesta fue respaldada por los representantes de Australia, Chile (en representación de la región de América Latina y el Caribe), la UE y sus Estados miembros, Fiyi y Nueva Zelanda.</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264. En vista del gran apoyo expresado por las Partes, La presidenta concluyó que esta propuesta podría llevarse al Plenario, y sugirió que podría ser adoptada por consenso.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265. El representante de la UE y sus Estados miembros presentó el documento</w:t>
      </w:r>
      <w:r w:rsidRPr="00F75A2A">
        <w:rPr>
          <w:rFonts w:ascii="Times New Roman" w:hAnsi="Times New Roman"/>
          <w:b/>
          <w:lang w:val="es-ES_tradnl" w:eastAsia="en-US"/>
        </w:rPr>
        <w:t xml:space="preserve"> </w:t>
      </w:r>
      <w:r w:rsidR="00DF2785" w:rsidRPr="00F75A2A">
        <w:rPr>
          <w:rFonts w:ascii="Times New Roman" w:hAnsi="Times New Roman"/>
          <w:b/>
          <w:lang w:val="es-ES_tradnl" w:eastAsia="en-US"/>
        </w:rPr>
        <w:t>PNUMA</w:t>
      </w:r>
      <w:r w:rsidRPr="00F75A2A">
        <w:rPr>
          <w:rFonts w:ascii="Times New Roman" w:hAnsi="Times New Roman"/>
          <w:b/>
          <w:lang w:val="es-ES_tradnl" w:eastAsia="en-US"/>
        </w:rPr>
        <w:t>/CMS/COP11/Doc.24.1.7 Propuesta para la inclusión de la carraca europea (</w:t>
      </w:r>
      <w:r w:rsidRPr="00F75A2A">
        <w:rPr>
          <w:rFonts w:ascii="Times New Roman" w:hAnsi="Times New Roman"/>
          <w:b/>
          <w:i/>
          <w:lang w:val="es-ES_tradnl" w:eastAsia="en-US"/>
        </w:rPr>
        <w:t>Coracias garrulus</w:t>
      </w:r>
      <w:r w:rsidRPr="00F75A2A">
        <w:rPr>
          <w:rFonts w:ascii="Times New Roman" w:hAnsi="Times New Roman"/>
          <w:b/>
          <w:lang w:val="es-ES_tradnl" w:eastAsia="en-US"/>
        </w:rPr>
        <w:t>) en el Apéndice I de la CMS.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266. La propuesta fue respaldada por los representantes de Bielorrusia, Chile (en representación de la región de América Latina y el Caribe) y Pakistán.</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267. En respuesta a la pregunta del representante de Noruega, el representante de la UE y sus Estados miembros proporcionó información adicional sobre las razones de la propuesta.</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268. El representante de Israel apoyó la propuesta pero puntualizó que una de las referencias incluidas en el documento sobre el problema de la caza ilegal no es aplicable a toda la ruta migratoria de la especie. Israel se encuentra en una de las principales rutas migratorias de  la carraca europea pero no existe caza ilegal de esta especie en Israel. Al  contrario de esto, tiene un gran valor, en particular por su importancia para el ecoturismo.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269. En vista del apoyo expresado por las Partes, La presidenta concluyó que esta propuesta podría llevarse al Plenario, y sugirió que podría ser adoptada por consenso.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270. El representante de Kenia presentó el documento</w:t>
      </w:r>
      <w:r w:rsidRPr="00F75A2A">
        <w:rPr>
          <w:rFonts w:ascii="Times New Roman" w:hAnsi="Times New Roman"/>
          <w:b/>
          <w:lang w:val="es-ES_tradnl" w:eastAsia="en-US"/>
        </w:rPr>
        <w:t xml:space="preserve"> </w:t>
      </w:r>
      <w:r w:rsidR="00DF2785" w:rsidRPr="00F75A2A">
        <w:rPr>
          <w:rFonts w:ascii="Times New Roman" w:hAnsi="Times New Roman"/>
          <w:b/>
          <w:lang w:val="es-ES_tradnl" w:eastAsia="en-US"/>
        </w:rPr>
        <w:t>PNUMA</w:t>
      </w:r>
      <w:r w:rsidRPr="00F75A2A">
        <w:rPr>
          <w:rFonts w:ascii="Times New Roman" w:hAnsi="Times New Roman"/>
          <w:b/>
          <w:lang w:val="es-ES_tradnl" w:eastAsia="en-US"/>
        </w:rPr>
        <w:t>/CMS/COP11/Doc.24.1.8 Propuesta para la inclusión de todas las especies de pez sierra (Familia Pristidae) en los Apéndices I y II de la CMS.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271. La presidenta señaló que de acuerdo con las Reglas de Procedimiento, no es posible incluir propuestas que incluyan grupos de especies que el Plenario deba adoptar   en bloque. En su lugar, el Plenario tendría que adoptas cada propuesta de inclusión por separado, especie por especie. Sin embargo, no existe esa limitación en los procedimientos del Comité Plenario y sería eficaz considerar  la propuesta en conjunto.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272. El representante de Chile respaldó los comentarios d</w:t>
      </w:r>
      <w:r w:rsidR="00F75A2A">
        <w:rPr>
          <w:rFonts w:ascii="Times New Roman" w:hAnsi="Times New Roman"/>
          <w:lang w:val="es-ES_tradnl" w:eastAsia="en-US"/>
        </w:rPr>
        <w:t>e l</w:t>
      </w:r>
      <w:r w:rsidRPr="00F75A2A">
        <w:rPr>
          <w:rFonts w:ascii="Times New Roman" w:hAnsi="Times New Roman"/>
          <w:lang w:val="es-ES_tradnl" w:eastAsia="en-US"/>
        </w:rPr>
        <w:t>a presidenta y confirmó que Chile no tendría inconveniente en aceptar la propuesta especie por especie cuando hubiera que adoptarla en el Plenario.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spacing w:val="-4"/>
          <w:lang w:val="es-ES_tradnl" w:eastAsia="en-US"/>
        </w:rPr>
      </w:pPr>
      <w:r w:rsidRPr="00F75A2A">
        <w:rPr>
          <w:rFonts w:ascii="Times New Roman" w:hAnsi="Times New Roman"/>
          <w:spacing w:val="-4"/>
          <w:lang w:val="es-ES_tradnl" w:eastAsia="en-US"/>
        </w:rPr>
        <w:t>273. Shark Advocates International, en representación  de Defenders of Wildlife, Humane Society International, IFAW, Manta Trust, Marine Megafauna Foundation, Pew, PRETOMA, Project AWARE, Wildlife Conservation Society, y WWF, apoyó encarecidamente la propuesta.</w:t>
      </w:r>
    </w:p>
    <w:p w:rsidR="00F672A1" w:rsidRPr="00F75A2A" w:rsidRDefault="00F672A1" w:rsidP="00F672A1">
      <w:pPr>
        <w:suppressAutoHyphens/>
        <w:autoSpaceDN w:val="0"/>
        <w:jc w:val="both"/>
        <w:textAlignment w:val="baseline"/>
        <w:rPr>
          <w:rFonts w:ascii="Times New Roman" w:hAnsi="Times New Roman"/>
          <w:spacing w:val="-4"/>
          <w:lang w:val="es-ES_tradnl" w:eastAsia="en-US"/>
        </w:rPr>
      </w:pPr>
    </w:p>
    <w:p w:rsidR="00F672A1" w:rsidRPr="00F75A2A" w:rsidRDefault="00F672A1" w:rsidP="00F672A1">
      <w:pPr>
        <w:suppressAutoHyphens/>
        <w:autoSpaceDN w:val="0"/>
        <w:jc w:val="both"/>
        <w:textAlignment w:val="baseline"/>
        <w:rPr>
          <w:rFonts w:ascii="Times New Roman" w:hAnsi="Times New Roman"/>
          <w:spacing w:val="-4"/>
          <w:lang w:val="es-ES_tradnl" w:eastAsia="en-US"/>
        </w:rPr>
      </w:pPr>
      <w:r w:rsidRPr="00F75A2A">
        <w:rPr>
          <w:rFonts w:ascii="Times New Roman" w:hAnsi="Times New Roman"/>
          <w:spacing w:val="-4"/>
          <w:lang w:val="es-ES_tradnl" w:eastAsia="en-US"/>
        </w:rPr>
        <w:t>274. La propuesta fue ampliamente respaldada por los representantes de Australia Ecuador, Egipto, la UE y sus Estados miembros, Senegal, Sudáfrica y EAU y por el observador de la UICN (a través del grupo de especialistas en tiburones).</w:t>
      </w:r>
    </w:p>
    <w:p w:rsidR="00F672A1" w:rsidRPr="00F75A2A" w:rsidRDefault="00F672A1" w:rsidP="00F672A1">
      <w:pPr>
        <w:suppressAutoHyphens/>
        <w:autoSpaceDN w:val="0"/>
        <w:jc w:val="both"/>
        <w:textAlignment w:val="baseline"/>
        <w:rPr>
          <w:rFonts w:ascii="Times New Roman" w:hAnsi="Times New Roman"/>
          <w:spacing w:val="-4"/>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lastRenderedPageBreak/>
        <w:t>275. En vista del apoyo generalizado  expresado por las Partes, La presidenta concluyó que esta propuesta podría llevarse al Plenario, y sugirió que podría ser adoptada por consenso.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276. El representante de la Fiyi presentó el documento</w:t>
      </w:r>
      <w:r w:rsidRPr="00F75A2A">
        <w:rPr>
          <w:rFonts w:ascii="Times New Roman" w:hAnsi="Times New Roman"/>
          <w:b/>
          <w:lang w:val="es-ES_tradnl" w:eastAsia="en-US"/>
        </w:rPr>
        <w:t xml:space="preserve"> </w:t>
      </w:r>
      <w:r w:rsidR="00DF2785" w:rsidRPr="00F75A2A">
        <w:rPr>
          <w:rFonts w:ascii="Times New Roman" w:hAnsi="Times New Roman"/>
          <w:b/>
          <w:lang w:val="es-ES_tradnl" w:eastAsia="en-US"/>
        </w:rPr>
        <w:t>PNUMA</w:t>
      </w:r>
      <w:r w:rsidRPr="00F75A2A">
        <w:rPr>
          <w:rFonts w:ascii="Times New Roman" w:hAnsi="Times New Roman"/>
          <w:b/>
          <w:lang w:val="es-ES_tradnl" w:eastAsia="en-US"/>
        </w:rPr>
        <w:t>/CMS/COP11/Doc.24.1.9 Propuesta para la inclusión de la mantarraya de arrecife (</w:t>
      </w:r>
      <w:r w:rsidRPr="00F75A2A">
        <w:rPr>
          <w:rFonts w:ascii="Times New Roman" w:hAnsi="Times New Roman"/>
          <w:b/>
          <w:i/>
          <w:lang w:val="es-ES_tradnl" w:eastAsia="en-US"/>
        </w:rPr>
        <w:t>Manta alfredi</w:t>
      </w:r>
      <w:r w:rsidRPr="00F75A2A">
        <w:rPr>
          <w:rFonts w:ascii="Times New Roman" w:hAnsi="Times New Roman"/>
          <w:b/>
          <w:lang w:val="es-ES_tradnl" w:eastAsia="en-US"/>
        </w:rPr>
        <w:t>) en los Apéndices I y II de la CMS.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277. La propuesta fue respaldada por los representantes de Chile (en representación de la región de América Latina y el Caribe), Ecuador, la UE y sus Estados miembros y la representante de EEUU.</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 xml:space="preserve">278. La propuesta también fue ampliamente respaldada por el observador de Marine Megafauna Foundation, que se pronunció también en nombre de otras </w:t>
      </w:r>
      <w:r w:rsidR="00F75A2A" w:rsidRPr="00F75A2A">
        <w:rPr>
          <w:rFonts w:ascii="Times New Roman" w:hAnsi="Times New Roman"/>
          <w:lang w:val="es-ES_tradnl" w:eastAsia="en-US"/>
        </w:rPr>
        <w:t>ONG</w:t>
      </w:r>
      <w:r w:rsidRPr="00F75A2A">
        <w:rPr>
          <w:rFonts w:ascii="Times New Roman" w:hAnsi="Times New Roman"/>
          <w:lang w:val="es-ES_tradnl" w:eastAsia="en-US"/>
        </w:rPr>
        <w:t xml:space="preserve"> observadoras, incluyendo Defenders of Wildlife, Humane Society International, Manta Trust, Pew, PRETOMA, Project AWARE, y Sharks International.</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 xml:space="preserve">279. El observador de la Secretaría de CITES realizó un comentario sobre la propuesta de inclusión de la especie </w:t>
      </w:r>
      <w:r w:rsidRPr="00F75A2A">
        <w:rPr>
          <w:rFonts w:ascii="Times New Roman" w:eastAsia="Times New Roman" w:hAnsi="Times New Roman"/>
          <w:iCs/>
          <w:lang w:val="es-ES_tradnl" w:eastAsia="en-US"/>
        </w:rPr>
        <w:t>en el Apéndice I. La mantarraya de arrecife fue incluida en el Apéndice II de CITES durante la COP 16 de CITES, puesto que el comercio internacional de la especie está permitido, dado que dicho comercio es legal, sostenible e identificable. Sin embargo, si la especie se incluyera en el Apéndice I de la CMS, debería prohibirse la captura de especímenes de acuerdo con los términos de la CMS. Esto supondría un conflicto en las obligaciones de ambas Convenciones para los 117 estados que son Parte de ambas. La Secretaría de CITES solicitó a los Estados presentes  en la COP11 de la CMS que coordinen su postura ante las distintas Convenciones y que actúen de manera coherente al respecto. </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280. El representante de Sudáfrica reconoció que su conservación debe incluirse en la propuesta pero declaró que, actualmente, Sudáfrica solo puede respaldar su inclusión en el Apéndice II dado que la especie cuenta solo con protección parcial a nivel nacional; situación  que se espera sea abordada.</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281. En vista del apoyo expresado por las Partes, La presidenta concluyó que esta propuesta podría llevarse al Plenario, y sugirió que podría ser adoptada por consenso. Preguntó si existía alguna objeción para adoptar dicha acción.</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282. El representante de Sudáfrica indicó que Sudáfrica no está en contra que la propuesta sea adoptada en el Plenario, pero que solicita que quede constancia de su observación.</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283. El representante de la Fiyi presentó el documento</w:t>
      </w:r>
      <w:r w:rsidRPr="00F75A2A">
        <w:rPr>
          <w:rFonts w:ascii="Times New Roman" w:hAnsi="Times New Roman"/>
          <w:b/>
          <w:lang w:val="es-ES_tradnl" w:eastAsia="en-US"/>
        </w:rPr>
        <w:t xml:space="preserve"> </w:t>
      </w:r>
      <w:r w:rsidR="00DF2785" w:rsidRPr="00F75A2A">
        <w:rPr>
          <w:rFonts w:ascii="Times New Roman" w:hAnsi="Times New Roman"/>
          <w:b/>
          <w:lang w:val="es-ES_tradnl" w:eastAsia="en-US"/>
        </w:rPr>
        <w:t>PNUMA</w:t>
      </w:r>
      <w:r w:rsidRPr="00F75A2A">
        <w:rPr>
          <w:rFonts w:ascii="Times New Roman" w:hAnsi="Times New Roman"/>
          <w:b/>
          <w:lang w:val="es-ES_tradnl" w:eastAsia="en-US"/>
        </w:rPr>
        <w:t>/CMS/COP11/Doc.24.1.10 Propuesta para la inclusión de la raya mobula (Género</w:t>
      </w:r>
      <w:r w:rsidRPr="00F75A2A">
        <w:rPr>
          <w:rFonts w:ascii="Times New Roman" w:hAnsi="Times New Roman"/>
          <w:b/>
          <w:i/>
          <w:lang w:val="es-ES_tradnl" w:eastAsia="en-US"/>
        </w:rPr>
        <w:t xml:space="preserve"> Mobula</w:t>
      </w:r>
      <w:r w:rsidRPr="00F75A2A">
        <w:rPr>
          <w:rFonts w:ascii="Times New Roman" w:hAnsi="Times New Roman"/>
          <w:b/>
          <w:lang w:val="es-ES_tradnl" w:eastAsia="en-US"/>
        </w:rPr>
        <w:t>) en los Apéndices I y II de la CMS.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284. La propuesta fue respaldada por el representante de Nueva Zelanda y el observador de  la UICN (a través del Grupo de Especialistas en tiburones, que señaló que su inclusión es urgente).</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285. El observador de Manta Trust, en representación de la coalición de ONG anteriormente mencionada, también respaldó la propuesta.</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286. En vista del apoyo expresado por las Partes, La presidenta concluyó que esta propuesta podría avanzar hasta el Plenario, y aconsejó que pudiera ser adoptada por consenso.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b/>
          <w:lang w:val="es-ES_tradnl" w:eastAsia="en-US"/>
        </w:rPr>
      </w:pPr>
      <w:r w:rsidRPr="00F75A2A">
        <w:rPr>
          <w:rFonts w:ascii="Times New Roman" w:hAnsi="Times New Roman"/>
          <w:lang w:val="es-ES_tradnl" w:eastAsia="en-US"/>
        </w:rPr>
        <w:lastRenderedPageBreak/>
        <w:t>287. El representante de Noruega presentó el documento</w:t>
      </w:r>
      <w:r w:rsidRPr="00F75A2A">
        <w:rPr>
          <w:rFonts w:ascii="Times New Roman" w:hAnsi="Times New Roman"/>
          <w:b/>
          <w:lang w:val="es-ES_tradnl" w:eastAsia="en-US"/>
        </w:rPr>
        <w:t xml:space="preserve"> </w:t>
      </w:r>
      <w:r w:rsidR="00DF2785" w:rsidRPr="00F75A2A">
        <w:rPr>
          <w:rFonts w:ascii="Times New Roman" w:hAnsi="Times New Roman"/>
          <w:b/>
          <w:lang w:val="es-ES_tradnl" w:eastAsia="en-US"/>
        </w:rPr>
        <w:t>PNUMA</w:t>
      </w:r>
      <w:r w:rsidRPr="00F75A2A">
        <w:rPr>
          <w:rFonts w:ascii="Times New Roman" w:hAnsi="Times New Roman"/>
          <w:b/>
          <w:lang w:val="es-ES_tradnl" w:eastAsia="en-US"/>
        </w:rPr>
        <w:t>/CMS/COP11/Doc.24.1.11/Rev.1 Propuesta para la inclusión del oso polar en el Apéndice II de la CMS.</w:t>
      </w:r>
    </w:p>
    <w:p w:rsidR="00F672A1" w:rsidRPr="00F75A2A" w:rsidRDefault="00F672A1" w:rsidP="00F672A1">
      <w:pPr>
        <w:suppressAutoHyphens/>
        <w:autoSpaceDN w:val="0"/>
        <w:jc w:val="both"/>
        <w:textAlignment w:val="baseline"/>
        <w:rPr>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288. Noruega presentó dos enmiendas menores a la sección 4.3.1.</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 xml:space="preserve">289. El representante de Canadá destacó las medidas que se han tomado a nivel nacional durante muchos años para la conservación del oso polar. Canadá es consciente de los nuevos retos y las amenazas a las que se enfrenta el oso polar y se compromete a completar la implementación de un nuevo plan de acción circumpolar que abordaría esas nuevas amenazas. Esto debería dejar claro que ya se cumplen todos los requisitos del listado del Apéndice II de la CMS. Canadá había estado trabajando con Noruega para mejorar la propuesta a nivel de precisión. Como resultado, se habían incluido distintas mejoras y Canadá agradeció las enmiendas adicionales presentadas por Noruega. Estas abordan en gran medida </w:t>
      </w:r>
      <w:r w:rsidR="00F75A2A" w:rsidRPr="00F75A2A">
        <w:rPr>
          <w:rFonts w:ascii="Times New Roman" w:hAnsi="Times New Roman"/>
          <w:lang w:val="es-ES_tradnl" w:eastAsia="en-US"/>
        </w:rPr>
        <w:t>los</w:t>
      </w:r>
      <w:r w:rsidRPr="00F75A2A">
        <w:rPr>
          <w:rFonts w:ascii="Times New Roman" w:hAnsi="Times New Roman"/>
          <w:lang w:val="es-ES_tradnl" w:eastAsia="en-US"/>
        </w:rPr>
        <w:t xml:space="preserve"> remanentes preocupaciones de Canadá. En conclusión, a pesar de que Canadá no ve claramente los beneficios que podrían obtenerse de la propuesta de inclusión, acogió con gratitud el apoyo de la comunidad de la CMS en los esfuerzos para su conservación, especialmente en la próxima implementación del nuevo plan de acción circumpolar.</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290. El representante de Canadá invitó al Sr. Larry Carpenter de la comunidad ártica de Sachs Harbour a que complementara dichas observaciones. El Sr. Carpenter señaló que los Inuit que habitan en Canadá, conviven con los osos polares y los respetan. Los Inuit han trabajado con Canadá para desarrollar sistemas eficaces de gestión común que reúnan el conocimiento tradicional y la ciencia moderna para asegurar la sostenibilidad. El sistema conlleva una mejora en la toma de decisiones. Los Inuit acogieron el apoyo de las Partes de la CMS pero pidieron que se respeten los procedimientos y los valores de los Inuit. Los Inuit consideran que la inclusión en el listado del Apéndice II no está justificado actualmente, puesto que ya existen numerosos acuerdos internacionales para la protección y la conservación del oso polar de cara al futuro.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291. Los representantes de la UE y sus Estados miembros y EEUU respaldaron la propuesta.</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292. El observador de Wildlife Migration, representando también a Born Free Foundation, Humane Society International, IFAW, NRDC, OceanCare también respaldó la propuesta.</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w:hAnsi="Times"/>
          <w:sz w:val="20"/>
          <w:szCs w:val="20"/>
          <w:lang w:val="es-ES_tradnl" w:eastAsia="en-US"/>
        </w:rPr>
      </w:pPr>
      <w:r w:rsidRPr="00F75A2A">
        <w:rPr>
          <w:rFonts w:ascii="Times New Roman" w:hAnsi="Times New Roman"/>
          <w:lang w:val="es-ES_tradnl" w:eastAsia="en-US"/>
        </w:rPr>
        <w:t xml:space="preserve">293. El observador de Inuit Tapiriit Kanatami realizó una declaración, indicando </w:t>
      </w:r>
      <w:r w:rsidRPr="00F75A2A">
        <w:rPr>
          <w:rFonts w:ascii="Times New Roman" w:hAnsi="Times New Roman"/>
          <w:i/>
          <w:lang w:val="es-ES_tradnl" w:eastAsia="en-US"/>
        </w:rPr>
        <w:t>entre otros, que</w:t>
      </w:r>
      <w:r w:rsidRPr="00F75A2A">
        <w:rPr>
          <w:rFonts w:ascii="Times New Roman" w:hAnsi="Times New Roman"/>
          <w:lang w:val="es-ES_tradnl" w:eastAsia="en-US"/>
        </w:rPr>
        <w:t>:</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ind w:left="720"/>
        <w:jc w:val="both"/>
        <w:textAlignment w:val="baseline"/>
        <w:rPr>
          <w:rFonts w:ascii="Times" w:hAnsi="Times"/>
          <w:sz w:val="20"/>
          <w:szCs w:val="20"/>
          <w:lang w:val="es-ES_tradnl" w:eastAsia="en-US"/>
        </w:rPr>
      </w:pPr>
      <w:r w:rsidRPr="00F75A2A">
        <w:rPr>
          <w:rFonts w:ascii="Times New Roman" w:hAnsi="Times New Roman"/>
          <w:lang w:val="es-ES_tradnl" w:eastAsia="en-US"/>
        </w:rPr>
        <w:t>“</w:t>
      </w:r>
      <w:r w:rsidRPr="00F75A2A">
        <w:rPr>
          <w:rFonts w:ascii="Times New Roman" w:hAnsi="Times New Roman"/>
          <w:bCs/>
          <w:lang w:val="es-ES_tradnl" w:eastAsia="en-US"/>
        </w:rPr>
        <w:t>Como representantes del día a día que coexisten con los osos polares, es esencial que la CMS y sus miembros acojan seriamente nuestras observaciones y preocupaciones y nos incluyan de forma apropiada e inmediata.</w:t>
      </w:r>
      <w:r w:rsidRPr="00F75A2A">
        <w:rPr>
          <w:rFonts w:ascii="Times New Roman" w:hAnsi="Times New Roman"/>
          <w:lang w:val="es-ES_tradnl" w:eastAsia="en-US"/>
        </w:rPr>
        <w:t xml:space="preserve"> </w:t>
      </w:r>
      <w:r w:rsidRPr="00F75A2A">
        <w:rPr>
          <w:rFonts w:ascii="Times New Roman" w:hAnsi="Times New Roman"/>
          <w:bCs/>
          <w:lang w:val="es-ES_tradnl" w:eastAsia="en-US"/>
        </w:rPr>
        <w:t xml:space="preserve">Respecto a la propuesta del oso polar, no se nos ha incluido ni siquiera bajo los mínimos estándares debidos. No respaldamos esta propuesta. Resulta redundante en base a los numerosos acuerdos existentes para la protección y conservación de la especie a través de la cooperación internacional, nacional y subnacional, tal y como reconoce la misma propuesta. Somos parte de estos procesos. Además, no estamos convencidos de que la propuesta de la CMS vaya a añadir ningún valor a los esfuerzos y gestión actuales para su conservación. Las preocupaciones de carácter retórico sobre la desaparición de los osos polares no son constructivas para nuestro difícil e importante trabajo en la conservación de la especie. El uso continuado de publicidad negativa sobre nuestras prácticas es una falta de respeto y no es constructivo. Nuestros sistemas de gestión están pensados para responder a los cambios que se produzcan a lo largo del tiempo ya sean inducidos por el ser humano u ocurran de forma natural. En el ártico hemos sufrido los impactos del cambio climático durante los últimos 30 años, pero las poblaciones de osos polares no se han reducido en nuestras regiones. Esto es un hecho. </w:t>
      </w:r>
      <w:r w:rsidRPr="00F75A2A">
        <w:rPr>
          <w:rFonts w:ascii="Times New Roman" w:hAnsi="Times New Roman"/>
          <w:bCs/>
          <w:lang w:val="es-ES_tradnl" w:eastAsia="en-US"/>
        </w:rPr>
        <w:lastRenderedPageBreak/>
        <w:t>Seguimos convencidos de que la solución real al cambio climático está en la mitigación de las emisiones que han causado este problema, no en la inclusión del oso polar, que debilita nuestros esfuerzos en la gestión y resulta denigrante para nuestra forma de vida, como parte esencial del ártico.”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294. El representante de Mónaco escuchó con gran atención las declaraciones de los  representantes Inuit. Mónaco respalda la propuesta pero considera que deben reconocerse los esfuerzos de los pueblos Inuit  en la CMS.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295. La presidenta señaló que, habiendo escuchado tanto a las Partes como a los estados que no son Partes, considera que existe consenso. Por tanto, concluyó que la propuesta podría llevarse al Plenario y sugirió que podría ser adoptada por consenso.</w:t>
      </w:r>
    </w:p>
    <w:p w:rsidR="00F672A1" w:rsidRPr="00F75A2A" w:rsidRDefault="00F672A1" w:rsidP="00F672A1">
      <w:pPr>
        <w:suppressAutoHyphens/>
        <w:autoSpaceDN w:val="0"/>
        <w:textAlignment w:val="baseline"/>
        <w:rPr>
          <w:rFonts w:ascii="Times New Roman" w:hAnsi="Times New Roman"/>
          <w:b/>
          <w:lang w:val="es-ES_tradnl" w:eastAsia="en-US"/>
        </w:rPr>
      </w:pPr>
    </w:p>
    <w:p w:rsidR="00F672A1" w:rsidRPr="00F75A2A" w:rsidRDefault="00F672A1" w:rsidP="00F672A1">
      <w:pPr>
        <w:pBdr>
          <w:top w:val="single" w:sz="4" w:space="1" w:color="000000"/>
          <w:left w:val="single" w:sz="4" w:space="4" w:color="000000"/>
          <w:bottom w:val="single" w:sz="4" w:space="1" w:color="000000"/>
          <w:right w:val="single" w:sz="4" w:space="4" w:color="000000"/>
        </w:pBdr>
        <w:suppressAutoHyphens/>
        <w:autoSpaceDN w:val="0"/>
        <w:textAlignment w:val="baseline"/>
        <w:rPr>
          <w:rFonts w:ascii="Times New Roman" w:hAnsi="Times New Roman"/>
          <w:b/>
          <w:lang w:val="es-ES_tradnl" w:eastAsia="en-US"/>
        </w:rPr>
      </w:pPr>
      <w:r w:rsidRPr="00F75A2A">
        <w:rPr>
          <w:rFonts w:ascii="Times New Roman" w:hAnsi="Times New Roman"/>
          <w:b/>
          <w:lang w:val="es-ES_tradnl" w:eastAsia="en-US"/>
        </w:rPr>
        <w:t>Comité del Plenario 15.30 – 18.30</w:t>
      </w:r>
    </w:p>
    <w:p w:rsidR="00F672A1" w:rsidRPr="00F75A2A" w:rsidRDefault="00F672A1" w:rsidP="00F672A1">
      <w:pPr>
        <w:suppressAutoHyphens/>
        <w:autoSpaceDN w:val="0"/>
        <w:textAlignment w:val="baseline"/>
        <w:rPr>
          <w:rFonts w:ascii="Times New Roman" w:hAnsi="Times New Roman"/>
          <w:lang w:val="es-ES_tradnl" w:eastAsia="en-US"/>
        </w:rPr>
      </w:pPr>
    </w:p>
    <w:p w:rsidR="00F672A1" w:rsidRPr="00F75A2A" w:rsidRDefault="00F672A1" w:rsidP="00F672A1">
      <w:pPr>
        <w:suppressAutoHyphens/>
        <w:autoSpaceDN w:val="0"/>
        <w:jc w:val="center"/>
        <w:textAlignment w:val="baseline"/>
        <w:rPr>
          <w:rFonts w:ascii="Times New Roman" w:hAnsi="Times New Roman"/>
          <w:b/>
          <w:lang w:val="es-ES_tradnl" w:eastAsia="en-US"/>
        </w:rPr>
      </w:pPr>
      <w:r w:rsidRPr="00F75A2A">
        <w:rPr>
          <w:rFonts w:ascii="Times New Roman" w:hAnsi="Times New Roman"/>
          <w:b/>
          <w:lang w:val="es-ES_tradnl" w:eastAsia="en-US"/>
        </w:rPr>
        <w:t>INFORME PROVISIONAL</w:t>
      </w:r>
    </w:p>
    <w:p w:rsidR="00F672A1" w:rsidRPr="00F75A2A" w:rsidRDefault="00F672A1" w:rsidP="00F672A1">
      <w:pPr>
        <w:suppressAutoHyphens/>
        <w:autoSpaceDN w:val="0"/>
        <w:jc w:val="center"/>
        <w:textAlignment w:val="baseline"/>
        <w:rPr>
          <w:rFonts w:ascii="Times New Roman" w:hAnsi="Times New Roman"/>
          <w:b/>
          <w:lang w:val="es-ES_tradnl" w:eastAsia="en-US"/>
        </w:rPr>
      </w:pPr>
      <w:r w:rsidRPr="00F75A2A">
        <w:rPr>
          <w:rFonts w:ascii="Times New Roman" w:hAnsi="Times New Roman"/>
          <w:b/>
          <w:lang w:val="es-ES_tradnl" w:eastAsia="en-US"/>
        </w:rPr>
        <w:t>DE LA COMI</w:t>
      </w:r>
      <w:r w:rsidR="00DF2785" w:rsidRPr="00F75A2A">
        <w:rPr>
          <w:rFonts w:ascii="Times New Roman" w:hAnsi="Times New Roman"/>
          <w:b/>
          <w:lang w:val="es-ES_tradnl" w:eastAsia="en-US"/>
        </w:rPr>
        <w:t>TÉ</w:t>
      </w:r>
      <w:r w:rsidRPr="00F75A2A">
        <w:rPr>
          <w:rFonts w:ascii="Times New Roman" w:hAnsi="Times New Roman"/>
          <w:b/>
          <w:lang w:val="es-ES_tradnl" w:eastAsia="en-US"/>
        </w:rPr>
        <w:t xml:space="preserve"> DE </w:t>
      </w:r>
      <w:r w:rsidR="00DF2785" w:rsidRPr="00F75A2A">
        <w:rPr>
          <w:rFonts w:ascii="Times New Roman" w:hAnsi="Times New Roman"/>
          <w:b/>
          <w:lang w:val="es-ES_tradnl" w:eastAsia="en-US"/>
        </w:rPr>
        <w:t>CREDENCIALES</w:t>
      </w:r>
    </w:p>
    <w:p w:rsidR="00F672A1" w:rsidRPr="00F75A2A" w:rsidRDefault="00F672A1" w:rsidP="00F672A1">
      <w:pPr>
        <w:suppressAutoHyphens/>
        <w:autoSpaceDN w:val="0"/>
        <w:jc w:val="center"/>
        <w:textAlignment w:val="baseline"/>
        <w:rPr>
          <w:lang w:val="es-ES_tradnl" w:eastAsia="en-US"/>
        </w:rPr>
      </w:pPr>
      <w:r w:rsidRPr="00F75A2A">
        <w:rPr>
          <w:rFonts w:ascii="Times New Roman" w:hAnsi="Times New Roman"/>
          <w:b/>
          <w:lang w:val="es-ES_tradnl" w:eastAsia="en-US"/>
        </w:rPr>
        <w:t>(</w:t>
      </w:r>
      <w:r w:rsidR="00DF2785" w:rsidRPr="00F75A2A">
        <w:rPr>
          <w:rFonts w:ascii="Times New Roman" w:hAnsi="Times New Roman"/>
          <w:b/>
          <w:lang w:val="es-ES_tradnl" w:eastAsia="en-US"/>
        </w:rPr>
        <w:t>PUNTO</w:t>
      </w:r>
      <w:r w:rsidRPr="00F75A2A">
        <w:rPr>
          <w:rFonts w:ascii="Times New Roman" w:hAnsi="Times New Roman"/>
          <w:b/>
          <w:lang w:val="es-ES_tradnl" w:eastAsia="en-US"/>
        </w:rPr>
        <w:t xml:space="preserve"> 25</w:t>
      </w:r>
      <w:r w:rsidR="00DF2785" w:rsidRPr="00F75A2A">
        <w:rPr>
          <w:rFonts w:ascii="Times New Roman" w:hAnsi="Times New Roman"/>
          <w:lang w:val="es-ES_tradnl" w:eastAsia="en-US"/>
        </w:rPr>
        <w:t xml:space="preserve"> continuación</w:t>
      </w:r>
      <w:r w:rsidRPr="00F75A2A">
        <w:rPr>
          <w:rFonts w:ascii="Times New Roman" w:hAnsi="Times New Roman"/>
          <w:b/>
          <w:lang w:val="es-ES_tradnl" w:eastAsia="en-US"/>
        </w:rPr>
        <w:t>)</w:t>
      </w:r>
    </w:p>
    <w:p w:rsidR="00F672A1" w:rsidRPr="00F75A2A" w:rsidRDefault="00F672A1" w:rsidP="00F672A1">
      <w:pPr>
        <w:suppressAutoHyphens/>
        <w:autoSpaceDN w:val="0"/>
        <w:jc w:val="both"/>
        <w:textAlignment w:val="baseline"/>
        <w:rPr>
          <w:rFonts w:ascii="Times New Roman" w:hAnsi="Times New Roman"/>
          <w:b/>
          <w:u w:val="single"/>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296. La presidenta de la  Comisión de Verificación informó de que la segunda reunión de la Comisión se celebró el 6 de noviembre. Las credenciales de dos de las Partes, Georgia y la República de Tanzania, fueron examinadas y se encuentran en orden. El número de Partes cuyas credenciales se encuentran en orden actualmente es de 55.</w:t>
      </w:r>
    </w:p>
    <w:p w:rsidR="00F672A1" w:rsidRPr="00F75A2A" w:rsidRDefault="00F672A1" w:rsidP="00F672A1">
      <w:pPr>
        <w:suppressAutoHyphens/>
        <w:autoSpaceDN w:val="0"/>
        <w:textAlignment w:val="baseline"/>
        <w:rPr>
          <w:rFonts w:ascii="Times New Roman" w:hAnsi="Times New Roman"/>
          <w:lang w:val="es-ES_tradnl" w:eastAsia="en-US"/>
        </w:rPr>
      </w:pPr>
    </w:p>
    <w:p w:rsidR="00F672A1" w:rsidRPr="00F75A2A" w:rsidRDefault="00F672A1" w:rsidP="00F672A1">
      <w:pPr>
        <w:suppressAutoHyphens/>
        <w:autoSpaceDN w:val="0"/>
        <w:jc w:val="center"/>
        <w:textAlignment w:val="baseline"/>
        <w:rPr>
          <w:rFonts w:ascii="Times New Roman" w:hAnsi="Times New Roman"/>
          <w:b/>
          <w:lang w:val="es-ES_tradnl" w:eastAsia="en-US"/>
        </w:rPr>
      </w:pPr>
      <w:r w:rsidRPr="00F75A2A">
        <w:rPr>
          <w:rFonts w:ascii="Times New Roman" w:hAnsi="Times New Roman"/>
          <w:b/>
          <w:lang w:val="es-ES_tradnl" w:eastAsia="en-US"/>
        </w:rPr>
        <w:t>APROBACIÓN DE LAS ENMIENDAS PROPUESTAS DURANTE LA SESIÓN</w:t>
      </w:r>
    </w:p>
    <w:p w:rsidR="00F672A1" w:rsidRPr="00F75A2A" w:rsidRDefault="00F672A1" w:rsidP="00F672A1">
      <w:pPr>
        <w:suppressAutoHyphens/>
        <w:autoSpaceDN w:val="0"/>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297. El Comité Plenario respaldó, de acuerdo con la invitación de la presidenta, los siguientes textos revisados para que se lleven al Plenario sin necesidad de enmiendas adicionales: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numPr>
          <w:ilvl w:val="0"/>
          <w:numId w:val="2"/>
        </w:numPr>
        <w:suppressAutoHyphens/>
        <w:autoSpaceDN w:val="0"/>
        <w:jc w:val="both"/>
        <w:textAlignment w:val="baseline"/>
        <w:rPr>
          <w:lang w:val="es-ES_tradnl" w:eastAsia="en-US"/>
        </w:rPr>
      </w:pPr>
      <w:r w:rsidRPr="00F75A2A">
        <w:rPr>
          <w:rFonts w:ascii="Times New Roman" w:hAnsi="Times New Roman"/>
          <w:lang w:val="es-ES_tradnl" w:eastAsia="en-US"/>
        </w:rPr>
        <w:t xml:space="preserve">Proyecto de Resolución </w:t>
      </w:r>
      <w:r w:rsidR="00DF2785" w:rsidRPr="00F75A2A">
        <w:rPr>
          <w:rFonts w:ascii="Times New Roman" w:hAnsi="Times New Roman"/>
          <w:lang w:val="es-ES_tradnl" w:eastAsia="en-US"/>
        </w:rPr>
        <w:t>PNUMA</w:t>
      </w:r>
      <w:r w:rsidRPr="00F75A2A">
        <w:rPr>
          <w:rFonts w:ascii="Times New Roman" w:hAnsi="Times New Roman"/>
          <w:lang w:val="es-ES_tradnl" w:eastAsia="en-US"/>
        </w:rPr>
        <w:t xml:space="preserve">/CMS/COP11/CRP1 </w:t>
      </w:r>
      <w:r w:rsidRPr="00F75A2A">
        <w:rPr>
          <w:rFonts w:ascii="Times New Roman" w:hAnsi="Times New Roman"/>
          <w:i/>
          <w:lang w:val="es-ES_tradnl" w:eastAsia="en-US"/>
        </w:rPr>
        <w:t>del Plan Estratégico sobre Especies Migratorias para el periodo 2015-2023</w:t>
      </w:r>
    </w:p>
    <w:p w:rsidR="00F672A1" w:rsidRPr="00F75A2A" w:rsidRDefault="00F672A1" w:rsidP="00F672A1">
      <w:pPr>
        <w:numPr>
          <w:ilvl w:val="0"/>
          <w:numId w:val="2"/>
        </w:numPr>
        <w:suppressAutoHyphens/>
        <w:autoSpaceDN w:val="0"/>
        <w:jc w:val="both"/>
        <w:textAlignment w:val="baseline"/>
        <w:rPr>
          <w:lang w:val="es-ES_tradnl" w:eastAsia="en-US"/>
        </w:rPr>
      </w:pPr>
      <w:r w:rsidRPr="00F75A2A">
        <w:rPr>
          <w:rFonts w:ascii="Times New Roman" w:hAnsi="Times New Roman"/>
          <w:lang w:val="es-ES_tradnl" w:eastAsia="en-US"/>
        </w:rPr>
        <w:t xml:space="preserve">Proyecto de Resolución </w:t>
      </w:r>
      <w:r w:rsidR="00DF2785" w:rsidRPr="00F75A2A">
        <w:rPr>
          <w:rFonts w:ascii="Times New Roman" w:hAnsi="Times New Roman"/>
          <w:lang w:val="es-ES_tradnl" w:eastAsia="en-US"/>
        </w:rPr>
        <w:t>PNUMA</w:t>
      </w:r>
      <w:r w:rsidRPr="00F75A2A">
        <w:rPr>
          <w:rFonts w:ascii="Times New Roman" w:hAnsi="Times New Roman"/>
          <w:lang w:val="es-ES_tradnl" w:eastAsia="en-US"/>
        </w:rPr>
        <w:t xml:space="preserve">/CMS/COP11/CRP2 </w:t>
      </w:r>
      <w:r w:rsidRPr="00F75A2A">
        <w:rPr>
          <w:rFonts w:ascii="Times New Roman" w:hAnsi="Times New Roman"/>
          <w:i/>
          <w:lang w:val="es-ES_tradnl" w:eastAsia="en-US"/>
        </w:rPr>
        <w:t>del Programa de Trabajo sobre Cambio Climático y Especies Migratorias</w:t>
      </w:r>
    </w:p>
    <w:p w:rsidR="00F672A1" w:rsidRPr="00F75A2A" w:rsidRDefault="00F672A1" w:rsidP="00F672A1">
      <w:pPr>
        <w:numPr>
          <w:ilvl w:val="0"/>
          <w:numId w:val="2"/>
        </w:numPr>
        <w:suppressAutoHyphens/>
        <w:autoSpaceDN w:val="0"/>
        <w:jc w:val="both"/>
        <w:textAlignment w:val="baseline"/>
        <w:rPr>
          <w:lang w:val="es-ES_tradnl" w:eastAsia="en-US"/>
        </w:rPr>
      </w:pPr>
      <w:r w:rsidRPr="00F75A2A">
        <w:rPr>
          <w:rFonts w:ascii="Times New Roman" w:hAnsi="Times New Roman"/>
          <w:lang w:val="es-ES_tradnl" w:eastAsia="en-US"/>
        </w:rPr>
        <w:t xml:space="preserve">Proyecto de Resolución </w:t>
      </w:r>
      <w:r w:rsidR="00DF2785" w:rsidRPr="00F75A2A">
        <w:rPr>
          <w:rFonts w:ascii="Times New Roman" w:hAnsi="Times New Roman"/>
          <w:lang w:val="es-ES_tradnl" w:eastAsia="en-US"/>
        </w:rPr>
        <w:t>PNUMA</w:t>
      </w:r>
      <w:r w:rsidRPr="00F75A2A">
        <w:rPr>
          <w:rFonts w:ascii="Times New Roman" w:hAnsi="Times New Roman"/>
          <w:lang w:val="es-ES_tradnl" w:eastAsia="en-US"/>
        </w:rPr>
        <w:t xml:space="preserve">/CMS/COP11/CRP3 </w:t>
      </w:r>
      <w:r w:rsidRPr="00F75A2A">
        <w:rPr>
          <w:rFonts w:ascii="Times New Roman" w:hAnsi="Times New Roman"/>
          <w:i/>
          <w:lang w:val="es-ES_tradnl" w:eastAsia="en-US"/>
        </w:rPr>
        <w:t>para mejorar la relación entre la familia de la CMS y la sociedad civil</w:t>
      </w:r>
      <w:r w:rsidRPr="00F75A2A">
        <w:rPr>
          <w:rFonts w:ascii="Times New Roman" w:hAnsi="Times New Roman"/>
          <w:lang w:val="es-ES_tradnl" w:eastAsia="en-US"/>
        </w:rPr>
        <w:t>.</w:t>
      </w:r>
    </w:p>
    <w:p w:rsidR="00F672A1" w:rsidRPr="00F75A2A" w:rsidRDefault="00F672A1" w:rsidP="00F672A1">
      <w:pPr>
        <w:suppressAutoHyphens/>
        <w:autoSpaceDN w:val="0"/>
        <w:textAlignment w:val="baseline"/>
        <w:rPr>
          <w:rFonts w:ascii="Times New Roman" w:hAnsi="Times New Roman"/>
          <w:lang w:val="es-ES_tradnl" w:eastAsia="en-US"/>
        </w:rPr>
      </w:pPr>
    </w:p>
    <w:p w:rsidR="00F672A1" w:rsidRPr="00F75A2A" w:rsidRDefault="00F672A1" w:rsidP="00F672A1">
      <w:pPr>
        <w:suppressAutoHyphens/>
        <w:autoSpaceDN w:val="0"/>
        <w:spacing w:before="240"/>
        <w:jc w:val="center"/>
        <w:textAlignment w:val="baseline"/>
        <w:rPr>
          <w:lang w:val="es-ES_tradnl" w:eastAsia="en-US"/>
        </w:rPr>
      </w:pPr>
      <w:r w:rsidRPr="00F75A2A">
        <w:rPr>
          <w:rFonts w:ascii="Times New Roman" w:hAnsi="Times New Roman"/>
          <w:b/>
          <w:lang w:val="es-ES_tradnl" w:eastAsia="en-US"/>
        </w:rPr>
        <w:t>ENMIENDAS A LOS APÉ</w:t>
      </w:r>
      <w:r w:rsidR="00444DB1" w:rsidRPr="00F75A2A">
        <w:rPr>
          <w:rFonts w:ascii="Times New Roman" w:hAnsi="Times New Roman"/>
          <w:b/>
          <w:lang w:val="es-ES_tradnl" w:eastAsia="en-US"/>
        </w:rPr>
        <w:t>NDICES (continuación del PUNTO</w:t>
      </w:r>
      <w:r w:rsidRPr="00F75A2A">
        <w:rPr>
          <w:rFonts w:ascii="Times New Roman" w:hAnsi="Times New Roman"/>
          <w:b/>
          <w:lang w:val="es-ES_tradnl" w:eastAsia="en-US"/>
        </w:rPr>
        <w:t xml:space="preserve"> 24</w:t>
      </w:r>
      <w:r w:rsidRPr="00F75A2A">
        <w:rPr>
          <w:rFonts w:ascii="Times New Roman" w:hAnsi="Times New Roman"/>
          <w:lang w:val="es-ES_tradnl" w:eastAsia="en-US"/>
        </w:rPr>
        <w:t>)</w:t>
      </w:r>
    </w:p>
    <w:p w:rsidR="00F672A1" w:rsidRPr="00F75A2A" w:rsidRDefault="00F672A1" w:rsidP="00F672A1">
      <w:pPr>
        <w:suppressAutoHyphens/>
        <w:autoSpaceDN w:val="0"/>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b/>
          <w:lang w:val="es-ES_tradnl" w:eastAsia="en-US"/>
        </w:rPr>
        <w:t xml:space="preserve">Propuestas de Enmienda a los Apéndices I y II de la Convención (continuación del </w:t>
      </w:r>
      <w:r w:rsidR="00444DB1" w:rsidRPr="00F75A2A">
        <w:rPr>
          <w:rFonts w:ascii="Times New Roman" w:hAnsi="Times New Roman"/>
          <w:b/>
          <w:lang w:val="es-ES_tradnl" w:eastAsia="en-US"/>
        </w:rPr>
        <w:t>punto</w:t>
      </w:r>
      <w:r w:rsidRPr="00F75A2A">
        <w:rPr>
          <w:rFonts w:ascii="Times New Roman" w:hAnsi="Times New Roman"/>
          <w:b/>
          <w:lang w:val="es-ES_tradnl" w:eastAsia="en-US"/>
        </w:rPr>
        <w:t xml:space="preserve"> 24.1)</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298. El representante de Senegal, en representación de los proponentes, Senegal y Níger, presentó el documento</w:t>
      </w:r>
      <w:r w:rsidRPr="00F75A2A">
        <w:rPr>
          <w:rFonts w:ascii="Times New Roman" w:hAnsi="Times New Roman"/>
          <w:b/>
          <w:lang w:val="es-ES_tradnl" w:eastAsia="en-US"/>
        </w:rPr>
        <w:t xml:space="preserve"> </w:t>
      </w:r>
      <w:r w:rsidR="00DF2785" w:rsidRPr="00F75A2A">
        <w:rPr>
          <w:rFonts w:ascii="Times New Roman" w:hAnsi="Times New Roman"/>
          <w:b/>
          <w:lang w:val="es-ES_tradnl" w:eastAsia="en-US"/>
        </w:rPr>
        <w:t>PNUMA</w:t>
      </w:r>
      <w:r w:rsidRPr="00F75A2A">
        <w:rPr>
          <w:rFonts w:ascii="Times New Roman" w:hAnsi="Times New Roman"/>
          <w:b/>
          <w:lang w:val="es-ES_tradnl" w:eastAsia="en-US"/>
        </w:rPr>
        <w:t>/CMS/COP11/Doc.24.1.3 Propuesta de inclusión de la gacela frent</w:t>
      </w:r>
      <w:r w:rsidR="00444DB1" w:rsidRPr="00F75A2A">
        <w:rPr>
          <w:rFonts w:ascii="Times New Roman" w:hAnsi="Times New Roman"/>
          <w:b/>
          <w:lang w:val="es-ES_tradnl" w:eastAsia="en-US"/>
        </w:rPr>
        <w:t>i</w:t>
      </w:r>
      <w:r w:rsidRPr="00F75A2A">
        <w:rPr>
          <w:rFonts w:ascii="Times New Roman" w:hAnsi="Times New Roman"/>
          <w:b/>
          <w:lang w:val="es-ES_tradnl" w:eastAsia="en-US"/>
        </w:rPr>
        <w:t>roja (</w:t>
      </w:r>
      <w:r w:rsidRPr="00F75A2A">
        <w:rPr>
          <w:rFonts w:ascii="Times New Roman" w:hAnsi="Times New Roman"/>
          <w:b/>
          <w:i/>
          <w:lang w:val="es-ES_tradnl" w:eastAsia="en-US"/>
        </w:rPr>
        <w:t>Eudorcas rufifrons</w:t>
      </w:r>
      <w:r w:rsidRPr="00F75A2A">
        <w:rPr>
          <w:rFonts w:ascii="Times New Roman" w:hAnsi="Times New Roman"/>
          <w:b/>
          <w:lang w:val="es-ES_tradnl" w:eastAsia="en-US"/>
        </w:rPr>
        <w:t>) en el Apéndice I de la CMS.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299. La propuesta fue respaldada por los representantes de Benín, Etiopia y la UE y sus Estados miembros.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300. En vista del apoyo expresado por las Partes, la presidenta concluyó que esta propuesta podría llevarse al Plenario, y sugirió que podría ser adoptada por consenso.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lastRenderedPageBreak/>
        <w:t>301. El representante de Etiopía presentó el documento</w:t>
      </w:r>
      <w:r w:rsidRPr="00F75A2A">
        <w:rPr>
          <w:rFonts w:ascii="Times New Roman" w:hAnsi="Times New Roman"/>
          <w:b/>
          <w:lang w:val="es-ES_tradnl" w:eastAsia="en-US"/>
        </w:rPr>
        <w:t xml:space="preserve"> </w:t>
      </w:r>
      <w:r w:rsidR="00DF2785" w:rsidRPr="00F75A2A">
        <w:rPr>
          <w:rFonts w:ascii="Times New Roman" w:hAnsi="Times New Roman"/>
          <w:b/>
          <w:lang w:val="es-ES_tradnl" w:eastAsia="en-US"/>
        </w:rPr>
        <w:t>PNUMA</w:t>
      </w:r>
      <w:r w:rsidRPr="00F75A2A">
        <w:rPr>
          <w:rFonts w:ascii="Times New Roman" w:hAnsi="Times New Roman"/>
          <w:b/>
          <w:lang w:val="es-ES_tradnl" w:eastAsia="en-US"/>
        </w:rPr>
        <w:t>/CMS/COP11/Doc.24.1.12 Propuesta para la inclusión del cobo de oreja blanca (</w:t>
      </w:r>
      <w:r w:rsidRPr="00F75A2A">
        <w:rPr>
          <w:rFonts w:ascii="Times New Roman" w:hAnsi="Times New Roman"/>
          <w:b/>
          <w:i/>
          <w:lang w:val="es-ES_tradnl" w:eastAsia="en-US"/>
        </w:rPr>
        <w:t>Kobus kob leucotis</w:t>
      </w:r>
      <w:r w:rsidRPr="00F75A2A">
        <w:rPr>
          <w:rFonts w:ascii="Times New Roman" w:hAnsi="Times New Roman"/>
          <w:b/>
          <w:lang w:val="es-ES_tradnl" w:eastAsia="en-US"/>
        </w:rPr>
        <w:t>) en el Apéndice II de la CMS.</w:t>
      </w:r>
    </w:p>
    <w:p w:rsidR="00F672A1" w:rsidRPr="00F75A2A" w:rsidRDefault="00F672A1" w:rsidP="00F672A1">
      <w:pPr>
        <w:suppressAutoHyphens/>
        <w:autoSpaceDN w:val="0"/>
        <w:jc w:val="both"/>
        <w:textAlignment w:val="baseline"/>
        <w:rPr>
          <w:rFonts w:ascii="Times New Roman" w:hAnsi="Times New Roman"/>
          <w:b/>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302. La propuesta fue respaldada por los representantes de Egipto, la UE y sus Estados miembros, Kenia y Senegal.</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303. En vista del apoyo expresado por las Partes, la presidenta concluyó que esta propuesta podría llevarse al Plenario, y sugirió que podría ser adoptada por consenso.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304. La representante de Ecuador presentó el documento</w:t>
      </w:r>
      <w:r w:rsidRPr="00F75A2A">
        <w:rPr>
          <w:rFonts w:ascii="Times New Roman" w:hAnsi="Times New Roman"/>
          <w:b/>
          <w:lang w:val="es-ES_tradnl" w:eastAsia="en-US"/>
        </w:rPr>
        <w:t xml:space="preserve"> </w:t>
      </w:r>
      <w:r w:rsidR="00DF2785" w:rsidRPr="00F75A2A">
        <w:rPr>
          <w:rFonts w:ascii="Times New Roman" w:hAnsi="Times New Roman"/>
          <w:b/>
          <w:lang w:val="es-ES_tradnl" w:eastAsia="en-US"/>
        </w:rPr>
        <w:t>PNUMA</w:t>
      </w:r>
      <w:r w:rsidRPr="00F75A2A">
        <w:rPr>
          <w:rFonts w:ascii="Times New Roman" w:hAnsi="Times New Roman"/>
          <w:b/>
          <w:lang w:val="es-ES_tradnl" w:eastAsia="en-US"/>
        </w:rPr>
        <w:t>/CMS/COP11/Doc.24.1.13 Propuesta para la inclusión de la reinita canadiense (</w:t>
      </w:r>
      <w:r w:rsidRPr="00F75A2A">
        <w:rPr>
          <w:rFonts w:ascii="Times New Roman" w:hAnsi="Times New Roman"/>
          <w:b/>
          <w:i/>
          <w:lang w:val="es-ES_tradnl" w:eastAsia="en-US"/>
        </w:rPr>
        <w:t>Cardellina canadensis</w:t>
      </w:r>
      <w:r w:rsidRPr="00F75A2A">
        <w:rPr>
          <w:rFonts w:ascii="Times New Roman" w:hAnsi="Times New Roman"/>
          <w:b/>
          <w:lang w:val="es-ES_tradnl" w:eastAsia="en-US"/>
        </w:rPr>
        <w:t>) en el Apéndice II de la CMS.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305. La propuesta fue respaldada por los representantes de Canadá, Chile (en representación de la región de América Latina y el Caribe), Egipto, la UE y sus Estados miembros y  EEUU.</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306. En respuesta a la pregunta del representante de Noruega, la representante de Ecuador confirmó que los estados del área de distribución ya están trabajando de forma coordinada a nivel regional, por ejemplo a través de WHMSI y  Partners in Flig. La inclusión de la especie en el Apéndice II de la CMS avalarían estos esfuerzos.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307. En vista del apoyo expresado por las Partes, la presidenta concluyó que esta propuesta podría llevarse al Plenario, y sugirió que podría ser adoptada por consenso.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308. El representante de Egipto presentó el documento</w:t>
      </w:r>
      <w:r w:rsidRPr="00F75A2A">
        <w:rPr>
          <w:rFonts w:ascii="Times New Roman" w:hAnsi="Times New Roman"/>
          <w:b/>
          <w:lang w:val="es-ES_tradnl" w:eastAsia="en-US"/>
        </w:rPr>
        <w:t xml:space="preserve"> </w:t>
      </w:r>
      <w:r w:rsidR="00DF2785" w:rsidRPr="00F75A2A">
        <w:rPr>
          <w:rFonts w:ascii="Times New Roman" w:hAnsi="Times New Roman"/>
          <w:b/>
          <w:lang w:val="es-ES_tradnl" w:eastAsia="en-US"/>
        </w:rPr>
        <w:t>PNUMA</w:t>
      </w:r>
      <w:r w:rsidRPr="00F75A2A">
        <w:rPr>
          <w:rFonts w:ascii="Times New Roman" w:hAnsi="Times New Roman"/>
          <w:b/>
          <w:lang w:val="es-ES_tradnl" w:eastAsia="en-US"/>
        </w:rPr>
        <w:t xml:space="preserve">/CMS/COP11/Doc.24.1.14/Rev.1 Propuesta para la inclusión del tiburón </w:t>
      </w:r>
      <w:r w:rsidR="00444DB1" w:rsidRPr="00F75A2A">
        <w:rPr>
          <w:rFonts w:ascii="Times New Roman" w:hAnsi="Times New Roman"/>
          <w:b/>
          <w:lang w:val="es-ES_tradnl" w:eastAsia="en-US"/>
        </w:rPr>
        <w:t>jaquetón</w:t>
      </w:r>
      <w:r w:rsidRPr="00F75A2A">
        <w:rPr>
          <w:rFonts w:ascii="Times New Roman" w:hAnsi="Times New Roman"/>
          <w:b/>
          <w:lang w:val="es-ES_tradnl" w:eastAsia="en-US"/>
        </w:rPr>
        <w:t xml:space="preserve"> (</w:t>
      </w:r>
      <w:r w:rsidRPr="00F75A2A">
        <w:rPr>
          <w:rFonts w:ascii="Times New Roman" w:hAnsi="Times New Roman"/>
          <w:b/>
          <w:i/>
          <w:lang w:val="es-ES_tradnl" w:eastAsia="en-US"/>
        </w:rPr>
        <w:t>Carcharhinus falciformis</w:t>
      </w:r>
      <w:r w:rsidRPr="00F75A2A">
        <w:rPr>
          <w:rFonts w:ascii="Times New Roman" w:hAnsi="Times New Roman"/>
          <w:b/>
          <w:lang w:val="es-ES_tradnl" w:eastAsia="en-US"/>
        </w:rPr>
        <w:t>) en el Apéndice II de la CMS.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309. La propuesta fue respaldada por los representantes de Australia, Costa Rica, Ecuador, la UE y sus Estados miembros, Fiyi, Senegal y Estados Unidos. El observador del grupo de especialistas en tiburones de la UICN (quien presentó un resumen sobre información científica reciente que subraya el estado adverso de conservación de esta especie)*.</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 xml:space="preserve">310. EL observador de PRETOMA en representación de Turtle Restoration Network y otras </w:t>
      </w:r>
      <w:r w:rsidR="00F75A2A" w:rsidRPr="00F75A2A">
        <w:rPr>
          <w:rFonts w:ascii="Times New Roman" w:hAnsi="Times New Roman"/>
          <w:lang w:val="es-ES_tradnl" w:eastAsia="en-US"/>
        </w:rPr>
        <w:t>ONG</w:t>
      </w:r>
      <w:r w:rsidRPr="00F75A2A">
        <w:rPr>
          <w:rFonts w:ascii="Times New Roman" w:hAnsi="Times New Roman"/>
          <w:lang w:val="es-ES_tradnl" w:eastAsia="en-US"/>
        </w:rPr>
        <w:t xml:space="preserve"> apoyó encarecidamente la propuesta.</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311. El representante de Chile considera que la información actualizada proporcionada por el Grupo de Especialistas en tiburones de la UICN debería reflejarse en el documento. Chile se vio incapacitado para respaldar la propuesta en su forma actual.</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312. El representante de Perú cree que la propuesta podría solaparse con las medidas de gestión existentes y también se vio incapacitado para respaldar el documento.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313. La presidenta observó un respaldo generalizado de la propuesta, aunque dos de las Partes, Chile y Perú, no se encuentran en posición de respaldar la propuesta en esta etapa. Concluyó que, a pesar de esto, la propuesta debería llevarse al Plenario, reiterando que esto no excluye a ninguna de las Partes para reiterar su postura en ese momento.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314. La representante de Ecuador, en nombre de los proponentes, Costa Rica y Ecuador, presentó los documentos</w:t>
      </w:r>
      <w:r w:rsidRPr="00F75A2A">
        <w:rPr>
          <w:rFonts w:ascii="Times New Roman" w:hAnsi="Times New Roman"/>
          <w:b/>
          <w:lang w:val="es-ES_tradnl" w:eastAsia="en-US"/>
        </w:rPr>
        <w:t xml:space="preserve"> </w:t>
      </w:r>
      <w:r w:rsidR="00DF2785" w:rsidRPr="00F75A2A">
        <w:rPr>
          <w:rFonts w:ascii="Times New Roman" w:hAnsi="Times New Roman"/>
          <w:b/>
          <w:lang w:val="es-ES_tradnl" w:eastAsia="en-US"/>
        </w:rPr>
        <w:t>PNUMA</w:t>
      </w:r>
      <w:r w:rsidRPr="00F75A2A">
        <w:rPr>
          <w:rFonts w:ascii="Times New Roman" w:hAnsi="Times New Roman"/>
          <w:b/>
          <w:lang w:val="es-ES_tradnl" w:eastAsia="en-US"/>
        </w:rPr>
        <w:t xml:space="preserve">/CMS/COP11/Doc.24.1.15 Propuesta de inclusión del gran tiburón </w:t>
      </w:r>
      <w:r w:rsidRPr="00F75A2A">
        <w:rPr>
          <w:rFonts w:ascii="Times New Roman" w:hAnsi="Times New Roman"/>
          <w:b/>
          <w:lang w:val="es-ES_tradnl" w:eastAsia="en-US"/>
        </w:rPr>
        <w:lastRenderedPageBreak/>
        <w:t>martillo (</w:t>
      </w:r>
      <w:r w:rsidRPr="00F75A2A">
        <w:rPr>
          <w:rFonts w:ascii="Times New Roman" w:hAnsi="Times New Roman"/>
          <w:b/>
          <w:i/>
          <w:lang w:val="es-ES_tradnl" w:eastAsia="en-US"/>
        </w:rPr>
        <w:t>Sphyrna mokarran</w:t>
      </w:r>
      <w:r w:rsidRPr="00F75A2A">
        <w:rPr>
          <w:rFonts w:ascii="Times New Roman" w:hAnsi="Times New Roman"/>
          <w:b/>
          <w:lang w:val="es-ES_tradnl" w:eastAsia="en-US"/>
        </w:rPr>
        <w:t xml:space="preserve">) en el Apéndice II  de la CMS y el documento  </w:t>
      </w:r>
      <w:r w:rsidR="00DF2785" w:rsidRPr="00F75A2A">
        <w:rPr>
          <w:rFonts w:ascii="Times New Roman" w:hAnsi="Times New Roman"/>
          <w:b/>
          <w:lang w:val="es-ES_tradnl" w:eastAsia="en-US"/>
        </w:rPr>
        <w:t>PNUMA</w:t>
      </w:r>
      <w:r w:rsidRPr="00F75A2A">
        <w:rPr>
          <w:rFonts w:ascii="Times New Roman" w:hAnsi="Times New Roman"/>
          <w:b/>
          <w:lang w:val="es-ES_tradnl" w:eastAsia="en-US"/>
        </w:rPr>
        <w:t>/CMS/COP11/Doc.24.1.16 Propuesta de inclusión del tiburón martillo común (</w:t>
      </w:r>
      <w:r w:rsidRPr="00F75A2A">
        <w:rPr>
          <w:rFonts w:ascii="Times New Roman" w:hAnsi="Times New Roman"/>
          <w:b/>
          <w:i/>
          <w:lang w:val="es-ES_tradnl" w:eastAsia="en-US"/>
        </w:rPr>
        <w:t>Sphyrna lewini</w:t>
      </w:r>
      <w:r w:rsidRPr="00F75A2A">
        <w:rPr>
          <w:rFonts w:ascii="Times New Roman" w:hAnsi="Times New Roman"/>
          <w:b/>
          <w:lang w:val="es-ES_tradnl" w:eastAsia="en-US"/>
        </w:rPr>
        <w:t>) en el Apéndice II de la CMS.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 xml:space="preserve">315. Estas propuestas fueron respaldadas por los representantes de Chile (en nombre de la región de América Latina y el Caribe), Costa Rica, Egipto, la UE y sus Estados miembros, Fiyi, Mónaco y Perú, y por el observador de Defenders of Wildlife, en representación también de  una coalición de </w:t>
      </w:r>
      <w:r w:rsidR="00F75A2A" w:rsidRPr="00F75A2A">
        <w:rPr>
          <w:rFonts w:ascii="Times New Roman" w:hAnsi="Times New Roman"/>
          <w:lang w:val="es-ES_tradnl" w:eastAsia="en-US"/>
        </w:rPr>
        <w:t>ONG</w:t>
      </w:r>
      <w:r w:rsidRPr="00F75A2A">
        <w:rPr>
          <w:rFonts w:ascii="Times New Roman" w:hAnsi="Times New Roman"/>
          <w:lang w:val="es-ES_tradnl" w:eastAsia="en-US"/>
        </w:rPr>
        <w:t xml:space="preserve"> (incluyendo a Humane Society International, IFAW, Manta Trust, Marine Megafauna Foundation, Pew, PRETOMA, Project AWARE, Shark Advocates International, </w:t>
      </w:r>
      <w:r w:rsidRPr="00F75A2A">
        <w:rPr>
          <w:rFonts w:ascii="Times New Roman" w:eastAsia="Times New Roman" w:hAnsi="Times New Roman"/>
          <w:lang w:val="es-ES_tradnl" w:eastAsia="en-US"/>
        </w:rPr>
        <w:t xml:space="preserve">Turtle Island Restoration Network, </w:t>
      </w:r>
      <w:r w:rsidRPr="00F75A2A">
        <w:rPr>
          <w:rFonts w:ascii="Times New Roman" w:hAnsi="Times New Roman"/>
          <w:lang w:val="es-ES_tradnl" w:eastAsia="en-US"/>
        </w:rPr>
        <w:t xml:space="preserve">WCS y WWF). El observador de IFAW (también en representación de la coalición de </w:t>
      </w:r>
      <w:r w:rsidR="00F75A2A" w:rsidRPr="00F75A2A">
        <w:rPr>
          <w:rFonts w:ascii="Times New Roman" w:hAnsi="Times New Roman"/>
          <w:lang w:val="es-ES_tradnl" w:eastAsia="en-US"/>
        </w:rPr>
        <w:t>ONG</w:t>
      </w:r>
      <w:r w:rsidRPr="00F75A2A">
        <w:rPr>
          <w:rFonts w:ascii="Times New Roman" w:hAnsi="Times New Roman"/>
          <w:lang w:val="es-ES_tradnl" w:eastAsia="en-US"/>
        </w:rPr>
        <w:t>) argumentó que el tiburón martillo es también apto para formar parte del Apéndice I de la CMS y sugirió que las Partes deberían considerar enmendar la propuesta a este, al menos para el Atlántico norte.</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316. En vista del  apoyo  expresado por las Partes, La presidenta concluyó  que esta  propuesta podría llevarse al Plenario, y sugirió que podría  ser adoptada por consenso.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317. El representante de la UE y sus Estados miembros presentó el documento</w:t>
      </w:r>
      <w:r w:rsidRPr="00F75A2A">
        <w:rPr>
          <w:rFonts w:ascii="Times New Roman" w:hAnsi="Times New Roman"/>
          <w:b/>
          <w:lang w:val="es-ES_tradnl" w:eastAsia="en-US"/>
        </w:rPr>
        <w:t xml:space="preserve"> </w:t>
      </w:r>
      <w:r w:rsidR="00DF2785" w:rsidRPr="00F75A2A">
        <w:rPr>
          <w:rFonts w:ascii="Times New Roman" w:hAnsi="Times New Roman"/>
          <w:b/>
          <w:lang w:val="es-ES_tradnl" w:eastAsia="en-US"/>
        </w:rPr>
        <w:t>PNUMA</w:t>
      </w:r>
      <w:r w:rsidRPr="00F75A2A">
        <w:rPr>
          <w:rFonts w:ascii="Times New Roman" w:hAnsi="Times New Roman"/>
          <w:b/>
          <w:lang w:val="es-ES_tradnl" w:eastAsia="en-US"/>
        </w:rPr>
        <w:t>/CMS/COP11/Doc. 24.1.</w:t>
      </w:r>
      <w:r w:rsidR="00F75A2A" w:rsidRPr="00F75A2A">
        <w:rPr>
          <w:rFonts w:ascii="Times New Roman" w:hAnsi="Times New Roman"/>
          <w:b/>
          <w:lang w:val="es-ES_tradnl" w:eastAsia="en-US"/>
        </w:rPr>
        <w:t>1</w:t>
      </w:r>
      <w:r w:rsidRPr="00F75A2A">
        <w:rPr>
          <w:rFonts w:ascii="Times New Roman" w:hAnsi="Times New Roman"/>
          <w:b/>
          <w:lang w:val="es-ES_tradnl" w:eastAsia="en-US"/>
        </w:rPr>
        <w:t xml:space="preserve">7 Propuesta para la inclusión de todas las especies de tiburón zorro (Genus </w:t>
      </w:r>
      <w:r w:rsidRPr="00F75A2A">
        <w:rPr>
          <w:rFonts w:ascii="Times New Roman" w:hAnsi="Times New Roman"/>
          <w:b/>
          <w:i/>
          <w:lang w:val="es-ES_tradnl" w:eastAsia="en-US"/>
        </w:rPr>
        <w:t>Alopias</w:t>
      </w:r>
      <w:r w:rsidRPr="00F75A2A">
        <w:rPr>
          <w:rFonts w:ascii="Times New Roman" w:hAnsi="Times New Roman"/>
          <w:b/>
          <w:lang w:val="es-ES_tradnl" w:eastAsia="en-US"/>
        </w:rPr>
        <w:t>) en el Apéndice II de la CMS.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 xml:space="preserve">318. Esta propuesta fue respaldada por los representantes de Ecuador, Fiyi, Israel y Nueva Zelanda, y por los observadores de la UICN (a través del grupo de especialistas en tiburones) y Pew (representando también a otras </w:t>
      </w:r>
      <w:r w:rsidR="00F75A2A" w:rsidRPr="00F75A2A">
        <w:rPr>
          <w:rFonts w:ascii="Times New Roman" w:hAnsi="Times New Roman"/>
          <w:lang w:val="es-ES_tradnl" w:eastAsia="en-US"/>
        </w:rPr>
        <w:t>ONG</w:t>
      </w:r>
      <w:r w:rsidRPr="00F75A2A">
        <w:rPr>
          <w:rFonts w:ascii="Times New Roman" w:hAnsi="Times New Roman"/>
          <w:lang w:val="es-ES_tradnl" w:eastAsia="en-US"/>
        </w:rPr>
        <w:t>).</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319. El representante de Australia informó de que su país ha estudiado detenidamente la documentación proporcionada y  ha buscado consejo de numerosos científicos y otras partes interesadas. Australia percibe que quedan ciertas cuestiones sobre la tendencia de población del tiburón zorro  en aguas australianas, que no parece mostrar ninguna evidencia de descenso. No obstante, Australia reconoce que existen evidencias de que la especie tiburón zorro  ha mostrado un descenso significativo en otras muchas zonas del área de distribución.</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320. La presidenta concluyó que no ha percibido ninguna oposición a la propuesta. Por tanto, en vista del apoyo generalizado expresado por las distintas Partes, esta propuesta podría llevarse al Plenario y sugirió que podría ser adoptada por consenso.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321. El representante de Mónaco presentó el documento</w:t>
      </w:r>
      <w:r w:rsidRPr="00F75A2A">
        <w:rPr>
          <w:rFonts w:ascii="Times New Roman" w:hAnsi="Times New Roman"/>
          <w:b/>
          <w:lang w:val="es-ES_tradnl" w:eastAsia="en-US"/>
        </w:rPr>
        <w:t xml:space="preserve"> </w:t>
      </w:r>
      <w:r w:rsidR="00DF2785" w:rsidRPr="00F75A2A">
        <w:rPr>
          <w:rFonts w:ascii="Times New Roman" w:hAnsi="Times New Roman"/>
          <w:b/>
          <w:lang w:val="es-ES_tradnl" w:eastAsia="en-US"/>
        </w:rPr>
        <w:t>PNUMA</w:t>
      </w:r>
      <w:r w:rsidRPr="00F75A2A">
        <w:rPr>
          <w:rFonts w:ascii="Times New Roman" w:hAnsi="Times New Roman"/>
          <w:b/>
          <w:lang w:val="es-ES_tradnl" w:eastAsia="en-US"/>
        </w:rPr>
        <w:t>/CMS/COP11/Doc.24.1.18 Propuesta para la inclusión de la anguila (</w:t>
      </w:r>
      <w:r w:rsidRPr="00F75A2A">
        <w:rPr>
          <w:rFonts w:ascii="Times New Roman" w:hAnsi="Times New Roman"/>
          <w:b/>
          <w:i/>
          <w:lang w:val="es-ES_tradnl" w:eastAsia="en-US"/>
        </w:rPr>
        <w:t>Anguilla anguilla)</w:t>
      </w:r>
      <w:r w:rsidRPr="00F75A2A">
        <w:rPr>
          <w:rFonts w:ascii="Times New Roman" w:hAnsi="Times New Roman"/>
          <w:b/>
          <w:lang w:val="es-ES_tradnl" w:eastAsia="en-US"/>
        </w:rPr>
        <w:t xml:space="preserve"> en el Apéndice II de la CMS.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322. La propuesta fue respaldada por los representantes de Chile (en representación de la región de América Latina y el Caribe), Ecuador, la UE y sus Estados miembros, Marruecos, Noruega y EEUU.</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323. Los representantes de Túnez y Egipto, aludiendo a la necesidad de asegurarse de que se toma en cuenta toda la información relevante de todas las Partes sobre la especie, propusieron que se establezca un Grupo de Trabajo intersesional sobre la anguila.</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324. El representante de Mónaco agradeció a Egipto y a Túnez la sugerencia, que podría servir para reforzar la propuesta.</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lastRenderedPageBreak/>
        <w:t>325. En vista del apoyo  expresado  por las Partes,  la presidenta concluyó que esta propuesta podría llevarse al Plenario, y sugirió que podría ser adoptada por consenso. Solicitó a la Secretaría que coopere con Mónaco y otras Partes involucradas para ver cómo se podría llevar a cabo el trabajo intersesional en respuesta a la propuesta realizada.</w:t>
      </w:r>
    </w:p>
    <w:p w:rsidR="00F672A1" w:rsidRPr="00F75A2A" w:rsidRDefault="00F672A1" w:rsidP="00F672A1">
      <w:pPr>
        <w:suppressAutoHyphens/>
        <w:autoSpaceDN w:val="0"/>
        <w:textAlignment w:val="baseline"/>
        <w:rPr>
          <w:rFonts w:ascii="Times New Roman" w:hAnsi="Times New Roman"/>
          <w:lang w:val="es-ES_tradnl" w:eastAsia="en-US"/>
        </w:rPr>
      </w:pPr>
    </w:p>
    <w:p w:rsidR="00F672A1" w:rsidRPr="00F75A2A" w:rsidRDefault="00F672A1" w:rsidP="00F672A1">
      <w:pPr>
        <w:suppressAutoHyphens/>
        <w:autoSpaceDN w:val="0"/>
        <w:jc w:val="center"/>
        <w:textAlignment w:val="baseline"/>
        <w:rPr>
          <w:lang w:val="es-ES_tradnl" w:eastAsia="en-US"/>
        </w:rPr>
      </w:pPr>
      <w:r w:rsidRPr="00F75A2A">
        <w:rPr>
          <w:rFonts w:ascii="Times New Roman" w:hAnsi="Times New Roman"/>
          <w:b/>
          <w:lang w:val="es-ES_tradnl" w:eastAsia="en-US"/>
        </w:rPr>
        <w:t xml:space="preserve">PROBLEMAS DE CONSERVACIÓN (Continuación del </w:t>
      </w:r>
      <w:r w:rsidR="00F75A2A" w:rsidRPr="00F75A2A">
        <w:rPr>
          <w:rFonts w:ascii="Times New Roman" w:hAnsi="Times New Roman"/>
          <w:b/>
          <w:lang w:val="es-ES_tradnl" w:eastAsia="en-US"/>
        </w:rPr>
        <w:t>PUNTO</w:t>
      </w:r>
      <w:r w:rsidRPr="00F75A2A">
        <w:rPr>
          <w:rFonts w:ascii="Times New Roman" w:hAnsi="Times New Roman"/>
          <w:b/>
          <w:lang w:val="es-ES_tradnl" w:eastAsia="en-US"/>
        </w:rPr>
        <w:t xml:space="preserve"> 23)</w:t>
      </w:r>
    </w:p>
    <w:p w:rsidR="00F672A1" w:rsidRPr="00F75A2A" w:rsidRDefault="00F672A1" w:rsidP="00F672A1">
      <w:pPr>
        <w:suppressAutoHyphens/>
        <w:autoSpaceDN w:val="0"/>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b/>
          <w:lang w:val="es-ES_tradnl" w:eastAsia="en-US"/>
        </w:rPr>
      </w:pPr>
      <w:r w:rsidRPr="00F75A2A">
        <w:rPr>
          <w:rFonts w:ascii="Times New Roman" w:hAnsi="Times New Roman"/>
          <w:b/>
          <w:lang w:val="es-ES_tradnl" w:eastAsia="en-US"/>
        </w:rPr>
        <w:t>Especies Acuáticas</w:t>
      </w:r>
      <w:r w:rsidR="00F75A2A" w:rsidRPr="00F75A2A">
        <w:rPr>
          <w:rFonts w:ascii="Times New Roman" w:hAnsi="Times New Roman"/>
          <w:b/>
          <w:lang w:val="es-ES_tradnl" w:eastAsia="en-US"/>
        </w:rPr>
        <w:t xml:space="preserve"> (punto</w:t>
      </w:r>
      <w:r w:rsidRPr="00F75A2A">
        <w:rPr>
          <w:rFonts w:ascii="Times New Roman" w:hAnsi="Times New Roman"/>
          <w:b/>
          <w:lang w:val="es-ES_tradnl" w:eastAsia="en-US"/>
        </w:rPr>
        <w:t xml:space="preserve"> 23.2)</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b/>
          <w:lang w:val="es-ES_tradnl" w:eastAsia="en-US"/>
        </w:rPr>
      </w:pPr>
      <w:r w:rsidRPr="00F75A2A">
        <w:rPr>
          <w:rFonts w:ascii="Times New Roman" w:hAnsi="Times New Roman"/>
          <w:b/>
          <w:lang w:val="es-ES_tradnl" w:eastAsia="en-US"/>
        </w:rPr>
        <w:t>Conservación de tiburones y rayas migratorios (23.2.1)</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75A2A" w:rsidP="00F672A1">
      <w:pPr>
        <w:suppressAutoHyphens/>
        <w:autoSpaceDN w:val="0"/>
        <w:jc w:val="both"/>
        <w:textAlignment w:val="baseline"/>
        <w:rPr>
          <w:lang w:val="es-ES_tradnl" w:eastAsia="en-US"/>
        </w:rPr>
      </w:pPr>
      <w:r w:rsidRPr="00F75A2A">
        <w:rPr>
          <w:rFonts w:ascii="Times New Roman" w:hAnsi="Times New Roman"/>
          <w:lang w:val="es-ES_tradnl" w:eastAsia="en-US"/>
        </w:rPr>
        <w:t>326. La señora</w:t>
      </w:r>
      <w:r w:rsidR="00F672A1" w:rsidRPr="00F75A2A">
        <w:rPr>
          <w:rFonts w:ascii="Times New Roman" w:hAnsi="Times New Roman"/>
          <w:lang w:val="es-ES_tradnl" w:eastAsia="en-US"/>
        </w:rPr>
        <w:t xml:space="preserve">. Andrea Pauly (Secretaría) presentó el documento </w:t>
      </w:r>
      <w:r w:rsidR="00DF2785" w:rsidRPr="00F75A2A">
        <w:rPr>
          <w:rFonts w:ascii="Times New Roman" w:hAnsi="Times New Roman"/>
          <w:lang w:val="es-ES_tradnl" w:eastAsia="en-US"/>
        </w:rPr>
        <w:t>PNUMA</w:t>
      </w:r>
      <w:r w:rsidR="00F672A1" w:rsidRPr="00F75A2A">
        <w:rPr>
          <w:rFonts w:ascii="Times New Roman" w:hAnsi="Times New Roman"/>
          <w:lang w:val="es-ES_tradnl" w:eastAsia="en-US"/>
        </w:rPr>
        <w:t xml:space="preserve">/CMS/COP11/Doc.23.2.1 </w:t>
      </w:r>
      <w:r w:rsidR="00F672A1" w:rsidRPr="00F75A2A">
        <w:rPr>
          <w:rFonts w:ascii="Times New Roman" w:hAnsi="Times New Roman"/>
          <w:i/>
          <w:lang w:val="es-ES_tradnl" w:eastAsia="en-US"/>
        </w:rPr>
        <w:t>Conservación de tiburones y rayas migratorios</w:t>
      </w:r>
      <w:r w:rsidR="00F672A1" w:rsidRPr="00F75A2A">
        <w:rPr>
          <w:rFonts w:ascii="Times New Roman" w:hAnsi="Times New Roman"/>
          <w:lang w:val="es-ES_tradnl" w:eastAsia="en-US"/>
        </w:rPr>
        <w:t>, incluyendo el Proyecto de Resolución del anexo del documento.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327. La presidenta abrió el espacio para comentarios.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328. El representante de Brasil resumió las medidas adoptadas a nivel nacional para la conservación de tiburones y rayas y subrayó el compromiso de su país en este apremiante asunto. Brasil respaldó el Proyecto de Resolución.</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329. La representante de Ecuador respaldó el Proyecto de Resolución.</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330. El representante de la UE y sus Estados miembros declaró que la UE apoya el enfoque pero desearía incorporar varias enmiendas antes de respaldar el Proyecto de Resolución. Propuso, por tanto, que se remita la propuesta al Grupo de Trabajo para cuestiones sobre animales acuáticos para su posterior consideración.</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331. El representante de EAU señaló que el aleteo de tiburones ha sido prohibido en su país. Los EAU deberían, por tanto, incluirse en el listado de países donde el aleteo de tiburones queda prohibido.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332. Los representantes de Argentina, Chile, Egipto y Senegal respaldaron el Proyecto de Resolución.</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 xml:space="preserve">333. El observador de Humane Society International (representando también a una coalición de otras </w:t>
      </w:r>
      <w:r w:rsidR="00F75A2A" w:rsidRPr="00F75A2A">
        <w:rPr>
          <w:rFonts w:ascii="Times New Roman" w:hAnsi="Times New Roman"/>
          <w:lang w:val="es-ES_tradnl" w:eastAsia="en-US"/>
        </w:rPr>
        <w:t>ONG</w:t>
      </w:r>
      <w:r w:rsidRPr="00F75A2A">
        <w:rPr>
          <w:rFonts w:ascii="Times New Roman" w:hAnsi="Times New Roman"/>
          <w:lang w:val="es-ES_tradnl" w:eastAsia="en-US"/>
        </w:rPr>
        <w:t>), respaldó el Proyecto de Resolución, felicitó a Suecia por su incorporación como signatario de MOU para tiburones, e instó a otros Estados del área de distribución que aún deben firmar el MOU a que lo hagan lo antes posible.</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334. La representante de EEUU, señalando que su país es signatario de MOU para tiburones respalda el Proyecto de  Resolución, a la espera de la inclusión de varias enmiendas menores. Los Estados Unidos están preparados para trabajar con otros en este tema dentro del Grupo de Trabajo para cuestiones sobre  Animales Acuáticos.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335. La presidenta concluyó que se remitirán consideraciones adicionales al Grupo de Trabajo para cuestiones sobre Animales Acuáticos y que el Comité Plenario retomará este tema en otra sesión más adelante.</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b/>
          <w:lang w:val="es-ES_tradnl" w:eastAsia="en-US"/>
        </w:rPr>
      </w:pPr>
      <w:r w:rsidRPr="00F75A2A">
        <w:rPr>
          <w:rFonts w:ascii="Times New Roman" w:hAnsi="Times New Roman"/>
          <w:b/>
          <w:lang w:val="es-ES_tradnl" w:eastAsia="en-US"/>
        </w:rPr>
        <w:t>Redacción de un Plan de Acción de Especie Única para la tortuga Boba</w:t>
      </w:r>
      <w:r w:rsidR="00F75A2A" w:rsidRPr="00F75A2A">
        <w:rPr>
          <w:rFonts w:ascii="Times New Roman" w:hAnsi="Times New Roman"/>
          <w:b/>
          <w:lang w:val="es-ES_tradnl" w:eastAsia="en-US"/>
        </w:rPr>
        <w:t xml:space="preserve"> en el océano Pacífico sur (punto</w:t>
      </w:r>
      <w:r w:rsidRPr="00F75A2A">
        <w:rPr>
          <w:rFonts w:ascii="Times New Roman" w:hAnsi="Times New Roman"/>
          <w:b/>
          <w:lang w:val="es-ES_tradnl" w:eastAsia="en-US"/>
        </w:rPr>
        <w:t xml:space="preserve"> 23.2.2)</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 xml:space="preserve">336. El representante de Australia informó de que, </w:t>
      </w:r>
      <w:r w:rsidRPr="00F75A2A">
        <w:rPr>
          <w:rFonts w:ascii="Times New Roman" w:eastAsia="Times New Roman" w:hAnsi="Times New Roman"/>
          <w:lang w:val="es-ES_tradnl" w:eastAsia="en-US"/>
        </w:rPr>
        <w:t>dada la urgencia señalada sobre este asunto en la reunión estratégica del Consejo Científico en octubre de 2013, Australia trabajó a fondo con el Consejero designado para las tortugas marinas, el Dr. Colin Limpus, para organizar una reunión técnica para la elaboración de un Plan de Acción de Especie Única (SSAP por sus siglas en inglés) para la tortuga Boba en el océano Pacífico sur.</w:t>
      </w:r>
      <w:r w:rsidRPr="00F75A2A">
        <w:rPr>
          <w:rFonts w:ascii="Times New Roman" w:hAnsi="Times New Roman"/>
          <w:lang w:val="es-ES_tradnl" w:eastAsia="en-US"/>
        </w:rPr>
        <w:t xml:space="preserve"> </w:t>
      </w:r>
      <w:r w:rsidRPr="00F75A2A">
        <w:rPr>
          <w:rFonts w:ascii="Times New Roman" w:eastAsia="Times New Roman" w:hAnsi="Times New Roman"/>
          <w:lang w:val="es-ES_tradnl" w:eastAsia="en-US"/>
        </w:rPr>
        <w:t xml:space="preserve">La reunión técnica se celebró en </w:t>
      </w:r>
      <w:r w:rsidR="00F75A2A" w:rsidRPr="00F75A2A">
        <w:rPr>
          <w:rFonts w:ascii="Times New Roman" w:eastAsia="Times New Roman" w:hAnsi="Times New Roman"/>
          <w:lang w:val="es-ES_tradnl" w:eastAsia="en-US"/>
        </w:rPr>
        <w:t>Brisbane</w:t>
      </w:r>
      <w:r w:rsidRPr="00F75A2A">
        <w:rPr>
          <w:rFonts w:ascii="Times New Roman" w:eastAsia="Times New Roman" w:hAnsi="Times New Roman"/>
          <w:lang w:val="es-ES_tradnl" w:eastAsia="en-US"/>
        </w:rPr>
        <w:t>, Australia, en marzo de 2014 y acudieron a ella expertos de todos los países de relevancia, para crear un proyecto de SSAP que abordara todas las amenazas existentes para dicha población. El proyecto fue considerado durante la 18ª Reunión del Consejo Científico y fue aprobado por unanimidad. Éste se envió a la COP11 para que fuera considerado por las Partes.</w:t>
      </w:r>
      <w:r w:rsidRPr="00F75A2A">
        <w:rPr>
          <w:rFonts w:ascii="Times New Roman" w:hAnsi="Times New Roman"/>
          <w:lang w:val="es-ES_tradnl" w:eastAsia="en-US"/>
        </w:rPr>
        <w:t xml:space="preserve"> </w:t>
      </w:r>
      <w:r w:rsidRPr="00F75A2A">
        <w:rPr>
          <w:rFonts w:ascii="Times New Roman" w:eastAsia="Times New Roman" w:hAnsi="Times New Roman"/>
          <w:lang w:val="es-ES_tradnl" w:eastAsia="en-US"/>
        </w:rPr>
        <w:t>El Grupo de Trabajo para cuestiones sobre Animales Acuáticos había revisado el proyecto de SSAP y el proyecto de Resolución asociado el 5 de noviembre y mostró su acuerdo a que fuera presentado ante el Comité Plenario, a la espera de que se resuelvan los comentarios de EEUU. Australia, EEUU y el Consejero designado por la COP han llegado a un consenso para que las enmiendas sean incluidas. La revisión del Proyecto de Resolución será considerada más a fondo por el Grupo de Trabajo.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 xml:space="preserve">337. El Dr. Colin Limpus realizó una presentación sobre </w:t>
      </w:r>
      <w:r w:rsidR="00DF2785" w:rsidRPr="00F75A2A">
        <w:rPr>
          <w:rFonts w:ascii="Times New Roman" w:hAnsi="Times New Roman"/>
          <w:lang w:val="es-ES_tradnl" w:eastAsia="en-US"/>
        </w:rPr>
        <w:t>PNUMA</w:t>
      </w:r>
      <w:r w:rsidRPr="00F75A2A">
        <w:rPr>
          <w:rFonts w:ascii="Times New Roman" w:hAnsi="Times New Roman"/>
          <w:lang w:val="es-ES_tradnl" w:eastAsia="en-US"/>
        </w:rPr>
        <w:t xml:space="preserve">/CMS/COP11/Doc.23.2.2 </w:t>
      </w:r>
      <w:r w:rsidRPr="00F75A2A">
        <w:rPr>
          <w:rFonts w:ascii="Times New Roman" w:hAnsi="Times New Roman"/>
          <w:i/>
          <w:lang w:val="es-ES_tradnl" w:eastAsia="en-US"/>
        </w:rPr>
        <w:t>Plan de Acción de Especie Única para la tortuga Boba en el océano Pacífico sur</w:t>
      </w:r>
      <w:r w:rsidRPr="00F75A2A">
        <w:rPr>
          <w:rFonts w:ascii="Times New Roman" w:hAnsi="Times New Roman"/>
          <w:b/>
          <w:lang w:val="es-ES_tradnl" w:eastAsia="en-US"/>
        </w:rPr>
        <w:t xml:space="preserve">, </w:t>
      </w:r>
      <w:r w:rsidRPr="00F75A2A">
        <w:rPr>
          <w:rFonts w:ascii="Times New Roman" w:hAnsi="Times New Roman"/>
          <w:lang w:val="es-ES_tradnl" w:eastAsia="en-US"/>
        </w:rPr>
        <w:t>que incluía el Proyecto de Resolución contenido en el Anexo I del documento.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338. La representante de Ecuador, con el apoyo de la UE y sus Estados miembros, y Chile, respaldó la adopción del Plan de Acción de Especie Única. Subrayó la importancia de establecer las sinergias mencionadas en la presentación e hizo referencia al plan nacional de acción de Ecuador para tortugas marinas.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 xml:space="preserve">339. El representante de Perú respaldó la adopción del SSAP y se ofreció a enviar textos adicionales que incluyan los nuevos datos disponibles de su país. Perú apoyó la opinión de Ecuador en cuanto a la importancia de las sinergias, especialmente con la Convención Interamericana para la Protección de las Tortugas Marinas. </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 xml:space="preserve">340. La representante de EEUU respaldó la adopción del plan y solicitó a la Secretaría y a las Partes que se trabaje en la implementación y la sensibilización. </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341. El representante de Argentina también respaldó el Plan y mencionó una oportunidad de cooperación con la Convención Interamericana para la Protección de las tortugas Marinas en la próxima COP, que se celebrará en Méjico en 2015.</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342. El representante de Fiyi reconoció la importancia de cooperar con el Plan de Acción Regional para la Tortuga de SPREP, y apeló al apoyo verbal para el SSAP durante la próxima reunión de la Comisión de Pesca del Pacífico Occidental y Central (WCPFC) en Samoa.</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343. La presidenta invitó al representante de Australia a recopilar cualquier enmienda adicional y a llevar el proyecto final del SSAP y el Proyecto de Resolución directamente al Plenario para su adopción.</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75A2A" w:rsidRPr="00F75A2A" w:rsidRDefault="00F75A2A" w:rsidP="00F672A1">
      <w:pPr>
        <w:suppressAutoHyphens/>
        <w:autoSpaceDN w:val="0"/>
        <w:jc w:val="both"/>
        <w:textAlignment w:val="baseline"/>
        <w:rPr>
          <w:rFonts w:ascii="Times New Roman" w:hAnsi="Times New Roman"/>
          <w:b/>
          <w:lang w:val="es-ES_tradnl" w:eastAsia="en-US"/>
        </w:rPr>
      </w:pPr>
    </w:p>
    <w:p w:rsidR="00F75A2A" w:rsidRPr="00F75A2A" w:rsidRDefault="00F75A2A" w:rsidP="00F672A1">
      <w:pPr>
        <w:suppressAutoHyphens/>
        <w:autoSpaceDN w:val="0"/>
        <w:jc w:val="both"/>
        <w:textAlignment w:val="baseline"/>
        <w:rPr>
          <w:rFonts w:ascii="Times New Roman" w:hAnsi="Times New Roman"/>
          <w:b/>
          <w:lang w:val="es-ES_tradnl" w:eastAsia="en-US"/>
        </w:rPr>
      </w:pPr>
    </w:p>
    <w:p w:rsidR="00F75A2A" w:rsidRPr="00F75A2A" w:rsidRDefault="00F75A2A" w:rsidP="00F672A1">
      <w:pPr>
        <w:suppressAutoHyphens/>
        <w:autoSpaceDN w:val="0"/>
        <w:jc w:val="both"/>
        <w:textAlignment w:val="baseline"/>
        <w:rPr>
          <w:rFonts w:ascii="Times New Roman" w:hAnsi="Times New Roman"/>
          <w:b/>
          <w:lang w:val="es-ES_tradnl" w:eastAsia="en-US"/>
        </w:rPr>
      </w:pPr>
    </w:p>
    <w:p w:rsidR="00F672A1" w:rsidRPr="00F75A2A" w:rsidRDefault="00F672A1" w:rsidP="00F672A1">
      <w:pPr>
        <w:suppressAutoHyphens/>
        <w:autoSpaceDN w:val="0"/>
        <w:jc w:val="both"/>
        <w:textAlignment w:val="baseline"/>
        <w:rPr>
          <w:rFonts w:ascii="Times New Roman" w:hAnsi="Times New Roman"/>
          <w:b/>
          <w:lang w:val="es-ES_tradnl" w:eastAsia="en-US"/>
        </w:rPr>
      </w:pPr>
      <w:r w:rsidRPr="00F75A2A">
        <w:rPr>
          <w:rFonts w:ascii="Times New Roman" w:hAnsi="Times New Roman"/>
          <w:b/>
          <w:lang w:val="es-ES_tradnl" w:eastAsia="en-US"/>
        </w:rPr>
        <w:lastRenderedPageBreak/>
        <w:t>Captura de cetáceos</w:t>
      </w:r>
      <w:r w:rsidR="00F75A2A" w:rsidRPr="00F75A2A">
        <w:rPr>
          <w:rFonts w:ascii="Times New Roman" w:hAnsi="Times New Roman"/>
          <w:b/>
          <w:lang w:val="es-ES_tradnl" w:eastAsia="en-US"/>
        </w:rPr>
        <w:t xml:space="preserve"> vivos en su medio natural (punto</w:t>
      </w:r>
      <w:r w:rsidRPr="00F75A2A">
        <w:rPr>
          <w:rFonts w:ascii="Times New Roman" w:hAnsi="Times New Roman"/>
          <w:b/>
          <w:lang w:val="es-ES_tradnl" w:eastAsia="en-US"/>
        </w:rPr>
        <w:t xml:space="preserve"> 23.2.3)</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75A2A"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344. La señora</w:t>
      </w:r>
      <w:r w:rsidR="00F672A1" w:rsidRPr="00F75A2A">
        <w:rPr>
          <w:rFonts w:ascii="Times New Roman" w:hAnsi="Times New Roman"/>
          <w:lang w:val="es-ES_tradnl" w:eastAsia="en-US"/>
        </w:rPr>
        <w:t xml:space="preserve">. Heidrun Frisch (Secretaría) presentó el Documento </w:t>
      </w:r>
      <w:r w:rsidR="00DF2785" w:rsidRPr="00F75A2A">
        <w:rPr>
          <w:rFonts w:ascii="Times New Roman" w:hAnsi="Times New Roman"/>
          <w:lang w:val="es-ES_tradnl" w:eastAsia="en-US"/>
        </w:rPr>
        <w:t>PNUMA</w:t>
      </w:r>
      <w:r w:rsidR="00F672A1" w:rsidRPr="00F75A2A">
        <w:rPr>
          <w:rFonts w:ascii="Times New Roman" w:hAnsi="Times New Roman"/>
          <w:lang w:val="es-ES_tradnl" w:eastAsia="en-US"/>
        </w:rPr>
        <w:t xml:space="preserve">/CMS/COP11/Doc.23.2.3./Rev. 1, </w:t>
      </w:r>
      <w:r w:rsidR="00F672A1" w:rsidRPr="00F75A2A">
        <w:rPr>
          <w:rFonts w:ascii="Times New Roman" w:hAnsi="Times New Roman"/>
          <w:i/>
          <w:lang w:val="es-ES_tradnl" w:eastAsia="en-US"/>
        </w:rPr>
        <w:t>Captura de Cetáceos vivos en su medio natural para fines comerciales,</w:t>
      </w:r>
      <w:r w:rsidR="00F672A1" w:rsidRPr="00F75A2A">
        <w:rPr>
          <w:rFonts w:ascii="Times New Roman" w:hAnsi="Times New Roman"/>
          <w:lang w:val="es-ES_tradnl" w:eastAsia="en-US"/>
        </w:rPr>
        <w:t xml:space="preserve"> incluyendo el Proyecto de Resolución del Anexo II del documento preparado con el apoyo de la contribución voluntaria de Mónaco. El Anexo I es el resultado de las deliberaciones del Consejo Científico del Grupo de Trabajo sobre Mamíferos Acuáticos, que había revisado y enmendado el Proyecto de Resolución.</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 xml:space="preserve">345. La presidenta aconsejó que este tema sea debatido más a fondo en el Grupo de Trabajo para cuestiones sobre Animales Acuáticos, pero abrió el turno de palabra para comentarios preliminares. </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346. El representante de Mónaco dijo que la captura de cetáceos vivos tiene consecuencias para sus poblaciones, y en particular, en las estructuras de sus grupos sociales. El Proyecto de Resolución reforzó la situación de cetáceos pequeños gracias a las estrictas medidas de protección y haciendo hincapié en la importancia de la cooperación regional e internacional.</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 xml:space="preserve">347. El representante de Chile, en nombre de la región de América Latina y el Caribe, observó que el documento creado con el grupo de Buenos Aires en virtud de la Comisión Internacional sobre Ballenas está respetando la moratoria sobre la caza comercial de cetáceos. La región se comprometió a hacer uso de los cetáceos </w:t>
      </w:r>
      <w:r w:rsidR="00F75A2A">
        <w:rPr>
          <w:rFonts w:ascii="Times New Roman" w:hAnsi="Times New Roman"/>
          <w:lang w:val="es-ES_tradnl" w:eastAsia="en-US"/>
        </w:rPr>
        <w:t>de forma no letal en la observación</w:t>
      </w:r>
      <w:r w:rsidRPr="00F75A2A">
        <w:rPr>
          <w:rFonts w:ascii="Times New Roman" w:hAnsi="Times New Roman"/>
          <w:lang w:val="es-ES_tradnl" w:eastAsia="en-US"/>
        </w:rPr>
        <w:t xml:space="preserve"> de ballenas.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348. El observador de la Secretaría de ACCOBAMS declaró que el documento está de acuerdo con los objetivos de ACCOBAMS, especialmente el Artículo 2 del Acuerdo.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349. El observador de la Secretaría de CITES  recordó que la captura de cetáceos vivos estaba incluida en el ámbito de CITES. Introdujo enmiendas a dos de los párrafos operativos del Proyecto de Resolución, para asegurarse de que no diera lugar a un conflicto de intereses.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350. El observador de la Whale and Dolphin Conservation Society expresó su apoyo al documento.</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351. El representante de la UE y sus Estados miembros, con el apoyo de Egipto, llamó la atención sobre las implicaciones de la captura de cetáceos vivos para el bienestar de los animales y respaldó el Proyecto de Resolución.</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352. La representante de Ecuador respaldó el Proyecto de Resolución e informó de que en 10 años el avistamiento de ballenas en Ecuador ha generado 60 millones de dólares y ha servido de gran medida a las comunidades locales. El uso no letal de cetáceos es considerablemente más eficaz que su captura.</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353. El observador de Humane Society International exigió una Resolución fuerte y poderosa para maximizar su efectividad.</w:t>
      </w:r>
    </w:p>
    <w:p w:rsidR="00F672A1" w:rsidRPr="00F75A2A" w:rsidRDefault="00F672A1" w:rsidP="00F672A1">
      <w:pPr>
        <w:suppressAutoHyphens/>
        <w:autoSpaceDN w:val="0"/>
        <w:jc w:val="both"/>
        <w:textAlignment w:val="baseline"/>
        <w:rPr>
          <w:rFonts w:ascii="Times New Roman" w:hAnsi="Times New Roman"/>
          <w:b/>
          <w:lang w:val="es-ES_tradnl" w:eastAsia="en-US"/>
        </w:rPr>
      </w:pPr>
    </w:p>
    <w:p w:rsidR="00F672A1" w:rsidRPr="00F75A2A" w:rsidRDefault="00F672A1" w:rsidP="00F672A1">
      <w:pPr>
        <w:suppressAutoHyphens/>
        <w:autoSpaceDN w:val="0"/>
        <w:jc w:val="both"/>
        <w:textAlignment w:val="baseline"/>
        <w:rPr>
          <w:rFonts w:ascii="Times New Roman" w:hAnsi="Times New Roman"/>
          <w:b/>
          <w:lang w:val="es-ES_tradnl" w:eastAsia="en-US"/>
        </w:rPr>
      </w:pPr>
      <w:r w:rsidRPr="00F75A2A">
        <w:rPr>
          <w:rFonts w:ascii="Times New Roman" w:hAnsi="Times New Roman"/>
          <w:b/>
          <w:lang w:val="es-ES_tradnl" w:eastAsia="en-US"/>
        </w:rPr>
        <w:t>Implicaciones de</w:t>
      </w:r>
      <w:r w:rsidR="00F75A2A" w:rsidRPr="00F75A2A">
        <w:rPr>
          <w:rFonts w:ascii="Times New Roman" w:hAnsi="Times New Roman"/>
          <w:b/>
          <w:lang w:val="es-ES_tradnl" w:eastAsia="en-US"/>
        </w:rPr>
        <w:t xml:space="preserve"> conservación que derivan de la cultura de los cetáceos (punto</w:t>
      </w:r>
      <w:r w:rsidRPr="00F75A2A">
        <w:rPr>
          <w:rFonts w:ascii="Times New Roman" w:hAnsi="Times New Roman"/>
          <w:b/>
          <w:lang w:val="es-ES_tradnl" w:eastAsia="en-US"/>
        </w:rPr>
        <w:t xml:space="preserve"> 23.2.4)</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 xml:space="preserve">354. </w:t>
      </w:r>
      <w:r w:rsidR="00F75A2A" w:rsidRPr="00F75A2A">
        <w:rPr>
          <w:rFonts w:ascii="Times New Roman" w:hAnsi="Times New Roman"/>
          <w:lang w:val="es-ES_tradnl" w:eastAsia="en-US"/>
        </w:rPr>
        <w:t>La señora</w:t>
      </w:r>
      <w:r w:rsidRPr="00F75A2A">
        <w:rPr>
          <w:rFonts w:ascii="Times New Roman" w:hAnsi="Times New Roman"/>
          <w:lang w:val="es-ES_tradnl" w:eastAsia="en-US"/>
        </w:rPr>
        <w:t xml:space="preserve"> Frisch (Secretaría) presentó el Documento </w:t>
      </w:r>
      <w:r w:rsidR="00DF2785" w:rsidRPr="00F75A2A">
        <w:rPr>
          <w:rFonts w:ascii="Times New Roman" w:hAnsi="Times New Roman"/>
          <w:lang w:val="es-ES_tradnl" w:eastAsia="en-US"/>
        </w:rPr>
        <w:t>PNUMA</w:t>
      </w:r>
      <w:r w:rsidRPr="00F75A2A">
        <w:rPr>
          <w:rFonts w:ascii="Times New Roman" w:hAnsi="Times New Roman"/>
          <w:lang w:val="es-ES_tradnl" w:eastAsia="en-US"/>
        </w:rPr>
        <w:t>/CMS/COP11/Doc.23.2.4,</w:t>
      </w:r>
      <w:r w:rsidRPr="00F75A2A">
        <w:rPr>
          <w:rFonts w:ascii="Times New Roman" w:hAnsi="Times New Roman"/>
          <w:b/>
          <w:lang w:val="es-ES_tradnl" w:eastAsia="en-US"/>
        </w:rPr>
        <w:t xml:space="preserve"> </w:t>
      </w:r>
      <w:r w:rsidR="00F75A2A" w:rsidRPr="00F75A2A">
        <w:rPr>
          <w:rFonts w:ascii="Times New Roman" w:hAnsi="Times New Roman"/>
          <w:i/>
          <w:lang w:val="es-ES_tradnl" w:eastAsia="en-US"/>
        </w:rPr>
        <w:t>Implicaciones de conservación que derivan de la cultura de los cetáceos</w:t>
      </w:r>
      <w:r w:rsidRPr="00F75A2A">
        <w:rPr>
          <w:rFonts w:ascii="Times New Roman" w:hAnsi="Times New Roman"/>
          <w:i/>
          <w:lang w:val="es-ES_tradnl" w:eastAsia="en-US"/>
        </w:rPr>
        <w:t>,</w:t>
      </w:r>
      <w:r w:rsidRPr="00F75A2A">
        <w:rPr>
          <w:rFonts w:ascii="Times New Roman" w:hAnsi="Times New Roman"/>
          <w:lang w:val="es-ES_tradnl" w:eastAsia="en-US"/>
        </w:rPr>
        <w:t xml:space="preserve"> incluyendo el Proyecto de Resolución del Anexo del documento. Este trabajo surgió de la Resolución 10.15. de la CMS. En un taller realizado en Londres en abril de 2014, se había definido "cultura" como “la información o comportamiento compartido por una comunidad y adquirida mediante aprendizaje social de otros congéneres”. La cultura puede modificar los resultados negativos o incrementar la viabilidad de la </w:t>
      </w:r>
      <w:r w:rsidRPr="00F75A2A">
        <w:rPr>
          <w:rFonts w:ascii="Times New Roman" w:hAnsi="Times New Roman"/>
          <w:lang w:val="es-ES_tradnl" w:eastAsia="en-US"/>
        </w:rPr>
        <w:lastRenderedPageBreak/>
        <w:t xml:space="preserve">población, y ayudar a definir las relaciones para definir las unidades de conservación. El Proyecto de Resolución destacó las implicaciones de la cultura de los cetáceos, solicitó al Consejo Científico que nombrara un Grupo de Trabajo intersesional, y proporcionó consejo a las Partes  sobre un enfoque preventivo. </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355. La presidenta aconsejó que este tema sea debatido más a fondo en el Grupo de Trabajo para cuestiones sobre Animales Acuáticos, pero abrió el turno de palabra para comentarios iniciales.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356. El representante de Mónaco subrayó que este Documento supone una nueva etapa en cuanto a los conceptos y la aplicación de la CMS.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357. El representante de Chile, en nombre del grupo regional de América Latina y el Caribe, respaldó el Proyecto de resolución.</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358. El representante de la UE y sus Estados miembros reconoció la naturaleza  precursora de este trabajo y, respaldó el Proyecto de Resolución, a la espera de inclusión  de algunas enmiendas. La UE expresó su deseo de contribuir a los futuros debates en el Grupo de Trabajo para cuestiones sobre Animales Acuáticos.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359. El representante de Nueva Zelanda consideró que muchos de los aspectos de la cultura cetácea son relevantes para otros vertebrados, posiblemente con la extensión a todos los grupos.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360. El observador de Whale and Dolphin Conservation Society apuntó que las unidades para fines de conservación suelen definirse normalmente de acuerdo con una base genética. La identificación de unidades culturales supone un nuevo reto, pero las medidas de conservación podrían mejorarse con el reconocimiento de unidades culturales.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rFonts w:ascii="Times New Roman" w:hAnsi="Times New Roman"/>
          <w:lang w:val="es-ES_tradnl" w:eastAsia="en-US"/>
        </w:rPr>
      </w:pPr>
      <w:r w:rsidRPr="00F75A2A">
        <w:rPr>
          <w:rFonts w:ascii="Times New Roman" w:hAnsi="Times New Roman"/>
          <w:lang w:val="es-ES_tradnl" w:eastAsia="en-US"/>
        </w:rPr>
        <w:t>361. El observador de Humane Society International consideró que tiene sentido a nivel de solidez científica incluir la biología social en los esfuerzos de conservación de los cetáceos. Ha recibido cartas de apoyo de los Profesores Rendell y Whitehead, que se encontraban disponibles en el apartado de ‘declaraciones’ en la página web de la CMS.</w:t>
      </w:r>
    </w:p>
    <w:p w:rsidR="00F672A1" w:rsidRPr="00F75A2A" w:rsidRDefault="00F672A1" w:rsidP="00F672A1">
      <w:pPr>
        <w:suppressAutoHyphens/>
        <w:autoSpaceDN w:val="0"/>
        <w:jc w:val="both"/>
        <w:textAlignment w:val="baseline"/>
        <w:rPr>
          <w:rFonts w:ascii="Times New Roman" w:hAnsi="Times New Roman"/>
          <w:lang w:val="es-ES_tradnl" w:eastAsia="en-US"/>
        </w:rPr>
      </w:pPr>
    </w:p>
    <w:p w:rsidR="00F672A1" w:rsidRPr="00F75A2A" w:rsidRDefault="00F672A1" w:rsidP="00F672A1">
      <w:pPr>
        <w:suppressAutoHyphens/>
        <w:autoSpaceDN w:val="0"/>
        <w:jc w:val="both"/>
        <w:textAlignment w:val="baseline"/>
        <w:rPr>
          <w:lang w:val="es-ES_tradnl" w:eastAsia="en-US"/>
        </w:rPr>
      </w:pPr>
      <w:r w:rsidRPr="00F75A2A">
        <w:rPr>
          <w:rFonts w:ascii="Times New Roman" w:hAnsi="Times New Roman"/>
          <w:lang w:val="es-ES_tradnl" w:eastAsia="en-US"/>
        </w:rPr>
        <w:t xml:space="preserve">362. La presidenta cerró la sesión a las 18.30 horas, tras lo cual el representante de Dinamarca proyectó un video </w:t>
      </w:r>
      <w:r w:rsidR="00F75A2A" w:rsidRPr="00F75A2A">
        <w:rPr>
          <w:rFonts w:ascii="Times New Roman" w:hAnsi="Times New Roman"/>
          <w:lang w:val="es-ES_tradnl" w:eastAsia="en-US"/>
        </w:rPr>
        <w:t>corto sobre el Grupo de Trabajo sobre</w:t>
      </w:r>
      <w:r w:rsidRPr="00F75A2A">
        <w:rPr>
          <w:rFonts w:ascii="Times New Roman" w:hAnsi="Times New Roman"/>
          <w:lang w:val="es-ES_tradnl" w:eastAsia="en-US"/>
        </w:rPr>
        <w:t xml:space="preserve"> la Prevención de envenenamiento  que demostraba los daños del uso de munición de plomo tóxico para la caza y la pesca y la eficacia de la munición de acero.</w:t>
      </w:r>
    </w:p>
    <w:p w:rsidR="00100FB6" w:rsidRPr="00F75A2A" w:rsidRDefault="00100FB6">
      <w:pPr>
        <w:rPr>
          <w:lang w:val="es-ES_tradnl"/>
        </w:rPr>
      </w:pPr>
    </w:p>
    <w:sectPr w:rsidR="00100FB6" w:rsidRPr="00F75A2A" w:rsidSect="00B51983">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426FF"/>
    <w:multiLevelType w:val="multilevel"/>
    <w:tmpl w:val="8ED64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78BA47F3"/>
    <w:multiLevelType w:val="multilevel"/>
    <w:tmpl w:val="EA08BB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72"/>
    <w:rsid w:val="000013BF"/>
    <w:rsid w:val="0000168B"/>
    <w:rsid w:val="0000206F"/>
    <w:rsid w:val="0000355F"/>
    <w:rsid w:val="00004490"/>
    <w:rsid w:val="00005861"/>
    <w:rsid w:val="000065ED"/>
    <w:rsid w:val="00006978"/>
    <w:rsid w:val="00007B38"/>
    <w:rsid w:val="00010D65"/>
    <w:rsid w:val="00011FA0"/>
    <w:rsid w:val="000221F1"/>
    <w:rsid w:val="00025263"/>
    <w:rsid w:val="000268F6"/>
    <w:rsid w:val="00031A83"/>
    <w:rsid w:val="000326FF"/>
    <w:rsid w:val="0003273D"/>
    <w:rsid w:val="00033296"/>
    <w:rsid w:val="00033CD7"/>
    <w:rsid w:val="0003567C"/>
    <w:rsid w:val="00035F55"/>
    <w:rsid w:val="000371F0"/>
    <w:rsid w:val="00040257"/>
    <w:rsid w:val="00040AEF"/>
    <w:rsid w:val="00040D7D"/>
    <w:rsid w:val="00042EF8"/>
    <w:rsid w:val="00043D0D"/>
    <w:rsid w:val="0004507C"/>
    <w:rsid w:val="00046BEB"/>
    <w:rsid w:val="00046D53"/>
    <w:rsid w:val="000503C0"/>
    <w:rsid w:val="0005085F"/>
    <w:rsid w:val="00050C9B"/>
    <w:rsid w:val="00052CDE"/>
    <w:rsid w:val="00053710"/>
    <w:rsid w:val="000546F8"/>
    <w:rsid w:val="000548B8"/>
    <w:rsid w:val="00054DF8"/>
    <w:rsid w:val="00060FE7"/>
    <w:rsid w:val="00064A4D"/>
    <w:rsid w:val="0006502B"/>
    <w:rsid w:val="00065041"/>
    <w:rsid w:val="00071DD7"/>
    <w:rsid w:val="0007325E"/>
    <w:rsid w:val="00073272"/>
    <w:rsid w:val="00073749"/>
    <w:rsid w:val="000756D7"/>
    <w:rsid w:val="0007581E"/>
    <w:rsid w:val="0008100D"/>
    <w:rsid w:val="00081E68"/>
    <w:rsid w:val="000862B7"/>
    <w:rsid w:val="00097045"/>
    <w:rsid w:val="000A26F6"/>
    <w:rsid w:val="000A3271"/>
    <w:rsid w:val="000A3F87"/>
    <w:rsid w:val="000A50BF"/>
    <w:rsid w:val="000A5747"/>
    <w:rsid w:val="000B2003"/>
    <w:rsid w:val="000B5924"/>
    <w:rsid w:val="000B5CA8"/>
    <w:rsid w:val="000C024E"/>
    <w:rsid w:val="000C0B19"/>
    <w:rsid w:val="000C0D45"/>
    <w:rsid w:val="000C3BC9"/>
    <w:rsid w:val="000C468A"/>
    <w:rsid w:val="000D029B"/>
    <w:rsid w:val="000D04EC"/>
    <w:rsid w:val="000D1DA6"/>
    <w:rsid w:val="000D6705"/>
    <w:rsid w:val="000D6CDD"/>
    <w:rsid w:val="000D707F"/>
    <w:rsid w:val="000E22FB"/>
    <w:rsid w:val="000E5105"/>
    <w:rsid w:val="000E6FD3"/>
    <w:rsid w:val="000E7AA9"/>
    <w:rsid w:val="000F36E3"/>
    <w:rsid w:val="000F374C"/>
    <w:rsid w:val="000F5E76"/>
    <w:rsid w:val="000F60A6"/>
    <w:rsid w:val="000F6C2B"/>
    <w:rsid w:val="0010090F"/>
    <w:rsid w:val="00100FB6"/>
    <w:rsid w:val="00101EB4"/>
    <w:rsid w:val="0010277E"/>
    <w:rsid w:val="00102D71"/>
    <w:rsid w:val="00103F35"/>
    <w:rsid w:val="00107638"/>
    <w:rsid w:val="0011061D"/>
    <w:rsid w:val="00111C24"/>
    <w:rsid w:val="00111E04"/>
    <w:rsid w:val="00111F6D"/>
    <w:rsid w:val="00111FAD"/>
    <w:rsid w:val="0011421C"/>
    <w:rsid w:val="001153B5"/>
    <w:rsid w:val="00120F55"/>
    <w:rsid w:val="00121E88"/>
    <w:rsid w:val="0012397D"/>
    <w:rsid w:val="0012466C"/>
    <w:rsid w:val="00126BD8"/>
    <w:rsid w:val="00131825"/>
    <w:rsid w:val="001372B5"/>
    <w:rsid w:val="00140CB8"/>
    <w:rsid w:val="0014315C"/>
    <w:rsid w:val="00143C1B"/>
    <w:rsid w:val="00143D00"/>
    <w:rsid w:val="00145FE8"/>
    <w:rsid w:val="0014662C"/>
    <w:rsid w:val="0014675C"/>
    <w:rsid w:val="00146BB3"/>
    <w:rsid w:val="00147189"/>
    <w:rsid w:val="00150069"/>
    <w:rsid w:val="0015071D"/>
    <w:rsid w:val="00150888"/>
    <w:rsid w:val="00150A73"/>
    <w:rsid w:val="00150C6D"/>
    <w:rsid w:val="001536F3"/>
    <w:rsid w:val="00154C3A"/>
    <w:rsid w:val="00155CB1"/>
    <w:rsid w:val="00156542"/>
    <w:rsid w:val="0015727F"/>
    <w:rsid w:val="0016026F"/>
    <w:rsid w:val="00163FCC"/>
    <w:rsid w:val="001668BB"/>
    <w:rsid w:val="001702CF"/>
    <w:rsid w:val="00173506"/>
    <w:rsid w:val="001753EF"/>
    <w:rsid w:val="00176D94"/>
    <w:rsid w:val="00177719"/>
    <w:rsid w:val="001812EB"/>
    <w:rsid w:val="00182742"/>
    <w:rsid w:val="0018282C"/>
    <w:rsid w:val="00185DCE"/>
    <w:rsid w:val="0018668E"/>
    <w:rsid w:val="00187B4F"/>
    <w:rsid w:val="00190138"/>
    <w:rsid w:val="00194E3D"/>
    <w:rsid w:val="0019587D"/>
    <w:rsid w:val="0019730C"/>
    <w:rsid w:val="00197E60"/>
    <w:rsid w:val="001A0B98"/>
    <w:rsid w:val="001A2814"/>
    <w:rsid w:val="001A2920"/>
    <w:rsid w:val="001A3654"/>
    <w:rsid w:val="001A764D"/>
    <w:rsid w:val="001B16D6"/>
    <w:rsid w:val="001B1C00"/>
    <w:rsid w:val="001B37E5"/>
    <w:rsid w:val="001B3A37"/>
    <w:rsid w:val="001B3BA6"/>
    <w:rsid w:val="001B4012"/>
    <w:rsid w:val="001C095A"/>
    <w:rsid w:val="001C2678"/>
    <w:rsid w:val="001C282D"/>
    <w:rsid w:val="001C2C83"/>
    <w:rsid w:val="001C4A82"/>
    <w:rsid w:val="001C6B89"/>
    <w:rsid w:val="001C7569"/>
    <w:rsid w:val="001D5ECC"/>
    <w:rsid w:val="001D7AF5"/>
    <w:rsid w:val="001E180F"/>
    <w:rsid w:val="001E285E"/>
    <w:rsid w:val="001E58A3"/>
    <w:rsid w:val="001E6321"/>
    <w:rsid w:val="001E7472"/>
    <w:rsid w:val="001E7783"/>
    <w:rsid w:val="001F10F3"/>
    <w:rsid w:val="001F2EDC"/>
    <w:rsid w:val="001F5B9F"/>
    <w:rsid w:val="001F669D"/>
    <w:rsid w:val="002017FA"/>
    <w:rsid w:val="00202C23"/>
    <w:rsid w:val="00202C44"/>
    <w:rsid w:val="00203253"/>
    <w:rsid w:val="00204A28"/>
    <w:rsid w:val="00205A0E"/>
    <w:rsid w:val="002074BD"/>
    <w:rsid w:val="002077A0"/>
    <w:rsid w:val="00207FE1"/>
    <w:rsid w:val="00210B3B"/>
    <w:rsid w:val="00210B8B"/>
    <w:rsid w:val="002112E4"/>
    <w:rsid w:val="0021201A"/>
    <w:rsid w:val="00212903"/>
    <w:rsid w:val="002148EF"/>
    <w:rsid w:val="00220A2B"/>
    <w:rsid w:val="0022124A"/>
    <w:rsid w:val="00222A7C"/>
    <w:rsid w:val="00222ADD"/>
    <w:rsid w:val="00222F50"/>
    <w:rsid w:val="00223E98"/>
    <w:rsid w:val="00225125"/>
    <w:rsid w:val="00225B1A"/>
    <w:rsid w:val="00226C57"/>
    <w:rsid w:val="00231034"/>
    <w:rsid w:val="00233601"/>
    <w:rsid w:val="00233DFD"/>
    <w:rsid w:val="0024048B"/>
    <w:rsid w:val="00241721"/>
    <w:rsid w:val="0024434C"/>
    <w:rsid w:val="00244C74"/>
    <w:rsid w:val="00245FE3"/>
    <w:rsid w:val="00247798"/>
    <w:rsid w:val="00250B89"/>
    <w:rsid w:val="00252231"/>
    <w:rsid w:val="00253551"/>
    <w:rsid w:val="00255BC6"/>
    <w:rsid w:val="00255DE7"/>
    <w:rsid w:val="00260A9B"/>
    <w:rsid w:val="0026519D"/>
    <w:rsid w:val="002663EE"/>
    <w:rsid w:val="002677AD"/>
    <w:rsid w:val="00270A7D"/>
    <w:rsid w:val="00280C9A"/>
    <w:rsid w:val="00282CED"/>
    <w:rsid w:val="002856BE"/>
    <w:rsid w:val="002873EF"/>
    <w:rsid w:val="00290190"/>
    <w:rsid w:val="00290F36"/>
    <w:rsid w:val="0029160F"/>
    <w:rsid w:val="00292888"/>
    <w:rsid w:val="002929D7"/>
    <w:rsid w:val="002947D4"/>
    <w:rsid w:val="002950C4"/>
    <w:rsid w:val="002A232A"/>
    <w:rsid w:val="002A3CAF"/>
    <w:rsid w:val="002A53C6"/>
    <w:rsid w:val="002A5A2B"/>
    <w:rsid w:val="002A6A86"/>
    <w:rsid w:val="002B10AC"/>
    <w:rsid w:val="002B4C0C"/>
    <w:rsid w:val="002B520A"/>
    <w:rsid w:val="002B694D"/>
    <w:rsid w:val="002C2BFC"/>
    <w:rsid w:val="002C50AE"/>
    <w:rsid w:val="002C5ED9"/>
    <w:rsid w:val="002C64DA"/>
    <w:rsid w:val="002C65E3"/>
    <w:rsid w:val="002D0531"/>
    <w:rsid w:val="002D068E"/>
    <w:rsid w:val="002D2978"/>
    <w:rsid w:val="002D52C7"/>
    <w:rsid w:val="002D7564"/>
    <w:rsid w:val="002E0458"/>
    <w:rsid w:val="002E357C"/>
    <w:rsid w:val="002F165F"/>
    <w:rsid w:val="002F424B"/>
    <w:rsid w:val="002F47BC"/>
    <w:rsid w:val="002F50CB"/>
    <w:rsid w:val="002F6821"/>
    <w:rsid w:val="002F76A9"/>
    <w:rsid w:val="003004CD"/>
    <w:rsid w:val="00301D76"/>
    <w:rsid w:val="00303430"/>
    <w:rsid w:val="00306707"/>
    <w:rsid w:val="003074EE"/>
    <w:rsid w:val="003078CD"/>
    <w:rsid w:val="00307C01"/>
    <w:rsid w:val="00311E21"/>
    <w:rsid w:val="00312BAF"/>
    <w:rsid w:val="003153B4"/>
    <w:rsid w:val="00315BA1"/>
    <w:rsid w:val="00321454"/>
    <w:rsid w:val="00323919"/>
    <w:rsid w:val="003243C3"/>
    <w:rsid w:val="00326660"/>
    <w:rsid w:val="00327123"/>
    <w:rsid w:val="003312BB"/>
    <w:rsid w:val="003338E9"/>
    <w:rsid w:val="00334223"/>
    <w:rsid w:val="003349CE"/>
    <w:rsid w:val="00334A53"/>
    <w:rsid w:val="003354D8"/>
    <w:rsid w:val="00337DAE"/>
    <w:rsid w:val="00341291"/>
    <w:rsid w:val="00342E48"/>
    <w:rsid w:val="00351466"/>
    <w:rsid w:val="003522E1"/>
    <w:rsid w:val="00352C77"/>
    <w:rsid w:val="00353186"/>
    <w:rsid w:val="00353CB2"/>
    <w:rsid w:val="00354003"/>
    <w:rsid w:val="00354185"/>
    <w:rsid w:val="00354ED9"/>
    <w:rsid w:val="003574EB"/>
    <w:rsid w:val="00361E5E"/>
    <w:rsid w:val="00364A68"/>
    <w:rsid w:val="00365CA9"/>
    <w:rsid w:val="00371314"/>
    <w:rsid w:val="00371520"/>
    <w:rsid w:val="00374CD2"/>
    <w:rsid w:val="00375679"/>
    <w:rsid w:val="003776EC"/>
    <w:rsid w:val="00377FB5"/>
    <w:rsid w:val="0038175D"/>
    <w:rsid w:val="00382367"/>
    <w:rsid w:val="00383060"/>
    <w:rsid w:val="00383D02"/>
    <w:rsid w:val="0038428A"/>
    <w:rsid w:val="00385CD4"/>
    <w:rsid w:val="00386C23"/>
    <w:rsid w:val="003870D1"/>
    <w:rsid w:val="00390FCC"/>
    <w:rsid w:val="00391575"/>
    <w:rsid w:val="00392045"/>
    <w:rsid w:val="003923BB"/>
    <w:rsid w:val="00392EEF"/>
    <w:rsid w:val="00393ED9"/>
    <w:rsid w:val="0039417D"/>
    <w:rsid w:val="00396A95"/>
    <w:rsid w:val="00396D28"/>
    <w:rsid w:val="003A0E20"/>
    <w:rsid w:val="003A1FF0"/>
    <w:rsid w:val="003A2A02"/>
    <w:rsid w:val="003A4958"/>
    <w:rsid w:val="003A58B0"/>
    <w:rsid w:val="003A60D6"/>
    <w:rsid w:val="003B06DA"/>
    <w:rsid w:val="003B5A53"/>
    <w:rsid w:val="003B5E8D"/>
    <w:rsid w:val="003B734C"/>
    <w:rsid w:val="003C3D5B"/>
    <w:rsid w:val="003C7772"/>
    <w:rsid w:val="003C7927"/>
    <w:rsid w:val="003D46BE"/>
    <w:rsid w:val="003D5A96"/>
    <w:rsid w:val="003D71B2"/>
    <w:rsid w:val="003E5409"/>
    <w:rsid w:val="003E6A53"/>
    <w:rsid w:val="003E7579"/>
    <w:rsid w:val="003F016A"/>
    <w:rsid w:val="003F056D"/>
    <w:rsid w:val="003F2E06"/>
    <w:rsid w:val="003F3C26"/>
    <w:rsid w:val="003F3C72"/>
    <w:rsid w:val="004016CE"/>
    <w:rsid w:val="00402AB7"/>
    <w:rsid w:val="00405E12"/>
    <w:rsid w:val="00407B1D"/>
    <w:rsid w:val="004114CE"/>
    <w:rsid w:val="004121EB"/>
    <w:rsid w:val="00414DA0"/>
    <w:rsid w:val="00416D09"/>
    <w:rsid w:val="00421078"/>
    <w:rsid w:val="00423F8B"/>
    <w:rsid w:val="00424E19"/>
    <w:rsid w:val="004253E6"/>
    <w:rsid w:val="00436956"/>
    <w:rsid w:val="0044232B"/>
    <w:rsid w:val="00444199"/>
    <w:rsid w:val="00444DB1"/>
    <w:rsid w:val="0044642A"/>
    <w:rsid w:val="00446EB4"/>
    <w:rsid w:val="0044774E"/>
    <w:rsid w:val="004518C7"/>
    <w:rsid w:val="00452C11"/>
    <w:rsid w:val="00452E90"/>
    <w:rsid w:val="00453675"/>
    <w:rsid w:val="00454C38"/>
    <w:rsid w:val="00455759"/>
    <w:rsid w:val="004576B3"/>
    <w:rsid w:val="00460353"/>
    <w:rsid w:val="0046128F"/>
    <w:rsid w:val="00462EA9"/>
    <w:rsid w:val="00464947"/>
    <w:rsid w:val="0046646B"/>
    <w:rsid w:val="0046798D"/>
    <w:rsid w:val="004720B8"/>
    <w:rsid w:val="004722E8"/>
    <w:rsid w:val="00472A02"/>
    <w:rsid w:val="00473073"/>
    <w:rsid w:val="004734BA"/>
    <w:rsid w:val="004744DC"/>
    <w:rsid w:val="00474E5F"/>
    <w:rsid w:val="00474EBF"/>
    <w:rsid w:val="00475B3D"/>
    <w:rsid w:val="00476C21"/>
    <w:rsid w:val="0048051B"/>
    <w:rsid w:val="004832DF"/>
    <w:rsid w:val="00483714"/>
    <w:rsid w:val="00484D7D"/>
    <w:rsid w:val="00485BFE"/>
    <w:rsid w:val="00485DCF"/>
    <w:rsid w:val="0049239E"/>
    <w:rsid w:val="004A1B3E"/>
    <w:rsid w:val="004A2151"/>
    <w:rsid w:val="004B1934"/>
    <w:rsid w:val="004B31EA"/>
    <w:rsid w:val="004B3281"/>
    <w:rsid w:val="004B559F"/>
    <w:rsid w:val="004B7D5A"/>
    <w:rsid w:val="004C1D8E"/>
    <w:rsid w:val="004C35E4"/>
    <w:rsid w:val="004C5E59"/>
    <w:rsid w:val="004D0AAF"/>
    <w:rsid w:val="004D2F06"/>
    <w:rsid w:val="004D3D74"/>
    <w:rsid w:val="004D56EC"/>
    <w:rsid w:val="004E0090"/>
    <w:rsid w:val="004E6A2C"/>
    <w:rsid w:val="004E6B59"/>
    <w:rsid w:val="004E7B79"/>
    <w:rsid w:val="004F297D"/>
    <w:rsid w:val="004F6769"/>
    <w:rsid w:val="004F78DB"/>
    <w:rsid w:val="005014B8"/>
    <w:rsid w:val="0050628F"/>
    <w:rsid w:val="005071C0"/>
    <w:rsid w:val="00510C74"/>
    <w:rsid w:val="005112BB"/>
    <w:rsid w:val="0051546D"/>
    <w:rsid w:val="00515AB9"/>
    <w:rsid w:val="00515F26"/>
    <w:rsid w:val="00516EF0"/>
    <w:rsid w:val="0051734D"/>
    <w:rsid w:val="005176C5"/>
    <w:rsid w:val="00520A61"/>
    <w:rsid w:val="005227F9"/>
    <w:rsid w:val="00524B22"/>
    <w:rsid w:val="00527663"/>
    <w:rsid w:val="00530C68"/>
    <w:rsid w:val="0053145D"/>
    <w:rsid w:val="005319DD"/>
    <w:rsid w:val="00532AD4"/>
    <w:rsid w:val="00534BCB"/>
    <w:rsid w:val="00535504"/>
    <w:rsid w:val="00536E17"/>
    <w:rsid w:val="005375CD"/>
    <w:rsid w:val="005428D6"/>
    <w:rsid w:val="00546AA2"/>
    <w:rsid w:val="00552970"/>
    <w:rsid w:val="0055629A"/>
    <w:rsid w:val="00556EED"/>
    <w:rsid w:val="00561734"/>
    <w:rsid w:val="005629EE"/>
    <w:rsid w:val="005656A5"/>
    <w:rsid w:val="0056678F"/>
    <w:rsid w:val="005675C3"/>
    <w:rsid w:val="00570210"/>
    <w:rsid w:val="0057103A"/>
    <w:rsid w:val="0057398A"/>
    <w:rsid w:val="00574188"/>
    <w:rsid w:val="005743C8"/>
    <w:rsid w:val="00575987"/>
    <w:rsid w:val="0057767E"/>
    <w:rsid w:val="00580596"/>
    <w:rsid w:val="00581713"/>
    <w:rsid w:val="005826AE"/>
    <w:rsid w:val="00586793"/>
    <w:rsid w:val="005867D3"/>
    <w:rsid w:val="00586BE7"/>
    <w:rsid w:val="00593B9D"/>
    <w:rsid w:val="0059497A"/>
    <w:rsid w:val="00594C67"/>
    <w:rsid w:val="005952B8"/>
    <w:rsid w:val="00595325"/>
    <w:rsid w:val="00595707"/>
    <w:rsid w:val="0059573D"/>
    <w:rsid w:val="005A0F23"/>
    <w:rsid w:val="005A20A0"/>
    <w:rsid w:val="005A2B20"/>
    <w:rsid w:val="005A2E43"/>
    <w:rsid w:val="005B1822"/>
    <w:rsid w:val="005B4F6F"/>
    <w:rsid w:val="005B6B57"/>
    <w:rsid w:val="005C03A1"/>
    <w:rsid w:val="005C22DA"/>
    <w:rsid w:val="005C288F"/>
    <w:rsid w:val="005C49AB"/>
    <w:rsid w:val="005C5B8E"/>
    <w:rsid w:val="005C5E3B"/>
    <w:rsid w:val="005C74C2"/>
    <w:rsid w:val="005D0B62"/>
    <w:rsid w:val="005D16A3"/>
    <w:rsid w:val="005D28B0"/>
    <w:rsid w:val="005D34B1"/>
    <w:rsid w:val="005D59D6"/>
    <w:rsid w:val="005E3DD8"/>
    <w:rsid w:val="005E3EAE"/>
    <w:rsid w:val="005E4E63"/>
    <w:rsid w:val="005E5E82"/>
    <w:rsid w:val="005E633B"/>
    <w:rsid w:val="005E6C5D"/>
    <w:rsid w:val="005F0A96"/>
    <w:rsid w:val="005F208E"/>
    <w:rsid w:val="005F2FD8"/>
    <w:rsid w:val="005F3AB9"/>
    <w:rsid w:val="005F4915"/>
    <w:rsid w:val="005F541B"/>
    <w:rsid w:val="005F73EA"/>
    <w:rsid w:val="0060035A"/>
    <w:rsid w:val="00600841"/>
    <w:rsid w:val="006015C9"/>
    <w:rsid w:val="00601C36"/>
    <w:rsid w:val="00603858"/>
    <w:rsid w:val="00603C71"/>
    <w:rsid w:val="00605ED9"/>
    <w:rsid w:val="00606356"/>
    <w:rsid w:val="00610F6B"/>
    <w:rsid w:val="006118C4"/>
    <w:rsid w:val="00611902"/>
    <w:rsid w:val="006120DD"/>
    <w:rsid w:val="0061318E"/>
    <w:rsid w:val="00614A46"/>
    <w:rsid w:val="0061571C"/>
    <w:rsid w:val="00615B33"/>
    <w:rsid w:val="00617625"/>
    <w:rsid w:val="00623873"/>
    <w:rsid w:val="0062544E"/>
    <w:rsid w:val="00625FDA"/>
    <w:rsid w:val="0062600B"/>
    <w:rsid w:val="00626588"/>
    <w:rsid w:val="0063145F"/>
    <w:rsid w:val="00641690"/>
    <w:rsid w:val="00641B13"/>
    <w:rsid w:val="006449F3"/>
    <w:rsid w:val="00645586"/>
    <w:rsid w:val="00655399"/>
    <w:rsid w:val="00655C1C"/>
    <w:rsid w:val="00656492"/>
    <w:rsid w:val="00656A97"/>
    <w:rsid w:val="00656B3A"/>
    <w:rsid w:val="00662774"/>
    <w:rsid w:val="00663A25"/>
    <w:rsid w:val="00663CA3"/>
    <w:rsid w:val="00665F49"/>
    <w:rsid w:val="00667E91"/>
    <w:rsid w:val="00672624"/>
    <w:rsid w:val="00673242"/>
    <w:rsid w:val="006748C6"/>
    <w:rsid w:val="006758B0"/>
    <w:rsid w:val="00676217"/>
    <w:rsid w:val="00677CDE"/>
    <w:rsid w:val="00680FA0"/>
    <w:rsid w:val="00681FC2"/>
    <w:rsid w:val="006820DF"/>
    <w:rsid w:val="00683326"/>
    <w:rsid w:val="00685C02"/>
    <w:rsid w:val="006904E7"/>
    <w:rsid w:val="00690AC6"/>
    <w:rsid w:val="00690E05"/>
    <w:rsid w:val="00693E26"/>
    <w:rsid w:val="00697BC4"/>
    <w:rsid w:val="006A1693"/>
    <w:rsid w:val="006A240E"/>
    <w:rsid w:val="006A32A4"/>
    <w:rsid w:val="006A47A7"/>
    <w:rsid w:val="006A6AD5"/>
    <w:rsid w:val="006B0054"/>
    <w:rsid w:val="006B399F"/>
    <w:rsid w:val="006B5B00"/>
    <w:rsid w:val="006B5D8D"/>
    <w:rsid w:val="006B6B06"/>
    <w:rsid w:val="006B7892"/>
    <w:rsid w:val="006C2CFD"/>
    <w:rsid w:val="006C2F25"/>
    <w:rsid w:val="006C39A1"/>
    <w:rsid w:val="006C7500"/>
    <w:rsid w:val="006C767C"/>
    <w:rsid w:val="006D0369"/>
    <w:rsid w:val="006D1864"/>
    <w:rsid w:val="006D2145"/>
    <w:rsid w:val="006D500B"/>
    <w:rsid w:val="006E0A99"/>
    <w:rsid w:val="006E2407"/>
    <w:rsid w:val="006E2715"/>
    <w:rsid w:val="006E2E0A"/>
    <w:rsid w:val="006E4232"/>
    <w:rsid w:val="006E533C"/>
    <w:rsid w:val="006E560C"/>
    <w:rsid w:val="006E5BD7"/>
    <w:rsid w:val="006F009E"/>
    <w:rsid w:val="006F0376"/>
    <w:rsid w:val="006F04BE"/>
    <w:rsid w:val="006F1686"/>
    <w:rsid w:val="006F5915"/>
    <w:rsid w:val="006F64BC"/>
    <w:rsid w:val="006F65B2"/>
    <w:rsid w:val="006F7E42"/>
    <w:rsid w:val="00702891"/>
    <w:rsid w:val="00703750"/>
    <w:rsid w:val="00703810"/>
    <w:rsid w:val="00704146"/>
    <w:rsid w:val="007044BE"/>
    <w:rsid w:val="00704942"/>
    <w:rsid w:val="007062B1"/>
    <w:rsid w:val="00706E5F"/>
    <w:rsid w:val="00707BEA"/>
    <w:rsid w:val="0071011A"/>
    <w:rsid w:val="00710488"/>
    <w:rsid w:val="007117BE"/>
    <w:rsid w:val="00711AE7"/>
    <w:rsid w:val="00714610"/>
    <w:rsid w:val="00715ED4"/>
    <w:rsid w:val="00716255"/>
    <w:rsid w:val="00717795"/>
    <w:rsid w:val="00720194"/>
    <w:rsid w:val="00720DBB"/>
    <w:rsid w:val="00722159"/>
    <w:rsid w:val="00722D51"/>
    <w:rsid w:val="00725CC9"/>
    <w:rsid w:val="00726B3B"/>
    <w:rsid w:val="00727AB2"/>
    <w:rsid w:val="00731A0C"/>
    <w:rsid w:val="007321BE"/>
    <w:rsid w:val="007339B8"/>
    <w:rsid w:val="00740D91"/>
    <w:rsid w:val="00741833"/>
    <w:rsid w:val="007439C9"/>
    <w:rsid w:val="00745F09"/>
    <w:rsid w:val="00747A9C"/>
    <w:rsid w:val="007502A2"/>
    <w:rsid w:val="007540A8"/>
    <w:rsid w:val="007555B7"/>
    <w:rsid w:val="00757802"/>
    <w:rsid w:val="00757E51"/>
    <w:rsid w:val="00761569"/>
    <w:rsid w:val="0076242B"/>
    <w:rsid w:val="00762CC5"/>
    <w:rsid w:val="00762F29"/>
    <w:rsid w:val="00763D69"/>
    <w:rsid w:val="0076538C"/>
    <w:rsid w:val="00766D02"/>
    <w:rsid w:val="007671D2"/>
    <w:rsid w:val="00767F24"/>
    <w:rsid w:val="00772986"/>
    <w:rsid w:val="007729B0"/>
    <w:rsid w:val="0077486F"/>
    <w:rsid w:val="0078205D"/>
    <w:rsid w:val="00783EFE"/>
    <w:rsid w:val="0078489C"/>
    <w:rsid w:val="00786BE7"/>
    <w:rsid w:val="00791E37"/>
    <w:rsid w:val="00791FCC"/>
    <w:rsid w:val="00793F41"/>
    <w:rsid w:val="00796531"/>
    <w:rsid w:val="007965EF"/>
    <w:rsid w:val="007A0E4A"/>
    <w:rsid w:val="007A1858"/>
    <w:rsid w:val="007A264D"/>
    <w:rsid w:val="007A53D9"/>
    <w:rsid w:val="007A6C27"/>
    <w:rsid w:val="007A7EE2"/>
    <w:rsid w:val="007B058B"/>
    <w:rsid w:val="007B40E2"/>
    <w:rsid w:val="007B5DA5"/>
    <w:rsid w:val="007C2FD4"/>
    <w:rsid w:val="007C5E4B"/>
    <w:rsid w:val="007C5E86"/>
    <w:rsid w:val="007C7323"/>
    <w:rsid w:val="007C7831"/>
    <w:rsid w:val="007C783C"/>
    <w:rsid w:val="007D2143"/>
    <w:rsid w:val="007D3067"/>
    <w:rsid w:val="007D6B9B"/>
    <w:rsid w:val="007D6CEF"/>
    <w:rsid w:val="007D767A"/>
    <w:rsid w:val="007E309D"/>
    <w:rsid w:val="007E3C5A"/>
    <w:rsid w:val="007E3ED4"/>
    <w:rsid w:val="007E4304"/>
    <w:rsid w:val="007E4B92"/>
    <w:rsid w:val="007E4E75"/>
    <w:rsid w:val="007E52C6"/>
    <w:rsid w:val="007E53DA"/>
    <w:rsid w:val="007F040E"/>
    <w:rsid w:val="007F0808"/>
    <w:rsid w:val="007F10C3"/>
    <w:rsid w:val="007F3B86"/>
    <w:rsid w:val="007F3F1C"/>
    <w:rsid w:val="007F5785"/>
    <w:rsid w:val="007F58CF"/>
    <w:rsid w:val="007F69B4"/>
    <w:rsid w:val="0080122A"/>
    <w:rsid w:val="00802751"/>
    <w:rsid w:val="00802886"/>
    <w:rsid w:val="008032B5"/>
    <w:rsid w:val="00803423"/>
    <w:rsid w:val="00805CCF"/>
    <w:rsid w:val="00806991"/>
    <w:rsid w:val="008137E1"/>
    <w:rsid w:val="0081744C"/>
    <w:rsid w:val="00820E58"/>
    <w:rsid w:val="00820E95"/>
    <w:rsid w:val="00821B35"/>
    <w:rsid w:val="00822256"/>
    <w:rsid w:val="00823569"/>
    <w:rsid w:val="00824885"/>
    <w:rsid w:val="0083062A"/>
    <w:rsid w:val="008324CC"/>
    <w:rsid w:val="008326E0"/>
    <w:rsid w:val="00832F25"/>
    <w:rsid w:val="00835015"/>
    <w:rsid w:val="008355F6"/>
    <w:rsid w:val="00835A10"/>
    <w:rsid w:val="008360BF"/>
    <w:rsid w:val="00836B8C"/>
    <w:rsid w:val="00836FD3"/>
    <w:rsid w:val="00837058"/>
    <w:rsid w:val="00841A46"/>
    <w:rsid w:val="00846AA2"/>
    <w:rsid w:val="00862297"/>
    <w:rsid w:val="00862E30"/>
    <w:rsid w:val="0086390E"/>
    <w:rsid w:val="00864DC2"/>
    <w:rsid w:val="008679AE"/>
    <w:rsid w:val="00867D56"/>
    <w:rsid w:val="00870A54"/>
    <w:rsid w:val="00871CC2"/>
    <w:rsid w:val="00875BDE"/>
    <w:rsid w:val="008777BE"/>
    <w:rsid w:val="00877807"/>
    <w:rsid w:val="00881CA8"/>
    <w:rsid w:val="00881D12"/>
    <w:rsid w:val="008822B6"/>
    <w:rsid w:val="0088642B"/>
    <w:rsid w:val="0088668D"/>
    <w:rsid w:val="0089102F"/>
    <w:rsid w:val="00891A48"/>
    <w:rsid w:val="00892402"/>
    <w:rsid w:val="0089299A"/>
    <w:rsid w:val="00897953"/>
    <w:rsid w:val="008A0F29"/>
    <w:rsid w:val="008A1762"/>
    <w:rsid w:val="008A1C25"/>
    <w:rsid w:val="008A7CC4"/>
    <w:rsid w:val="008B2009"/>
    <w:rsid w:val="008B3858"/>
    <w:rsid w:val="008B3FD2"/>
    <w:rsid w:val="008B4EE2"/>
    <w:rsid w:val="008B7CF6"/>
    <w:rsid w:val="008C195A"/>
    <w:rsid w:val="008C234F"/>
    <w:rsid w:val="008C34AE"/>
    <w:rsid w:val="008C6AF4"/>
    <w:rsid w:val="008D1861"/>
    <w:rsid w:val="008D1B83"/>
    <w:rsid w:val="008D2D4F"/>
    <w:rsid w:val="008D3DED"/>
    <w:rsid w:val="008D51E7"/>
    <w:rsid w:val="008D539B"/>
    <w:rsid w:val="008D75FB"/>
    <w:rsid w:val="008E2408"/>
    <w:rsid w:val="008E4786"/>
    <w:rsid w:val="008E6742"/>
    <w:rsid w:val="008E7E57"/>
    <w:rsid w:val="008F268E"/>
    <w:rsid w:val="008F3324"/>
    <w:rsid w:val="008F66B4"/>
    <w:rsid w:val="008F6F2B"/>
    <w:rsid w:val="008F737E"/>
    <w:rsid w:val="009013DA"/>
    <w:rsid w:val="00902572"/>
    <w:rsid w:val="0090417A"/>
    <w:rsid w:val="00904DD1"/>
    <w:rsid w:val="00906FE2"/>
    <w:rsid w:val="00907892"/>
    <w:rsid w:val="0091199C"/>
    <w:rsid w:val="009138AA"/>
    <w:rsid w:val="009159B0"/>
    <w:rsid w:val="0092023A"/>
    <w:rsid w:val="00920F12"/>
    <w:rsid w:val="009224E8"/>
    <w:rsid w:val="00922A9D"/>
    <w:rsid w:val="00925CE8"/>
    <w:rsid w:val="00926636"/>
    <w:rsid w:val="0093217E"/>
    <w:rsid w:val="0093369A"/>
    <w:rsid w:val="00934AC2"/>
    <w:rsid w:val="009377B4"/>
    <w:rsid w:val="00940A11"/>
    <w:rsid w:val="0094131A"/>
    <w:rsid w:val="0094167A"/>
    <w:rsid w:val="0094379D"/>
    <w:rsid w:val="009452CE"/>
    <w:rsid w:val="009456CA"/>
    <w:rsid w:val="009469F6"/>
    <w:rsid w:val="00946F08"/>
    <w:rsid w:val="00950451"/>
    <w:rsid w:val="0095050A"/>
    <w:rsid w:val="00951972"/>
    <w:rsid w:val="009519C9"/>
    <w:rsid w:val="00951A09"/>
    <w:rsid w:val="0095210A"/>
    <w:rsid w:val="00952234"/>
    <w:rsid w:val="00952E1E"/>
    <w:rsid w:val="00953F96"/>
    <w:rsid w:val="00955D6B"/>
    <w:rsid w:val="00956970"/>
    <w:rsid w:val="00956BD5"/>
    <w:rsid w:val="009615F0"/>
    <w:rsid w:val="009618CB"/>
    <w:rsid w:val="00966FC0"/>
    <w:rsid w:val="009702AD"/>
    <w:rsid w:val="00971E08"/>
    <w:rsid w:val="00972004"/>
    <w:rsid w:val="00974A58"/>
    <w:rsid w:val="00975113"/>
    <w:rsid w:val="00976363"/>
    <w:rsid w:val="00976FAB"/>
    <w:rsid w:val="00977545"/>
    <w:rsid w:val="009817D8"/>
    <w:rsid w:val="009820F9"/>
    <w:rsid w:val="0098254B"/>
    <w:rsid w:val="0098392A"/>
    <w:rsid w:val="00991F83"/>
    <w:rsid w:val="00992AE6"/>
    <w:rsid w:val="009A28E1"/>
    <w:rsid w:val="009A70E1"/>
    <w:rsid w:val="009A75E4"/>
    <w:rsid w:val="009B12AE"/>
    <w:rsid w:val="009B280D"/>
    <w:rsid w:val="009B5D9E"/>
    <w:rsid w:val="009B5E69"/>
    <w:rsid w:val="009B5F2F"/>
    <w:rsid w:val="009B656F"/>
    <w:rsid w:val="009B6D92"/>
    <w:rsid w:val="009B6D94"/>
    <w:rsid w:val="009B7003"/>
    <w:rsid w:val="009B7248"/>
    <w:rsid w:val="009C1F2A"/>
    <w:rsid w:val="009C31A4"/>
    <w:rsid w:val="009C4FD5"/>
    <w:rsid w:val="009C5099"/>
    <w:rsid w:val="009C6235"/>
    <w:rsid w:val="009C6396"/>
    <w:rsid w:val="009D0410"/>
    <w:rsid w:val="009D0DC2"/>
    <w:rsid w:val="009D3CB6"/>
    <w:rsid w:val="009D4F64"/>
    <w:rsid w:val="009D52CB"/>
    <w:rsid w:val="009E0921"/>
    <w:rsid w:val="009E244F"/>
    <w:rsid w:val="009E4006"/>
    <w:rsid w:val="009E5E9B"/>
    <w:rsid w:val="009F1250"/>
    <w:rsid w:val="009F172D"/>
    <w:rsid w:val="009F24F9"/>
    <w:rsid w:val="009F2803"/>
    <w:rsid w:val="009F4026"/>
    <w:rsid w:val="00A001A9"/>
    <w:rsid w:val="00A048C5"/>
    <w:rsid w:val="00A07AF7"/>
    <w:rsid w:val="00A12E1E"/>
    <w:rsid w:val="00A13133"/>
    <w:rsid w:val="00A13892"/>
    <w:rsid w:val="00A13D8A"/>
    <w:rsid w:val="00A16A28"/>
    <w:rsid w:val="00A2034A"/>
    <w:rsid w:val="00A20C13"/>
    <w:rsid w:val="00A21A24"/>
    <w:rsid w:val="00A24FAA"/>
    <w:rsid w:val="00A255F7"/>
    <w:rsid w:val="00A2735E"/>
    <w:rsid w:val="00A278C6"/>
    <w:rsid w:val="00A32A10"/>
    <w:rsid w:val="00A348B6"/>
    <w:rsid w:val="00A34CBB"/>
    <w:rsid w:val="00A37295"/>
    <w:rsid w:val="00A40C6A"/>
    <w:rsid w:val="00A413D8"/>
    <w:rsid w:val="00A43A03"/>
    <w:rsid w:val="00A44009"/>
    <w:rsid w:val="00A44128"/>
    <w:rsid w:val="00A46403"/>
    <w:rsid w:val="00A47E34"/>
    <w:rsid w:val="00A514B1"/>
    <w:rsid w:val="00A524A1"/>
    <w:rsid w:val="00A543C8"/>
    <w:rsid w:val="00A5518B"/>
    <w:rsid w:val="00A56DC2"/>
    <w:rsid w:val="00A579ED"/>
    <w:rsid w:val="00A611C7"/>
    <w:rsid w:val="00A6124F"/>
    <w:rsid w:val="00A626BB"/>
    <w:rsid w:val="00A6445F"/>
    <w:rsid w:val="00A6513F"/>
    <w:rsid w:val="00A65265"/>
    <w:rsid w:val="00A67971"/>
    <w:rsid w:val="00A67C6A"/>
    <w:rsid w:val="00A72211"/>
    <w:rsid w:val="00A72338"/>
    <w:rsid w:val="00A72C3C"/>
    <w:rsid w:val="00A73B92"/>
    <w:rsid w:val="00A762EA"/>
    <w:rsid w:val="00A8067D"/>
    <w:rsid w:val="00A81552"/>
    <w:rsid w:val="00A825C1"/>
    <w:rsid w:val="00A83EEF"/>
    <w:rsid w:val="00A844C1"/>
    <w:rsid w:val="00A8605C"/>
    <w:rsid w:val="00A86BB7"/>
    <w:rsid w:val="00A92316"/>
    <w:rsid w:val="00A93E20"/>
    <w:rsid w:val="00A9504F"/>
    <w:rsid w:val="00A9618B"/>
    <w:rsid w:val="00AA03E7"/>
    <w:rsid w:val="00AA1420"/>
    <w:rsid w:val="00AA1BE3"/>
    <w:rsid w:val="00AA2459"/>
    <w:rsid w:val="00AA255E"/>
    <w:rsid w:val="00AA431C"/>
    <w:rsid w:val="00AA718F"/>
    <w:rsid w:val="00AA7270"/>
    <w:rsid w:val="00AA734E"/>
    <w:rsid w:val="00AA775B"/>
    <w:rsid w:val="00AB0C91"/>
    <w:rsid w:val="00AB4EC7"/>
    <w:rsid w:val="00AB5EB5"/>
    <w:rsid w:val="00AB763D"/>
    <w:rsid w:val="00AC09F2"/>
    <w:rsid w:val="00AC1221"/>
    <w:rsid w:val="00AC394B"/>
    <w:rsid w:val="00AC5E20"/>
    <w:rsid w:val="00AD13B9"/>
    <w:rsid w:val="00AD3BC3"/>
    <w:rsid w:val="00AD4721"/>
    <w:rsid w:val="00AD7199"/>
    <w:rsid w:val="00AE197D"/>
    <w:rsid w:val="00AE1F92"/>
    <w:rsid w:val="00AE2372"/>
    <w:rsid w:val="00AE3097"/>
    <w:rsid w:val="00AE3507"/>
    <w:rsid w:val="00AE4A11"/>
    <w:rsid w:val="00AF1A14"/>
    <w:rsid w:val="00AF3608"/>
    <w:rsid w:val="00AF4A06"/>
    <w:rsid w:val="00B0019E"/>
    <w:rsid w:val="00B010F6"/>
    <w:rsid w:val="00B04E13"/>
    <w:rsid w:val="00B0503A"/>
    <w:rsid w:val="00B07B78"/>
    <w:rsid w:val="00B1026C"/>
    <w:rsid w:val="00B16768"/>
    <w:rsid w:val="00B16771"/>
    <w:rsid w:val="00B175B7"/>
    <w:rsid w:val="00B21978"/>
    <w:rsid w:val="00B2214F"/>
    <w:rsid w:val="00B22532"/>
    <w:rsid w:val="00B22859"/>
    <w:rsid w:val="00B22EE0"/>
    <w:rsid w:val="00B23C36"/>
    <w:rsid w:val="00B30582"/>
    <w:rsid w:val="00B30C25"/>
    <w:rsid w:val="00B337DE"/>
    <w:rsid w:val="00B34637"/>
    <w:rsid w:val="00B37726"/>
    <w:rsid w:val="00B37728"/>
    <w:rsid w:val="00B37EF6"/>
    <w:rsid w:val="00B40A92"/>
    <w:rsid w:val="00B4166E"/>
    <w:rsid w:val="00B41DA0"/>
    <w:rsid w:val="00B42C1B"/>
    <w:rsid w:val="00B42E98"/>
    <w:rsid w:val="00B5172F"/>
    <w:rsid w:val="00B51983"/>
    <w:rsid w:val="00B532CC"/>
    <w:rsid w:val="00B5455C"/>
    <w:rsid w:val="00B54650"/>
    <w:rsid w:val="00B54BE1"/>
    <w:rsid w:val="00B55469"/>
    <w:rsid w:val="00B55B3E"/>
    <w:rsid w:val="00B604FB"/>
    <w:rsid w:val="00B66252"/>
    <w:rsid w:val="00B6678A"/>
    <w:rsid w:val="00B73607"/>
    <w:rsid w:val="00B75D6A"/>
    <w:rsid w:val="00B7705A"/>
    <w:rsid w:val="00B82086"/>
    <w:rsid w:val="00B82485"/>
    <w:rsid w:val="00B82AAF"/>
    <w:rsid w:val="00B845A8"/>
    <w:rsid w:val="00B84CC2"/>
    <w:rsid w:val="00B84EF5"/>
    <w:rsid w:val="00B85E24"/>
    <w:rsid w:val="00B876AE"/>
    <w:rsid w:val="00B87898"/>
    <w:rsid w:val="00B90425"/>
    <w:rsid w:val="00B91402"/>
    <w:rsid w:val="00B914FA"/>
    <w:rsid w:val="00B93128"/>
    <w:rsid w:val="00B96659"/>
    <w:rsid w:val="00BA0836"/>
    <w:rsid w:val="00BA22DF"/>
    <w:rsid w:val="00BA2361"/>
    <w:rsid w:val="00BA66E7"/>
    <w:rsid w:val="00BA7BE8"/>
    <w:rsid w:val="00BA7FB1"/>
    <w:rsid w:val="00BB075D"/>
    <w:rsid w:val="00BB1501"/>
    <w:rsid w:val="00BB1AE1"/>
    <w:rsid w:val="00BB7230"/>
    <w:rsid w:val="00BC2356"/>
    <w:rsid w:val="00BC4A52"/>
    <w:rsid w:val="00BC5C7A"/>
    <w:rsid w:val="00BC60E0"/>
    <w:rsid w:val="00BC77A3"/>
    <w:rsid w:val="00BD0571"/>
    <w:rsid w:val="00BD1512"/>
    <w:rsid w:val="00BD5849"/>
    <w:rsid w:val="00BE01C8"/>
    <w:rsid w:val="00BE06F4"/>
    <w:rsid w:val="00BE0E18"/>
    <w:rsid w:val="00BE124D"/>
    <w:rsid w:val="00BE38D9"/>
    <w:rsid w:val="00BE50DE"/>
    <w:rsid w:val="00BE6439"/>
    <w:rsid w:val="00BE71D5"/>
    <w:rsid w:val="00BE785F"/>
    <w:rsid w:val="00BF2CA0"/>
    <w:rsid w:val="00BF5E4C"/>
    <w:rsid w:val="00C01E63"/>
    <w:rsid w:val="00C02BC8"/>
    <w:rsid w:val="00C03B2B"/>
    <w:rsid w:val="00C0438A"/>
    <w:rsid w:val="00C0456E"/>
    <w:rsid w:val="00C0581A"/>
    <w:rsid w:val="00C05C44"/>
    <w:rsid w:val="00C05E4D"/>
    <w:rsid w:val="00C06744"/>
    <w:rsid w:val="00C07362"/>
    <w:rsid w:val="00C140EB"/>
    <w:rsid w:val="00C15318"/>
    <w:rsid w:val="00C1571A"/>
    <w:rsid w:val="00C15810"/>
    <w:rsid w:val="00C159C0"/>
    <w:rsid w:val="00C16686"/>
    <w:rsid w:val="00C17459"/>
    <w:rsid w:val="00C2135C"/>
    <w:rsid w:val="00C2402D"/>
    <w:rsid w:val="00C264FA"/>
    <w:rsid w:val="00C3152E"/>
    <w:rsid w:val="00C3247A"/>
    <w:rsid w:val="00C3282B"/>
    <w:rsid w:val="00C3370C"/>
    <w:rsid w:val="00C34184"/>
    <w:rsid w:val="00C345CC"/>
    <w:rsid w:val="00C34860"/>
    <w:rsid w:val="00C40CA6"/>
    <w:rsid w:val="00C41BED"/>
    <w:rsid w:val="00C42F9E"/>
    <w:rsid w:val="00C444EE"/>
    <w:rsid w:val="00C50F5F"/>
    <w:rsid w:val="00C51BEA"/>
    <w:rsid w:val="00C5313C"/>
    <w:rsid w:val="00C536D1"/>
    <w:rsid w:val="00C55043"/>
    <w:rsid w:val="00C55C8E"/>
    <w:rsid w:val="00C572C7"/>
    <w:rsid w:val="00C57AE9"/>
    <w:rsid w:val="00C61DE8"/>
    <w:rsid w:val="00C63D9B"/>
    <w:rsid w:val="00C644BB"/>
    <w:rsid w:val="00C715A5"/>
    <w:rsid w:val="00C72FFE"/>
    <w:rsid w:val="00C74CA9"/>
    <w:rsid w:val="00C762D6"/>
    <w:rsid w:val="00C77DD5"/>
    <w:rsid w:val="00C8097C"/>
    <w:rsid w:val="00C81A18"/>
    <w:rsid w:val="00C84F24"/>
    <w:rsid w:val="00C85DA6"/>
    <w:rsid w:val="00C8654B"/>
    <w:rsid w:val="00C918C1"/>
    <w:rsid w:val="00C92371"/>
    <w:rsid w:val="00CA0AF2"/>
    <w:rsid w:val="00CA170C"/>
    <w:rsid w:val="00CA4474"/>
    <w:rsid w:val="00CA4506"/>
    <w:rsid w:val="00CA477F"/>
    <w:rsid w:val="00CA501E"/>
    <w:rsid w:val="00CA5135"/>
    <w:rsid w:val="00CA5F54"/>
    <w:rsid w:val="00CA6226"/>
    <w:rsid w:val="00CB1C5D"/>
    <w:rsid w:val="00CB2188"/>
    <w:rsid w:val="00CB28BA"/>
    <w:rsid w:val="00CC1714"/>
    <w:rsid w:val="00CD02EC"/>
    <w:rsid w:val="00CD3569"/>
    <w:rsid w:val="00CE0935"/>
    <w:rsid w:val="00CE2903"/>
    <w:rsid w:val="00CE2960"/>
    <w:rsid w:val="00CE5E40"/>
    <w:rsid w:val="00CE7CCF"/>
    <w:rsid w:val="00CF16CB"/>
    <w:rsid w:val="00CF19AB"/>
    <w:rsid w:val="00CF1C32"/>
    <w:rsid w:val="00CF2D81"/>
    <w:rsid w:val="00CF35A0"/>
    <w:rsid w:val="00CF3962"/>
    <w:rsid w:val="00CF4890"/>
    <w:rsid w:val="00CF5A52"/>
    <w:rsid w:val="00CF5ADE"/>
    <w:rsid w:val="00D0064B"/>
    <w:rsid w:val="00D02472"/>
    <w:rsid w:val="00D06163"/>
    <w:rsid w:val="00D06A94"/>
    <w:rsid w:val="00D07D3B"/>
    <w:rsid w:val="00D11E35"/>
    <w:rsid w:val="00D1326D"/>
    <w:rsid w:val="00D13B9F"/>
    <w:rsid w:val="00D14791"/>
    <w:rsid w:val="00D1608B"/>
    <w:rsid w:val="00D17AD4"/>
    <w:rsid w:val="00D17DA3"/>
    <w:rsid w:val="00D205DB"/>
    <w:rsid w:val="00D218AE"/>
    <w:rsid w:val="00D22828"/>
    <w:rsid w:val="00D234F7"/>
    <w:rsid w:val="00D23DF7"/>
    <w:rsid w:val="00D30678"/>
    <w:rsid w:val="00D316C8"/>
    <w:rsid w:val="00D3245E"/>
    <w:rsid w:val="00D32EB6"/>
    <w:rsid w:val="00D3525A"/>
    <w:rsid w:val="00D3643E"/>
    <w:rsid w:val="00D37E87"/>
    <w:rsid w:val="00D4169B"/>
    <w:rsid w:val="00D42504"/>
    <w:rsid w:val="00D43603"/>
    <w:rsid w:val="00D44A3A"/>
    <w:rsid w:val="00D45894"/>
    <w:rsid w:val="00D458EE"/>
    <w:rsid w:val="00D45964"/>
    <w:rsid w:val="00D470EE"/>
    <w:rsid w:val="00D50F15"/>
    <w:rsid w:val="00D52AB9"/>
    <w:rsid w:val="00D53363"/>
    <w:rsid w:val="00D548D0"/>
    <w:rsid w:val="00D54D69"/>
    <w:rsid w:val="00D54D9A"/>
    <w:rsid w:val="00D54E42"/>
    <w:rsid w:val="00D550BC"/>
    <w:rsid w:val="00D553AE"/>
    <w:rsid w:val="00D55E0F"/>
    <w:rsid w:val="00D56EC1"/>
    <w:rsid w:val="00D57093"/>
    <w:rsid w:val="00D570F7"/>
    <w:rsid w:val="00D571AF"/>
    <w:rsid w:val="00D609F5"/>
    <w:rsid w:val="00D60C02"/>
    <w:rsid w:val="00D62198"/>
    <w:rsid w:val="00D62A82"/>
    <w:rsid w:val="00D637D6"/>
    <w:rsid w:val="00D63E97"/>
    <w:rsid w:val="00D64230"/>
    <w:rsid w:val="00D64C8D"/>
    <w:rsid w:val="00D73B11"/>
    <w:rsid w:val="00D77218"/>
    <w:rsid w:val="00D80209"/>
    <w:rsid w:val="00D8107F"/>
    <w:rsid w:val="00D82346"/>
    <w:rsid w:val="00D85510"/>
    <w:rsid w:val="00D862EB"/>
    <w:rsid w:val="00D93B66"/>
    <w:rsid w:val="00D941B6"/>
    <w:rsid w:val="00D9428A"/>
    <w:rsid w:val="00D95C8D"/>
    <w:rsid w:val="00D96C80"/>
    <w:rsid w:val="00D97249"/>
    <w:rsid w:val="00D972AB"/>
    <w:rsid w:val="00D97A00"/>
    <w:rsid w:val="00DA1316"/>
    <w:rsid w:val="00DA1384"/>
    <w:rsid w:val="00DA2A1D"/>
    <w:rsid w:val="00DA39CD"/>
    <w:rsid w:val="00DA3C76"/>
    <w:rsid w:val="00DA7568"/>
    <w:rsid w:val="00DA7C98"/>
    <w:rsid w:val="00DB0DCD"/>
    <w:rsid w:val="00DB1A0A"/>
    <w:rsid w:val="00DB27E4"/>
    <w:rsid w:val="00DC1706"/>
    <w:rsid w:val="00DC2CFE"/>
    <w:rsid w:val="00DC3F37"/>
    <w:rsid w:val="00DC4735"/>
    <w:rsid w:val="00DC4EF0"/>
    <w:rsid w:val="00DC68F3"/>
    <w:rsid w:val="00DD329A"/>
    <w:rsid w:val="00DD4F9F"/>
    <w:rsid w:val="00DD739F"/>
    <w:rsid w:val="00DE00A3"/>
    <w:rsid w:val="00DE0F56"/>
    <w:rsid w:val="00DE4DB7"/>
    <w:rsid w:val="00DF04F3"/>
    <w:rsid w:val="00DF1B6D"/>
    <w:rsid w:val="00DF2785"/>
    <w:rsid w:val="00DF3822"/>
    <w:rsid w:val="00DF48FE"/>
    <w:rsid w:val="00DF55C0"/>
    <w:rsid w:val="00DF5FC3"/>
    <w:rsid w:val="00DF60CB"/>
    <w:rsid w:val="00DF6FA1"/>
    <w:rsid w:val="00E03EAB"/>
    <w:rsid w:val="00E07C1E"/>
    <w:rsid w:val="00E07F4C"/>
    <w:rsid w:val="00E105D8"/>
    <w:rsid w:val="00E14038"/>
    <w:rsid w:val="00E14548"/>
    <w:rsid w:val="00E15D8D"/>
    <w:rsid w:val="00E16989"/>
    <w:rsid w:val="00E16A74"/>
    <w:rsid w:val="00E16C23"/>
    <w:rsid w:val="00E173AB"/>
    <w:rsid w:val="00E175B9"/>
    <w:rsid w:val="00E20730"/>
    <w:rsid w:val="00E21101"/>
    <w:rsid w:val="00E21B54"/>
    <w:rsid w:val="00E21CB2"/>
    <w:rsid w:val="00E23ABD"/>
    <w:rsid w:val="00E25B8B"/>
    <w:rsid w:val="00E26D96"/>
    <w:rsid w:val="00E30B46"/>
    <w:rsid w:val="00E31281"/>
    <w:rsid w:val="00E31DDE"/>
    <w:rsid w:val="00E31F8F"/>
    <w:rsid w:val="00E35681"/>
    <w:rsid w:val="00E35F61"/>
    <w:rsid w:val="00E37189"/>
    <w:rsid w:val="00E406DD"/>
    <w:rsid w:val="00E41483"/>
    <w:rsid w:val="00E42D65"/>
    <w:rsid w:val="00E45B5D"/>
    <w:rsid w:val="00E467A3"/>
    <w:rsid w:val="00E47661"/>
    <w:rsid w:val="00E5080F"/>
    <w:rsid w:val="00E51AED"/>
    <w:rsid w:val="00E5397D"/>
    <w:rsid w:val="00E55851"/>
    <w:rsid w:val="00E57472"/>
    <w:rsid w:val="00E62C90"/>
    <w:rsid w:val="00E643F7"/>
    <w:rsid w:val="00E70528"/>
    <w:rsid w:val="00E7102C"/>
    <w:rsid w:val="00E7441C"/>
    <w:rsid w:val="00E76226"/>
    <w:rsid w:val="00E763C6"/>
    <w:rsid w:val="00E77060"/>
    <w:rsid w:val="00E77AB7"/>
    <w:rsid w:val="00E82197"/>
    <w:rsid w:val="00E82B02"/>
    <w:rsid w:val="00E82EA5"/>
    <w:rsid w:val="00E8515F"/>
    <w:rsid w:val="00E8584C"/>
    <w:rsid w:val="00E85878"/>
    <w:rsid w:val="00E93060"/>
    <w:rsid w:val="00E96309"/>
    <w:rsid w:val="00E97D7C"/>
    <w:rsid w:val="00EA0396"/>
    <w:rsid w:val="00EA101B"/>
    <w:rsid w:val="00EA1B13"/>
    <w:rsid w:val="00EA3648"/>
    <w:rsid w:val="00EA3D80"/>
    <w:rsid w:val="00EA4F2E"/>
    <w:rsid w:val="00EA6F6F"/>
    <w:rsid w:val="00EB16ED"/>
    <w:rsid w:val="00EC23B3"/>
    <w:rsid w:val="00EC4A39"/>
    <w:rsid w:val="00EC55A9"/>
    <w:rsid w:val="00ED25F7"/>
    <w:rsid w:val="00ED2E44"/>
    <w:rsid w:val="00ED2F98"/>
    <w:rsid w:val="00ED3234"/>
    <w:rsid w:val="00ED4643"/>
    <w:rsid w:val="00ED6F2E"/>
    <w:rsid w:val="00EE15C8"/>
    <w:rsid w:val="00EE29B3"/>
    <w:rsid w:val="00EE302B"/>
    <w:rsid w:val="00EE3F0D"/>
    <w:rsid w:val="00EE64F7"/>
    <w:rsid w:val="00EE78C2"/>
    <w:rsid w:val="00EF0EDA"/>
    <w:rsid w:val="00EF4BC9"/>
    <w:rsid w:val="00EF6058"/>
    <w:rsid w:val="00EF6619"/>
    <w:rsid w:val="00F00CF5"/>
    <w:rsid w:val="00F029F8"/>
    <w:rsid w:val="00F02CFD"/>
    <w:rsid w:val="00F079E3"/>
    <w:rsid w:val="00F11FBA"/>
    <w:rsid w:val="00F13A6E"/>
    <w:rsid w:val="00F14183"/>
    <w:rsid w:val="00F15361"/>
    <w:rsid w:val="00F161C4"/>
    <w:rsid w:val="00F165B2"/>
    <w:rsid w:val="00F20585"/>
    <w:rsid w:val="00F20932"/>
    <w:rsid w:val="00F216A4"/>
    <w:rsid w:val="00F25508"/>
    <w:rsid w:val="00F26D59"/>
    <w:rsid w:val="00F27B04"/>
    <w:rsid w:val="00F27D4D"/>
    <w:rsid w:val="00F34603"/>
    <w:rsid w:val="00F36F28"/>
    <w:rsid w:val="00F37467"/>
    <w:rsid w:val="00F422FA"/>
    <w:rsid w:val="00F44256"/>
    <w:rsid w:val="00F44970"/>
    <w:rsid w:val="00F458A5"/>
    <w:rsid w:val="00F45AD1"/>
    <w:rsid w:val="00F4669D"/>
    <w:rsid w:val="00F46822"/>
    <w:rsid w:val="00F52FD7"/>
    <w:rsid w:val="00F533C1"/>
    <w:rsid w:val="00F53805"/>
    <w:rsid w:val="00F55582"/>
    <w:rsid w:val="00F56704"/>
    <w:rsid w:val="00F6118A"/>
    <w:rsid w:val="00F62A2D"/>
    <w:rsid w:val="00F63CDF"/>
    <w:rsid w:val="00F672A1"/>
    <w:rsid w:val="00F71939"/>
    <w:rsid w:val="00F71D7A"/>
    <w:rsid w:val="00F73AEE"/>
    <w:rsid w:val="00F73B15"/>
    <w:rsid w:val="00F74048"/>
    <w:rsid w:val="00F7554E"/>
    <w:rsid w:val="00F75A2A"/>
    <w:rsid w:val="00F80448"/>
    <w:rsid w:val="00F80E0C"/>
    <w:rsid w:val="00F83223"/>
    <w:rsid w:val="00F83287"/>
    <w:rsid w:val="00F83593"/>
    <w:rsid w:val="00F84059"/>
    <w:rsid w:val="00F84836"/>
    <w:rsid w:val="00F86C41"/>
    <w:rsid w:val="00F87E11"/>
    <w:rsid w:val="00F92B9E"/>
    <w:rsid w:val="00F9403E"/>
    <w:rsid w:val="00F95065"/>
    <w:rsid w:val="00FA154C"/>
    <w:rsid w:val="00FA3F69"/>
    <w:rsid w:val="00FA6167"/>
    <w:rsid w:val="00FA6772"/>
    <w:rsid w:val="00FA7C55"/>
    <w:rsid w:val="00FA7D5E"/>
    <w:rsid w:val="00FB065A"/>
    <w:rsid w:val="00FB1A72"/>
    <w:rsid w:val="00FB2C68"/>
    <w:rsid w:val="00FB6553"/>
    <w:rsid w:val="00FB65D1"/>
    <w:rsid w:val="00FB7D46"/>
    <w:rsid w:val="00FC0277"/>
    <w:rsid w:val="00FC0555"/>
    <w:rsid w:val="00FC1A5F"/>
    <w:rsid w:val="00FC1E57"/>
    <w:rsid w:val="00FC51EB"/>
    <w:rsid w:val="00FC554D"/>
    <w:rsid w:val="00FC6C1C"/>
    <w:rsid w:val="00FD031A"/>
    <w:rsid w:val="00FD110C"/>
    <w:rsid w:val="00FD15A8"/>
    <w:rsid w:val="00FD2BDF"/>
    <w:rsid w:val="00FD3B34"/>
    <w:rsid w:val="00FD4AA9"/>
    <w:rsid w:val="00FD72F0"/>
    <w:rsid w:val="00FE0895"/>
    <w:rsid w:val="00FE7925"/>
    <w:rsid w:val="00FF04A9"/>
    <w:rsid w:val="00FF152C"/>
    <w:rsid w:val="00FF56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72"/>
    <w:rPr>
      <w:rFonts w:ascii="Cambria" w:eastAsia="MS Mincho" w:hAnsi="Cambria"/>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72"/>
    <w:rPr>
      <w:rFonts w:ascii="Cambria" w:eastAsia="MS Mincho" w:hAnsi="Cambria"/>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899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7761</Words>
  <Characters>41529</Characters>
  <Application>Microsoft Office Word</Application>
  <DocSecurity>4</DocSecurity>
  <Lines>346</Lines>
  <Paragraphs>98</Paragraphs>
  <ScaleCrop>false</ScaleCrop>
  <HeadingPairs>
    <vt:vector size="2" baseType="variant">
      <vt:variant>
        <vt:lpstr>Title</vt:lpstr>
      </vt:variant>
      <vt:variant>
        <vt:i4>1</vt:i4>
      </vt:variant>
    </vt:vector>
  </HeadingPairs>
  <TitlesOfParts>
    <vt:vector size="1" baseType="lpstr">
      <vt:lpstr>DRAFT REPORT OF THE 11TH MEETING</vt:lpstr>
    </vt:vector>
  </TitlesOfParts>
  <Company/>
  <LinksUpToDate>false</LinksUpToDate>
  <CharactersWithSpaces>49192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11TH MEETING</dc:title>
  <dc:creator>JOSE CRUZ</dc:creator>
  <cp:lastModifiedBy>Catherine Lehmann (UNEP/AEWA Secretariat)</cp:lastModifiedBy>
  <cp:revision>2</cp:revision>
  <dcterms:created xsi:type="dcterms:W3CDTF">2014-11-08T21:17:00Z</dcterms:created>
  <dcterms:modified xsi:type="dcterms:W3CDTF">2014-11-08T21:17:00Z</dcterms:modified>
</cp:coreProperties>
</file>