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8B8A6" w14:textId="6D6F97CF" w:rsidR="004E668D" w:rsidRPr="005C52A8" w:rsidRDefault="00942AF1" w:rsidP="004E668D">
      <w:pPr>
        <w:jc w:val="right"/>
        <w:rPr>
          <w:rFonts w:ascii="Arial" w:eastAsia="Times New Roman" w:hAnsi="Arial" w:cs="Arial"/>
          <w:b/>
          <w:iCs/>
          <w:lang w:val="es-ES"/>
        </w:rPr>
      </w:pPr>
      <w:r>
        <w:rPr>
          <w:rFonts w:ascii="Arial" w:eastAsia="Times New Roman" w:hAnsi="Arial" w:cs="Arial"/>
          <w:b/>
          <w:iCs/>
          <w:lang w:val="es-ES"/>
        </w:rPr>
        <w:t>CRP</w:t>
      </w:r>
      <w:r w:rsidR="004E668D" w:rsidRPr="005C52A8">
        <w:rPr>
          <w:rFonts w:ascii="Arial" w:eastAsia="Times New Roman" w:hAnsi="Arial" w:cs="Arial"/>
          <w:b/>
          <w:iCs/>
          <w:lang w:val="es-ES"/>
        </w:rPr>
        <w:t xml:space="preserve"> 11.2/Anexo</w:t>
      </w:r>
    </w:p>
    <w:p w14:paraId="0084273C" w14:textId="77777777" w:rsidR="004E668D" w:rsidRDefault="004E668D" w:rsidP="00A46C1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A0A5AB1" w14:textId="4BC5DB8A" w:rsidR="00A46C1D" w:rsidRPr="002C5A4B" w:rsidRDefault="00A46C1D" w:rsidP="00A46C1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C5A4B">
        <w:rPr>
          <w:rFonts w:ascii="Arial" w:hAnsi="Arial" w:cs="Arial"/>
          <w:b/>
          <w:bCs/>
        </w:rPr>
        <w:t>COMPENDIO MUNDIAL DEL ESTADO DE CONSERVACIÓN Y LAS MEDIDAS DE GESTIÓN DE LOS TIBURONES</w:t>
      </w:r>
    </w:p>
    <w:p w14:paraId="5A461057" w14:textId="078FCB9F" w:rsidR="00A46C1D" w:rsidRDefault="00A46C1D" w:rsidP="00A46C1D">
      <w:pPr>
        <w:spacing w:after="0" w:line="240" w:lineRule="auto"/>
        <w:rPr>
          <w:rFonts w:ascii="Arial" w:hAnsi="Arial" w:cs="Arial"/>
        </w:rPr>
      </w:pPr>
    </w:p>
    <w:p w14:paraId="32833920" w14:textId="77777777" w:rsidR="002C5A4B" w:rsidRPr="002C5A4B" w:rsidRDefault="002C5A4B" w:rsidP="00A46C1D">
      <w:pPr>
        <w:spacing w:after="0" w:line="240" w:lineRule="auto"/>
        <w:rPr>
          <w:rFonts w:ascii="Arial" w:hAnsi="Arial" w:cs="Arial"/>
        </w:rPr>
      </w:pPr>
    </w:p>
    <w:p w14:paraId="4CEDC3DA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La 4ª Reunión de los Signatarios ha acordado emprender la actividad descrita a continuación en relación con la concienciación y la comunicación e incluir esta actividad en el Programa de Trabajo (2023-2025).</w:t>
      </w:r>
    </w:p>
    <w:p w14:paraId="587F71C3" w14:textId="77777777" w:rsidR="00A46C1D" w:rsidRPr="002C5A4B" w:rsidRDefault="00A46C1D" w:rsidP="00A46C1D">
      <w:pPr>
        <w:spacing w:after="0" w:line="240" w:lineRule="auto"/>
        <w:rPr>
          <w:rFonts w:ascii="Arial" w:hAnsi="Arial" w:cs="Arial"/>
        </w:rPr>
      </w:pPr>
    </w:p>
    <w:p w14:paraId="2C3C3170" w14:textId="58FD6A92" w:rsidR="00A46C1D" w:rsidRPr="002C5A4B" w:rsidRDefault="00A46C1D" w:rsidP="002C5A4B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Objetivos:</w:t>
      </w:r>
    </w:p>
    <w:p w14:paraId="1C41693C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146EEA95" w14:textId="43BC2283" w:rsidR="00A46C1D" w:rsidRPr="002C5A4B" w:rsidRDefault="00A46C1D" w:rsidP="004E668D">
      <w:pPr>
        <w:tabs>
          <w:tab w:val="left" w:pos="90"/>
        </w:tabs>
        <w:spacing w:after="0" w:line="240" w:lineRule="auto"/>
        <w:ind w:left="54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Aumentar la concienciación sobre el estado de conservación de los tiburones y rayas enumerados en el Anexo 1 del MdE e informar a los Signatarios y otros responsables e</w:t>
      </w:r>
      <w:r w:rsidRPr="002C5A4B">
        <w:rPr>
          <w:rFonts w:ascii="Arial" w:hAnsi="Arial" w:cs="Arial"/>
          <w:lang w:val="es-ES"/>
        </w:rPr>
        <w:t>n</w:t>
      </w:r>
      <w:r w:rsidRPr="002C5A4B">
        <w:rPr>
          <w:rFonts w:ascii="Arial" w:hAnsi="Arial" w:cs="Arial"/>
        </w:rPr>
        <w:t xml:space="preserve"> la toma de decisiones sobre las medidas aprobadas por las Organizaciones Regionales de Ordenación Pesquera (OROP), la legislación pesquera nacional y las reuniones relevantes para la conservación y gestión de las especies enumeradas. </w:t>
      </w:r>
    </w:p>
    <w:p w14:paraId="7E2A0A0D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2DD09035" w14:textId="5D64AE9B" w:rsidR="00A46C1D" w:rsidRPr="002C5A4B" w:rsidRDefault="00A46C1D" w:rsidP="002C5A4B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Actividades:</w:t>
      </w:r>
    </w:p>
    <w:p w14:paraId="353901EB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670B64D8" w14:textId="77777777" w:rsidR="00A46C1D" w:rsidRPr="002C5A4B" w:rsidRDefault="00A46C1D" w:rsidP="004E668D">
      <w:pPr>
        <w:spacing w:after="0" w:line="240" w:lineRule="auto"/>
        <w:ind w:left="54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Establecer una base de datos en línea que se actualizará anualmente e incluirá la siguiente información:</w:t>
      </w:r>
    </w:p>
    <w:p w14:paraId="3B288F75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1E143EF1" w14:textId="4C4F2F2B" w:rsidR="00A46C1D" w:rsidRDefault="00A46C1D" w:rsidP="002C5A4B">
      <w:pPr>
        <w:pStyle w:val="ListParagraph"/>
        <w:numPr>
          <w:ilvl w:val="0"/>
          <w:numId w:val="1"/>
        </w:numPr>
        <w:spacing w:after="0" w:line="240" w:lineRule="auto"/>
        <w:ind w:left="907"/>
        <w:contextualSpacing w:val="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 xml:space="preserve">Todas las Medidas de Conservación y Gestión (MMC por sus siglas en inglés) </w:t>
      </w:r>
      <w:r w:rsidR="00942AF1">
        <w:rPr>
          <w:rFonts w:ascii="Arial" w:hAnsi="Arial" w:cs="Arial"/>
          <w:u w:val="single"/>
          <w:lang w:val="es-ES"/>
        </w:rPr>
        <w:t>bajo los órganos consultivos científicos incluyendo e</w:t>
      </w:r>
      <w:r w:rsidR="00942AF1" w:rsidRPr="00942AF1">
        <w:rPr>
          <w:rFonts w:ascii="Arial" w:hAnsi="Arial" w:cs="Arial"/>
          <w:u w:val="single"/>
          <w:lang w:val="es-ES"/>
        </w:rPr>
        <w:t>l Consejo Internacional para la Exploración del Mar (CIEM)</w:t>
      </w:r>
      <w:r w:rsidR="00942AF1">
        <w:rPr>
          <w:rFonts w:ascii="Arial" w:hAnsi="Arial" w:cs="Arial"/>
          <w:u w:val="single"/>
          <w:lang w:val="es-ES"/>
        </w:rPr>
        <w:t xml:space="preserve"> y </w:t>
      </w:r>
      <w:r w:rsidRPr="002C5A4B">
        <w:rPr>
          <w:rFonts w:ascii="Arial" w:hAnsi="Arial" w:cs="Arial"/>
        </w:rPr>
        <w:t>las OROP</w:t>
      </w:r>
      <w:r w:rsidR="00942AF1">
        <w:rPr>
          <w:rFonts w:ascii="Arial" w:hAnsi="Arial" w:cs="Arial"/>
          <w:lang w:val="es-ES"/>
        </w:rPr>
        <w:t>s</w:t>
      </w:r>
      <w:r w:rsidRPr="002C5A4B">
        <w:rPr>
          <w:rFonts w:ascii="Arial" w:hAnsi="Arial" w:cs="Arial"/>
        </w:rPr>
        <w:t xml:space="preserve">, </w:t>
      </w:r>
      <w:r w:rsidR="00B777F4">
        <w:rPr>
          <w:rFonts w:ascii="Arial" w:hAnsi="Arial" w:cs="Arial"/>
          <w:lang w:val="es-ES"/>
        </w:rPr>
        <w:t>implicando a</w:t>
      </w:r>
      <w:r w:rsidRPr="002C5A4B">
        <w:rPr>
          <w:rFonts w:ascii="Arial" w:hAnsi="Arial" w:cs="Arial"/>
        </w:rPr>
        <w:t xml:space="preserve"> </w:t>
      </w:r>
      <w:r w:rsidR="00FC33F2" w:rsidRPr="002C5A4B">
        <w:rPr>
          <w:rFonts w:ascii="Arial" w:hAnsi="Arial" w:cs="Arial"/>
        </w:rPr>
        <w:t>la Comisión General de Pesca del Mediterráneo</w:t>
      </w:r>
      <w:r w:rsidR="002C5A4B">
        <w:rPr>
          <w:rFonts w:ascii="Arial" w:hAnsi="Arial" w:cs="Arial"/>
          <w:lang w:val="es-ES"/>
        </w:rPr>
        <w:t xml:space="preserve"> </w:t>
      </w:r>
      <w:r w:rsidR="00FC33F2" w:rsidRPr="002C5A4B">
        <w:rPr>
          <w:rFonts w:ascii="Arial" w:hAnsi="Arial" w:cs="Arial"/>
          <w:lang w:val="es-ES"/>
        </w:rPr>
        <w:t>(</w:t>
      </w:r>
      <w:r w:rsidRPr="002C5A4B">
        <w:rPr>
          <w:rFonts w:ascii="Arial" w:hAnsi="Arial" w:cs="Arial"/>
        </w:rPr>
        <w:t>CGPM</w:t>
      </w:r>
      <w:r w:rsidR="00FC33F2" w:rsidRPr="002C5A4B">
        <w:rPr>
          <w:rFonts w:ascii="Arial" w:hAnsi="Arial" w:cs="Arial"/>
          <w:lang w:val="es-ES"/>
        </w:rPr>
        <w:t>)</w:t>
      </w:r>
      <w:r w:rsidRPr="002C5A4B">
        <w:rPr>
          <w:rFonts w:ascii="Arial" w:hAnsi="Arial" w:cs="Arial"/>
        </w:rPr>
        <w:t xml:space="preserve">, </w:t>
      </w:r>
      <w:r w:rsidR="00FC33F2" w:rsidRPr="002C5A4B">
        <w:rPr>
          <w:rFonts w:ascii="Arial" w:hAnsi="Arial" w:cs="Arial"/>
        </w:rPr>
        <w:t>la Comisión Internacional para la Conservación del Atún Atlántico (CICAA)</w:t>
      </w:r>
      <w:r w:rsidRPr="002C5A4B">
        <w:rPr>
          <w:rFonts w:ascii="Arial" w:hAnsi="Arial" w:cs="Arial"/>
        </w:rPr>
        <w:t xml:space="preserve">, </w:t>
      </w:r>
      <w:r w:rsidR="00FC33F2" w:rsidRPr="002C5A4B">
        <w:rPr>
          <w:rFonts w:ascii="Arial" w:hAnsi="Arial" w:cs="Arial"/>
          <w:lang w:val="es-ES"/>
        </w:rPr>
        <w:t xml:space="preserve">la </w:t>
      </w:r>
      <w:r w:rsidR="00FC33F2" w:rsidRPr="002C5A4B">
        <w:rPr>
          <w:rFonts w:ascii="Arial" w:hAnsi="Arial" w:cs="Arial"/>
        </w:rPr>
        <w:t>Comisión del Atún para el Océano Índico (CAOI)</w:t>
      </w:r>
      <w:r w:rsidRPr="002C5A4B">
        <w:rPr>
          <w:rFonts w:ascii="Arial" w:hAnsi="Arial" w:cs="Arial"/>
        </w:rPr>
        <w:t xml:space="preserve">, </w:t>
      </w:r>
      <w:r w:rsidR="00FC33F2" w:rsidRPr="002C5A4B">
        <w:rPr>
          <w:rFonts w:ascii="Arial" w:hAnsi="Arial" w:cs="Arial"/>
        </w:rPr>
        <w:t>Comisión Interamericana del Atún Tropical</w:t>
      </w:r>
      <w:r w:rsidR="00FC33F2" w:rsidRPr="002C5A4B">
        <w:rPr>
          <w:rFonts w:ascii="Arial" w:hAnsi="Arial" w:cs="Arial"/>
          <w:lang w:val="es-ES"/>
        </w:rPr>
        <w:t xml:space="preserve"> (</w:t>
      </w:r>
      <w:r w:rsidR="00FC33F2" w:rsidRPr="002C5A4B">
        <w:rPr>
          <w:rFonts w:ascii="Arial" w:hAnsi="Arial" w:cs="Arial"/>
        </w:rPr>
        <w:t>CIAT</w:t>
      </w:r>
      <w:r w:rsidR="00FC33F2" w:rsidRPr="002C5A4B">
        <w:rPr>
          <w:rFonts w:ascii="Arial" w:hAnsi="Arial" w:cs="Arial"/>
          <w:lang w:val="es-ES"/>
        </w:rPr>
        <w:t>)</w:t>
      </w:r>
      <w:r w:rsidR="00B777F4">
        <w:rPr>
          <w:rFonts w:ascii="Arial" w:hAnsi="Arial" w:cs="Arial"/>
          <w:lang w:val="es-ES"/>
        </w:rPr>
        <w:t>,</w:t>
      </w:r>
      <w:r w:rsidR="005C52A8">
        <w:rPr>
          <w:rFonts w:ascii="Arial" w:hAnsi="Arial" w:cs="Arial"/>
          <w:lang w:val="es-ES"/>
        </w:rPr>
        <w:t xml:space="preserve"> </w:t>
      </w:r>
      <w:r w:rsidR="005C52A8" w:rsidRPr="00B777F4">
        <w:rPr>
          <w:rFonts w:ascii="Arial" w:hAnsi="Arial" w:cs="Arial"/>
          <w:strike/>
          <w:lang w:val="es-ES"/>
        </w:rPr>
        <w:t xml:space="preserve">y </w:t>
      </w:r>
      <w:r w:rsidR="005C52A8">
        <w:rPr>
          <w:rFonts w:ascii="Arial" w:hAnsi="Arial" w:cs="Arial"/>
          <w:lang w:val="es-ES"/>
        </w:rPr>
        <w:t>la</w:t>
      </w:r>
      <w:r w:rsidRPr="002C5A4B">
        <w:rPr>
          <w:rFonts w:ascii="Arial" w:hAnsi="Arial" w:cs="Arial"/>
        </w:rPr>
        <w:t xml:space="preserve"> </w:t>
      </w:r>
      <w:r w:rsidR="002C5A4B" w:rsidRPr="002C5A4B">
        <w:rPr>
          <w:rFonts w:ascii="Arial" w:hAnsi="Arial" w:cs="Arial"/>
        </w:rPr>
        <w:t>Comisión de Pesca del Pacífico Occidental y Central</w:t>
      </w:r>
      <w:r w:rsidR="00FC33F2" w:rsidRPr="002C5A4B">
        <w:rPr>
          <w:rFonts w:ascii="Arial" w:hAnsi="Arial" w:cs="Arial"/>
        </w:rPr>
        <w:t xml:space="preserve"> </w:t>
      </w:r>
      <w:r w:rsidR="002C5A4B" w:rsidRPr="002C5A4B">
        <w:rPr>
          <w:rFonts w:ascii="Arial" w:hAnsi="Arial" w:cs="Arial"/>
          <w:lang w:val="es-ES"/>
        </w:rPr>
        <w:t>(</w:t>
      </w:r>
      <w:r w:rsidRPr="002C5A4B">
        <w:rPr>
          <w:rFonts w:ascii="Arial" w:hAnsi="Arial" w:cs="Arial"/>
        </w:rPr>
        <w:t>WCPFC</w:t>
      </w:r>
      <w:r w:rsidR="002C5A4B" w:rsidRPr="002C5A4B">
        <w:rPr>
          <w:rFonts w:ascii="Arial" w:hAnsi="Arial" w:cs="Arial"/>
          <w:lang w:val="es-ES"/>
        </w:rPr>
        <w:t xml:space="preserve"> por sus siglas en inglés)</w:t>
      </w:r>
      <w:r w:rsidR="00B777F4">
        <w:rPr>
          <w:rFonts w:ascii="Arial" w:hAnsi="Arial" w:cs="Arial"/>
          <w:lang w:val="es-ES"/>
        </w:rPr>
        <w:t>,</w:t>
      </w:r>
      <w:r w:rsidR="00B777F4" w:rsidRPr="00B777F4">
        <w:rPr>
          <w:rFonts w:ascii="Arial" w:hAnsi="Arial" w:cs="Arial"/>
          <w:u w:val="single"/>
          <w:lang w:val="es-ES"/>
        </w:rPr>
        <w:t xml:space="preserve"> la </w:t>
      </w:r>
      <w:r w:rsidR="00B777F4" w:rsidRPr="00B777F4">
        <w:rPr>
          <w:rFonts w:ascii="Arial" w:hAnsi="Arial" w:cs="Arial"/>
          <w:u w:val="single"/>
          <w:lang w:val="es-ES"/>
        </w:rPr>
        <w:t>Comisión para la Conservación del Atún Rojo del Sur</w:t>
      </w:r>
      <w:r w:rsidR="00B777F4" w:rsidRPr="00B777F4">
        <w:rPr>
          <w:rFonts w:ascii="Arial" w:hAnsi="Arial" w:cs="Arial"/>
          <w:u w:val="single"/>
          <w:lang w:val="es-ES"/>
        </w:rPr>
        <w:t xml:space="preserve"> (</w:t>
      </w:r>
      <w:r w:rsidR="00B777F4" w:rsidRPr="00B777F4">
        <w:rPr>
          <w:rFonts w:ascii="Arial" w:hAnsi="Arial" w:cs="Arial"/>
          <w:u w:val="single"/>
          <w:lang w:val="es-ES"/>
        </w:rPr>
        <w:t>CCSBT</w:t>
      </w:r>
      <w:r w:rsidR="00B777F4" w:rsidRPr="00B777F4">
        <w:rPr>
          <w:rFonts w:ascii="Arial" w:hAnsi="Arial" w:cs="Arial"/>
          <w:u w:val="single"/>
          <w:lang w:val="es-ES"/>
        </w:rPr>
        <w:t xml:space="preserve"> por sus siglas en inglés)</w:t>
      </w:r>
      <w:r w:rsidR="00B777F4">
        <w:rPr>
          <w:rFonts w:ascii="Arial" w:hAnsi="Arial" w:cs="Arial"/>
          <w:lang w:val="es-ES"/>
        </w:rPr>
        <w:t xml:space="preserve"> </w:t>
      </w:r>
      <w:r w:rsidR="00B777F4" w:rsidRPr="00B777F4">
        <w:rPr>
          <w:rFonts w:ascii="Arial" w:hAnsi="Arial" w:cs="Arial"/>
          <w:u w:val="single"/>
          <w:lang w:val="es-ES"/>
        </w:rPr>
        <w:t xml:space="preserve">y la </w:t>
      </w:r>
      <w:r w:rsidR="00B777F4" w:rsidRPr="00B777F4">
        <w:rPr>
          <w:rFonts w:ascii="Arial" w:hAnsi="Arial" w:cs="Arial"/>
          <w:u w:val="single"/>
          <w:lang w:val="es-ES"/>
        </w:rPr>
        <w:t>organización regional de ordenación pesquera del Pacífico sur (SPRFMO</w:t>
      </w:r>
      <w:r w:rsidR="00B777F4">
        <w:rPr>
          <w:rFonts w:ascii="Arial" w:hAnsi="Arial" w:cs="Arial"/>
          <w:u w:val="single"/>
          <w:lang w:val="es-ES"/>
        </w:rPr>
        <w:t xml:space="preserve"> por sus siglas en inglés</w:t>
      </w:r>
      <w:r w:rsidR="00B777F4" w:rsidRPr="00B777F4">
        <w:rPr>
          <w:rFonts w:ascii="Arial" w:hAnsi="Arial" w:cs="Arial"/>
          <w:u w:val="single"/>
          <w:lang w:val="es-ES"/>
        </w:rPr>
        <w:t>)</w:t>
      </w:r>
      <w:r w:rsidRPr="002C5A4B">
        <w:rPr>
          <w:rFonts w:ascii="Arial" w:hAnsi="Arial" w:cs="Arial"/>
        </w:rPr>
        <w:t>.</w:t>
      </w:r>
    </w:p>
    <w:p w14:paraId="14D1564C" w14:textId="77777777" w:rsidR="00B777F4" w:rsidRDefault="00B777F4" w:rsidP="00B777F4">
      <w:pPr>
        <w:pStyle w:val="ListParagraph"/>
        <w:spacing w:after="0" w:line="240" w:lineRule="auto"/>
        <w:ind w:left="907"/>
        <w:contextualSpacing w:val="0"/>
        <w:jc w:val="both"/>
        <w:rPr>
          <w:rFonts w:ascii="Arial" w:hAnsi="Arial" w:cs="Arial"/>
        </w:rPr>
      </w:pPr>
    </w:p>
    <w:p w14:paraId="22F92D65" w14:textId="12BADD71" w:rsidR="00B777F4" w:rsidRPr="00C20B6F" w:rsidRDefault="00C20B6F" w:rsidP="002C5A4B">
      <w:pPr>
        <w:pStyle w:val="ListParagraph"/>
        <w:numPr>
          <w:ilvl w:val="0"/>
          <w:numId w:val="1"/>
        </w:numPr>
        <w:spacing w:after="0" w:line="240" w:lineRule="auto"/>
        <w:ind w:left="907"/>
        <w:contextualSpacing w:val="0"/>
        <w:jc w:val="both"/>
        <w:rPr>
          <w:rFonts w:ascii="Arial" w:hAnsi="Arial" w:cs="Arial"/>
          <w:u w:val="single"/>
        </w:rPr>
      </w:pPr>
      <w:r w:rsidRPr="00C20B6F">
        <w:rPr>
          <w:rFonts w:ascii="Arial" w:hAnsi="Arial" w:cs="Arial"/>
          <w:u w:val="single"/>
        </w:rPr>
        <w:t>Estado de conservación según la UICN y en virtud de acuerdos medioambientales multilaterales como CITES, y CMS y el Convenio de Berna (Convenio sobre la Conservación de la Vida Silvestre y el Medio Natural en Europa), así como las medidas nacionales/regionales relacionadas</w:t>
      </w:r>
      <w:r>
        <w:rPr>
          <w:rFonts w:ascii="Arial" w:hAnsi="Arial" w:cs="Arial"/>
          <w:u w:val="single"/>
          <w:lang w:val="es-ES"/>
        </w:rPr>
        <w:t>;.</w:t>
      </w:r>
    </w:p>
    <w:p w14:paraId="61ABF0A1" w14:textId="77777777" w:rsidR="002C5A4B" w:rsidRPr="002C5A4B" w:rsidRDefault="002C5A4B" w:rsidP="002C5A4B">
      <w:pPr>
        <w:pStyle w:val="ListParagraph"/>
        <w:spacing w:after="0" w:line="240" w:lineRule="auto"/>
        <w:ind w:left="907"/>
        <w:contextualSpacing w:val="0"/>
        <w:jc w:val="both"/>
        <w:rPr>
          <w:rFonts w:ascii="Arial" w:hAnsi="Arial" w:cs="Arial"/>
        </w:rPr>
      </w:pPr>
    </w:p>
    <w:p w14:paraId="09BF6950" w14:textId="25CDF844" w:rsidR="00A46C1D" w:rsidRPr="002C5A4B" w:rsidRDefault="002C5A4B" w:rsidP="002C5A4B">
      <w:pPr>
        <w:pStyle w:val="ListParagraph"/>
        <w:numPr>
          <w:ilvl w:val="0"/>
          <w:numId w:val="1"/>
        </w:numPr>
        <w:spacing w:after="0" w:line="240" w:lineRule="auto"/>
        <w:ind w:left="907"/>
        <w:contextualSpacing w:val="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Legislación nacional comunicada a las OROP</w:t>
      </w:r>
      <w:r w:rsidR="00C20B6F">
        <w:rPr>
          <w:rFonts w:ascii="Arial" w:hAnsi="Arial" w:cs="Arial"/>
          <w:lang w:val="es-ES"/>
        </w:rPr>
        <w:t xml:space="preserve">s </w:t>
      </w:r>
      <w:r w:rsidR="00C20B6F" w:rsidRPr="00C20B6F">
        <w:rPr>
          <w:rFonts w:ascii="Arial" w:hAnsi="Arial" w:cs="Arial"/>
          <w:u w:val="single"/>
          <w:lang w:val="es-ES"/>
        </w:rPr>
        <w:t>y, en la medida de lo posible, medidas o decisiones nacionales de aplicación de las listas</w:t>
      </w:r>
      <w:r w:rsidR="00C20B6F" w:rsidRPr="00C20B6F">
        <w:rPr>
          <w:rFonts w:ascii="Arial" w:hAnsi="Arial" w:cs="Arial"/>
          <w:u w:val="single"/>
          <w:lang w:val="es-ES"/>
        </w:rPr>
        <w:t xml:space="preserve"> de inclusión</w:t>
      </w:r>
      <w:r w:rsidR="00C20B6F" w:rsidRPr="00C20B6F">
        <w:rPr>
          <w:rFonts w:ascii="Arial" w:hAnsi="Arial" w:cs="Arial"/>
          <w:u w:val="single"/>
          <w:lang w:val="es-ES"/>
        </w:rPr>
        <w:t xml:space="preserve"> de los convenios medioambientales</w:t>
      </w:r>
    </w:p>
    <w:p w14:paraId="28320364" w14:textId="77777777" w:rsidR="002C5A4B" w:rsidRPr="002C5A4B" w:rsidRDefault="002C5A4B" w:rsidP="002C5A4B">
      <w:pPr>
        <w:spacing w:after="0" w:line="240" w:lineRule="auto"/>
        <w:jc w:val="both"/>
        <w:rPr>
          <w:rFonts w:ascii="Arial" w:hAnsi="Arial" w:cs="Arial"/>
        </w:rPr>
      </w:pPr>
    </w:p>
    <w:p w14:paraId="5389251D" w14:textId="6BB139A9" w:rsidR="002C5A4B" w:rsidRPr="002C5A4B" w:rsidRDefault="002C5A4B" w:rsidP="002C5A4B">
      <w:pPr>
        <w:pStyle w:val="ListParagraph"/>
        <w:numPr>
          <w:ilvl w:val="0"/>
          <w:numId w:val="1"/>
        </w:numPr>
        <w:spacing w:after="0" w:line="240" w:lineRule="auto"/>
        <w:ind w:left="907"/>
        <w:contextualSpacing w:val="0"/>
        <w:jc w:val="both"/>
        <w:rPr>
          <w:rFonts w:ascii="Arial" w:hAnsi="Arial" w:cs="Arial"/>
        </w:rPr>
      </w:pPr>
      <w:r w:rsidRPr="00C20B6F">
        <w:rPr>
          <w:rFonts w:ascii="Arial" w:hAnsi="Arial" w:cs="Arial"/>
          <w:strike/>
        </w:rPr>
        <w:t>Estado de conservación de las especies</w:t>
      </w:r>
      <w:r w:rsidRPr="002C5A4B">
        <w:rPr>
          <w:rFonts w:ascii="Arial" w:hAnsi="Arial" w:cs="Arial"/>
        </w:rPr>
        <w:t xml:space="preserve"> - </w:t>
      </w:r>
      <w:r w:rsidRPr="00C20B6F">
        <w:rPr>
          <w:rFonts w:ascii="Arial" w:hAnsi="Arial" w:cs="Arial"/>
          <w:strike/>
        </w:rPr>
        <w:t>e</w:t>
      </w:r>
      <w:r w:rsidR="00C20B6F">
        <w:rPr>
          <w:rFonts w:ascii="Arial" w:hAnsi="Arial" w:cs="Arial"/>
          <w:u w:val="single"/>
          <w:lang w:val="es-ES"/>
        </w:rPr>
        <w:t>E</w:t>
      </w:r>
      <w:r w:rsidRPr="002C5A4B">
        <w:rPr>
          <w:rFonts w:ascii="Arial" w:hAnsi="Arial" w:cs="Arial"/>
        </w:rPr>
        <w:t>stado de las poblaciones en las OROP</w:t>
      </w:r>
      <w:r w:rsidR="00C20B6F">
        <w:rPr>
          <w:rFonts w:ascii="Arial" w:hAnsi="Arial" w:cs="Arial"/>
          <w:lang w:val="es-ES"/>
        </w:rPr>
        <w:t xml:space="preserve"> </w:t>
      </w:r>
      <w:r w:rsidR="00C20B6F" w:rsidRPr="00C20B6F">
        <w:rPr>
          <w:rFonts w:ascii="Arial" w:hAnsi="Arial" w:cs="Arial"/>
          <w:u w:val="single"/>
          <w:lang w:val="es-ES"/>
        </w:rPr>
        <w:t>y los órganos científicos consultivos.</w:t>
      </w:r>
      <w:r w:rsidRPr="002C5A4B">
        <w:rPr>
          <w:rFonts w:ascii="Arial" w:hAnsi="Arial" w:cs="Arial"/>
        </w:rPr>
        <w:t xml:space="preserve"> </w:t>
      </w:r>
      <w:r w:rsidRPr="00C20B6F">
        <w:rPr>
          <w:rFonts w:ascii="Arial" w:hAnsi="Arial" w:cs="Arial"/>
          <w:strike/>
        </w:rPr>
        <w:t>+ base de datos de la UICN (si es posible)</w:t>
      </w:r>
      <w:r w:rsidRPr="002C5A4B">
        <w:rPr>
          <w:rFonts w:ascii="Arial" w:hAnsi="Arial" w:cs="Arial"/>
          <w:lang w:val="es-ES"/>
        </w:rPr>
        <w:t>.</w:t>
      </w:r>
    </w:p>
    <w:p w14:paraId="6B00D49F" w14:textId="77777777" w:rsidR="002C5A4B" w:rsidRPr="002C5A4B" w:rsidRDefault="002C5A4B" w:rsidP="002C5A4B">
      <w:pPr>
        <w:spacing w:after="0" w:line="240" w:lineRule="auto"/>
        <w:jc w:val="both"/>
        <w:rPr>
          <w:rFonts w:ascii="Arial" w:hAnsi="Arial" w:cs="Arial"/>
        </w:rPr>
      </w:pPr>
    </w:p>
    <w:p w14:paraId="2B62B181" w14:textId="783386A8" w:rsidR="002C5A4B" w:rsidRPr="002C5A4B" w:rsidRDefault="002C5A4B" w:rsidP="002C5A4B">
      <w:pPr>
        <w:pStyle w:val="ListParagraph"/>
        <w:numPr>
          <w:ilvl w:val="0"/>
          <w:numId w:val="1"/>
        </w:numPr>
        <w:spacing w:after="0" w:line="240" w:lineRule="auto"/>
        <w:ind w:left="90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 xml:space="preserve">Calendario con todas las reuniones sobre tiburones </w:t>
      </w:r>
      <w:r w:rsidR="00C20B6F" w:rsidRPr="00C20B6F">
        <w:rPr>
          <w:rFonts w:ascii="Arial" w:hAnsi="Arial" w:cs="Arial"/>
          <w:u w:val="single"/>
          <w:lang w:val="es-ES"/>
        </w:rPr>
        <w:t>relevantes</w:t>
      </w:r>
      <w:r w:rsidR="00C20B6F">
        <w:rPr>
          <w:rFonts w:ascii="Arial" w:hAnsi="Arial" w:cs="Arial"/>
          <w:lang w:val="es-ES"/>
        </w:rPr>
        <w:t xml:space="preserve"> </w:t>
      </w:r>
      <w:r w:rsidRPr="002C5A4B">
        <w:rPr>
          <w:rFonts w:ascii="Arial" w:hAnsi="Arial" w:cs="Arial"/>
        </w:rPr>
        <w:t>que se celebran anualmente.</w:t>
      </w:r>
    </w:p>
    <w:p w14:paraId="5FF40AF5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30554248" w14:textId="10E1B4A6" w:rsidR="00A46C1D" w:rsidRPr="002C5A4B" w:rsidRDefault="00043E22" w:rsidP="002C5A4B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Resultados</w:t>
      </w:r>
    </w:p>
    <w:p w14:paraId="51DC7F80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131425F2" w14:textId="438DA9BD" w:rsidR="00A46C1D" w:rsidRPr="002C5A4B" w:rsidRDefault="00A46C1D" w:rsidP="004E668D">
      <w:pPr>
        <w:pStyle w:val="ListParagraph"/>
        <w:numPr>
          <w:ilvl w:val="0"/>
          <w:numId w:val="3"/>
        </w:numPr>
        <w:spacing w:after="0" w:line="240" w:lineRule="auto"/>
        <w:ind w:left="90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Sitio web público independiente</w:t>
      </w:r>
      <w:r w:rsidR="00C20B6F">
        <w:rPr>
          <w:rFonts w:ascii="Arial" w:hAnsi="Arial" w:cs="Arial"/>
          <w:lang w:val="es-ES"/>
        </w:rPr>
        <w:t xml:space="preserve"> </w:t>
      </w:r>
      <w:r w:rsidR="00C20B6F" w:rsidRPr="00C20B6F">
        <w:rPr>
          <w:rFonts w:ascii="Arial" w:hAnsi="Arial" w:cs="Arial"/>
          <w:u w:val="single"/>
          <w:lang w:val="es-ES"/>
        </w:rPr>
        <w:t>(basado en el asesoramiento de un experto en comunicación para el desarrollo de este sitio web)</w:t>
      </w:r>
      <w:r w:rsidRPr="002C5A4B">
        <w:rPr>
          <w:rFonts w:ascii="Arial" w:hAnsi="Arial" w:cs="Arial"/>
        </w:rPr>
        <w:t>, que albergará la Secretaría del MdE sobre tiburones, con opciones de colaboración futura con los organismos pertinentes;</w:t>
      </w:r>
    </w:p>
    <w:p w14:paraId="07008398" w14:textId="77777777" w:rsidR="00A46C1D" w:rsidRPr="002C5A4B" w:rsidRDefault="00A46C1D" w:rsidP="004E668D">
      <w:pPr>
        <w:spacing w:after="0" w:line="240" w:lineRule="auto"/>
        <w:ind w:left="900" w:hanging="360"/>
        <w:jc w:val="both"/>
        <w:rPr>
          <w:rFonts w:ascii="Arial" w:hAnsi="Arial" w:cs="Arial"/>
        </w:rPr>
      </w:pPr>
    </w:p>
    <w:p w14:paraId="39C5070E" w14:textId="3B215AF5" w:rsidR="00A46C1D" w:rsidRPr="002C5A4B" w:rsidRDefault="00A46C1D" w:rsidP="004E668D">
      <w:pPr>
        <w:pStyle w:val="ListParagraph"/>
        <w:numPr>
          <w:ilvl w:val="0"/>
          <w:numId w:val="3"/>
        </w:numPr>
        <w:spacing w:after="0" w:line="240" w:lineRule="auto"/>
        <w:ind w:left="90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Sensibilización y promoción del sitio web y su contenido;</w:t>
      </w:r>
    </w:p>
    <w:p w14:paraId="56AC7DB3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325F1F29" w14:textId="452847E7" w:rsidR="00A46C1D" w:rsidRPr="002C5A4B" w:rsidRDefault="00A46C1D" w:rsidP="002C5A4B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lastRenderedPageBreak/>
        <w:t>Calendario:</w:t>
      </w:r>
    </w:p>
    <w:p w14:paraId="063B274A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265EE89F" w14:textId="78E4EAD4" w:rsidR="00A46C1D" w:rsidRPr="002C5A4B" w:rsidRDefault="00A46C1D" w:rsidP="004E668D">
      <w:pPr>
        <w:pStyle w:val="ListParagraph"/>
        <w:numPr>
          <w:ilvl w:val="0"/>
          <w:numId w:val="4"/>
        </w:numPr>
        <w:spacing w:after="0" w:line="240" w:lineRule="auto"/>
        <w:ind w:left="90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Las actividades se llevarán a cabo dentro del trienio (2023-2025);</w:t>
      </w:r>
    </w:p>
    <w:p w14:paraId="220EF215" w14:textId="77777777" w:rsidR="00A46C1D" w:rsidRPr="002C5A4B" w:rsidRDefault="00A46C1D" w:rsidP="004E668D">
      <w:pPr>
        <w:spacing w:after="0" w:line="240" w:lineRule="auto"/>
        <w:ind w:left="900" w:hanging="360"/>
        <w:jc w:val="both"/>
        <w:rPr>
          <w:rFonts w:ascii="Arial" w:hAnsi="Arial" w:cs="Arial"/>
        </w:rPr>
      </w:pPr>
    </w:p>
    <w:p w14:paraId="3269CCB2" w14:textId="58BBAC9F" w:rsidR="00A46C1D" w:rsidRPr="002C5A4B" w:rsidRDefault="00A46C1D" w:rsidP="004E668D">
      <w:pPr>
        <w:pStyle w:val="ListParagraph"/>
        <w:numPr>
          <w:ilvl w:val="0"/>
          <w:numId w:val="4"/>
        </w:numPr>
        <w:spacing w:after="0" w:line="240" w:lineRule="auto"/>
        <w:ind w:left="90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Se solicita a la Secretaría que informe sobre la implementación.</w:t>
      </w:r>
    </w:p>
    <w:p w14:paraId="1FDEA3EE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3B439E14" w14:textId="204B6716" w:rsidR="00A46C1D" w:rsidRPr="002C5A4B" w:rsidRDefault="00A46C1D" w:rsidP="002C5A4B">
      <w:pPr>
        <w:pStyle w:val="ListParagraph"/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Financiación:</w:t>
      </w:r>
    </w:p>
    <w:p w14:paraId="2C143D15" w14:textId="77777777" w:rsidR="00A46C1D" w:rsidRPr="002C5A4B" w:rsidRDefault="00A46C1D" w:rsidP="00A46C1D">
      <w:pPr>
        <w:spacing w:after="0" w:line="240" w:lineRule="auto"/>
        <w:jc w:val="both"/>
        <w:rPr>
          <w:rFonts w:ascii="Arial" w:hAnsi="Arial" w:cs="Arial"/>
        </w:rPr>
      </w:pPr>
    </w:p>
    <w:p w14:paraId="1F7823F9" w14:textId="38E8DD54" w:rsidR="00A46C1D" w:rsidRPr="002C5A4B" w:rsidRDefault="00A46C1D" w:rsidP="004E668D">
      <w:pPr>
        <w:pStyle w:val="ListParagraph"/>
        <w:numPr>
          <w:ilvl w:val="0"/>
          <w:numId w:val="5"/>
        </w:numPr>
        <w:spacing w:after="0" w:line="240" w:lineRule="auto"/>
        <w:ind w:left="90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 xml:space="preserve">50.000 euros condicionales asignados por la UE. </w:t>
      </w:r>
    </w:p>
    <w:p w14:paraId="5F08DD06" w14:textId="77777777" w:rsidR="00A46C1D" w:rsidRPr="002C5A4B" w:rsidRDefault="00A46C1D" w:rsidP="004E668D">
      <w:pPr>
        <w:spacing w:after="0" w:line="240" w:lineRule="auto"/>
        <w:ind w:left="900" w:hanging="360"/>
        <w:jc w:val="both"/>
        <w:rPr>
          <w:rFonts w:ascii="Arial" w:hAnsi="Arial" w:cs="Arial"/>
        </w:rPr>
      </w:pPr>
    </w:p>
    <w:p w14:paraId="721419A6" w14:textId="3AB9C3D5" w:rsidR="00A46C1D" w:rsidRPr="002C5A4B" w:rsidRDefault="00A46C1D" w:rsidP="004E668D">
      <w:pPr>
        <w:pStyle w:val="ListParagraph"/>
        <w:numPr>
          <w:ilvl w:val="0"/>
          <w:numId w:val="5"/>
        </w:numPr>
        <w:spacing w:after="0" w:line="240" w:lineRule="auto"/>
        <w:ind w:left="900"/>
        <w:jc w:val="both"/>
        <w:rPr>
          <w:rFonts w:ascii="Arial" w:hAnsi="Arial" w:cs="Arial"/>
        </w:rPr>
      </w:pPr>
      <w:r w:rsidRPr="002C5A4B">
        <w:rPr>
          <w:rFonts w:ascii="Arial" w:hAnsi="Arial" w:cs="Arial"/>
        </w:rPr>
        <w:t>Las funciones adicionales estarían sujetas a la financiación adicional de los Firmantes.</w:t>
      </w:r>
    </w:p>
    <w:sectPr w:rsidR="00A46C1D" w:rsidRPr="002C5A4B" w:rsidSect="004E668D">
      <w:headerReference w:type="default" r:id="rId7"/>
      <w:pgSz w:w="11906" w:h="16838"/>
      <w:pgMar w:top="1138" w:right="1138" w:bottom="1138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82EE" w14:textId="77777777" w:rsidR="004E668D" w:rsidRDefault="004E668D" w:rsidP="004E668D">
      <w:pPr>
        <w:spacing w:after="0" w:line="240" w:lineRule="auto"/>
      </w:pPr>
      <w:r>
        <w:separator/>
      </w:r>
    </w:p>
  </w:endnote>
  <w:endnote w:type="continuationSeparator" w:id="0">
    <w:p w14:paraId="5102108A" w14:textId="77777777" w:rsidR="004E668D" w:rsidRDefault="004E668D" w:rsidP="004E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7069" w14:textId="77777777" w:rsidR="004E668D" w:rsidRDefault="004E668D" w:rsidP="004E668D">
      <w:pPr>
        <w:spacing w:after="0" w:line="240" w:lineRule="auto"/>
      </w:pPr>
      <w:r>
        <w:separator/>
      </w:r>
    </w:p>
  </w:footnote>
  <w:footnote w:type="continuationSeparator" w:id="0">
    <w:p w14:paraId="382D03DB" w14:textId="77777777" w:rsidR="004E668D" w:rsidRDefault="004E668D" w:rsidP="004E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4402" w14:textId="7562F987" w:rsidR="004E668D" w:rsidRPr="004E668D" w:rsidRDefault="004E668D" w:rsidP="004E668D">
    <w:pPr>
      <w:keepLines/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right"/>
      <w:outlineLvl w:val="0"/>
      <w:rPr>
        <w:rFonts w:ascii="Arial" w:eastAsia="Times New Roman" w:hAnsi="Arial" w:cs="Arial"/>
        <w:b/>
        <w:i/>
        <w:sz w:val="18"/>
        <w:szCs w:val="18"/>
        <w:lang w:val="en-US"/>
      </w:rPr>
    </w:pPr>
    <w:r w:rsidRPr="004E668D">
      <w:rPr>
        <w:rFonts w:ascii="Arial" w:eastAsia="Times New Roman" w:hAnsi="Arial" w:cs="Arial"/>
        <w:i/>
        <w:sz w:val="18"/>
        <w:szCs w:val="18"/>
        <w:lang w:val="en-US"/>
      </w:rPr>
      <w:t>CMS/Sharks/MOS4/Doc.11.2/Anex</w:t>
    </w:r>
    <w:r>
      <w:rPr>
        <w:rFonts w:ascii="Arial" w:eastAsia="Times New Roman" w:hAnsi="Arial" w:cs="Arial"/>
        <w:i/>
        <w:sz w:val="18"/>
        <w:szCs w:val="18"/>
        <w:lang w:val="en-US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75FC3"/>
    <w:multiLevelType w:val="hybridMultilevel"/>
    <w:tmpl w:val="205A628E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3F41"/>
    <w:multiLevelType w:val="hybridMultilevel"/>
    <w:tmpl w:val="D61CA45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51DF"/>
    <w:multiLevelType w:val="hybridMultilevel"/>
    <w:tmpl w:val="555ACA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1618A"/>
    <w:multiLevelType w:val="hybridMultilevel"/>
    <w:tmpl w:val="4CF025A8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3E9E"/>
    <w:multiLevelType w:val="hybridMultilevel"/>
    <w:tmpl w:val="D4CC3D92"/>
    <w:lvl w:ilvl="0" w:tplc="6C1288F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46049">
    <w:abstractNumId w:val="4"/>
  </w:num>
  <w:num w:numId="2" w16cid:durableId="8533333">
    <w:abstractNumId w:val="1"/>
  </w:num>
  <w:num w:numId="3" w16cid:durableId="969046294">
    <w:abstractNumId w:val="0"/>
  </w:num>
  <w:num w:numId="4" w16cid:durableId="1942641655">
    <w:abstractNumId w:val="3"/>
  </w:num>
  <w:num w:numId="5" w16cid:durableId="185900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1D"/>
    <w:rsid w:val="00043E22"/>
    <w:rsid w:val="00265B3E"/>
    <w:rsid w:val="002C5A4B"/>
    <w:rsid w:val="004E668D"/>
    <w:rsid w:val="005C52A8"/>
    <w:rsid w:val="00942AF1"/>
    <w:rsid w:val="00A46C1D"/>
    <w:rsid w:val="00B777F4"/>
    <w:rsid w:val="00C20B6F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5909"/>
  <w15:chartTrackingRefBased/>
  <w15:docId w15:val="{9D7178C1-2857-4F52-864D-E4A4862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68D"/>
  </w:style>
  <w:style w:type="paragraph" w:styleId="Footer">
    <w:name w:val="footer"/>
    <w:basedOn w:val="Normal"/>
    <w:link w:val="FooterChar"/>
    <w:uiPriority w:val="99"/>
    <w:unhideWhenUsed/>
    <w:rsid w:val="004E6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Victoria Cancino Ordenes</dc:creator>
  <cp:keywords/>
  <dc:description/>
  <cp:lastModifiedBy>Ximena Victoria Cancino Ordenes</cp:lastModifiedBy>
  <cp:revision>2</cp:revision>
  <dcterms:created xsi:type="dcterms:W3CDTF">2023-03-01T23:05:00Z</dcterms:created>
  <dcterms:modified xsi:type="dcterms:W3CDTF">2023-03-01T23:05:00Z</dcterms:modified>
</cp:coreProperties>
</file>