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BEAB0" w14:textId="17007951" w:rsidR="00F41607" w:rsidRPr="00E97911" w:rsidRDefault="00F41607" w:rsidP="00F41607">
      <w:pPr>
        <w:widowControl/>
        <w:autoSpaceDE/>
        <w:autoSpaceDN/>
        <w:adjustRightInd/>
        <w:spacing w:after="160" w:line="259" w:lineRule="auto"/>
        <w:jc w:val="right"/>
        <w:rPr>
          <w:rFonts w:cs="Arial"/>
          <w:b/>
          <w:iCs/>
          <w:sz w:val="22"/>
          <w:szCs w:val="22"/>
          <w:lang w:val="es-ES"/>
        </w:rPr>
      </w:pPr>
      <w:r w:rsidRPr="00E97911">
        <w:rPr>
          <w:rFonts w:cs="Arial"/>
          <w:b/>
          <w:iCs/>
          <w:sz w:val="22"/>
          <w:szCs w:val="22"/>
          <w:lang w:val="es-ES"/>
        </w:rPr>
        <w:t>CRP 10.</w:t>
      </w:r>
      <w:r w:rsidR="00B13148" w:rsidRPr="00E97911">
        <w:rPr>
          <w:rFonts w:cs="Arial"/>
          <w:b/>
          <w:iCs/>
          <w:sz w:val="22"/>
          <w:szCs w:val="22"/>
          <w:lang w:val="es-ES"/>
        </w:rPr>
        <w:t>4</w:t>
      </w:r>
      <w:r w:rsidRPr="00E97911">
        <w:rPr>
          <w:rFonts w:cs="Arial"/>
          <w:b/>
          <w:iCs/>
          <w:sz w:val="22"/>
          <w:szCs w:val="22"/>
          <w:lang w:val="es-ES"/>
        </w:rPr>
        <w:t>/An</w:t>
      </w:r>
      <w:r w:rsidR="00E97911" w:rsidRPr="00E97911">
        <w:rPr>
          <w:rFonts w:cs="Arial"/>
          <w:b/>
          <w:iCs/>
          <w:sz w:val="22"/>
          <w:szCs w:val="22"/>
          <w:lang w:val="es-ES"/>
        </w:rPr>
        <w:t>exo</w:t>
      </w:r>
      <w:r w:rsidRPr="00E97911">
        <w:rPr>
          <w:rFonts w:cs="Arial"/>
          <w:b/>
          <w:iCs/>
          <w:sz w:val="22"/>
          <w:szCs w:val="22"/>
          <w:lang w:val="es-ES"/>
        </w:rPr>
        <w:t xml:space="preserve"> </w:t>
      </w:r>
      <w:r w:rsidR="00FB68EB">
        <w:rPr>
          <w:rFonts w:cs="Arial"/>
          <w:b/>
          <w:iCs/>
          <w:sz w:val="22"/>
          <w:szCs w:val="22"/>
          <w:lang w:val="es-ES"/>
        </w:rPr>
        <w:t>2</w:t>
      </w:r>
    </w:p>
    <w:p w14:paraId="3359E5F0" w14:textId="7514808A" w:rsidR="00E97911" w:rsidRPr="00E97911" w:rsidRDefault="00E97911" w:rsidP="00B97D9D">
      <w:pPr>
        <w:spacing w:after="120"/>
        <w:ind w:right="259"/>
        <w:jc w:val="center"/>
        <w:rPr>
          <w:rFonts w:cs="Arial"/>
          <w:b/>
          <w:bCs/>
          <w:sz w:val="22"/>
          <w:szCs w:val="22"/>
          <w:lang w:val="es-ES"/>
        </w:rPr>
      </w:pPr>
      <w:r w:rsidRPr="00E97911">
        <w:rPr>
          <w:rFonts w:cs="Arial"/>
          <w:b/>
          <w:bCs/>
          <w:sz w:val="22"/>
          <w:szCs w:val="22"/>
          <w:lang w:val="es-ES"/>
        </w:rPr>
        <w:t>ÁREAS IMPORTANTES DE TIBURONES Y RAYAS (ISRA, por sus siglas en inglés)</w:t>
      </w:r>
    </w:p>
    <w:p w14:paraId="2536FF37" w14:textId="52A2AA2F" w:rsidR="00B13148" w:rsidRPr="00E97911" w:rsidRDefault="00B13148" w:rsidP="00B13148">
      <w:pPr>
        <w:spacing w:after="120"/>
        <w:ind w:right="259"/>
        <w:jc w:val="center"/>
        <w:rPr>
          <w:rFonts w:cs="Arial"/>
          <w:b/>
          <w:bCs/>
          <w:sz w:val="22"/>
          <w:szCs w:val="22"/>
          <w:lang w:val="es-ES"/>
        </w:rPr>
      </w:pPr>
    </w:p>
    <w:p w14:paraId="511BE64B" w14:textId="16E470AA" w:rsidR="00FB68EB" w:rsidRPr="00FB68EB" w:rsidRDefault="00FB68EB" w:rsidP="00FB68EB">
      <w:pPr>
        <w:jc w:val="center"/>
        <w:rPr>
          <w:rFonts w:cs="Arial"/>
          <w:b/>
          <w:iCs/>
          <w:sz w:val="22"/>
          <w:szCs w:val="22"/>
          <w:lang w:val="es-ES"/>
        </w:rPr>
      </w:pPr>
      <w:r w:rsidRPr="00FB68EB">
        <w:rPr>
          <w:rFonts w:cs="Arial"/>
          <w:b/>
          <w:iCs/>
          <w:strike/>
          <w:sz w:val="22"/>
          <w:szCs w:val="22"/>
          <w:lang w:val="es-ES"/>
        </w:rPr>
        <w:t>BORRADOR DE</w:t>
      </w:r>
      <w:r>
        <w:rPr>
          <w:rFonts w:cs="Arial"/>
          <w:b/>
          <w:iCs/>
          <w:sz w:val="22"/>
          <w:szCs w:val="22"/>
          <w:lang w:val="es-ES"/>
        </w:rPr>
        <w:t xml:space="preserve"> </w:t>
      </w:r>
      <w:r w:rsidRPr="00FB68EB">
        <w:rPr>
          <w:rFonts w:cs="Arial"/>
          <w:b/>
          <w:iCs/>
          <w:sz w:val="22"/>
          <w:szCs w:val="22"/>
          <w:lang w:val="es-ES"/>
        </w:rPr>
        <w:t>DECISIONES DE LA REUNIÓN</w:t>
      </w:r>
    </w:p>
    <w:p w14:paraId="365EBD5D" w14:textId="77777777" w:rsidR="00FB68EB" w:rsidRPr="00FB68EB" w:rsidRDefault="00FB68EB" w:rsidP="00FB68EB">
      <w:pPr>
        <w:jc w:val="both"/>
        <w:rPr>
          <w:rFonts w:cs="Arial"/>
          <w:bCs/>
          <w:iCs/>
          <w:sz w:val="22"/>
          <w:szCs w:val="22"/>
          <w:lang w:val="es-ES"/>
        </w:rPr>
      </w:pPr>
    </w:p>
    <w:p w14:paraId="6B9364C3" w14:textId="77777777" w:rsidR="00FB68EB" w:rsidRPr="00FB68EB" w:rsidRDefault="00FB68EB" w:rsidP="00FB68EB">
      <w:pPr>
        <w:jc w:val="both"/>
        <w:rPr>
          <w:rFonts w:cs="Arial"/>
          <w:bCs/>
          <w:iCs/>
          <w:sz w:val="22"/>
          <w:szCs w:val="22"/>
          <w:lang w:val="es-ES"/>
        </w:rPr>
      </w:pPr>
      <w:r w:rsidRPr="00FB68EB">
        <w:rPr>
          <w:rFonts w:cs="Arial"/>
          <w:bCs/>
          <w:iCs/>
          <w:sz w:val="22"/>
          <w:szCs w:val="22"/>
          <w:lang w:val="es-ES"/>
        </w:rPr>
        <w:t>Signatarios</w:t>
      </w:r>
    </w:p>
    <w:p w14:paraId="108D6DBA" w14:textId="77777777" w:rsidR="00FB68EB" w:rsidRPr="00FB68EB" w:rsidRDefault="00FB68EB" w:rsidP="00FB68EB">
      <w:pPr>
        <w:jc w:val="both"/>
        <w:rPr>
          <w:rFonts w:cs="Arial"/>
          <w:bCs/>
          <w:iCs/>
          <w:sz w:val="22"/>
          <w:szCs w:val="22"/>
          <w:lang w:val="es-ES"/>
        </w:rPr>
      </w:pPr>
    </w:p>
    <w:p w14:paraId="1CB726CE" w14:textId="77777777" w:rsidR="00FB68EB" w:rsidRPr="00FB68EB" w:rsidRDefault="00FB68EB" w:rsidP="00FB68EB">
      <w:pPr>
        <w:numPr>
          <w:ilvl w:val="0"/>
          <w:numId w:val="3"/>
        </w:numPr>
        <w:ind w:left="540" w:hanging="540"/>
        <w:contextualSpacing/>
        <w:jc w:val="both"/>
        <w:rPr>
          <w:rFonts w:cs="Arial"/>
          <w:bCs/>
          <w:iCs/>
          <w:sz w:val="22"/>
          <w:szCs w:val="22"/>
          <w:lang w:val="es-ES"/>
        </w:rPr>
      </w:pPr>
      <w:r w:rsidRPr="00FB68EB">
        <w:rPr>
          <w:rFonts w:cs="Arial"/>
          <w:bCs/>
          <w:iCs/>
          <w:sz w:val="22"/>
          <w:szCs w:val="22"/>
          <w:lang w:val="es-ES"/>
        </w:rPr>
        <w:t xml:space="preserve">Acogieron con satisfacción la iniciativa y progreso hecho por la Unión Internacional para la Conservación de la Naturaleza Comisión de Supervivencia de Especies Grupo Especialista de Tiburones (IUCN SSC SSG) en desarrollar una robusta selección y criterios de revisión para identificar “Áreas Importantes de Tiburones y Rayas (ISRA)” que complementan y contribuyen a la Convención sobre Diversidad Biológica (CBD) Áreas Ecológica o Biológicamente Significativas (EBSA) y las Áreas Clave de Biodiversidad (KBA).  </w:t>
      </w:r>
    </w:p>
    <w:p w14:paraId="39586316" w14:textId="77777777" w:rsidR="00FB68EB" w:rsidRPr="00FB68EB" w:rsidRDefault="00FB68EB" w:rsidP="00FB68EB">
      <w:pPr>
        <w:rPr>
          <w:sz w:val="22"/>
          <w:szCs w:val="22"/>
          <w:lang w:val="es-ES"/>
        </w:rPr>
      </w:pPr>
    </w:p>
    <w:p w14:paraId="0EDE09F4" w14:textId="77777777" w:rsidR="00FB68EB" w:rsidRPr="00FB68EB" w:rsidRDefault="00FB68EB" w:rsidP="00FB68EB">
      <w:pPr>
        <w:numPr>
          <w:ilvl w:val="0"/>
          <w:numId w:val="3"/>
        </w:numPr>
        <w:ind w:left="540" w:hanging="540"/>
        <w:contextualSpacing/>
        <w:jc w:val="both"/>
        <w:rPr>
          <w:rFonts w:cs="Arial"/>
          <w:bCs/>
          <w:iCs/>
          <w:sz w:val="22"/>
          <w:szCs w:val="22"/>
          <w:lang w:val="es-ES"/>
        </w:rPr>
      </w:pPr>
      <w:r w:rsidRPr="00FB68EB">
        <w:rPr>
          <w:rFonts w:cs="Arial"/>
          <w:bCs/>
          <w:iCs/>
          <w:sz w:val="22"/>
          <w:szCs w:val="22"/>
          <w:lang w:val="es-ES"/>
        </w:rPr>
        <w:t xml:space="preserve">Reconocen los criterios de Áreas Importantes de Tiburones y Rayas (ISRA) y el proceso de identificación descrito en </w:t>
      </w:r>
      <w:r w:rsidRPr="00FB68EB">
        <w:rPr>
          <w:rFonts w:cs="Arial"/>
          <w:b/>
          <w:i/>
          <w:sz w:val="22"/>
          <w:szCs w:val="22"/>
          <w:lang w:val="es-ES"/>
        </w:rPr>
        <w:t>Hyde et al. 2022</w:t>
      </w:r>
      <w:r w:rsidRPr="00FB68EB">
        <w:rPr>
          <w:rFonts w:cs="Arial"/>
          <w:bCs/>
          <w:iCs/>
          <w:sz w:val="22"/>
          <w:szCs w:val="22"/>
          <w:lang w:val="es-ES"/>
        </w:rPr>
        <w:t xml:space="preserve"> y </w:t>
      </w:r>
      <w:proofErr w:type="spellStart"/>
      <w:r w:rsidRPr="00FB68EB">
        <w:rPr>
          <w:rFonts w:cs="Arial"/>
          <w:b/>
          <w:i/>
          <w:sz w:val="22"/>
          <w:szCs w:val="22"/>
          <w:lang w:val="es-ES"/>
        </w:rPr>
        <w:t>Notarbartolo</w:t>
      </w:r>
      <w:proofErr w:type="spellEnd"/>
      <w:r w:rsidRPr="00FB68EB">
        <w:rPr>
          <w:rFonts w:cs="Arial"/>
          <w:b/>
          <w:i/>
          <w:sz w:val="22"/>
          <w:szCs w:val="22"/>
          <w:lang w:val="es-ES"/>
        </w:rPr>
        <w:t xml:space="preserve"> di </w:t>
      </w:r>
      <w:proofErr w:type="spellStart"/>
      <w:r w:rsidRPr="00FB68EB">
        <w:rPr>
          <w:rFonts w:cs="Arial"/>
          <w:b/>
          <w:i/>
          <w:sz w:val="22"/>
          <w:szCs w:val="22"/>
          <w:lang w:val="es-ES"/>
        </w:rPr>
        <w:t>Sciara</w:t>
      </w:r>
      <w:proofErr w:type="spellEnd"/>
      <w:r w:rsidRPr="00FB68EB">
        <w:rPr>
          <w:rFonts w:cs="Arial"/>
          <w:b/>
          <w:i/>
          <w:sz w:val="22"/>
          <w:szCs w:val="22"/>
          <w:lang w:val="es-ES"/>
        </w:rPr>
        <w:t xml:space="preserve"> 2022</w:t>
      </w:r>
      <w:r w:rsidRPr="00FB68EB">
        <w:rPr>
          <w:rFonts w:cs="Arial"/>
          <w:bCs/>
          <w:iCs/>
          <w:sz w:val="22"/>
          <w:szCs w:val="22"/>
          <w:lang w:val="es-ES"/>
        </w:rPr>
        <w:t xml:space="preserve"> y el Documento de Orientación ISRA publicado en el sitio web ISRA (</w:t>
      </w:r>
      <w:hyperlink r:id="rId7" w:history="1">
        <w:r w:rsidRPr="00FB68EB">
          <w:rPr>
            <w:rFonts w:cs="Arial"/>
            <w:bCs/>
            <w:iCs/>
            <w:color w:val="0000FF"/>
            <w:sz w:val="22"/>
            <w:szCs w:val="22"/>
            <w:u w:val="single"/>
            <w:lang w:val="es-ES"/>
          </w:rPr>
          <w:t>sharkrayareas.org</w:t>
        </w:r>
      </w:hyperlink>
      <w:r w:rsidRPr="00FB68EB">
        <w:rPr>
          <w:rFonts w:cs="Arial"/>
          <w:bCs/>
          <w:iCs/>
          <w:sz w:val="22"/>
          <w:szCs w:val="22"/>
          <w:lang w:val="es-ES"/>
        </w:rPr>
        <w:t xml:space="preserve">) para el </w:t>
      </w:r>
      <w:proofErr w:type="spellStart"/>
      <w:r w:rsidRPr="00FB68EB">
        <w:rPr>
          <w:rFonts w:cs="Arial"/>
          <w:bCs/>
          <w:iCs/>
          <w:sz w:val="22"/>
          <w:szCs w:val="22"/>
          <w:lang w:val="es-ES"/>
        </w:rPr>
        <w:t>MdE</w:t>
      </w:r>
      <w:proofErr w:type="spellEnd"/>
      <w:r w:rsidRPr="00FB68EB">
        <w:rPr>
          <w:rFonts w:cs="Arial"/>
          <w:bCs/>
          <w:iCs/>
          <w:sz w:val="22"/>
          <w:szCs w:val="22"/>
          <w:lang w:val="es-ES"/>
        </w:rPr>
        <w:t xml:space="preserve"> sobre los Tiburones Anexo 1-especies en lista y proporcionar como </w:t>
      </w:r>
      <w:hyperlink r:id="rId8" w:history="1">
        <w:r w:rsidRPr="00FB68EB">
          <w:rPr>
            <w:rFonts w:cs="Arial"/>
            <w:bCs/>
            <w:iCs/>
            <w:color w:val="0000FF"/>
            <w:sz w:val="22"/>
            <w:szCs w:val="22"/>
            <w:u w:val="single"/>
            <w:lang w:val="es-ES"/>
          </w:rPr>
          <w:t>CMS/</w:t>
        </w:r>
        <w:proofErr w:type="spellStart"/>
        <w:r w:rsidRPr="00FB68EB">
          <w:rPr>
            <w:rFonts w:cs="Arial"/>
            <w:bCs/>
            <w:iCs/>
            <w:color w:val="0000FF"/>
            <w:sz w:val="22"/>
            <w:szCs w:val="22"/>
            <w:u w:val="single"/>
            <w:lang w:val="es-ES"/>
          </w:rPr>
          <w:t>Sharks</w:t>
        </w:r>
        <w:proofErr w:type="spellEnd"/>
        <w:r w:rsidRPr="00FB68EB">
          <w:rPr>
            <w:rFonts w:cs="Arial"/>
            <w:bCs/>
            <w:iCs/>
            <w:color w:val="0000FF"/>
            <w:sz w:val="22"/>
            <w:szCs w:val="22"/>
            <w:u w:val="single"/>
            <w:lang w:val="es-ES"/>
          </w:rPr>
          <w:t>/MOS4/Inf.5</w:t>
        </w:r>
      </w:hyperlink>
      <w:r w:rsidRPr="00FB68EB">
        <w:rPr>
          <w:rFonts w:cs="Arial"/>
          <w:bCs/>
          <w:iCs/>
          <w:sz w:val="22"/>
          <w:szCs w:val="22"/>
          <w:lang w:val="es-ES"/>
        </w:rPr>
        <w:t>;</w:t>
      </w:r>
    </w:p>
    <w:p w14:paraId="773089A3" w14:textId="77777777" w:rsidR="00FB68EB" w:rsidRPr="00FB68EB" w:rsidRDefault="00FB68EB" w:rsidP="00FB68EB">
      <w:pPr>
        <w:ind w:left="540"/>
        <w:contextualSpacing/>
        <w:jc w:val="both"/>
        <w:rPr>
          <w:rFonts w:cs="Arial"/>
          <w:bCs/>
          <w:iCs/>
          <w:sz w:val="22"/>
          <w:szCs w:val="22"/>
          <w:lang w:val="es-ES"/>
        </w:rPr>
      </w:pPr>
    </w:p>
    <w:p w14:paraId="1C1D34AB" w14:textId="78701C33" w:rsidR="00FB68EB" w:rsidRPr="00FB68EB" w:rsidRDefault="00FB68EB" w:rsidP="00FB68EB">
      <w:pPr>
        <w:numPr>
          <w:ilvl w:val="0"/>
          <w:numId w:val="3"/>
        </w:numPr>
        <w:ind w:left="540" w:hanging="540"/>
        <w:contextualSpacing/>
        <w:jc w:val="both"/>
        <w:rPr>
          <w:rFonts w:cs="Arial"/>
          <w:bCs/>
          <w:iCs/>
          <w:sz w:val="22"/>
          <w:szCs w:val="22"/>
          <w:lang w:val="es-ES"/>
        </w:rPr>
      </w:pPr>
      <w:r w:rsidRPr="00FB68EB">
        <w:rPr>
          <w:rFonts w:cs="Arial"/>
          <w:bCs/>
          <w:iCs/>
          <w:sz w:val="22"/>
          <w:szCs w:val="22"/>
          <w:lang w:val="es-ES"/>
        </w:rPr>
        <w:t xml:space="preserve">Reconocen que las </w:t>
      </w:r>
      <w:r w:rsidRPr="00FB68EB">
        <w:rPr>
          <w:rFonts w:cs="Arial"/>
          <w:b/>
          <w:iCs/>
          <w:sz w:val="22"/>
          <w:szCs w:val="22"/>
          <w:lang w:val="es-ES"/>
        </w:rPr>
        <w:t>Áreas Importantes de Tiburones y Rayas (ISRA)</w:t>
      </w:r>
      <w:r w:rsidRPr="00FB68EB">
        <w:rPr>
          <w:rFonts w:cs="Arial"/>
          <w:bCs/>
          <w:iCs/>
          <w:sz w:val="22"/>
          <w:szCs w:val="22"/>
          <w:lang w:val="es-ES"/>
        </w:rPr>
        <w:t xml:space="preserve"> son una clasificación basada en expertos</w:t>
      </w:r>
      <w:r w:rsidR="004D57E5">
        <w:rPr>
          <w:rFonts w:cs="Arial"/>
          <w:bCs/>
          <w:iCs/>
          <w:sz w:val="22"/>
          <w:szCs w:val="22"/>
          <w:lang w:val="es-ES"/>
        </w:rPr>
        <w:t xml:space="preserve"> </w:t>
      </w:r>
      <w:r w:rsidR="004D57E5" w:rsidRPr="004D57E5">
        <w:rPr>
          <w:rFonts w:cs="Arial"/>
          <w:bCs/>
          <w:iCs/>
          <w:sz w:val="22"/>
          <w:szCs w:val="22"/>
          <w:u w:val="single"/>
          <w:lang w:val="es-ES"/>
        </w:rPr>
        <w:t>que puede utilizarse como un valioso recurso para la integración de las especies de tiburones, rayas y quimeras en las estrategias de conservación nacionales, regionales e internacionales existentes y futuras</w:t>
      </w:r>
      <w:r w:rsidR="004D57E5">
        <w:rPr>
          <w:rFonts w:cs="Arial"/>
          <w:bCs/>
          <w:iCs/>
          <w:sz w:val="22"/>
          <w:szCs w:val="22"/>
          <w:lang w:val="es-ES"/>
        </w:rPr>
        <w:t>.</w:t>
      </w:r>
      <w:r w:rsidRPr="00FB68EB">
        <w:rPr>
          <w:rFonts w:cs="Arial"/>
          <w:bCs/>
          <w:iCs/>
          <w:sz w:val="22"/>
          <w:szCs w:val="22"/>
          <w:lang w:val="es-ES"/>
        </w:rPr>
        <w:t xml:space="preserve"> </w:t>
      </w:r>
      <w:r w:rsidRPr="004D57E5">
        <w:rPr>
          <w:rFonts w:cs="Arial"/>
          <w:bCs/>
          <w:iCs/>
          <w:strike/>
          <w:sz w:val="22"/>
          <w:szCs w:val="22"/>
          <w:lang w:val="es-ES"/>
        </w:rPr>
        <w:t>aplicada a los océanos del mundo, y cuerpos acuáticos terrestres relevantes, que consisten en porciones discretas de hábitat, importantes para las especies de tiburón, raya y quimera, que tienen el potencial de ser delineadas y gestionadas para la conservación.</w:t>
      </w:r>
    </w:p>
    <w:p w14:paraId="277A40BD" w14:textId="77777777" w:rsidR="00FB68EB" w:rsidRPr="00FB68EB" w:rsidRDefault="00FB68EB" w:rsidP="00FB68EB">
      <w:pPr>
        <w:ind w:left="720"/>
        <w:contextualSpacing/>
        <w:rPr>
          <w:rFonts w:cs="Arial"/>
          <w:bCs/>
          <w:iCs/>
          <w:sz w:val="22"/>
          <w:szCs w:val="22"/>
          <w:lang w:val="es-ES"/>
        </w:rPr>
      </w:pPr>
    </w:p>
    <w:p w14:paraId="18126A7B" w14:textId="77777777" w:rsidR="00FB68EB" w:rsidRPr="00FB68EB" w:rsidRDefault="00FB68EB" w:rsidP="00FB68EB">
      <w:pPr>
        <w:numPr>
          <w:ilvl w:val="0"/>
          <w:numId w:val="3"/>
        </w:numPr>
        <w:ind w:left="540" w:hanging="540"/>
        <w:contextualSpacing/>
        <w:jc w:val="both"/>
        <w:rPr>
          <w:rFonts w:cs="Arial"/>
          <w:bCs/>
          <w:iCs/>
          <w:sz w:val="22"/>
          <w:szCs w:val="22"/>
          <w:lang w:val="es-ES"/>
        </w:rPr>
      </w:pPr>
      <w:r w:rsidRPr="00FB68EB">
        <w:rPr>
          <w:rFonts w:cs="Arial"/>
          <w:bCs/>
          <w:iCs/>
          <w:sz w:val="22"/>
          <w:szCs w:val="22"/>
          <w:lang w:val="es-ES"/>
        </w:rPr>
        <w:t xml:space="preserve">Acordaron a: </w:t>
      </w:r>
    </w:p>
    <w:p w14:paraId="158B9FAB" w14:textId="77777777" w:rsidR="00FB68EB" w:rsidRPr="00FB68EB" w:rsidRDefault="00FB68EB" w:rsidP="00FB68EB">
      <w:pPr>
        <w:jc w:val="both"/>
        <w:rPr>
          <w:rFonts w:cs="Arial"/>
          <w:bCs/>
          <w:iCs/>
          <w:sz w:val="22"/>
          <w:szCs w:val="22"/>
          <w:lang w:val="es-ES"/>
        </w:rPr>
      </w:pPr>
    </w:p>
    <w:p w14:paraId="28791254" w14:textId="2D40815E" w:rsidR="00FB68EB" w:rsidRPr="00FB68EB" w:rsidRDefault="004D57E5" w:rsidP="00FB68EB">
      <w:pPr>
        <w:numPr>
          <w:ilvl w:val="1"/>
          <w:numId w:val="4"/>
        </w:numPr>
        <w:ind w:left="900" w:hanging="333"/>
        <w:contextualSpacing/>
        <w:jc w:val="both"/>
        <w:rPr>
          <w:sz w:val="22"/>
          <w:szCs w:val="22"/>
          <w:lang w:val="es-ES"/>
        </w:rPr>
      </w:pPr>
      <w:r w:rsidRPr="004D57E5">
        <w:rPr>
          <w:rFonts w:cs="Arial"/>
          <w:bCs/>
          <w:iCs/>
          <w:sz w:val="22"/>
          <w:szCs w:val="22"/>
          <w:u w:val="single"/>
          <w:lang w:val="es-ES"/>
        </w:rPr>
        <w:t xml:space="preserve">Alienta y donde sea posible dar </w:t>
      </w:r>
      <w:r w:rsidR="00FB68EB" w:rsidRPr="004D57E5">
        <w:rPr>
          <w:rFonts w:cs="Arial"/>
          <w:bCs/>
          <w:iCs/>
          <w:sz w:val="22"/>
          <w:szCs w:val="22"/>
          <w:lang w:val="es-ES"/>
        </w:rPr>
        <w:t>apoyo</w:t>
      </w:r>
      <w:r w:rsidR="00FB68EB" w:rsidRPr="00FB68EB">
        <w:rPr>
          <w:rFonts w:cs="Arial"/>
          <w:bCs/>
          <w:iCs/>
          <w:sz w:val="22"/>
          <w:szCs w:val="22"/>
          <w:lang w:val="es-ES"/>
        </w:rPr>
        <w:t xml:space="preserve"> </w:t>
      </w:r>
      <w:r>
        <w:rPr>
          <w:rFonts w:cs="Arial"/>
          <w:bCs/>
          <w:iCs/>
          <w:sz w:val="22"/>
          <w:szCs w:val="22"/>
          <w:u w:val="single"/>
          <w:lang w:val="es-ES"/>
        </w:rPr>
        <w:t xml:space="preserve">en consulta con Signatarios y los Estados del área de distribución </w:t>
      </w:r>
      <w:r w:rsidR="00FB68EB" w:rsidRPr="004D57E5">
        <w:rPr>
          <w:rFonts w:cs="Arial"/>
          <w:bCs/>
          <w:iCs/>
          <w:strike/>
          <w:sz w:val="22"/>
          <w:szCs w:val="22"/>
          <w:lang w:val="es-ES"/>
        </w:rPr>
        <w:t>del</w:t>
      </w:r>
      <w:r w:rsidR="00FB68EB" w:rsidRPr="00FB68EB">
        <w:rPr>
          <w:rFonts w:cs="Arial"/>
          <w:bCs/>
          <w:iCs/>
          <w:sz w:val="22"/>
          <w:szCs w:val="22"/>
          <w:lang w:val="es-ES"/>
        </w:rPr>
        <w:t xml:space="preserve"> </w:t>
      </w:r>
      <w:r w:rsidRPr="004D57E5">
        <w:rPr>
          <w:rFonts w:cs="Arial"/>
          <w:bCs/>
          <w:iCs/>
          <w:sz w:val="22"/>
          <w:szCs w:val="22"/>
          <w:u w:val="single"/>
          <w:lang w:val="es-ES"/>
        </w:rPr>
        <w:t>a la</w:t>
      </w:r>
      <w:r>
        <w:rPr>
          <w:rFonts w:cs="Arial"/>
          <w:bCs/>
          <w:iCs/>
          <w:sz w:val="22"/>
          <w:szCs w:val="22"/>
          <w:lang w:val="es-ES"/>
        </w:rPr>
        <w:t xml:space="preserve"> </w:t>
      </w:r>
      <w:r w:rsidR="00FB68EB" w:rsidRPr="00FB68EB">
        <w:rPr>
          <w:rFonts w:cs="Arial"/>
          <w:bCs/>
          <w:iCs/>
          <w:sz w:val="22"/>
          <w:szCs w:val="22"/>
          <w:lang w:val="es-ES"/>
        </w:rPr>
        <w:t>IUCN SSC SSG para avanzar en estos planteamientos</w:t>
      </w:r>
      <w:r w:rsidR="00FB68EB" w:rsidRPr="004D57E5">
        <w:rPr>
          <w:rFonts w:cs="Arial"/>
          <w:bCs/>
          <w:iCs/>
          <w:strike/>
          <w:sz w:val="22"/>
          <w:szCs w:val="22"/>
          <w:lang w:val="es-ES"/>
        </w:rPr>
        <w:t xml:space="preserve"> y recomiendan que dicha labor para identificar áreas específicas involucre a las autoridades de los Signatarios y Estados del área de distribución en el espíritu de transparencia en un estadio temprano</w:t>
      </w:r>
      <w:r w:rsidR="00FB68EB" w:rsidRPr="00FB68EB">
        <w:rPr>
          <w:rFonts w:cs="Arial"/>
          <w:bCs/>
          <w:iCs/>
          <w:sz w:val="22"/>
          <w:szCs w:val="22"/>
          <w:lang w:val="es-ES"/>
        </w:rPr>
        <w:t>;</w:t>
      </w:r>
    </w:p>
    <w:p w14:paraId="47C0E4A0" w14:textId="77777777" w:rsidR="00FB68EB" w:rsidRPr="00FB68EB" w:rsidRDefault="00FB68EB" w:rsidP="00FB68EB">
      <w:pPr>
        <w:ind w:left="900" w:hanging="333"/>
        <w:contextualSpacing/>
        <w:jc w:val="both"/>
        <w:rPr>
          <w:sz w:val="22"/>
          <w:szCs w:val="22"/>
          <w:lang w:val="es-ES"/>
        </w:rPr>
      </w:pPr>
    </w:p>
    <w:p w14:paraId="4E0FAC3C" w14:textId="3AEE0ECA" w:rsidR="00FB68EB" w:rsidRPr="00FB68EB" w:rsidRDefault="00BE298C" w:rsidP="00FB68EB">
      <w:pPr>
        <w:numPr>
          <w:ilvl w:val="1"/>
          <w:numId w:val="4"/>
        </w:numPr>
        <w:ind w:left="900" w:hanging="333"/>
        <w:contextualSpacing/>
        <w:jc w:val="both"/>
        <w:rPr>
          <w:rFonts w:cs="Arial"/>
          <w:bCs/>
          <w:iCs/>
          <w:sz w:val="22"/>
          <w:szCs w:val="22"/>
          <w:lang w:val="es-ES"/>
        </w:rPr>
      </w:pPr>
      <w:r>
        <w:rPr>
          <w:rFonts w:cs="Arial"/>
          <w:bCs/>
          <w:iCs/>
          <w:sz w:val="22"/>
          <w:szCs w:val="22"/>
          <w:lang w:val="es-ES"/>
        </w:rPr>
        <w:t>A</w:t>
      </w:r>
      <w:r w:rsidR="00FB68EB" w:rsidRPr="00FB68EB">
        <w:rPr>
          <w:rFonts w:cs="Arial"/>
          <w:bCs/>
          <w:iCs/>
          <w:sz w:val="22"/>
          <w:szCs w:val="22"/>
          <w:lang w:val="es-ES"/>
        </w:rPr>
        <w:t xml:space="preserve">poyar </w:t>
      </w:r>
      <w:r w:rsidR="004D57E5">
        <w:rPr>
          <w:rFonts w:cs="Arial"/>
          <w:bCs/>
          <w:iCs/>
          <w:sz w:val="22"/>
          <w:szCs w:val="22"/>
          <w:u w:val="single"/>
          <w:lang w:val="es-ES"/>
        </w:rPr>
        <w:t xml:space="preserve">a la </w:t>
      </w:r>
      <w:r w:rsidR="004D57E5" w:rsidRPr="004D57E5">
        <w:rPr>
          <w:rFonts w:cs="Arial"/>
          <w:bCs/>
          <w:iCs/>
          <w:sz w:val="22"/>
          <w:szCs w:val="22"/>
          <w:u w:val="single"/>
          <w:lang w:val="es-ES"/>
        </w:rPr>
        <w:t>IUCN SSC SSG</w:t>
      </w:r>
      <w:r w:rsidR="004D57E5">
        <w:rPr>
          <w:rFonts w:cs="Arial"/>
          <w:bCs/>
          <w:iCs/>
          <w:sz w:val="22"/>
          <w:szCs w:val="22"/>
          <w:u w:val="single"/>
          <w:lang w:val="es-ES"/>
        </w:rPr>
        <w:t xml:space="preserve"> según proceda y sea factible</w:t>
      </w:r>
      <w:r w:rsidR="004D57E5" w:rsidRPr="00FB68EB">
        <w:rPr>
          <w:rFonts w:cs="Arial"/>
          <w:bCs/>
          <w:iCs/>
          <w:sz w:val="22"/>
          <w:szCs w:val="22"/>
          <w:lang w:val="es-ES"/>
        </w:rPr>
        <w:t xml:space="preserve"> </w:t>
      </w:r>
      <w:r w:rsidR="00FB68EB" w:rsidRPr="00FB68EB">
        <w:rPr>
          <w:rFonts w:cs="Arial"/>
          <w:bCs/>
          <w:iCs/>
          <w:sz w:val="22"/>
          <w:szCs w:val="22"/>
          <w:lang w:val="es-ES"/>
        </w:rPr>
        <w:t xml:space="preserve">con la identificación </w:t>
      </w:r>
      <w:r w:rsidR="00FB68EB" w:rsidRPr="00BE298C">
        <w:rPr>
          <w:rFonts w:cs="Arial"/>
          <w:bCs/>
          <w:iCs/>
          <w:strike/>
          <w:sz w:val="22"/>
          <w:szCs w:val="22"/>
          <w:lang w:val="es-ES"/>
        </w:rPr>
        <w:t xml:space="preserve">de áreas específicas donde la delineación </w:t>
      </w:r>
      <w:r w:rsidR="00FB68EB" w:rsidRPr="00FB68EB">
        <w:rPr>
          <w:rFonts w:cs="Arial"/>
          <w:bCs/>
          <w:iCs/>
          <w:sz w:val="22"/>
          <w:szCs w:val="22"/>
          <w:lang w:val="es-ES"/>
        </w:rPr>
        <w:t>de las ISRA</w:t>
      </w:r>
      <w:r>
        <w:rPr>
          <w:rFonts w:cs="Arial"/>
          <w:bCs/>
          <w:iCs/>
          <w:sz w:val="22"/>
          <w:szCs w:val="22"/>
          <w:lang w:val="es-ES"/>
        </w:rPr>
        <w:t xml:space="preserve"> </w:t>
      </w:r>
      <w:r w:rsidRPr="00BE298C">
        <w:rPr>
          <w:rFonts w:cs="Arial"/>
          <w:bCs/>
          <w:iCs/>
          <w:sz w:val="22"/>
          <w:szCs w:val="22"/>
          <w:u w:val="single"/>
          <w:lang w:val="es-ES"/>
        </w:rPr>
        <w:t>entre otras cosas, compartiendo la información y los conocimientos pertinentes y, por ejemplo, facilitando datos cuando</w:t>
      </w:r>
      <w:r w:rsidRPr="00BE298C">
        <w:rPr>
          <w:rFonts w:cs="Arial"/>
          <w:bCs/>
          <w:iCs/>
          <w:sz w:val="22"/>
          <w:szCs w:val="22"/>
          <w:u w:val="single"/>
          <w:lang w:val="es-ES"/>
        </w:rPr>
        <w:t xml:space="preserve"> estén </w:t>
      </w:r>
      <w:proofErr w:type="spellStart"/>
      <w:proofErr w:type="gramStart"/>
      <w:r w:rsidRPr="00BE298C">
        <w:rPr>
          <w:rFonts w:cs="Arial"/>
          <w:bCs/>
          <w:iCs/>
          <w:sz w:val="22"/>
          <w:szCs w:val="22"/>
          <w:u w:val="single"/>
          <w:lang w:val="es-ES"/>
        </w:rPr>
        <w:t>disponible</w:t>
      </w:r>
      <w:r>
        <w:rPr>
          <w:rFonts w:cs="Arial"/>
          <w:bCs/>
          <w:iCs/>
          <w:sz w:val="22"/>
          <w:szCs w:val="22"/>
          <w:u w:val="single"/>
          <w:lang w:val="es-ES"/>
        </w:rPr>
        <w:t>.</w:t>
      </w:r>
      <w:r w:rsidRPr="00BE298C">
        <w:rPr>
          <w:rFonts w:cs="Arial"/>
          <w:bCs/>
          <w:iCs/>
          <w:sz w:val="22"/>
          <w:szCs w:val="22"/>
          <w:u w:val="single"/>
          <w:lang w:val="es-ES"/>
        </w:rPr>
        <w:t>s</w:t>
      </w:r>
      <w:proofErr w:type="spellEnd"/>
      <w:proofErr w:type="gramEnd"/>
      <w:r w:rsidR="00FB68EB" w:rsidRPr="00BE298C">
        <w:rPr>
          <w:rFonts w:cs="Arial"/>
          <w:bCs/>
          <w:iCs/>
          <w:strike/>
          <w:sz w:val="22"/>
          <w:szCs w:val="22"/>
          <w:lang w:val="es-ES"/>
        </w:rPr>
        <w:t xml:space="preserve"> podría ser particularmente beneficiosa, por ejemplo estimulando el diseño y conectividad de la red de áreas protegidas, o abordando las amenazas a tiburones y rayas de una forma más integra</w:t>
      </w:r>
      <w:r w:rsidR="00FB68EB" w:rsidRPr="00BE298C">
        <w:rPr>
          <w:rFonts w:cs="Arial"/>
          <w:bCs/>
          <w:iCs/>
          <w:sz w:val="22"/>
          <w:szCs w:val="22"/>
          <w:lang w:val="es-ES"/>
        </w:rPr>
        <w:t>l;</w:t>
      </w:r>
    </w:p>
    <w:p w14:paraId="4A4F5908" w14:textId="77777777" w:rsidR="00FB68EB" w:rsidRPr="00FB68EB" w:rsidRDefault="00FB68EB" w:rsidP="00FB68EB">
      <w:pPr>
        <w:ind w:left="720"/>
        <w:contextualSpacing/>
        <w:rPr>
          <w:rFonts w:cs="Arial"/>
          <w:bCs/>
          <w:iCs/>
          <w:sz w:val="22"/>
          <w:szCs w:val="22"/>
          <w:lang w:val="es-ES"/>
        </w:rPr>
      </w:pPr>
    </w:p>
    <w:p w14:paraId="61175C93" w14:textId="77777777" w:rsidR="00FB68EB" w:rsidRPr="00FB68EB" w:rsidRDefault="00FB68EB" w:rsidP="00FB68EB">
      <w:pPr>
        <w:numPr>
          <w:ilvl w:val="0"/>
          <w:numId w:val="3"/>
        </w:numPr>
        <w:ind w:left="540" w:hanging="540"/>
        <w:contextualSpacing/>
        <w:jc w:val="both"/>
        <w:rPr>
          <w:rFonts w:cs="Arial"/>
          <w:bCs/>
          <w:iCs/>
          <w:sz w:val="22"/>
          <w:szCs w:val="22"/>
          <w:lang w:val="es-ES"/>
        </w:rPr>
      </w:pPr>
      <w:r w:rsidRPr="00FB68EB">
        <w:rPr>
          <w:rFonts w:cs="Arial"/>
          <w:bCs/>
          <w:iCs/>
          <w:sz w:val="22"/>
          <w:szCs w:val="22"/>
          <w:lang w:val="es-ES"/>
        </w:rPr>
        <w:t>solicitaron a la Secretaría que continúe en contacto con el IUCN SSC SSG e informar sobre el progreso a MOS5.</w:t>
      </w:r>
    </w:p>
    <w:p w14:paraId="584756FB" w14:textId="77777777" w:rsidR="00FB68EB" w:rsidRPr="00FB68EB" w:rsidRDefault="00FB68EB" w:rsidP="00FB68EB">
      <w:pPr>
        <w:jc w:val="both"/>
        <w:rPr>
          <w:rFonts w:cs="Arial"/>
          <w:sz w:val="22"/>
          <w:szCs w:val="22"/>
          <w:lang w:val="es-ES"/>
        </w:rPr>
      </w:pPr>
    </w:p>
    <w:p w14:paraId="43E0C462" w14:textId="77777777" w:rsidR="00FB68EB" w:rsidRDefault="00FB68EB" w:rsidP="00FB68EB">
      <w:pPr>
        <w:jc w:val="both"/>
        <w:rPr>
          <w:rFonts w:cs="Arial"/>
          <w:lang w:val="es-ES"/>
        </w:rPr>
      </w:pPr>
    </w:p>
    <w:p w14:paraId="44C69993" w14:textId="23C34317" w:rsidR="00E97911" w:rsidRPr="00E97911" w:rsidRDefault="00E97911" w:rsidP="00E97911">
      <w:pPr>
        <w:jc w:val="center"/>
        <w:rPr>
          <w:rFonts w:cs="Arial"/>
          <w:bCs/>
          <w:iCs/>
          <w:sz w:val="22"/>
          <w:szCs w:val="22"/>
          <w:lang w:val="es-ES"/>
        </w:rPr>
      </w:pPr>
    </w:p>
    <w:p w14:paraId="4567A6B0" w14:textId="77777777" w:rsidR="0048769B" w:rsidRPr="00E97911" w:rsidRDefault="0048769B" w:rsidP="00B13148">
      <w:pPr>
        <w:spacing w:after="120"/>
        <w:ind w:right="259"/>
        <w:jc w:val="center"/>
        <w:rPr>
          <w:rFonts w:cs="Arial"/>
          <w:b/>
          <w:bCs/>
          <w:sz w:val="22"/>
          <w:szCs w:val="22"/>
          <w:lang w:val="es-ES"/>
        </w:rPr>
      </w:pPr>
    </w:p>
    <w:p w14:paraId="29F5F93E" w14:textId="77777777" w:rsidR="00B13148" w:rsidRPr="0048769B" w:rsidRDefault="00B13148" w:rsidP="00B13148">
      <w:pPr>
        <w:jc w:val="both"/>
        <w:rPr>
          <w:rFonts w:cs="Arial"/>
          <w:bCs/>
          <w:iCs/>
          <w:sz w:val="22"/>
          <w:szCs w:val="22"/>
          <w:lang w:val="es-ES"/>
        </w:rPr>
      </w:pPr>
    </w:p>
    <w:p w14:paraId="2C6A58EF" w14:textId="77777777" w:rsidR="0043670F" w:rsidRPr="00E97911" w:rsidRDefault="0043670F">
      <w:pPr>
        <w:rPr>
          <w:sz w:val="22"/>
          <w:szCs w:val="22"/>
          <w:lang w:val="es-ES"/>
        </w:rPr>
      </w:pPr>
    </w:p>
    <w:sectPr w:rsidR="0043670F" w:rsidRPr="00E97911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16724" w14:textId="77777777" w:rsidR="002661D3" w:rsidRDefault="002661D3" w:rsidP="00F41607">
      <w:r>
        <w:separator/>
      </w:r>
    </w:p>
  </w:endnote>
  <w:endnote w:type="continuationSeparator" w:id="0">
    <w:p w14:paraId="69255359" w14:textId="77777777" w:rsidR="002661D3" w:rsidRDefault="002661D3" w:rsidP="00F41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4941F" w14:textId="77777777" w:rsidR="002661D3" w:rsidRDefault="002661D3" w:rsidP="00F41607">
      <w:r>
        <w:separator/>
      </w:r>
    </w:p>
  </w:footnote>
  <w:footnote w:type="continuationSeparator" w:id="0">
    <w:p w14:paraId="3168EDE0" w14:textId="77777777" w:rsidR="002661D3" w:rsidRDefault="002661D3" w:rsidP="00F41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6F096" w14:textId="632BBE36" w:rsidR="00F41607" w:rsidRPr="009E2F56" w:rsidRDefault="00F41607" w:rsidP="00F41607">
    <w:pPr>
      <w:pStyle w:val="Heading1"/>
      <w:keepNext w:val="0"/>
      <w:pBdr>
        <w:bottom w:val="single" w:sz="4" w:space="1" w:color="auto"/>
      </w:pBdr>
      <w:spacing w:before="0"/>
      <w:jc w:val="right"/>
      <w:rPr>
        <w:rFonts w:ascii="Arial" w:hAnsi="Arial" w:cs="Arial"/>
        <w:b/>
        <w:i/>
        <w:color w:val="auto"/>
        <w:sz w:val="18"/>
        <w:szCs w:val="18"/>
      </w:rPr>
    </w:pPr>
    <w:r>
      <w:rPr>
        <w:rFonts w:ascii="Arial" w:hAnsi="Arial" w:cs="Arial"/>
        <w:i/>
        <w:color w:val="auto"/>
        <w:sz w:val="18"/>
        <w:szCs w:val="18"/>
      </w:rPr>
      <w:t>CMS/Sharks/MOS4</w:t>
    </w:r>
    <w:r w:rsidRPr="00C21E62">
      <w:rPr>
        <w:rFonts w:ascii="Arial" w:hAnsi="Arial" w:cs="Arial"/>
        <w:i/>
        <w:color w:val="auto"/>
        <w:sz w:val="18"/>
        <w:szCs w:val="18"/>
      </w:rPr>
      <w:t>/Doc.10.</w:t>
    </w:r>
    <w:r w:rsidR="00B13148">
      <w:rPr>
        <w:rFonts w:ascii="Arial" w:hAnsi="Arial" w:cs="Arial"/>
        <w:i/>
        <w:color w:val="auto"/>
        <w:sz w:val="18"/>
        <w:szCs w:val="18"/>
      </w:rPr>
      <w:t>4</w:t>
    </w:r>
    <w:r>
      <w:rPr>
        <w:rFonts w:ascii="Arial" w:hAnsi="Arial" w:cs="Arial"/>
        <w:i/>
        <w:color w:val="auto"/>
        <w:sz w:val="18"/>
        <w:szCs w:val="18"/>
      </w:rPr>
      <w:t>/An</w:t>
    </w:r>
    <w:r w:rsidR="00E97911">
      <w:rPr>
        <w:rFonts w:ascii="Arial" w:hAnsi="Arial" w:cs="Arial"/>
        <w:i/>
        <w:color w:val="auto"/>
        <w:sz w:val="18"/>
        <w:szCs w:val="18"/>
      </w:rPr>
      <w:t>exo</w:t>
    </w:r>
    <w:r>
      <w:rPr>
        <w:rFonts w:ascii="Arial" w:hAnsi="Arial" w:cs="Arial"/>
        <w:i/>
        <w:color w:val="auto"/>
        <w:sz w:val="18"/>
        <w:szCs w:val="18"/>
      </w:rPr>
      <w:t xml:space="preserve"> </w:t>
    </w:r>
    <w:r w:rsidR="00FB68EB">
      <w:rPr>
        <w:rFonts w:ascii="Arial" w:hAnsi="Arial" w:cs="Arial"/>
        <w:i/>
        <w:color w:val="auto"/>
        <w:sz w:val="18"/>
        <w:szCs w:val="18"/>
      </w:rPr>
      <w:t>2</w:t>
    </w:r>
  </w:p>
  <w:p w14:paraId="12D5325A" w14:textId="77777777" w:rsidR="00F41607" w:rsidRDefault="00F416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027D"/>
    <w:multiLevelType w:val="hybridMultilevel"/>
    <w:tmpl w:val="F9C4765C"/>
    <w:lvl w:ilvl="0" w:tplc="FFFFFFFF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A2E2B92"/>
    <w:multiLevelType w:val="hybridMultilevel"/>
    <w:tmpl w:val="44060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2183D"/>
    <w:multiLevelType w:val="hybridMultilevel"/>
    <w:tmpl w:val="851E59C4"/>
    <w:lvl w:ilvl="0" w:tplc="FFFFFFFF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  <w:bCs w:val="0"/>
      </w:r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7D1C653E"/>
    <w:multiLevelType w:val="hybridMultilevel"/>
    <w:tmpl w:val="093230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479153">
    <w:abstractNumId w:val="3"/>
  </w:num>
  <w:num w:numId="2" w16cid:durableId="224994841">
    <w:abstractNumId w:val="1"/>
  </w:num>
  <w:num w:numId="3" w16cid:durableId="481385685">
    <w:abstractNumId w:val="0"/>
  </w:num>
  <w:num w:numId="4" w16cid:durableId="551381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607"/>
    <w:rsid w:val="002661D3"/>
    <w:rsid w:val="002D6578"/>
    <w:rsid w:val="0043670F"/>
    <w:rsid w:val="0048769B"/>
    <w:rsid w:val="004D55D6"/>
    <w:rsid w:val="004D57E5"/>
    <w:rsid w:val="008B4B8E"/>
    <w:rsid w:val="009B775E"/>
    <w:rsid w:val="00B13148"/>
    <w:rsid w:val="00B656A5"/>
    <w:rsid w:val="00B97D9D"/>
    <w:rsid w:val="00BE298C"/>
    <w:rsid w:val="00BE5DBC"/>
    <w:rsid w:val="00DF1C43"/>
    <w:rsid w:val="00E97911"/>
    <w:rsid w:val="00EC1900"/>
    <w:rsid w:val="00F41607"/>
    <w:rsid w:val="00FB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9B46F"/>
  <w15:chartTrackingRefBased/>
  <w15:docId w15:val="{92EFFCCC-BC3F-4BA5-8DAC-07D023BB1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MS normal text body"/>
    <w:qFormat/>
    <w:rsid w:val="00F416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18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16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41607"/>
    <w:rPr>
      <w:rFonts w:cs="Times New Roman"/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4160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41607"/>
    <w:rPr>
      <w:rFonts w:ascii="Arial" w:eastAsia="Times New Roman" w:hAnsi="Arial" w:cs="Times New Roman"/>
      <w:sz w:val="1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416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1607"/>
    <w:rPr>
      <w:rFonts w:ascii="Arial" w:eastAsia="Times New Roman" w:hAnsi="Arial" w:cs="Times New Roman"/>
      <w:sz w:val="18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416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1607"/>
    <w:rPr>
      <w:rFonts w:ascii="Arial" w:eastAsia="Times New Roman" w:hAnsi="Arial" w:cs="Times New Roman"/>
      <w:sz w:val="18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4160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Revision">
    <w:name w:val="Revision"/>
    <w:hidden/>
    <w:uiPriority w:val="99"/>
    <w:semiHidden/>
    <w:rsid w:val="00F41607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/>
    </w:rPr>
  </w:style>
  <w:style w:type="paragraph" w:styleId="FootnoteText">
    <w:name w:val="footnote text"/>
    <w:link w:val="FootnoteTextChar"/>
    <w:uiPriority w:val="99"/>
    <w:rsid w:val="00B1314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en-US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13148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en-US" w:eastAsia="en-GB"/>
    </w:rPr>
  </w:style>
  <w:style w:type="character" w:styleId="FootnoteReference">
    <w:name w:val="footnote reference"/>
    <w:basedOn w:val="DefaultParagraphFont"/>
    <w:uiPriority w:val="99"/>
    <w:unhideWhenUsed/>
    <w:rsid w:val="00B131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ms.int/sharks/en/document/important-shark-and-ray-area-isra-guidance-criteria-application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andrea.pauly\AppData\Local\Microsoft\Windows\INetCache\Content.Outlook\W4CT5R61\sharkrayarea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Brueckner</dc:creator>
  <cp:keywords/>
  <dc:description/>
  <cp:lastModifiedBy>Ximena Victoria Cancino Ordenes</cp:lastModifiedBy>
  <cp:revision>2</cp:revision>
  <dcterms:created xsi:type="dcterms:W3CDTF">2023-03-01T22:02:00Z</dcterms:created>
  <dcterms:modified xsi:type="dcterms:W3CDTF">2023-03-01T22:02:00Z</dcterms:modified>
</cp:coreProperties>
</file>