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EAB0" w14:textId="3CAD5CE0" w:rsidR="00F41607" w:rsidRPr="00E97911" w:rsidRDefault="00F41607" w:rsidP="00F41607">
      <w:pPr>
        <w:widowControl/>
        <w:autoSpaceDE/>
        <w:autoSpaceDN/>
        <w:adjustRightInd/>
        <w:spacing w:after="160" w:line="259" w:lineRule="auto"/>
        <w:jc w:val="right"/>
        <w:rPr>
          <w:rFonts w:cs="Arial"/>
          <w:b/>
          <w:iCs/>
          <w:sz w:val="22"/>
          <w:szCs w:val="22"/>
          <w:lang w:val="es-ES"/>
        </w:rPr>
      </w:pPr>
      <w:r w:rsidRPr="00E97911">
        <w:rPr>
          <w:rFonts w:cs="Arial"/>
          <w:b/>
          <w:iCs/>
          <w:sz w:val="22"/>
          <w:szCs w:val="22"/>
          <w:lang w:val="es-ES"/>
        </w:rPr>
        <w:t>CRP 10.</w:t>
      </w:r>
      <w:r w:rsidR="00B13148" w:rsidRPr="00E97911">
        <w:rPr>
          <w:rFonts w:cs="Arial"/>
          <w:b/>
          <w:iCs/>
          <w:sz w:val="22"/>
          <w:szCs w:val="22"/>
          <w:lang w:val="es-ES"/>
        </w:rPr>
        <w:t>4</w:t>
      </w:r>
      <w:r w:rsidRPr="00E97911">
        <w:rPr>
          <w:rFonts w:cs="Arial"/>
          <w:b/>
          <w:iCs/>
          <w:sz w:val="22"/>
          <w:szCs w:val="22"/>
          <w:lang w:val="es-ES"/>
        </w:rPr>
        <w:t>/An</w:t>
      </w:r>
      <w:r w:rsidR="00E97911" w:rsidRPr="00E97911">
        <w:rPr>
          <w:rFonts w:cs="Arial"/>
          <w:b/>
          <w:iCs/>
          <w:sz w:val="22"/>
          <w:szCs w:val="22"/>
          <w:lang w:val="es-ES"/>
        </w:rPr>
        <w:t>exo</w:t>
      </w:r>
      <w:r w:rsidRPr="00E97911">
        <w:rPr>
          <w:rFonts w:cs="Arial"/>
          <w:b/>
          <w:iCs/>
          <w:sz w:val="22"/>
          <w:szCs w:val="22"/>
          <w:lang w:val="es-ES"/>
        </w:rPr>
        <w:t xml:space="preserve"> 1</w:t>
      </w:r>
    </w:p>
    <w:p w14:paraId="3359E5F0" w14:textId="7514808A" w:rsidR="00E97911" w:rsidRPr="00E97911" w:rsidRDefault="00E97911" w:rsidP="00481587">
      <w:pPr>
        <w:spacing w:after="120"/>
        <w:ind w:right="259"/>
        <w:jc w:val="center"/>
        <w:rPr>
          <w:rFonts w:cs="Arial"/>
          <w:b/>
          <w:bCs/>
          <w:sz w:val="22"/>
          <w:szCs w:val="22"/>
          <w:lang w:val="es-ES"/>
        </w:rPr>
      </w:pPr>
      <w:r w:rsidRPr="00E97911">
        <w:rPr>
          <w:rFonts w:cs="Arial"/>
          <w:b/>
          <w:bCs/>
          <w:sz w:val="22"/>
          <w:szCs w:val="22"/>
          <w:lang w:val="es-ES"/>
        </w:rPr>
        <w:t>ÁREAS IMPORTANTES DE TIBURONES Y RAYAS (ISRA, por sus siglas en inglés)</w:t>
      </w:r>
    </w:p>
    <w:p w14:paraId="2536FF37" w14:textId="52A2AA2F" w:rsidR="00B13148" w:rsidRPr="00E97911" w:rsidRDefault="00B13148" w:rsidP="00B13148">
      <w:pPr>
        <w:spacing w:after="120"/>
        <w:ind w:right="259"/>
        <w:jc w:val="center"/>
        <w:rPr>
          <w:rFonts w:cs="Arial"/>
          <w:b/>
          <w:bCs/>
          <w:sz w:val="22"/>
          <w:szCs w:val="22"/>
          <w:lang w:val="es-ES"/>
        </w:rPr>
      </w:pPr>
    </w:p>
    <w:p w14:paraId="1E69EE63" w14:textId="13666668" w:rsidR="00E97911" w:rsidRPr="00E97911" w:rsidRDefault="008876FD" w:rsidP="00E97911">
      <w:pPr>
        <w:jc w:val="center"/>
        <w:rPr>
          <w:rFonts w:cs="Arial"/>
          <w:b/>
          <w:iCs/>
          <w:sz w:val="22"/>
          <w:szCs w:val="22"/>
          <w:lang w:val="es-ES"/>
        </w:rPr>
      </w:pPr>
      <w:r w:rsidRPr="008876FD">
        <w:rPr>
          <w:rFonts w:cs="Arial"/>
          <w:b/>
          <w:iCs/>
          <w:strike/>
          <w:sz w:val="22"/>
          <w:szCs w:val="22"/>
          <w:lang w:val="es-ES"/>
        </w:rPr>
        <w:t>BORRADOR DE</w:t>
      </w:r>
      <w:r>
        <w:rPr>
          <w:rFonts w:cs="Arial"/>
          <w:b/>
          <w:iCs/>
          <w:sz w:val="22"/>
          <w:szCs w:val="22"/>
          <w:lang w:val="es-ES"/>
        </w:rPr>
        <w:t xml:space="preserve"> </w:t>
      </w:r>
      <w:r w:rsidR="00E97911" w:rsidRPr="00E97911">
        <w:rPr>
          <w:rFonts w:cs="Arial"/>
          <w:b/>
          <w:iCs/>
          <w:sz w:val="22"/>
          <w:szCs w:val="22"/>
          <w:lang w:val="es-ES"/>
        </w:rPr>
        <w:t xml:space="preserve">CRITERIOS Y PROCESO PARA LA IDENTIFICACIÓN DE </w:t>
      </w:r>
    </w:p>
    <w:p w14:paraId="60EB1F95" w14:textId="77777777" w:rsidR="00E97911" w:rsidRPr="00E97911" w:rsidRDefault="00E97911" w:rsidP="00E97911">
      <w:pPr>
        <w:spacing w:after="120"/>
        <w:jc w:val="center"/>
        <w:rPr>
          <w:rFonts w:cs="Arial"/>
          <w:b/>
          <w:iCs/>
          <w:sz w:val="22"/>
          <w:szCs w:val="22"/>
          <w:lang w:val="es-ES"/>
        </w:rPr>
      </w:pPr>
      <w:r w:rsidRPr="00E97911">
        <w:rPr>
          <w:rFonts w:cs="Arial"/>
          <w:b/>
          <w:iCs/>
          <w:sz w:val="22"/>
          <w:szCs w:val="22"/>
          <w:lang w:val="es-ES"/>
        </w:rPr>
        <w:t>ÁREAS IMPORTANTES DE TIBURONES Y RAYAS (ISRA)</w:t>
      </w:r>
    </w:p>
    <w:p w14:paraId="44C69993" w14:textId="77777777" w:rsidR="00E97911" w:rsidRPr="00E97911" w:rsidRDefault="00E97911" w:rsidP="00E97911">
      <w:pPr>
        <w:jc w:val="center"/>
        <w:rPr>
          <w:rFonts w:cs="Arial"/>
          <w:bCs/>
          <w:iCs/>
          <w:sz w:val="22"/>
          <w:szCs w:val="22"/>
          <w:lang w:val="es-ES"/>
        </w:rPr>
      </w:pPr>
      <w:r w:rsidRPr="00E97911">
        <w:rPr>
          <w:rFonts w:cs="Arial"/>
          <w:bCs/>
          <w:iCs/>
          <w:sz w:val="22"/>
          <w:szCs w:val="22"/>
          <w:lang w:val="es-ES"/>
        </w:rPr>
        <w:t>(</w:t>
      </w:r>
      <w:r w:rsidRPr="00E97911">
        <w:rPr>
          <w:rFonts w:cs="Arial"/>
          <w:bCs/>
          <w:i/>
          <w:sz w:val="22"/>
          <w:szCs w:val="22"/>
          <w:lang w:val="es-ES"/>
        </w:rPr>
        <w:t>Extraído de Hyde et al. 2022</w:t>
      </w:r>
      <w:r w:rsidRPr="00E97911">
        <w:rPr>
          <w:rFonts w:cs="Arial"/>
          <w:bCs/>
          <w:iCs/>
          <w:sz w:val="22"/>
          <w:szCs w:val="22"/>
          <w:lang w:val="es-ES"/>
        </w:rPr>
        <w:t>)</w:t>
      </w:r>
    </w:p>
    <w:p w14:paraId="4567A6B0" w14:textId="77777777" w:rsidR="0048769B" w:rsidRPr="00E97911" w:rsidRDefault="0048769B" w:rsidP="00B13148">
      <w:pPr>
        <w:spacing w:after="120"/>
        <w:ind w:right="259"/>
        <w:jc w:val="center"/>
        <w:rPr>
          <w:rFonts w:cs="Arial"/>
          <w:b/>
          <w:bCs/>
          <w:sz w:val="22"/>
          <w:szCs w:val="22"/>
          <w:lang w:val="es-ES"/>
        </w:rPr>
      </w:pPr>
    </w:p>
    <w:p w14:paraId="1625A800" w14:textId="172FC80B" w:rsidR="00E97911" w:rsidRPr="00E97911" w:rsidRDefault="00E97911" w:rsidP="00E97911">
      <w:pPr>
        <w:jc w:val="both"/>
        <w:rPr>
          <w:rFonts w:cs="Arial"/>
          <w:sz w:val="22"/>
          <w:szCs w:val="22"/>
          <w:lang w:val="es-ES"/>
        </w:rPr>
      </w:pPr>
      <w:r w:rsidRPr="00E97911">
        <w:rPr>
          <w:rFonts w:cs="Arial"/>
          <w:sz w:val="22"/>
          <w:szCs w:val="22"/>
          <w:lang w:val="es-ES"/>
        </w:rPr>
        <w:t xml:space="preserve">La Unión Internacional para la Conservación de la Naturaleza Comisión para la Supervivencia de Especies Grupo Especialista en Tiburones (IUCN SSC SSG) ha desarrollado los siguientes criterios y un proceso para la identificación de Áreas Importantes de Tiburones y Rayas (ISRA), que se han publicado en </w:t>
      </w:r>
      <w:r w:rsidRPr="00E97911">
        <w:rPr>
          <w:rFonts w:cs="Arial"/>
          <w:b/>
          <w:bCs/>
          <w:sz w:val="22"/>
          <w:szCs w:val="22"/>
          <w:lang w:val="es-ES"/>
        </w:rPr>
        <w:t>Hyde et al. 2022</w:t>
      </w:r>
      <w:r w:rsidRPr="00E97911">
        <w:rPr>
          <w:rFonts w:cs="Arial"/>
          <w:sz w:val="22"/>
          <w:szCs w:val="22"/>
          <w:vertAlign w:val="superscript"/>
          <w:lang w:val="es-ES"/>
        </w:rPr>
        <w:footnoteReference w:id="1"/>
      </w:r>
      <w:r w:rsidRPr="00E97911">
        <w:rPr>
          <w:rFonts w:cs="Arial"/>
          <w:sz w:val="22"/>
          <w:szCs w:val="22"/>
          <w:lang w:val="es-ES"/>
        </w:rPr>
        <w:t xml:space="preserve"> y como </w:t>
      </w:r>
      <w:bookmarkStart w:id="0" w:name="_Hlk118647551"/>
      <w:r w:rsidRPr="00E97911">
        <w:rPr>
          <w:rFonts w:cs="Arial"/>
          <w:b/>
          <w:bCs/>
          <w:sz w:val="22"/>
          <w:szCs w:val="22"/>
          <w:lang w:val="es-ES"/>
        </w:rPr>
        <w:t>"ÁREA IMPORTANTE DE TIBURONES Y RAYAS (ISRA): ORIENTACIÓN SOBRE LA APLICACIÓN DE CRITERIOS</w:t>
      </w:r>
      <w:r w:rsidRPr="00E97911">
        <w:rPr>
          <w:sz w:val="22"/>
          <w:szCs w:val="22"/>
          <w:lang w:val="es-ES"/>
        </w:rPr>
        <w:t xml:space="preserve">” </w:t>
      </w:r>
      <w:r w:rsidRPr="00E97911">
        <w:rPr>
          <w:rFonts w:cs="Arial"/>
          <w:sz w:val="22"/>
          <w:szCs w:val="22"/>
          <w:lang w:val="es-ES"/>
        </w:rPr>
        <w:t>(</w:t>
      </w:r>
      <w:hyperlink r:id="rId7" w:history="1">
        <w:r w:rsidR="008876FD" w:rsidRPr="008876FD">
          <w:rPr>
            <w:rStyle w:val="Hyperlink"/>
            <w:rFonts w:cs="Arial"/>
            <w:sz w:val="22"/>
            <w:szCs w:val="22"/>
            <w:lang w:val="es-ES"/>
          </w:rPr>
          <w:t>CMS/</w:t>
        </w:r>
        <w:proofErr w:type="spellStart"/>
        <w:r w:rsidR="008876FD" w:rsidRPr="008876FD">
          <w:rPr>
            <w:rStyle w:val="Hyperlink"/>
            <w:rFonts w:cs="Arial"/>
            <w:sz w:val="22"/>
            <w:szCs w:val="22"/>
            <w:lang w:val="es-ES"/>
          </w:rPr>
          <w:t>Sharks</w:t>
        </w:r>
        <w:proofErr w:type="spellEnd"/>
        <w:r w:rsidR="008876FD" w:rsidRPr="008876FD">
          <w:rPr>
            <w:rStyle w:val="Hyperlink"/>
            <w:rFonts w:cs="Arial"/>
            <w:sz w:val="22"/>
            <w:szCs w:val="22"/>
            <w:lang w:val="es-ES"/>
          </w:rPr>
          <w:t>/MOS4/Inf.5</w:t>
        </w:r>
      </w:hyperlink>
      <w:r w:rsidRPr="00E97911">
        <w:rPr>
          <w:rFonts w:cs="Arial"/>
          <w:sz w:val="22"/>
          <w:szCs w:val="22"/>
          <w:lang w:val="es-ES"/>
        </w:rPr>
        <w:t xml:space="preserve">) </w:t>
      </w:r>
      <w:bookmarkEnd w:id="0"/>
      <w:r w:rsidRPr="00E97911">
        <w:rPr>
          <w:rFonts w:cs="Arial"/>
          <w:sz w:val="22"/>
          <w:szCs w:val="22"/>
          <w:lang w:val="es-ES"/>
        </w:rPr>
        <w:t>en el sitio web de la iniciativa.</w:t>
      </w:r>
    </w:p>
    <w:p w14:paraId="3DAAC5F7" w14:textId="77777777" w:rsidR="00E97911" w:rsidRPr="00E97911" w:rsidRDefault="00E97911" w:rsidP="00E97911">
      <w:pPr>
        <w:jc w:val="both"/>
        <w:rPr>
          <w:rFonts w:cs="Arial"/>
          <w:bCs/>
          <w:iCs/>
          <w:sz w:val="22"/>
          <w:szCs w:val="22"/>
          <w:lang w:val="es-ES"/>
        </w:rPr>
      </w:pPr>
    </w:p>
    <w:p w14:paraId="5B7976E3" w14:textId="77777777" w:rsidR="00E97911" w:rsidRPr="00E97911" w:rsidRDefault="00E97911" w:rsidP="00E97911">
      <w:pPr>
        <w:numPr>
          <w:ilvl w:val="0"/>
          <w:numId w:val="2"/>
        </w:numPr>
        <w:ind w:left="540" w:hanging="540"/>
        <w:contextualSpacing/>
        <w:jc w:val="both"/>
        <w:rPr>
          <w:rFonts w:cs="Arial"/>
          <w:b/>
          <w:iCs/>
          <w:sz w:val="22"/>
          <w:szCs w:val="22"/>
          <w:lang w:val="es-ES"/>
        </w:rPr>
      </w:pPr>
      <w:r w:rsidRPr="00E97911">
        <w:rPr>
          <w:rFonts w:cs="Arial"/>
          <w:b/>
          <w:iCs/>
          <w:sz w:val="22"/>
          <w:szCs w:val="22"/>
          <w:lang w:val="es-ES"/>
        </w:rPr>
        <w:t>Criterios para la identificación de la ISRA</w:t>
      </w:r>
    </w:p>
    <w:p w14:paraId="5DD2BA5B" w14:textId="77777777" w:rsidR="00E97911" w:rsidRPr="00E97911" w:rsidRDefault="00E97911" w:rsidP="00E97911">
      <w:pPr>
        <w:jc w:val="both"/>
        <w:rPr>
          <w:rFonts w:cs="Arial"/>
          <w:b/>
          <w:iCs/>
          <w:sz w:val="22"/>
          <w:szCs w:val="22"/>
          <w:lang w:val="es-ES"/>
        </w:rPr>
      </w:pPr>
    </w:p>
    <w:p w14:paraId="7844115E" w14:textId="77777777" w:rsidR="00E97911" w:rsidRPr="00E97911" w:rsidRDefault="00E97911" w:rsidP="00E97911">
      <w:pPr>
        <w:ind w:left="540"/>
        <w:jc w:val="both"/>
        <w:rPr>
          <w:rFonts w:cs="Arial"/>
          <w:bCs/>
          <w:iCs/>
          <w:sz w:val="22"/>
          <w:szCs w:val="22"/>
          <w:lang w:val="es-ES"/>
        </w:rPr>
      </w:pPr>
      <w:r w:rsidRPr="00E97911">
        <w:rPr>
          <w:rFonts w:cs="Arial"/>
          <w:b/>
          <w:iCs/>
          <w:sz w:val="22"/>
          <w:szCs w:val="22"/>
          <w:lang w:val="es-ES"/>
        </w:rPr>
        <w:t xml:space="preserve">Criterio A (Vulnerabilidad): </w:t>
      </w:r>
      <w:r w:rsidRPr="00E97911">
        <w:rPr>
          <w:rFonts w:cs="Arial"/>
          <w:bCs/>
          <w:iCs/>
          <w:sz w:val="22"/>
          <w:szCs w:val="22"/>
          <w:lang w:val="es-ES"/>
        </w:rPr>
        <w:t xml:space="preserve">El criterio A se refiere a áreas importantes para la persistencia y recuperación de tiburones amenazados. Los tiburones amenazados son aquellos enumerados en la Lista Roja de la UICN como En grave peligro de extinción, En peligro de extinción, o Vulnerable (Unión Internacional para la Conservación de la Naturaleza [UICN], 2022). Bajo este criterio, "amenazado" también podría referirse a tiburones en riesgo de extinción como se refleja en otras evaluaciones disponibles (p. ej., normativa nacional y marcos de trabajo legales que evalúan el riesgo de extinción de especies como la Ley de Especies en peligro de extinción [ESA, por sus siglas en inglés] de los Estados Unidos o la Ley de Protección del Entorno y Conservación de la Biodiversidad [EPBC, por sus siglas en inglés] de Australia. </w:t>
      </w:r>
    </w:p>
    <w:p w14:paraId="665B3AF5" w14:textId="77777777" w:rsidR="00E97911" w:rsidRPr="00E97911" w:rsidRDefault="00E97911" w:rsidP="00E97911">
      <w:pPr>
        <w:ind w:left="540"/>
        <w:jc w:val="both"/>
        <w:rPr>
          <w:rFonts w:cs="Arial"/>
          <w:bCs/>
          <w:iCs/>
          <w:sz w:val="22"/>
          <w:szCs w:val="22"/>
          <w:lang w:val="es-ES"/>
        </w:rPr>
      </w:pPr>
    </w:p>
    <w:p w14:paraId="54F1B3ED" w14:textId="77777777" w:rsidR="00E97911" w:rsidRPr="00E97911" w:rsidRDefault="00E97911" w:rsidP="00E97911">
      <w:pPr>
        <w:ind w:left="540"/>
        <w:jc w:val="both"/>
        <w:rPr>
          <w:rFonts w:cs="Arial"/>
          <w:bCs/>
          <w:iCs/>
          <w:sz w:val="22"/>
          <w:szCs w:val="22"/>
          <w:lang w:val="es-ES"/>
        </w:rPr>
      </w:pPr>
      <w:r w:rsidRPr="00E97911">
        <w:rPr>
          <w:rFonts w:cs="Arial"/>
          <w:b/>
          <w:iCs/>
          <w:sz w:val="22"/>
          <w:szCs w:val="22"/>
          <w:lang w:val="es-ES"/>
        </w:rPr>
        <w:t xml:space="preserve">Criterio B (restringido al Área de distribución): </w:t>
      </w:r>
      <w:r w:rsidRPr="00E97911">
        <w:rPr>
          <w:rFonts w:cs="Arial"/>
          <w:bCs/>
          <w:iCs/>
          <w:sz w:val="22"/>
          <w:szCs w:val="22"/>
          <w:lang w:val="es-ES"/>
        </w:rPr>
        <w:t xml:space="preserve">El criterio B se refiere a zonas con presencia regular y/o predecible de tiburones restringidos al área de distribución, que están ocupadas todo el año o de forma estacional. </w:t>
      </w:r>
    </w:p>
    <w:p w14:paraId="57906CA7" w14:textId="77777777" w:rsidR="00E97911" w:rsidRPr="00E97911" w:rsidRDefault="00E97911" w:rsidP="00E97911">
      <w:pPr>
        <w:ind w:left="540"/>
        <w:jc w:val="both"/>
        <w:rPr>
          <w:rFonts w:cs="Arial"/>
          <w:bCs/>
          <w:iCs/>
          <w:sz w:val="22"/>
          <w:szCs w:val="22"/>
          <w:lang w:val="es-ES"/>
        </w:rPr>
      </w:pPr>
    </w:p>
    <w:p w14:paraId="5AA52F8A" w14:textId="57C5059F" w:rsidR="00E97911" w:rsidRPr="008876FD" w:rsidRDefault="00E97911" w:rsidP="00E97911">
      <w:pPr>
        <w:ind w:left="540"/>
        <w:jc w:val="both"/>
        <w:rPr>
          <w:rFonts w:cs="Arial"/>
          <w:bCs/>
          <w:iCs/>
          <w:sz w:val="22"/>
          <w:szCs w:val="22"/>
          <w:u w:val="single"/>
          <w:lang w:val="es-ES"/>
        </w:rPr>
      </w:pPr>
      <w:r w:rsidRPr="00E97911">
        <w:rPr>
          <w:rFonts w:cs="Arial"/>
          <w:b/>
          <w:iCs/>
          <w:sz w:val="22"/>
          <w:szCs w:val="22"/>
          <w:lang w:val="es-ES"/>
        </w:rPr>
        <w:t xml:space="preserve">Criterio C (Ciclo biológico): </w:t>
      </w:r>
      <w:r w:rsidRPr="00E97911">
        <w:rPr>
          <w:rFonts w:cs="Arial"/>
          <w:bCs/>
          <w:iCs/>
          <w:sz w:val="22"/>
          <w:szCs w:val="22"/>
          <w:lang w:val="es-ES"/>
        </w:rPr>
        <w:t>El criterio C se refiere a áreas que son importantes para los tiburones para llevar a cabo funciones vitales durante su ciclo biológico (es decir, reproducción, alimentación, descanso, movimiento o agrupaciones indefinidas). Esto incluye cinco subcriterios para comprender la amplia variedad y complejidad de los ciclos vitales.</w:t>
      </w:r>
      <w:r w:rsidR="008876FD">
        <w:rPr>
          <w:rFonts w:cs="Arial"/>
          <w:bCs/>
          <w:iCs/>
          <w:sz w:val="22"/>
          <w:szCs w:val="22"/>
          <w:lang w:val="es-ES"/>
        </w:rPr>
        <w:t xml:space="preserve"> </w:t>
      </w:r>
      <w:r w:rsidR="008876FD" w:rsidRPr="008876FD">
        <w:rPr>
          <w:rFonts w:cs="Arial"/>
          <w:bCs/>
          <w:iCs/>
          <w:sz w:val="22"/>
          <w:szCs w:val="22"/>
          <w:u w:val="single"/>
          <w:lang w:val="es-ES"/>
        </w:rPr>
        <w:t xml:space="preserve">En este trabajo se recopilan los datos de presencia de las especies, cuando están disponibles, para incluir información sobre la estructura de edad, el estado reproductivo, el sexo y la estacionalidad </w:t>
      </w:r>
      <w:bookmarkStart w:id="1" w:name="_Hlk128603082"/>
      <w:r w:rsidR="008876FD">
        <w:fldChar w:fldCharType="begin"/>
      </w:r>
      <w:r w:rsidR="008876FD" w:rsidRPr="008876FD">
        <w:rPr>
          <w:lang w:val="es-ES"/>
        </w:rPr>
        <w:instrText xml:space="preserve"> HYPERLINK "https://www.cms.int/sharks/en/document/important-shark-and-ray-area-isra-guidance-criteria-application" </w:instrText>
      </w:r>
      <w:r w:rsidR="008876FD">
        <w:fldChar w:fldCharType="separate"/>
      </w:r>
      <w:r w:rsidR="008876FD" w:rsidRPr="008876FD">
        <w:rPr>
          <w:rStyle w:val="Hyperlink"/>
          <w:rFonts w:cs="Arial"/>
          <w:sz w:val="22"/>
          <w:szCs w:val="22"/>
          <w:lang w:val="es-ES"/>
        </w:rPr>
        <w:t>CMS/</w:t>
      </w:r>
      <w:proofErr w:type="spellStart"/>
      <w:r w:rsidR="008876FD" w:rsidRPr="008876FD">
        <w:rPr>
          <w:rStyle w:val="Hyperlink"/>
          <w:rFonts w:cs="Arial"/>
          <w:sz w:val="22"/>
          <w:szCs w:val="22"/>
          <w:lang w:val="es-ES"/>
        </w:rPr>
        <w:t>Sharks</w:t>
      </w:r>
      <w:proofErr w:type="spellEnd"/>
      <w:r w:rsidR="008876FD" w:rsidRPr="008876FD">
        <w:rPr>
          <w:rStyle w:val="Hyperlink"/>
          <w:rFonts w:cs="Arial"/>
          <w:sz w:val="22"/>
          <w:szCs w:val="22"/>
          <w:lang w:val="es-ES"/>
        </w:rPr>
        <w:t>/MOS4/Inf.5</w:t>
      </w:r>
      <w:r w:rsidR="008876FD">
        <w:rPr>
          <w:rStyle w:val="Hyperlink"/>
          <w:rFonts w:cs="Arial"/>
          <w:sz w:val="22"/>
          <w:szCs w:val="22"/>
        </w:rPr>
        <w:fldChar w:fldCharType="end"/>
      </w:r>
      <w:bookmarkEnd w:id="1"/>
      <w:r w:rsidR="008876FD" w:rsidRPr="008876FD">
        <w:rPr>
          <w:rFonts w:cs="Arial"/>
          <w:bCs/>
          <w:iCs/>
          <w:sz w:val="22"/>
          <w:szCs w:val="22"/>
          <w:u w:val="single"/>
          <w:lang w:val="es-ES"/>
        </w:rPr>
        <w:t>. sin incluir en los modelos el efecto "estadio" (si son jóvenes, reproductivos, machos, hembras, etc.) ni la estacionalidad (primavera, verano, etc.).</w:t>
      </w:r>
    </w:p>
    <w:p w14:paraId="0E1D980E" w14:textId="77777777" w:rsidR="00E97911" w:rsidRPr="00E97911" w:rsidRDefault="00E97911" w:rsidP="00E97911">
      <w:pPr>
        <w:ind w:left="540"/>
        <w:jc w:val="both"/>
        <w:rPr>
          <w:rFonts w:cs="Arial"/>
          <w:bCs/>
          <w:iCs/>
          <w:sz w:val="22"/>
          <w:szCs w:val="22"/>
          <w:lang w:val="es-ES"/>
        </w:rPr>
      </w:pPr>
    </w:p>
    <w:p w14:paraId="205EF92D" w14:textId="77777777" w:rsidR="00E97911" w:rsidRPr="00E97911" w:rsidRDefault="00E97911" w:rsidP="00E97911">
      <w:pPr>
        <w:spacing w:after="80"/>
        <w:ind w:left="1080"/>
        <w:jc w:val="both"/>
        <w:rPr>
          <w:rFonts w:cs="Arial"/>
          <w:bCs/>
          <w:iCs/>
          <w:sz w:val="22"/>
          <w:szCs w:val="22"/>
          <w:lang w:val="es-ES"/>
        </w:rPr>
      </w:pPr>
      <w:r w:rsidRPr="00E97911">
        <w:rPr>
          <w:rFonts w:cs="Arial"/>
          <w:b/>
          <w:iCs/>
          <w:sz w:val="22"/>
          <w:szCs w:val="22"/>
          <w:lang w:val="es-ES"/>
        </w:rPr>
        <w:t xml:space="preserve">Subcriterio C (Áreas reproductivas): </w:t>
      </w:r>
      <w:r w:rsidRPr="00E97911">
        <w:rPr>
          <w:rFonts w:cs="Arial"/>
          <w:bCs/>
          <w:iCs/>
          <w:sz w:val="22"/>
          <w:szCs w:val="22"/>
          <w:lang w:val="es-ES"/>
        </w:rPr>
        <w:t xml:space="preserve">Las áreas reproductivas son importantes para el apareamiento, nacimiento, desove o para proporcionar refugio u otras ventajas para las crías (p. ej., evitar depredadores o acceder a fuentes de comida), y por tanto son críticas para el éxito reproductivo. Esto incluye lugares que pueden identificarse como "zonas de cría" que son importantes para los recién nacidos, las crías de un año, o jóvenes de especies vivíparas; o "zonas de cría de huevos" que son importantes para el desove y el desarrollo hasta la eclosión y el desarrollo </w:t>
      </w:r>
      <w:r w:rsidRPr="00E97911">
        <w:rPr>
          <w:rFonts w:cs="Arial"/>
          <w:bCs/>
          <w:iCs/>
          <w:sz w:val="22"/>
          <w:szCs w:val="22"/>
          <w:lang w:val="es-ES"/>
        </w:rPr>
        <w:lastRenderedPageBreak/>
        <w:t xml:space="preserve">de las crías y jóvenes de especies ovíparas. </w:t>
      </w:r>
    </w:p>
    <w:p w14:paraId="7689EDA4" w14:textId="77777777" w:rsidR="00E97911" w:rsidRPr="00E97911" w:rsidRDefault="00E97911" w:rsidP="00E97911">
      <w:pPr>
        <w:spacing w:after="80"/>
        <w:ind w:left="1080"/>
        <w:jc w:val="both"/>
        <w:rPr>
          <w:rFonts w:cs="Arial"/>
          <w:bCs/>
          <w:iCs/>
          <w:sz w:val="22"/>
          <w:szCs w:val="22"/>
          <w:lang w:val="es-ES"/>
        </w:rPr>
      </w:pPr>
      <w:r w:rsidRPr="00E97911">
        <w:rPr>
          <w:rFonts w:cs="Arial"/>
          <w:b/>
          <w:iCs/>
          <w:sz w:val="22"/>
          <w:szCs w:val="22"/>
          <w:lang w:val="es-ES"/>
        </w:rPr>
        <w:t xml:space="preserve">Subcriterio C2 (Áreas de alimentación): </w:t>
      </w:r>
      <w:r w:rsidRPr="00E97911">
        <w:rPr>
          <w:rFonts w:cs="Arial"/>
          <w:bCs/>
          <w:iCs/>
          <w:sz w:val="22"/>
          <w:szCs w:val="22"/>
          <w:lang w:val="es-ES"/>
        </w:rPr>
        <w:t xml:space="preserve">Las áreas de alimentación son importantes para la nutrición de los tiburones en uno o más estadios del ciclo vital. El subcriterio C2 se relaciona con las zonas donde se sabe que los tiburones derivan la nutrición, y que se sostienen por la existencia regular y predecible de presas. </w:t>
      </w:r>
    </w:p>
    <w:p w14:paraId="246E928F" w14:textId="77777777" w:rsidR="00E97911" w:rsidRPr="00E97911" w:rsidRDefault="00E97911" w:rsidP="00E97911">
      <w:pPr>
        <w:spacing w:after="80"/>
        <w:ind w:left="1080"/>
        <w:jc w:val="both"/>
        <w:rPr>
          <w:rFonts w:cs="Arial"/>
          <w:bCs/>
          <w:iCs/>
          <w:sz w:val="22"/>
          <w:szCs w:val="22"/>
          <w:lang w:val="es-ES"/>
        </w:rPr>
      </w:pPr>
      <w:r w:rsidRPr="00E97911">
        <w:rPr>
          <w:rFonts w:cs="Arial"/>
          <w:b/>
          <w:iCs/>
          <w:sz w:val="22"/>
          <w:szCs w:val="22"/>
          <w:lang w:val="es-ES"/>
        </w:rPr>
        <w:t xml:space="preserve">Subcriterio C3 (Áreas de descanso): </w:t>
      </w:r>
      <w:r w:rsidRPr="00E97911">
        <w:rPr>
          <w:rFonts w:cs="Arial"/>
          <w:bCs/>
          <w:iCs/>
          <w:sz w:val="22"/>
          <w:szCs w:val="22"/>
          <w:lang w:val="es-ES"/>
        </w:rPr>
        <w:t xml:space="preserve">Las áreas de descanso son importantes para que los tiburones conserven la energía y a menudo están relacionadas con condiciones ambientales o factores temporales. Estas son áreas donde una agrupación o conjunto de tiburones pasa tiempo durante ciclos de actividad diaria y que pueden estar influenciadas por condiciones ambientales (p. ej., ciclo de marea) o factores temporales (p. ej., hora del día). </w:t>
      </w:r>
    </w:p>
    <w:p w14:paraId="40F933AB" w14:textId="77777777" w:rsidR="00E97911" w:rsidRPr="00E97911" w:rsidRDefault="00E97911" w:rsidP="00E97911">
      <w:pPr>
        <w:spacing w:after="80"/>
        <w:ind w:left="1080"/>
        <w:jc w:val="both"/>
        <w:rPr>
          <w:rFonts w:cs="Arial"/>
          <w:bCs/>
          <w:iCs/>
          <w:sz w:val="22"/>
          <w:szCs w:val="22"/>
          <w:lang w:val="es-ES"/>
        </w:rPr>
      </w:pPr>
      <w:r w:rsidRPr="00E97911">
        <w:rPr>
          <w:rFonts w:cs="Arial"/>
          <w:b/>
          <w:iCs/>
          <w:sz w:val="22"/>
          <w:szCs w:val="22"/>
          <w:lang w:val="es-ES"/>
        </w:rPr>
        <w:t xml:space="preserve">Subcriterio C4 (Movimiento): </w:t>
      </w:r>
      <w:r w:rsidRPr="00E97911">
        <w:rPr>
          <w:rFonts w:cs="Arial"/>
          <w:bCs/>
          <w:iCs/>
          <w:sz w:val="22"/>
          <w:szCs w:val="22"/>
          <w:lang w:val="es-ES"/>
        </w:rPr>
        <w:t xml:space="preserve">Este subcriterio identifica áreas usadas por los tiburones regularmente o de forma predecible durante sus movimientos, como las migraciones, que contribuyen a la conectividad de áreas importantes. El subcriterio C4 aborda los movimientos predecibles de los tiburones, agrupaciones o conjuntos de un lugar a otro, a menudo relacionados con una función vital o estacional como la reproducción o la alimentación. </w:t>
      </w:r>
    </w:p>
    <w:p w14:paraId="333FF80B" w14:textId="77777777" w:rsidR="00E97911" w:rsidRPr="00E97911" w:rsidRDefault="00E97911" w:rsidP="00E97911">
      <w:pPr>
        <w:ind w:left="1080"/>
        <w:jc w:val="both"/>
        <w:rPr>
          <w:rFonts w:cs="Arial"/>
          <w:bCs/>
          <w:iCs/>
          <w:sz w:val="22"/>
          <w:szCs w:val="22"/>
          <w:lang w:val="es-ES"/>
        </w:rPr>
      </w:pPr>
      <w:r w:rsidRPr="00E97911">
        <w:rPr>
          <w:rFonts w:cs="Arial"/>
          <w:b/>
          <w:iCs/>
          <w:sz w:val="22"/>
          <w:szCs w:val="22"/>
          <w:lang w:val="es-ES"/>
        </w:rPr>
        <w:t xml:space="preserve">Subcriterio C5 (Agrupaciones indefinidas): </w:t>
      </w:r>
      <w:r w:rsidRPr="00E97911">
        <w:rPr>
          <w:rFonts w:cs="Arial"/>
          <w:bCs/>
          <w:iCs/>
          <w:sz w:val="22"/>
          <w:szCs w:val="22"/>
          <w:lang w:val="es-ES"/>
        </w:rPr>
        <w:t xml:space="preserve">Este subcriterio identifica áreas donde ocurre una agrupación o conjunto de tiburones de forma regular o predecible, todo el año o de forma estacional, pero la función de la agrupación se desconoce actualmente. El subcriterio C5 se refiere a agrupaciones o conjuntos de tiburones en un área donde participan, o muestran un comportamiento que se conoce, pero (aún) no se atribuye a una función vital conocida (p. ej., reproducción, alimentación, descanso o movimiento) o a evitar depredadores (p. ej., educación de las crías). </w:t>
      </w:r>
    </w:p>
    <w:p w14:paraId="381B9E6E" w14:textId="77777777" w:rsidR="00E97911" w:rsidRPr="00E97911" w:rsidRDefault="00E97911" w:rsidP="00E97911">
      <w:pPr>
        <w:ind w:left="1080"/>
        <w:jc w:val="both"/>
        <w:rPr>
          <w:rFonts w:cs="Arial"/>
          <w:bCs/>
          <w:iCs/>
          <w:sz w:val="22"/>
          <w:szCs w:val="22"/>
          <w:lang w:val="es-ES"/>
        </w:rPr>
      </w:pPr>
    </w:p>
    <w:p w14:paraId="1699B309" w14:textId="77777777" w:rsidR="00E97911" w:rsidRPr="00E97911" w:rsidRDefault="00E97911" w:rsidP="00E97911">
      <w:pPr>
        <w:ind w:left="540"/>
        <w:jc w:val="both"/>
        <w:rPr>
          <w:rFonts w:cs="Arial"/>
          <w:bCs/>
          <w:iCs/>
          <w:sz w:val="22"/>
          <w:szCs w:val="22"/>
          <w:lang w:val="es-ES"/>
        </w:rPr>
      </w:pPr>
      <w:r w:rsidRPr="00E97911">
        <w:rPr>
          <w:rFonts w:cs="Arial"/>
          <w:b/>
          <w:iCs/>
          <w:sz w:val="22"/>
          <w:szCs w:val="22"/>
          <w:lang w:val="es-ES"/>
        </w:rPr>
        <w:t xml:space="preserve">Criterio D (Atributos especiales): </w:t>
      </w:r>
      <w:r w:rsidRPr="00E97911">
        <w:rPr>
          <w:rFonts w:cs="Arial"/>
          <w:bCs/>
          <w:iCs/>
          <w:sz w:val="22"/>
          <w:szCs w:val="22"/>
          <w:lang w:val="es-ES"/>
        </w:rPr>
        <w:t xml:space="preserve">El Criterio D se refiere a áreas importantes para tiburones que son considerados por atributos distintivos biológicos, de comportamiento o ecológicos (únicos o asociados con un tipo de hábitat único) o que sostienen una importante diversidad de especies. Consiste en dos subcriterios relacionados con la notoriedad y la diversidad. </w:t>
      </w:r>
    </w:p>
    <w:p w14:paraId="21762847" w14:textId="77777777" w:rsidR="00E97911" w:rsidRPr="00E97911" w:rsidRDefault="00E97911" w:rsidP="00E97911">
      <w:pPr>
        <w:ind w:left="540"/>
        <w:jc w:val="both"/>
        <w:rPr>
          <w:rFonts w:cs="Arial"/>
          <w:bCs/>
          <w:iCs/>
          <w:sz w:val="22"/>
          <w:szCs w:val="22"/>
          <w:lang w:val="es-ES"/>
        </w:rPr>
      </w:pPr>
    </w:p>
    <w:p w14:paraId="4CF3F49F" w14:textId="77777777" w:rsidR="00E97911" w:rsidRPr="00E97911" w:rsidRDefault="00E97911" w:rsidP="00E97911">
      <w:pPr>
        <w:spacing w:after="80"/>
        <w:ind w:left="1080"/>
        <w:jc w:val="both"/>
        <w:rPr>
          <w:rFonts w:cs="Arial"/>
          <w:bCs/>
          <w:iCs/>
          <w:sz w:val="22"/>
          <w:szCs w:val="22"/>
          <w:lang w:val="es-ES"/>
        </w:rPr>
      </w:pPr>
      <w:r w:rsidRPr="00E97911">
        <w:rPr>
          <w:rFonts w:cs="Arial"/>
          <w:b/>
          <w:iCs/>
          <w:sz w:val="22"/>
          <w:szCs w:val="22"/>
          <w:lang w:val="es-ES"/>
        </w:rPr>
        <w:t xml:space="preserve">Subcriterio D1 (Notoriedad): </w:t>
      </w:r>
      <w:r w:rsidRPr="00E97911">
        <w:rPr>
          <w:rFonts w:cs="Arial"/>
          <w:bCs/>
          <w:iCs/>
          <w:sz w:val="22"/>
          <w:szCs w:val="22"/>
          <w:lang w:val="es-ES"/>
        </w:rPr>
        <w:t xml:space="preserve">El subcriterio D1 identifica áreas donde los tiburones muestran características biológicas, de comportamiento o ecológicas distintivas. La variedad de tiburones, sus rasgos únicos y sus adaptaciones pueden dar como resultado características distintivas. </w:t>
      </w:r>
    </w:p>
    <w:p w14:paraId="45FC66E1" w14:textId="77777777" w:rsidR="00E97911" w:rsidRPr="00E97911" w:rsidRDefault="00E97911" w:rsidP="00E97911">
      <w:pPr>
        <w:ind w:left="1080"/>
        <w:jc w:val="both"/>
        <w:rPr>
          <w:rFonts w:cs="Arial"/>
          <w:bCs/>
          <w:iCs/>
          <w:sz w:val="22"/>
          <w:szCs w:val="22"/>
          <w:lang w:val="es-ES"/>
        </w:rPr>
      </w:pPr>
      <w:r w:rsidRPr="00E97911">
        <w:rPr>
          <w:rFonts w:cs="Arial"/>
          <w:b/>
          <w:iCs/>
          <w:sz w:val="22"/>
          <w:szCs w:val="22"/>
          <w:lang w:val="es-ES"/>
        </w:rPr>
        <w:t xml:space="preserve">Subcriterio D2 (Diversidad): </w:t>
      </w:r>
      <w:r w:rsidRPr="00E97911">
        <w:rPr>
          <w:rFonts w:cs="Arial"/>
          <w:bCs/>
          <w:iCs/>
          <w:sz w:val="22"/>
          <w:szCs w:val="22"/>
          <w:lang w:val="es-ES"/>
        </w:rPr>
        <w:t xml:space="preserve">El subcriterio D2 identifica áreas que sostienen una importante diversidad de tiburones. Estas son áreas que pueden alojar una alta diversidad de tiburones (es decir, la diversidad del conjunto de tiburones que se da es alta o excepcional para esa región) y son críticas para la persistencia de la diversidad de tiburones. </w:t>
      </w:r>
    </w:p>
    <w:p w14:paraId="7F03ADE3" w14:textId="77777777" w:rsidR="00E97911" w:rsidRPr="00E97911" w:rsidRDefault="00E97911" w:rsidP="00E97911">
      <w:pPr>
        <w:jc w:val="both"/>
        <w:rPr>
          <w:rFonts w:cs="Arial"/>
          <w:b/>
          <w:iCs/>
          <w:sz w:val="22"/>
          <w:szCs w:val="22"/>
          <w:lang w:val="es-ES"/>
        </w:rPr>
      </w:pPr>
    </w:p>
    <w:p w14:paraId="4B32C9BC" w14:textId="77777777" w:rsidR="00E97911" w:rsidRPr="00E97911" w:rsidRDefault="00E97911" w:rsidP="00E97911">
      <w:pPr>
        <w:numPr>
          <w:ilvl w:val="0"/>
          <w:numId w:val="2"/>
        </w:numPr>
        <w:ind w:left="540" w:hanging="540"/>
        <w:contextualSpacing/>
        <w:jc w:val="both"/>
        <w:rPr>
          <w:rFonts w:cs="Arial"/>
          <w:b/>
          <w:iCs/>
          <w:sz w:val="22"/>
          <w:szCs w:val="22"/>
          <w:lang w:val="es-ES"/>
        </w:rPr>
      </w:pPr>
      <w:r w:rsidRPr="00E97911">
        <w:rPr>
          <w:rFonts w:cs="Arial"/>
          <w:b/>
          <w:iCs/>
          <w:sz w:val="22"/>
          <w:szCs w:val="22"/>
          <w:lang w:val="es-ES"/>
        </w:rPr>
        <w:t>Proceso de identificación de las ISRA</w:t>
      </w:r>
    </w:p>
    <w:p w14:paraId="76721D44" w14:textId="77777777" w:rsidR="00E97911" w:rsidRPr="00E97911" w:rsidRDefault="00E97911" w:rsidP="00E97911">
      <w:pPr>
        <w:jc w:val="both"/>
        <w:rPr>
          <w:rFonts w:cs="Arial"/>
          <w:b/>
          <w:iCs/>
          <w:sz w:val="22"/>
          <w:szCs w:val="22"/>
          <w:lang w:val="es-ES"/>
        </w:rPr>
      </w:pPr>
    </w:p>
    <w:p w14:paraId="12D9B018" w14:textId="77777777" w:rsidR="00E97911" w:rsidRPr="00E97911" w:rsidRDefault="00E97911" w:rsidP="00E97911">
      <w:pPr>
        <w:jc w:val="both"/>
        <w:rPr>
          <w:rFonts w:cs="Arial"/>
          <w:bCs/>
          <w:iCs/>
          <w:sz w:val="22"/>
          <w:szCs w:val="22"/>
          <w:lang w:val="es-ES"/>
        </w:rPr>
      </w:pPr>
      <w:r w:rsidRPr="00E97911">
        <w:rPr>
          <w:rFonts w:cs="Arial"/>
          <w:bCs/>
          <w:iCs/>
          <w:sz w:val="22"/>
          <w:szCs w:val="22"/>
          <w:lang w:val="es-ES"/>
        </w:rPr>
        <w:t xml:space="preserve">Las ISRA se identifican mediante talleres regionales de expertos. Estos son organizados por el Grupo Especialista de Tiburones de la CSE de la UICN después de una consulta con sus </w:t>
      </w:r>
      <w:proofErr w:type="gramStart"/>
      <w:r w:rsidRPr="00E97911">
        <w:rPr>
          <w:rFonts w:cs="Arial"/>
          <w:bCs/>
          <w:iCs/>
          <w:sz w:val="22"/>
          <w:szCs w:val="22"/>
          <w:lang w:val="es-ES"/>
        </w:rPr>
        <w:t>Subdirectores</w:t>
      </w:r>
      <w:proofErr w:type="gramEnd"/>
      <w:r w:rsidRPr="00E97911">
        <w:rPr>
          <w:rFonts w:cs="Arial"/>
          <w:bCs/>
          <w:iCs/>
          <w:sz w:val="22"/>
          <w:szCs w:val="22"/>
          <w:lang w:val="es-ES"/>
        </w:rPr>
        <w:t xml:space="preserve"> regionales. Las invitaciones a talleres se extienden a miembros y no miembros regionales que tengan conocimiento y experiencia útil para la identificación de las ISRA. Las fuentes de información para la consideración y evaluación durante cada taller se buscan activamente durante un período de actuación anterior a cada taller regional y se convierten en parte del Inventario de Conocimiento de las ISRA. Basándose en los comentarios de expertos, se examinan Áreas de Interés preliminares (</w:t>
      </w:r>
      <w:proofErr w:type="spellStart"/>
      <w:r w:rsidRPr="00E97911">
        <w:rPr>
          <w:rFonts w:cs="Arial"/>
          <w:bCs/>
          <w:iCs/>
          <w:sz w:val="22"/>
          <w:szCs w:val="22"/>
          <w:lang w:val="es-ES"/>
        </w:rPr>
        <w:t>pAoI</w:t>
      </w:r>
      <w:proofErr w:type="spellEnd"/>
      <w:r w:rsidRPr="00E97911">
        <w:rPr>
          <w:rFonts w:cs="Arial"/>
          <w:bCs/>
          <w:iCs/>
          <w:sz w:val="22"/>
          <w:szCs w:val="22"/>
          <w:lang w:val="es-ES"/>
        </w:rPr>
        <w:t xml:space="preserve">) por la presencia regular o </w:t>
      </w:r>
      <w:r w:rsidRPr="00E97911">
        <w:rPr>
          <w:rFonts w:cs="Arial"/>
          <w:bCs/>
          <w:iCs/>
          <w:sz w:val="22"/>
          <w:szCs w:val="22"/>
          <w:lang w:val="es-ES"/>
        </w:rPr>
        <w:lastRenderedPageBreak/>
        <w:t xml:space="preserve">predecible de especies a las cuales se les pueden aplicar los criterios. Las Especies Admisibles o Apoyadas evaluadas según cada uno de los Criterios ISRA dentro de las </w:t>
      </w:r>
      <w:proofErr w:type="spellStart"/>
      <w:r w:rsidRPr="00E97911">
        <w:rPr>
          <w:rFonts w:cs="Arial"/>
          <w:bCs/>
          <w:iCs/>
          <w:sz w:val="22"/>
          <w:szCs w:val="22"/>
          <w:lang w:val="es-ES"/>
        </w:rPr>
        <w:t>pAoI</w:t>
      </w:r>
      <w:proofErr w:type="spellEnd"/>
      <w:r w:rsidRPr="00E97911">
        <w:rPr>
          <w:rFonts w:cs="Arial"/>
          <w:bCs/>
          <w:iCs/>
          <w:sz w:val="22"/>
          <w:szCs w:val="22"/>
          <w:lang w:val="es-ES"/>
        </w:rPr>
        <w:t xml:space="preserve"> permiten que se justifique una candidata a Área Importante de Tiburones y Rayas (</w:t>
      </w:r>
      <w:proofErr w:type="spellStart"/>
      <w:r w:rsidRPr="00E97911">
        <w:rPr>
          <w:rFonts w:cs="Arial"/>
          <w:bCs/>
          <w:iCs/>
          <w:sz w:val="22"/>
          <w:szCs w:val="22"/>
          <w:lang w:val="es-ES"/>
        </w:rPr>
        <w:t>cISRA</w:t>
      </w:r>
      <w:proofErr w:type="spellEnd"/>
      <w:r w:rsidRPr="00E97911">
        <w:rPr>
          <w:rFonts w:cs="Arial"/>
          <w:bCs/>
          <w:iCs/>
          <w:sz w:val="22"/>
          <w:szCs w:val="22"/>
          <w:lang w:val="es-ES"/>
        </w:rPr>
        <w:t xml:space="preserve">). Finalmente, después del taller, cada </w:t>
      </w:r>
      <w:proofErr w:type="spellStart"/>
      <w:r w:rsidRPr="00E97911">
        <w:rPr>
          <w:rFonts w:cs="Arial"/>
          <w:bCs/>
          <w:iCs/>
          <w:sz w:val="22"/>
          <w:szCs w:val="22"/>
          <w:lang w:val="es-ES"/>
        </w:rPr>
        <w:t>cISRA</w:t>
      </w:r>
      <w:proofErr w:type="spellEnd"/>
      <w:r w:rsidRPr="00E97911">
        <w:rPr>
          <w:rFonts w:cs="Arial"/>
          <w:bCs/>
          <w:iCs/>
          <w:sz w:val="22"/>
          <w:szCs w:val="22"/>
          <w:lang w:val="es-ES"/>
        </w:rPr>
        <w:t xml:space="preserve"> está sujeta a una revisión de pares mediante un Panel de Revisión Independiente. Este panel está formado por reconocidos expertos en tiburones que no han estado implicados en los talleres regionales, pero que conocen en profundidad las especies, los hábitats y los Criterios ISRA (</w:t>
      </w:r>
      <w:proofErr w:type="spellStart"/>
      <w:r w:rsidRPr="00E97911">
        <w:rPr>
          <w:rFonts w:cs="Arial"/>
          <w:bCs/>
          <w:iCs/>
          <w:sz w:val="22"/>
          <w:szCs w:val="22"/>
          <w:lang w:val="es-ES"/>
        </w:rPr>
        <w:t>Notarbartolo</w:t>
      </w:r>
      <w:proofErr w:type="spellEnd"/>
      <w:r w:rsidRPr="00E97911">
        <w:rPr>
          <w:rFonts w:cs="Arial"/>
          <w:bCs/>
          <w:iCs/>
          <w:sz w:val="22"/>
          <w:szCs w:val="22"/>
          <w:lang w:val="es-ES"/>
        </w:rPr>
        <w:t xml:space="preserve"> di </w:t>
      </w:r>
      <w:proofErr w:type="spellStart"/>
      <w:r w:rsidRPr="00E97911">
        <w:rPr>
          <w:rFonts w:cs="Arial"/>
          <w:bCs/>
          <w:iCs/>
          <w:sz w:val="22"/>
          <w:szCs w:val="22"/>
          <w:lang w:val="es-ES"/>
        </w:rPr>
        <w:t>Sciara</w:t>
      </w:r>
      <w:proofErr w:type="spellEnd"/>
      <w:r w:rsidRPr="00E97911">
        <w:rPr>
          <w:rFonts w:cs="Arial"/>
          <w:bCs/>
          <w:iCs/>
          <w:sz w:val="22"/>
          <w:szCs w:val="22"/>
          <w:lang w:val="es-ES"/>
        </w:rPr>
        <w:t>, 2021</w:t>
      </w:r>
      <w:r w:rsidRPr="00E97911">
        <w:rPr>
          <w:rFonts w:cs="Arial"/>
          <w:bCs/>
          <w:iCs/>
          <w:sz w:val="22"/>
          <w:szCs w:val="22"/>
          <w:vertAlign w:val="superscript"/>
          <w:lang w:val="es-ES"/>
        </w:rPr>
        <w:footnoteReference w:id="2"/>
      </w:r>
      <w:r w:rsidRPr="00E97911">
        <w:rPr>
          <w:rFonts w:cs="Arial"/>
          <w:bCs/>
          <w:iCs/>
          <w:sz w:val="22"/>
          <w:szCs w:val="22"/>
          <w:lang w:val="es-ES"/>
        </w:rPr>
        <w:t>).</w:t>
      </w:r>
    </w:p>
    <w:p w14:paraId="44453BE5" w14:textId="77777777" w:rsidR="00E97911" w:rsidRPr="00E97911" w:rsidRDefault="00E97911" w:rsidP="00E97911">
      <w:pPr>
        <w:jc w:val="both"/>
        <w:rPr>
          <w:rFonts w:cs="Arial"/>
          <w:bCs/>
          <w:iCs/>
          <w:sz w:val="22"/>
          <w:szCs w:val="22"/>
          <w:lang w:val="es-ES"/>
        </w:rPr>
      </w:pPr>
    </w:p>
    <w:p w14:paraId="2C6A58EF" w14:textId="77777777" w:rsidR="0043670F" w:rsidRPr="00E97911" w:rsidRDefault="0043670F">
      <w:pPr>
        <w:rPr>
          <w:sz w:val="22"/>
          <w:szCs w:val="22"/>
          <w:lang w:val="es-ES"/>
        </w:rPr>
      </w:pPr>
    </w:p>
    <w:sectPr w:rsidR="0043670F" w:rsidRPr="00E9791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3A46" w14:textId="77777777" w:rsidR="007763FA" w:rsidRDefault="007763FA" w:rsidP="00F41607">
      <w:r>
        <w:separator/>
      </w:r>
    </w:p>
  </w:endnote>
  <w:endnote w:type="continuationSeparator" w:id="0">
    <w:p w14:paraId="385FF066" w14:textId="77777777" w:rsidR="007763FA" w:rsidRDefault="007763FA" w:rsidP="00F4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F0ED1" w14:textId="77777777" w:rsidR="007763FA" w:rsidRDefault="007763FA" w:rsidP="00F41607">
      <w:r>
        <w:separator/>
      </w:r>
    </w:p>
  </w:footnote>
  <w:footnote w:type="continuationSeparator" w:id="0">
    <w:p w14:paraId="5FBCFE8E" w14:textId="77777777" w:rsidR="007763FA" w:rsidRDefault="007763FA" w:rsidP="00F41607">
      <w:r>
        <w:continuationSeparator/>
      </w:r>
    </w:p>
  </w:footnote>
  <w:footnote w:id="1">
    <w:p w14:paraId="2F179C5B" w14:textId="77777777" w:rsidR="00E97911" w:rsidRPr="000812A4" w:rsidRDefault="00E97911" w:rsidP="00E97911">
      <w:pPr>
        <w:jc w:val="both"/>
        <w:rPr>
          <w:rFonts w:cs="Arial"/>
          <w:bCs/>
          <w:iCs/>
          <w:sz w:val="16"/>
          <w:szCs w:val="16"/>
          <w:lang w:val="fr-FR"/>
        </w:rPr>
      </w:pPr>
      <w:r w:rsidRPr="000812A4">
        <w:rPr>
          <w:rStyle w:val="FootnoteReference"/>
          <w:rFonts w:eastAsiaTheme="majorEastAsia" w:cs="Arial"/>
          <w:sz w:val="16"/>
          <w:szCs w:val="16"/>
        </w:rPr>
        <w:footnoteRef/>
      </w:r>
      <w:r w:rsidRPr="000812A4">
        <w:rPr>
          <w:rFonts w:cs="Arial"/>
          <w:sz w:val="16"/>
          <w:szCs w:val="16"/>
          <w:lang w:val="es-ES"/>
        </w:rPr>
        <w:t xml:space="preserve"> </w:t>
      </w:r>
      <w:r w:rsidRPr="000812A4">
        <w:rPr>
          <w:rFonts w:cs="Arial"/>
          <w:b/>
          <w:iCs/>
          <w:sz w:val="16"/>
          <w:szCs w:val="16"/>
          <w:lang w:val="es-ES"/>
        </w:rPr>
        <w:t xml:space="preserve">Hyde CA, </w:t>
      </w:r>
      <w:proofErr w:type="spellStart"/>
      <w:r w:rsidRPr="000812A4">
        <w:rPr>
          <w:rFonts w:cs="Arial"/>
          <w:b/>
          <w:iCs/>
          <w:sz w:val="16"/>
          <w:szCs w:val="16"/>
          <w:lang w:val="es-ES"/>
        </w:rPr>
        <w:t>Notarbartolo</w:t>
      </w:r>
      <w:proofErr w:type="spellEnd"/>
      <w:r w:rsidRPr="000812A4">
        <w:rPr>
          <w:rFonts w:cs="Arial"/>
          <w:b/>
          <w:iCs/>
          <w:sz w:val="16"/>
          <w:szCs w:val="16"/>
          <w:lang w:val="es-ES"/>
        </w:rPr>
        <w:t xml:space="preserve"> di </w:t>
      </w:r>
      <w:proofErr w:type="spellStart"/>
      <w:r w:rsidRPr="000812A4">
        <w:rPr>
          <w:rFonts w:cs="Arial"/>
          <w:b/>
          <w:iCs/>
          <w:sz w:val="16"/>
          <w:szCs w:val="16"/>
          <w:lang w:val="es-ES"/>
        </w:rPr>
        <w:t>Sciara</w:t>
      </w:r>
      <w:proofErr w:type="spellEnd"/>
      <w:r w:rsidRPr="000812A4">
        <w:rPr>
          <w:rFonts w:cs="Arial"/>
          <w:b/>
          <w:iCs/>
          <w:sz w:val="16"/>
          <w:szCs w:val="16"/>
          <w:lang w:val="es-ES"/>
        </w:rPr>
        <w:t xml:space="preserve"> G, Sorrentino L, Boyd C, </w:t>
      </w:r>
      <w:proofErr w:type="spellStart"/>
      <w:r w:rsidRPr="000812A4">
        <w:rPr>
          <w:rFonts w:cs="Arial"/>
          <w:b/>
          <w:iCs/>
          <w:sz w:val="16"/>
          <w:szCs w:val="16"/>
          <w:lang w:val="es-ES"/>
        </w:rPr>
        <w:t>Finucci</w:t>
      </w:r>
      <w:proofErr w:type="spellEnd"/>
      <w:r w:rsidRPr="000812A4">
        <w:rPr>
          <w:rFonts w:cs="Arial"/>
          <w:b/>
          <w:iCs/>
          <w:sz w:val="16"/>
          <w:szCs w:val="16"/>
          <w:lang w:val="es-ES"/>
        </w:rPr>
        <w:t xml:space="preserve"> B, Fowler SL, </w:t>
      </w:r>
      <w:proofErr w:type="spellStart"/>
      <w:r w:rsidRPr="000812A4">
        <w:rPr>
          <w:rFonts w:cs="Arial"/>
          <w:b/>
          <w:iCs/>
          <w:sz w:val="16"/>
          <w:szCs w:val="16"/>
          <w:lang w:val="es-ES"/>
        </w:rPr>
        <w:t>Kyne</w:t>
      </w:r>
      <w:proofErr w:type="spellEnd"/>
      <w:r w:rsidRPr="000812A4">
        <w:rPr>
          <w:rFonts w:cs="Arial"/>
          <w:b/>
          <w:iCs/>
          <w:sz w:val="16"/>
          <w:szCs w:val="16"/>
          <w:lang w:val="es-ES"/>
        </w:rPr>
        <w:t xml:space="preserve"> PM, </w:t>
      </w:r>
      <w:proofErr w:type="spellStart"/>
      <w:r w:rsidRPr="000812A4">
        <w:rPr>
          <w:rFonts w:cs="Arial"/>
          <w:b/>
          <w:iCs/>
          <w:sz w:val="16"/>
          <w:szCs w:val="16"/>
          <w:lang w:val="es-ES"/>
        </w:rPr>
        <w:t>Leurs</w:t>
      </w:r>
      <w:proofErr w:type="spellEnd"/>
      <w:r w:rsidRPr="000812A4">
        <w:rPr>
          <w:rFonts w:cs="Arial"/>
          <w:b/>
          <w:iCs/>
          <w:sz w:val="16"/>
          <w:szCs w:val="16"/>
          <w:lang w:val="es-ES"/>
        </w:rPr>
        <w:t xml:space="preserve"> G, </w:t>
      </w:r>
      <w:proofErr w:type="spellStart"/>
      <w:r w:rsidRPr="000812A4">
        <w:rPr>
          <w:rFonts w:cs="Arial"/>
          <w:b/>
          <w:iCs/>
          <w:sz w:val="16"/>
          <w:szCs w:val="16"/>
          <w:lang w:val="es-ES"/>
        </w:rPr>
        <w:t>Simpfendorfer</w:t>
      </w:r>
      <w:proofErr w:type="spellEnd"/>
      <w:r w:rsidRPr="000812A4">
        <w:rPr>
          <w:rFonts w:cs="Arial"/>
          <w:b/>
          <w:iCs/>
          <w:sz w:val="16"/>
          <w:szCs w:val="16"/>
          <w:lang w:val="es-ES"/>
        </w:rPr>
        <w:t xml:space="preserve"> CA, </w:t>
      </w:r>
      <w:proofErr w:type="spellStart"/>
      <w:r w:rsidRPr="000812A4">
        <w:rPr>
          <w:rFonts w:cs="Arial"/>
          <w:b/>
          <w:iCs/>
          <w:sz w:val="16"/>
          <w:szCs w:val="16"/>
          <w:lang w:val="es-ES"/>
        </w:rPr>
        <w:t>Tetley</w:t>
      </w:r>
      <w:proofErr w:type="spellEnd"/>
      <w:r w:rsidRPr="000812A4">
        <w:rPr>
          <w:rFonts w:cs="Arial"/>
          <w:b/>
          <w:iCs/>
          <w:sz w:val="16"/>
          <w:szCs w:val="16"/>
          <w:lang w:val="es-ES"/>
        </w:rPr>
        <w:t xml:space="preserve"> MJ, </w:t>
      </w:r>
      <w:proofErr w:type="spellStart"/>
      <w:r w:rsidRPr="000812A4">
        <w:rPr>
          <w:rFonts w:cs="Arial"/>
          <w:b/>
          <w:iCs/>
          <w:sz w:val="16"/>
          <w:szCs w:val="16"/>
          <w:lang w:val="es-ES"/>
        </w:rPr>
        <w:t>Womersley</w:t>
      </w:r>
      <w:proofErr w:type="spellEnd"/>
      <w:r w:rsidRPr="000812A4">
        <w:rPr>
          <w:rFonts w:cs="Arial"/>
          <w:b/>
          <w:iCs/>
          <w:sz w:val="16"/>
          <w:szCs w:val="16"/>
          <w:lang w:val="es-ES"/>
        </w:rPr>
        <w:t xml:space="preserve"> F and Jabado RW (2022</w:t>
      </w:r>
      <w:r w:rsidRPr="000812A4">
        <w:rPr>
          <w:rFonts w:cs="Arial"/>
          <w:bCs/>
          <w:iCs/>
          <w:sz w:val="16"/>
          <w:szCs w:val="16"/>
          <w:lang w:val="es-ES"/>
        </w:rPr>
        <w:t>) Situando a los tiburones en el mapa: Una norma global para mejorar la conservación de los tiburones basada en zonas. </w:t>
      </w:r>
      <w:r w:rsidRPr="000812A4">
        <w:rPr>
          <w:rFonts w:cs="Arial"/>
          <w:bCs/>
          <w:iCs/>
          <w:sz w:val="16"/>
          <w:szCs w:val="16"/>
          <w:lang w:val="fr-FR"/>
        </w:rPr>
        <w:t xml:space="preserve">Front. Mar. </w:t>
      </w:r>
      <w:proofErr w:type="spellStart"/>
      <w:r w:rsidRPr="000812A4">
        <w:rPr>
          <w:rFonts w:cs="Arial"/>
          <w:bCs/>
          <w:iCs/>
          <w:sz w:val="16"/>
          <w:szCs w:val="16"/>
          <w:lang w:val="fr-FR"/>
        </w:rPr>
        <w:t>Sci</w:t>
      </w:r>
      <w:proofErr w:type="spellEnd"/>
      <w:r w:rsidRPr="000812A4">
        <w:rPr>
          <w:rFonts w:cs="Arial"/>
          <w:bCs/>
          <w:iCs/>
          <w:sz w:val="16"/>
          <w:szCs w:val="16"/>
          <w:lang w:val="fr-FR"/>
        </w:rPr>
        <w:t>. 9</w:t>
      </w:r>
      <w:proofErr w:type="gramStart"/>
      <w:r w:rsidRPr="000812A4">
        <w:rPr>
          <w:rFonts w:cs="Arial"/>
          <w:bCs/>
          <w:iCs/>
          <w:sz w:val="16"/>
          <w:szCs w:val="16"/>
          <w:lang w:val="fr-FR"/>
        </w:rPr>
        <w:t> :968853.Doi</w:t>
      </w:r>
      <w:proofErr w:type="gramEnd"/>
      <w:r w:rsidRPr="000812A4">
        <w:rPr>
          <w:rFonts w:cs="Arial"/>
          <w:bCs/>
          <w:iCs/>
          <w:sz w:val="16"/>
          <w:szCs w:val="16"/>
          <w:lang w:val="fr-FR"/>
        </w:rPr>
        <w:t> : 10.3389/fmars.2022.968853</w:t>
      </w:r>
    </w:p>
    <w:p w14:paraId="37D61292" w14:textId="77777777" w:rsidR="00E97911" w:rsidRPr="00992485" w:rsidRDefault="008876FD" w:rsidP="00E97911">
      <w:pPr>
        <w:spacing w:line="276" w:lineRule="auto"/>
        <w:jc w:val="both"/>
        <w:rPr>
          <w:rFonts w:cs="Arial"/>
          <w:bCs/>
          <w:iCs/>
          <w:sz w:val="16"/>
          <w:szCs w:val="16"/>
          <w:lang w:val="fr-FR"/>
        </w:rPr>
      </w:pPr>
      <w:hyperlink r:id="rId1" w:history="1">
        <w:proofErr w:type="gramStart"/>
        <w:r w:rsidR="00E97911" w:rsidRPr="000812A4">
          <w:rPr>
            <w:rStyle w:val="Hyperlink"/>
            <w:rFonts w:cs="Arial"/>
            <w:bCs/>
            <w:iCs/>
            <w:sz w:val="16"/>
            <w:szCs w:val="16"/>
            <w:lang w:val="fr-FR"/>
          </w:rPr>
          <w:t>https</w:t>
        </w:r>
        <w:proofErr w:type="gramEnd"/>
        <w:r w:rsidR="00E97911" w:rsidRPr="000812A4">
          <w:rPr>
            <w:rStyle w:val="Hyperlink"/>
            <w:rFonts w:cs="Arial"/>
            <w:bCs/>
            <w:iCs/>
            <w:sz w:val="16"/>
            <w:szCs w:val="16"/>
            <w:lang w:val="fr-FR"/>
          </w:rPr>
          <w:t> ://www.frontiersin.org/articles/10.3389/fmars.2022.968853/full</w:t>
        </w:r>
      </w:hyperlink>
      <w:r w:rsidR="00E97911" w:rsidRPr="00992485">
        <w:rPr>
          <w:rFonts w:cs="Arial"/>
          <w:bCs/>
          <w:iCs/>
          <w:sz w:val="16"/>
          <w:szCs w:val="16"/>
          <w:lang w:val="fr-FR"/>
        </w:rPr>
        <w:t xml:space="preserve"> </w:t>
      </w:r>
    </w:p>
  </w:footnote>
  <w:footnote w:id="2">
    <w:p w14:paraId="2A9337C4" w14:textId="77777777" w:rsidR="00E97911" w:rsidRPr="003D64F4" w:rsidRDefault="00E97911" w:rsidP="00E97911">
      <w:pPr>
        <w:pStyle w:val="FootnoteText"/>
        <w:jc w:val="both"/>
        <w:rPr>
          <w:rFonts w:ascii="Arial" w:hAnsi="Arial" w:cs="Arial"/>
          <w:sz w:val="16"/>
          <w:szCs w:val="16"/>
          <w:lang w:val="es-ES"/>
        </w:rPr>
      </w:pPr>
      <w:r w:rsidRPr="00D42F88">
        <w:rPr>
          <w:rStyle w:val="FootnoteReference"/>
          <w:rFonts w:ascii="Arial" w:eastAsiaTheme="majorEastAsia" w:hAnsi="Arial" w:cs="Arial"/>
          <w:sz w:val="16"/>
          <w:szCs w:val="16"/>
        </w:rPr>
        <w:footnoteRef/>
      </w:r>
      <w:r w:rsidRPr="003D64F4">
        <w:rPr>
          <w:rFonts w:ascii="Arial" w:hAnsi="Arial" w:cs="Arial"/>
          <w:sz w:val="16"/>
          <w:szCs w:val="16"/>
          <w:lang w:val="es-ES"/>
        </w:rPr>
        <w:t xml:space="preserve"> </w:t>
      </w:r>
      <w:proofErr w:type="spellStart"/>
      <w:r w:rsidRPr="003D64F4">
        <w:rPr>
          <w:rFonts w:ascii="Arial" w:hAnsi="Arial" w:cs="Arial"/>
          <w:b/>
          <w:bCs/>
          <w:sz w:val="16"/>
          <w:szCs w:val="16"/>
          <w:lang w:val="es-ES"/>
        </w:rPr>
        <w:t>Notarbartolo</w:t>
      </w:r>
      <w:proofErr w:type="spellEnd"/>
      <w:r w:rsidRPr="003D64F4">
        <w:rPr>
          <w:rFonts w:ascii="Arial" w:hAnsi="Arial" w:cs="Arial"/>
          <w:b/>
          <w:bCs/>
          <w:sz w:val="16"/>
          <w:szCs w:val="16"/>
          <w:lang w:val="es-ES"/>
        </w:rPr>
        <w:t xml:space="preserve"> di </w:t>
      </w:r>
      <w:proofErr w:type="spellStart"/>
      <w:r w:rsidRPr="003D64F4">
        <w:rPr>
          <w:rFonts w:ascii="Arial" w:hAnsi="Arial" w:cs="Arial"/>
          <w:b/>
          <w:bCs/>
          <w:sz w:val="16"/>
          <w:szCs w:val="16"/>
          <w:lang w:val="es-ES"/>
        </w:rPr>
        <w:t>Sciara</w:t>
      </w:r>
      <w:proofErr w:type="spellEnd"/>
      <w:r w:rsidRPr="003D64F4">
        <w:rPr>
          <w:rFonts w:ascii="Arial" w:hAnsi="Arial" w:cs="Arial"/>
          <w:b/>
          <w:bCs/>
          <w:sz w:val="16"/>
          <w:szCs w:val="16"/>
          <w:lang w:val="es-ES"/>
        </w:rPr>
        <w:t>, G. (2021)</w:t>
      </w:r>
      <w:r w:rsidRPr="003D64F4">
        <w:rPr>
          <w:rFonts w:ascii="Arial" w:hAnsi="Arial" w:cs="Arial"/>
          <w:sz w:val="16"/>
          <w:szCs w:val="16"/>
          <w:lang w:val="es-ES"/>
        </w:rPr>
        <w:t xml:space="preserve"> Hacia un proceso de Áreas Importantes de Tiburones y Rayas (ISRA): estrategia de implementación (Facilitación de información al Grupo Especialista de Tiburones Comisión de Supervivencia de Especies de la UICN). </w:t>
      </w:r>
    </w:p>
    <w:p w14:paraId="6CCF340A" w14:textId="77777777" w:rsidR="00E97911" w:rsidRPr="00992485" w:rsidRDefault="00E97911" w:rsidP="00E97911">
      <w:pPr>
        <w:pStyle w:val="FootnoteText"/>
        <w:jc w:val="both"/>
        <w:rPr>
          <w:rFonts w:ascii="Arial" w:hAnsi="Arial" w:cs="Arial"/>
          <w:sz w:val="16"/>
          <w:szCs w:val="16"/>
        </w:rPr>
      </w:pPr>
      <w:r w:rsidRPr="00D42F88">
        <w:rPr>
          <w:rFonts w:ascii="Arial" w:hAnsi="Arial" w:cs="Arial"/>
          <w:sz w:val="16"/>
          <w:szCs w:val="16"/>
        </w:rPr>
        <w:t xml:space="preserve">Disponible </w:t>
      </w:r>
      <w:proofErr w:type="spellStart"/>
      <w:r w:rsidRPr="00D42F88">
        <w:rPr>
          <w:rFonts w:ascii="Arial" w:hAnsi="Arial" w:cs="Arial"/>
          <w:sz w:val="16"/>
          <w:szCs w:val="16"/>
        </w:rPr>
        <w:t>en</w:t>
      </w:r>
      <w:proofErr w:type="spellEnd"/>
      <w:r w:rsidRPr="00D42F88">
        <w:rPr>
          <w:rFonts w:ascii="Arial" w:hAnsi="Arial" w:cs="Arial"/>
          <w:sz w:val="16"/>
          <w:szCs w:val="16"/>
        </w:rPr>
        <w:t xml:space="preserve">: </w:t>
      </w:r>
      <w:hyperlink r:id="rId2" w:history="1">
        <w:r w:rsidRPr="00D42F88">
          <w:rPr>
            <w:rStyle w:val="Hyperlink"/>
            <w:rFonts w:cs="Arial"/>
            <w:sz w:val="16"/>
            <w:szCs w:val="16"/>
          </w:rPr>
          <w:t>https://sharkrayareas.org/ resources/meeting-workshop-reports/</w:t>
        </w:r>
      </w:hyperlink>
      <w:r w:rsidRPr="00992485">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F096" w14:textId="488495E1" w:rsidR="00F41607" w:rsidRPr="009E2F56" w:rsidRDefault="00F41607" w:rsidP="00F41607">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CMS/Sharks/MOS4</w:t>
    </w:r>
    <w:r w:rsidRPr="00C21E62">
      <w:rPr>
        <w:rFonts w:ascii="Arial" w:hAnsi="Arial" w:cs="Arial"/>
        <w:i/>
        <w:color w:val="auto"/>
        <w:sz w:val="18"/>
        <w:szCs w:val="18"/>
      </w:rPr>
      <w:t>/Doc.10.</w:t>
    </w:r>
    <w:r w:rsidR="00B13148">
      <w:rPr>
        <w:rFonts w:ascii="Arial" w:hAnsi="Arial" w:cs="Arial"/>
        <w:i/>
        <w:color w:val="auto"/>
        <w:sz w:val="18"/>
        <w:szCs w:val="18"/>
      </w:rPr>
      <w:t>4</w:t>
    </w:r>
    <w:r>
      <w:rPr>
        <w:rFonts w:ascii="Arial" w:hAnsi="Arial" w:cs="Arial"/>
        <w:i/>
        <w:color w:val="auto"/>
        <w:sz w:val="18"/>
        <w:szCs w:val="18"/>
      </w:rPr>
      <w:t>/An</w:t>
    </w:r>
    <w:r w:rsidR="00E97911">
      <w:rPr>
        <w:rFonts w:ascii="Arial" w:hAnsi="Arial" w:cs="Arial"/>
        <w:i/>
        <w:color w:val="auto"/>
        <w:sz w:val="18"/>
        <w:szCs w:val="18"/>
      </w:rPr>
      <w:t>exo</w:t>
    </w:r>
    <w:r>
      <w:rPr>
        <w:rFonts w:ascii="Arial" w:hAnsi="Arial" w:cs="Arial"/>
        <w:i/>
        <w:color w:val="auto"/>
        <w:sz w:val="18"/>
        <w:szCs w:val="18"/>
      </w:rPr>
      <w:t xml:space="preserve"> 1</w:t>
    </w:r>
  </w:p>
  <w:p w14:paraId="12D5325A" w14:textId="77777777" w:rsidR="00F41607" w:rsidRDefault="00F41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2B92"/>
    <w:multiLevelType w:val="hybridMultilevel"/>
    <w:tmpl w:val="44060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C653E"/>
    <w:multiLevelType w:val="hybridMultilevel"/>
    <w:tmpl w:val="09323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5479153">
    <w:abstractNumId w:val="1"/>
  </w:num>
  <w:num w:numId="2" w16cid:durableId="224994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07"/>
    <w:rsid w:val="0043670F"/>
    <w:rsid w:val="00481587"/>
    <w:rsid w:val="0048769B"/>
    <w:rsid w:val="004D55D6"/>
    <w:rsid w:val="007763FA"/>
    <w:rsid w:val="008876FD"/>
    <w:rsid w:val="008B4B8E"/>
    <w:rsid w:val="009B775E"/>
    <w:rsid w:val="00B13148"/>
    <w:rsid w:val="00B656A5"/>
    <w:rsid w:val="00BE5DBC"/>
    <w:rsid w:val="00DF1C43"/>
    <w:rsid w:val="00E97911"/>
    <w:rsid w:val="00EC1900"/>
    <w:rsid w:val="00F416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B46F"/>
  <w15:chartTrackingRefBased/>
  <w15:docId w15:val="{92EFFCCC-BC3F-4BA5-8DAC-07D023BB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MS normal text body"/>
    <w:qFormat/>
    <w:rsid w:val="00F41607"/>
    <w:pPr>
      <w:widowControl w:val="0"/>
      <w:autoSpaceDE w:val="0"/>
      <w:autoSpaceDN w:val="0"/>
      <w:adjustRightInd w:val="0"/>
      <w:spacing w:after="0" w:line="240" w:lineRule="auto"/>
    </w:pPr>
    <w:rPr>
      <w:rFonts w:ascii="Arial" w:eastAsia="Times New Roman" w:hAnsi="Arial" w:cs="Times New Roman"/>
      <w:sz w:val="18"/>
      <w:szCs w:val="24"/>
      <w:lang w:val="en-US"/>
    </w:rPr>
  </w:style>
  <w:style w:type="paragraph" w:styleId="Heading1">
    <w:name w:val="heading 1"/>
    <w:basedOn w:val="Normal"/>
    <w:next w:val="Normal"/>
    <w:link w:val="Heading1Char"/>
    <w:uiPriority w:val="9"/>
    <w:qFormat/>
    <w:rsid w:val="00F4160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41607"/>
    <w:rPr>
      <w:rFonts w:cs="Times New Roman"/>
      <w:color w:val="0000FF"/>
      <w:u w:val="single"/>
    </w:rPr>
  </w:style>
  <w:style w:type="paragraph" w:styleId="ListParagraph">
    <w:name w:val="List Paragraph"/>
    <w:basedOn w:val="Normal"/>
    <w:link w:val="ListParagraphChar"/>
    <w:uiPriority w:val="34"/>
    <w:qFormat/>
    <w:rsid w:val="00F41607"/>
    <w:pPr>
      <w:ind w:left="720"/>
      <w:contextualSpacing/>
    </w:pPr>
  </w:style>
  <w:style w:type="character" w:customStyle="1" w:styleId="ListParagraphChar">
    <w:name w:val="List Paragraph Char"/>
    <w:basedOn w:val="DefaultParagraphFont"/>
    <w:link w:val="ListParagraph"/>
    <w:uiPriority w:val="34"/>
    <w:locked/>
    <w:rsid w:val="00F41607"/>
    <w:rPr>
      <w:rFonts w:ascii="Arial" w:eastAsia="Times New Roman" w:hAnsi="Arial" w:cs="Times New Roman"/>
      <w:sz w:val="18"/>
      <w:szCs w:val="24"/>
      <w:lang w:val="en-US"/>
    </w:rPr>
  </w:style>
  <w:style w:type="paragraph" w:styleId="Header">
    <w:name w:val="header"/>
    <w:basedOn w:val="Normal"/>
    <w:link w:val="HeaderChar"/>
    <w:uiPriority w:val="99"/>
    <w:unhideWhenUsed/>
    <w:rsid w:val="00F41607"/>
    <w:pPr>
      <w:tabs>
        <w:tab w:val="center" w:pos="4513"/>
        <w:tab w:val="right" w:pos="9026"/>
      </w:tabs>
    </w:pPr>
  </w:style>
  <w:style w:type="character" w:customStyle="1" w:styleId="HeaderChar">
    <w:name w:val="Header Char"/>
    <w:basedOn w:val="DefaultParagraphFont"/>
    <w:link w:val="Header"/>
    <w:uiPriority w:val="99"/>
    <w:rsid w:val="00F41607"/>
    <w:rPr>
      <w:rFonts w:ascii="Arial" w:eastAsia="Times New Roman" w:hAnsi="Arial" w:cs="Times New Roman"/>
      <w:sz w:val="18"/>
      <w:szCs w:val="24"/>
      <w:lang w:val="en-US"/>
    </w:rPr>
  </w:style>
  <w:style w:type="paragraph" w:styleId="Footer">
    <w:name w:val="footer"/>
    <w:basedOn w:val="Normal"/>
    <w:link w:val="FooterChar"/>
    <w:uiPriority w:val="99"/>
    <w:unhideWhenUsed/>
    <w:rsid w:val="00F41607"/>
    <w:pPr>
      <w:tabs>
        <w:tab w:val="center" w:pos="4513"/>
        <w:tab w:val="right" w:pos="9026"/>
      </w:tabs>
    </w:pPr>
  </w:style>
  <w:style w:type="character" w:customStyle="1" w:styleId="FooterChar">
    <w:name w:val="Footer Char"/>
    <w:basedOn w:val="DefaultParagraphFont"/>
    <w:link w:val="Footer"/>
    <w:uiPriority w:val="99"/>
    <w:rsid w:val="00F41607"/>
    <w:rPr>
      <w:rFonts w:ascii="Arial" w:eastAsia="Times New Roman" w:hAnsi="Arial" w:cs="Times New Roman"/>
      <w:sz w:val="18"/>
      <w:szCs w:val="24"/>
      <w:lang w:val="en-US"/>
    </w:rPr>
  </w:style>
  <w:style w:type="character" w:customStyle="1" w:styleId="Heading1Char">
    <w:name w:val="Heading 1 Char"/>
    <w:basedOn w:val="DefaultParagraphFont"/>
    <w:link w:val="Heading1"/>
    <w:uiPriority w:val="9"/>
    <w:rsid w:val="00F41607"/>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F41607"/>
    <w:pPr>
      <w:spacing w:after="0" w:line="240" w:lineRule="auto"/>
    </w:pPr>
    <w:rPr>
      <w:rFonts w:ascii="Arial" w:eastAsia="Times New Roman" w:hAnsi="Arial" w:cs="Times New Roman"/>
      <w:sz w:val="18"/>
      <w:szCs w:val="24"/>
      <w:lang w:val="en-US"/>
    </w:rPr>
  </w:style>
  <w:style w:type="paragraph" w:styleId="FootnoteText">
    <w:name w:val="footnote text"/>
    <w:link w:val="FootnoteTextChar"/>
    <w:uiPriority w:val="99"/>
    <w:rsid w:val="00B131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US" w:eastAsia="en-GB"/>
    </w:rPr>
  </w:style>
  <w:style w:type="character" w:customStyle="1" w:styleId="FootnoteTextChar">
    <w:name w:val="Footnote Text Char"/>
    <w:basedOn w:val="DefaultParagraphFont"/>
    <w:link w:val="FootnoteText"/>
    <w:uiPriority w:val="99"/>
    <w:rsid w:val="00B13148"/>
    <w:rPr>
      <w:rFonts w:ascii="Times New Roman" w:eastAsia="Times New Roman" w:hAnsi="Times New Roman" w:cs="Times New Roman"/>
      <w:color w:val="000000"/>
      <w:sz w:val="20"/>
      <w:szCs w:val="20"/>
      <w:u w:color="000000"/>
      <w:bdr w:val="nil"/>
      <w:lang w:val="en-US" w:eastAsia="en-GB"/>
    </w:rPr>
  </w:style>
  <w:style w:type="character" w:styleId="FootnoteReference">
    <w:name w:val="footnote reference"/>
    <w:basedOn w:val="DefaultParagraphFont"/>
    <w:uiPriority w:val="99"/>
    <w:unhideWhenUsed/>
    <w:rsid w:val="00B131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ms.int/sharks/en/document/important-shark-and-ray-area-isra-guidance-criteria-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harkrayareas.org/%20resources/meeting-workshop-reports/" TargetMode="External"/><Relationship Id="rId1" Type="http://schemas.openxmlformats.org/officeDocument/2006/relationships/hyperlink" Target="https://www.frontiersin.org/articles/10.3389/fmars.2022.968853/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Brueckner</dc:creator>
  <cp:keywords/>
  <dc:description/>
  <cp:lastModifiedBy>Ximena Victoria Cancino Ordenes</cp:lastModifiedBy>
  <cp:revision>2</cp:revision>
  <dcterms:created xsi:type="dcterms:W3CDTF">2023-03-01T21:47:00Z</dcterms:created>
  <dcterms:modified xsi:type="dcterms:W3CDTF">2023-03-01T21:47:00Z</dcterms:modified>
</cp:coreProperties>
</file>