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AAFF" w14:textId="77777777" w:rsidR="00756B6F" w:rsidRPr="00B80A38" w:rsidRDefault="00756B6F" w:rsidP="00756B6F">
      <w:pPr>
        <w:spacing w:after="120"/>
        <w:jc w:val="center"/>
        <w:rPr>
          <w:b/>
          <w:sz w:val="28"/>
          <w:szCs w:val="28"/>
          <w:lang w:val="es-ES"/>
        </w:rPr>
      </w:pPr>
      <w:r>
        <w:rPr>
          <w:b/>
          <w:sz w:val="28"/>
          <w:szCs w:val="28"/>
          <w:lang w:val="es-ES"/>
        </w:rPr>
        <w:t>56</w:t>
      </w:r>
      <w:r w:rsidRPr="00DB3F98">
        <w:rPr>
          <w:b/>
          <w:sz w:val="28"/>
          <w:szCs w:val="28"/>
          <w:vertAlign w:val="superscript"/>
          <w:lang w:val="es-ES"/>
        </w:rPr>
        <w:t>a</w:t>
      </w:r>
      <w:r w:rsidRPr="00DB3F98">
        <w:rPr>
          <w:b/>
          <w:sz w:val="28"/>
          <w:szCs w:val="28"/>
          <w:lang w:val="es-ES"/>
        </w:rPr>
        <w:t xml:space="preserve"> Reunión del Comité </w:t>
      </w:r>
      <w:r>
        <w:rPr>
          <w:b/>
          <w:sz w:val="28"/>
          <w:szCs w:val="28"/>
          <w:lang w:val="es-ES"/>
        </w:rPr>
        <w:t>P</w:t>
      </w:r>
      <w:r w:rsidRPr="00DB3F98">
        <w:rPr>
          <w:b/>
          <w:sz w:val="28"/>
          <w:szCs w:val="28"/>
          <w:lang w:val="es-ES"/>
        </w:rPr>
        <w:t>ermanente</w:t>
      </w:r>
    </w:p>
    <w:p w14:paraId="4CA9D2DA" w14:textId="77777777" w:rsidR="00756B6F" w:rsidRPr="00025092" w:rsidRDefault="00756B6F" w:rsidP="00756B6F">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Alemania, 25 – 27 de marzo de </w:t>
      </w:r>
      <w:r w:rsidRPr="002506C2">
        <w:rPr>
          <w:rFonts w:cs="Arial"/>
          <w:bCs/>
          <w:i/>
          <w:spacing w:val="-4"/>
          <w:lang w:val="es-PE"/>
        </w:rPr>
        <w:t>20</w:t>
      </w:r>
      <w:r>
        <w:rPr>
          <w:rFonts w:cs="Arial"/>
          <w:bCs/>
          <w:i/>
          <w:spacing w:val="-4"/>
          <w:lang w:val="es-PE"/>
        </w:rPr>
        <w:t>25</w:t>
      </w:r>
    </w:p>
    <w:p w14:paraId="2A0AC359" w14:textId="16A8B205" w:rsidR="00756B6F" w:rsidRPr="00767A65" w:rsidRDefault="00756B6F" w:rsidP="00756B6F">
      <w:pPr>
        <w:spacing w:before="120"/>
        <w:jc w:val="right"/>
        <w:rPr>
          <w:rFonts w:cs="Arial"/>
          <w:lang w:val="es-ES"/>
        </w:rPr>
      </w:pPr>
      <w:bookmarkStart w:id="0" w:name="_Hlk76138445"/>
      <w:r w:rsidRPr="00767A65">
        <w:rPr>
          <w:rFonts w:cs="Arial"/>
          <w:lang w:val="es-ES"/>
        </w:rPr>
        <w:t>UNEP/CMS/StC5</w:t>
      </w:r>
      <w:r>
        <w:rPr>
          <w:rFonts w:cs="Arial"/>
          <w:lang w:val="es-ES"/>
        </w:rPr>
        <w:t>6</w:t>
      </w:r>
      <w:r w:rsidRPr="00767A65">
        <w:rPr>
          <w:rFonts w:cs="Arial"/>
          <w:lang w:val="es-ES"/>
        </w:rPr>
        <w:t>/Doc.</w:t>
      </w:r>
      <w:r>
        <w:rPr>
          <w:rFonts w:cs="Arial"/>
          <w:lang w:val="es-ES"/>
        </w:rPr>
        <w:t>10.2</w:t>
      </w:r>
    </w:p>
    <w:bookmarkEnd w:id="0"/>
    <w:p w14:paraId="0E9A6CB9" w14:textId="783549CF" w:rsidR="009A012D" w:rsidRPr="00D6646B" w:rsidRDefault="009A012D">
      <w:pPr>
        <w:rPr>
          <w:rFonts w:cs="Arial"/>
          <w:spacing w:val="-2"/>
          <w:lang w:val="es-ES" w:eastAsia="en-GB"/>
        </w:rPr>
      </w:pPr>
    </w:p>
    <w:p w14:paraId="2F5D769F" w14:textId="2F9C854F" w:rsidR="005D00EE" w:rsidRPr="00D6646B" w:rsidRDefault="005D00EE">
      <w:pPr>
        <w:rPr>
          <w:rFonts w:cs="Arial"/>
          <w:spacing w:val="-2"/>
          <w:lang w:val="es-ES" w:eastAsia="en-GB"/>
        </w:rPr>
      </w:pPr>
    </w:p>
    <w:p w14:paraId="03C9ED4B" w14:textId="77777777" w:rsidR="00E45216" w:rsidRPr="00D6646B" w:rsidRDefault="00E45216" w:rsidP="00E45216">
      <w:pPr>
        <w:jc w:val="both"/>
        <w:rPr>
          <w:lang w:val="es-ES"/>
        </w:rPr>
      </w:pPr>
    </w:p>
    <w:p w14:paraId="74A11495" w14:textId="6F138A49" w:rsidR="00E45216" w:rsidRPr="00D6646B" w:rsidRDefault="00A247ED" w:rsidP="00E45216">
      <w:pPr>
        <w:spacing w:after="120"/>
        <w:jc w:val="center"/>
        <w:rPr>
          <w:b/>
          <w:lang w:val="es-ES"/>
        </w:rPr>
      </w:pPr>
      <w:r w:rsidRPr="00D6646B">
        <w:rPr>
          <w:b/>
          <w:lang w:val="es-ES"/>
        </w:rPr>
        <w:t>MOVILIZACIÓN DE RECURSOS</w:t>
      </w:r>
    </w:p>
    <w:p w14:paraId="629F9D20" w14:textId="0EC805CB" w:rsidR="00E45216" w:rsidRPr="00D6646B" w:rsidRDefault="00E45216" w:rsidP="00E45216">
      <w:pPr>
        <w:jc w:val="center"/>
        <w:rPr>
          <w:i/>
          <w:lang w:val="es-ES"/>
        </w:rPr>
      </w:pPr>
      <w:r w:rsidRPr="00D6646B">
        <w:rPr>
          <w:i/>
          <w:lang w:val="es-ES"/>
        </w:rPr>
        <w:t>(A</w:t>
      </w:r>
      <w:r w:rsidR="00B75E68">
        <w:rPr>
          <w:i/>
          <w:lang w:val="es-ES"/>
        </w:rPr>
        <w:t xml:space="preserve">l </w:t>
      </w:r>
      <w:r w:rsidR="000E71A5">
        <w:rPr>
          <w:i/>
          <w:lang w:val="es-ES"/>
        </w:rPr>
        <w:t>1</w:t>
      </w:r>
      <w:r w:rsidR="00DB2F30">
        <w:rPr>
          <w:i/>
          <w:lang w:val="es-ES"/>
        </w:rPr>
        <w:t>2</w:t>
      </w:r>
      <w:r w:rsidRPr="00D6646B">
        <w:rPr>
          <w:i/>
          <w:lang w:val="es-ES"/>
        </w:rPr>
        <w:t xml:space="preserve"> de </w:t>
      </w:r>
      <w:r w:rsidR="007656F0">
        <w:rPr>
          <w:i/>
          <w:lang w:val="es-ES"/>
        </w:rPr>
        <w:t>febrero</w:t>
      </w:r>
      <w:r w:rsidRPr="00D6646B">
        <w:rPr>
          <w:i/>
          <w:lang w:val="es-ES"/>
        </w:rPr>
        <w:t xml:space="preserve"> 2025 / Preparado por la Secretaría)</w:t>
      </w:r>
    </w:p>
    <w:p w14:paraId="168CA257" w14:textId="1E9B6531" w:rsidR="003C1A96" w:rsidRPr="00D6646B" w:rsidRDefault="003C1A96" w:rsidP="003C1A96">
      <w:pPr>
        <w:suppressAutoHyphens/>
        <w:rPr>
          <w:rFonts w:eastAsia="Times New Roman" w:cs="Arial"/>
          <w:color w:val="000000"/>
          <w:kern w:val="2"/>
          <w:lang w:val="es-ES"/>
        </w:rPr>
      </w:pPr>
    </w:p>
    <w:p w14:paraId="5533AF3A" w14:textId="4A85CA36" w:rsidR="00E45216" w:rsidRPr="00D6646B" w:rsidRDefault="0076503F" w:rsidP="003C1A96">
      <w:pPr>
        <w:suppressAutoHyphens/>
        <w:rPr>
          <w:rFonts w:eastAsia="Times New Roman" w:cs="Arial"/>
          <w:color w:val="000000"/>
          <w:kern w:val="2"/>
          <w:lang w:val="es-ES"/>
        </w:rPr>
      </w:pPr>
      <w:r w:rsidRPr="00D6646B">
        <w:rPr>
          <w:rFonts w:cs="Arial"/>
          <w:noProof/>
          <w:sz w:val="21"/>
          <w:szCs w:val="21"/>
          <w:lang w:val="es-ES" w:eastAsia="es-ES"/>
        </w:rPr>
        <mc:AlternateContent>
          <mc:Choice Requires="wps">
            <w:drawing>
              <wp:anchor distT="0" distB="0" distL="114300" distR="114300" simplePos="0" relativeHeight="251658240" behindDoc="0" locked="0" layoutInCell="1" allowOverlap="1" wp14:anchorId="052F7187" wp14:editId="39D8C8A4">
                <wp:simplePos x="0" y="0"/>
                <wp:positionH relativeFrom="margin">
                  <wp:posOffset>790575</wp:posOffset>
                </wp:positionH>
                <wp:positionV relativeFrom="margin">
                  <wp:posOffset>2419350</wp:posOffset>
                </wp:positionV>
                <wp:extent cx="4619625" cy="3124200"/>
                <wp:effectExtent l="0" t="0" r="2857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124200"/>
                        </a:xfrm>
                        <a:prstGeom prst="rect">
                          <a:avLst/>
                        </a:prstGeom>
                        <a:solidFill>
                          <a:srgbClr val="FFFFFF"/>
                        </a:solidFill>
                        <a:ln w="3175">
                          <a:solidFill>
                            <a:srgbClr val="000000"/>
                          </a:solidFill>
                          <a:miter lim="800000"/>
                          <a:headEnd/>
                          <a:tailEnd/>
                        </a:ln>
                      </wps:spPr>
                      <wps:txbx>
                        <w:txbxContent>
                          <w:p w14:paraId="0D9B1FA6" w14:textId="77777777" w:rsidR="00E45216" w:rsidRPr="00516629" w:rsidRDefault="00E45216" w:rsidP="00E45216">
                            <w:pPr>
                              <w:rPr>
                                <w:rFonts w:cs="Arial"/>
                                <w:lang w:val="es-ES"/>
                              </w:rPr>
                            </w:pPr>
                            <w:r w:rsidRPr="00516629">
                              <w:rPr>
                                <w:rFonts w:cs="Arial"/>
                                <w:lang w:val="es-ES"/>
                              </w:rPr>
                              <w:t>Resumen:</w:t>
                            </w:r>
                          </w:p>
                          <w:p w14:paraId="79F89648" w14:textId="77777777" w:rsidR="007123B1" w:rsidRPr="00516629" w:rsidRDefault="007123B1" w:rsidP="00E45216">
                            <w:pPr>
                              <w:rPr>
                                <w:rFonts w:cs="Arial"/>
                                <w:lang w:val="es-ES"/>
                              </w:rPr>
                            </w:pPr>
                          </w:p>
                          <w:p w14:paraId="2E664277" w14:textId="77777777" w:rsidR="00306964" w:rsidRPr="00516629" w:rsidRDefault="00306964" w:rsidP="00306964">
                            <w:pPr>
                              <w:jc w:val="both"/>
                              <w:rPr>
                                <w:rFonts w:cs="Arial"/>
                                <w:color w:val="000000"/>
                                <w:lang w:val="es-ES"/>
                              </w:rPr>
                            </w:pPr>
                            <w:r w:rsidRPr="00516629">
                              <w:rPr>
                                <w:rFonts w:cs="Arial"/>
                                <w:color w:val="000000"/>
                                <w:lang w:val="es-ES"/>
                              </w:rPr>
                              <w:t>El presente documento describe el estado de los recursos movilizados,</w:t>
                            </w:r>
                          </w:p>
                          <w:p w14:paraId="2DA8EF6C" w14:textId="14C78574" w:rsidR="00306964" w:rsidRPr="00516629" w:rsidRDefault="00306964" w:rsidP="00306964">
                            <w:pPr>
                              <w:jc w:val="both"/>
                              <w:rPr>
                                <w:rFonts w:cs="Arial"/>
                                <w:color w:val="000000"/>
                                <w:lang w:val="es-ES"/>
                              </w:rPr>
                            </w:pPr>
                            <w:r w:rsidRPr="00516629">
                              <w:rPr>
                                <w:rFonts w:cs="Arial"/>
                                <w:color w:val="000000"/>
                                <w:lang w:val="es-ES"/>
                              </w:rPr>
                              <w:t>tanto financieros como en especie, a enero de 2025, desde la 14.ª Reunión de la Conferencia de las Partes (COP14, 12-17 de febrero de 2024).</w:t>
                            </w:r>
                          </w:p>
                          <w:p w14:paraId="1298D80D" w14:textId="77777777" w:rsidR="00A91EF7" w:rsidRPr="00516629" w:rsidRDefault="00A91EF7" w:rsidP="00306964">
                            <w:pPr>
                              <w:jc w:val="both"/>
                              <w:rPr>
                                <w:rFonts w:cs="Arial"/>
                                <w:color w:val="000000"/>
                                <w:lang w:val="es-ES"/>
                              </w:rPr>
                            </w:pPr>
                          </w:p>
                          <w:p w14:paraId="630C32AE" w14:textId="4BBB4A67" w:rsidR="00306964" w:rsidRPr="00516629" w:rsidRDefault="00306964" w:rsidP="005C436B">
                            <w:pPr>
                              <w:jc w:val="both"/>
                              <w:rPr>
                                <w:rFonts w:cs="Arial"/>
                                <w:color w:val="000000"/>
                                <w:lang w:val="es-ES"/>
                              </w:rPr>
                            </w:pPr>
                            <w:r w:rsidRPr="00516629">
                              <w:rPr>
                                <w:rFonts w:cs="Arial"/>
                                <w:color w:val="000000"/>
                                <w:lang w:val="es-ES"/>
                              </w:rPr>
                              <w:t>Estos recursos han contribuido a la implementación del Programa de Trabajo para el período entre sesiones entre la COP14 y la COP15 (PdT) (UNEP/CMS/StC56/Doc.13).</w:t>
                            </w:r>
                          </w:p>
                          <w:p w14:paraId="5D8A7749" w14:textId="77777777" w:rsidR="00BC1615" w:rsidRPr="00516629" w:rsidRDefault="00BC1615" w:rsidP="00306964">
                            <w:pPr>
                              <w:jc w:val="both"/>
                              <w:rPr>
                                <w:rFonts w:cs="Arial"/>
                                <w:color w:val="000000"/>
                                <w:lang w:val="es-ES"/>
                              </w:rPr>
                            </w:pPr>
                          </w:p>
                          <w:p w14:paraId="2B39A436" w14:textId="34FAC191" w:rsidR="007123B1" w:rsidRPr="00516629" w:rsidRDefault="00306964" w:rsidP="00306964">
                            <w:pPr>
                              <w:jc w:val="both"/>
                              <w:rPr>
                                <w:rFonts w:cs="Arial"/>
                                <w:color w:val="000000"/>
                                <w:lang w:val="es-ES"/>
                              </w:rPr>
                            </w:pPr>
                            <w:r w:rsidRPr="00516629">
                              <w:rPr>
                                <w:rFonts w:cs="Arial"/>
                                <w:color w:val="000000"/>
                                <w:lang w:val="es-ES"/>
                              </w:rPr>
                              <w:t>El documento también indica los esfuerzos realizados para continuar obteniendo apoyo para la implementación del PdT y las carencias en financiación.</w:t>
                            </w:r>
                          </w:p>
                          <w:p w14:paraId="67DB6AEA" w14:textId="77777777" w:rsidR="007123B1" w:rsidRPr="00516629" w:rsidRDefault="007123B1" w:rsidP="007123B1">
                            <w:pPr>
                              <w:jc w:val="both"/>
                              <w:rPr>
                                <w:rFonts w:cs="Arial"/>
                                <w:lang w:val="es-ES"/>
                              </w:rPr>
                            </w:pPr>
                          </w:p>
                          <w:p w14:paraId="67A18A84" w14:textId="6D859338" w:rsidR="007123B1" w:rsidRPr="00516629" w:rsidRDefault="007123B1" w:rsidP="007123B1">
                            <w:pPr>
                              <w:jc w:val="both"/>
                              <w:rPr>
                                <w:rFonts w:cs="Arial"/>
                                <w:lang w:val="es-ES"/>
                              </w:rPr>
                            </w:pPr>
                            <w:r w:rsidRPr="00516629">
                              <w:rPr>
                                <w:rFonts w:cs="Arial"/>
                                <w:lang w:val="es-ES"/>
                              </w:rPr>
                              <w:t>Asimismo, proporciona una actualización sobre la interacción con el Fondo para el Medio Ambiente Mundial.</w:t>
                            </w:r>
                          </w:p>
                          <w:p w14:paraId="1319CC72" w14:textId="77777777" w:rsidR="00E45216" w:rsidRPr="004A32A3" w:rsidRDefault="00E45216" w:rsidP="00E45216">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7187" id="_x0000_t202" coordsize="21600,21600" o:spt="202" path="m,l,21600r21600,l21600,xe">
                <v:stroke joinstyle="miter"/>
                <v:path gradientshapeok="t" o:connecttype="rect"/>
              </v:shapetype>
              <v:shape id="Text Box 4" o:spid="_x0000_s1026" type="#_x0000_t202" style="position:absolute;margin-left:62.25pt;margin-top:190.5pt;width:363.75pt;height:2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vzFgIAACwEAAAOAAAAZHJzL2Uyb0RvYy54bWysU9tu2zAMfR+wfxD0vjjOkrQ14hRdugwD&#10;ugvQ7QMUWbaFyaJGKbG7ry8lp2l2exmmB0EUqUPy8Gh1PXSGHRR6Dbbk+WTKmbISKm2bkn/9sn11&#10;yZkPwlbCgFUlf1CeX69fvlj1rlAzaMFUChmBWF/0ruRtCK7IMi9b1Qk/AacsOWvATgQysckqFD2h&#10;dyabTafLrAesHIJU3tPt7ejk64Rf10qGT3XtVWCm5FRbSDumfRf3bL0SRYPCtVoeyxD/UEUntKWk&#10;J6hbEQTbo/4NqtMSwUMdJhK6DOpaS5V6oG7y6S/d3LfCqdQLkePdiSb//2Dlx8O9+4wsDG9goAGm&#10;Jry7A/nNMwubVthG3SBC3ypRUeI8Upb1zhfHp5FqX/gIsus/QEVDFvsACWiosYusUJ+M0GkADyfS&#10;1RCYpMv5Mr9azhacSfK9zmdzGmvKIYqn5w59eKegY/FQcqSpJnhxuPMhliOKp5CYzYPR1VYbkwxs&#10;dhuD7CBIAdu0jug/hRnL+pj+YjEy8FeIaVp/guh0ICkb3ZX88hQkisjbW1sloQWhzXimko09Ehm5&#10;G1kMw26gwEjoDqoHohRhlCx9MTq0gD8460muJfff9wIVZ+a9pbFc5fN51Hcy5ouLGRl47tmde4SV&#10;BFXywNl43ITxT+wd6qalTKMQLNzQKGudSH6u6lg3STJxf/w+UfPndop6/uTrRwAAAP//AwBQSwME&#10;FAAGAAgAAAAhAK0oLvLeAAAACwEAAA8AAABkcnMvZG93bnJldi54bWxMj81OwzAQhO9IvIO1SFwQ&#10;dZpSGqVxqgoJbiD15wG28TaJGq+j2G3C27Oc4Daj/TQ7U2wm16kbDaH1bGA+S0ARV962XBs4Ht6f&#10;M1AhIlvsPJOBbwqwKe/vCsytH3lHt32slYRwyNFAE2Ofax2qhhyGme+J5Xb2g8Modqi1HXCUcNfp&#10;NEletcOW5UODPb01VF32V2fgExkn53bbJx/dlxvTy8fqkBjz+DBt16AiTfEPht/6Uh1K6XTyV7ZB&#10;deLTl6WgBhbZXEYJkS1TEScRq0UCuiz0/w3lDwAAAP//AwBQSwECLQAUAAYACAAAACEAtoM4kv4A&#10;AADhAQAAEwAAAAAAAAAAAAAAAAAAAAAAW0NvbnRlbnRfVHlwZXNdLnhtbFBLAQItABQABgAIAAAA&#10;IQA4/SH/1gAAAJQBAAALAAAAAAAAAAAAAAAAAC8BAABfcmVscy8ucmVsc1BLAQItABQABgAIAAAA&#10;IQBQd2vzFgIAACwEAAAOAAAAAAAAAAAAAAAAAC4CAABkcnMvZTJvRG9jLnhtbFBLAQItABQABgAI&#10;AAAAIQCtKC7y3gAAAAsBAAAPAAAAAAAAAAAAAAAAAHAEAABkcnMvZG93bnJldi54bWxQSwUGAAAA&#10;AAQABADzAAAAewUAAAAA&#10;" strokeweight=".25pt">
                <v:textbox>
                  <w:txbxContent>
                    <w:p w14:paraId="0D9B1FA6" w14:textId="77777777" w:rsidR="00E45216" w:rsidRPr="00516629" w:rsidRDefault="00E45216" w:rsidP="00E45216">
                      <w:pPr>
                        <w:rPr>
                          <w:rFonts w:cs="Arial"/>
                          <w:lang w:val="es-ES"/>
                        </w:rPr>
                      </w:pPr>
                      <w:r w:rsidRPr="00516629">
                        <w:rPr>
                          <w:rFonts w:cs="Arial"/>
                          <w:lang w:val="es-ES"/>
                        </w:rPr>
                        <w:t>Resumen:</w:t>
                      </w:r>
                    </w:p>
                    <w:p w14:paraId="79F89648" w14:textId="77777777" w:rsidR="007123B1" w:rsidRPr="00516629" w:rsidRDefault="007123B1" w:rsidP="00E45216">
                      <w:pPr>
                        <w:rPr>
                          <w:rFonts w:cs="Arial"/>
                          <w:lang w:val="es-ES"/>
                        </w:rPr>
                      </w:pPr>
                    </w:p>
                    <w:p w14:paraId="2E664277" w14:textId="77777777" w:rsidR="00306964" w:rsidRPr="00516629" w:rsidRDefault="00306964" w:rsidP="00306964">
                      <w:pPr>
                        <w:jc w:val="both"/>
                        <w:rPr>
                          <w:rFonts w:cs="Arial"/>
                          <w:color w:val="000000"/>
                          <w:lang w:val="es-ES"/>
                        </w:rPr>
                      </w:pPr>
                      <w:r w:rsidRPr="00516629">
                        <w:rPr>
                          <w:rFonts w:cs="Arial"/>
                          <w:color w:val="000000"/>
                          <w:lang w:val="es-ES"/>
                        </w:rPr>
                        <w:t>El presente documento describe el estado de los recursos movilizados,</w:t>
                      </w:r>
                    </w:p>
                    <w:p w14:paraId="2DA8EF6C" w14:textId="14C78574" w:rsidR="00306964" w:rsidRPr="00516629" w:rsidRDefault="00306964" w:rsidP="00306964">
                      <w:pPr>
                        <w:jc w:val="both"/>
                        <w:rPr>
                          <w:rFonts w:cs="Arial"/>
                          <w:color w:val="000000"/>
                          <w:lang w:val="es-ES"/>
                        </w:rPr>
                      </w:pPr>
                      <w:r w:rsidRPr="00516629">
                        <w:rPr>
                          <w:rFonts w:cs="Arial"/>
                          <w:color w:val="000000"/>
                          <w:lang w:val="es-ES"/>
                        </w:rPr>
                        <w:t>tanto financieros como en especie, a enero de 2025, desde la 14.ª Reunión de la Conferencia de las Partes (COP14, 12-17 de febrero de 2024).</w:t>
                      </w:r>
                    </w:p>
                    <w:p w14:paraId="1298D80D" w14:textId="77777777" w:rsidR="00A91EF7" w:rsidRPr="00516629" w:rsidRDefault="00A91EF7" w:rsidP="00306964">
                      <w:pPr>
                        <w:jc w:val="both"/>
                        <w:rPr>
                          <w:rFonts w:cs="Arial"/>
                          <w:color w:val="000000"/>
                          <w:lang w:val="es-ES"/>
                        </w:rPr>
                      </w:pPr>
                    </w:p>
                    <w:p w14:paraId="630C32AE" w14:textId="4BBB4A67" w:rsidR="00306964" w:rsidRPr="00516629" w:rsidRDefault="00306964" w:rsidP="005C436B">
                      <w:pPr>
                        <w:jc w:val="both"/>
                        <w:rPr>
                          <w:rFonts w:cs="Arial"/>
                          <w:color w:val="000000"/>
                          <w:lang w:val="es-ES"/>
                        </w:rPr>
                      </w:pPr>
                      <w:r w:rsidRPr="00516629">
                        <w:rPr>
                          <w:rFonts w:cs="Arial"/>
                          <w:color w:val="000000"/>
                          <w:lang w:val="es-ES"/>
                        </w:rPr>
                        <w:t>Estos recursos han contribuido a la implementación del Programa de Trabajo para el período entre sesiones entre la COP14 y la COP15 (PdT) (UNEP/CMS/StC56/Doc.13).</w:t>
                      </w:r>
                    </w:p>
                    <w:p w14:paraId="5D8A7749" w14:textId="77777777" w:rsidR="00BC1615" w:rsidRPr="00516629" w:rsidRDefault="00BC1615" w:rsidP="00306964">
                      <w:pPr>
                        <w:jc w:val="both"/>
                        <w:rPr>
                          <w:rFonts w:cs="Arial"/>
                          <w:color w:val="000000"/>
                          <w:lang w:val="es-ES"/>
                        </w:rPr>
                      </w:pPr>
                    </w:p>
                    <w:p w14:paraId="2B39A436" w14:textId="34FAC191" w:rsidR="007123B1" w:rsidRPr="00516629" w:rsidRDefault="00306964" w:rsidP="00306964">
                      <w:pPr>
                        <w:jc w:val="both"/>
                        <w:rPr>
                          <w:rFonts w:cs="Arial"/>
                          <w:color w:val="000000"/>
                          <w:lang w:val="es-ES"/>
                        </w:rPr>
                      </w:pPr>
                      <w:r w:rsidRPr="00516629">
                        <w:rPr>
                          <w:rFonts w:cs="Arial"/>
                          <w:color w:val="000000"/>
                          <w:lang w:val="es-ES"/>
                        </w:rPr>
                        <w:t>El documento también indica los esfuerzos realizados para continuar obteniendo apoyo para la implementación del PdT y las carencias en financiación.</w:t>
                      </w:r>
                    </w:p>
                    <w:p w14:paraId="67DB6AEA" w14:textId="77777777" w:rsidR="007123B1" w:rsidRPr="00516629" w:rsidRDefault="007123B1" w:rsidP="007123B1">
                      <w:pPr>
                        <w:jc w:val="both"/>
                        <w:rPr>
                          <w:rFonts w:cs="Arial"/>
                          <w:lang w:val="es-ES"/>
                        </w:rPr>
                      </w:pPr>
                    </w:p>
                    <w:p w14:paraId="67A18A84" w14:textId="6D859338" w:rsidR="007123B1" w:rsidRPr="00516629" w:rsidRDefault="007123B1" w:rsidP="007123B1">
                      <w:pPr>
                        <w:jc w:val="both"/>
                        <w:rPr>
                          <w:rFonts w:cs="Arial"/>
                          <w:lang w:val="es-ES"/>
                        </w:rPr>
                      </w:pPr>
                      <w:r w:rsidRPr="00516629">
                        <w:rPr>
                          <w:rFonts w:cs="Arial"/>
                          <w:lang w:val="es-ES"/>
                        </w:rPr>
                        <w:t>Asimismo, proporciona una actualización sobre la interacción con el Fondo para el Medio Ambiente Mundial.</w:t>
                      </w:r>
                    </w:p>
                    <w:p w14:paraId="1319CC72" w14:textId="77777777" w:rsidR="00E45216" w:rsidRPr="004A32A3" w:rsidRDefault="00E45216" w:rsidP="00E45216">
                      <w:pPr>
                        <w:rPr>
                          <w:rFonts w:cs="Arial"/>
                          <w:lang w:val="es-ES"/>
                        </w:rPr>
                      </w:pPr>
                    </w:p>
                  </w:txbxContent>
                </v:textbox>
                <w10:wrap type="square" anchorx="margin" anchory="margin"/>
              </v:shape>
            </w:pict>
          </mc:Fallback>
        </mc:AlternateContent>
      </w:r>
    </w:p>
    <w:p w14:paraId="4668413C" w14:textId="0EAE4336" w:rsidR="00E45216" w:rsidRPr="00D6646B" w:rsidRDefault="00E45216" w:rsidP="003C1A96">
      <w:pPr>
        <w:suppressAutoHyphens/>
        <w:rPr>
          <w:rFonts w:eastAsia="Times New Roman" w:cs="Arial"/>
          <w:color w:val="000000"/>
          <w:kern w:val="2"/>
          <w:lang w:val="es-ES"/>
        </w:rPr>
      </w:pPr>
    </w:p>
    <w:p w14:paraId="6EF041B8" w14:textId="46D5BB56" w:rsidR="00E45216" w:rsidRPr="00D6646B" w:rsidRDefault="00E45216" w:rsidP="003C1A96">
      <w:pPr>
        <w:suppressAutoHyphens/>
        <w:rPr>
          <w:rFonts w:eastAsia="Times New Roman" w:cs="Arial"/>
          <w:color w:val="000000"/>
          <w:kern w:val="2"/>
          <w:lang w:val="es-ES"/>
        </w:rPr>
      </w:pPr>
    </w:p>
    <w:p w14:paraId="1080BDC4" w14:textId="35FCD4C8" w:rsidR="00E45216" w:rsidRPr="00D6646B" w:rsidRDefault="00E45216" w:rsidP="003C1A96">
      <w:pPr>
        <w:suppressAutoHyphens/>
        <w:rPr>
          <w:rFonts w:eastAsia="Times New Roman" w:cs="Arial"/>
          <w:color w:val="000000"/>
          <w:kern w:val="2"/>
          <w:lang w:val="es-ES"/>
        </w:rPr>
      </w:pPr>
    </w:p>
    <w:p w14:paraId="3F7BC88F" w14:textId="0AC9EFDE" w:rsidR="00E45216" w:rsidRPr="00D6646B" w:rsidRDefault="00E45216" w:rsidP="003C1A96">
      <w:pPr>
        <w:suppressAutoHyphens/>
        <w:rPr>
          <w:rFonts w:eastAsia="Times New Roman" w:cs="Arial"/>
          <w:color w:val="000000"/>
          <w:kern w:val="2"/>
          <w:lang w:val="es-ES"/>
        </w:rPr>
      </w:pPr>
    </w:p>
    <w:p w14:paraId="0003C9EE" w14:textId="2C665E5E" w:rsidR="00E45216" w:rsidRPr="00D6646B" w:rsidRDefault="00E45216" w:rsidP="003C1A96">
      <w:pPr>
        <w:suppressAutoHyphens/>
        <w:rPr>
          <w:rFonts w:eastAsia="Times New Roman" w:cs="Arial"/>
          <w:color w:val="000000"/>
          <w:kern w:val="2"/>
          <w:lang w:val="es-ES"/>
        </w:rPr>
      </w:pPr>
    </w:p>
    <w:p w14:paraId="6E3F0ABF" w14:textId="038C3DCF" w:rsidR="00E45216" w:rsidRPr="00D6646B" w:rsidRDefault="00E45216" w:rsidP="003C1A96">
      <w:pPr>
        <w:suppressAutoHyphens/>
        <w:rPr>
          <w:rFonts w:eastAsia="Times New Roman" w:cs="Arial"/>
          <w:color w:val="000000"/>
          <w:kern w:val="2"/>
          <w:lang w:val="es-ES"/>
        </w:rPr>
      </w:pPr>
    </w:p>
    <w:p w14:paraId="362BE62C" w14:textId="4D29F3C2" w:rsidR="00E45216" w:rsidRPr="00D6646B" w:rsidRDefault="00E45216" w:rsidP="003C1A96">
      <w:pPr>
        <w:suppressAutoHyphens/>
        <w:rPr>
          <w:rFonts w:eastAsia="Times New Roman" w:cs="Arial"/>
          <w:color w:val="000000"/>
          <w:kern w:val="2"/>
          <w:lang w:val="es-ES"/>
        </w:rPr>
      </w:pPr>
    </w:p>
    <w:p w14:paraId="5D794825" w14:textId="10D19826" w:rsidR="00E45216" w:rsidRPr="00D6646B" w:rsidRDefault="00E45216" w:rsidP="003C1A96">
      <w:pPr>
        <w:suppressAutoHyphens/>
        <w:rPr>
          <w:rFonts w:eastAsia="Times New Roman" w:cs="Arial"/>
          <w:color w:val="000000"/>
          <w:kern w:val="2"/>
          <w:lang w:val="es-ES"/>
        </w:rPr>
      </w:pPr>
    </w:p>
    <w:p w14:paraId="53C6A213" w14:textId="06449C8E" w:rsidR="00E45216" w:rsidRPr="00D6646B" w:rsidRDefault="00E45216" w:rsidP="003C1A96">
      <w:pPr>
        <w:suppressAutoHyphens/>
        <w:rPr>
          <w:rFonts w:eastAsia="Times New Roman" w:cs="Arial"/>
          <w:color w:val="000000"/>
          <w:kern w:val="2"/>
          <w:lang w:val="es-ES"/>
        </w:rPr>
      </w:pPr>
    </w:p>
    <w:p w14:paraId="1136AB69" w14:textId="795A9AFB" w:rsidR="00E45216" w:rsidRPr="00D6646B" w:rsidRDefault="00E45216" w:rsidP="003C1A96">
      <w:pPr>
        <w:suppressAutoHyphens/>
        <w:rPr>
          <w:rFonts w:eastAsia="Times New Roman" w:cs="Arial"/>
          <w:color w:val="000000"/>
          <w:kern w:val="2"/>
          <w:lang w:val="es-ES"/>
        </w:rPr>
      </w:pPr>
    </w:p>
    <w:p w14:paraId="23F88619" w14:textId="103D2AC0" w:rsidR="00E45216" w:rsidRPr="00D6646B" w:rsidRDefault="00E45216">
      <w:pPr>
        <w:rPr>
          <w:rFonts w:eastAsia="Times New Roman" w:cs="Arial"/>
          <w:color w:val="000000"/>
          <w:kern w:val="2"/>
          <w:lang w:val="es-ES"/>
        </w:rPr>
      </w:pPr>
      <w:r w:rsidRPr="00D6646B">
        <w:rPr>
          <w:rFonts w:eastAsia="Times New Roman" w:cs="Arial"/>
          <w:color w:val="000000"/>
          <w:kern w:val="2"/>
          <w:lang w:val="es-ES"/>
        </w:rPr>
        <w:br w:type="page"/>
      </w:r>
    </w:p>
    <w:p w14:paraId="63D6EE63" w14:textId="77777777" w:rsidR="00A247ED" w:rsidRPr="00D6646B" w:rsidRDefault="00A247ED" w:rsidP="00A247ED">
      <w:pPr>
        <w:suppressAutoHyphens/>
        <w:jc w:val="center"/>
        <w:rPr>
          <w:rFonts w:eastAsia="Times New Roman" w:cs="Arial"/>
          <w:b/>
          <w:bCs/>
          <w:color w:val="000000"/>
          <w:kern w:val="2"/>
          <w:lang w:val="es-ES"/>
        </w:rPr>
      </w:pPr>
      <w:r w:rsidRPr="00D6646B">
        <w:rPr>
          <w:rFonts w:eastAsia="Times New Roman" w:cs="Arial"/>
          <w:b/>
          <w:bCs/>
          <w:color w:val="000000"/>
          <w:kern w:val="2"/>
          <w:lang w:val="es-ES"/>
        </w:rPr>
        <w:lastRenderedPageBreak/>
        <w:t>MOVILIZACIÓN DE RECURSOS</w:t>
      </w:r>
    </w:p>
    <w:p w14:paraId="384E4C19" w14:textId="77777777" w:rsidR="00A247ED" w:rsidRPr="00D6646B" w:rsidRDefault="00A247ED" w:rsidP="00A247ED">
      <w:pPr>
        <w:suppressAutoHyphens/>
        <w:rPr>
          <w:rFonts w:eastAsia="Times New Roman" w:cs="Arial"/>
          <w:b/>
          <w:bCs/>
          <w:color w:val="000000"/>
          <w:kern w:val="2"/>
          <w:lang w:val="es-ES"/>
        </w:rPr>
      </w:pPr>
    </w:p>
    <w:p w14:paraId="2ECA2676" w14:textId="77777777" w:rsidR="00A247ED" w:rsidRPr="00D6646B" w:rsidRDefault="00A247ED" w:rsidP="000A366E">
      <w:pPr>
        <w:suppressAutoHyphens/>
        <w:jc w:val="both"/>
        <w:rPr>
          <w:rFonts w:eastAsia="Times New Roman" w:cs="Arial"/>
          <w:color w:val="000000"/>
          <w:kern w:val="2"/>
          <w:u w:val="single"/>
          <w:lang w:val="es-ES"/>
        </w:rPr>
      </w:pPr>
      <w:r w:rsidRPr="00D6646B">
        <w:rPr>
          <w:rFonts w:eastAsia="Times New Roman" w:cs="Arial"/>
          <w:color w:val="000000"/>
          <w:kern w:val="2"/>
          <w:u w:val="single"/>
          <w:lang w:val="es-ES"/>
        </w:rPr>
        <w:t>Antecedentes</w:t>
      </w:r>
    </w:p>
    <w:p w14:paraId="1C324C5E" w14:textId="77777777" w:rsidR="00A247ED" w:rsidRPr="00D6646B" w:rsidRDefault="00A247ED" w:rsidP="000A366E">
      <w:pPr>
        <w:suppressAutoHyphens/>
        <w:jc w:val="both"/>
        <w:rPr>
          <w:rFonts w:eastAsia="Times New Roman" w:cs="Arial"/>
          <w:color w:val="000000"/>
          <w:kern w:val="2"/>
          <w:highlight w:val="yellow"/>
          <w:lang w:val="es-ES"/>
        </w:rPr>
      </w:pPr>
    </w:p>
    <w:p w14:paraId="3EADE7BD" w14:textId="6F1087EA" w:rsidR="000D7986" w:rsidRPr="00D6646B" w:rsidRDefault="00F51EC0" w:rsidP="000D7986">
      <w:pPr>
        <w:pStyle w:val="NormalWeb"/>
        <w:numPr>
          <w:ilvl w:val="0"/>
          <w:numId w:val="33"/>
        </w:numPr>
        <w:spacing w:before="0" w:beforeAutospacing="0" w:after="0" w:afterAutospacing="0"/>
        <w:ind w:left="567" w:hanging="567"/>
        <w:jc w:val="both"/>
        <w:rPr>
          <w:rFonts w:ascii="Arial" w:hAnsi="Arial" w:cs="Arial"/>
          <w:sz w:val="22"/>
          <w:szCs w:val="22"/>
          <w:lang w:val="es-ES"/>
        </w:rPr>
      </w:pPr>
      <w:r w:rsidRPr="00D6646B">
        <w:rPr>
          <w:rFonts w:ascii="Arial" w:hAnsi="Arial" w:cs="Arial"/>
          <w:sz w:val="22"/>
          <w:szCs w:val="22"/>
          <w:lang w:val="es-ES"/>
        </w:rPr>
        <w:t xml:space="preserve">La 14.ª Reunión de la Conferencia de las Partes de la CMS (COP14, febrero de 2024, Samarcanda) adoptó un presupuesto para el período entre sesiones 2024-2026 mediante la </w:t>
      </w:r>
      <w:hyperlink r:id="rId10" w:history="1">
        <w:r w:rsidR="007A0197" w:rsidRPr="00D6646B">
          <w:rPr>
            <w:rStyle w:val="Hyperlink"/>
            <w:rFonts w:ascii="Arial" w:hAnsi="Arial" w:cs="Arial"/>
            <w:sz w:val="22"/>
            <w:szCs w:val="22"/>
            <w:lang w:val="es-ES"/>
          </w:rPr>
          <w:t>Resolución 14.2</w:t>
        </w:r>
      </w:hyperlink>
      <w:r w:rsidR="000D143B" w:rsidRPr="00D6646B">
        <w:rPr>
          <w:rFonts w:ascii="Arial" w:hAnsi="Arial" w:cs="Arial"/>
          <w:sz w:val="22"/>
          <w:szCs w:val="22"/>
          <w:lang w:val="es-ES"/>
        </w:rPr>
        <w:t xml:space="preserve"> y aprobó, de forma excepcional, un Programa de Trabajo provisional para el período entre sesiones entre la COP14 y la COP15, tal como se recoge en el Anexo 6 de la resolución. </w:t>
      </w:r>
    </w:p>
    <w:p w14:paraId="31E56B3C" w14:textId="77777777" w:rsidR="000D7986" w:rsidRPr="00D6646B" w:rsidRDefault="000D7986" w:rsidP="000D7986">
      <w:pPr>
        <w:pStyle w:val="NormalWeb"/>
        <w:spacing w:before="0" w:beforeAutospacing="0" w:after="0" w:afterAutospacing="0"/>
        <w:ind w:left="567"/>
        <w:jc w:val="both"/>
        <w:rPr>
          <w:rFonts w:ascii="Arial" w:hAnsi="Arial" w:cs="Arial"/>
          <w:sz w:val="22"/>
          <w:szCs w:val="22"/>
          <w:lang w:val="es-ES"/>
        </w:rPr>
      </w:pPr>
    </w:p>
    <w:p w14:paraId="05C13D0F" w14:textId="301DB584" w:rsidR="000D7986" w:rsidRPr="00D6646B" w:rsidRDefault="000D7986" w:rsidP="000D7986">
      <w:pPr>
        <w:pStyle w:val="NormalWeb"/>
        <w:numPr>
          <w:ilvl w:val="0"/>
          <w:numId w:val="33"/>
        </w:numPr>
        <w:spacing w:before="0" w:beforeAutospacing="0" w:after="0" w:afterAutospacing="0"/>
        <w:ind w:left="567" w:hanging="567"/>
        <w:jc w:val="both"/>
        <w:rPr>
          <w:rFonts w:ascii="Arial" w:hAnsi="Arial" w:cs="Arial"/>
          <w:sz w:val="22"/>
          <w:szCs w:val="22"/>
          <w:lang w:val="es-ES"/>
        </w:rPr>
      </w:pPr>
      <w:r w:rsidRPr="00D6646B">
        <w:rPr>
          <w:rFonts w:ascii="Arial" w:hAnsi="Arial" w:cs="Arial"/>
          <w:sz w:val="22"/>
          <w:szCs w:val="22"/>
          <w:lang w:val="es-ES"/>
        </w:rPr>
        <w:t xml:space="preserve">El Comité Permanente adoptó el </w:t>
      </w:r>
      <w:hyperlink r:id="rId11" w:history="1">
        <w:r w:rsidRPr="00D6646B">
          <w:rPr>
            <w:rStyle w:val="Hyperlink"/>
            <w:rFonts w:ascii="Arial" w:hAnsi="Arial" w:cs="Arial"/>
            <w:sz w:val="22"/>
            <w:szCs w:val="22"/>
            <w:lang w:val="es-ES"/>
          </w:rPr>
          <w:t>Programa de Trabajo final para el período entre sesiones entre la COP14 y la COP15</w:t>
        </w:r>
      </w:hyperlink>
      <w:r w:rsidRPr="00D6646B">
        <w:rPr>
          <w:rFonts w:ascii="Arial" w:hAnsi="Arial" w:cs="Arial"/>
          <w:sz w:val="22"/>
          <w:szCs w:val="22"/>
          <w:lang w:val="es-ES"/>
        </w:rPr>
        <w:t xml:space="preserve"> (PdT) el 5 de octubre de 2024.  </w:t>
      </w:r>
    </w:p>
    <w:p w14:paraId="3738D928" w14:textId="77777777" w:rsidR="000D7986" w:rsidRPr="00D6646B" w:rsidRDefault="000D7986" w:rsidP="000D7986">
      <w:pPr>
        <w:pStyle w:val="NormalWeb"/>
        <w:spacing w:before="0" w:beforeAutospacing="0" w:after="0" w:afterAutospacing="0"/>
        <w:jc w:val="both"/>
        <w:rPr>
          <w:rFonts w:ascii="Arial" w:hAnsi="Arial" w:cs="Arial"/>
          <w:sz w:val="22"/>
          <w:szCs w:val="22"/>
          <w:lang w:val="es-ES"/>
        </w:rPr>
      </w:pPr>
    </w:p>
    <w:p w14:paraId="7AF08D6E" w14:textId="7EC94F4F" w:rsidR="00B12446" w:rsidRPr="00D6646B" w:rsidRDefault="00B12446" w:rsidP="00A264B7">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El presupuesto trienal cubre costes de personal, operativos y reuniones de los órganos de gobierno, mientras que el PdT abarca actividades programáticas que dependen principalmente de financiación voluntaria. El PdT incluye actividades a ser realizadas por la Secretaría y numerosas tareas dirigidas al Comité Permanente y/o al Consejo Científico, que requieren el apoyo de la Secretaría.</w:t>
      </w:r>
    </w:p>
    <w:p w14:paraId="6CAE3F40" w14:textId="77777777" w:rsidR="00E023AF" w:rsidRPr="00D6646B" w:rsidRDefault="00E023AF" w:rsidP="00E023AF">
      <w:pPr>
        <w:suppressAutoHyphens/>
        <w:ind w:left="567"/>
        <w:jc w:val="both"/>
        <w:rPr>
          <w:rFonts w:eastAsia="Times New Roman" w:cs="Arial"/>
          <w:color w:val="000000"/>
          <w:kern w:val="2"/>
          <w:lang w:val="es-ES"/>
        </w:rPr>
      </w:pPr>
    </w:p>
    <w:p w14:paraId="1E96CE8A" w14:textId="3F25F52B" w:rsidR="00A247ED" w:rsidRPr="00D6646B" w:rsidRDefault="00B12446" w:rsidP="00CA0700">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El presente documento describe el estado de los recursos movilizados, tanto financieros como en especie, hasta enero de 2025 desde la COP14, y debe leerse en conjunto con el informe de progreso UNEP/CMS/StC56/Doc.13 </w:t>
      </w:r>
      <w:r w:rsidR="00CA0700" w:rsidRPr="00D6646B">
        <w:rPr>
          <w:rFonts w:eastAsia="Times New Roman" w:cs="Arial"/>
          <w:i/>
          <w:iCs/>
          <w:color w:val="000000"/>
          <w:kern w:val="2"/>
          <w:lang w:val="es-ES"/>
        </w:rPr>
        <w:t>Implementación del Programa de Trabajo</w:t>
      </w:r>
      <w:r w:rsidR="00CA0700" w:rsidRPr="00D6646B">
        <w:rPr>
          <w:rFonts w:eastAsia="Times New Roman" w:cs="Arial"/>
          <w:color w:val="000000"/>
          <w:kern w:val="2"/>
          <w:lang w:val="es-ES"/>
        </w:rPr>
        <w:t xml:space="preserve"> </w:t>
      </w:r>
      <w:r w:rsidR="00CA0700" w:rsidRPr="00D6646B">
        <w:rPr>
          <w:rFonts w:eastAsia="Times New Roman" w:cs="Arial"/>
          <w:i/>
          <w:iCs/>
          <w:color w:val="000000"/>
          <w:kern w:val="2"/>
          <w:lang w:val="es-ES"/>
        </w:rPr>
        <w:t>para el período entre sesiones entre la COP14 y la COP15</w:t>
      </w:r>
      <w:r w:rsidRPr="00D6646B">
        <w:rPr>
          <w:rFonts w:eastAsia="Times New Roman" w:cs="Arial"/>
          <w:color w:val="000000"/>
          <w:kern w:val="2"/>
          <w:lang w:val="es-ES"/>
        </w:rPr>
        <w:t>.</w:t>
      </w:r>
    </w:p>
    <w:p w14:paraId="6001EF78" w14:textId="77777777" w:rsidR="00B12446" w:rsidRPr="00D6646B" w:rsidRDefault="00B12446" w:rsidP="00B12446">
      <w:pPr>
        <w:suppressAutoHyphens/>
        <w:ind w:left="567"/>
        <w:jc w:val="both"/>
        <w:rPr>
          <w:rFonts w:eastAsia="Times New Roman" w:cs="Arial"/>
          <w:color w:val="000000"/>
          <w:kern w:val="2"/>
          <w:highlight w:val="yellow"/>
          <w:lang w:val="es-ES"/>
        </w:rPr>
      </w:pPr>
    </w:p>
    <w:p w14:paraId="1A7E4E04" w14:textId="011AE0DE" w:rsidR="00A247ED" w:rsidRPr="00D6646B" w:rsidRDefault="00A247ED" w:rsidP="000A366E">
      <w:pPr>
        <w:suppressAutoHyphens/>
        <w:jc w:val="both"/>
        <w:rPr>
          <w:rFonts w:eastAsia="Times New Roman" w:cs="Arial"/>
          <w:color w:val="000000"/>
          <w:kern w:val="2"/>
          <w:u w:val="single"/>
          <w:lang w:val="es-ES"/>
        </w:rPr>
      </w:pPr>
      <w:r w:rsidRPr="00D6646B">
        <w:rPr>
          <w:rFonts w:eastAsia="Times New Roman" w:cs="Arial"/>
          <w:color w:val="000000"/>
          <w:kern w:val="2"/>
          <w:u w:val="single"/>
          <w:lang w:val="es-ES"/>
        </w:rPr>
        <w:t>Recursos movilizados desde la COP14</w:t>
      </w:r>
    </w:p>
    <w:p w14:paraId="7A83A6AC" w14:textId="77777777" w:rsidR="00A247ED" w:rsidRPr="00D6646B" w:rsidRDefault="00A247ED" w:rsidP="000A366E">
      <w:pPr>
        <w:suppressAutoHyphens/>
        <w:jc w:val="both"/>
        <w:rPr>
          <w:rFonts w:eastAsia="Times New Roman" w:cs="Arial"/>
          <w:color w:val="000000"/>
          <w:kern w:val="2"/>
          <w:lang w:val="es-ES"/>
        </w:rPr>
      </w:pPr>
    </w:p>
    <w:p w14:paraId="7EC75DF0" w14:textId="2AAC1754" w:rsidR="005D702D" w:rsidRPr="00D6646B" w:rsidRDefault="005D702D" w:rsidP="00837CF0">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En el período previo a la COP14, se invitó a las Partes y partes interesadas, también mediante el Documento </w:t>
      </w:r>
      <w:hyperlink r:id="rId12" w:history="1">
        <w:r w:rsidR="009D0D98" w:rsidRPr="00EF68AF">
          <w:rPr>
            <w:rStyle w:val="Hyperlink"/>
            <w:rFonts w:eastAsia="Times New Roman" w:cs="Arial"/>
            <w:kern w:val="2"/>
            <w:lang w:val="es-ES"/>
          </w:rPr>
          <w:t>UNEP/CMS/COP14/Doc.13.3</w:t>
        </w:r>
      </w:hyperlink>
      <w:r w:rsidRPr="00D6646B">
        <w:rPr>
          <w:rFonts w:eastAsia="Times New Roman" w:cs="Arial"/>
          <w:color w:val="000000"/>
          <w:kern w:val="2"/>
          <w:lang w:val="es-ES"/>
        </w:rPr>
        <w:t>, a considerar realizar un compromiso para apoyar la implementación de la Convención bajo el Programa de Campeones de Especies Migratorias. Varias Partes anunciaron generosos compromisos bajo el programa y fueron reconocidas en la ceremonia de galardones de la Noche de los Campeones, que tuvo lugar en los márgenes de la COP14. Los siguientes donantes se convirtieron en Campeones por su contribución:</w:t>
      </w:r>
    </w:p>
    <w:p w14:paraId="72A4B99B" w14:textId="016D3911" w:rsidR="00996100" w:rsidRPr="00D6646B" w:rsidRDefault="00996100" w:rsidP="003E4770">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es-ES"/>
        </w:rPr>
      </w:pPr>
      <w:r w:rsidRPr="00D6646B">
        <w:rPr>
          <w:rFonts w:ascii="Arial" w:hAnsi="Arial" w:cs="Arial"/>
          <w:color w:val="000000"/>
          <w:kern w:val="2"/>
          <w:sz w:val="22"/>
          <w:szCs w:val="22"/>
          <w:lang w:val="es-ES"/>
        </w:rPr>
        <w:t xml:space="preserve">El Gobierno de Uzbekistán en apoyo a la recientemente establecida Alianza Global para la Conectividad Ecológica (GPEC, por sus siglas en inglés), fomentando la colaboración internacional para esfuerzos de conservación coordinados y resultados tangibles para el período 2024-2026. </w:t>
      </w:r>
    </w:p>
    <w:p w14:paraId="206A7623" w14:textId="2A668F05" w:rsidR="005D702D" w:rsidRPr="00D6646B" w:rsidRDefault="00E4288C" w:rsidP="003E4770">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es-ES"/>
        </w:rPr>
      </w:pPr>
      <w:r w:rsidRPr="00D6646B">
        <w:rPr>
          <w:rFonts w:ascii="Arial" w:hAnsi="Arial" w:cs="Arial"/>
          <w:color w:val="000000"/>
          <w:kern w:val="2"/>
          <w:sz w:val="22"/>
          <w:szCs w:val="22"/>
          <w:lang w:val="es-ES"/>
        </w:rPr>
        <w:t>La Comisión Europea en apoyo a la lucha contra la Matanza, Captura y Comercio Ilegal de Aves en el Mediterráneo para el período 2023-2028 a través del trabajo del Grupo Operativo.</w:t>
      </w:r>
    </w:p>
    <w:p w14:paraId="31259A61" w14:textId="1B486B15" w:rsidR="005D702D" w:rsidRPr="00D6646B" w:rsidRDefault="00335945" w:rsidP="003E4770">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es-ES"/>
        </w:rPr>
      </w:pPr>
      <w:r w:rsidRPr="00D6646B">
        <w:rPr>
          <w:rFonts w:ascii="Arial" w:hAnsi="Arial" w:cs="Arial"/>
          <w:color w:val="000000"/>
          <w:kern w:val="2"/>
          <w:sz w:val="22"/>
          <w:szCs w:val="22"/>
          <w:lang w:val="es-ES"/>
        </w:rPr>
        <w:t>El Gobierno de la República Federal de Alemania para la conservación de la megafauna sahelo-sahariana durante el período 2021-2024.</w:t>
      </w:r>
    </w:p>
    <w:p w14:paraId="1FDE1A1F" w14:textId="4F060929" w:rsidR="005D702D" w:rsidRPr="00D6646B" w:rsidRDefault="00154B25" w:rsidP="003E4770">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es-ES"/>
        </w:rPr>
      </w:pPr>
      <w:r w:rsidRPr="00D6646B">
        <w:rPr>
          <w:rFonts w:ascii="Arial" w:hAnsi="Arial" w:cs="Arial"/>
          <w:color w:val="000000"/>
          <w:kern w:val="2"/>
          <w:sz w:val="22"/>
          <w:szCs w:val="22"/>
          <w:lang w:val="es-ES"/>
        </w:rPr>
        <w:t>El Gobierno de India en apoyo a la conservación de aves migratorias del corredor aéreo de Asia Central y el establecimiento de una nueva Iniciativa dedicada que busca mejorar la cooperación y promover sinergias en la región.</w:t>
      </w:r>
    </w:p>
    <w:p w14:paraId="2366ADAC" w14:textId="00103803" w:rsidR="005D5834" w:rsidRPr="00D6646B" w:rsidRDefault="00154B25" w:rsidP="003E4770">
      <w:pPr>
        <w:numPr>
          <w:ilvl w:val="0"/>
          <w:numId w:val="39"/>
        </w:numPr>
        <w:suppressAutoHyphens/>
        <w:spacing w:before="120"/>
        <w:ind w:left="924" w:hanging="357"/>
        <w:jc w:val="both"/>
        <w:rPr>
          <w:rFonts w:eastAsia="Times New Roman" w:cs="Arial"/>
          <w:color w:val="000000"/>
          <w:kern w:val="2"/>
          <w:lang w:val="es-ES"/>
        </w:rPr>
      </w:pPr>
      <w:r w:rsidRPr="00D6646B">
        <w:rPr>
          <w:rFonts w:eastAsia="Times New Roman" w:cs="Arial"/>
          <w:color w:val="000000"/>
          <w:kern w:val="2"/>
          <w:lang w:val="es-ES"/>
        </w:rPr>
        <w:t>El Gobierno del Principado de Mónaco hacia la implementación de la Convención para el período 2024-2026, con un enfoque en continuar respaldando a la agenda marina de la CMS, como se ha hecho en años anteriores, así como en apoyar a la GPEC.</w:t>
      </w:r>
      <w:r w:rsidR="005D5834" w:rsidRPr="00D6646B">
        <w:rPr>
          <w:lang w:val="es-ES"/>
        </w:rPr>
        <w:t xml:space="preserve"> </w:t>
      </w:r>
    </w:p>
    <w:p w14:paraId="5FC25C20" w14:textId="0864CCAC" w:rsidR="005D5834" w:rsidRPr="00D6646B" w:rsidRDefault="005D5834" w:rsidP="003E4770">
      <w:pPr>
        <w:numPr>
          <w:ilvl w:val="0"/>
          <w:numId w:val="39"/>
        </w:numPr>
        <w:suppressAutoHyphens/>
        <w:spacing w:before="120"/>
        <w:ind w:left="924" w:hanging="357"/>
        <w:jc w:val="both"/>
        <w:rPr>
          <w:rFonts w:eastAsia="Times New Roman" w:cs="Arial"/>
          <w:color w:val="000000"/>
          <w:kern w:val="2"/>
          <w:lang w:val="es-ES"/>
        </w:rPr>
      </w:pPr>
      <w:r w:rsidRPr="00D6646B">
        <w:rPr>
          <w:rFonts w:eastAsia="Times New Roman" w:cs="Arial"/>
          <w:color w:val="000000"/>
          <w:kern w:val="2"/>
          <w:lang w:val="es-ES"/>
        </w:rPr>
        <w:t>El Gobierno del Reino Unido hacia la lucha contra la captura ilegal y no sostenible de especies migratorias para el período 2024-2026.</w:t>
      </w:r>
    </w:p>
    <w:p w14:paraId="78CA719A" w14:textId="51A6700D" w:rsidR="005D5834" w:rsidRPr="00D6646B" w:rsidRDefault="003D69AB" w:rsidP="003E4770">
      <w:pPr>
        <w:numPr>
          <w:ilvl w:val="0"/>
          <w:numId w:val="39"/>
        </w:numPr>
        <w:suppressAutoHyphens/>
        <w:spacing w:before="120"/>
        <w:ind w:left="924" w:hanging="357"/>
        <w:jc w:val="both"/>
        <w:rPr>
          <w:rFonts w:eastAsia="Times New Roman" w:cs="Arial"/>
          <w:color w:val="000000"/>
          <w:kern w:val="2"/>
          <w:lang w:val="es-ES"/>
        </w:rPr>
      </w:pPr>
      <w:r w:rsidRPr="00D6646B">
        <w:rPr>
          <w:rFonts w:eastAsia="Times New Roman" w:cs="Arial"/>
          <w:color w:val="000000"/>
          <w:kern w:val="2"/>
          <w:lang w:val="es-ES"/>
        </w:rPr>
        <w:lastRenderedPageBreak/>
        <w:t>La Agencia de Medio A</w:t>
      </w:r>
      <w:r w:rsidR="005D5834" w:rsidRPr="00D6646B">
        <w:rPr>
          <w:rFonts w:eastAsia="Times New Roman" w:cs="Arial"/>
          <w:color w:val="000000"/>
          <w:kern w:val="2"/>
          <w:lang w:val="es-ES"/>
        </w:rPr>
        <w:t xml:space="preserve">mbiente - Abu Dabi hacia la conservación de aves rapaces migratorias en África y Asia, así como para la conservación de dugongos y sus hábitats para el período 2024-2027, y su liderazgo de </w:t>
      </w:r>
      <w:r w:rsidR="005D5834" w:rsidRPr="00D6646B">
        <w:rPr>
          <w:rFonts w:eastAsia="Times New Roman" w:cs="Arial"/>
          <w:i/>
          <w:color w:val="000000"/>
          <w:kern w:val="2"/>
          <w:lang w:val="es-ES"/>
        </w:rPr>
        <w:t>larga data</w:t>
      </w:r>
      <w:r w:rsidR="005D5834" w:rsidRPr="00D6646B">
        <w:rPr>
          <w:rFonts w:eastAsia="Times New Roman" w:cs="Arial"/>
          <w:color w:val="000000"/>
          <w:kern w:val="2"/>
          <w:lang w:val="es-ES"/>
        </w:rPr>
        <w:t xml:space="preserve"> tanto en el desarrollo como en el apoyo a la implementación del Mem</w:t>
      </w:r>
      <w:r w:rsidRPr="00D6646B">
        <w:rPr>
          <w:rFonts w:eastAsia="Times New Roman" w:cs="Arial"/>
          <w:color w:val="000000"/>
          <w:kern w:val="2"/>
          <w:lang w:val="es-ES"/>
        </w:rPr>
        <w:t>orando de Entendimiento (MdE) sobre</w:t>
      </w:r>
      <w:r w:rsidR="005D5834" w:rsidRPr="00D6646B">
        <w:rPr>
          <w:rFonts w:eastAsia="Times New Roman" w:cs="Arial"/>
          <w:color w:val="000000"/>
          <w:kern w:val="2"/>
          <w:lang w:val="es-ES"/>
        </w:rPr>
        <w:t xml:space="preserve"> Av</w:t>
      </w:r>
      <w:r w:rsidRPr="00D6646B">
        <w:rPr>
          <w:rFonts w:eastAsia="Times New Roman" w:cs="Arial"/>
          <w:color w:val="000000"/>
          <w:kern w:val="2"/>
          <w:lang w:val="es-ES"/>
        </w:rPr>
        <w:t>es rapaces de la CMS y el MdE sobre</w:t>
      </w:r>
      <w:r w:rsidR="005D5834" w:rsidRPr="00D6646B">
        <w:rPr>
          <w:rFonts w:eastAsia="Times New Roman" w:cs="Arial"/>
          <w:color w:val="000000"/>
          <w:kern w:val="2"/>
          <w:lang w:val="es-ES"/>
        </w:rPr>
        <w:t xml:space="preserve"> Dugongos de la CMS.  </w:t>
      </w:r>
    </w:p>
    <w:p w14:paraId="04D9602E" w14:textId="62C4AAF1" w:rsidR="005D5834" w:rsidRPr="00D6646B" w:rsidRDefault="004B48C5" w:rsidP="003E4770">
      <w:pPr>
        <w:numPr>
          <w:ilvl w:val="0"/>
          <w:numId w:val="39"/>
        </w:numPr>
        <w:suppressAutoHyphens/>
        <w:spacing w:before="120"/>
        <w:ind w:left="924" w:hanging="357"/>
        <w:jc w:val="both"/>
        <w:rPr>
          <w:rFonts w:eastAsia="Times New Roman" w:cs="Arial"/>
          <w:color w:val="000000"/>
          <w:kern w:val="2"/>
          <w:lang w:val="es-ES"/>
        </w:rPr>
      </w:pPr>
      <w:r w:rsidRPr="00D6646B">
        <w:rPr>
          <w:rFonts w:eastAsia="Times New Roman" w:cs="Arial"/>
          <w:color w:val="000000"/>
          <w:kern w:val="2"/>
          <w:lang w:val="es-ES"/>
        </w:rPr>
        <w:t>El Centro Nacional de Fauna Silvestre del Reino de Arabia Saudita hacia la lucha contra la matanza, captura y comercio ilegal de aves migratorias en el suroeste de Asia para el período 2024-2026 y el lanzamiento de un Grupo Operativo dedicado a coordinar esfuerzos en la región para abordar este problema. </w:t>
      </w:r>
    </w:p>
    <w:p w14:paraId="6337D67B" w14:textId="738FC9AF" w:rsidR="00CC6535" w:rsidRPr="00D6646B" w:rsidRDefault="00CC6535" w:rsidP="003E4770">
      <w:pPr>
        <w:numPr>
          <w:ilvl w:val="0"/>
          <w:numId w:val="39"/>
        </w:numPr>
        <w:suppressAutoHyphens/>
        <w:spacing w:before="120"/>
        <w:ind w:left="924" w:hanging="357"/>
        <w:jc w:val="both"/>
        <w:rPr>
          <w:rFonts w:eastAsia="Times New Roman" w:cs="Arial"/>
          <w:color w:val="000000"/>
          <w:kern w:val="2"/>
          <w:lang w:val="es-ES"/>
        </w:rPr>
      </w:pPr>
      <w:r w:rsidRPr="00D6646B">
        <w:rPr>
          <w:rFonts w:eastAsia="Times New Roman" w:cs="Arial"/>
          <w:color w:val="000000"/>
          <w:kern w:val="2"/>
          <w:lang w:val="es-ES"/>
        </w:rPr>
        <w:t>La Agencia Federal de Conservación de la Naturaleza de Alemania en apoyo a la conservación de mamíferos de Asia Central para el período 2020-2023. </w:t>
      </w:r>
    </w:p>
    <w:p w14:paraId="586106B7" w14:textId="77777777" w:rsidR="00837CF0" w:rsidRPr="00D6646B" w:rsidRDefault="00837CF0" w:rsidP="00837CF0">
      <w:pPr>
        <w:suppressAutoHyphens/>
        <w:ind w:left="851" w:hanging="284"/>
        <w:jc w:val="both"/>
        <w:rPr>
          <w:rFonts w:eastAsia="Times New Roman" w:cs="Arial"/>
          <w:color w:val="000000"/>
          <w:kern w:val="2"/>
          <w:lang w:val="es-ES"/>
        </w:rPr>
      </w:pPr>
    </w:p>
    <w:p w14:paraId="54EB2252" w14:textId="75D6E830" w:rsidR="00C43D4B" w:rsidRPr="00D6646B" w:rsidRDefault="00A247ED" w:rsidP="00837CF0">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Tras su adopción, el PdT 2024-2026 fue enviado a todas las Partes de la CMS a finales de 2024 mediante la </w:t>
      </w:r>
      <w:hyperlink r:id="rId13" w:history="1">
        <w:r w:rsidR="006013DC" w:rsidRPr="00D064AC">
          <w:rPr>
            <w:rStyle w:val="Hyperlink"/>
            <w:rFonts w:eastAsia="Times New Roman" w:cs="Arial"/>
            <w:kern w:val="2"/>
            <w:lang w:val="es-ES"/>
          </w:rPr>
          <w:t>Notificación 2024/024</w:t>
        </w:r>
      </w:hyperlink>
      <w:r w:rsidRPr="00D6646B">
        <w:rPr>
          <w:rFonts w:eastAsia="Times New Roman" w:cs="Arial"/>
          <w:color w:val="000000"/>
          <w:kern w:val="2"/>
          <w:lang w:val="es-ES"/>
        </w:rPr>
        <w:t xml:space="preserve">, junto con una solicitud de contribuciones voluntarias. Este llamamiento general fue complementado con solicitudes específicas dirigidas a Partes individuales. Asimismo, en línea con la </w:t>
      </w:r>
      <w:hyperlink r:id="rId14" w:history="1">
        <w:r w:rsidR="001B3E07" w:rsidRPr="00D6646B">
          <w:rPr>
            <w:rStyle w:val="Hyperlink"/>
            <w:rFonts w:eastAsia="Times New Roman" w:cs="Arial"/>
            <w:kern w:val="2"/>
            <w:lang w:val="es-ES"/>
          </w:rPr>
          <w:t>Resolución 14.2</w:t>
        </w:r>
      </w:hyperlink>
      <w:r w:rsidR="001B3E07" w:rsidRPr="00D6646B">
        <w:rPr>
          <w:rFonts w:eastAsia="Times New Roman" w:cs="Arial"/>
          <w:i/>
          <w:iCs/>
          <w:color w:val="000000"/>
          <w:kern w:val="2"/>
          <w:lang w:val="es-ES"/>
        </w:rPr>
        <w:t xml:space="preserve"> Asuntos Financieros y Administrativos, </w:t>
      </w:r>
      <w:r w:rsidR="001B3E07" w:rsidRPr="00D6646B">
        <w:rPr>
          <w:rFonts w:eastAsia="Times New Roman" w:cs="Arial"/>
          <w:color w:val="000000"/>
          <w:kern w:val="2"/>
          <w:lang w:val="es-ES"/>
        </w:rPr>
        <w:t xml:space="preserve">la Secretaría emitió la </w:t>
      </w:r>
      <w:hyperlink r:id="rId15" w:history="1">
        <w:r w:rsidR="00D04B41" w:rsidRPr="006664C8">
          <w:rPr>
            <w:rStyle w:val="Hyperlink"/>
            <w:rFonts w:eastAsia="Times New Roman" w:cs="Arial"/>
            <w:kern w:val="2"/>
            <w:lang w:val="es-ES"/>
          </w:rPr>
          <w:t>Notificación 2024/014</w:t>
        </w:r>
      </w:hyperlink>
      <w:r w:rsidR="00D04B41" w:rsidRPr="00D6646B">
        <w:rPr>
          <w:rFonts w:eastAsia="Times New Roman" w:cs="Arial"/>
          <w:color w:val="000000"/>
          <w:kern w:val="2"/>
          <w:lang w:val="es-ES"/>
        </w:rPr>
        <w:t xml:space="preserve"> para invitar a las Partes a considerar la viabilidad de financiar oficiales profesionales jóvenes (JPO, por sus siglas en inglés) y/o proporcionar personal gratuito o expertos técnicos a la Secretaría con el fin de aumentar su capacidad. También se les llamó la atención sobre las propuestas presentadas al Programa de la Organización de las Naciones Unidas para el Medio Ambiente (PNUMA), que coordina el programa JPO</w:t>
      </w:r>
      <w:r w:rsidR="00C53751" w:rsidRPr="00D6646B">
        <w:rPr>
          <w:rFonts w:eastAsia="Times New Roman" w:cs="Arial"/>
          <w:color w:val="000000"/>
          <w:kern w:val="2"/>
          <w:lang w:val="es-ES"/>
        </w:rPr>
        <w:t>.</w:t>
      </w:r>
      <w:r w:rsidR="00D04B41" w:rsidRPr="00D6646B">
        <w:rPr>
          <w:rFonts w:eastAsia="Times New Roman" w:cs="Arial"/>
          <w:color w:val="000000"/>
          <w:kern w:val="2"/>
          <w:lang w:val="es-ES"/>
        </w:rPr>
        <w:t xml:space="preserve"> </w:t>
      </w:r>
    </w:p>
    <w:p w14:paraId="0991E261" w14:textId="77777777" w:rsidR="00C43D4B" w:rsidRPr="00D6646B" w:rsidRDefault="00C43D4B" w:rsidP="00C43D4B">
      <w:pPr>
        <w:suppressAutoHyphens/>
        <w:ind w:left="567"/>
        <w:jc w:val="both"/>
        <w:rPr>
          <w:rFonts w:eastAsia="Times New Roman" w:cs="Arial"/>
          <w:color w:val="000000"/>
          <w:kern w:val="2"/>
          <w:lang w:val="es-ES"/>
        </w:rPr>
      </w:pPr>
    </w:p>
    <w:p w14:paraId="279E0FAB" w14:textId="4656C9F9" w:rsidR="00A247ED" w:rsidRPr="00D6646B" w:rsidRDefault="00C43D4B" w:rsidP="00C43D4B">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Desde la COP14, la Secretaría ha recibido recursos financieros y en especie que han permitido la implementación de varias actividades prioritarias, aunque muchas otras no han recibido apoyo. Los siguientes párrafos ofrecen un resumen de todas las contribuciones financieras y en especie obtenidas. </w:t>
      </w:r>
    </w:p>
    <w:p w14:paraId="75CBDE45" w14:textId="77777777" w:rsidR="00A247ED" w:rsidRPr="00D6646B" w:rsidRDefault="00A247ED" w:rsidP="000A366E">
      <w:pPr>
        <w:suppressAutoHyphens/>
        <w:jc w:val="both"/>
        <w:rPr>
          <w:rFonts w:eastAsia="Times New Roman" w:cs="Arial"/>
          <w:i/>
          <w:iCs/>
          <w:color w:val="000000"/>
          <w:kern w:val="2"/>
          <w:highlight w:val="yellow"/>
          <w:lang w:val="es-ES"/>
        </w:rPr>
      </w:pPr>
    </w:p>
    <w:p w14:paraId="291B0463" w14:textId="77777777" w:rsidR="00A247ED" w:rsidRPr="00D6646B" w:rsidRDefault="00A247ED" w:rsidP="000A366E">
      <w:pPr>
        <w:suppressAutoHyphens/>
        <w:jc w:val="both"/>
        <w:rPr>
          <w:rFonts w:eastAsia="Times New Roman" w:cs="Arial"/>
          <w:i/>
          <w:iCs/>
          <w:color w:val="000000"/>
          <w:kern w:val="2"/>
          <w:lang w:val="es-ES"/>
        </w:rPr>
      </w:pPr>
      <w:r w:rsidRPr="00D6646B">
        <w:rPr>
          <w:rFonts w:eastAsia="Times New Roman" w:cs="Arial"/>
          <w:i/>
          <w:iCs/>
          <w:color w:val="000000"/>
          <w:kern w:val="2"/>
          <w:lang w:val="es-ES"/>
        </w:rPr>
        <w:t>Fondos recibidos</w:t>
      </w:r>
    </w:p>
    <w:p w14:paraId="0C84259B" w14:textId="77777777" w:rsidR="00A247ED" w:rsidRPr="00D6646B" w:rsidRDefault="00A247ED" w:rsidP="000A366E">
      <w:pPr>
        <w:suppressAutoHyphens/>
        <w:jc w:val="both"/>
        <w:rPr>
          <w:rFonts w:eastAsia="Times New Roman" w:cs="Arial"/>
          <w:color w:val="000000"/>
          <w:kern w:val="2"/>
          <w:highlight w:val="yellow"/>
          <w:lang w:val="es-ES"/>
        </w:rPr>
      </w:pPr>
    </w:p>
    <w:p w14:paraId="44A36467" w14:textId="3FE94D47" w:rsidR="00A247ED"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El total de contribuciones voluntarias recibidas o comprometidas durante y desde la COP14 asciende aproximadamente a </w:t>
      </w:r>
      <w:r w:rsidR="00ED7795">
        <w:rPr>
          <w:rFonts w:eastAsia="Times New Roman" w:cs="Arial"/>
          <w:color w:val="000000"/>
          <w:kern w:val="2"/>
          <w:lang w:val="es-ES"/>
        </w:rPr>
        <w:t>4 434 421</w:t>
      </w:r>
      <w:r w:rsidRPr="00D6646B">
        <w:rPr>
          <w:rFonts w:eastAsia="Times New Roman" w:cs="Arial"/>
          <w:color w:val="000000"/>
          <w:kern w:val="2"/>
          <w:lang w:val="es-ES"/>
        </w:rPr>
        <w:t xml:space="preserve">EUR (incluido el 13 % de Costes de Apoyo al Programa [PSC, por sus siglas en inglés] de la Organización de las Naciones Unidas para el Medio Ambiente). Una parte de estos recursos está asignada a actividades que continuarán en 2025 y más allá. Estos recursos fueron proporcionados por los Gobiernos de </w:t>
      </w:r>
      <w:r w:rsidR="000E5F21" w:rsidRPr="000E5F21">
        <w:rPr>
          <w:rFonts w:eastAsia="Times New Roman" w:cs="Arial"/>
          <w:color w:val="000000"/>
          <w:kern w:val="2"/>
          <w:lang w:val="es-ES"/>
        </w:rPr>
        <w:t>Australia, Flandes, Francia, India, Mónaco, Suiza, Reino Unido y Uzbekistán.</w:t>
      </w:r>
    </w:p>
    <w:p w14:paraId="66150600" w14:textId="77777777" w:rsidR="009425C6" w:rsidRDefault="009425C6" w:rsidP="009425C6">
      <w:pPr>
        <w:suppressAutoHyphens/>
        <w:ind w:left="567"/>
        <w:jc w:val="both"/>
        <w:rPr>
          <w:rFonts w:eastAsia="Times New Roman" w:cs="Arial"/>
          <w:color w:val="000000"/>
          <w:kern w:val="2"/>
          <w:lang w:val="es-ES"/>
        </w:rPr>
      </w:pPr>
    </w:p>
    <w:p w14:paraId="5BFF5499" w14:textId="38C37F62" w:rsidR="009425C6" w:rsidRPr="00C8785A" w:rsidRDefault="00C8785A" w:rsidP="00C8785A">
      <w:pPr>
        <w:pStyle w:val="ListParagraph"/>
        <w:numPr>
          <w:ilvl w:val="0"/>
          <w:numId w:val="33"/>
        </w:numPr>
        <w:ind w:left="540" w:hanging="540"/>
        <w:jc w:val="both"/>
        <w:rPr>
          <w:rFonts w:ascii="Arial" w:hAnsi="Arial" w:cs="Arial"/>
          <w:snapToGrid/>
          <w:color w:val="000000"/>
          <w:kern w:val="2"/>
          <w:sz w:val="22"/>
          <w:szCs w:val="22"/>
          <w:lang w:val="es-ES"/>
        </w:rPr>
      </w:pPr>
      <w:r w:rsidRPr="00C8785A">
        <w:rPr>
          <w:rFonts w:ascii="Arial" w:hAnsi="Arial" w:cs="Arial"/>
          <w:snapToGrid/>
          <w:color w:val="000000"/>
          <w:kern w:val="2"/>
          <w:sz w:val="22"/>
          <w:szCs w:val="22"/>
          <w:lang w:val="es-ES"/>
        </w:rPr>
        <w:t>Esta suma incluye la generosa promesa de 2.640.046 euros del Gobierno indio en apoyo del establecimiento de una oficina para la Unidad de Coordinación de la CMS para la Ruta Migratoria de Asia Central en la India. El Gobierno proporcionará asimismo las instalaciones y el equipo necesarios para dicha oficina.</w:t>
      </w:r>
    </w:p>
    <w:p w14:paraId="0DC9EB13" w14:textId="77777777" w:rsidR="00A247ED" w:rsidRPr="00C8785A" w:rsidRDefault="00A247ED" w:rsidP="001829E6">
      <w:pPr>
        <w:suppressAutoHyphens/>
        <w:ind w:left="567" w:hanging="567"/>
        <w:jc w:val="both"/>
        <w:rPr>
          <w:rFonts w:eastAsia="Times New Roman" w:cs="Arial"/>
          <w:color w:val="000000"/>
          <w:kern w:val="2"/>
          <w:highlight w:val="yellow"/>
          <w:lang w:val="es-ES"/>
        </w:rPr>
      </w:pPr>
    </w:p>
    <w:p w14:paraId="071AAEDF" w14:textId="67FCE5D2" w:rsidR="00C8785A"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Además de la cantidad total indicada anteriormente, los mayores Memorandos de Entendimiento (MdE) de la CMS han recaudado fondos significativos para sus operaciones. </w:t>
      </w:r>
      <w:r w:rsidR="00936D3B" w:rsidRPr="00936D3B">
        <w:rPr>
          <w:rFonts w:eastAsia="Times New Roman" w:cs="Arial"/>
          <w:color w:val="000000"/>
          <w:kern w:val="2"/>
          <w:lang w:val="es-ES"/>
        </w:rPr>
        <w:t>La Agencia de Medio Ambiente - Abu Dhabi (EAD), en nombre del Gobierno de los Emiratos Árabes Unidos, se comprometió a seguir acogiendo la Oficina de la CMS - Abu Dhabi durante el período de 2024 a 2027 (3,68 millones de dólares EE.UU.). En noviembre de 2023, la CMS y EAD prorrogaron el acuerdo de asociación vigente desde 2009. La Oficina de la CMS en Abu Dhabi coordina los Memorandos de Entendimiento (MdE) sobre rapaces y dugongos. El acuerdo proporciona el presupuesto básico de la Oficina, además de locales, apoyo operativo y otros apoyos prácticos.</w:t>
      </w:r>
    </w:p>
    <w:p w14:paraId="25B3662C" w14:textId="77777777" w:rsidR="00C8785A" w:rsidRDefault="00C8785A" w:rsidP="00C8785A">
      <w:pPr>
        <w:pStyle w:val="ListParagraph"/>
        <w:rPr>
          <w:rFonts w:cs="Arial"/>
          <w:color w:val="000000"/>
          <w:kern w:val="2"/>
          <w:lang w:val="es-ES"/>
        </w:rPr>
      </w:pPr>
    </w:p>
    <w:p w14:paraId="20DA98E0" w14:textId="73619161"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lastRenderedPageBreak/>
        <w:t>Adicionalmente, en 2024</w:t>
      </w:r>
      <w:r w:rsidR="00936D3B">
        <w:rPr>
          <w:rFonts w:eastAsia="Times New Roman" w:cs="Arial"/>
          <w:color w:val="000000"/>
          <w:kern w:val="2"/>
          <w:lang w:val="es-ES"/>
        </w:rPr>
        <w:t xml:space="preserve"> y 2025</w:t>
      </w:r>
      <w:r w:rsidRPr="00D6646B">
        <w:rPr>
          <w:rFonts w:eastAsia="Times New Roman" w:cs="Arial"/>
          <w:color w:val="000000"/>
          <w:kern w:val="2"/>
          <w:lang w:val="es-ES"/>
        </w:rPr>
        <w:t xml:space="preserve">, los signatarios del MdE sobre las Aves Rapaces proporcionaron un total de </w:t>
      </w:r>
      <w:r w:rsidR="0061662E">
        <w:rPr>
          <w:rFonts w:eastAsia="Times New Roman" w:cs="Arial"/>
          <w:color w:val="000000"/>
          <w:kern w:val="2"/>
          <w:lang w:val="es-ES"/>
        </w:rPr>
        <w:t>55 028</w:t>
      </w:r>
      <w:r w:rsidRPr="00D6646B">
        <w:rPr>
          <w:rFonts w:eastAsia="Times New Roman" w:cs="Arial"/>
          <w:color w:val="000000"/>
          <w:kern w:val="2"/>
          <w:lang w:val="es-ES"/>
        </w:rPr>
        <w:t xml:space="preserve"> USD para las actividades asociadas con el MdE. </w:t>
      </w:r>
      <w:r w:rsidR="00511489" w:rsidRPr="00511489">
        <w:rPr>
          <w:rFonts w:eastAsia="Times New Roman" w:cs="Arial"/>
          <w:color w:val="000000"/>
          <w:kern w:val="2"/>
          <w:lang w:val="es-ES"/>
        </w:rPr>
        <w:t>Estas contribuciones fueron realizadas por los gobiernos de Hungría, Países Bajos, Suecia, Croacia y Francia.</w:t>
      </w:r>
      <w:r w:rsidR="00C03241">
        <w:rPr>
          <w:rFonts w:eastAsia="Times New Roman" w:cs="Arial"/>
          <w:color w:val="000000"/>
          <w:kern w:val="2"/>
          <w:lang w:val="es-ES"/>
        </w:rPr>
        <w:t xml:space="preserve"> </w:t>
      </w:r>
      <w:r w:rsidRPr="00D6646B">
        <w:rPr>
          <w:rFonts w:eastAsia="Times New Roman" w:cs="Arial"/>
          <w:color w:val="000000"/>
          <w:kern w:val="2"/>
          <w:lang w:val="es-ES"/>
        </w:rPr>
        <w:t xml:space="preserve">El MdE sobre Dugongos también recibió una contribución voluntaria de </w:t>
      </w:r>
      <w:r w:rsidR="00511489">
        <w:rPr>
          <w:rFonts w:eastAsia="Times New Roman" w:cs="Arial"/>
          <w:color w:val="000000"/>
          <w:kern w:val="2"/>
          <w:lang w:val="es-ES"/>
        </w:rPr>
        <w:t>66 000</w:t>
      </w:r>
      <w:r w:rsidR="00785A26">
        <w:rPr>
          <w:rFonts w:eastAsia="Times New Roman" w:cs="Arial"/>
          <w:color w:val="000000"/>
          <w:kern w:val="2"/>
          <w:lang w:val="es-ES"/>
        </w:rPr>
        <w:t xml:space="preserve"> </w:t>
      </w:r>
      <w:r w:rsidRPr="00D6646B">
        <w:rPr>
          <w:rFonts w:eastAsia="Times New Roman" w:cs="Arial"/>
          <w:color w:val="000000"/>
          <w:kern w:val="2"/>
          <w:lang w:val="es-ES"/>
        </w:rPr>
        <w:t xml:space="preserve">USD de </w:t>
      </w:r>
      <w:r w:rsidR="00511489">
        <w:rPr>
          <w:rFonts w:eastAsia="Times New Roman" w:cs="Arial"/>
          <w:color w:val="000000"/>
          <w:kern w:val="2"/>
          <w:lang w:val="es-ES"/>
        </w:rPr>
        <w:t>Australia</w:t>
      </w:r>
      <w:r w:rsidR="00785A26">
        <w:rPr>
          <w:rFonts w:eastAsia="Times New Roman" w:cs="Arial"/>
          <w:color w:val="000000"/>
          <w:kern w:val="2"/>
          <w:lang w:val="es-ES"/>
        </w:rPr>
        <w:t xml:space="preserve">. </w:t>
      </w:r>
    </w:p>
    <w:p w14:paraId="71341D27" w14:textId="52554F51" w:rsidR="00FD719E" w:rsidRPr="00D6646B" w:rsidRDefault="00FD719E" w:rsidP="00890961">
      <w:pPr>
        <w:suppressAutoHyphens/>
        <w:jc w:val="both"/>
        <w:rPr>
          <w:rFonts w:eastAsia="Times New Roman" w:cs="Arial"/>
          <w:color w:val="000000"/>
          <w:kern w:val="2"/>
          <w:highlight w:val="yellow"/>
          <w:lang w:val="es-ES"/>
        </w:rPr>
      </w:pPr>
    </w:p>
    <w:p w14:paraId="7D2792BA" w14:textId="5B90462C"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Se recaudaron más recursos a través del MdE sobre Tiburones y el MdE sobre Tortugas Marinas y sus Hábitats en el Océano Índico y el Sudeste Asiático (IOSEA). Las contribuciones obtenidas en 2024 en apoyo del presupuesto del MdE sobre Tiburones y su PdT ascienden a 1</w:t>
      </w:r>
      <w:r w:rsidR="00785A26">
        <w:rPr>
          <w:rFonts w:eastAsia="Times New Roman" w:cs="Arial"/>
          <w:color w:val="000000"/>
          <w:kern w:val="2"/>
          <w:lang w:val="es-ES"/>
        </w:rPr>
        <w:t>53 468</w:t>
      </w:r>
      <w:r w:rsidRPr="00D6646B">
        <w:rPr>
          <w:rFonts w:eastAsia="Times New Roman" w:cs="Arial"/>
          <w:color w:val="000000"/>
          <w:kern w:val="2"/>
          <w:lang w:val="es-ES"/>
        </w:rPr>
        <w:t xml:space="preserve"> USD, y las recibidas por el MdE de IOSEA ascienden a </w:t>
      </w:r>
      <w:r w:rsidR="00785A26">
        <w:rPr>
          <w:rFonts w:eastAsia="Times New Roman" w:cs="Arial"/>
          <w:color w:val="000000"/>
          <w:kern w:val="2"/>
          <w:lang w:val="es-ES"/>
        </w:rPr>
        <w:t>229</w:t>
      </w:r>
      <w:r w:rsidRPr="00D6646B">
        <w:rPr>
          <w:rFonts w:eastAsia="Times New Roman" w:cs="Arial"/>
          <w:color w:val="000000"/>
          <w:kern w:val="2"/>
          <w:lang w:val="es-ES"/>
        </w:rPr>
        <w:t> </w:t>
      </w:r>
      <w:r w:rsidR="00785A26">
        <w:rPr>
          <w:rFonts w:eastAsia="Times New Roman" w:cs="Arial"/>
          <w:color w:val="000000"/>
          <w:kern w:val="2"/>
          <w:lang w:val="es-ES"/>
        </w:rPr>
        <w:t>516</w:t>
      </w:r>
      <w:r w:rsidRPr="00D6646B">
        <w:rPr>
          <w:rFonts w:eastAsia="Times New Roman" w:cs="Arial"/>
          <w:color w:val="000000"/>
          <w:kern w:val="2"/>
          <w:lang w:val="es-ES"/>
        </w:rPr>
        <w:t> USD.</w:t>
      </w:r>
    </w:p>
    <w:p w14:paraId="7234E31A" w14:textId="77777777" w:rsidR="00A247ED" w:rsidRPr="00D6646B" w:rsidRDefault="00A247ED" w:rsidP="000A366E">
      <w:pPr>
        <w:suppressAutoHyphens/>
        <w:jc w:val="both"/>
        <w:rPr>
          <w:rFonts w:eastAsia="Times New Roman" w:cs="Arial"/>
          <w:i/>
          <w:iCs/>
          <w:color w:val="000000"/>
          <w:kern w:val="2"/>
          <w:highlight w:val="yellow"/>
          <w:lang w:val="es-ES"/>
        </w:rPr>
      </w:pPr>
    </w:p>
    <w:p w14:paraId="71F94E42" w14:textId="01302F7A" w:rsidR="00A247ED" w:rsidRPr="00D6646B" w:rsidRDefault="00A247ED" w:rsidP="000A366E">
      <w:pPr>
        <w:suppressAutoHyphens/>
        <w:jc w:val="both"/>
        <w:rPr>
          <w:rFonts w:eastAsia="Times New Roman" w:cs="Arial"/>
          <w:i/>
          <w:iCs/>
          <w:color w:val="000000"/>
          <w:kern w:val="2"/>
          <w:lang w:val="es-ES"/>
        </w:rPr>
      </w:pPr>
      <w:r w:rsidRPr="00D6646B">
        <w:rPr>
          <w:rFonts w:eastAsia="Times New Roman" w:cs="Arial"/>
          <w:i/>
          <w:iCs/>
          <w:color w:val="000000"/>
          <w:kern w:val="2"/>
          <w:lang w:val="es-ES"/>
        </w:rPr>
        <w:t>Contribuciones financieras indirectas y contribuciones en especie</w:t>
      </w:r>
    </w:p>
    <w:p w14:paraId="043C36E3" w14:textId="77777777" w:rsidR="00A247ED" w:rsidRPr="00D6646B" w:rsidRDefault="00A247ED" w:rsidP="000A366E">
      <w:pPr>
        <w:suppressAutoHyphens/>
        <w:jc w:val="both"/>
        <w:rPr>
          <w:rFonts w:eastAsia="Times New Roman" w:cs="Arial"/>
          <w:color w:val="000000"/>
          <w:kern w:val="2"/>
          <w:lang w:val="es-ES"/>
        </w:rPr>
      </w:pPr>
    </w:p>
    <w:p w14:paraId="15124E27" w14:textId="77777777" w:rsidR="00A247ED" w:rsidRPr="00D6646B" w:rsidRDefault="00A247ED" w:rsidP="001829E6">
      <w:pPr>
        <w:numPr>
          <w:ilvl w:val="0"/>
          <w:numId w:val="33"/>
        </w:numPr>
        <w:suppressAutoHyphens/>
        <w:ind w:left="567" w:hanging="567"/>
        <w:jc w:val="both"/>
        <w:rPr>
          <w:rFonts w:eastAsia="Times New Roman" w:cs="Arial"/>
          <w:color w:val="000000"/>
          <w:kern w:val="2"/>
          <w:lang w:val="es-ES"/>
        </w:rPr>
      </w:pPr>
      <w:bookmarkStart w:id="1" w:name="_Hlk147750108"/>
      <w:r w:rsidRPr="00D6646B">
        <w:rPr>
          <w:rFonts w:eastAsia="Times New Roman" w:cs="Arial"/>
          <w:color w:val="000000"/>
          <w:kern w:val="2"/>
          <w:lang w:val="es-ES"/>
        </w:rPr>
        <w:t>Se proporcionaron contribuciones adicionales ya sea en forma de apoyo financiero que no se entregó directamente a la Secretaría pero que contribuyó a actividades específicas</w:t>
      </w:r>
      <w:bookmarkEnd w:id="1"/>
      <w:r w:rsidRPr="00D6646B">
        <w:rPr>
          <w:rFonts w:eastAsia="Times New Roman" w:cs="Arial"/>
          <w:color w:val="000000"/>
          <w:kern w:val="2"/>
          <w:lang w:val="es-ES"/>
        </w:rPr>
        <w:t>, o como apoyo en especie a través de la provisión de personal o servicios.</w:t>
      </w:r>
    </w:p>
    <w:p w14:paraId="7A4CDDAB" w14:textId="77777777" w:rsidR="00A247ED" w:rsidRPr="00D6646B" w:rsidRDefault="00A247ED" w:rsidP="000A366E">
      <w:pPr>
        <w:suppressAutoHyphens/>
        <w:jc w:val="both"/>
        <w:rPr>
          <w:rFonts w:eastAsia="Times New Roman" w:cs="Arial"/>
          <w:i/>
          <w:color w:val="000000"/>
          <w:kern w:val="2"/>
          <w:highlight w:val="yellow"/>
          <w:lang w:val="es-ES"/>
        </w:rPr>
      </w:pPr>
    </w:p>
    <w:p w14:paraId="71E0EF77" w14:textId="77777777" w:rsidR="00A247ED" w:rsidRPr="00D6646B" w:rsidRDefault="00A247ED" w:rsidP="000A366E">
      <w:pPr>
        <w:suppressAutoHyphens/>
        <w:jc w:val="both"/>
        <w:rPr>
          <w:rFonts w:eastAsia="Times New Roman" w:cs="Arial"/>
          <w:i/>
          <w:color w:val="000000"/>
          <w:kern w:val="2"/>
          <w:lang w:val="es-ES"/>
        </w:rPr>
      </w:pPr>
      <w:r w:rsidRPr="00D6646B">
        <w:rPr>
          <w:rFonts w:eastAsia="Times New Roman" w:cs="Arial"/>
          <w:i/>
          <w:color w:val="000000"/>
          <w:kern w:val="2"/>
          <w:lang w:val="es-ES"/>
        </w:rPr>
        <w:t>Actividades y servicios</w:t>
      </w:r>
    </w:p>
    <w:p w14:paraId="5D4F9C4B" w14:textId="77777777" w:rsidR="00A247ED" w:rsidRPr="00D6646B" w:rsidRDefault="00A247ED" w:rsidP="000A366E">
      <w:pPr>
        <w:suppressAutoHyphens/>
        <w:jc w:val="both"/>
        <w:rPr>
          <w:rFonts w:eastAsia="Times New Roman" w:cs="Arial"/>
          <w:i/>
          <w:color w:val="000000"/>
          <w:kern w:val="2"/>
          <w:highlight w:val="yellow"/>
          <w:lang w:val="es-ES"/>
        </w:rPr>
      </w:pPr>
    </w:p>
    <w:p w14:paraId="522BD105" w14:textId="77777777" w:rsidR="00A247ED" w:rsidRPr="00D6646B" w:rsidRDefault="00A247ED" w:rsidP="005A7365">
      <w:pPr>
        <w:numPr>
          <w:ilvl w:val="0"/>
          <w:numId w:val="33"/>
        </w:numPr>
        <w:suppressAutoHyphens/>
        <w:spacing w:after="80"/>
        <w:ind w:left="567" w:hanging="567"/>
        <w:jc w:val="both"/>
        <w:rPr>
          <w:rFonts w:eastAsia="Times New Roman" w:cs="Arial"/>
          <w:color w:val="000000"/>
          <w:kern w:val="2"/>
          <w:lang w:val="es-ES"/>
        </w:rPr>
      </w:pPr>
      <w:r w:rsidRPr="00D6646B">
        <w:rPr>
          <w:rFonts w:eastAsia="Times New Roman" w:cs="Arial"/>
          <w:color w:val="000000"/>
          <w:kern w:val="2"/>
          <w:lang w:val="es-ES"/>
        </w:rPr>
        <w:t>Además de albergar a la Secretaría de la CMS y otras Secretarías de la Familia CMS con sede en Bonn, y asumir todos los costes relacionados con las instalaciones, el Ministerio Federal de Medio Ambiente, Conservación de la Naturaleza, Seguridad Nuclear y Protección al Consumidor de Alemania (BMUV, por sus siglas en alemán) ofreció servicios de interpretación para las siguientes reuniones celebradas en Bonn:</w:t>
      </w:r>
    </w:p>
    <w:p w14:paraId="75FE9C9B" w14:textId="7335F92E" w:rsidR="00A247ED" w:rsidRPr="00D6646B" w:rsidRDefault="004B4DDB" w:rsidP="005A7365">
      <w:pPr>
        <w:numPr>
          <w:ilvl w:val="0"/>
          <w:numId w:val="34"/>
        </w:numPr>
        <w:suppressAutoHyphens/>
        <w:spacing w:after="80"/>
        <w:ind w:left="993" w:hanging="426"/>
        <w:jc w:val="both"/>
        <w:rPr>
          <w:rFonts w:eastAsia="Times New Roman" w:cs="Arial"/>
          <w:color w:val="000000"/>
          <w:kern w:val="2"/>
          <w:lang w:val="es-ES"/>
        </w:rPr>
      </w:pPr>
      <w:r w:rsidRPr="00D6646B">
        <w:rPr>
          <w:rFonts w:eastAsia="Times New Roman" w:cs="Arial"/>
          <w:color w:val="000000"/>
          <w:kern w:val="2"/>
          <w:lang w:val="es-ES"/>
        </w:rPr>
        <w:t>7.</w:t>
      </w:r>
      <w:r w:rsidR="00A247ED" w:rsidRPr="00D6646B">
        <w:rPr>
          <w:rFonts w:eastAsia="Times New Roman" w:cs="Arial"/>
          <w:color w:val="000000"/>
          <w:kern w:val="2"/>
          <w:lang w:val="es-ES"/>
        </w:rPr>
        <w:t>as reuniones del Comité de Sesiones del Consejo Científico, del 17 al 20 de septiembre de 2024.</w:t>
      </w:r>
    </w:p>
    <w:p w14:paraId="43CAE6D0" w14:textId="6D4CD4DB" w:rsidR="00A247ED" w:rsidRDefault="00A247ED" w:rsidP="00B511C4">
      <w:pPr>
        <w:numPr>
          <w:ilvl w:val="0"/>
          <w:numId w:val="34"/>
        </w:numPr>
        <w:suppressAutoHyphens/>
        <w:ind w:left="993" w:hanging="426"/>
        <w:jc w:val="both"/>
        <w:rPr>
          <w:rFonts w:eastAsia="Times New Roman" w:cs="Arial"/>
          <w:color w:val="000000"/>
          <w:kern w:val="2"/>
          <w:lang w:val="es-ES"/>
        </w:rPr>
      </w:pPr>
      <w:r w:rsidRPr="00D6646B">
        <w:rPr>
          <w:rFonts w:eastAsia="Times New Roman" w:cs="Arial"/>
          <w:color w:val="000000"/>
          <w:kern w:val="2"/>
          <w:lang w:val="es-ES"/>
        </w:rPr>
        <w:t>56.</w:t>
      </w:r>
      <w:r w:rsidR="004B4DDB" w:rsidRPr="00D6646B">
        <w:rPr>
          <w:rFonts w:eastAsia="Times New Roman" w:cs="Arial"/>
          <w:color w:val="000000"/>
          <w:kern w:val="2"/>
          <w:lang w:val="es-ES"/>
        </w:rPr>
        <w:t>a reunión del Comité Permanente, del 25 al 27 de marzo de 2025.</w:t>
      </w:r>
    </w:p>
    <w:p w14:paraId="4AAABEDC" w14:textId="77777777" w:rsidR="00A247ED" w:rsidRPr="00D6646B" w:rsidRDefault="00A247ED" w:rsidP="00623B77">
      <w:pPr>
        <w:suppressAutoHyphens/>
        <w:jc w:val="both"/>
        <w:rPr>
          <w:rFonts w:eastAsia="Times New Roman" w:cs="Arial"/>
          <w:color w:val="000000"/>
          <w:kern w:val="2"/>
          <w:highlight w:val="yellow"/>
          <w:lang w:val="es-ES"/>
        </w:rPr>
      </w:pPr>
    </w:p>
    <w:p w14:paraId="22BBC530" w14:textId="279CE6C7" w:rsidR="00785A26" w:rsidRDefault="00F96C4E" w:rsidP="001829E6">
      <w:pPr>
        <w:numPr>
          <w:ilvl w:val="0"/>
          <w:numId w:val="33"/>
        </w:numPr>
        <w:suppressAutoHyphens/>
        <w:ind w:left="567" w:hanging="567"/>
        <w:jc w:val="both"/>
        <w:rPr>
          <w:rFonts w:eastAsia="Times New Roman" w:cs="Arial"/>
          <w:color w:val="000000"/>
          <w:kern w:val="2"/>
          <w:lang w:val="es-ES"/>
        </w:rPr>
      </w:pPr>
      <w:r w:rsidRPr="000D1AEE">
        <w:rPr>
          <w:rFonts w:eastAsia="Times New Roman" w:cs="Arial"/>
          <w:color w:val="000000"/>
          <w:kern w:val="2"/>
          <w:lang w:val="es-ES"/>
        </w:rPr>
        <w:t>E</w:t>
      </w:r>
      <w:r w:rsidR="000D1AEE" w:rsidRPr="000D1AEE">
        <w:rPr>
          <w:rFonts w:eastAsia="Times New Roman" w:cs="Arial"/>
          <w:color w:val="000000"/>
          <w:kern w:val="2"/>
          <w:lang w:val="es-ES"/>
        </w:rPr>
        <w:t>l Centro Nacional para l</w:t>
      </w:r>
      <w:r w:rsidR="000D1AEE">
        <w:rPr>
          <w:rFonts w:eastAsia="Times New Roman" w:cs="Arial"/>
          <w:color w:val="000000"/>
          <w:kern w:val="2"/>
          <w:lang w:val="es-ES"/>
        </w:rPr>
        <w:t>a Vida Silvestre del Reino de Saudí Arabia se comprometió a apoyar la creación del Grupo de Trabajo sobre caza, captura y comercio ilegal de las aves migratorias del suroeste de Asia, así como su coordinación y funcionamiento durante un periodo inicial de tres años.</w:t>
      </w:r>
    </w:p>
    <w:p w14:paraId="588F995F" w14:textId="77777777" w:rsidR="000D1AEE" w:rsidRPr="000D1AEE" w:rsidRDefault="000D1AEE" w:rsidP="000D1AEE">
      <w:pPr>
        <w:suppressAutoHyphens/>
        <w:ind w:left="567"/>
        <w:jc w:val="both"/>
        <w:rPr>
          <w:rFonts w:eastAsia="Times New Roman" w:cs="Arial"/>
          <w:color w:val="000000"/>
          <w:kern w:val="2"/>
          <w:lang w:val="es-ES"/>
        </w:rPr>
      </w:pPr>
    </w:p>
    <w:p w14:paraId="443A3996" w14:textId="0A315CA4" w:rsidR="006F4D60" w:rsidRPr="00D6646B" w:rsidRDefault="006F4D60"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La Secretaría renovó su Programa de Trabajo Conjunto 2024–2026 con la Agencia Federal de Conservación de la Naturaleza de Alemania (BfN, por sus siglas en alemán), financiado por el BMUV, que proporciona apoyo para la organización de diversos talleres y actividades, especialmente en apoyo de la Iniciativa de Mamíferos de Asia Central.</w:t>
      </w:r>
    </w:p>
    <w:p w14:paraId="6E32F25C" w14:textId="77777777" w:rsidR="005E0379" w:rsidRPr="00D6646B" w:rsidRDefault="005E0379" w:rsidP="005E0379">
      <w:pPr>
        <w:pStyle w:val="ListParagraph"/>
        <w:rPr>
          <w:rFonts w:cs="Arial"/>
          <w:color w:val="000000"/>
          <w:kern w:val="2"/>
          <w:lang w:val="es-ES"/>
        </w:rPr>
      </w:pPr>
    </w:p>
    <w:p w14:paraId="389A4A2B" w14:textId="77442AEB" w:rsidR="00973073" w:rsidRPr="00D6646B" w:rsidRDefault="00973073"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La </w:t>
      </w:r>
      <w:hyperlink r:id="rId16" w:history="1">
        <w:r w:rsidRPr="00D6646B">
          <w:rPr>
            <w:rFonts w:eastAsia="Times New Roman"/>
            <w:color w:val="000000"/>
            <w:lang w:val="es-ES"/>
          </w:rPr>
          <w:t>séptima reunión</w:t>
        </w:r>
      </w:hyperlink>
      <w:r w:rsidRPr="00D6646B">
        <w:rPr>
          <w:rFonts w:eastAsia="Times New Roman" w:cs="Arial"/>
          <w:color w:val="000000"/>
          <w:kern w:val="2"/>
          <w:lang w:val="es-ES"/>
        </w:rPr>
        <w:t xml:space="preserve"> del ETF se celebró en Madrid del 24 al 26 de abril de 2024, por amable invitación del Gobierno de España.</w:t>
      </w:r>
    </w:p>
    <w:p w14:paraId="64380F93" w14:textId="338896C7" w:rsidR="005A055C" w:rsidRPr="00D6646B" w:rsidRDefault="005A055C" w:rsidP="005E0379">
      <w:pPr>
        <w:suppressAutoHyphens/>
        <w:jc w:val="both"/>
        <w:rPr>
          <w:rFonts w:eastAsia="Times New Roman" w:cs="Arial"/>
          <w:color w:val="000000"/>
          <w:kern w:val="2"/>
          <w:lang w:val="es-ES"/>
        </w:rPr>
      </w:pPr>
    </w:p>
    <w:p w14:paraId="4480DBA4" w14:textId="3D200C96" w:rsidR="00293935" w:rsidRPr="00D6646B" w:rsidRDefault="00B543F5" w:rsidP="00293935">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La Tercera Reunión de los Signatarios del MdE sobre el Ciervo de Bukhara y la Reunión de los Estados del Área de Distribución sobre la Implementación y Revisión del Plan de Acción Internacional de Especies Únicas para la Conservación del Argali se llevaron a cabo en Almaty en septiembre de 2024, por amable invitación del Gobierno de Kazajistán.</w:t>
      </w:r>
    </w:p>
    <w:p w14:paraId="3C5E77D4" w14:textId="77777777" w:rsidR="00293935" w:rsidRPr="00D6646B" w:rsidRDefault="00293935" w:rsidP="00293935">
      <w:pPr>
        <w:suppressAutoHyphens/>
        <w:jc w:val="both"/>
        <w:rPr>
          <w:rFonts w:eastAsia="Times New Roman" w:cs="Arial"/>
          <w:color w:val="000000"/>
          <w:kern w:val="2"/>
          <w:lang w:val="es-ES"/>
        </w:rPr>
      </w:pPr>
    </w:p>
    <w:p w14:paraId="6E5A3178" w14:textId="006064A5" w:rsidR="00162F6D" w:rsidRPr="00D6646B" w:rsidRDefault="005E0379" w:rsidP="00777760">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La Tercera Reunión del MdE sobre Aves de Pasti</w:t>
      </w:r>
      <w:r w:rsidR="00E33873" w:rsidRPr="00D6646B">
        <w:rPr>
          <w:rFonts w:eastAsia="Times New Roman" w:cs="Arial"/>
          <w:color w:val="000000"/>
          <w:kern w:val="2"/>
          <w:lang w:val="es-ES"/>
        </w:rPr>
        <w:t>zales del Sur de Sudamérica</w:t>
      </w:r>
      <w:r w:rsidRPr="00D6646B">
        <w:rPr>
          <w:rFonts w:eastAsia="Times New Roman" w:cs="Arial"/>
          <w:color w:val="000000"/>
          <w:kern w:val="2"/>
          <w:lang w:val="es-ES"/>
        </w:rPr>
        <w:t xml:space="preserve"> se celebró en Florianópolis los días 3 y 4 de diciembre de 2024, seguida de la Segunda Reunión del Grupo Operativo del Marco de Corredores Aéreos de las Américas, por amable invitación del Gobierno de Brasil. </w:t>
      </w:r>
    </w:p>
    <w:p w14:paraId="547E10B1" w14:textId="29E36152" w:rsidR="006F4D60" w:rsidRPr="00D6646B" w:rsidRDefault="006F4D60" w:rsidP="006F4D60">
      <w:pPr>
        <w:suppressAutoHyphens/>
        <w:ind w:left="567"/>
        <w:jc w:val="both"/>
        <w:rPr>
          <w:rFonts w:eastAsia="Times New Roman" w:cs="Arial"/>
          <w:color w:val="000000"/>
          <w:kern w:val="2"/>
          <w:lang w:val="es-ES"/>
        </w:rPr>
      </w:pPr>
    </w:p>
    <w:p w14:paraId="32CFFC23" w14:textId="59F1A7AF" w:rsidR="009709D5" w:rsidRPr="004367AD" w:rsidRDefault="009709D5" w:rsidP="009709D5">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lastRenderedPageBreak/>
        <w:t xml:space="preserve">Los Gobiernos de Uruguay y Austria han asumido respectivamente la coordinación del MdE sobre Aves de Pastizales del Sur de </w:t>
      </w:r>
      <w:r w:rsidR="00E33873" w:rsidRPr="00D6646B">
        <w:rPr>
          <w:rFonts w:eastAsia="Times New Roman" w:cs="Arial"/>
          <w:color w:val="000000"/>
          <w:kern w:val="2"/>
          <w:lang w:val="es-ES"/>
        </w:rPr>
        <w:t>Sudamé</w:t>
      </w:r>
      <w:r w:rsidRPr="00D6646B">
        <w:rPr>
          <w:rFonts w:eastAsia="Times New Roman" w:cs="Arial"/>
          <w:color w:val="000000"/>
          <w:kern w:val="2"/>
          <w:lang w:val="es-ES"/>
        </w:rPr>
        <w:t>r</w:t>
      </w:r>
      <w:r w:rsidR="00E33873" w:rsidRPr="00D6646B">
        <w:rPr>
          <w:rFonts w:eastAsia="Times New Roman" w:cs="Arial"/>
          <w:color w:val="000000"/>
          <w:kern w:val="2"/>
          <w:lang w:val="es-ES"/>
        </w:rPr>
        <w:t>ica</w:t>
      </w:r>
      <w:r w:rsidRPr="00D6646B">
        <w:rPr>
          <w:rFonts w:eastAsia="Times New Roman" w:cs="Arial"/>
          <w:color w:val="000000"/>
          <w:kern w:val="2"/>
          <w:lang w:val="es-ES"/>
        </w:rPr>
        <w:t xml:space="preserve"> y </w:t>
      </w:r>
      <w:r w:rsidR="000717E8" w:rsidRPr="00D6646B">
        <w:rPr>
          <w:rFonts w:eastAsia="Calibri" w:cs="Arial"/>
          <w:lang w:val="es-ES"/>
        </w:rPr>
        <w:t>del MdE sobre la Conservación y Gestión de la Población de la Avutarda Euroasiática Central.</w:t>
      </w:r>
    </w:p>
    <w:p w14:paraId="5A144448" w14:textId="77777777" w:rsidR="004367AD" w:rsidRDefault="004367AD" w:rsidP="004367AD">
      <w:pPr>
        <w:pStyle w:val="ListParagraph"/>
        <w:rPr>
          <w:rFonts w:cs="Arial"/>
          <w:color w:val="000000"/>
          <w:kern w:val="2"/>
          <w:lang w:val="es-ES"/>
        </w:rPr>
      </w:pPr>
    </w:p>
    <w:p w14:paraId="17956A1B" w14:textId="1656645A" w:rsidR="004367AD" w:rsidRPr="00D6646B" w:rsidRDefault="004367AD" w:rsidP="009709D5">
      <w:pPr>
        <w:numPr>
          <w:ilvl w:val="0"/>
          <w:numId w:val="33"/>
        </w:numPr>
        <w:suppressAutoHyphens/>
        <w:ind w:left="567" w:hanging="567"/>
        <w:jc w:val="both"/>
        <w:rPr>
          <w:rFonts w:eastAsia="Times New Roman" w:cs="Arial"/>
          <w:color w:val="000000"/>
          <w:kern w:val="2"/>
          <w:lang w:val="es-ES"/>
        </w:rPr>
      </w:pPr>
      <w:r w:rsidRPr="004367AD">
        <w:rPr>
          <w:rFonts w:eastAsia="Times New Roman" w:cs="Arial"/>
          <w:color w:val="000000"/>
          <w:kern w:val="2"/>
          <w:lang w:val="es-ES"/>
        </w:rPr>
        <w:t>El Gobierno británico organizó un taller de expertos sobre especies migratorias y cambio climático del 11 al 13 de febrero de 2025 en Edimburgo.</w:t>
      </w:r>
    </w:p>
    <w:p w14:paraId="63B2FCBD" w14:textId="77777777" w:rsidR="00A925FF" w:rsidRPr="00D6646B" w:rsidRDefault="00A925FF" w:rsidP="00A925FF">
      <w:pPr>
        <w:suppressAutoHyphens/>
        <w:jc w:val="both"/>
        <w:rPr>
          <w:rFonts w:eastAsia="Times New Roman" w:cs="Arial"/>
          <w:color w:val="000000"/>
          <w:kern w:val="2"/>
          <w:lang w:val="es-ES"/>
        </w:rPr>
      </w:pPr>
    </w:p>
    <w:p w14:paraId="0BC40741" w14:textId="72E0BDF9"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Las asociaciones con ONG también han sido fundamentales para apoyar diversas iniciativas, incluyendo la coordinación del Plan de Acción para las Aves Terrestres Migratorias de África y Eurasia por parte del Instituto Ornitológico Suizo (SOI) y la implementación de varios instrumentos de la CMS, como la Iniciativa de Mamíferos de Asia Central.</w:t>
      </w:r>
    </w:p>
    <w:p w14:paraId="7A5706E0" w14:textId="77777777" w:rsidR="00A247ED" w:rsidRPr="00D6646B" w:rsidRDefault="00A247ED" w:rsidP="000A366E">
      <w:pPr>
        <w:suppressAutoHyphens/>
        <w:jc w:val="both"/>
        <w:rPr>
          <w:rFonts w:eastAsia="Times New Roman" w:cs="Arial"/>
          <w:color w:val="000000"/>
          <w:kern w:val="2"/>
          <w:highlight w:val="yellow"/>
          <w:lang w:val="es-ES"/>
        </w:rPr>
      </w:pPr>
    </w:p>
    <w:p w14:paraId="77AFBD67" w14:textId="77777777" w:rsidR="00A247ED" w:rsidRPr="00D6646B" w:rsidRDefault="00A247ED" w:rsidP="000A366E">
      <w:pPr>
        <w:suppressAutoHyphens/>
        <w:jc w:val="both"/>
        <w:rPr>
          <w:rFonts w:eastAsia="Times New Roman" w:cs="Arial"/>
          <w:i/>
          <w:color w:val="000000"/>
          <w:kern w:val="2"/>
          <w:lang w:val="es-ES"/>
        </w:rPr>
      </w:pPr>
      <w:r w:rsidRPr="00D6646B">
        <w:rPr>
          <w:rFonts w:eastAsia="Times New Roman" w:cs="Arial"/>
          <w:i/>
          <w:color w:val="000000"/>
          <w:kern w:val="2"/>
          <w:lang w:val="es-ES"/>
        </w:rPr>
        <w:t>Personal</w:t>
      </w:r>
    </w:p>
    <w:p w14:paraId="2C020657" w14:textId="77777777" w:rsidR="00A247ED" w:rsidRPr="00D6646B" w:rsidRDefault="00A247ED" w:rsidP="000A366E">
      <w:pPr>
        <w:suppressAutoHyphens/>
        <w:jc w:val="both"/>
        <w:rPr>
          <w:rFonts w:eastAsia="Times New Roman" w:cs="Arial"/>
          <w:i/>
          <w:color w:val="000000"/>
          <w:kern w:val="2"/>
          <w:lang w:val="es-ES"/>
        </w:rPr>
      </w:pPr>
    </w:p>
    <w:p w14:paraId="64B9FD10" w14:textId="33980BFF"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A través de su programa de prácticas, la Secretaría ha recibido un valioso apoyo de graduados o estudiantes universitarios, quienes han ayudado al personal de la CMS en su trabajo diario. Por lo general, trabajan durante un período de tres meses sin remuneración. Desde la COP14, 27 pasantes de varios países han ayudado a la Secretaría en la realización de tareas o proyectos que contribuyen a actividades científicas, técnicas, políticas, administrativas y de comunicación.</w:t>
      </w:r>
    </w:p>
    <w:p w14:paraId="63516BAC" w14:textId="77777777" w:rsidR="00A247ED" w:rsidRPr="00D6646B" w:rsidRDefault="00A247ED" w:rsidP="001829E6">
      <w:pPr>
        <w:suppressAutoHyphens/>
        <w:ind w:left="567" w:hanging="567"/>
        <w:jc w:val="both"/>
        <w:rPr>
          <w:rFonts w:eastAsia="Times New Roman" w:cs="Arial"/>
          <w:color w:val="000000"/>
          <w:kern w:val="2"/>
          <w:lang w:val="es-ES"/>
        </w:rPr>
      </w:pPr>
    </w:p>
    <w:p w14:paraId="459C9667" w14:textId="67ABF384"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Las sinergias y el apoyo mutuo entre las Secretarías de la Familia CMS, todas ubicadas en Bonn, han mejorado tanto la eficiencia programática como administrativa. De manera similar, la Secretaría de la CMS y otras Secretarías de Acuerdos Multilaterales sobre el Medio Ambiente (AMUMA) a menudo se apoyan mutuamente en lo que respecta al personal de sus correspondientes Conferencias de las Partes.  </w:t>
      </w:r>
    </w:p>
    <w:p w14:paraId="2342BCFE" w14:textId="77777777" w:rsidR="00A247ED" w:rsidRPr="00D6646B" w:rsidRDefault="00A247ED" w:rsidP="000A366E">
      <w:pPr>
        <w:suppressAutoHyphens/>
        <w:jc w:val="both"/>
        <w:rPr>
          <w:rFonts w:eastAsia="Times New Roman" w:cs="Arial"/>
          <w:color w:val="000000"/>
          <w:kern w:val="2"/>
          <w:lang w:val="es-ES"/>
        </w:rPr>
      </w:pPr>
    </w:p>
    <w:p w14:paraId="00511CDE" w14:textId="77777777" w:rsidR="00A247ED" w:rsidRPr="00D6646B" w:rsidRDefault="00A247ED" w:rsidP="000A366E">
      <w:pPr>
        <w:suppressAutoHyphens/>
        <w:jc w:val="both"/>
        <w:rPr>
          <w:rFonts w:eastAsia="Times New Roman" w:cs="Arial"/>
          <w:color w:val="000000"/>
          <w:kern w:val="2"/>
          <w:lang w:val="es-ES"/>
        </w:rPr>
      </w:pPr>
      <w:r w:rsidRPr="00D6646B">
        <w:rPr>
          <w:rFonts w:eastAsia="Times New Roman" w:cs="Arial"/>
          <w:color w:val="000000"/>
          <w:kern w:val="2"/>
          <w:lang w:val="es-ES"/>
        </w:rPr>
        <w:t xml:space="preserve">Propuestas de subvenciones </w:t>
      </w:r>
    </w:p>
    <w:p w14:paraId="42CD30A3" w14:textId="77777777" w:rsidR="00A247ED" w:rsidRPr="00D6646B" w:rsidRDefault="00A247ED" w:rsidP="000A366E">
      <w:pPr>
        <w:suppressAutoHyphens/>
        <w:jc w:val="both"/>
        <w:rPr>
          <w:rFonts w:eastAsia="Times New Roman" w:cs="Arial"/>
          <w:color w:val="000000"/>
          <w:kern w:val="2"/>
          <w:highlight w:val="yellow"/>
          <w:lang w:val="es-ES"/>
        </w:rPr>
      </w:pPr>
    </w:p>
    <w:p w14:paraId="54CFBBB3" w14:textId="489A6EB6"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La Secretaría de la CMS, en cooperación con socios clave de implementación, está trabajando para contribuir a una serie de solicitudes de subvención con el fin de avanzar en la implementación de su mandato y apoyar acciones sobre el terreno.</w:t>
      </w:r>
    </w:p>
    <w:p w14:paraId="4060AC20" w14:textId="77777777" w:rsidR="00A247ED" w:rsidRPr="00D6646B" w:rsidRDefault="00A247ED" w:rsidP="000A366E">
      <w:pPr>
        <w:suppressAutoHyphens/>
        <w:jc w:val="both"/>
        <w:rPr>
          <w:rFonts w:eastAsia="Times New Roman" w:cs="Arial"/>
          <w:color w:val="000000"/>
          <w:kern w:val="2"/>
          <w:highlight w:val="yellow"/>
          <w:u w:val="single"/>
          <w:lang w:val="es-ES"/>
        </w:rPr>
      </w:pPr>
    </w:p>
    <w:p w14:paraId="57B82941" w14:textId="3E6F6951" w:rsidR="00A247ED" w:rsidRPr="00D6646B" w:rsidRDefault="00B511C4" w:rsidP="000A366E">
      <w:pPr>
        <w:suppressAutoHyphens/>
        <w:jc w:val="both"/>
        <w:rPr>
          <w:rFonts w:eastAsia="Times New Roman" w:cs="Arial"/>
          <w:i/>
          <w:color w:val="000000"/>
          <w:kern w:val="2"/>
          <w:lang w:val="es-ES"/>
        </w:rPr>
      </w:pPr>
      <w:r w:rsidRPr="00D6646B">
        <w:rPr>
          <w:rFonts w:eastAsia="Times New Roman" w:cs="Arial"/>
          <w:i/>
          <w:color w:val="000000"/>
          <w:kern w:val="2"/>
          <w:lang w:val="es-ES"/>
        </w:rPr>
        <w:t>Fondo para la Biodiversidad de Kunming</w:t>
      </w:r>
    </w:p>
    <w:p w14:paraId="4F139674" w14:textId="77777777" w:rsidR="00A247ED" w:rsidRPr="00D6646B" w:rsidRDefault="00A247ED" w:rsidP="001829E6">
      <w:pPr>
        <w:suppressAutoHyphens/>
        <w:ind w:left="567" w:hanging="567"/>
        <w:jc w:val="both"/>
        <w:rPr>
          <w:rFonts w:eastAsia="Times New Roman" w:cs="Arial"/>
          <w:i/>
          <w:color w:val="000000"/>
          <w:kern w:val="2"/>
          <w:highlight w:val="yellow"/>
          <w:lang w:val="es-ES"/>
        </w:rPr>
      </w:pPr>
    </w:p>
    <w:p w14:paraId="2AD38272" w14:textId="59DCAC31" w:rsidR="00A247ED" w:rsidRPr="00D6646B" w:rsidRDefault="00291619" w:rsidP="002E3D5F">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A finales de 2024, el Fondo para la Biodiversidad de Kunming (KBF, por sus siglas en inglés) lanzó una convocatoria de propuestas con varias áreas temáticas del Marco Mundial para la Biodiversidad Kunming-Montreal (GBF, por sus siglas en inglés) de gran relevancia </w:t>
      </w:r>
      <w:r w:rsidR="00275102" w:rsidRPr="00D6646B">
        <w:rPr>
          <w:rFonts w:eastAsia="Times New Roman" w:cs="Arial"/>
          <w:color w:val="000000"/>
          <w:kern w:val="2"/>
          <w:lang w:val="es-ES"/>
        </w:rPr>
        <w:t>para la CMS y sus instrumentos.</w:t>
      </w:r>
      <w:r w:rsidRPr="00D6646B">
        <w:rPr>
          <w:rFonts w:eastAsia="Times New Roman" w:cs="Arial"/>
          <w:color w:val="000000"/>
          <w:kern w:val="2"/>
          <w:lang w:val="es-ES"/>
        </w:rPr>
        <w:t xml:space="preserve"> La Secretaría está colaborando actualmente con los puntos focales de las Partes de países en desarrollo, así como con organizaciones no gubernamentales (ONG) asociadas, con el fin de presentar varias propuestas dirigidas a apoyar tanto la implementación a nivel nacional como regional. La fecha límite para la presentación de notas conceptuales es el 10 de febrero de 2025.</w:t>
      </w:r>
    </w:p>
    <w:p w14:paraId="0F400CEF" w14:textId="77777777" w:rsidR="00A247ED" w:rsidRPr="00D6646B" w:rsidRDefault="00A247ED" w:rsidP="000A366E">
      <w:pPr>
        <w:suppressAutoHyphens/>
        <w:jc w:val="both"/>
        <w:rPr>
          <w:rFonts w:eastAsia="Times New Roman" w:cs="Arial"/>
          <w:color w:val="000000"/>
          <w:kern w:val="2"/>
          <w:highlight w:val="yellow"/>
          <w:lang w:val="es-ES"/>
        </w:rPr>
      </w:pPr>
    </w:p>
    <w:p w14:paraId="3E3D179F" w14:textId="77777777" w:rsidR="00A247ED" w:rsidRPr="00D6646B" w:rsidRDefault="00A247ED" w:rsidP="000A366E">
      <w:pPr>
        <w:suppressAutoHyphens/>
        <w:jc w:val="both"/>
        <w:rPr>
          <w:rFonts w:eastAsia="Times New Roman" w:cs="Arial"/>
          <w:i/>
          <w:iCs/>
          <w:color w:val="000000"/>
          <w:kern w:val="2"/>
          <w:lang w:val="es-ES"/>
        </w:rPr>
      </w:pPr>
      <w:r w:rsidRPr="00D6646B">
        <w:rPr>
          <w:rFonts w:eastAsia="Times New Roman" w:cs="Arial"/>
          <w:i/>
          <w:iCs/>
          <w:color w:val="000000"/>
          <w:kern w:val="2"/>
          <w:lang w:val="es-ES"/>
        </w:rPr>
        <w:t>Iniciativa Internacional sobre el Clima (IKI)</w:t>
      </w:r>
    </w:p>
    <w:p w14:paraId="48C00527" w14:textId="77777777" w:rsidR="00A247ED" w:rsidRPr="00D6646B" w:rsidRDefault="00A247ED" w:rsidP="000A366E">
      <w:pPr>
        <w:suppressAutoHyphens/>
        <w:jc w:val="both"/>
        <w:rPr>
          <w:rFonts w:eastAsia="Times New Roman" w:cs="Arial"/>
          <w:i/>
          <w:iCs/>
          <w:color w:val="000000"/>
          <w:kern w:val="2"/>
          <w:highlight w:val="yellow"/>
          <w:lang w:val="es-ES"/>
        </w:rPr>
      </w:pPr>
    </w:p>
    <w:p w14:paraId="2DC0FDF4" w14:textId="30AA96CE" w:rsidR="00A247ED" w:rsidRPr="00D6646B" w:rsidRDefault="00AE1B5A" w:rsidP="00182754">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La Iniciativa Internacional sobre el Clima (IKI) tiene diferentes procedimientos de selección para su financiación, incluyendo convocatorias temáticas para proyectos que aborden retos actuales en acción climática, adaptación y conservación de la biodiversidad. A finales de 2024, la IKI lanzó una convocatoria temática centrada en nueve prioridades, entre ellas la conservación, gestión sostenible y restauración de ecosistemas clave para las especies migratorias. La Secretaría de la CMS está desarrollando ideas de proyectos que se basen en el éxito de proyectos anteriores y en </w:t>
      </w:r>
      <w:r w:rsidRPr="00D6646B">
        <w:rPr>
          <w:rFonts w:eastAsia="Times New Roman" w:cs="Arial"/>
          <w:color w:val="000000"/>
          <w:kern w:val="2"/>
          <w:lang w:val="es-ES"/>
        </w:rPr>
        <w:lastRenderedPageBreak/>
        <w:t>curso de la IKI o que impulsen la implementación en otras áreas relevantes. La fecha límite para la presentación de ideas de proyectos es el 18 de febrero de 2025.</w:t>
      </w:r>
    </w:p>
    <w:p w14:paraId="6A330470" w14:textId="77777777" w:rsidR="00A247ED" w:rsidRPr="00D6646B" w:rsidRDefault="00A247ED" w:rsidP="000A366E">
      <w:pPr>
        <w:suppressAutoHyphens/>
        <w:jc w:val="both"/>
        <w:rPr>
          <w:rFonts w:eastAsia="Times New Roman" w:cs="Arial"/>
          <w:color w:val="000000"/>
          <w:kern w:val="2"/>
          <w:lang w:val="es-ES"/>
        </w:rPr>
      </w:pPr>
    </w:p>
    <w:p w14:paraId="153F9BF4" w14:textId="77777777" w:rsidR="00A247ED" w:rsidRPr="00D6646B" w:rsidRDefault="00A247ED" w:rsidP="000A366E">
      <w:pPr>
        <w:suppressAutoHyphens/>
        <w:jc w:val="both"/>
        <w:rPr>
          <w:rFonts w:eastAsia="Times New Roman" w:cs="Arial"/>
          <w:color w:val="000000"/>
          <w:kern w:val="2"/>
          <w:u w:val="single"/>
          <w:lang w:val="es-ES"/>
        </w:rPr>
      </w:pPr>
      <w:r w:rsidRPr="00D6646B">
        <w:rPr>
          <w:rFonts w:eastAsia="Times New Roman" w:cs="Arial"/>
          <w:color w:val="000000"/>
          <w:kern w:val="2"/>
          <w:u w:val="single"/>
          <w:lang w:val="es-ES"/>
        </w:rPr>
        <w:t>Fondo para el Medio Ambiente Mundial</w:t>
      </w:r>
    </w:p>
    <w:p w14:paraId="444E98A9" w14:textId="77777777" w:rsidR="00A247ED" w:rsidRPr="00D6646B" w:rsidRDefault="00A247ED" w:rsidP="000A366E">
      <w:pPr>
        <w:suppressAutoHyphens/>
        <w:jc w:val="both"/>
        <w:rPr>
          <w:rFonts w:eastAsia="Times New Roman" w:cs="Arial"/>
          <w:color w:val="000000"/>
          <w:kern w:val="2"/>
          <w:highlight w:val="yellow"/>
          <w:lang w:val="es-ES"/>
        </w:rPr>
      </w:pPr>
    </w:p>
    <w:p w14:paraId="16436E01" w14:textId="492781CD"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Si bien el Fondo para el Medio Ambiente Mundial (FMAM) no es un mecanismo financiero para la CMS, se puede proporcionar orientación sobre prioridades nacionales para la implementación de la CMS en las reposiciones del FMAM a través del CDB. La COP de la CMS, a través de la Resolución 10.25 (Rev.COP14) </w:t>
      </w:r>
      <w:r w:rsidR="00275102" w:rsidRPr="00D6646B">
        <w:rPr>
          <w:i/>
          <w:lang w:val="es-ES"/>
        </w:rPr>
        <w:t>Mejora de la Colaboración con el Fondo para el Medio Ambiente Mundial</w:t>
      </w:r>
      <w:r w:rsidRPr="00D6646B">
        <w:rPr>
          <w:rFonts w:eastAsia="Times New Roman" w:cs="Arial"/>
          <w:color w:val="000000"/>
          <w:kern w:val="2"/>
          <w:lang w:val="es-ES"/>
        </w:rPr>
        <w:t xml:space="preserve">, delega la autoridad para desarrollar dicha orientación al Comité Permanente de la CMS y solicita a la Secretaría de la CMS que la transmita en su nombre al CDB. </w:t>
      </w:r>
    </w:p>
    <w:p w14:paraId="33DFD157" w14:textId="77777777" w:rsidR="00A247ED" w:rsidRPr="00D6646B" w:rsidRDefault="00A247ED" w:rsidP="001829E6">
      <w:pPr>
        <w:suppressAutoHyphens/>
        <w:ind w:left="567" w:hanging="567"/>
        <w:jc w:val="both"/>
        <w:rPr>
          <w:rFonts w:eastAsia="Times New Roman" w:cs="Arial"/>
          <w:color w:val="000000"/>
          <w:kern w:val="2"/>
          <w:highlight w:val="yellow"/>
          <w:lang w:val="es-ES"/>
        </w:rPr>
      </w:pPr>
    </w:p>
    <w:p w14:paraId="3F15E2FE" w14:textId="724C7137" w:rsidR="00F408DE" w:rsidRPr="00D6646B" w:rsidRDefault="00A247ED" w:rsidP="00F408DE">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En mayo de 2025, la Secretaría de la CMS preparó dicha orientación para ser considerada por el Comité Permanente de la CMS y en consulta con su Presidencia, con el fin de informar del desarrollo de una guía estratégica para el noveno período de reposición del Fondo Fiduciario del Fondo para el Medio Ambiente Mundial (FMAM-9, 2026-2030). Esto está en línea con la Decisión 15/15 del CDB, que invitó a los órganos rectores de las diversas convenciones relacionadas con la biodiversidad, incluida la CMS, a contribuir a la orientación estratégica para el FMAM-9 a tiempo para que sea considerada en la COP16 del CDB en octubre de 2024. </w:t>
      </w:r>
    </w:p>
    <w:p w14:paraId="45B1F607" w14:textId="2E5A4987" w:rsidR="00FD719E" w:rsidRPr="00D6646B" w:rsidRDefault="00FD719E" w:rsidP="00E519B5">
      <w:pPr>
        <w:suppressAutoHyphens/>
        <w:jc w:val="both"/>
        <w:rPr>
          <w:rFonts w:eastAsia="Times New Roman" w:cs="Arial"/>
          <w:color w:val="000000"/>
          <w:kern w:val="2"/>
          <w:lang w:val="es-ES"/>
        </w:rPr>
      </w:pPr>
    </w:p>
    <w:p w14:paraId="2C6EBA31" w14:textId="548AB597" w:rsidR="00A247ED" w:rsidRPr="00D6646B" w:rsidRDefault="005D1205" w:rsidP="007B2195">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Esta orientación, que se presentó en forma de Resolución, contenía disposiciones relevantes y relacionadas con la conservación de las especies migratorias, alineadas con el Plan Estratégico de Samarcanda para las Especies Migratorias 2024-2032 y el Marco Mundial de Biodiversidad Kunming-Montreal. </w:t>
      </w:r>
    </w:p>
    <w:p w14:paraId="2EE9BD7F" w14:textId="77777777" w:rsidR="00A247ED" w:rsidRPr="00D6646B" w:rsidRDefault="00A247ED" w:rsidP="001829E6">
      <w:pPr>
        <w:suppressAutoHyphens/>
        <w:ind w:left="567" w:hanging="567"/>
        <w:jc w:val="both"/>
        <w:rPr>
          <w:rFonts w:eastAsia="Times New Roman" w:cs="Arial"/>
          <w:color w:val="000000"/>
          <w:kern w:val="2"/>
          <w:highlight w:val="yellow"/>
          <w:lang w:val="es-ES"/>
        </w:rPr>
      </w:pPr>
    </w:p>
    <w:p w14:paraId="581786DB" w14:textId="24CC5D08" w:rsidR="00A247ED" w:rsidRPr="00D6646B" w:rsidRDefault="00640E5F"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Fue formulada a un nivel estratégico, considerando el mandato del FMAM, los objetivos comunes de la CMS y el CDB, y el papel principal de la CMS en la conservación y el uso sostenible de las especies migratorias de animales silvestres y sus hábitats.</w:t>
      </w:r>
    </w:p>
    <w:p w14:paraId="199D519C" w14:textId="77777777" w:rsidR="00A247ED" w:rsidRPr="00D6646B" w:rsidRDefault="00A247ED" w:rsidP="001829E6">
      <w:pPr>
        <w:suppressAutoHyphens/>
        <w:ind w:left="567" w:hanging="567"/>
        <w:jc w:val="both"/>
        <w:rPr>
          <w:rFonts w:eastAsia="Times New Roman" w:cs="Arial"/>
          <w:color w:val="000000"/>
          <w:kern w:val="2"/>
          <w:highlight w:val="yellow"/>
          <w:lang w:val="es-ES"/>
        </w:rPr>
      </w:pPr>
    </w:p>
    <w:p w14:paraId="43507D2D" w14:textId="45EA6D1F"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La Resolución fue transmitida a la Secretaría del CDB en julio de 2024 y se incluyó en la documentación previa a la sesión para su consideración en la COP16 del CDB en noviembre de 2025. La orientación de la CMS se mencionó en el documento </w:t>
      </w:r>
      <w:hyperlink r:id="rId17" w:history="1">
        <w:r w:rsidR="00F408DE" w:rsidRPr="00D6646B">
          <w:rPr>
            <w:rStyle w:val="Hyperlink"/>
            <w:rFonts w:eastAsia="Times New Roman" w:cs="Arial"/>
            <w:kern w:val="2"/>
            <w:lang w:val="es-ES"/>
          </w:rPr>
          <w:t>CBD/COP/16/6/Rev.1</w:t>
        </w:r>
      </w:hyperlink>
      <w:r w:rsidR="00F408DE" w:rsidRPr="00D6646B">
        <w:rPr>
          <w:rFonts w:eastAsia="Times New Roman" w:cs="Arial"/>
          <w:color w:val="000000"/>
          <w:kern w:val="2"/>
          <w:lang w:val="es-ES"/>
        </w:rPr>
        <w:t xml:space="preserve"> y se reprodujo íntegramente en </w:t>
      </w:r>
      <w:hyperlink r:id="rId18" w:history="1">
        <w:r w:rsidR="00F408DE" w:rsidRPr="00D6646B">
          <w:rPr>
            <w:rStyle w:val="Hyperlink"/>
            <w:rFonts w:eastAsia="Times New Roman" w:cs="Arial"/>
            <w:kern w:val="2"/>
            <w:lang w:val="es-ES"/>
          </w:rPr>
          <w:t>CBD/COP/16/6/Add.2</w:t>
        </w:r>
      </w:hyperlink>
      <w:r w:rsidR="00F408DE" w:rsidRPr="00D6646B">
        <w:rPr>
          <w:rFonts w:eastAsia="Times New Roman" w:cs="Arial"/>
          <w:color w:val="000000"/>
          <w:kern w:val="2"/>
          <w:lang w:val="es-ES"/>
        </w:rPr>
        <w:t xml:space="preserve">. </w:t>
      </w:r>
    </w:p>
    <w:p w14:paraId="4F01657F" w14:textId="77777777" w:rsidR="000A749C" w:rsidRPr="00D6646B" w:rsidRDefault="000A749C" w:rsidP="000A749C">
      <w:pPr>
        <w:pStyle w:val="ListParagraph"/>
        <w:rPr>
          <w:rFonts w:cs="Arial"/>
          <w:color w:val="000000"/>
          <w:kern w:val="2"/>
          <w:lang w:val="es-ES"/>
        </w:rPr>
      </w:pPr>
    </w:p>
    <w:p w14:paraId="5830462F" w14:textId="60631E21" w:rsidR="000A749C" w:rsidRPr="00D6646B" w:rsidRDefault="000A749C"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Aunque la adopción de la decisión del CDB sobre el Mecanismo Financiero se ha pospuesto para la segunda sesión reanudada de la COP16 del CDB, que tendrá lugar del 25 al 27 de febrero de 2025 en Roma, el actual</w:t>
      </w:r>
      <w:r w:rsidRPr="00D6646B">
        <w:rPr>
          <w:i/>
          <w:iCs/>
          <w:lang w:val="es-ES"/>
        </w:rPr>
        <w:t xml:space="preserve"> </w:t>
      </w:r>
      <w:hyperlink r:id="rId19" w:history="1">
        <w:r w:rsidR="00467366" w:rsidRPr="00D6646B">
          <w:rPr>
            <w:rStyle w:val="Hyperlink"/>
            <w:rFonts w:eastAsia="Times New Roman" w:cs="Arial"/>
            <w:kern w:val="2"/>
            <w:lang w:val="es-ES"/>
          </w:rPr>
          <w:t>proyecto de decisión</w:t>
        </w:r>
      </w:hyperlink>
      <w:r w:rsidRPr="00D6646B">
        <w:rPr>
          <w:rFonts w:eastAsia="Times New Roman" w:cs="Arial"/>
          <w:color w:val="000000"/>
          <w:kern w:val="2"/>
          <w:lang w:val="es-ES"/>
        </w:rPr>
        <w:t xml:space="preserve"> propone una cooperación fortalecida entre las </w:t>
      </w:r>
      <w:r w:rsidRPr="00D6646B">
        <w:rPr>
          <w:lang w:val="es-ES"/>
        </w:rPr>
        <w:t>secretarías de las convenciones relacionadas con la biodiversidad</w:t>
      </w:r>
      <w:r w:rsidRPr="00D6646B">
        <w:rPr>
          <w:rFonts w:eastAsia="Times New Roman" w:cs="Arial"/>
          <w:color w:val="000000"/>
          <w:kern w:val="2"/>
          <w:lang w:val="es-ES"/>
        </w:rPr>
        <w:t xml:space="preserve"> para el </w:t>
      </w:r>
      <w:r w:rsidRPr="00D6646B">
        <w:rPr>
          <w:lang w:val="es-ES"/>
        </w:rPr>
        <w:t>desarrollo de insumos como anteproyecto de las directrices programáticas y las recomendaciones políticas para las negociaciones del FMAM-9.</w:t>
      </w:r>
    </w:p>
    <w:p w14:paraId="1028CBF7" w14:textId="77777777" w:rsidR="000A749C" w:rsidRPr="00D6646B" w:rsidRDefault="000A749C" w:rsidP="000A749C">
      <w:pPr>
        <w:suppressAutoHyphens/>
        <w:jc w:val="both"/>
        <w:rPr>
          <w:rFonts w:eastAsia="Times New Roman" w:cs="Arial"/>
          <w:color w:val="000000"/>
          <w:kern w:val="2"/>
          <w:lang w:val="es-ES"/>
        </w:rPr>
      </w:pPr>
    </w:p>
    <w:p w14:paraId="6177892A" w14:textId="4AAA0B09" w:rsidR="00A247ED" w:rsidRPr="00D6646B" w:rsidRDefault="00A247ED" w:rsidP="0077117E">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Además de estos esfuerzos, la Secretaría mantiene relaciones con la Secretaría del FMAM y contribuirá activamente en todas las etapas del desarrollo de las Directrices de Programación del FMAM-9. El primer paso en este proceso es la convocatoria de Grupos Asesores Técnicos (TAG, por sus siglas en inglés) compuestos por expertos y profesionales de una amplia gama de disciplinas, para ayudar a la Secretaría del FMAM con aportaciones técnicas y científicas sobre posibles direcciones de inversión en países en desarrollo durante el ciclo julio 2026-junio 2030. Además de los miembros del Panel Asesor Científico y Técnico del FMAM (STAP) y los expertos de las agencias de implementación del FMAM y de las Convenciones, los TAG cuentan con expertos y líderes de opinión de instituciones académicas, el sector privado y organizaciones de la sociedad civil. La Secretaría ha sido invitada a las reuniones del TAG, que se llevarán a cabo del 18 al 20 de febrero de 2025 en Washington D. C. </w:t>
      </w:r>
    </w:p>
    <w:p w14:paraId="41D60B71" w14:textId="77777777" w:rsidR="00A247ED" w:rsidRPr="00D6646B" w:rsidRDefault="00A247ED" w:rsidP="001829E6">
      <w:pPr>
        <w:suppressAutoHyphens/>
        <w:ind w:left="567" w:hanging="567"/>
        <w:jc w:val="both"/>
        <w:rPr>
          <w:rFonts w:eastAsia="Times New Roman" w:cs="Arial"/>
          <w:color w:val="000000"/>
          <w:kern w:val="2"/>
          <w:lang w:val="es-ES"/>
        </w:rPr>
      </w:pPr>
    </w:p>
    <w:p w14:paraId="47F5B552" w14:textId="1B34EE3C" w:rsidR="00A247ED" w:rsidRPr="00D6646B" w:rsidRDefault="00A247ED" w:rsidP="001829E6">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 xml:space="preserve">La Secretaría de la CMS sigue asesorando y apoyando a las Partes de la CMS, según corresponda, en el proceso de participación en la programación del FMAM-9. </w:t>
      </w:r>
    </w:p>
    <w:p w14:paraId="3839E06F" w14:textId="77777777" w:rsidR="00A247ED" w:rsidRPr="00D6646B" w:rsidRDefault="00A247ED" w:rsidP="000A366E">
      <w:pPr>
        <w:suppressAutoHyphens/>
        <w:jc w:val="both"/>
        <w:rPr>
          <w:rFonts w:eastAsia="Times New Roman" w:cs="Arial"/>
          <w:color w:val="000000"/>
          <w:kern w:val="2"/>
          <w:lang w:val="es-ES"/>
        </w:rPr>
      </w:pPr>
    </w:p>
    <w:p w14:paraId="1F63CD68" w14:textId="77E86177" w:rsidR="00A247ED" w:rsidRPr="00D6646B" w:rsidRDefault="00A247ED" w:rsidP="000A366E">
      <w:pPr>
        <w:suppressAutoHyphens/>
        <w:jc w:val="both"/>
        <w:rPr>
          <w:rFonts w:eastAsia="Times New Roman" w:cs="Arial"/>
          <w:color w:val="000000"/>
          <w:kern w:val="2"/>
          <w:u w:val="single"/>
          <w:lang w:val="es-ES"/>
        </w:rPr>
      </w:pPr>
      <w:r w:rsidRPr="00D6646B">
        <w:rPr>
          <w:rFonts w:eastAsia="Times New Roman" w:cs="Arial"/>
          <w:color w:val="000000"/>
          <w:kern w:val="2"/>
          <w:u w:val="single"/>
          <w:lang w:val="es-ES"/>
        </w:rPr>
        <w:t>Necesidades de financiación</w:t>
      </w:r>
    </w:p>
    <w:p w14:paraId="52CBC268" w14:textId="77777777" w:rsidR="00A247ED" w:rsidRPr="00D6646B" w:rsidRDefault="00A247ED" w:rsidP="000A366E">
      <w:pPr>
        <w:suppressAutoHyphens/>
        <w:jc w:val="both"/>
        <w:rPr>
          <w:rFonts w:eastAsia="Times New Roman" w:cs="Arial"/>
          <w:color w:val="000000"/>
          <w:kern w:val="2"/>
          <w:highlight w:val="yellow"/>
          <w:lang w:val="es-ES"/>
        </w:rPr>
      </w:pPr>
    </w:p>
    <w:p w14:paraId="7CFD8BC3" w14:textId="6732EB2F" w:rsidR="00EA27EC" w:rsidRPr="00D6646B" w:rsidRDefault="00EA27EC" w:rsidP="00DD64A7">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A pesar de las contribuciones muy positivas y generosas descritas anteriormente, un número significativo de áreas de trabajo dentro del PdT no cuenta actualmente con financiación. El documento UNEP/CMS/StC56/Doc.13 proporciona detalles sobre las carencias e incluye estimaciones de los recursos necesarios para implementar actividades durante el resto del período entre sesiones.</w:t>
      </w:r>
    </w:p>
    <w:p w14:paraId="65E4911D" w14:textId="77777777" w:rsidR="00EA27EC" w:rsidRPr="00D6646B" w:rsidRDefault="00EA27EC" w:rsidP="00EA27EC">
      <w:pPr>
        <w:suppressAutoHyphens/>
        <w:ind w:left="567"/>
        <w:jc w:val="both"/>
        <w:rPr>
          <w:rFonts w:eastAsia="Times New Roman" w:cs="Arial"/>
          <w:color w:val="000000"/>
          <w:kern w:val="2"/>
          <w:lang w:val="es-ES"/>
        </w:rPr>
      </w:pPr>
    </w:p>
    <w:p w14:paraId="5C05A079" w14:textId="0180309A" w:rsidR="00A247ED" w:rsidRPr="00D6646B" w:rsidRDefault="00EA27EC" w:rsidP="00F83A8A">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Se insta a los miembros del Comité Permanente a consultar dentro de sus gobiernos y con otras Partes e instituciones en sus respectivas regiones para explorar posibilidades de proporcionar apoyo financiero para la implementación del PdT.</w:t>
      </w:r>
    </w:p>
    <w:p w14:paraId="4D4E7134" w14:textId="77777777" w:rsidR="00A247ED" w:rsidRPr="00D6646B" w:rsidRDefault="00A247ED" w:rsidP="000A366E">
      <w:pPr>
        <w:suppressAutoHyphens/>
        <w:jc w:val="both"/>
        <w:rPr>
          <w:rFonts w:eastAsia="Times New Roman" w:cs="Arial"/>
          <w:color w:val="000000"/>
          <w:kern w:val="2"/>
          <w:lang w:val="es-ES"/>
        </w:rPr>
      </w:pPr>
    </w:p>
    <w:p w14:paraId="5559AC09" w14:textId="77777777" w:rsidR="00A247ED" w:rsidRPr="00D6646B" w:rsidRDefault="00A247ED" w:rsidP="000A366E">
      <w:pPr>
        <w:suppressAutoHyphens/>
        <w:jc w:val="both"/>
        <w:rPr>
          <w:rFonts w:eastAsia="Times New Roman" w:cs="Arial"/>
          <w:color w:val="000000"/>
          <w:kern w:val="2"/>
          <w:u w:val="single"/>
          <w:lang w:val="es-ES"/>
        </w:rPr>
      </w:pPr>
      <w:r w:rsidRPr="00D6646B">
        <w:rPr>
          <w:rFonts w:eastAsia="Times New Roman" w:cs="Arial"/>
          <w:color w:val="000000"/>
          <w:kern w:val="2"/>
          <w:u w:val="single"/>
          <w:lang w:val="es-ES"/>
        </w:rPr>
        <w:t>Acciones recomendadas</w:t>
      </w:r>
    </w:p>
    <w:p w14:paraId="6C29AE6F" w14:textId="77777777" w:rsidR="00A247ED" w:rsidRPr="00D6646B" w:rsidRDefault="00A247ED" w:rsidP="000A366E">
      <w:pPr>
        <w:suppressAutoHyphens/>
        <w:jc w:val="both"/>
        <w:rPr>
          <w:rFonts w:eastAsia="Times New Roman" w:cs="Arial"/>
          <w:color w:val="000000"/>
          <w:kern w:val="2"/>
          <w:u w:val="single"/>
          <w:lang w:val="es-ES"/>
        </w:rPr>
      </w:pPr>
    </w:p>
    <w:p w14:paraId="77EF6020" w14:textId="3F2DB997" w:rsidR="00A247ED" w:rsidRPr="00D6646B" w:rsidRDefault="00A247ED" w:rsidP="00BF39BE">
      <w:pPr>
        <w:numPr>
          <w:ilvl w:val="0"/>
          <w:numId w:val="33"/>
        </w:numPr>
        <w:suppressAutoHyphens/>
        <w:ind w:left="567" w:hanging="567"/>
        <w:jc w:val="both"/>
        <w:rPr>
          <w:rFonts w:eastAsia="Times New Roman" w:cs="Arial"/>
          <w:color w:val="000000"/>
          <w:kern w:val="2"/>
          <w:lang w:val="es-ES"/>
        </w:rPr>
      </w:pPr>
      <w:r w:rsidRPr="00D6646B">
        <w:rPr>
          <w:rFonts w:eastAsia="Times New Roman" w:cs="Arial"/>
          <w:color w:val="000000"/>
          <w:kern w:val="2"/>
          <w:lang w:val="es-ES"/>
        </w:rPr>
        <w:t>Se recomienda que el Comité Permanente proporcione orientación a la Secretaría sobre la movilización de recursos y una mayor participación con el FMAM.</w:t>
      </w:r>
    </w:p>
    <w:p w14:paraId="2CA46E01" w14:textId="3B1CE006" w:rsidR="00BA4150" w:rsidRPr="00D6646B" w:rsidRDefault="00BA4150" w:rsidP="000A366E">
      <w:pPr>
        <w:suppressAutoHyphens/>
        <w:jc w:val="both"/>
        <w:rPr>
          <w:rFonts w:cs="Arial"/>
          <w:color w:val="000000"/>
          <w:kern w:val="2"/>
          <w:u w:val="single"/>
          <w:lang w:val="es-ES"/>
        </w:rPr>
      </w:pPr>
    </w:p>
    <w:p w14:paraId="0C12570C" w14:textId="77777777" w:rsidR="00D95871" w:rsidRPr="00D6646B" w:rsidRDefault="00D95871" w:rsidP="00E45216">
      <w:pPr>
        <w:suppressAutoHyphens/>
        <w:rPr>
          <w:rFonts w:cs="Arial"/>
          <w:color w:val="000000"/>
          <w:kern w:val="2"/>
          <w:u w:val="single"/>
          <w:lang w:val="es-ES"/>
        </w:rPr>
      </w:pPr>
    </w:p>
    <w:sectPr w:rsidR="00D95871" w:rsidRPr="00D6646B" w:rsidSect="00FD719E">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674F" w14:textId="77777777" w:rsidR="00BD6590" w:rsidRPr="00892037" w:rsidRDefault="00BD6590" w:rsidP="008562CA">
      <w:r w:rsidRPr="00892037">
        <w:separator/>
      </w:r>
    </w:p>
  </w:endnote>
  <w:endnote w:type="continuationSeparator" w:id="0">
    <w:p w14:paraId="17D60D75" w14:textId="77777777" w:rsidR="00BD6590" w:rsidRPr="00892037" w:rsidRDefault="00BD6590" w:rsidP="008562CA">
      <w:r w:rsidRPr="00892037">
        <w:continuationSeparator/>
      </w:r>
    </w:p>
  </w:endnote>
  <w:endnote w:type="continuationNotice" w:id="1">
    <w:p w14:paraId="662B553D" w14:textId="77777777" w:rsidR="00BD6590" w:rsidRPr="00892037" w:rsidRDefault="00BD6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1848836"/>
      <w:docPartObj>
        <w:docPartGallery w:val="Page Numbers (Bottom of Page)"/>
        <w:docPartUnique/>
      </w:docPartObj>
    </w:sdtPr>
    <w:sdtEndPr>
      <w:rPr>
        <w:sz w:val="18"/>
        <w:szCs w:val="18"/>
      </w:rPr>
    </w:sdtEndPr>
    <w:sdtContent>
      <w:p w14:paraId="0BA60067" w14:textId="53E16C96"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256168">
          <w:rPr>
            <w:noProof/>
            <w:sz w:val="18"/>
            <w:szCs w:val="18"/>
          </w:rPr>
          <w:t>6</w:t>
        </w:r>
        <w:r w:rsidRPr="00892037">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sz w:val="18"/>
        <w:szCs w:val="18"/>
      </w:rPr>
    </w:sdtEndPr>
    <w:sdtContent>
      <w:p w14:paraId="552578B9" w14:textId="40DA5DDD"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256168">
          <w:rPr>
            <w:noProof/>
            <w:sz w:val="18"/>
            <w:szCs w:val="18"/>
          </w:rPr>
          <w:t>5</w:t>
        </w:r>
        <w:r w:rsidRPr="00892037">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E53" w14:textId="77777777" w:rsidR="00A0008E" w:rsidRDefault="00A0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601F" w14:textId="77777777" w:rsidR="00BD6590" w:rsidRPr="00892037" w:rsidRDefault="00BD6590" w:rsidP="008562CA">
      <w:r w:rsidRPr="00892037">
        <w:separator/>
      </w:r>
    </w:p>
  </w:footnote>
  <w:footnote w:type="continuationSeparator" w:id="0">
    <w:p w14:paraId="2BEDBB9D" w14:textId="77777777" w:rsidR="00BD6590" w:rsidRPr="00892037" w:rsidRDefault="00BD6590" w:rsidP="008562CA">
      <w:r w:rsidRPr="00892037">
        <w:continuationSeparator/>
      </w:r>
    </w:p>
  </w:footnote>
  <w:footnote w:type="continuationNotice" w:id="1">
    <w:p w14:paraId="62454297" w14:textId="77777777" w:rsidR="00BD6590" w:rsidRPr="00892037" w:rsidRDefault="00BD6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82C" w14:textId="10CDDECB" w:rsidR="00E45216" w:rsidRPr="00892037" w:rsidRDefault="00E45216" w:rsidP="00E45216">
    <w:pPr>
      <w:pBdr>
        <w:bottom w:val="single" w:sz="4" w:space="1" w:color="auto"/>
      </w:pBdr>
      <w:spacing w:before="80"/>
      <w:rPr>
        <w:i/>
        <w:iCs/>
        <w:sz w:val="18"/>
        <w:szCs w:val="18"/>
      </w:rPr>
    </w:pPr>
    <w:bookmarkStart w:id="2" w:name="_Hlk76136997"/>
    <w:r w:rsidRPr="00892037">
      <w:rPr>
        <w:i/>
        <w:iCs/>
        <w:sz w:val="18"/>
        <w:szCs w:val="18"/>
      </w:rPr>
      <w:t>UNEP/CMS/StC56/</w:t>
    </w:r>
    <w:r w:rsidRPr="00892037">
      <w:rPr>
        <w:i/>
        <w:sz w:val="18"/>
        <w:szCs w:val="18"/>
      </w:rPr>
      <w:t>Doc.10.2</w:t>
    </w:r>
  </w:p>
  <w:bookmarkEnd w:id="2"/>
  <w:p w14:paraId="333631F8" w14:textId="77777777" w:rsidR="00E45216" w:rsidRPr="00892037" w:rsidRDefault="00E45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097" w14:textId="57224FA3" w:rsidR="00E45216" w:rsidRPr="00892037" w:rsidRDefault="00E45216" w:rsidP="00E45216">
    <w:pPr>
      <w:pBdr>
        <w:bottom w:val="single" w:sz="4" w:space="1" w:color="auto"/>
      </w:pBdr>
      <w:spacing w:before="80"/>
      <w:jc w:val="right"/>
      <w:rPr>
        <w:i/>
        <w:iCs/>
        <w:sz w:val="18"/>
        <w:szCs w:val="18"/>
      </w:rPr>
    </w:pPr>
    <w:r w:rsidRPr="00892037">
      <w:rPr>
        <w:i/>
        <w:iCs/>
        <w:sz w:val="18"/>
        <w:szCs w:val="18"/>
      </w:rPr>
      <w:t>UNEP/CMS/StC56/</w:t>
    </w:r>
    <w:r w:rsidRPr="00892037">
      <w:rPr>
        <w:i/>
        <w:sz w:val="18"/>
        <w:szCs w:val="18"/>
      </w:rPr>
      <w:t>Doc.10.2</w:t>
    </w:r>
  </w:p>
  <w:p w14:paraId="2722B839" w14:textId="77777777" w:rsidR="00E45216" w:rsidRPr="00892037" w:rsidRDefault="00E4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2075" w14:textId="77777777" w:rsidR="004A32A3" w:rsidRPr="008C639C" w:rsidRDefault="004A32A3" w:rsidP="004A32A3">
    <w:pPr>
      <w:tabs>
        <w:tab w:val="left" w:pos="-720"/>
        <w:tab w:val="left" w:pos="310"/>
        <w:tab w:val="left" w:pos="1080"/>
      </w:tabs>
      <w:ind w:right="1123"/>
      <w:jc w:val="both"/>
      <w:rPr>
        <w:rFonts w:cs="Arial"/>
        <w:b/>
        <w:spacing w:val="5"/>
      </w:rPr>
    </w:pPr>
    <w:r>
      <w:rPr>
        <w:noProof/>
      </w:rPr>
      <w:drawing>
        <wp:anchor distT="0" distB="0" distL="114300" distR="114300" simplePos="0" relativeHeight="251661312" behindDoc="1" locked="0" layoutInCell="1" allowOverlap="1" wp14:anchorId="7986FBBF" wp14:editId="27DB97F1">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7D03F5BC" wp14:editId="1BF73538">
              <wp:simplePos x="0" y="0"/>
              <wp:positionH relativeFrom="column">
                <wp:posOffset>895350</wp:posOffset>
              </wp:positionH>
              <wp:positionV relativeFrom="paragraph">
                <wp:posOffset>290830</wp:posOffset>
              </wp:positionV>
              <wp:extent cx="4583430" cy="558800"/>
              <wp:effectExtent l="0" t="0" r="0" b="0"/>
              <wp:wrapSquare wrapText="bothSides"/>
              <wp:docPr id="2016459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9C5C7CF" w14:textId="77777777" w:rsidR="004A32A3" w:rsidRPr="008C639C" w:rsidRDefault="004A32A3" w:rsidP="004A32A3">
                          <w:pPr>
                            <w:rPr>
                              <w:rFonts w:cs="Arial"/>
                              <w:b/>
                              <w:spacing w:val="9"/>
                              <w:sz w:val="32"/>
                              <w:szCs w:val="33"/>
                              <w:lang w:val="es-ES"/>
                            </w:rPr>
                          </w:pPr>
                          <w:r w:rsidRPr="008C639C">
                            <w:rPr>
                              <w:rFonts w:cs="Arial"/>
                              <w:b/>
                              <w:spacing w:val="9"/>
                              <w:sz w:val="32"/>
                              <w:szCs w:val="33"/>
                              <w:lang w:val="es-ES"/>
                            </w:rPr>
                            <w:t>Convención sobre la conservación de las</w:t>
                          </w:r>
                        </w:p>
                        <w:p w14:paraId="438F235F" w14:textId="77777777" w:rsidR="004A32A3" w:rsidRPr="0037111C" w:rsidRDefault="004A32A3" w:rsidP="004A32A3">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03F5BC"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9C5C7CF" w14:textId="77777777" w:rsidR="004A32A3" w:rsidRPr="008C639C" w:rsidRDefault="004A32A3" w:rsidP="004A32A3">
                    <w:pPr>
                      <w:rPr>
                        <w:rFonts w:cs="Arial"/>
                        <w:b/>
                        <w:spacing w:val="9"/>
                        <w:sz w:val="32"/>
                        <w:szCs w:val="33"/>
                        <w:lang w:val="es-ES"/>
                      </w:rPr>
                    </w:pPr>
                    <w:r w:rsidRPr="008C639C">
                      <w:rPr>
                        <w:rFonts w:cs="Arial"/>
                        <w:b/>
                        <w:spacing w:val="9"/>
                        <w:sz w:val="32"/>
                        <w:szCs w:val="33"/>
                        <w:lang w:val="es-ES"/>
                      </w:rPr>
                      <w:t>Convención sobre la conservación de las</w:t>
                    </w:r>
                  </w:p>
                  <w:p w14:paraId="438F235F" w14:textId="77777777" w:rsidR="004A32A3" w:rsidRPr="0037111C" w:rsidRDefault="004A32A3" w:rsidP="004A32A3">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75C16C00" wp14:editId="185920DB">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706">
      <w:rPr>
        <w:rFonts w:cs="Arial"/>
        <w:b/>
        <w:spacing w:val="5"/>
        <w:sz w:val="34"/>
        <w:szCs w:val="3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F9"/>
    <w:multiLevelType w:val="hybridMultilevel"/>
    <w:tmpl w:val="32B6F12C"/>
    <w:lvl w:ilvl="0" w:tplc="BF08256A">
      <w:start w:val="1"/>
      <w:numFmt w:val="decimal"/>
      <w:lvlText w:val="%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31EB"/>
    <w:multiLevelType w:val="hybridMultilevel"/>
    <w:tmpl w:val="BAF28E0A"/>
    <w:lvl w:ilvl="0" w:tplc="ADB48884">
      <w:start w:val="1"/>
      <w:numFmt w:val="low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462"/>
    <w:multiLevelType w:val="hybridMultilevel"/>
    <w:tmpl w:val="E6E0ADF6"/>
    <w:lvl w:ilvl="0" w:tplc="65CE0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8150499"/>
    <w:multiLevelType w:val="hybridMultilevel"/>
    <w:tmpl w:val="2DD0D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61EA"/>
    <w:multiLevelType w:val="hybridMultilevel"/>
    <w:tmpl w:val="A9B89EA2"/>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259BB"/>
    <w:multiLevelType w:val="multilevel"/>
    <w:tmpl w:val="767CD594"/>
    <w:lvl w:ilvl="0">
      <w:start w:val="1"/>
      <w:numFmt w:val="lowerLetter"/>
      <w:lvlText w:val="%1)"/>
      <w:lvlJc w:val="left"/>
      <w:pPr>
        <w:tabs>
          <w:tab w:val="num" w:pos="1920"/>
        </w:tabs>
        <w:ind w:left="1920" w:hanging="360"/>
      </w:pPr>
    </w:lvl>
    <w:lvl w:ilvl="1">
      <w:start w:val="1"/>
      <w:numFmt w:val="decimal"/>
      <w:lvlText w:val="%2."/>
      <w:lvlJc w:val="left"/>
      <w:pPr>
        <w:tabs>
          <w:tab w:val="num" w:pos="2640"/>
        </w:tabs>
        <w:ind w:left="2640" w:hanging="360"/>
      </w:pPr>
    </w:lvl>
    <w:lvl w:ilvl="2">
      <w:start w:val="1"/>
      <w:numFmt w:val="decimal"/>
      <w:lvlText w:val="%3."/>
      <w:lvlJc w:val="left"/>
      <w:pPr>
        <w:tabs>
          <w:tab w:val="num" w:pos="3360"/>
        </w:tabs>
        <w:ind w:left="3360" w:hanging="360"/>
      </w:pPr>
    </w:lvl>
    <w:lvl w:ilvl="3">
      <w:start w:val="1"/>
      <w:numFmt w:val="decimal"/>
      <w:lvlText w:val="%4."/>
      <w:lvlJc w:val="left"/>
      <w:pPr>
        <w:tabs>
          <w:tab w:val="num" w:pos="4080"/>
        </w:tabs>
        <w:ind w:left="4080" w:hanging="360"/>
      </w:pPr>
    </w:lvl>
    <w:lvl w:ilvl="4">
      <w:start w:val="1"/>
      <w:numFmt w:val="decimal"/>
      <w:lvlText w:val="%5."/>
      <w:lvlJc w:val="left"/>
      <w:pPr>
        <w:tabs>
          <w:tab w:val="num" w:pos="4800"/>
        </w:tabs>
        <w:ind w:left="4800" w:hanging="360"/>
      </w:pPr>
    </w:lvl>
    <w:lvl w:ilvl="5">
      <w:start w:val="1"/>
      <w:numFmt w:val="decimal"/>
      <w:lvlText w:val="%6."/>
      <w:lvlJc w:val="left"/>
      <w:pPr>
        <w:tabs>
          <w:tab w:val="num" w:pos="5520"/>
        </w:tabs>
        <w:ind w:left="5520" w:hanging="360"/>
      </w:pPr>
    </w:lvl>
    <w:lvl w:ilvl="6">
      <w:start w:val="1"/>
      <w:numFmt w:val="decimal"/>
      <w:lvlText w:val="%7."/>
      <w:lvlJc w:val="left"/>
      <w:pPr>
        <w:tabs>
          <w:tab w:val="num" w:pos="6240"/>
        </w:tabs>
        <w:ind w:left="6240" w:hanging="360"/>
      </w:pPr>
    </w:lvl>
    <w:lvl w:ilvl="7">
      <w:start w:val="1"/>
      <w:numFmt w:val="decimal"/>
      <w:lvlText w:val="%8."/>
      <w:lvlJc w:val="left"/>
      <w:pPr>
        <w:tabs>
          <w:tab w:val="num" w:pos="6960"/>
        </w:tabs>
        <w:ind w:left="6960" w:hanging="360"/>
      </w:pPr>
    </w:lvl>
    <w:lvl w:ilvl="8">
      <w:start w:val="1"/>
      <w:numFmt w:val="decimal"/>
      <w:lvlText w:val="%9."/>
      <w:lvlJc w:val="left"/>
      <w:pPr>
        <w:tabs>
          <w:tab w:val="num" w:pos="7680"/>
        </w:tabs>
        <w:ind w:left="7680" w:hanging="360"/>
      </w:pPr>
    </w:lvl>
  </w:abstractNum>
  <w:abstractNum w:abstractNumId="15" w15:restartNumberingAfterBreak="0">
    <w:nsid w:val="3F75357B"/>
    <w:multiLevelType w:val="hybridMultilevel"/>
    <w:tmpl w:val="C92066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04FC5"/>
    <w:multiLevelType w:val="hybridMultilevel"/>
    <w:tmpl w:val="4AF03964"/>
    <w:lvl w:ilvl="0" w:tplc="E41A4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94072C"/>
    <w:multiLevelType w:val="hybridMultilevel"/>
    <w:tmpl w:val="AA3A0BC6"/>
    <w:lvl w:ilvl="0" w:tplc="A14C5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3664BC"/>
    <w:multiLevelType w:val="hybridMultilevel"/>
    <w:tmpl w:val="3D928D08"/>
    <w:lvl w:ilvl="0" w:tplc="C09CA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7"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start w:val="1"/>
      <w:numFmt w:val="bullet"/>
      <w:lvlText w:val="o"/>
      <w:lvlJc w:val="left"/>
      <w:pPr>
        <w:ind w:left="1890" w:hanging="360"/>
      </w:pPr>
      <w:rPr>
        <w:rFonts w:ascii="Courier New" w:hAnsi="Courier New" w:cs="Courier New" w:hint="default"/>
      </w:rPr>
    </w:lvl>
    <w:lvl w:ilvl="2" w:tplc="20000005">
      <w:start w:val="1"/>
      <w:numFmt w:val="bullet"/>
      <w:lvlText w:val=""/>
      <w:lvlJc w:val="left"/>
      <w:pPr>
        <w:ind w:left="2610" w:hanging="360"/>
      </w:pPr>
      <w:rPr>
        <w:rFonts w:ascii="Wingdings" w:hAnsi="Wingdings" w:hint="default"/>
      </w:rPr>
    </w:lvl>
    <w:lvl w:ilvl="3" w:tplc="20000001">
      <w:start w:val="1"/>
      <w:numFmt w:val="bullet"/>
      <w:lvlText w:val=""/>
      <w:lvlJc w:val="left"/>
      <w:pPr>
        <w:ind w:left="3330" w:hanging="360"/>
      </w:pPr>
      <w:rPr>
        <w:rFonts w:ascii="Symbol" w:hAnsi="Symbol" w:hint="default"/>
      </w:rPr>
    </w:lvl>
    <w:lvl w:ilvl="4" w:tplc="20000003">
      <w:start w:val="1"/>
      <w:numFmt w:val="bullet"/>
      <w:lvlText w:val="o"/>
      <w:lvlJc w:val="left"/>
      <w:pPr>
        <w:ind w:left="4050" w:hanging="360"/>
      </w:pPr>
      <w:rPr>
        <w:rFonts w:ascii="Courier New" w:hAnsi="Courier New" w:cs="Courier New" w:hint="default"/>
      </w:rPr>
    </w:lvl>
    <w:lvl w:ilvl="5" w:tplc="20000005">
      <w:start w:val="1"/>
      <w:numFmt w:val="bullet"/>
      <w:lvlText w:val=""/>
      <w:lvlJc w:val="left"/>
      <w:pPr>
        <w:ind w:left="4770" w:hanging="360"/>
      </w:pPr>
      <w:rPr>
        <w:rFonts w:ascii="Wingdings" w:hAnsi="Wingdings" w:hint="default"/>
      </w:rPr>
    </w:lvl>
    <w:lvl w:ilvl="6" w:tplc="20000001">
      <w:start w:val="1"/>
      <w:numFmt w:val="bullet"/>
      <w:lvlText w:val=""/>
      <w:lvlJc w:val="left"/>
      <w:pPr>
        <w:ind w:left="5490" w:hanging="360"/>
      </w:pPr>
      <w:rPr>
        <w:rFonts w:ascii="Symbol" w:hAnsi="Symbol" w:hint="default"/>
      </w:rPr>
    </w:lvl>
    <w:lvl w:ilvl="7" w:tplc="20000003">
      <w:start w:val="1"/>
      <w:numFmt w:val="bullet"/>
      <w:lvlText w:val="o"/>
      <w:lvlJc w:val="left"/>
      <w:pPr>
        <w:ind w:left="6210" w:hanging="360"/>
      </w:pPr>
      <w:rPr>
        <w:rFonts w:ascii="Courier New" w:hAnsi="Courier New" w:cs="Courier New" w:hint="default"/>
      </w:rPr>
    </w:lvl>
    <w:lvl w:ilvl="8" w:tplc="20000005">
      <w:start w:val="1"/>
      <w:numFmt w:val="bullet"/>
      <w:lvlText w:val=""/>
      <w:lvlJc w:val="left"/>
      <w:pPr>
        <w:ind w:left="6930" w:hanging="360"/>
      </w:pPr>
      <w:rPr>
        <w:rFonts w:ascii="Wingdings" w:hAnsi="Wingdings" w:hint="default"/>
      </w:rPr>
    </w:lvl>
  </w:abstractNum>
  <w:abstractNum w:abstractNumId="29" w15:restartNumberingAfterBreak="0">
    <w:nsid w:val="60206E39"/>
    <w:multiLevelType w:val="hybridMultilevel"/>
    <w:tmpl w:val="7DD02EC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0"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714F3D2D"/>
    <w:multiLevelType w:val="hybridMultilevel"/>
    <w:tmpl w:val="719E2DB0"/>
    <w:lvl w:ilvl="0" w:tplc="2360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91D95"/>
    <w:multiLevelType w:val="hybridMultilevel"/>
    <w:tmpl w:val="C29C8524"/>
    <w:lvl w:ilvl="0" w:tplc="8FD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B1538"/>
    <w:multiLevelType w:val="hybridMultilevel"/>
    <w:tmpl w:val="A6CED2BE"/>
    <w:lvl w:ilvl="0" w:tplc="035E7C30">
      <w:numFmt w:val="bullet"/>
      <w:lvlText w:val="-"/>
      <w:lvlJc w:val="left"/>
      <w:pPr>
        <w:ind w:left="733" w:hanging="360"/>
      </w:pPr>
      <w:rPr>
        <w:rFonts w:ascii="Arial" w:eastAsiaTheme="minorHAnsi" w:hAnsi="Arial" w:cs="Aria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CF793E"/>
    <w:multiLevelType w:val="hybridMultilevel"/>
    <w:tmpl w:val="354AC3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9261A"/>
    <w:multiLevelType w:val="hybridMultilevel"/>
    <w:tmpl w:val="1C7E563A"/>
    <w:lvl w:ilvl="0" w:tplc="438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31484852">
    <w:abstractNumId w:val="26"/>
  </w:num>
  <w:num w:numId="2" w16cid:durableId="1313481509">
    <w:abstractNumId w:val="19"/>
  </w:num>
  <w:num w:numId="3" w16cid:durableId="885605972">
    <w:abstractNumId w:val="35"/>
  </w:num>
  <w:num w:numId="4" w16cid:durableId="1258370457">
    <w:abstractNumId w:val="18"/>
  </w:num>
  <w:num w:numId="5" w16cid:durableId="2012368681">
    <w:abstractNumId w:val="12"/>
  </w:num>
  <w:num w:numId="6" w16cid:durableId="1885866879">
    <w:abstractNumId w:val="9"/>
  </w:num>
  <w:num w:numId="7" w16cid:durableId="539320069">
    <w:abstractNumId w:val="30"/>
  </w:num>
  <w:num w:numId="8" w16cid:durableId="471486882">
    <w:abstractNumId w:val="24"/>
  </w:num>
  <w:num w:numId="9" w16cid:durableId="873152371">
    <w:abstractNumId w:val="17"/>
  </w:num>
  <w:num w:numId="10" w16cid:durableId="705957670">
    <w:abstractNumId w:val="10"/>
  </w:num>
  <w:num w:numId="11" w16cid:durableId="584725508">
    <w:abstractNumId w:val="1"/>
  </w:num>
  <w:num w:numId="12" w16cid:durableId="2008287092">
    <w:abstractNumId w:val="7"/>
  </w:num>
  <w:num w:numId="13" w16cid:durableId="1422221916">
    <w:abstractNumId w:val="31"/>
  </w:num>
  <w:num w:numId="14" w16cid:durableId="495343028">
    <w:abstractNumId w:val="21"/>
  </w:num>
  <w:num w:numId="15" w16cid:durableId="452209376">
    <w:abstractNumId w:val="23"/>
  </w:num>
  <w:num w:numId="16" w16cid:durableId="1117917939">
    <w:abstractNumId w:val="8"/>
  </w:num>
  <w:num w:numId="17" w16cid:durableId="965351532">
    <w:abstractNumId w:val="11"/>
  </w:num>
  <w:num w:numId="18" w16cid:durableId="2026515111">
    <w:abstractNumId w:val="4"/>
  </w:num>
  <w:num w:numId="19" w16cid:durableId="136993857">
    <w:abstractNumId w:val="0"/>
  </w:num>
  <w:num w:numId="20" w16cid:durableId="1701779649">
    <w:abstractNumId w:val="5"/>
  </w:num>
  <w:num w:numId="21" w16cid:durableId="1621497506">
    <w:abstractNumId w:val="32"/>
  </w:num>
  <w:num w:numId="22" w16cid:durableId="170681339">
    <w:abstractNumId w:val="3"/>
  </w:num>
  <w:num w:numId="23" w16cid:durableId="1420953661">
    <w:abstractNumId w:val="16"/>
  </w:num>
  <w:num w:numId="24" w16cid:durableId="2029788508">
    <w:abstractNumId w:val="2"/>
  </w:num>
  <w:num w:numId="25" w16cid:durableId="2018382473">
    <w:abstractNumId w:val="37"/>
  </w:num>
  <w:num w:numId="26" w16cid:durableId="362173329">
    <w:abstractNumId w:val="33"/>
  </w:num>
  <w:num w:numId="27" w16cid:durableId="530844415">
    <w:abstractNumId w:val="20"/>
  </w:num>
  <w:num w:numId="28" w16cid:durableId="320043097">
    <w:abstractNumId w:val="15"/>
  </w:num>
  <w:num w:numId="29" w16cid:durableId="425004135">
    <w:abstractNumId w:val="36"/>
  </w:num>
  <w:num w:numId="30" w16cid:durableId="1117601696">
    <w:abstractNumId w:val="13"/>
  </w:num>
  <w:num w:numId="31" w16cid:durableId="771894967">
    <w:abstractNumId w:val="34"/>
  </w:num>
  <w:num w:numId="32" w16cid:durableId="899638237">
    <w:abstractNumId w:val="25"/>
  </w:num>
  <w:num w:numId="33" w16cid:durableId="958684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376602">
    <w:abstractNumId w:val="28"/>
  </w:num>
  <w:num w:numId="35" w16cid:durableId="607661802">
    <w:abstractNumId w:val="27"/>
  </w:num>
  <w:num w:numId="36" w16cid:durableId="1133213697">
    <w:abstractNumId w:val="6"/>
  </w:num>
  <w:num w:numId="37" w16cid:durableId="1595475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7495481">
    <w:abstractNumId w:val="29"/>
  </w:num>
  <w:num w:numId="39" w16cid:durableId="9976546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MDU1NDYyMzE1NbBU0lEKTi0uzszPAykwqgUAK4TeNSwAAAA="/>
  </w:docVars>
  <w:rsids>
    <w:rsidRoot w:val="008562CA"/>
    <w:rsid w:val="000009A8"/>
    <w:rsid w:val="00034F7E"/>
    <w:rsid w:val="00045769"/>
    <w:rsid w:val="0005160C"/>
    <w:rsid w:val="00051664"/>
    <w:rsid w:val="00063003"/>
    <w:rsid w:val="000711E9"/>
    <w:rsid w:val="000717E8"/>
    <w:rsid w:val="00082E98"/>
    <w:rsid w:val="000844C6"/>
    <w:rsid w:val="00095251"/>
    <w:rsid w:val="000A2759"/>
    <w:rsid w:val="000A366E"/>
    <w:rsid w:val="000A52F9"/>
    <w:rsid w:val="000A749C"/>
    <w:rsid w:val="000B4967"/>
    <w:rsid w:val="000C2262"/>
    <w:rsid w:val="000D143B"/>
    <w:rsid w:val="000D1AEE"/>
    <w:rsid w:val="000D7986"/>
    <w:rsid w:val="000E5605"/>
    <w:rsid w:val="000E5F21"/>
    <w:rsid w:val="000E6584"/>
    <w:rsid w:val="000E71A5"/>
    <w:rsid w:val="000F11A9"/>
    <w:rsid w:val="000F4744"/>
    <w:rsid w:val="00104DE3"/>
    <w:rsid w:val="00114805"/>
    <w:rsid w:val="001176C5"/>
    <w:rsid w:val="00130BD6"/>
    <w:rsid w:val="0013699B"/>
    <w:rsid w:val="00140BAE"/>
    <w:rsid w:val="00141787"/>
    <w:rsid w:val="0014334C"/>
    <w:rsid w:val="001512B8"/>
    <w:rsid w:val="00154B25"/>
    <w:rsid w:val="001603B5"/>
    <w:rsid w:val="001609D0"/>
    <w:rsid w:val="00162F6D"/>
    <w:rsid w:val="00182754"/>
    <w:rsid w:val="001829E6"/>
    <w:rsid w:val="00183091"/>
    <w:rsid w:val="00187680"/>
    <w:rsid w:val="00194A9D"/>
    <w:rsid w:val="001B12B6"/>
    <w:rsid w:val="001B3E07"/>
    <w:rsid w:val="001B7C41"/>
    <w:rsid w:val="001C5A34"/>
    <w:rsid w:val="001D6539"/>
    <w:rsid w:val="001D6B3A"/>
    <w:rsid w:val="001E6601"/>
    <w:rsid w:val="001F56E8"/>
    <w:rsid w:val="002020FE"/>
    <w:rsid w:val="00224964"/>
    <w:rsid w:val="00226F07"/>
    <w:rsid w:val="00233EEB"/>
    <w:rsid w:val="00235096"/>
    <w:rsid w:val="00240C01"/>
    <w:rsid w:val="002431F7"/>
    <w:rsid w:val="00251C24"/>
    <w:rsid w:val="00256168"/>
    <w:rsid w:val="002721A0"/>
    <w:rsid w:val="00275102"/>
    <w:rsid w:val="002812E2"/>
    <w:rsid w:val="0029086A"/>
    <w:rsid w:val="00291619"/>
    <w:rsid w:val="0029218E"/>
    <w:rsid w:val="00293935"/>
    <w:rsid w:val="002A18E3"/>
    <w:rsid w:val="002A6860"/>
    <w:rsid w:val="002B0181"/>
    <w:rsid w:val="002C20BF"/>
    <w:rsid w:val="002E3D5F"/>
    <w:rsid w:val="002F0884"/>
    <w:rsid w:val="002F2584"/>
    <w:rsid w:val="002F3977"/>
    <w:rsid w:val="002F6F2C"/>
    <w:rsid w:val="00306964"/>
    <w:rsid w:val="0031319B"/>
    <w:rsid w:val="00325164"/>
    <w:rsid w:val="00333C17"/>
    <w:rsid w:val="00335945"/>
    <w:rsid w:val="00362711"/>
    <w:rsid w:val="003634B9"/>
    <w:rsid w:val="0037531F"/>
    <w:rsid w:val="0038081D"/>
    <w:rsid w:val="00390D58"/>
    <w:rsid w:val="003A7F9D"/>
    <w:rsid w:val="003B3206"/>
    <w:rsid w:val="003B342A"/>
    <w:rsid w:val="003C1A96"/>
    <w:rsid w:val="003D265B"/>
    <w:rsid w:val="003D5981"/>
    <w:rsid w:val="003D69AB"/>
    <w:rsid w:val="003D7753"/>
    <w:rsid w:val="003E387C"/>
    <w:rsid w:val="003E4770"/>
    <w:rsid w:val="003F1E76"/>
    <w:rsid w:val="003F6C18"/>
    <w:rsid w:val="00414952"/>
    <w:rsid w:val="0041794F"/>
    <w:rsid w:val="004367AD"/>
    <w:rsid w:val="00440D8A"/>
    <w:rsid w:val="00441684"/>
    <w:rsid w:val="00441D94"/>
    <w:rsid w:val="00467366"/>
    <w:rsid w:val="00472D3E"/>
    <w:rsid w:val="00473B90"/>
    <w:rsid w:val="00483634"/>
    <w:rsid w:val="00490FF8"/>
    <w:rsid w:val="00491BF8"/>
    <w:rsid w:val="004A32A3"/>
    <w:rsid w:val="004A4DB6"/>
    <w:rsid w:val="004A792E"/>
    <w:rsid w:val="004B48C5"/>
    <w:rsid w:val="004B4DAF"/>
    <w:rsid w:val="004B4DDB"/>
    <w:rsid w:val="004C143D"/>
    <w:rsid w:val="004C65FE"/>
    <w:rsid w:val="004D776B"/>
    <w:rsid w:val="004D7813"/>
    <w:rsid w:val="004E07A1"/>
    <w:rsid w:val="004F08DB"/>
    <w:rsid w:val="005063D5"/>
    <w:rsid w:val="00507486"/>
    <w:rsid w:val="00511489"/>
    <w:rsid w:val="00512558"/>
    <w:rsid w:val="00516629"/>
    <w:rsid w:val="00523DE2"/>
    <w:rsid w:val="00524F12"/>
    <w:rsid w:val="00536F20"/>
    <w:rsid w:val="0054005D"/>
    <w:rsid w:val="00542F17"/>
    <w:rsid w:val="00551C9E"/>
    <w:rsid w:val="005576EE"/>
    <w:rsid w:val="00561A9D"/>
    <w:rsid w:val="0056357D"/>
    <w:rsid w:val="00564EEA"/>
    <w:rsid w:val="00572DC5"/>
    <w:rsid w:val="00574FB3"/>
    <w:rsid w:val="005763BC"/>
    <w:rsid w:val="005A055C"/>
    <w:rsid w:val="005A6EA3"/>
    <w:rsid w:val="005A7365"/>
    <w:rsid w:val="005B45C2"/>
    <w:rsid w:val="005C436B"/>
    <w:rsid w:val="005D00EE"/>
    <w:rsid w:val="005D10CD"/>
    <w:rsid w:val="005D1205"/>
    <w:rsid w:val="005D3AC9"/>
    <w:rsid w:val="005D5834"/>
    <w:rsid w:val="005D702D"/>
    <w:rsid w:val="005E0379"/>
    <w:rsid w:val="005E0E05"/>
    <w:rsid w:val="005E1A0D"/>
    <w:rsid w:val="005F5516"/>
    <w:rsid w:val="005F7CEF"/>
    <w:rsid w:val="006013DC"/>
    <w:rsid w:val="00603283"/>
    <w:rsid w:val="00613EA7"/>
    <w:rsid w:val="0061662E"/>
    <w:rsid w:val="0062114B"/>
    <w:rsid w:val="006227EB"/>
    <w:rsid w:val="00623B77"/>
    <w:rsid w:val="006252E0"/>
    <w:rsid w:val="0063388A"/>
    <w:rsid w:val="00640E5F"/>
    <w:rsid w:val="00652B20"/>
    <w:rsid w:val="006612A1"/>
    <w:rsid w:val="00664585"/>
    <w:rsid w:val="006664C8"/>
    <w:rsid w:val="006A27EE"/>
    <w:rsid w:val="006B0385"/>
    <w:rsid w:val="006B6483"/>
    <w:rsid w:val="006B7488"/>
    <w:rsid w:val="006C3A6A"/>
    <w:rsid w:val="006C465C"/>
    <w:rsid w:val="006D14C2"/>
    <w:rsid w:val="006D45FE"/>
    <w:rsid w:val="006D561E"/>
    <w:rsid w:val="006D7D48"/>
    <w:rsid w:val="006F26E4"/>
    <w:rsid w:val="006F4D60"/>
    <w:rsid w:val="007123B1"/>
    <w:rsid w:val="0071489E"/>
    <w:rsid w:val="0071781C"/>
    <w:rsid w:val="00722AE5"/>
    <w:rsid w:val="00726CD8"/>
    <w:rsid w:val="00732125"/>
    <w:rsid w:val="007537E2"/>
    <w:rsid w:val="00753C6C"/>
    <w:rsid w:val="00756B6F"/>
    <w:rsid w:val="00763277"/>
    <w:rsid w:val="0076503F"/>
    <w:rsid w:val="007656F0"/>
    <w:rsid w:val="00777760"/>
    <w:rsid w:val="00785A26"/>
    <w:rsid w:val="0079596E"/>
    <w:rsid w:val="007A0197"/>
    <w:rsid w:val="007B299E"/>
    <w:rsid w:val="007C1CC7"/>
    <w:rsid w:val="007E238D"/>
    <w:rsid w:val="007E4830"/>
    <w:rsid w:val="007F6050"/>
    <w:rsid w:val="007F6EBD"/>
    <w:rsid w:val="00805499"/>
    <w:rsid w:val="00811E4E"/>
    <w:rsid w:val="00822E98"/>
    <w:rsid w:val="00832425"/>
    <w:rsid w:val="00834C63"/>
    <w:rsid w:val="00835D8A"/>
    <w:rsid w:val="00837CF0"/>
    <w:rsid w:val="00843091"/>
    <w:rsid w:val="00843FA4"/>
    <w:rsid w:val="00844F23"/>
    <w:rsid w:val="00846899"/>
    <w:rsid w:val="008562CA"/>
    <w:rsid w:val="00890961"/>
    <w:rsid w:val="00892037"/>
    <w:rsid w:val="00894038"/>
    <w:rsid w:val="008A3F70"/>
    <w:rsid w:val="008C17DA"/>
    <w:rsid w:val="008D119D"/>
    <w:rsid w:val="008D4A87"/>
    <w:rsid w:val="008D7252"/>
    <w:rsid w:val="008F549A"/>
    <w:rsid w:val="008F5E80"/>
    <w:rsid w:val="0091668C"/>
    <w:rsid w:val="009255EF"/>
    <w:rsid w:val="0092711D"/>
    <w:rsid w:val="00936D3B"/>
    <w:rsid w:val="00936EFB"/>
    <w:rsid w:val="009425C6"/>
    <w:rsid w:val="00946087"/>
    <w:rsid w:val="00965DC3"/>
    <w:rsid w:val="00966666"/>
    <w:rsid w:val="009706DD"/>
    <w:rsid w:val="009709D5"/>
    <w:rsid w:val="00973073"/>
    <w:rsid w:val="0099055C"/>
    <w:rsid w:val="00996100"/>
    <w:rsid w:val="009A012D"/>
    <w:rsid w:val="009A0DD0"/>
    <w:rsid w:val="009A40F8"/>
    <w:rsid w:val="009B3889"/>
    <w:rsid w:val="009C19C3"/>
    <w:rsid w:val="009D0D98"/>
    <w:rsid w:val="009D460B"/>
    <w:rsid w:val="009E0132"/>
    <w:rsid w:val="009F1160"/>
    <w:rsid w:val="009F415B"/>
    <w:rsid w:val="00A0008E"/>
    <w:rsid w:val="00A21B78"/>
    <w:rsid w:val="00A241A6"/>
    <w:rsid w:val="00A247ED"/>
    <w:rsid w:val="00A258AE"/>
    <w:rsid w:val="00A34A64"/>
    <w:rsid w:val="00A34F6A"/>
    <w:rsid w:val="00A3652A"/>
    <w:rsid w:val="00A40090"/>
    <w:rsid w:val="00A40CC0"/>
    <w:rsid w:val="00A45D73"/>
    <w:rsid w:val="00A51B0B"/>
    <w:rsid w:val="00A57B2F"/>
    <w:rsid w:val="00A64446"/>
    <w:rsid w:val="00A71E27"/>
    <w:rsid w:val="00A75F60"/>
    <w:rsid w:val="00A87F82"/>
    <w:rsid w:val="00A91EF7"/>
    <w:rsid w:val="00A925FF"/>
    <w:rsid w:val="00AA5F9F"/>
    <w:rsid w:val="00AB5B8A"/>
    <w:rsid w:val="00AB7979"/>
    <w:rsid w:val="00AD3482"/>
    <w:rsid w:val="00AD4009"/>
    <w:rsid w:val="00AE1B5A"/>
    <w:rsid w:val="00B03B84"/>
    <w:rsid w:val="00B10AFB"/>
    <w:rsid w:val="00B12446"/>
    <w:rsid w:val="00B14C30"/>
    <w:rsid w:val="00B202B0"/>
    <w:rsid w:val="00B215D7"/>
    <w:rsid w:val="00B41800"/>
    <w:rsid w:val="00B43FA1"/>
    <w:rsid w:val="00B511C4"/>
    <w:rsid w:val="00B543F5"/>
    <w:rsid w:val="00B6342C"/>
    <w:rsid w:val="00B75E68"/>
    <w:rsid w:val="00B80D4B"/>
    <w:rsid w:val="00B9023E"/>
    <w:rsid w:val="00B9094A"/>
    <w:rsid w:val="00B92569"/>
    <w:rsid w:val="00BA1B94"/>
    <w:rsid w:val="00BA4150"/>
    <w:rsid w:val="00BA72BA"/>
    <w:rsid w:val="00BB5DF7"/>
    <w:rsid w:val="00BC1615"/>
    <w:rsid w:val="00BC6622"/>
    <w:rsid w:val="00BD201B"/>
    <w:rsid w:val="00BD303D"/>
    <w:rsid w:val="00BD6590"/>
    <w:rsid w:val="00BE7C6B"/>
    <w:rsid w:val="00BF5532"/>
    <w:rsid w:val="00C03241"/>
    <w:rsid w:val="00C10035"/>
    <w:rsid w:val="00C33E36"/>
    <w:rsid w:val="00C37847"/>
    <w:rsid w:val="00C43D4B"/>
    <w:rsid w:val="00C46F5C"/>
    <w:rsid w:val="00C476E4"/>
    <w:rsid w:val="00C51531"/>
    <w:rsid w:val="00C515BD"/>
    <w:rsid w:val="00C53751"/>
    <w:rsid w:val="00C8207B"/>
    <w:rsid w:val="00C8785A"/>
    <w:rsid w:val="00C906B5"/>
    <w:rsid w:val="00CA0700"/>
    <w:rsid w:val="00CB1C28"/>
    <w:rsid w:val="00CB655F"/>
    <w:rsid w:val="00CC0A4C"/>
    <w:rsid w:val="00CC1CF4"/>
    <w:rsid w:val="00CC6094"/>
    <w:rsid w:val="00CC61AE"/>
    <w:rsid w:val="00CC6535"/>
    <w:rsid w:val="00CC6CC7"/>
    <w:rsid w:val="00CE4CEF"/>
    <w:rsid w:val="00CE681C"/>
    <w:rsid w:val="00CF4849"/>
    <w:rsid w:val="00D00E29"/>
    <w:rsid w:val="00D04B41"/>
    <w:rsid w:val="00D0633A"/>
    <w:rsid w:val="00D064AC"/>
    <w:rsid w:val="00D15371"/>
    <w:rsid w:val="00D2423C"/>
    <w:rsid w:val="00D3197C"/>
    <w:rsid w:val="00D40587"/>
    <w:rsid w:val="00D5791D"/>
    <w:rsid w:val="00D614EB"/>
    <w:rsid w:val="00D6646B"/>
    <w:rsid w:val="00D84C4B"/>
    <w:rsid w:val="00D93980"/>
    <w:rsid w:val="00D95871"/>
    <w:rsid w:val="00DA207A"/>
    <w:rsid w:val="00DB2F30"/>
    <w:rsid w:val="00DB36A4"/>
    <w:rsid w:val="00DB5F96"/>
    <w:rsid w:val="00DC7969"/>
    <w:rsid w:val="00DD4AEC"/>
    <w:rsid w:val="00DD4B3B"/>
    <w:rsid w:val="00DD5B36"/>
    <w:rsid w:val="00DE2A3E"/>
    <w:rsid w:val="00DE6C3B"/>
    <w:rsid w:val="00DF204B"/>
    <w:rsid w:val="00E023AF"/>
    <w:rsid w:val="00E04302"/>
    <w:rsid w:val="00E120FA"/>
    <w:rsid w:val="00E148BF"/>
    <w:rsid w:val="00E14E16"/>
    <w:rsid w:val="00E223AB"/>
    <w:rsid w:val="00E33873"/>
    <w:rsid w:val="00E37EF2"/>
    <w:rsid w:val="00E4288C"/>
    <w:rsid w:val="00E43E25"/>
    <w:rsid w:val="00E45216"/>
    <w:rsid w:val="00E519B5"/>
    <w:rsid w:val="00E57E0F"/>
    <w:rsid w:val="00E73E2C"/>
    <w:rsid w:val="00E82D6E"/>
    <w:rsid w:val="00E82DC0"/>
    <w:rsid w:val="00EA27EC"/>
    <w:rsid w:val="00EB09A6"/>
    <w:rsid w:val="00ED4178"/>
    <w:rsid w:val="00ED539B"/>
    <w:rsid w:val="00ED7795"/>
    <w:rsid w:val="00EE25FB"/>
    <w:rsid w:val="00EE31DD"/>
    <w:rsid w:val="00EF3C94"/>
    <w:rsid w:val="00EF68AF"/>
    <w:rsid w:val="00F01E83"/>
    <w:rsid w:val="00F05C0B"/>
    <w:rsid w:val="00F06935"/>
    <w:rsid w:val="00F1726E"/>
    <w:rsid w:val="00F17A42"/>
    <w:rsid w:val="00F359F0"/>
    <w:rsid w:val="00F36EFC"/>
    <w:rsid w:val="00F408DE"/>
    <w:rsid w:val="00F4206A"/>
    <w:rsid w:val="00F51EC0"/>
    <w:rsid w:val="00F8513F"/>
    <w:rsid w:val="00F86C43"/>
    <w:rsid w:val="00F941E9"/>
    <w:rsid w:val="00F95197"/>
    <w:rsid w:val="00F96C4E"/>
    <w:rsid w:val="00FA2441"/>
    <w:rsid w:val="00FA28E4"/>
    <w:rsid w:val="00FA42BC"/>
    <w:rsid w:val="00FC641D"/>
    <w:rsid w:val="00FD719E"/>
    <w:rsid w:val="00FD79E3"/>
    <w:rsid w:val="00FF3132"/>
    <w:rsid w:val="00FF5C9F"/>
    <w:rsid w:val="00FF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semiHidden/>
    <w:unhideWhenUsed/>
    <w:qFormat/>
    <w:rsid w:val="000A749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character" w:customStyle="1" w:styleId="Heading3Char">
    <w:name w:val="Heading 3 Char"/>
    <w:basedOn w:val="DefaultParagraphFont"/>
    <w:link w:val="Heading3"/>
    <w:uiPriority w:val="9"/>
    <w:semiHidden/>
    <w:rsid w:val="000A749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C65FE"/>
    <w:rPr>
      <w:color w:val="954F72" w:themeColor="followedHyperlink"/>
      <w:u w:val="single"/>
    </w:rPr>
  </w:style>
  <w:style w:type="paragraph" w:styleId="NormalWeb">
    <w:name w:val="Normal (Web)"/>
    <w:basedOn w:val="Normal"/>
    <w:uiPriority w:val="99"/>
    <w:semiHidden/>
    <w:unhideWhenUsed/>
    <w:rsid w:val="00F51EC0"/>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4005D"/>
    <w:rPr>
      <w:rFonts w:ascii="Arial" w:hAnsi="Arial"/>
      <w:lang w:val="en-GB"/>
    </w:rPr>
  </w:style>
  <w:style w:type="character" w:styleId="CommentReference">
    <w:name w:val="annotation reference"/>
    <w:basedOn w:val="DefaultParagraphFont"/>
    <w:uiPriority w:val="99"/>
    <w:semiHidden/>
    <w:unhideWhenUsed/>
    <w:rsid w:val="0054005D"/>
    <w:rPr>
      <w:sz w:val="16"/>
      <w:szCs w:val="16"/>
    </w:rPr>
  </w:style>
  <w:style w:type="paragraph" w:styleId="CommentText">
    <w:name w:val="annotation text"/>
    <w:basedOn w:val="Normal"/>
    <w:link w:val="CommentTextChar"/>
    <w:uiPriority w:val="99"/>
    <w:unhideWhenUsed/>
    <w:rsid w:val="0054005D"/>
    <w:rPr>
      <w:sz w:val="20"/>
      <w:szCs w:val="20"/>
    </w:rPr>
  </w:style>
  <w:style w:type="character" w:customStyle="1" w:styleId="CommentTextChar">
    <w:name w:val="Comment Text Char"/>
    <w:basedOn w:val="DefaultParagraphFont"/>
    <w:link w:val="CommentText"/>
    <w:uiPriority w:val="99"/>
    <w:rsid w:val="0054005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4005D"/>
    <w:rPr>
      <w:b/>
      <w:bCs/>
    </w:rPr>
  </w:style>
  <w:style w:type="character" w:customStyle="1" w:styleId="CommentSubjectChar">
    <w:name w:val="Comment Subject Char"/>
    <w:basedOn w:val="CommentTextChar"/>
    <w:link w:val="CommentSubject"/>
    <w:uiPriority w:val="99"/>
    <w:semiHidden/>
    <w:rsid w:val="0054005D"/>
    <w:rPr>
      <w:rFonts w:ascii="Arial" w:hAnsi="Arial"/>
      <w:b/>
      <w:bCs/>
      <w:sz w:val="20"/>
      <w:szCs w:val="20"/>
      <w:lang w:val="en-GB"/>
    </w:rPr>
  </w:style>
  <w:style w:type="character" w:styleId="UnresolvedMention">
    <w:name w:val="Unresolved Mention"/>
    <w:basedOn w:val="DefaultParagraphFont"/>
    <w:uiPriority w:val="99"/>
    <w:semiHidden/>
    <w:unhideWhenUsed/>
    <w:rsid w:val="00EF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270">
      <w:bodyDiv w:val="1"/>
      <w:marLeft w:val="0"/>
      <w:marRight w:val="0"/>
      <w:marTop w:val="0"/>
      <w:marBottom w:val="0"/>
      <w:divBdr>
        <w:top w:val="none" w:sz="0" w:space="0" w:color="auto"/>
        <w:left w:val="none" w:sz="0" w:space="0" w:color="auto"/>
        <w:bottom w:val="none" w:sz="0" w:space="0" w:color="auto"/>
        <w:right w:val="none" w:sz="0" w:space="0" w:color="auto"/>
      </w:divBdr>
    </w:div>
    <w:div w:id="133182243">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560092445">
      <w:bodyDiv w:val="1"/>
      <w:marLeft w:val="0"/>
      <w:marRight w:val="0"/>
      <w:marTop w:val="0"/>
      <w:marBottom w:val="0"/>
      <w:divBdr>
        <w:top w:val="none" w:sz="0" w:space="0" w:color="auto"/>
        <w:left w:val="none" w:sz="0" w:space="0" w:color="auto"/>
        <w:bottom w:val="none" w:sz="0" w:space="0" w:color="auto"/>
        <w:right w:val="none" w:sz="0" w:space="0" w:color="auto"/>
      </w:divBdr>
    </w:div>
    <w:div w:id="702750475">
      <w:bodyDiv w:val="1"/>
      <w:marLeft w:val="0"/>
      <w:marRight w:val="0"/>
      <w:marTop w:val="0"/>
      <w:marBottom w:val="0"/>
      <w:divBdr>
        <w:top w:val="none" w:sz="0" w:space="0" w:color="auto"/>
        <w:left w:val="none" w:sz="0" w:space="0" w:color="auto"/>
        <w:bottom w:val="none" w:sz="0" w:space="0" w:color="auto"/>
        <w:right w:val="none" w:sz="0" w:space="0" w:color="auto"/>
      </w:divBdr>
    </w:div>
    <w:div w:id="740255064">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2082481182">
      <w:bodyDiv w:val="1"/>
      <w:marLeft w:val="0"/>
      <w:marRight w:val="0"/>
      <w:marTop w:val="0"/>
      <w:marBottom w:val="0"/>
      <w:divBdr>
        <w:top w:val="none" w:sz="0" w:space="0" w:color="auto"/>
        <w:left w:val="none" w:sz="0" w:space="0" w:color="auto"/>
        <w:bottom w:val="none" w:sz="0" w:space="0" w:color="auto"/>
        <w:right w:val="none" w:sz="0" w:space="0" w:color="auto"/>
      </w:divBdr>
    </w:div>
    <w:div w:id="2147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es/news/2024024-convocatoria-de-apoyo-al-programa-de-trabajo-para-el-periodo-entre-sesiones-entre-la" TargetMode="External"/><Relationship Id="rId18" Type="http://schemas.openxmlformats.org/officeDocument/2006/relationships/hyperlink" Target="https://www.cbd.int/documents/CBD/COP/16/6/ADD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ms.int/sites/default/files/document/cms_cop14_doc.13.3_resource-mobilization_s.pdf" TargetMode="External"/><Relationship Id="rId17" Type="http://schemas.openxmlformats.org/officeDocument/2006/relationships/hyperlink" Target="https://www.cbd.int/documents/CBD/COP/16/6/REV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meeting/seventh-meeting-convention-conservation-migratory-species-wild-animals-cms-energy-task-for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cms-programme-work-2024-2026"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ms.int/es/news/2024014-oficial-profesional-subalterno" TargetMode="External"/><Relationship Id="rId23" Type="http://schemas.openxmlformats.org/officeDocument/2006/relationships/footer" Target="footer2.xml"/><Relationship Id="rId10" Type="http://schemas.openxmlformats.org/officeDocument/2006/relationships/hyperlink" Target="https://www.cms.int/en/document/financial-and-administrative-matters-15" TargetMode="External"/><Relationship Id="rId19" Type="http://schemas.openxmlformats.org/officeDocument/2006/relationships/hyperlink" Target="https://www.cbd.int/documents/CBD/COP/16/L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en/document/financial-and-administrative-matters-15"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EB4AF-F9A8-4FA3-9174-B512FF96DDFA}">
  <ds:schemaRefs>
    <ds:schemaRef ds:uri="http://www.w3.org/XML/1998/namespace"/>
    <ds:schemaRef ds:uri="http://schemas.microsoft.com/office/2006/documentManagement/types"/>
    <ds:schemaRef ds:uri="http://purl.org/dc/dcmitype/"/>
    <ds:schemaRef ds:uri="http://schemas.openxmlformats.org/package/2006/metadata/core-properties"/>
    <ds:schemaRef ds:uri="c15478a5-0be8-4f5d-8383-b307d5ba8bf6"/>
    <ds:schemaRef ds:uri="a7b50396-0b06-45c1-b28e-46f86d566a10"/>
    <ds:schemaRef ds:uri="985ec44e-1bab-4c0b-9df0-6ba128686fc9"/>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A827CC9-6801-44F2-B3F1-9EF4F892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2D012-261F-46C2-A929-6557EB55F8D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68</TotalTime>
  <Pages>7</Pages>
  <Words>2854</Words>
  <Characters>15750</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39</cp:revision>
  <cp:lastPrinted>2019-12-06T20:21:00Z</cp:lastPrinted>
  <dcterms:created xsi:type="dcterms:W3CDTF">2025-01-30T09:55:00Z</dcterms:created>
  <dcterms:modified xsi:type="dcterms:W3CDTF">2025-02-12T13:43:00Z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