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874E" w14:textId="77777777" w:rsidR="004B74B3" w:rsidRDefault="004B74B3">
      <w:pPr>
        <w:rPr>
          <w:rFonts w:cs="Arial"/>
          <w:lang w:val="fr-FR"/>
        </w:rPr>
      </w:pPr>
    </w:p>
    <w:p w14:paraId="40BF5546" w14:textId="77777777" w:rsidR="00F2251D" w:rsidRPr="00E976CE" w:rsidRDefault="00F2251D" w:rsidP="00F2251D">
      <w:pPr>
        <w:jc w:val="center"/>
        <w:rPr>
          <w:b/>
          <w:sz w:val="28"/>
          <w:szCs w:val="28"/>
          <w:lang w:val="fr-FR"/>
        </w:rPr>
      </w:pPr>
      <w:r>
        <w:rPr>
          <w:b/>
          <w:sz w:val="28"/>
          <w:szCs w:val="28"/>
          <w:lang w:val="fr-FR"/>
        </w:rPr>
        <w:t>56</w:t>
      </w:r>
      <w:r w:rsidRPr="00E976CE">
        <w:rPr>
          <w:b/>
          <w:sz w:val="28"/>
          <w:szCs w:val="28"/>
          <w:vertAlign w:val="superscript"/>
          <w:lang w:val="fr-FR"/>
        </w:rPr>
        <w:t>e</w:t>
      </w:r>
      <w:r w:rsidRPr="00E976CE">
        <w:rPr>
          <w:b/>
          <w:sz w:val="28"/>
          <w:szCs w:val="28"/>
          <w:lang w:val="fr-FR"/>
        </w:rPr>
        <w:t xml:space="preserve"> Réunion du Comité permanent</w:t>
      </w:r>
    </w:p>
    <w:p w14:paraId="07373FB1" w14:textId="77777777" w:rsidR="00F2251D" w:rsidRPr="00A21D9D" w:rsidRDefault="00F2251D" w:rsidP="00F2251D">
      <w:pPr>
        <w:pBdr>
          <w:bottom w:val="single" w:sz="4" w:space="1" w:color="auto"/>
        </w:pBdr>
        <w:spacing w:before="120" w:after="120"/>
        <w:jc w:val="center"/>
        <w:rPr>
          <w:i/>
          <w:iCs/>
          <w:lang w:val="fr-FR"/>
        </w:rPr>
      </w:pPr>
      <w:r w:rsidRPr="00A21D9D">
        <w:rPr>
          <w:i/>
          <w:iCs/>
          <w:lang w:val="fr-FR"/>
        </w:rPr>
        <w:t xml:space="preserve">Bonn, Allemagne, 25 </w:t>
      </w:r>
      <w:r>
        <w:rPr>
          <w:i/>
          <w:iCs/>
          <w:lang w:val="fr-FR"/>
        </w:rPr>
        <w:t xml:space="preserve">- </w:t>
      </w:r>
      <w:r w:rsidRPr="00A21D9D">
        <w:rPr>
          <w:i/>
          <w:iCs/>
          <w:lang w:val="fr-FR"/>
        </w:rPr>
        <w:t>27 mars 2025</w:t>
      </w:r>
    </w:p>
    <w:p w14:paraId="6D9313EF" w14:textId="5CD84666" w:rsidR="00F2251D" w:rsidRPr="0097409C" w:rsidRDefault="00F2251D" w:rsidP="00F2251D">
      <w:pPr>
        <w:spacing w:before="80"/>
        <w:jc w:val="right"/>
        <w:rPr>
          <w:lang w:val="fr-FR"/>
        </w:rPr>
      </w:pPr>
      <w:bookmarkStart w:id="0" w:name="_Hlk76137872"/>
      <w:r w:rsidRPr="0097409C">
        <w:rPr>
          <w:lang w:val="fr-FR"/>
        </w:rPr>
        <w:t>UNEP/CMS/StC</w:t>
      </w:r>
      <w:r>
        <w:rPr>
          <w:lang w:val="fr-FR"/>
        </w:rPr>
        <w:t>56</w:t>
      </w:r>
      <w:r w:rsidRPr="0097409C">
        <w:rPr>
          <w:lang w:val="fr-FR"/>
        </w:rPr>
        <w:t>/Doc.</w:t>
      </w:r>
      <w:r>
        <w:rPr>
          <w:lang w:val="fr-FR"/>
        </w:rPr>
        <w:t>10.2</w:t>
      </w:r>
    </w:p>
    <w:bookmarkEnd w:id="0"/>
    <w:p w14:paraId="7E24C089" w14:textId="77777777" w:rsidR="004B74B3" w:rsidRDefault="004B74B3">
      <w:pPr>
        <w:rPr>
          <w:rFonts w:cs="Arial"/>
          <w:spacing w:val="-2"/>
          <w:lang w:val="fr-FR" w:eastAsia="en-GB"/>
        </w:rPr>
      </w:pPr>
    </w:p>
    <w:p w14:paraId="62FB4353" w14:textId="77777777" w:rsidR="004B74B3" w:rsidRDefault="004B74B3">
      <w:pPr>
        <w:jc w:val="both"/>
        <w:rPr>
          <w:lang w:val="fr-FR"/>
        </w:rPr>
      </w:pPr>
    </w:p>
    <w:p w14:paraId="5C52B538" w14:textId="6CF7C5C3" w:rsidR="004B74B3" w:rsidRDefault="00816D6D">
      <w:pPr>
        <w:spacing w:after="120"/>
        <w:jc w:val="center"/>
        <w:rPr>
          <w:b/>
          <w:lang w:val="fr-FR"/>
        </w:rPr>
      </w:pPr>
      <w:r>
        <w:rPr>
          <w:b/>
          <w:lang w:val="fr-FR"/>
        </w:rPr>
        <w:t>MOBILISATION DES RESSOURCES</w:t>
      </w:r>
    </w:p>
    <w:p w14:paraId="6BFF1F06" w14:textId="152C82CE" w:rsidR="004B74B3" w:rsidRDefault="00816D6D">
      <w:pPr>
        <w:jc w:val="center"/>
        <w:rPr>
          <w:i/>
          <w:lang w:val="fr-FR"/>
        </w:rPr>
      </w:pPr>
      <w:r>
        <w:rPr>
          <w:i/>
          <w:lang w:val="fr-FR"/>
        </w:rPr>
        <w:t>(En date d</w:t>
      </w:r>
      <w:r w:rsidR="00CB2CFB">
        <w:rPr>
          <w:i/>
          <w:lang w:val="fr-FR"/>
        </w:rPr>
        <w:t>u 12 février</w:t>
      </w:r>
      <w:r>
        <w:rPr>
          <w:i/>
          <w:lang w:val="fr-FR"/>
        </w:rPr>
        <w:t xml:space="preserve"> 2025 / Préparé par le Secrétariat)</w:t>
      </w:r>
    </w:p>
    <w:p w14:paraId="355628C9" w14:textId="77777777" w:rsidR="004B74B3" w:rsidRDefault="004B74B3">
      <w:pPr>
        <w:suppressAutoHyphens/>
        <w:rPr>
          <w:rFonts w:eastAsia="Times New Roman" w:cs="Arial"/>
          <w:color w:val="000000"/>
          <w:kern w:val="2"/>
          <w:lang w:val="fr-FR"/>
        </w:rPr>
      </w:pPr>
    </w:p>
    <w:p w14:paraId="45676762" w14:textId="77777777" w:rsidR="004B74B3" w:rsidRDefault="004B74B3">
      <w:pPr>
        <w:suppressAutoHyphens/>
        <w:rPr>
          <w:rFonts w:eastAsia="Times New Roman" w:cs="Arial"/>
          <w:color w:val="000000"/>
          <w:kern w:val="2"/>
          <w:lang w:val="fr-FR"/>
        </w:rPr>
      </w:pPr>
    </w:p>
    <w:p w14:paraId="2AF5F591" w14:textId="77777777" w:rsidR="004B74B3" w:rsidRDefault="00816D6D">
      <w:pPr>
        <w:suppressAutoHyphens/>
        <w:rPr>
          <w:rFonts w:eastAsia="Times New Roman" w:cs="Arial"/>
          <w:color w:val="000000"/>
          <w:kern w:val="2"/>
          <w:lang w:val="fr-FR"/>
        </w:rPr>
      </w:pPr>
      <w:r>
        <w:rPr>
          <w:rFonts w:cs="Arial"/>
          <w:noProof/>
          <w:sz w:val="21"/>
          <w:szCs w:val="21"/>
          <w:lang w:val="en-US"/>
        </w:rPr>
        <mc:AlternateContent>
          <mc:Choice Requires="wps">
            <w:drawing>
              <wp:anchor distT="0" distB="0" distL="114300" distR="114300" simplePos="0" relativeHeight="251658240" behindDoc="0" locked="0" layoutInCell="1" allowOverlap="1" wp14:anchorId="5E6D4680" wp14:editId="2136948A">
                <wp:simplePos x="0" y="0"/>
                <wp:positionH relativeFrom="margin">
                  <wp:posOffset>908050</wp:posOffset>
                </wp:positionH>
                <wp:positionV relativeFrom="margin">
                  <wp:posOffset>2326640</wp:posOffset>
                </wp:positionV>
                <wp:extent cx="4410075" cy="2971800"/>
                <wp:effectExtent l="0" t="0" r="28575" b="1905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971800"/>
                        </a:xfrm>
                        <a:prstGeom prst="rect">
                          <a:avLst/>
                        </a:prstGeom>
                        <a:solidFill>
                          <a:srgbClr val="FFFFFF"/>
                        </a:solidFill>
                        <a:ln w="3175">
                          <a:solidFill>
                            <a:srgbClr val="000000"/>
                          </a:solidFill>
                          <a:miter lim="800000"/>
                          <a:headEnd/>
                          <a:tailEnd/>
                        </a:ln>
                      </wps:spPr>
                      <wps:txbx>
                        <w:txbxContent>
                          <w:p w14:paraId="0F911977" w14:textId="77777777" w:rsidR="004B74B3" w:rsidRDefault="00816D6D">
                            <w:pPr>
                              <w:rPr>
                                <w:rFonts w:cs="Arial"/>
                                <w:lang w:val="fr-FR"/>
                              </w:rPr>
                            </w:pPr>
                            <w:r>
                              <w:rPr>
                                <w:rFonts w:cs="Arial"/>
                                <w:lang w:val="fr-FR"/>
                              </w:rPr>
                              <w:t>Résumé</w:t>
                            </w:r>
                            <w:r w:rsidR="001F0CA5">
                              <w:rPr>
                                <w:rFonts w:cs="Arial"/>
                                <w:lang w:val="fr-FR"/>
                              </w:rPr>
                              <w:t> </w:t>
                            </w:r>
                            <w:r>
                              <w:rPr>
                                <w:rFonts w:cs="Arial"/>
                                <w:lang w:val="fr-FR"/>
                              </w:rPr>
                              <w:t>:</w:t>
                            </w:r>
                          </w:p>
                          <w:p w14:paraId="4C8A9E88" w14:textId="77777777" w:rsidR="004B74B3" w:rsidRDefault="004B74B3">
                            <w:pPr>
                              <w:rPr>
                                <w:rFonts w:cs="Arial"/>
                                <w:lang w:val="fr-FR"/>
                              </w:rPr>
                            </w:pPr>
                          </w:p>
                          <w:p w14:paraId="352A8DC9" w14:textId="72A90419" w:rsidR="004B74B3" w:rsidRDefault="00816D6D">
                            <w:pPr>
                              <w:jc w:val="both"/>
                              <w:rPr>
                                <w:rFonts w:cs="Arial"/>
                                <w:color w:val="000000"/>
                                <w:lang w:val="fr-FR"/>
                              </w:rPr>
                            </w:pPr>
                            <w:r>
                              <w:rPr>
                                <w:rFonts w:cs="Arial"/>
                                <w:color w:val="000000"/>
                                <w:lang w:val="fr-FR"/>
                              </w:rPr>
                              <w:t>Le présent document décrit l</w:t>
                            </w:r>
                            <w:r w:rsidR="001F0CA5">
                              <w:rPr>
                                <w:rFonts w:cs="Arial"/>
                                <w:color w:val="000000"/>
                                <w:lang w:val="fr-FR"/>
                              </w:rPr>
                              <w:t>’</w:t>
                            </w:r>
                            <w:r>
                              <w:rPr>
                                <w:rFonts w:cs="Arial"/>
                                <w:color w:val="000000"/>
                                <w:lang w:val="fr-FR"/>
                              </w:rPr>
                              <w:t>état des ressources, tant financières qu</w:t>
                            </w:r>
                            <w:r w:rsidR="001F0CA5">
                              <w:rPr>
                                <w:rFonts w:cs="Arial"/>
                                <w:color w:val="000000"/>
                                <w:lang w:val="fr-FR"/>
                              </w:rPr>
                              <w:t>’</w:t>
                            </w:r>
                            <w:r>
                              <w:rPr>
                                <w:rFonts w:cs="Arial"/>
                                <w:color w:val="000000"/>
                                <w:lang w:val="fr-FR"/>
                              </w:rPr>
                              <w:t>en nature, mobilisées depuis la 14e</w:t>
                            </w:r>
                            <w:r w:rsidR="001F0CA5">
                              <w:rPr>
                                <w:rFonts w:cs="Arial"/>
                                <w:color w:val="000000"/>
                                <w:lang w:val="fr-FR"/>
                              </w:rPr>
                              <w:t> </w:t>
                            </w:r>
                            <w:r>
                              <w:rPr>
                                <w:rFonts w:cs="Arial"/>
                                <w:color w:val="000000"/>
                                <w:lang w:val="fr-FR"/>
                              </w:rPr>
                              <w:t>session de la Conférence des Parties (COP14, 12-17 février 2024) et jusqu</w:t>
                            </w:r>
                            <w:r w:rsidR="001F0CA5">
                              <w:rPr>
                                <w:rFonts w:cs="Arial"/>
                                <w:color w:val="000000"/>
                                <w:lang w:val="fr-FR"/>
                              </w:rPr>
                              <w:t>’</w:t>
                            </w:r>
                            <w:r>
                              <w:rPr>
                                <w:rFonts w:cs="Arial"/>
                                <w:color w:val="000000"/>
                                <w:lang w:val="fr-FR"/>
                              </w:rPr>
                              <w:t>à janvier 2025.</w:t>
                            </w:r>
                          </w:p>
                          <w:p w14:paraId="3C8E2A5E" w14:textId="77777777" w:rsidR="004B74B3" w:rsidRDefault="004B74B3">
                            <w:pPr>
                              <w:jc w:val="both"/>
                              <w:rPr>
                                <w:rFonts w:cs="Arial"/>
                                <w:color w:val="000000"/>
                                <w:lang w:val="fr-FR"/>
                              </w:rPr>
                            </w:pPr>
                          </w:p>
                          <w:p w14:paraId="34FC2387" w14:textId="77777777" w:rsidR="004B74B3" w:rsidRDefault="00816D6D">
                            <w:pPr>
                              <w:jc w:val="both"/>
                              <w:rPr>
                                <w:rFonts w:cs="Arial"/>
                                <w:color w:val="000000"/>
                                <w:lang w:val="fr-FR"/>
                              </w:rPr>
                            </w:pPr>
                            <w:r>
                              <w:rPr>
                                <w:rFonts w:cs="Arial"/>
                                <w:color w:val="000000"/>
                                <w:lang w:val="fr-FR"/>
                              </w:rPr>
                              <w:t>Ces ressources ont contribué à la mise en œuvre du Programme de travail pour la période intersessions entre la COP14 et la COP15 (UNEP/CMS/StC56/Doc.13).</w:t>
                            </w:r>
                          </w:p>
                          <w:p w14:paraId="47EBC18B" w14:textId="77777777" w:rsidR="004B74B3" w:rsidRDefault="004B74B3">
                            <w:pPr>
                              <w:jc w:val="both"/>
                              <w:rPr>
                                <w:rFonts w:cs="Arial"/>
                                <w:color w:val="000000"/>
                                <w:lang w:val="fr-FR"/>
                              </w:rPr>
                            </w:pPr>
                          </w:p>
                          <w:p w14:paraId="3A6CC09F" w14:textId="77777777" w:rsidR="004B74B3" w:rsidRDefault="00816D6D">
                            <w:pPr>
                              <w:jc w:val="both"/>
                              <w:rPr>
                                <w:rFonts w:cs="Arial"/>
                                <w:color w:val="000000"/>
                                <w:lang w:val="fr-FR"/>
                              </w:rPr>
                            </w:pPr>
                            <w:r>
                              <w:rPr>
                                <w:rFonts w:cs="Arial"/>
                                <w:color w:val="000000"/>
                                <w:lang w:val="fr-FR"/>
                              </w:rPr>
                              <w:t>Le document indique également les efforts déployés pour continuer à obtenir un soutien pour la mise en œuvre du PdT et les lacunes en matière de financement.</w:t>
                            </w:r>
                          </w:p>
                          <w:p w14:paraId="79266668" w14:textId="77777777" w:rsidR="004B74B3" w:rsidRDefault="004B74B3">
                            <w:pPr>
                              <w:jc w:val="both"/>
                              <w:rPr>
                                <w:rFonts w:cs="Arial"/>
                                <w:lang w:val="fr-FR"/>
                              </w:rPr>
                            </w:pPr>
                          </w:p>
                          <w:p w14:paraId="51338B08" w14:textId="77777777" w:rsidR="004B74B3" w:rsidRDefault="00816D6D">
                            <w:pPr>
                              <w:jc w:val="both"/>
                              <w:rPr>
                                <w:rFonts w:cs="Arial"/>
                                <w:lang w:val="fr-FR"/>
                              </w:rPr>
                            </w:pPr>
                            <w:r>
                              <w:rPr>
                                <w:rFonts w:cs="Arial"/>
                                <w:lang w:val="fr-FR"/>
                              </w:rPr>
                              <w:t>Il fournit aussi une mise à jour sur l</w:t>
                            </w:r>
                            <w:r w:rsidR="001F0CA5">
                              <w:rPr>
                                <w:rFonts w:cs="Arial"/>
                                <w:lang w:val="fr-FR"/>
                              </w:rPr>
                              <w:t>’</w:t>
                            </w:r>
                            <w:r>
                              <w:rPr>
                                <w:rFonts w:cs="Arial"/>
                                <w:lang w:val="fr-FR"/>
                              </w:rPr>
                              <w:t>engagement avec le Fonds pour l</w:t>
                            </w:r>
                            <w:r w:rsidR="001F0CA5">
                              <w:rPr>
                                <w:rFonts w:cs="Arial"/>
                                <w:lang w:val="fr-FR"/>
                              </w:rPr>
                              <w:t>’</w:t>
                            </w:r>
                            <w:r>
                              <w:rPr>
                                <w:rFonts w:cs="Arial"/>
                                <w:lang w:val="fr-FR"/>
                              </w:rPr>
                              <w:t>environnement mondial.</w:t>
                            </w:r>
                          </w:p>
                          <w:p w14:paraId="4169976F" w14:textId="77777777" w:rsidR="004B74B3" w:rsidRDefault="004B74B3">
                            <w:pPr>
                              <w:rPr>
                                <w:rFonts w:cs="Arial"/>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D4680" id="_x0000_t202" coordsize="21600,21600" o:spt="202" path="m,l,21600r21600,l21600,xe">
                <v:stroke joinstyle="miter"/>
                <v:path gradientshapeok="t" o:connecttype="rect"/>
              </v:shapetype>
              <v:shape id="Text Box 4" o:spid="_x0000_s1026" type="#_x0000_t202" style="position:absolute;margin-left:71.5pt;margin-top:183.2pt;width:347.25pt;height:2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" strokeweight=".25pt">
                <v:textbox>
                  <w:txbxContent>
                    <w:p w14:paraId="0F911977" w14:textId="77777777" w:rsidR="004B74B3" w:rsidRDefault="00816D6D">
                      <w:pPr>
                        <w:rPr>
                          <w:rFonts w:cs="Arial"/>
                          <w:lang w:val="fr-FR"/>
                        </w:rPr>
                      </w:pPr>
                      <w:r>
                        <w:rPr>
                          <w:rFonts w:cs="Arial"/>
                          <w:lang w:val="fr-FR"/>
                        </w:rPr>
                        <w:t>Résumé</w:t>
                      </w:r>
                      <w:r w:rsidR="001F0CA5">
                        <w:rPr>
                          <w:rFonts w:cs="Arial"/>
                          <w:lang w:val="fr-FR"/>
                        </w:rPr>
                        <w:t> </w:t>
                      </w:r>
                      <w:r>
                        <w:rPr>
                          <w:rFonts w:cs="Arial"/>
                          <w:lang w:val="fr-FR"/>
                        </w:rPr>
                        <w:t>:</w:t>
                      </w:r>
                    </w:p>
                    <w:p w14:paraId="4C8A9E88" w14:textId="77777777" w:rsidR="004B74B3" w:rsidRDefault="004B74B3">
                      <w:pPr>
                        <w:rPr>
                          <w:rFonts w:cs="Arial"/>
                          <w:lang w:val="fr-FR"/>
                        </w:rPr>
                      </w:pPr>
                    </w:p>
                    <w:p w14:paraId="352A8DC9" w14:textId="72A90419" w:rsidR="004B74B3" w:rsidRDefault="00816D6D">
                      <w:pPr>
                        <w:jc w:val="both"/>
                        <w:rPr>
                          <w:rFonts w:cs="Arial"/>
                          <w:color w:val="000000"/>
                          <w:lang w:val="fr-FR"/>
                        </w:rPr>
                      </w:pPr>
                      <w:r>
                        <w:rPr>
                          <w:rFonts w:cs="Arial"/>
                          <w:color w:val="000000"/>
                          <w:lang w:val="fr-FR"/>
                        </w:rPr>
                        <w:t>Le présent document décrit l</w:t>
                      </w:r>
                      <w:r w:rsidR="001F0CA5">
                        <w:rPr>
                          <w:rFonts w:cs="Arial"/>
                          <w:color w:val="000000"/>
                          <w:lang w:val="fr-FR"/>
                        </w:rPr>
                        <w:t>’</w:t>
                      </w:r>
                      <w:r>
                        <w:rPr>
                          <w:rFonts w:cs="Arial"/>
                          <w:color w:val="000000"/>
                          <w:lang w:val="fr-FR"/>
                        </w:rPr>
                        <w:t>état des ressources, tant financières qu</w:t>
                      </w:r>
                      <w:r w:rsidR="001F0CA5">
                        <w:rPr>
                          <w:rFonts w:cs="Arial"/>
                          <w:color w:val="000000"/>
                          <w:lang w:val="fr-FR"/>
                        </w:rPr>
                        <w:t>’</w:t>
                      </w:r>
                      <w:r>
                        <w:rPr>
                          <w:rFonts w:cs="Arial"/>
                          <w:color w:val="000000"/>
                          <w:lang w:val="fr-FR"/>
                        </w:rPr>
                        <w:t>en nature, mobilisées depuis la 14e</w:t>
                      </w:r>
                      <w:r w:rsidR="001F0CA5">
                        <w:rPr>
                          <w:rFonts w:cs="Arial"/>
                          <w:color w:val="000000"/>
                          <w:lang w:val="fr-FR"/>
                        </w:rPr>
                        <w:t> </w:t>
                      </w:r>
                      <w:r>
                        <w:rPr>
                          <w:rFonts w:cs="Arial"/>
                          <w:color w:val="000000"/>
                          <w:lang w:val="fr-FR"/>
                        </w:rPr>
                        <w:t>session de la Conférence des Parties (COP14, 12-17 février 2024) et jusqu</w:t>
                      </w:r>
                      <w:r w:rsidR="001F0CA5">
                        <w:rPr>
                          <w:rFonts w:cs="Arial"/>
                          <w:color w:val="000000"/>
                          <w:lang w:val="fr-FR"/>
                        </w:rPr>
                        <w:t>’</w:t>
                      </w:r>
                      <w:r>
                        <w:rPr>
                          <w:rFonts w:cs="Arial"/>
                          <w:color w:val="000000"/>
                          <w:lang w:val="fr-FR"/>
                        </w:rPr>
                        <w:t>à janvier 2025.</w:t>
                      </w:r>
                    </w:p>
                    <w:p w14:paraId="3C8E2A5E" w14:textId="77777777" w:rsidR="004B74B3" w:rsidRDefault="004B74B3">
                      <w:pPr>
                        <w:jc w:val="both"/>
                        <w:rPr>
                          <w:rFonts w:cs="Arial"/>
                          <w:color w:val="000000"/>
                          <w:lang w:val="fr-FR"/>
                        </w:rPr>
                      </w:pPr>
                    </w:p>
                    <w:p w14:paraId="34FC2387" w14:textId="77777777" w:rsidR="004B74B3" w:rsidRDefault="00816D6D">
                      <w:pPr>
                        <w:jc w:val="both"/>
                        <w:rPr>
                          <w:rFonts w:cs="Arial"/>
                          <w:color w:val="000000"/>
                          <w:lang w:val="fr-FR"/>
                        </w:rPr>
                      </w:pPr>
                      <w:r>
                        <w:rPr>
                          <w:rFonts w:cs="Arial"/>
                          <w:color w:val="000000"/>
                          <w:lang w:val="fr-FR"/>
                        </w:rPr>
                        <w:t>Ces ressources ont contribué à la mise en œuvre du Programme de travail pour la période intersessions entre la COP14 et la COP15 (UNEP/CMS/StC56/Doc.13).</w:t>
                      </w:r>
                    </w:p>
                    <w:p w14:paraId="47EBC18B" w14:textId="77777777" w:rsidR="004B74B3" w:rsidRDefault="004B74B3">
                      <w:pPr>
                        <w:jc w:val="both"/>
                        <w:rPr>
                          <w:rFonts w:cs="Arial"/>
                          <w:color w:val="000000"/>
                          <w:lang w:val="fr-FR"/>
                        </w:rPr>
                      </w:pPr>
                    </w:p>
                    <w:p w14:paraId="3A6CC09F" w14:textId="77777777" w:rsidR="004B74B3" w:rsidRDefault="00816D6D">
                      <w:pPr>
                        <w:jc w:val="both"/>
                        <w:rPr>
                          <w:rFonts w:cs="Arial"/>
                          <w:color w:val="000000"/>
                          <w:lang w:val="fr-FR"/>
                        </w:rPr>
                      </w:pPr>
                      <w:r>
                        <w:rPr>
                          <w:rFonts w:cs="Arial"/>
                          <w:color w:val="000000"/>
                          <w:lang w:val="fr-FR"/>
                        </w:rPr>
                        <w:t>Le document indique également les efforts déployés pour continuer à obtenir un soutien pour la mise en œuvre du PdT et les lacunes en matière de financement.</w:t>
                      </w:r>
                    </w:p>
                    <w:p w14:paraId="79266668" w14:textId="77777777" w:rsidR="004B74B3" w:rsidRDefault="004B74B3">
                      <w:pPr>
                        <w:jc w:val="both"/>
                        <w:rPr>
                          <w:rFonts w:cs="Arial"/>
                          <w:lang w:val="fr-FR"/>
                        </w:rPr>
                      </w:pPr>
                    </w:p>
                    <w:p w14:paraId="51338B08" w14:textId="77777777" w:rsidR="004B74B3" w:rsidRDefault="00816D6D">
                      <w:pPr>
                        <w:jc w:val="both"/>
                        <w:rPr>
                          <w:rFonts w:cs="Arial"/>
                          <w:lang w:val="fr-FR"/>
                        </w:rPr>
                      </w:pPr>
                      <w:r>
                        <w:rPr>
                          <w:rFonts w:cs="Arial"/>
                          <w:lang w:val="fr-FR"/>
                        </w:rPr>
                        <w:t>Il fournit aussi une mise à jour sur l</w:t>
                      </w:r>
                      <w:r w:rsidR="001F0CA5">
                        <w:rPr>
                          <w:rFonts w:cs="Arial"/>
                          <w:lang w:val="fr-FR"/>
                        </w:rPr>
                        <w:t>’</w:t>
                      </w:r>
                      <w:r>
                        <w:rPr>
                          <w:rFonts w:cs="Arial"/>
                          <w:lang w:val="fr-FR"/>
                        </w:rPr>
                        <w:t>engagement avec le Fonds pour l</w:t>
                      </w:r>
                      <w:r w:rsidR="001F0CA5">
                        <w:rPr>
                          <w:rFonts w:cs="Arial"/>
                          <w:lang w:val="fr-FR"/>
                        </w:rPr>
                        <w:t>’</w:t>
                      </w:r>
                      <w:r>
                        <w:rPr>
                          <w:rFonts w:cs="Arial"/>
                          <w:lang w:val="fr-FR"/>
                        </w:rPr>
                        <w:t>environnement mondial.</w:t>
                      </w:r>
                    </w:p>
                    <w:p w14:paraId="4169976F" w14:textId="77777777" w:rsidR="004B74B3" w:rsidRDefault="004B74B3">
                      <w:pPr>
                        <w:rPr>
                          <w:rFonts w:cs="Arial"/>
                          <w:lang w:val="fr-FR"/>
                        </w:rPr>
                      </w:pPr>
                    </w:p>
                  </w:txbxContent>
                </v:textbox>
                <w10:wrap type="square" anchorx="margin" anchory="margin"/>
              </v:shape>
            </w:pict>
          </mc:Fallback>
        </mc:AlternateContent>
      </w:r>
    </w:p>
    <w:p w14:paraId="38DA82C9" w14:textId="77777777" w:rsidR="004B74B3" w:rsidRDefault="004B74B3">
      <w:pPr>
        <w:suppressAutoHyphens/>
        <w:rPr>
          <w:rFonts w:eastAsia="Times New Roman" w:cs="Arial"/>
          <w:color w:val="000000"/>
          <w:kern w:val="2"/>
          <w:lang w:val="fr-FR"/>
        </w:rPr>
      </w:pPr>
    </w:p>
    <w:p w14:paraId="31D81AF5" w14:textId="77777777" w:rsidR="004B74B3" w:rsidRDefault="004B74B3">
      <w:pPr>
        <w:suppressAutoHyphens/>
        <w:rPr>
          <w:rFonts w:eastAsia="Times New Roman" w:cs="Arial"/>
          <w:color w:val="000000"/>
          <w:kern w:val="2"/>
          <w:lang w:val="fr-FR"/>
        </w:rPr>
      </w:pPr>
    </w:p>
    <w:p w14:paraId="4A8EFCD9" w14:textId="77777777" w:rsidR="004B74B3" w:rsidRDefault="004B74B3">
      <w:pPr>
        <w:suppressAutoHyphens/>
        <w:rPr>
          <w:rFonts w:eastAsia="Times New Roman" w:cs="Arial"/>
          <w:color w:val="000000"/>
          <w:kern w:val="2"/>
          <w:lang w:val="fr-FR"/>
        </w:rPr>
      </w:pPr>
    </w:p>
    <w:p w14:paraId="6A86F47C" w14:textId="77777777" w:rsidR="004B74B3" w:rsidRDefault="004B74B3">
      <w:pPr>
        <w:suppressAutoHyphens/>
        <w:rPr>
          <w:rFonts w:eastAsia="Times New Roman" w:cs="Arial"/>
          <w:color w:val="000000"/>
          <w:kern w:val="2"/>
          <w:lang w:val="fr-FR"/>
        </w:rPr>
      </w:pPr>
    </w:p>
    <w:p w14:paraId="565E2937" w14:textId="77777777" w:rsidR="004B74B3" w:rsidRDefault="004B74B3">
      <w:pPr>
        <w:suppressAutoHyphens/>
        <w:rPr>
          <w:rFonts w:eastAsia="Times New Roman" w:cs="Arial"/>
          <w:color w:val="000000"/>
          <w:kern w:val="2"/>
          <w:lang w:val="fr-FR"/>
        </w:rPr>
      </w:pPr>
    </w:p>
    <w:p w14:paraId="755FF998" w14:textId="77777777" w:rsidR="004B74B3" w:rsidRDefault="004B74B3">
      <w:pPr>
        <w:suppressAutoHyphens/>
        <w:rPr>
          <w:rFonts w:eastAsia="Times New Roman" w:cs="Arial"/>
          <w:color w:val="000000"/>
          <w:kern w:val="2"/>
          <w:lang w:val="fr-FR"/>
        </w:rPr>
      </w:pPr>
    </w:p>
    <w:p w14:paraId="7DF73B85" w14:textId="77777777" w:rsidR="004B74B3" w:rsidRDefault="004B74B3">
      <w:pPr>
        <w:suppressAutoHyphens/>
        <w:rPr>
          <w:rFonts w:eastAsia="Times New Roman" w:cs="Arial"/>
          <w:color w:val="000000"/>
          <w:kern w:val="2"/>
          <w:lang w:val="fr-FR"/>
        </w:rPr>
      </w:pPr>
    </w:p>
    <w:p w14:paraId="10B34E89" w14:textId="77777777" w:rsidR="004B74B3" w:rsidRDefault="004B74B3">
      <w:pPr>
        <w:suppressAutoHyphens/>
        <w:rPr>
          <w:rFonts w:eastAsia="Times New Roman" w:cs="Arial"/>
          <w:color w:val="000000"/>
          <w:kern w:val="2"/>
          <w:lang w:val="fr-FR"/>
        </w:rPr>
      </w:pPr>
    </w:p>
    <w:p w14:paraId="49D8A2EE" w14:textId="77777777" w:rsidR="004B74B3" w:rsidRDefault="004B74B3">
      <w:pPr>
        <w:suppressAutoHyphens/>
        <w:rPr>
          <w:rFonts w:eastAsia="Times New Roman" w:cs="Arial"/>
          <w:color w:val="000000"/>
          <w:kern w:val="2"/>
          <w:lang w:val="fr-FR"/>
        </w:rPr>
      </w:pPr>
    </w:p>
    <w:p w14:paraId="16EF510A" w14:textId="77777777" w:rsidR="004B74B3" w:rsidRDefault="00816D6D">
      <w:pPr>
        <w:rPr>
          <w:rFonts w:eastAsia="Times New Roman" w:cs="Arial"/>
          <w:color w:val="000000"/>
          <w:kern w:val="2"/>
          <w:lang w:val="fr-FR"/>
        </w:rPr>
      </w:pPr>
      <w:r>
        <w:rPr>
          <w:rFonts w:eastAsia="Times New Roman" w:cs="Arial"/>
          <w:color w:val="000000"/>
          <w:kern w:val="2"/>
          <w:lang w:val="fr-FR"/>
        </w:rPr>
        <w:br w:type="page"/>
      </w:r>
    </w:p>
    <w:p w14:paraId="7604B888" w14:textId="0517DBEF" w:rsidR="004B74B3" w:rsidRDefault="00816D6D">
      <w:pPr>
        <w:suppressAutoHyphens/>
        <w:jc w:val="center"/>
        <w:rPr>
          <w:rFonts w:eastAsia="Times New Roman" w:cs="Arial"/>
          <w:b/>
          <w:bCs/>
          <w:color w:val="000000"/>
          <w:kern w:val="2"/>
          <w:lang w:val="fr-FR"/>
        </w:rPr>
      </w:pPr>
      <w:r>
        <w:rPr>
          <w:rFonts w:eastAsia="Times New Roman" w:cs="Arial"/>
          <w:b/>
          <w:bCs/>
          <w:color w:val="000000"/>
          <w:kern w:val="2"/>
          <w:lang w:val="fr-FR"/>
        </w:rPr>
        <w:lastRenderedPageBreak/>
        <w:t>MOBILISATION DES RESSOURCES</w:t>
      </w:r>
    </w:p>
    <w:p w14:paraId="2E2839AF" w14:textId="77777777" w:rsidR="004B74B3" w:rsidRDefault="004B74B3">
      <w:pPr>
        <w:suppressAutoHyphens/>
        <w:rPr>
          <w:rFonts w:eastAsia="Times New Roman" w:cs="Arial"/>
          <w:b/>
          <w:bCs/>
          <w:color w:val="000000"/>
          <w:kern w:val="2"/>
          <w:lang w:val="fr-FR"/>
        </w:rPr>
      </w:pPr>
    </w:p>
    <w:p w14:paraId="2EA39AB3" w14:textId="77777777" w:rsidR="00F2251D" w:rsidRDefault="00F2251D">
      <w:pPr>
        <w:suppressAutoHyphens/>
        <w:rPr>
          <w:rFonts w:eastAsia="Times New Roman" w:cs="Arial"/>
          <w:b/>
          <w:bCs/>
          <w:color w:val="000000"/>
          <w:kern w:val="2"/>
          <w:lang w:val="fr-FR"/>
        </w:rPr>
      </w:pPr>
    </w:p>
    <w:p w14:paraId="5839C737" w14:textId="77777777" w:rsidR="004B74B3" w:rsidRDefault="00816D6D">
      <w:pPr>
        <w:suppressAutoHyphens/>
        <w:jc w:val="both"/>
        <w:rPr>
          <w:rFonts w:eastAsia="Times New Roman" w:cs="Arial"/>
          <w:color w:val="000000"/>
          <w:kern w:val="2"/>
          <w:u w:val="single"/>
          <w:lang w:val="fr-FR"/>
        </w:rPr>
      </w:pPr>
      <w:r>
        <w:rPr>
          <w:rFonts w:eastAsia="Times New Roman" w:cs="Arial"/>
          <w:color w:val="000000"/>
          <w:kern w:val="2"/>
          <w:u w:val="single"/>
          <w:lang w:val="fr-FR"/>
        </w:rPr>
        <w:t>Contexte général</w:t>
      </w:r>
    </w:p>
    <w:p w14:paraId="3B9C5E40" w14:textId="77777777" w:rsidR="004B74B3" w:rsidRDefault="004B74B3">
      <w:pPr>
        <w:suppressAutoHyphens/>
        <w:jc w:val="both"/>
        <w:rPr>
          <w:rFonts w:eastAsia="Times New Roman" w:cs="Arial"/>
          <w:color w:val="000000"/>
          <w:kern w:val="2"/>
          <w:highlight w:val="yellow"/>
          <w:lang w:val="fr-FR"/>
        </w:rPr>
      </w:pPr>
    </w:p>
    <w:p w14:paraId="78D88BD9" w14:textId="0684B79E" w:rsidR="004B74B3" w:rsidRDefault="00816D6D">
      <w:pPr>
        <w:pStyle w:val="NormalWeb"/>
        <w:numPr>
          <w:ilvl w:val="0"/>
          <w:numId w:val="33"/>
        </w:numPr>
        <w:spacing w:before="0" w:beforeAutospacing="0" w:after="0" w:afterAutospacing="0"/>
        <w:ind w:left="567" w:hanging="567"/>
        <w:jc w:val="both"/>
        <w:rPr>
          <w:rFonts w:ascii="Arial" w:hAnsi="Arial" w:cs="Arial"/>
          <w:sz w:val="22"/>
          <w:szCs w:val="22"/>
          <w:lang w:val="fr-FR"/>
        </w:rPr>
      </w:pPr>
      <w:r>
        <w:rPr>
          <w:rFonts w:ascii="Arial" w:hAnsi="Arial" w:cs="Arial"/>
          <w:sz w:val="22"/>
          <w:szCs w:val="22"/>
          <w:lang w:val="fr-FR"/>
        </w:rPr>
        <w:t xml:space="preserve">La quatorzième Session de la Conférence des Parties à la CMS (COP14, février 2024, Samarcande) a adopté un budget pour la période intersessions 2024-2026 par le biais de la </w:t>
      </w:r>
      <w:hyperlink r:id="rId10" w:history="1">
        <w:r>
          <w:rPr>
            <w:rStyle w:val="Hyperlink"/>
            <w:rFonts w:ascii="Arial" w:hAnsi="Arial" w:cs="Arial"/>
            <w:sz w:val="22"/>
            <w:szCs w:val="22"/>
            <w:lang w:val="fr-FR"/>
          </w:rPr>
          <w:t>Résolution</w:t>
        </w:r>
        <w:r w:rsidR="001F0CA5">
          <w:rPr>
            <w:rStyle w:val="Hyperlink"/>
            <w:rFonts w:ascii="Arial" w:hAnsi="Arial" w:cs="Arial"/>
            <w:sz w:val="22"/>
            <w:szCs w:val="22"/>
            <w:lang w:val="fr-FR"/>
          </w:rPr>
          <w:t> </w:t>
        </w:r>
        <w:r>
          <w:rPr>
            <w:rStyle w:val="Hyperlink"/>
            <w:rFonts w:ascii="Arial" w:hAnsi="Arial" w:cs="Arial"/>
            <w:sz w:val="22"/>
            <w:szCs w:val="22"/>
            <w:lang w:val="fr-FR"/>
          </w:rPr>
          <w:t>14.2</w:t>
        </w:r>
      </w:hyperlink>
      <w:r>
        <w:rPr>
          <w:rFonts w:ascii="Arial" w:hAnsi="Arial" w:cs="Arial"/>
          <w:sz w:val="22"/>
          <w:szCs w:val="22"/>
          <w:lang w:val="fr-FR"/>
        </w:rPr>
        <w:t xml:space="preserve"> et a approuvé, à titre exceptionnel, un programme de travail provisoire pour la période intersessions entre la COP14 et la COP15, tel qu</w:t>
      </w:r>
      <w:r w:rsidR="001F0CA5">
        <w:rPr>
          <w:rFonts w:ascii="Arial" w:hAnsi="Arial" w:cs="Arial"/>
          <w:sz w:val="22"/>
          <w:szCs w:val="22"/>
          <w:lang w:val="fr-FR"/>
        </w:rPr>
        <w:t>’</w:t>
      </w:r>
      <w:r>
        <w:rPr>
          <w:rFonts w:ascii="Arial" w:hAnsi="Arial" w:cs="Arial"/>
          <w:sz w:val="22"/>
          <w:szCs w:val="22"/>
          <w:lang w:val="fr-FR"/>
        </w:rPr>
        <w:t>il figure à l</w:t>
      </w:r>
      <w:r w:rsidR="001F0CA5">
        <w:rPr>
          <w:rFonts w:ascii="Arial" w:hAnsi="Arial" w:cs="Arial"/>
          <w:sz w:val="22"/>
          <w:szCs w:val="22"/>
          <w:lang w:val="fr-FR"/>
        </w:rPr>
        <w:t>’</w:t>
      </w:r>
      <w:r>
        <w:rPr>
          <w:rFonts w:ascii="Arial" w:hAnsi="Arial" w:cs="Arial"/>
          <w:sz w:val="22"/>
          <w:szCs w:val="22"/>
          <w:lang w:val="fr-FR"/>
        </w:rPr>
        <w:t>annexe</w:t>
      </w:r>
      <w:r w:rsidR="001F0CA5">
        <w:rPr>
          <w:rFonts w:ascii="Arial" w:hAnsi="Arial" w:cs="Arial"/>
          <w:sz w:val="22"/>
          <w:szCs w:val="22"/>
          <w:lang w:val="fr-FR"/>
        </w:rPr>
        <w:t> </w:t>
      </w:r>
      <w:r>
        <w:rPr>
          <w:rFonts w:ascii="Arial" w:hAnsi="Arial" w:cs="Arial"/>
          <w:sz w:val="22"/>
          <w:szCs w:val="22"/>
          <w:lang w:val="fr-FR"/>
        </w:rPr>
        <w:t>6 de la résolution. </w:t>
      </w:r>
    </w:p>
    <w:p w14:paraId="2679F26E" w14:textId="77777777" w:rsidR="004B74B3" w:rsidRDefault="004B74B3">
      <w:pPr>
        <w:pStyle w:val="NormalWeb"/>
        <w:spacing w:before="0" w:beforeAutospacing="0" w:after="0" w:afterAutospacing="0"/>
        <w:ind w:left="567"/>
        <w:jc w:val="both"/>
        <w:rPr>
          <w:rFonts w:ascii="Arial" w:hAnsi="Arial" w:cs="Arial"/>
          <w:sz w:val="22"/>
          <w:szCs w:val="22"/>
          <w:lang w:val="fr-FR"/>
        </w:rPr>
      </w:pPr>
    </w:p>
    <w:p w14:paraId="2F561D56" w14:textId="28D0A1F0" w:rsidR="004B74B3" w:rsidRDefault="00816D6D">
      <w:pPr>
        <w:pStyle w:val="NormalWeb"/>
        <w:numPr>
          <w:ilvl w:val="0"/>
          <w:numId w:val="33"/>
        </w:numPr>
        <w:spacing w:before="0" w:beforeAutospacing="0" w:after="0" w:afterAutospacing="0"/>
        <w:ind w:left="567" w:hanging="567"/>
        <w:jc w:val="both"/>
        <w:rPr>
          <w:rFonts w:ascii="Arial" w:hAnsi="Arial" w:cs="Arial"/>
          <w:sz w:val="22"/>
          <w:szCs w:val="22"/>
          <w:lang w:val="fr-FR"/>
        </w:rPr>
      </w:pPr>
      <w:r>
        <w:rPr>
          <w:rFonts w:ascii="Arial" w:hAnsi="Arial" w:cs="Arial"/>
          <w:sz w:val="22"/>
          <w:szCs w:val="22"/>
          <w:lang w:val="fr-FR"/>
        </w:rPr>
        <w:t xml:space="preserve">Le Comité permanent a adopté le </w:t>
      </w:r>
      <w:hyperlink r:id="rId11" w:history="1">
        <w:r>
          <w:rPr>
            <w:rStyle w:val="Hyperlink"/>
            <w:rFonts w:ascii="Arial" w:hAnsi="Arial" w:cs="Arial"/>
            <w:sz w:val="22"/>
            <w:szCs w:val="22"/>
            <w:lang w:val="fr-FR"/>
          </w:rPr>
          <w:t>Programme de travail définitif pour la période intersessions entre la COP14 et la COP15</w:t>
        </w:r>
      </w:hyperlink>
      <w:r>
        <w:rPr>
          <w:rFonts w:ascii="Arial" w:hAnsi="Arial" w:cs="Arial"/>
          <w:sz w:val="22"/>
          <w:szCs w:val="22"/>
          <w:lang w:val="fr-FR"/>
        </w:rPr>
        <w:t xml:space="preserve"> (</w:t>
      </w:r>
      <w:proofErr w:type="spellStart"/>
      <w:r>
        <w:rPr>
          <w:rFonts w:ascii="Arial" w:hAnsi="Arial" w:cs="Arial"/>
          <w:sz w:val="22"/>
          <w:szCs w:val="22"/>
          <w:lang w:val="fr-FR"/>
        </w:rPr>
        <w:t>PdT</w:t>
      </w:r>
      <w:proofErr w:type="spellEnd"/>
      <w:r>
        <w:rPr>
          <w:rFonts w:ascii="Arial" w:hAnsi="Arial" w:cs="Arial"/>
          <w:sz w:val="22"/>
          <w:szCs w:val="22"/>
          <w:lang w:val="fr-FR"/>
        </w:rPr>
        <w:t>) le 5</w:t>
      </w:r>
      <w:r w:rsidR="001F0CA5">
        <w:rPr>
          <w:rFonts w:ascii="Arial" w:hAnsi="Arial" w:cs="Arial"/>
          <w:sz w:val="22"/>
          <w:szCs w:val="22"/>
          <w:lang w:val="fr-FR"/>
        </w:rPr>
        <w:t> </w:t>
      </w:r>
      <w:r>
        <w:rPr>
          <w:rFonts w:ascii="Arial" w:hAnsi="Arial" w:cs="Arial"/>
          <w:sz w:val="22"/>
          <w:szCs w:val="22"/>
          <w:lang w:val="fr-FR"/>
        </w:rPr>
        <w:t xml:space="preserve">octobre 2024.  </w:t>
      </w:r>
    </w:p>
    <w:p w14:paraId="15B028A3" w14:textId="77777777" w:rsidR="004B74B3" w:rsidRDefault="004B74B3">
      <w:pPr>
        <w:pStyle w:val="NormalWeb"/>
        <w:spacing w:before="0" w:beforeAutospacing="0" w:after="0" w:afterAutospacing="0"/>
        <w:jc w:val="both"/>
        <w:rPr>
          <w:rFonts w:ascii="Arial" w:hAnsi="Arial" w:cs="Arial"/>
          <w:sz w:val="22"/>
          <w:szCs w:val="22"/>
          <w:lang w:val="fr-FR"/>
        </w:rPr>
      </w:pPr>
    </w:p>
    <w:p w14:paraId="2213B821"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Le budget triennal couvre les frais de personnel, les coûts opérationnels et les réunions des organes directeurs, tandis que le Programme de travail couvre les activités programmatiques, dont la mise en œuvre repose principalement sur un financement volontaire. Le PdT comprend des activités à réaliser par le Secrétariat, ainsi que de nombreuses tâches confiées au Comité permanent et/ou au Conseil scientifique qui nécessitent le soutien du Secrétariat.</w:t>
      </w:r>
    </w:p>
    <w:p w14:paraId="698B8554" w14:textId="77777777" w:rsidR="004B74B3" w:rsidRDefault="004B74B3">
      <w:pPr>
        <w:suppressAutoHyphens/>
        <w:ind w:left="567"/>
        <w:jc w:val="both"/>
        <w:rPr>
          <w:rFonts w:eastAsia="Times New Roman" w:cs="Arial"/>
          <w:color w:val="000000"/>
          <w:kern w:val="2"/>
          <w:lang w:val="fr-FR"/>
        </w:rPr>
      </w:pPr>
    </w:p>
    <w:p w14:paraId="2886E253"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Le présent document décrit l</w:t>
      </w:r>
      <w:r w:rsidR="001F0CA5">
        <w:rPr>
          <w:rFonts w:eastAsia="Times New Roman" w:cs="Arial"/>
          <w:color w:val="000000"/>
          <w:kern w:val="2"/>
          <w:lang w:val="fr-FR"/>
        </w:rPr>
        <w:t>’</w:t>
      </w:r>
      <w:r>
        <w:rPr>
          <w:rFonts w:eastAsia="Times New Roman" w:cs="Arial"/>
          <w:color w:val="000000"/>
          <w:kern w:val="2"/>
          <w:lang w:val="fr-FR"/>
        </w:rPr>
        <w:t>état des ressources, tant financières qu</w:t>
      </w:r>
      <w:r w:rsidR="001F0CA5">
        <w:rPr>
          <w:rFonts w:eastAsia="Times New Roman" w:cs="Arial"/>
          <w:color w:val="000000"/>
          <w:kern w:val="2"/>
          <w:lang w:val="fr-FR"/>
        </w:rPr>
        <w:t>’</w:t>
      </w:r>
      <w:r>
        <w:rPr>
          <w:rFonts w:eastAsia="Times New Roman" w:cs="Arial"/>
          <w:color w:val="000000"/>
          <w:kern w:val="2"/>
          <w:lang w:val="fr-FR"/>
        </w:rPr>
        <w:t>en nature, mobilisées depuis la COP14 et jusqu</w:t>
      </w:r>
      <w:r w:rsidR="001F0CA5">
        <w:rPr>
          <w:rFonts w:eastAsia="Times New Roman" w:cs="Arial"/>
          <w:color w:val="000000"/>
          <w:kern w:val="2"/>
          <w:lang w:val="fr-FR"/>
        </w:rPr>
        <w:t>’</w:t>
      </w:r>
      <w:r>
        <w:rPr>
          <w:rFonts w:eastAsia="Times New Roman" w:cs="Arial"/>
          <w:color w:val="000000"/>
          <w:kern w:val="2"/>
          <w:lang w:val="fr-FR"/>
        </w:rPr>
        <w:t>à janvier 2025. Il doit être lu conjointement avec le rapport d</w:t>
      </w:r>
      <w:r w:rsidR="001F0CA5">
        <w:rPr>
          <w:rFonts w:eastAsia="Times New Roman" w:cs="Arial"/>
          <w:color w:val="000000"/>
          <w:kern w:val="2"/>
          <w:lang w:val="fr-FR"/>
        </w:rPr>
        <w:t>’</w:t>
      </w:r>
      <w:r>
        <w:rPr>
          <w:rFonts w:eastAsia="Times New Roman" w:cs="Arial"/>
          <w:color w:val="000000"/>
          <w:kern w:val="2"/>
          <w:lang w:val="fr-FR"/>
        </w:rPr>
        <w:t>avancement</w:t>
      </w:r>
      <w:r w:rsidR="001F0CA5">
        <w:rPr>
          <w:rFonts w:eastAsia="Times New Roman" w:cs="Arial"/>
          <w:color w:val="000000"/>
          <w:kern w:val="2"/>
          <w:lang w:val="fr-FR"/>
        </w:rPr>
        <w:t> </w:t>
      </w:r>
      <w:r>
        <w:rPr>
          <w:rFonts w:eastAsia="Times New Roman" w:cs="Arial"/>
          <w:color w:val="000000"/>
          <w:kern w:val="2"/>
          <w:lang w:val="fr-FR"/>
        </w:rPr>
        <w:t xml:space="preserve">UNEP/CMS/StC56/Doc.13 </w:t>
      </w:r>
      <w:r>
        <w:rPr>
          <w:rFonts w:eastAsia="Times New Roman" w:cs="Arial"/>
          <w:i/>
          <w:iCs/>
          <w:color w:val="000000"/>
          <w:kern w:val="2"/>
          <w:lang w:val="fr-FR"/>
        </w:rPr>
        <w:t>Mise en œuvre du Programme de travail</w:t>
      </w:r>
      <w:r>
        <w:rPr>
          <w:rFonts w:eastAsia="Times New Roman" w:cs="Arial"/>
          <w:color w:val="000000"/>
          <w:kern w:val="2"/>
          <w:lang w:val="fr-FR"/>
        </w:rPr>
        <w:t xml:space="preserve"> </w:t>
      </w:r>
      <w:r>
        <w:rPr>
          <w:rFonts w:eastAsia="Times New Roman" w:cs="Arial"/>
          <w:i/>
          <w:iCs/>
          <w:color w:val="000000"/>
          <w:kern w:val="2"/>
          <w:lang w:val="fr-FR"/>
        </w:rPr>
        <w:t>pour la période intersessions entre la COP14 et la COP15</w:t>
      </w:r>
      <w:r>
        <w:rPr>
          <w:rFonts w:eastAsia="Times New Roman" w:cs="Arial"/>
          <w:color w:val="000000"/>
          <w:kern w:val="2"/>
          <w:lang w:val="fr-FR"/>
        </w:rPr>
        <w:t>.</w:t>
      </w:r>
    </w:p>
    <w:p w14:paraId="59A558D3" w14:textId="77777777" w:rsidR="004B74B3" w:rsidRDefault="004B74B3">
      <w:pPr>
        <w:suppressAutoHyphens/>
        <w:ind w:left="567"/>
        <w:jc w:val="both"/>
        <w:rPr>
          <w:rFonts w:eastAsia="Times New Roman" w:cs="Arial"/>
          <w:color w:val="000000"/>
          <w:kern w:val="2"/>
          <w:highlight w:val="yellow"/>
          <w:lang w:val="fr-FR"/>
        </w:rPr>
      </w:pPr>
    </w:p>
    <w:p w14:paraId="374D8C37" w14:textId="77777777" w:rsidR="004B74B3" w:rsidRDefault="00816D6D">
      <w:pPr>
        <w:suppressAutoHyphens/>
        <w:jc w:val="both"/>
        <w:rPr>
          <w:rFonts w:eastAsia="Times New Roman" w:cs="Arial"/>
          <w:color w:val="000000"/>
          <w:kern w:val="2"/>
          <w:u w:val="single"/>
          <w:lang w:val="fr-FR"/>
        </w:rPr>
      </w:pPr>
      <w:r>
        <w:rPr>
          <w:rFonts w:eastAsia="Times New Roman" w:cs="Arial"/>
          <w:color w:val="000000"/>
          <w:kern w:val="2"/>
          <w:u w:val="single"/>
          <w:lang w:val="fr-FR"/>
        </w:rPr>
        <w:t>Ressources mobilisées depuis la COP14</w:t>
      </w:r>
    </w:p>
    <w:p w14:paraId="3508F398" w14:textId="77777777" w:rsidR="004B74B3" w:rsidRDefault="004B74B3">
      <w:pPr>
        <w:suppressAutoHyphens/>
        <w:jc w:val="both"/>
        <w:rPr>
          <w:rFonts w:eastAsia="Times New Roman" w:cs="Arial"/>
          <w:color w:val="000000"/>
          <w:kern w:val="2"/>
          <w:lang w:val="fr-FR"/>
        </w:rPr>
      </w:pPr>
    </w:p>
    <w:p w14:paraId="3375F15A" w14:textId="5E05074A"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Dans la période précédant la COP14, les Parties et les parties prenantes ont été invitées, également par le biais du document</w:t>
      </w:r>
      <w:r w:rsidR="001F0CA5">
        <w:rPr>
          <w:rFonts w:eastAsia="Times New Roman" w:cs="Arial"/>
          <w:color w:val="000000"/>
          <w:kern w:val="2"/>
          <w:lang w:val="fr-FR"/>
        </w:rPr>
        <w:t> </w:t>
      </w:r>
      <w:hyperlink r:id="rId12" w:history="1">
        <w:r>
          <w:rPr>
            <w:rStyle w:val="Hyperlink"/>
            <w:rFonts w:eastAsia="Times New Roman" w:cs="Arial"/>
            <w:kern w:val="2"/>
            <w:lang w:val="fr-FR"/>
          </w:rPr>
          <w:t>UNEP/CMS/COP14/Doc.13.3</w:t>
        </w:r>
      </w:hyperlink>
      <w:r>
        <w:rPr>
          <w:rFonts w:eastAsia="Times New Roman" w:cs="Arial"/>
          <w:color w:val="000000"/>
          <w:kern w:val="2"/>
          <w:lang w:val="fr-FR"/>
        </w:rPr>
        <w:t>, à envisager de s</w:t>
      </w:r>
      <w:r w:rsidR="001F0CA5">
        <w:rPr>
          <w:rFonts w:eastAsia="Times New Roman" w:cs="Arial"/>
          <w:color w:val="000000"/>
          <w:kern w:val="2"/>
          <w:lang w:val="fr-FR"/>
        </w:rPr>
        <w:t>’</w:t>
      </w:r>
      <w:r>
        <w:rPr>
          <w:rFonts w:eastAsia="Times New Roman" w:cs="Arial"/>
          <w:color w:val="000000"/>
          <w:kern w:val="2"/>
          <w:lang w:val="fr-FR"/>
        </w:rPr>
        <w:t>engager à soutenir la mise en œuvre de la Convention dans le cadre du Programme des champions des espèces migratrices. Plusieurs Parties ont annoncé des engagements généreux dans le cadre du programme et ont été reconnues lors de la cérémonie de remise des prix de la «</w:t>
      </w:r>
      <w:r w:rsidR="001F0CA5">
        <w:rPr>
          <w:rFonts w:eastAsia="Times New Roman" w:cs="Arial"/>
          <w:color w:val="000000"/>
          <w:kern w:val="2"/>
          <w:lang w:val="fr-FR"/>
        </w:rPr>
        <w:t> </w:t>
      </w:r>
      <w:r>
        <w:rPr>
          <w:rFonts w:eastAsia="Times New Roman" w:cs="Arial"/>
          <w:color w:val="000000"/>
          <w:kern w:val="2"/>
          <w:lang w:val="fr-FR"/>
        </w:rPr>
        <w:t>Nuit des champions</w:t>
      </w:r>
      <w:r w:rsidR="001F0CA5">
        <w:rPr>
          <w:rFonts w:eastAsia="Times New Roman" w:cs="Arial"/>
          <w:color w:val="000000"/>
          <w:kern w:val="2"/>
          <w:lang w:val="fr-FR"/>
        </w:rPr>
        <w:t> </w:t>
      </w:r>
      <w:r>
        <w:rPr>
          <w:rFonts w:eastAsia="Times New Roman" w:cs="Arial"/>
          <w:color w:val="000000"/>
          <w:kern w:val="2"/>
          <w:lang w:val="fr-FR"/>
        </w:rPr>
        <w:t>», qui s</w:t>
      </w:r>
      <w:r w:rsidR="001F0CA5">
        <w:rPr>
          <w:rFonts w:eastAsia="Times New Roman" w:cs="Arial"/>
          <w:color w:val="000000"/>
          <w:kern w:val="2"/>
          <w:lang w:val="fr-FR"/>
        </w:rPr>
        <w:t>’</w:t>
      </w:r>
      <w:r>
        <w:rPr>
          <w:rFonts w:eastAsia="Times New Roman" w:cs="Arial"/>
          <w:color w:val="000000"/>
          <w:kern w:val="2"/>
          <w:lang w:val="fr-FR"/>
        </w:rPr>
        <w:t>est déroulée en marge de la COP14. Les donateurs suivants sont devenus des «</w:t>
      </w:r>
      <w:r w:rsidR="001F0CA5">
        <w:rPr>
          <w:rFonts w:eastAsia="Times New Roman" w:cs="Arial"/>
          <w:color w:val="000000"/>
          <w:kern w:val="2"/>
          <w:lang w:val="fr-FR"/>
        </w:rPr>
        <w:t> </w:t>
      </w:r>
      <w:r>
        <w:rPr>
          <w:rFonts w:eastAsia="Times New Roman" w:cs="Arial"/>
          <w:color w:val="000000"/>
          <w:kern w:val="2"/>
          <w:lang w:val="fr-FR"/>
        </w:rPr>
        <w:t>champions</w:t>
      </w:r>
      <w:r w:rsidR="001F0CA5">
        <w:rPr>
          <w:rFonts w:eastAsia="Times New Roman" w:cs="Arial"/>
          <w:color w:val="000000"/>
          <w:kern w:val="2"/>
          <w:lang w:val="fr-FR"/>
        </w:rPr>
        <w:t> </w:t>
      </w:r>
      <w:r>
        <w:rPr>
          <w:rFonts w:eastAsia="Times New Roman" w:cs="Arial"/>
          <w:color w:val="000000"/>
          <w:kern w:val="2"/>
          <w:lang w:val="fr-FR"/>
        </w:rPr>
        <w:t>» grâce à leur contribution</w:t>
      </w:r>
      <w:r w:rsidR="001F0CA5">
        <w:rPr>
          <w:rFonts w:eastAsia="Times New Roman" w:cs="Arial"/>
          <w:color w:val="000000"/>
          <w:kern w:val="2"/>
          <w:lang w:val="fr-FR"/>
        </w:rPr>
        <w:t> </w:t>
      </w:r>
      <w:r>
        <w:rPr>
          <w:rFonts w:eastAsia="Times New Roman" w:cs="Arial"/>
          <w:color w:val="000000"/>
          <w:kern w:val="2"/>
          <w:lang w:val="fr-FR"/>
        </w:rPr>
        <w:t>:</w:t>
      </w:r>
    </w:p>
    <w:p w14:paraId="4EB8C916" w14:textId="77777777" w:rsidR="004B74B3" w:rsidRDefault="00816D6D">
      <w:pPr>
        <w:pStyle w:val="ListParagraph"/>
        <w:numPr>
          <w:ilvl w:val="0"/>
          <w:numId w:val="39"/>
        </w:numPr>
        <w:suppressAutoHyphens/>
        <w:spacing w:before="120"/>
        <w:ind w:left="924" w:hanging="357"/>
        <w:contextualSpacing w:val="0"/>
        <w:jc w:val="both"/>
        <w:rPr>
          <w:rFonts w:ascii="Arial" w:hAnsi="Arial" w:cs="Arial"/>
          <w:color w:val="000000"/>
          <w:kern w:val="2"/>
          <w:sz w:val="22"/>
          <w:szCs w:val="22"/>
          <w:lang w:val="fr-FR"/>
        </w:rPr>
      </w:pPr>
      <w:r>
        <w:rPr>
          <w:rFonts w:ascii="Arial" w:hAnsi="Arial" w:cs="Arial"/>
          <w:color w:val="000000"/>
          <w:kern w:val="2"/>
          <w:sz w:val="22"/>
          <w:szCs w:val="22"/>
          <w:lang w:val="fr-FR"/>
        </w:rPr>
        <w:t>Le gouvernement de l</w:t>
      </w:r>
      <w:r w:rsidR="001F0CA5">
        <w:rPr>
          <w:rFonts w:ascii="Arial" w:hAnsi="Arial" w:cs="Arial"/>
          <w:color w:val="000000"/>
          <w:kern w:val="2"/>
          <w:sz w:val="22"/>
          <w:szCs w:val="22"/>
          <w:lang w:val="fr-FR"/>
        </w:rPr>
        <w:t>’</w:t>
      </w:r>
      <w:r>
        <w:rPr>
          <w:rFonts w:ascii="Arial" w:hAnsi="Arial" w:cs="Arial"/>
          <w:color w:val="000000"/>
          <w:kern w:val="2"/>
          <w:sz w:val="22"/>
          <w:szCs w:val="22"/>
          <w:lang w:val="fr-FR"/>
        </w:rPr>
        <w:t>Ouzbékistan en soutien au Partenariat mondial pour la connectivité écologique (GPEC) nouvellement créé, qui encourage la collaboration internationale pour coordonner les efforts de conservation et obtenir des résultats tangibles pour la période</w:t>
      </w:r>
      <w:r w:rsidR="001F0CA5">
        <w:rPr>
          <w:rFonts w:ascii="Arial" w:hAnsi="Arial" w:cs="Arial"/>
          <w:color w:val="000000"/>
          <w:kern w:val="2"/>
          <w:sz w:val="22"/>
          <w:szCs w:val="22"/>
          <w:lang w:val="fr-FR"/>
        </w:rPr>
        <w:t> </w:t>
      </w:r>
      <w:r>
        <w:rPr>
          <w:rFonts w:ascii="Arial" w:hAnsi="Arial" w:cs="Arial"/>
          <w:color w:val="000000"/>
          <w:kern w:val="2"/>
          <w:sz w:val="22"/>
          <w:szCs w:val="22"/>
          <w:lang w:val="fr-FR"/>
        </w:rPr>
        <w:t>2024-2026</w:t>
      </w:r>
      <w:r w:rsidR="001F0CA5">
        <w:rPr>
          <w:rFonts w:ascii="Arial" w:hAnsi="Arial" w:cs="Arial"/>
          <w:color w:val="000000"/>
          <w:kern w:val="2"/>
          <w:sz w:val="22"/>
          <w:szCs w:val="22"/>
          <w:lang w:val="fr-FR"/>
        </w:rPr>
        <w:t> </w:t>
      </w:r>
      <w:r>
        <w:rPr>
          <w:rFonts w:ascii="Arial" w:hAnsi="Arial" w:cs="Arial"/>
          <w:color w:val="000000"/>
          <w:kern w:val="2"/>
          <w:sz w:val="22"/>
          <w:szCs w:val="22"/>
          <w:lang w:val="fr-FR"/>
        </w:rPr>
        <w:t xml:space="preserve">; </w:t>
      </w:r>
    </w:p>
    <w:p w14:paraId="22071E18" w14:textId="77777777" w:rsidR="004B74B3" w:rsidRDefault="00816D6D">
      <w:pPr>
        <w:pStyle w:val="ListParagraph"/>
        <w:numPr>
          <w:ilvl w:val="0"/>
          <w:numId w:val="39"/>
        </w:numPr>
        <w:suppressAutoHyphens/>
        <w:spacing w:before="120"/>
        <w:ind w:left="924" w:hanging="357"/>
        <w:contextualSpacing w:val="0"/>
        <w:jc w:val="both"/>
        <w:rPr>
          <w:rFonts w:ascii="Arial" w:hAnsi="Arial" w:cs="Arial"/>
          <w:color w:val="000000"/>
          <w:kern w:val="2"/>
          <w:sz w:val="22"/>
          <w:szCs w:val="22"/>
          <w:lang w:val="fr-FR"/>
        </w:rPr>
      </w:pPr>
      <w:r>
        <w:rPr>
          <w:rFonts w:ascii="Arial" w:hAnsi="Arial" w:cs="Arial"/>
          <w:color w:val="000000"/>
          <w:kern w:val="2"/>
          <w:sz w:val="22"/>
          <w:szCs w:val="22"/>
          <w:lang w:val="fr-FR"/>
        </w:rPr>
        <w:t>La Commission européenne en soutien à la lutte contre l</w:t>
      </w:r>
      <w:r w:rsidR="001F0CA5">
        <w:rPr>
          <w:rFonts w:ascii="Arial" w:hAnsi="Arial" w:cs="Arial"/>
          <w:color w:val="000000"/>
          <w:kern w:val="2"/>
          <w:sz w:val="22"/>
          <w:szCs w:val="22"/>
          <w:lang w:val="fr-FR"/>
        </w:rPr>
        <w:t>’</w:t>
      </w:r>
      <w:r>
        <w:rPr>
          <w:rFonts w:ascii="Arial" w:hAnsi="Arial" w:cs="Arial"/>
          <w:color w:val="000000"/>
          <w:kern w:val="2"/>
          <w:sz w:val="22"/>
          <w:szCs w:val="22"/>
          <w:lang w:val="fr-FR"/>
        </w:rPr>
        <w:t>abattage, le prélèvement et le commerce illégaux d</w:t>
      </w:r>
      <w:r w:rsidR="001F0CA5">
        <w:rPr>
          <w:rFonts w:ascii="Arial" w:hAnsi="Arial" w:cs="Arial"/>
          <w:color w:val="000000"/>
          <w:kern w:val="2"/>
          <w:sz w:val="22"/>
          <w:szCs w:val="22"/>
          <w:lang w:val="fr-FR"/>
        </w:rPr>
        <w:t>’</w:t>
      </w:r>
      <w:r>
        <w:rPr>
          <w:rFonts w:ascii="Arial" w:hAnsi="Arial" w:cs="Arial"/>
          <w:color w:val="000000"/>
          <w:kern w:val="2"/>
          <w:sz w:val="22"/>
          <w:szCs w:val="22"/>
          <w:lang w:val="fr-FR"/>
        </w:rPr>
        <w:t>oiseaux en Méditerranée pour la période</w:t>
      </w:r>
      <w:r w:rsidR="001F0CA5">
        <w:rPr>
          <w:rFonts w:ascii="Arial" w:hAnsi="Arial" w:cs="Arial"/>
          <w:color w:val="000000"/>
          <w:kern w:val="2"/>
          <w:sz w:val="22"/>
          <w:szCs w:val="22"/>
          <w:lang w:val="fr-FR"/>
        </w:rPr>
        <w:t> </w:t>
      </w:r>
      <w:r>
        <w:rPr>
          <w:rFonts w:ascii="Arial" w:hAnsi="Arial" w:cs="Arial"/>
          <w:color w:val="000000"/>
          <w:kern w:val="2"/>
          <w:sz w:val="22"/>
          <w:szCs w:val="22"/>
          <w:lang w:val="fr-FR"/>
        </w:rPr>
        <w:t>2023-2028, grâce aux travaux du Groupe de travail</w:t>
      </w:r>
      <w:r w:rsidR="001F0CA5">
        <w:rPr>
          <w:rFonts w:ascii="Arial" w:hAnsi="Arial" w:cs="Arial"/>
          <w:color w:val="000000"/>
          <w:kern w:val="2"/>
          <w:sz w:val="22"/>
          <w:szCs w:val="22"/>
          <w:lang w:val="fr-FR"/>
        </w:rPr>
        <w:t> </w:t>
      </w:r>
      <w:r>
        <w:rPr>
          <w:rFonts w:ascii="Arial" w:hAnsi="Arial" w:cs="Arial"/>
          <w:color w:val="000000"/>
          <w:kern w:val="2"/>
          <w:sz w:val="22"/>
          <w:szCs w:val="22"/>
          <w:lang w:val="fr-FR"/>
        </w:rPr>
        <w:t>;</w:t>
      </w:r>
    </w:p>
    <w:p w14:paraId="061A550A" w14:textId="77777777" w:rsidR="004B74B3" w:rsidRDefault="00816D6D">
      <w:pPr>
        <w:pStyle w:val="ListParagraph"/>
        <w:numPr>
          <w:ilvl w:val="0"/>
          <w:numId w:val="39"/>
        </w:numPr>
        <w:suppressAutoHyphens/>
        <w:spacing w:before="120"/>
        <w:ind w:left="924" w:hanging="357"/>
        <w:contextualSpacing w:val="0"/>
        <w:jc w:val="both"/>
        <w:rPr>
          <w:rFonts w:ascii="Arial" w:hAnsi="Arial" w:cs="Arial"/>
          <w:color w:val="000000"/>
          <w:kern w:val="2"/>
          <w:sz w:val="22"/>
          <w:szCs w:val="22"/>
          <w:lang w:val="fr-FR"/>
        </w:rPr>
      </w:pPr>
      <w:r>
        <w:rPr>
          <w:rFonts w:ascii="Arial" w:hAnsi="Arial" w:cs="Arial"/>
          <w:color w:val="000000"/>
          <w:kern w:val="2"/>
          <w:sz w:val="22"/>
          <w:szCs w:val="22"/>
          <w:lang w:val="fr-FR"/>
        </w:rPr>
        <w:t>Le gouvernement de la République fédérale d</w:t>
      </w:r>
      <w:r w:rsidR="001F0CA5">
        <w:rPr>
          <w:rFonts w:ascii="Arial" w:hAnsi="Arial" w:cs="Arial"/>
          <w:color w:val="000000"/>
          <w:kern w:val="2"/>
          <w:sz w:val="22"/>
          <w:szCs w:val="22"/>
          <w:lang w:val="fr-FR"/>
        </w:rPr>
        <w:t>’</w:t>
      </w:r>
      <w:r>
        <w:rPr>
          <w:rFonts w:ascii="Arial" w:hAnsi="Arial" w:cs="Arial"/>
          <w:color w:val="000000"/>
          <w:kern w:val="2"/>
          <w:sz w:val="22"/>
          <w:szCs w:val="22"/>
          <w:lang w:val="fr-FR"/>
        </w:rPr>
        <w:t>Allemagne pour son engagement en faveur de la conservation de la mégafaune sahélo-saharienne pour la période</w:t>
      </w:r>
      <w:r w:rsidR="001F0CA5">
        <w:rPr>
          <w:rFonts w:ascii="Arial" w:hAnsi="Arial" w:cs="Arial"/>
          <w:color w:val="000000"/>
          <w:kern w:val="2"/>
          <w:sz w:val="22"/>
          <w:szCs w:val="22"/>
          <w:lang w:val="fr-FR"/>
        </w:rPr>
        <w:t> </w:t>
      </w:r>
      <w:r>
        <w:rPr>
          <w:rFonts w:ascii="Arial" w:hAnsi="Arial" w:cs="Arial"/>
          <w:color w:val="000000"/>
          <w:kern w:val="2"/>
          <w:sz w:val="22"/>
          <w:szCs w:val="22"/>
          <w:lang w:val="fr-FR"/>
        </w:rPr>
        <w:t>2021-2024</w:t>
      </w:r>
      <w:r w:rsidR="001F0CA5">
        <w:rPr>
          <w:rFonts w:ascii="Arial" w:hAnsi="Arial" w:cs="Arial"/>
          <w:color w:val="000000"/>
          <w:kern w:val="2"/>
          <w:sz w:val="22"/>
          <w:szCs w:val="22"/>
          <w:lang w:val="fr-FR"/>
        </w:rPr>
        <w:t> </w:t>
      </w:r>
      <w:r>
        <w:rPr>
          <w:rFonts w:ascii="Arial" w:hAnsi="Arial" w:cs="Arial"/>
          <w:color w:val="000000"/>
          <w:kern w:val="2"/>
          <w:sz w:val="22"/>
          <w:szCs w:val="22"/>
          <w:lang w:val="fr-FR"/>
        </w:rPr>
        <w:t>;</w:t>
      </w:r>
    </w:p>
    <w:p w14:paraId="3B3D1DB3" w14:textId="4619F491" w:rsidR="0049060A" w:rsidRDefault="00816D6D">
      <w:pPr>
        <w:pStyle w:val="ListParagraph"/>
        <w:numPr>
          <w:ilvl w:val="0"/>
          <w:numId w:val="39"/>
        </w:numPr>
        <w:suppressAutoHyphens/>
        <w:spacing w:before="120"/>
        <w:ind w:left="924" w:hanging="357"/>
        <w:contextualSpacing w:val="0"/>
        <w:jc w:val="both"/>
        <w:rPr>
          <w:rFonts w:ascii="Arial" w:hAnsi="Arial" w:cs="Arial"/>
          <w:color w:val="000000"/>
          <w:kern w:val="2"/>
          <w:sz w:val="22"/>
          <w:szCs w:val="22"/>
          <w:lang w:val="fr-FR"/>
        </w:rPr>
      </w:pPr>
      <w:r>
        <w:rPr>
          <w:rFonts w:ascii="Arial" w:hAnsi="Arial" w:cs="Arial"/>
          <w:color w:val="000000"/>
          <w:kern w:val="2"/>
          <w:sz w:val="22"/>
          <w:szCs w:val="22"/>
          <w:lang w:val="fr-FR"/>
        </w:rPr>
        <w:t>Le gouvernement de l</w:t>
      </w:r>
      <w:r w:rsidR="001F0CA5">
        <w:rPr>
          <w:rFonts w:ascii="Arial" w:hAnsi="Arial" w:cs="Arial"/>
          <w:color w:val="000000"/>
          <w:kern w:val="2"/>
          <w:sz w:val="22"/>
          <w:szCs w:val="22"/>
          <w:lang w:val="fr-FR"/>
        </w:rPr>
        <w:t>’</w:t>
      </w:r>
      <w:r>
        <w:rPr>
          <w:rFonts w:ascii="Arial" w:hAnsi="Arial" w:cs="Arial"/>
          <w:color w:val="000000"/>
          <w:kern w:val="2"/>
          <w:sz w:val="22"/>
          <w:szCs w:val="22"/>
          <w:lang w:val="fr-FR"/>
        </w:rPr>
        <w:t>Inde en soutien à la conservation des oiseaux migrateurs pour la voie de migration d</w:t>
      </w:r>
      <w:r w:rsidR="001F0CA5">
        <w:rPr>
          <w:rFonts w:ascii="Arial" w:hAnsi="Arial" w:cs="Arial"/>
          <w:color w:val="000000"/>
          <w:kern w:val="2"/>
          <w:sz w:val="22"/>
          <w:szCs w:val="22"/>
          <w:lang w:val="fr-FR"/>
        </w:rPr>
        <w:t>’</w:t>
      </w:r>
      <w:r>
        <w:rPr>
          <w:rFonts w:ascii="Arial" w:hAnsi="Arial" w:cs="Arial"/>
          <w:color w:val="000000"/>
          <w:kern w:val="2"/>
          <w:sz w:val="22"/>
          <w:szCs w:val="22"/>
          <w:lang w:val="fr-FR"/>
        </w:rPr>
        <w:t>Asie centrale et à la mise en place d</w:t>
      </w:r>
      <w:r w:rsidR="001F0CA5">
        <w:rPr>
          <w:rFonts w:ascii="Arial" w:hAnsi="Arial" w:cs="Arial"/>
          <w:color w:val="000000"/>
          <w:kern w:val="2"/>
          <w:sz w:val="22"/>
          <w:szCs w:val="22"/>
          <w:lang w:val="fr-FR"/>
        </w:rPr>
        <w:t>’</w:t>
      </w:r>
      <w:r>
        <w:rPr>
          <w:rFonts w:ascii="Arial" w:hAnsi="Arial" w:cs="Arial"/>
          <w:color w:val="000000"/>
          <w:kern w:val="2"/>
          <w:sz w:val="22"/>
          <w:szCs w:val="22"/>
          <w:lang w:val="fr-FR"/>
        </w:rPr>
        <w:t>une nouvelle initiative dédiée visant à renforcer la coopération et à promouvoir les synergies dans la région</w:t>
      </w:r>
      <w:r w:rsidR="001F0CA5">
        <w:rPr>
          <w:rFonts w:ascii="Arial" w:hAnsi="Arial" w:cs="Arial"/>
          <w:color w:val="000000"/>
          <w:kern w:val="2"/>
          <w:sz w:val="22"/>
          <w:szCs w:val="22"/>
          <w:lang w:val="fr-FR"/>
        </w:rPr>
        <w:t> </w:t>
      </w:r>
      <w:r>
        <w:rPr>
          <w:rFonts w:ascii="Arial" w:hAnsi="Arial" w:cs="Arial"/>
          <w:color w:val="000000"/>
          <w:kern w:val="2"/>
          <w:sz w:val="22"/>
          <w:szCs w:val="22"/>
          <w:lang w:val="fr-FR"/>
        </w:rPr>
        <w:t>;</w:t>
      </w:r>
      <w:r w:rsidR="0049060A">
        <w:rPr>
          <w:rFonts w:ascii="Arial" w:hAnsi="Arial" w:cs="Arial"/>
          <w:color w:val="000000"/>
          <w:kern w:val="2"/>
          <w:sz w:val="22"/>
          <w:szCs w:val="22"/>
          <w:lang w:val="fr-FR"/>
        </w:rPr>
        <w:br w:type="page"/>
      </w:r>
    </w:p>
    <w:p w14:paraId="32A9374B" w14:textId="77777777" w:rsidR="004B74B3" w:rsidRDefault="00816D6D">
      <w:pPr>
        <w:numPr>
          <w:ilvl w:val="0"/>
          <w:numId w:val="39"/>
        </w:numPr>
        <w:suppressAutoHyphens/>
        <w:spacing w:before="120"/>
        <w:ind w:left="924" w:hanging="357"/>
        <w:jc w:val="both"/>
        <w:rPr>
          <w:rFonts w:eastAsia="Times New Roman" w:cs="Arial"/>
          <w:color w:val="000000"/>
          <w:kern w:val="2"/>
          <w:lang w:val="fr-FR"/>
        </w:rPr>
      </w:pPr>
      <w:r>
        <w:rPr>
          <w:rFonts w:eastAsia="Times New Roman" w:cs="Arial"/>
          <w:color w:val="000000"/>
          <w:kern w:val="2"/>
          <w:lang w:val="fr-FR"/>
        </w:rPr>
        <w:lastRenderedPageBreak/>
        <w:t>Le gouvernement de la Principauté de Monaco pour la mise en œuvre de la Convention pour la période</w:t>
      </w:r>
      <w:r w:rsidR="001F0CA5">
        <w:rPr>
          <w:rFonts w:eastAsia="Times New Roman" w:cs="Arial"/>
          <w:color w:val="000000"/>
          <w:kern w:val="2"/>
          <w:lang w:val="fr-FR"/>
        </w:rPr>
        <w:t> </w:t>
      </w:r>
      <w:r>
        <w:rPr>
          <w:rFonts w:eastAsia="Times New Roman" w:cs="Arial"/>
          <w:color w:val="000000"/>
          <w:kern w:val="2"/>
          <w:lang w:val="fr-FR"/>
        </w:rPr>
        <w:t>2024-2026, en mettant l</w:t>
      </w:r>
      <w:r w:rsidR="001F0CA5">
        <w:rPr>
          <w:rFonts w:eastAsia="Times New Roman" w:cs="Arial"/>
          <w:color w:val="000000"/>
          <w:kern w:val="2"/>
          <w:lang w:val="fr-FR"/>
        </w:rPr>
        <w:t>’</w:t>
      </w:r>
      <w:r>
        <w:rPr>
          <w:rFonts w:eastAsia="Times New Roman" w:cs="Arial"/>
          <w:color w:val="000000"/>
          <w:kern w:val="2"/>
          <w:lang w:val="fr-FR"/>
        </w:rPr>
        <w:t>accent sur la poursuite du soutien à l</w:t>
      </w:r>
      <w:r w:rsidR="001F0CA5">
        <w:rPr>
          <w:rFonts w:eastAsia="Times New Roman" w:cs="Arial"/>
          <w:color w:val="000000"/>
          <w:kern w:val="2"/>
          <w:lang w:val="fr-FR"/>
        </w:rPr>
        <w:t>’</w:t>
      </w:r>
      <w:r>
        <w:rPr>
          <w:rFonts w:eastAsia="Times New Roman" w:cs="Arial"/>
          <w:color w:val="000000"/>
          <w:kern w:val="2"/>
          <w:lang w:val="fr-FR"/>
        </w:rPr>
        <w:t xml:space="preserve">agenda marin de la CMS, comme cela a été fait les années précédentes, ainsi que pour son soutien </w:t>
      </w:r>
      <w:r>
        <w:rPr>
          <w:rFonts w:cs="Arial"/>
          <w:color w:val="000000"/>
          <w:kern w:val="2"/>
          <w:lang w:val="fr-FR"/>
        </w:rPr>
        <w:t>au GPEC</w:t>
      </w:r>
      <w:r w:rsidR="001F0CA5">
        <w:rPr>
          <w:rFonts w:cs="Arial"/>
          <w:color w:val="000000"/>
          <w:kern w:val="2"/>
          <w:lang w:val="fr-FR"/>
        </w:rPr>
        <w:t> </w:t>
      </w:r>
      <w:r>
        <w:rPr>
          <w:rFonts w:cs="Arial"/>
          <w:color w:val="000000"/>
          <w:kern w:val="2"/>
          <w:lang w:val="fr-FR"/>
        </w:rPr>
        <w:t>;</w:t>
      </w:r>
      <w:r>
        <w:rPr>
          <w:lang w:val="fr-FR"/>
        </w:rPr>
        <w:t xml:space="preserve"> </w:t>
      </w:r>
    </w:p>
    <w:p w14:paraId="20BAF4DE" w14:textId="77777777" w:rsidR="004B74B3" w:rsidRDefault="00816D6D">
      <w:pPr>
        <w:numPr>
          <w:ilvl w:val="0"/>
          <w:numId w:val="39"/>
        </w:numPr>
        <w:suppressAutoHyphens/>
        <w:spacing w:before="120"/>
        <w:ind w:left="924" w:hanging="357"/>
        <w:jc w:val="both"/>
        <w:rPr>
          <w:rFonts w:eastAsia="Times New Roman" w:cs="Arial"/>
          <w:color w:val="000000"/>
          <w:kern w:val="2"/>
          <w:lang w:val="fr-FR"/>
        </w:rPr>
      </w:pPr>
      <w:r>
        <w:rPr>
          <w:rFonts w:eastAsia="Times New Roman" w:cs="Arial"/>
          <w:color w:val="000000"/>
          <w:kern w:val="2"/>
          <w:lang w:val="fr-FR"/>
        </w:rPr>
        <w:t>Le gouvernement du Royaume-Uni pour son engagement en faveur de la lutte contre les prélèvements illégaux et non durables d</w:t>
      </w:r>
      <w:r w:rsidR="001F0CA5">
        <w:rPr>
          <w:rFonts w:eastAsia="Times New Roman" w:cs="Arial"/>
          <w:color w:val="000000"/>
          <w:kern w:val="2"/>
          <w:lang w:val="fr-FR"/>
        </w:rPr>
        <w:t>’</w:t>
      </w:r>
      <w:r>
        <w:rPr>
          <w:rFonts w:eastAsia="Times New Roman" w:cs="Arial"/>
          <w:color w:val="000000"/>
          <w:kern w:val="2"/>
          <w:lang w:val="fr-FR"/>
        </w:rPr>
        <w:t>espèces migratrices pour la période</w:t>
      </w:r>
      <w:r w:rsidR="001F0CA5">
        <w:rPr>
          <w:rFonts w:eastAsia="Times New Roman" w:cs="Arial"/>
          <w:color w:val="000000"/>
          <w:kern w:val="2"/>
          <w:lang w:val="fr-FR"/>
        </w:rPr>
        <w:t> </w:t>
      </w:r>
      <w:r>
        <w:rPr>
          <w:rFonts w:eastAsia="Times New Roman" w:cs="Arial"/>
          <w:color w:val="000000"/>
          <w:kern w:val="2"/>
          <w:lang w:val="fr-FR"/>
        </w:rPr>
        <w:t>2024-2026</w:t>
      </w:r>
      <w:r w:rsidR="001F0CA5">
        <w:rPr>
          <w:rFonts w:eastAsia="Times New Roman" w:cs="Arial"/>
          <w:color w:val="000000"/>
          <w:kern w:val="2"/>
          <w:lang w:val="fr-FR"/>
        </w:rPr>
        <w:t> </w:t>
      </w:r>
      <w:r>
        <w:rPr>
          <w:rFonts w:eastAsia="Times New Roman" w:cs="Arial"/>
          <w:color w:val="000000"/>
          <w:kern w:val="2"/>
          <w:lang w:val="fr-FR"/>
        </w:rPr>
        <w:t>;</w:t>
      </w:r>
    </w:p>
    <w:p w14:paraId="3F509A1A" w14:textId="77777777" w:rsidR="004B74B3" w:rsidRDefault="00816D6D">
      <w:pPr>
        <w:numPr>
          <w:ilvl w:val="0"/>
          <w:numId w:val="39"/>
        </w:numPr>
        <w:suppressAutoHyphens/>
        <w:spacing w:before="120"/>
        <w:ind w:left="924" w:hanging="357"/>
        <w:jc w:val="both"/>
        <w:rPr>
          <w:rFonts w:eastAsia="Times New Roman" w:cs="Arial"/>
          <w:color w:val="000000"/>
          <w:kern w:val="2"/>
          <w:lang w:val="fr-FR"/>
        </w:rPr>
      </w:pPr>
      <w:r>
        <w:rPr>
          <w:rFonts w:eastAsia="Times New Roman" w:cs="Arial"/>
          <w:color w:val="000000"/>
          <w:kern w:val="2"/>
          <w:lang w:val="fr-FR"/>
        </w:rPr>
        <w:t>L</w:t>
      </w:r>
      <w:r w:rsidR="001F0CA5">
        <w:rPr>
          <w:rFonts w:eastAsia="Times New Roman" w:cs="Arial"/>
          <w:color w:val="000000"/>
          <w:kern w:val="2"/>
          <w:lang w:val="fr-FR"/>
        </w:rPr>
        <w:t>’</w:t>
      </w:r>
      <w:r>
        <w:rPr>
          <w:rFonts w:eastAsia="Times New Roman" w:cs="Arial"/>
          <w:color w:val="000000"/>
          <w:kern w:val="2"/>
          <w:lang w:val="fr-FR"/>
        </w:rPr>
        <w:t>Agence de l</w:t>
      </w:r>
      <w:r w:rsidR="001F0CA5">
        <w:rPr>
          <w:rFonts w:eastAsia="Times New Roman" w:cs="Arial"/>
          <w:color w:val="000000"/>
          <w:kern w:val="2"/>
          <w:lang w:val="fr-FR"/>
        </w:rPr>
        <w:t>’</w:t>
      </w:r>
      <w:r>
        <w:rPr>
          <w:rFonts w:eastAsia="Times New Roman" w:cs="Arial"/>
          <w:color w:val="000000"/>
          <w:kern w:val="2"/>
          <w:lang w:val="fr-FR"/>
        </w:rPr>
        <w:t>Environnement - Abou Dhabi pour son engagement en faveur de la conservation des oiseaux de proie migrateurs d</w:t>
      </w:r>
      <w:r w:rsidR="001F0CA5">
        <w:rPr>
          <w:rFonts w:eastAsia="Times New Roman" w:cs="Arial"/>
          <w:color w:val="000000"/>
          <w:kern w:val="2"/>
          <w:lang w:val="fr-FR"/>
        </w:rPr>
        <w:t>’</w:t>
      </w:r>
      <w:r>
        <w:rPr>
          <w:rFonts w:eastAsia="Times New Roman" w:cs="Arial"/>
          <w:color w:val="000000"/>
          <w:kern w:val="2"/>
          <w:lang w:val="fr-FR"/>
        </w:rPr>
        <w:t>Afrique et d</w:t>
      </w:r>
      <w:r w:rsidR="001F0CA5">
        <w:rPr>
          <w:rFonts w:eastAsia="Times New Roman" w:cs="Arial"/>
          <w:color w:val="000000"/>
          <w:kern w:val="2"/>
          <w:lang w:val="fr-FR"/>
        </w:rPr>
        <w:t>’</w:t>
      </w:r>
      <w:r>
        <w:rPr>
          <w:rFonts w:eastAsia="Times New Roman" w:cs="Arial"/>
          <w:color w:val="000000"/>
          <w:kern w:val="2"/>
          <w:lang w:val="fr-FR"/>
        </w:rPr>
        <w:t>Eurasie, ainsi que pour la conservation des dugongs et de leurs habitats pour la période</w:t>
      </w:r>
      <w:r w:rsidR="001F0CA5">
        <w:rPr>
          <w:rFonts w:eastAsia="Times New Roman" w:cs="Arial"/>
          <w:color w:val="000000"/>
          <w:kern w:val="2"/>
          <w:lang w:val="fr-FR"/>
        </w:rPr>
        <w:t> </w:t>
      </w:r>
      <w:r>
        <w:rPr>
          <w:rFonts w:eastAsia="Times New Roman" w:cs="Arial"/>
          <w:color w:val="000000"/>
          <w:kern w:val="2"/>
          <w:lang w:val="fr-FR"/>
        </w:rPr>
        <w:t>2024-2027 et son leadership de longue date dans le codéveloppement et le soutien à la mise en œuvre du Mémorandum d</w:t>
      </w:r>
      <w:r w:rsidR="001F0CA5">
        <w:rPr>
          <w:rFonts w:eastAsia="Times New Roman" w:cs="Arial"/>
          <w:color w:val="000000"/>
          <w:kern w:val="2"/>
          <w:lang w:val="fr-FR"/>
        </w:rPr>
        <w:t>’</w:t>
      </w:r>
      <w:r>
        <w:rPr>
          <w:rFonts w:eastAsia="Times New Roman" w:cs="Arial"/>
          <w:color w:val="000000"/>
          <w:kern w:val="2"/>
          <w:lang w:val="fr-FR"/>
        </w:rPr>
        <w:t>Entente (</w:t>
      </w:r>
      <w:proofErr w:type="spellStart"/>
      <w:r>
        <w:rPr>
          <w:rFonts w:eastAsia="Times New Roman" w:cs="Arial"/>
          <w:color w:val="000000"/>
          <w:kern w:val="2"/>
          <w:lang w:val="fr-FR"/>
        </w:rPr>
        <w:t>MdE</w:t>
      </w:r>
      <w:proofErr w:type="spellEnd"/>
      <w:r>
        <w:rPr>
          <w:rFonts w:eastAsia="Times New Roman" w:cs="Arial"/>
          <w:color w:val="000000"/>
          <w:kern w:val="2"/>
          <w:lang w:val="fr-FR"/>
        </w:rPr>
        <w:t>) de la CMS sur les Rapaces et du MdE de la CMS sur les Dugongs</w:t>
      </w:r>
      <w:r w:rsidR="001F0CA5">
        <w:rPr>
          <w:rFonts w:eastAsia="Times New Roman" w:cs="Arial"/>
          <w:color w:val="000000"/>
          <w:kern w:val="2"/>
          <w:lang w:val="fr-FR"/>
        </w:rPr>
        <w:t> </w:t>
      </w:r>
      <w:r>
        <w:rPr>
          <w:rFonts w:eastAsia="Times New Roman" w:cs="Arial"/>
          <w:color w:val="000000"/>
          <w:kern w:val="2"/>
          <w:lang w:val="fr-FR"/>
        </w:rPr>
        <w:t>;  </w:t>
      </w:r>
    </w:p>
    <w:p w14:paraId="1234ACCB" w14:textId="77777777" w:rsidR="004B74B3" w:rsidRDefault="00816D6D">
      <w:pPr>
        <w:numPr>
          <w:ilvl w:val="0"/>
          <w:numId w:val="39"/>
        </w:numPr>
        <w:suppressAutoHyphens/>
        <w:spacing w:before="120"/>
        <w:ind w:left="924" w:hanging="357"/>
        <w:jc w:val="both"/>
        <w:rPr>
          <w:rFonts w:eastAsia="Times New Roman" w:cs="Arial"/>
          <w:color w:val="000000"/>
          <w:kern w:val="2"/>
          <w:lang w:val="fr-FR"/>
        </w:rPr>
      </w:pPr>
      <w:r>
        <w:rPr>
          <w:rFonts w:eastAsia="Times New Roman" w:cs="Arial"/>
          <w:color w:val="000000"/>
          <w:kern w:val="2"/>
          <w:lang w:val="fr-FR"/>
        </w:rPr>
        <w:t xml:space="preserve">Le National Center for </w:t>
      </w:r>
      <w:proofErr w:type="spellStart"/>
      <w:r>
        <w:rPr>
          <w:rFonts w:eastAsia="Times New Roman" w:cs="Arial"/>
          <w:color w:val="000000"/>
          <w:kern w:val="2"/>
          <w:lang w:val="fr-FR"/>
        </w:rPr>
        <w:t>Wildlife</w:t>
      </w:r>
      <w:proofErr w:type="spellEnd"/>
      <w:r>
        <w:rPr>
          <w:rFonts w:eastAsia="Times New Roman" w:cs="Arial"/>
          <w:color w:val="000000"/>
          <w:kern w:val="2"/>
          <w:lang w:val="fr-FR"/>
        </w:rPr>
        <w:t xml:space="preserve"> du Royaume d</w:t>
      </w:r>
      <w:r w:rsidR="001F0CA5">
        <w:rPr>
          <w:rFonts w:eastAsia="Times New Roman" w:cs="Arial"/>
          <w:color w:val="000000"/>
          <w:kern w:val="2"/>
          <w:lang w:val="fr-FR"/>
        </w:rPr>
        <w:t>’</w:t>
      </w:r>
      <w:r>
        <w:rPr>
          <w:rFonts w:eastAsia="Times New Roman" w:cs="Arial"/>
          <w:color w:val="000000"/>
          <w:kern w:val="2"/>
          <w:lang w:val="fr-FR"/>
        </w:rPr>
        <w:t>Arabie saoudite pour son engagement en faveur de la lutte contre la chasse, le prélèvement et le commerce illégaux des oiseaux migrateurs en Asie du Sud-Ouest pour la période</w:t>
      </w:r>
      <w:r w:rsidR="001F0CA5">
        <w:rPr>
          <w:rFonts w:eastAsia="Times New Roman" w:cs="Arial"/>
          <w:color w:val="000000"/>
          <w:kern w:val="2"/>
          <w:lang w:val="fr-FR"/>
        </w:rPr>
        <w:t> </w:t>
      </w:r>
      <w:r>
        <w:rPr>
          <w:rFonts w:eastAsia="Times New Roman" w:cs="Arial"/>
          <w:color w:val="000000"/>
          <w:kern w:val="2"/>
          <w:lang w:val="fr-FR"/>
        </w:rPr>
        <w:t>2024-2026 et du lancement d</w:t>
      </w:r>
      <w:r w:rsidR="001F0CA5">
        <w:rPr>
          <w:rFonts w:eastAsia="Times New Roman" w:cs="Arial"/>
          <w:color w:val="000000"/>
          <w:kern w:val="2"/>
          <w:lang w:val="fr-FR"/>
        </w:rPr>
        <w:t>’</w:t>
      </w:r>
      <w:r>
        <w:rPr>
          <w:rFonts w:eastAsia="Times New Roman" w:cs="Arial"/>
          <w:color w:val="000000"/>
          <w:kern w:val="2"/>
          <w:lang w:val="fr-FR"/>
        </w:rPr>
        <w:t>un groupe de travail spécial visant à coordonner les efforts dans la région pour résoudre ce problème</w:t>
      </w:r>
      <w:r w:rsidR="001F0CA5">
        <w:rPr>
          <w:rFonts w:eastAsia="Times New Roman" w:cs="Arial"/>
          <w:color w:val="000000"/>
          <w:kern w:val="2"/>
          <w:lang w:val="fr-FR"/>
        </w:rPr>
        <w:t> </w:t>
      </w:r>
      <w:r>
        <w:rPr>
          <w:rFonts w:eastAsia="Times New Roman" w:cs="Arial"/>
          <w:color w:val="000000"/>
          <w:kern w:val="2"/>
          <w:lang w:val="fr-FR"/>
        </w:rPr>
        <w:t>; </w:t>
      </w:r>
    </w:p>
    <w:p w14:paraId="09D596F4" w14:textId="77777777" w:rsidR="004B74B3" w:rsidRDefault="00816D6D">
      <w:pPr>
        <w:numPr>
          <w:ilvl w:val="0"/>
          <w:numId w:val="39"/>
        </w:numPr>
        <w:suppressAutoHyphens/>
        <w:spacing w:before="120"/>
        <w:ind w:left="924" w:hanging="357"/>
        <w:jc w:val="both"/>
        <w:rPr>
          <w:rFonts w:eastAsia="Times New Roman" w:cs="Arial"/>
          <w:color w:val="000000"/>
          <w:kern w:val="2"/>
          <w:lang w:val="fr-FR"/>
        </w:rPr>
      </w:pPr>
      <w:r>
        <w:rPr>
          <w:rFonts w:eastAsia="Times New Roman" w:cs="Arial"/>
          <w:color w:val="000000"/>
          <w:kern w:val="2"/>
          <w:lang w:val="fr-FR"/>
        </w:rPr>
        <w:t>L</w:t>
      </w:r>
      <w:r w:rsidR="001F0CA5">
        <w:rPr>
          <w:rFonts w:eastAsia="Times New Roman" w:cs="Arial"/>
          <w:color w:val="000000"/>
          <w:kern w:val="2"/>
          <w:lang w:val="fr-FR"/>
        </w:rPr>
        <w:t>’</w:t>
      </w:r>
      <w:r>
        <w:rPr>
          <w:rFonts w:eastAsia="Times New Roman" w:cs="Arial"/>
          <w:color w:val="000000"/>
          <w:kern w:val="2"/>
          <w:lang w:val="fr-FR"/>
        </w:rPr>
        <w:t>Agence fédérale allemande pour la conservation de la nature en soutien à la préservation des mammifères d</w:t>
      </w:r>
      <w:r w:rsidR="001F0CA5">
        <w:rPr>
          <w:rFonts w:eastAsia="Times New Roman" w:cs="Arial"/>
          <w:color w:val="000000"/>
          <w:kern w:val="2"/>
          <w:lang w:val="fr-FR"/>
        </w:rPr>
        <w:t>’</w:t>
      </w:r>
      <w:r>
        <w:rPr>
          <w:rFonts w:eastAsia="Times New Roman" w:cs="Arial"/>
          <w:color w:val="000000"/>
          <w:kern w:val="2"/>
          <w:lang w:val="fr-FR"/>
        </w:rPr>
        <w:t>Asie centrale pour la période</w:t>
      </w:r>
      <w:r w:rsidR="001F0CA5">
        <w:rPr>
          <w:rFonts w:eastAsia="Times New Roman" w:cs="Arial"/>
          <w:color w:val="000000"/>
          <w:kern w:val="2"/>
          <w:lang w:val="fr-FR"/>
        </w:rPr>
        <w:t> </w:t>
      </w:r>
      <w:r>
        <w:rPr>
          <w:rFonts w:eastAsia="Times New Roman" w:cs="Arial"/>
          <w:color w:val="000000"/>
          <w:kern w:val="2"/>
          <w:lang w:val="fr-FR"/>
        </w:rPr>
        <w:t>2020-2023. </w:t>
      </w:r>
    </w:p>
    <w:p w14:paraId="620CD2C0" w14:textId="77777777" w:rsidR="004B74B3" w:rsidRDefault="004B74B3">
      <w:pPr>
        <w:suppressAutoHyphens/>
        <w:ind w:left="851" w:hanging="284"/>
        <w:jc w:val="both"/>
        <w:rPr>
          <w:rFonts w:eastAsia="Times New Roman" w:cs="Arial"/>
          <w:color w:val="000000"/>
          <w:kern w:val="2"/>
          <w:lang w:val="fr-FR"/>
        </w:rPr>
      </w:pPr>
    </w:p>
    <w:p w14:paraId="20FDEDDD" w14:textId="50473138"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Suite à son adoption, le PdT 2024-2026 a été envoyé à toutes les Parties à la CMS fin</w:t>
      </w:r>
      <w:r w:rsidR="001F0CA5">
        <w:rPr>
          <w:rFonts w:eastAsia="Times New Roman" w:cs="Arial"/>
          <w:color w:val="000000"/>
          <w:kern w:val="2"/>
          <w:lang w:val="fr-FR"/>
        </w:rPr>
        <w:t> </w:t>
      </w:r>
      <w:r>
        <w:rPr>
          <w:rFonts w:eastAsia="Times New Roman" w:cs="Arial"/>
          <w:color w:val="000000"/>
          <w:kern w:val="2"/>
          <w:lang w:val="fr-FR"/>
        </w:rPr>
        <w:t xml:space="preserve">2024 par le biais de la </w:t>
      </w:r>
      <w:hyperlink r:id="rId13" w:history="1">
        <w:r>
          <w:rPr>
            <w:rStyle w:val="Hyperlink"/>
            <w:rFonts w:eastAsia="Times New Roman" w:cs="Arial"/>
            <w:kern w:val="2"/>
            <w:lang w:val="fr-FR"/>
          </w:rPr>
          <w:t>Notification</w:t>
        </w:r>
        <w:r w:rsidR="001F0CA5">
          <w:rPr>
            <w:rStyle w:val="Hyperlink"/>
            <w:rFonts w:eastAsia="Times New Roman" w:cs="Arial"/>
            <w:kern w:val="2"/>
            <w:lang w:val="fr-FR"/>
          </w:rPr>
          <w:t> </w:t>
        </w:r>
        <w:r>
          <w:rPr>
            <w:rStyle w:val="Hyperlink"/>
            <w:rFonts w:eastAsia="Times New Roman" w:cs="Arial"/>
            <w:kern w:val="2"/>
            <w:lang w:val="fr-FR"/>
          </w:rPr>
          <w:t>2024/024</w:t>
        </w:r>
      </w:hyperlink>
      <w:r>
        <w:rPr>
          <w:rFonts w:eastAsia="Times New Roman" w:cs="Arial"/>
          <w:color w:val="000000"/>
          <w:kern w:val="2"/>
          <w:lang w:val="fr-FR"/>
        </w:rPr>
        <w:t>, accompagné d</w:t>
      </w:r>
      <w:r w:rsidR="001F0CA5">
        <w:rPr>
          <w:rFonts w:eastAsia="Times New Roman" w:cs="Arial"/>
          <w:color w:val="000000"/>
          <w:kern w:val="2"/>
          <w:lang w:val="fr-FR"/>
        </w:rPr>
        <w:t>’</w:t>
      </w:r>
      <w:r>
        <w:rPr>
          <w:rFonts w:eastAsia="Times New Roman" w:cs="Arial"/>
          <w:color w:val="000000"/>
          <w:kern w:val="2"/>
          <w:lang w:val="fr-FR"/>
        </w:rPr>
        <w:t xml:space="preserve">un appel aux contributions volontaires. Ces appels généraux ont été assortis de demandes personnalisées adressées aux différentes Parties. De plus, conformément à la </w:t>
      </w:r>
      <w:hyperlink r:id="rId14" w:history="1">
        <w:r>
          <w:rPr>
            <w:rStyle w:val="Hyperlink"/>
            <w:rFonts w:eastAsia="Times New Roman" w:cs="Arial"/>
            <w:kern w:val="2"/>
            <w:lang w:val="fr-FR"/>
          </w:rPr>
          <w:t>Résolution</w:t>
        </w:r>
        <w:r w:rsidR="001F0CA5">
          <w:rPr>
            <w:rStyle w:val="Hyperlink"/>
            <w:rFonts w:eastAsia="Times New Roman" w:cs="Arial"/>
            <w:kern w:val="2"/>
            <w:lang w:val="fr-FR"/>
          </w:rPr>
          <w:t> </w:t>
        </w:r>
        <w:r>
          <w:rPr>
            <w:rStyle w:val="Hyperlink"/>
            <w:rFonts w:eastAsia="Times New Roman" w:cs="Arial"/>
            <w:kern w:val="2"/>
            <w:lang w:val="fr-FR"/>
          </w:rPr>
          <w:t>14.2</w:t>
        </w:r>
      </w:hyperlink>
      <w:r>
        <w:rPr>
          <w:rFonts w:eastAsia="Times New Roman" w:cs="Arial"/>
          <w:color w:val="000000"/>
          <w:kern w:val="2"/>
          <w:lang w:val="fr-FR"/>
        </w:rPr>
        <w:t xml:space="preserve"> </w:t>
      </w:r>
      <w:r>
        <w:rPr>
          <w:rFonts w:eastAsia="Times New Roman" w:cs="Arial"/>
          <w:i/>
          <w:iCs/>
          <w:color w:val="000000"/>
          <w:kern w:val="2"/>
          <w:lang w:val="fr-FR"/>
        </w:rPr>
        <w:t>Questions financières et administratives</w:t>
      </w:r>
      <w:r>
        <w:rPr>
          <w:rFonts w:eastAsia="Times New Roman" w:cs="Arial"/>
          <w:color w:val="000000"/>
          <w:kern w:val="2"/>
          <w:lang w:val="fr-FR"/>
        </w:rPr>
        <w:t xml:space="preserve">, le Secrétariat a émis la </w:t>
      </w:r>
      <w:hyperlink r:id="rId15" w:history="1">
        <w:r>
          <w:rPr>
            <w:rStyle w:val="Hyperlink"/>
            <w:rFonts w:eastAsia="Times New Roman" w:cs="Arial"/>
            <w:kern w:val="2"/>
            <w:lang w:val="fr-FR"/>
          </w:rPr>
          <w:t>Notification</w:t>
        </w:r>
        <w:r w:rsidR="001F0CA5">
          <w:rPr>
            <w:rStyle w:val="Hyperlink"/>
            <w:rFonts w:eastAsia="Times New Roman" w:cs="Arial"/>
            <w:kern w:val="2"/>
            <w:lang w:val="fr-FR"/>
          </w:rPr>
          <w:t> </w:t>
        </w:r>
        <w:r>
          <w:rPr>
            <w:rStyle w:val="Hyperlink"/>
            <w:rFonts w:eastAsia="Times New Roman" w:cs="Arial"/>
            <w:kern w:val="2"/>
            <w:lang w:val="fr-FR"/>
          </w:rPr>
          <w:t>2024/014</w:t>
        </w:r>
      </w:hyperlink>
      <w:r>
        <w:rPr>
          <w:rFonts w:eastAsia="Times New Roman" w:cs="Arial"/>
          <w:color w:val="000000"/>
          <w:kern w:val="2"/>
          <w:lang w:val="fr-FR"/>
        </w:rPr>
        <w:t xml:space="preserve"> pour inviter les Parties à envisager la possibilité de financer des Jeunes Experts Associés (JEA) et/ou de fournir à titre gracieux du personnel ou des experts techniques au Secrétariat afin d</w:t>
      </w:r>
      <w:r w:rsidR="001F0CA5">
        <w:rPr>
          <w:rFonts w:eastAsia="Times New Roman" w:cs="Arial"/>
          <w:color w:val="000000"/>
          <w:kern w:val="2"/>
          <w:lang w:val="fr-FR"/>
        </w:rPr>
        <w:t>’</w:t>
      </w:r>
      <w:r>
        <w:rPr>
          <w:rFonts w:eastAsia="Times New Roman" w:cs="Arial"/>
          <w:color w:val="000000"/>
          <w:kern w:val="2"/>
          <w:lang w:val="fr-FR"/>
        </w:rPr>
        <w:t>accroître sa capacité, ainsi que pour porter à leur attention les propositions présentées au Programme des Nations Unies pour l</w:t>
      </w:r>
      <w:r w:rsidR="001F0CA5">
        <w:rPr>
          <w:rFonts w:eastAsia="Times New Roman" w:cs="Arial"/>
          <w:color w:val="000000"/>
          <w:kern w:val="2"/>
          <w:lang w:val="fr-FR"/>
        </w:rPr>
        <w:t>’</w:t>
      </w:r>
      <w:r>
        <w:rPr>
          <w:rFonts w:eastAsia="Times New Roman" w:cs="Arial"/>
          <w:color w:val="000000"/>
          <w:kern w:val="2"/>
          <w:lang w:val="fr-FR"/>
        </w:rPr>
        <w:t xml:space="preserve">environnement (PNUE), qui coordonne le programme des JEA. </w:t>
      </w:r>
    </w:p>
    <w:p w14:paraId="489AF028" w14:textId="77777777" w:rsidR="004B74B3" w:rsidRDefault="004B74B3">
      <w:pPr>
        <w:suppressAutoHyphens/>
        <w:ind w:left="567"/>
        <w:jc w:val="both"/>
        <w:rPr>
          <w:rFonts w:eastAsia="Times New Roman" w:cs="Arial"/>
          <w:color w:val="000000"/>
          <w:kern w:val="2"/>
          <w:lang w:val="fr-FR"/>
        </w:rPr>
      </w:pPr>
    </w:p>
    <w:p w14:paraId="7AFC0332"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Depuis la COP14, le Secrétariat a reçu des ressources financières et en nature qui ont permis la mise en œuvre d</w:t>
      </w:r>
      <w:r w:rsidR="001F0CA5">
        <w:rPr>
          <w:rFonts w:eastAsia="Times New Roman" w:cs="Arial"/>
          <w:color w:val="000000"/>
          <w:kern w:val="2"/>
          <w:lang w:val="fr-FR"/>
        </w:rPr>
        <w:t>’</w:t>
      </w:r>
      <w:r>
        <w:rPr>
          <w:rFonts w:eastAsia="Times New Roman" w:cs="Arial"/>
          <w:color w:val="000000"/>
          <w:kern w:val="2"/>
          <w:lang w:val="fr-FR"/>
        </w:rPr>
        <w:t>un certain nombre d</w:t>
      </w:r>
      <w:r w:rsidR="001F0CA5">
        <w:rPr>
          <w:rFonts w:eastAsia="Times New Roman" w:cs="Arial"/>
          <w:color w:val="000000"/>
          <w:kern w:val="2"/>
          <w:lang w:val="fr-FR"/>
        </w:rPr>
        <w:t>’</w:t>
      </w:r>
      <w:r>
        <w:rPr>
          <w:rFonts w:eastAsia="Times New Roman" w:cs="Arial"/>
          <w:color w:val="000000"/>
          <w:kern w:val="2"/>
          <w:lang w:val="fr-FR"/>
        </w:rPr>
        <w:t>activités prioritaires, bien que de nombreuses activités n</w:t>
      </w:r>
      <w:r w:rsidR="001F0CA5">
        <w:rPr>
          <w:rFonts w:eastAsia="Times New Roman" w:cs="Arial"/>
          <w:color w:val="000000"/>
          <w:kern w:val="2"/>
          <w:lang w:val="fr-FR"/>
        </w:rPr>
        <w:t>’</w:t>
      </w:r>
      <w:r>
        <w:rPr>
          <w:rFonts w:eastAsia="Times New Roman" w:cs="Arial"/>
          <w:color w:val="000000"/>
          <w:kern w:val="2"/>
          <w:lang w:val="fr-FR"/>
        </w:rPr>
        <w:t xml:space="preserve">aient pas reçu de soutien. Les paragraphes suivants donnent un aperçu des contributions financières et en nature obtenues. </w:t>
      </w:r>
    </w:p>
    <w:p w14:paraId="31139F1C" w14:textId="77777777" w:rsidR="004B74B3" w:rsidRDefault="004B74B3">
      <w:pPr>
        <w:suppressAutoHyphens/>
        <w:jc w:val="both"/>
        <w:rPr>
          <w:rFonts w:eastAsia="Times New Roman" w:cs="Arial"/>
          <w:i/>
          <w:iCs/>
          <w:color w:val="000000"/>
          <w:kern w:val="2"/>
          <w:highlight w:val="yellow"/>
          <w:lang w:val="fr-FR"/>
        </w:rPr>
      </w:pPr>
    </w:p>
    <w:p w14:paraId="58CBB815" w14:textId="77777777" w:rsidR="004B74B3" w:rsidRDefault="00816D6D">
      <w:pPr>
        <w:suppressAutoHyphens/>
        <w:jc w:val="both"/>
        <w:rPr>
          <w:rFonts w:eastAsia="Times New Roman" w:cs="Arial"/>
          <w:i/>
          <w:iCs/>
          <w:color w:val="000000"/>
          <w:kern w:val="2"/>
          <w:lang w:val="fr-FR"/>
        </w:rPr>
      </w:pPr>
      <w:r>
        <w:rPr>
          <w:rFonts w:eastAsia="Times New Roman" w:cs="Arial"/>
          <w:i/>
          <w:iCs/>
          <w:color w:val="000000"/>
          <w:kern w:val="2"/>
          <w:lang w:val="fr-FR"/>
        </w:rPr>
        <w:t>Fonds reçus</w:t>
      </w:r>
    </w:p>
    <w:p w14:paraId="1A61DF57" w14:textId="77777777" w:rsidR="004B74B3" w:rsidRDefault="004B74B3">
      <w:pPr>
        <w:suppressAutoHyphens/>
        <w:jc w:val="both"/>
        <w:rPr>
          <w:rFonts w:eastAsia="Times New Roman" w:cs="Arial"/>
          <w:color w:val="000000"/>
          <w:kern w:val="2"/>
          <w:highlight w:val="yellow"/>
          <w:lang w:val="fr-FR"/>
        </w:rPr>
      </w:pPr>
    </w:p>
    <w:p w14:paraId="37C1BAB0" w14:textId="756AA0FA"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Le total des contributions volontaires reçues ou promises depuis la COP14 s</w:t>
      </w:r>
      <w:r w:rsidR="001F0CA5">
        <w:rPr>
          <w:rFonts w:eastAsia="Times New Roman" w:cs="Arial"/>
          <w:color w:val="000000"/>
          <w:kern w:val="2"/>
          <w:lang w:val="fr-FR"/>
        </w:rPr>
        <w:t>’</w:t>
      </w:r>
      <w:r>
        <w:rPr>
          <w:rFonts w:eastAsia="Times New Roman" w:cs="Arial"/>
          <w:color w:val="000000"/>
          <w:kern w:val="2"/>
          <w:lang w:val="fr-FR"/>
        </w:rPr>
        <w:t xml:space="preserve">élève à environ </w:t>
      </w:r>
      <w:r w:rsidR="00CB2CFB">
        <w:rPr>
          <w:rFonts w:eastAsia="Times New Roman" w:cs="Arial"/>
          <w:color w:val="000000"/>
          <w:kern w:val="2"/>
          <w:lang w:val="fr-FR"/>
        </w:rPr>
        <w:t>4 434 421</w:t>
      </w:r>
      <w:r w:rsidR="00227FC2">
        <w:rPr>
          <w:rFonts w:eastAsia="Times New Roman" w:cs="Arial"/>
          <w:color w:val="000000"/>
          <w:kern w:val="2"/>
          <w:lang w:val="fr-FR"/>
        </w:rPr>
        <w:t xml:space="preserve"> €</w:t>
      </w:r>
      <w:r>
        <w:rPr>
          <w:rFonts w:eastAsia="Times New Roman" w:cs="Arial"/>
          <w:color w:val="000000"/>
          <w:kern w:val="2"/>
          <w:lang w:val="fr-FR"/>
        </w:rPr>
        <w:t xml:space="preserve"> (dont 13</w:t>
      </w:r>
      <w:r w:rsidR="001F0CA5">
        <w:rPr>
          <w:rFonts w:eastAsia="Times New Roman" w:cs="Arial"/>
          <w:color w:val="000000"/>
          <w:kern w:val="2"/>
          <w:lang w:val="fr-FR"/>
        </w:rPr>
        <w:t> </w:t>
      </w:r>
      <w:r w:rsidR="00CB2CFB">
        <w:rPr>
          <w:rFonts w:eastAsia="Times New Roman" w:cs="Arial"/>
          <w:color w:val="000000"/>
          <w:kern w:val="2"/>
          <w:lang w:val="fr-FR"/>
        </w:rPr>
        <w:t>pour cent</w:t>
      </w:r>
      <w:r>
        <w:rPr>
          <w:rFonts w:eastAsia="Times New Roman" w:cs="Arial"/>
          <w:color w:val="000000"/>
          <w:kern w:val="2"/>
          <w:lang w:val="fr-FR"/>
        </w:rPr>
        <w:t xml:space="preserve"> pour les coûts d</w:t>
      </w:r>
      <w:r w:rsidR="001F0CA5">
        <w:rPr>
          <w:rFonts w:eastAsia="Times New Roman" w:cs="Arial"/>
          <w:color w:val="000000"/>
          <w:kern w:val="2"/>
          <w:lang w:val="fr-FR"/>
        </w:rPr>
        <w:t>’</w:t>
      </w:r>
      <w:r>
        <w:rPr>
          <w:rFonts w:eastAsia="Times New Roman" w:cs="Arial"/>
          <w:color w:val="000000"/>
          <w:kern w:val="2"/>
          <w:lang w:val="fr-FR"/>
        </w:rPr>
        <w:t>appui aux programmes du PNUE). Une partie de ces ressources est allouée à des activités qui se poursuivront en 2025 et au-delà. Ces ressources ont été fournies par les gouvernements</w:t>
      </w:r>
      <w:r w:rsidR="00CB2CFB">
        <w:rPr>
          <w:rFonts w:eastAsia="Times New Roman" w:cs="Arial"/>
          <w:color w:val="000000"/>
          <w:kern w:val="2"/>
          <w:lang w:val="fr-FR"/>
        </w:rPr>
        <w:t> </w:t>
      </w:r>
      <w:r w:rsidR="00227FC2">
        <w:rPr>
          <w:rFonts w:eastAsia="Times New Roman" w:cs="Arial"/>
          <w:color w:val="000000"/>
          <w:kern w:val="2"/>
          <w:lang w:val="fr-FR"/>
        </w:rPr>
        <w:t>de l’</w:t>
      </w:r>
      <w:r w:rsidR="00CB2CFB" w:rsidRPr="00CB2CFB">
        <w:rPr>
          <w:rFonts w:eastAsia="Times New Roman" w:cs="Arial"/>
          <w:color w:val="000000"/>
          <w:kern w:val="2"/>
          <w:lang w:val="fr-FR"/>
        </w:rPr>
        <w:t xml:space="preserve">Australie, </w:t>
      </w:r>
      <w:r w:rsidR="00227FC2">
        <w:rPr>
          <w:rFonts w:eastAsia="Times New Roman" w:cs="Arial"/>
          <w:color w:val="000000"/>
          <w:kern w:val="2"/>
          <w:lang w:val="fr-FR"/>
        </w:rPr>
        <w:t xml:space="preserve">des </w:t>
      </w:r>
      <w:r w:rsidR="00CB2CFB" w:rsidRPr="00CB2CFB">
        <w:rPr>
          <w:rFonts w:eastAsia="Times New Roman" w:cs="Arial"/>
          <w:color w:val="000000"/>
          <w:kern w:val="2"/>
          <w:lang w:val="fr-FR"/>
        </w:rPr>
        <w:t>Flandre</w:t>
      </w:r>
      <w:r w:rsidR="00CB2CFB">
        <w:rPr>
          <w:rFonts w:eastAsia="Times New Roman" w:cs="Arial"/>
          <w:color w:val="000000"/>
          <w:kern w:val="2"/>
          <w:lang w:val="fr-FR"/>
        </w:rPr>
        <w:t>s</w:t>
      </w:r>
      <w:r w:rsidR="00CB2CFB" w:rsidRPr="00CB2CFB">
        <w:rPr>
          <w:rFonts w:eastAsia="Times New Roman" w:cs="Arial"/>
          <w:color w:val="000000"/>
          <w:kern w:val="2"/>
          <w:lang w:val="fr-FR"/>
        </w:rPr>
        <w:t xml:space="preserve">, </w:t>
      </w:r>
      <w:r w:rsidR="00227FC2">
        <w:rPr>
          <w:rFonts w:eastAsia="Times New Roman" w:cs="Arial"/>
          <w:color w:val="000000"/>
          <w:kern w:val="2"/>
          <w:lang w:val="fr-FR"/>
        </w:rPr>
        <w:t xml:space="preserve">de la </w:t>
      </w:r>
      <w:r w:rsidR="00CB2CFB" w:rsidRPr="00CB2CFB">
        <w:rPr>
          <w:rFonts w:eastAsia="Times New Roman" w:cs="Arial"/>
          <w:color w:val="000000"/>
          <w:kern w:val="2"/>
          <w:lang w:val="fr-FR"/>
        </w:rPr>
        <w:t xml:space="preserve">France, </w:t>
      </w:r>
      <w:r w:rsidR="00227FC2">
        <w:rPr>
          <w:rFonts w:eastAsia="Times New Roman" w:cs="Arial"/>
          <w:color w:val="000000"/>
          <w:kern w:val="2"/>
          <w:lang w:val="fr-FR"/>
        </w:rPr>
        <w:t>de l’</w:t>
      </w:r>
      <w:r w:rsidR="00CB2CFB" w:rsidRPr="00CB2CFB">
        <w:rPr>
          <w:rFonts w:eastAsia="Times New Roman" w:cs="Arial"/>
          <w:color w:val="000000"/>
          <w:kern w:val="2"/>
          <w:lang w:val="fr-FR"/>
        </w:rPr>
        <w:t xml:space="preserve">Inde, </w:t>
      </w:r>
      <w:r w:rsidR="00227FC2">
        <w:rPr>
          <w:rFonts w:eastAsia="Times New Roman" w:cs="Arial"/>
          <w:color w:val="000000"/>
          <w:kern w:val="2"/>
          <w:lang w:val="fr-FR"/>
        </w:rPr>
        <w:t xml:space="preserve">de </w:t>
      </w:r>
      <w:r w:rsidR="00CB2CFB" w:rsidRPr="00CB2CFB">
        <w:rPr>
          <w:rFonts w:eastAsia="Times New Roman" w:cs="Arial"/>
          <w:color w:val="000000"/>
          <w:kern w:val="2"/>
          <w:lang w:val="fr-FR"/>
        </w:rPr>
        <w:t xml:space="preserve">Monaco, </w:t>
      </w:r>
      <w:r w:rsidR="00227FC2">
        <w:rPr>
          <w:rFonts w:eastAsia="Times New Roman" w:cs="Arial"/>
          <w:color w:val="000000"/>
          <w:kern w:val="2"/>
          <w:lang w:val="fr-FR"/>
        </w:rPr>
        <w:t xml:space="preserve">de la </w:t>
      </w:r>
      <w:r w:rsidR="00CB2CFB" w:rsidRPr="00CB2CFB">
        <w:rPr>
          <w:rFonts w:eastAsia="Times New Roman" w:cs="Arial"/>
          <w:color w:val="000000"/>
          <w:kern w:val="2"/>
          <w:lang w:val="fr-FR"/>
        </w:rPr>
        <w:t xml:space="preserve">Suisse, </w:t>
      </w:r>
      <w:r w:rsidR="00227FC2">
        <w:rPr>
          <w:rFonts w:eastAsia="Times New Roman" w:cs="Arial"/>
          <w:color w:val="000000"/>
          <w:kern w:val="2"/>
          <w:lang w:val="fr-FR"/>
        </w:rPr>
        <w:t xml:space="preserve">du </w:t>
      </w:r>
      <w:r w:rsidR="00CB2CFB" w:rsidRPr="00CB2CFB">
        <w:rPr>
          <w:rFonts w:eastAsia="Times New Roman" w:cs="Arial"/>
          <w:color w:val="000000"/>
          <w:kern w:val="2"/>
          <w:lang w:val="fr-FR"/>
        </w:rPr>
        <w:t xml:space="preserve">Royaume-Uni, </w:t>
      </w:r>
      <w:r w:rsidR="00227FC2">
        <w:rPr>
          <w:rFonts w:eastAsia="Times New Roman" w:cs="Arial"/>
          <w:color w:val="000000"/>
          <w:kern w:val="2"/>
          <w:lang w:val="fr-FR"/>
        </w:rPr>
        <w:t>de l’</w:t>
      </w:r>
      <w:r w:rsidR="00CB2CFB" w:rsidRPr="00CB2CFB">
        <w:rPr>
          <w:rFonts w:eastAsia="Times New Roman" w:cs="Arial"/>
          <w:color w:val="000000"/>
          <w:kern w:val="2"/>
          <w:lang w:val="fr-FR"/>
        </w:rPr>
        <w:t>Ouzbékistan.</w:t>
      </w:r>
    </w:p>
    <w:p w14:paraId="2B8A99C7" w14:textId="77777777" w:rsidR="00227FC2" w:rsidRDefault="00227FC2" w:rsidP="00227FC2">
      <w:pPr>
        <w:suppressAutoHyphens/>
        <w:ind w:left="567"/>
        <w:jc w:val="both"/>
        <w:rPr>
          <w:rFonts w:eastAsia="Times New Roman" w:cs="Arial"/>
          <w:color w:val="000000"/>
          <w:kern w:val="2"/>
          <w:lang w:val="fr-FR"/>
        </w:rPr>
      </w:pPr>
    </w:p>
    <w:p w14:paraId="563CFD4D" w14:textId="0AD98943" w:rsidR="00227FC2" w:rsidRDefault="00227FC2">
      <w:pPr>
        <w:numPr>
          <w:ilvl w:val="0"/>
          <w:numId w:val="33"/>
        </w:numPr>
        <w:suppressAutoHyphens/>
        <w:ind w:left="567" w:hanging="567"/>
        <w:jc w:val="both"/>
        <w:rPr>
          <w:rFonts w:eastAsia="Times New Roman" w:cs="Arial"/>
          <w:color w:val="000000"/>
          <w:kern w:val="2"/>
          <w:lang w:val="fr-FR"/>
        </w:rPr>
      </w:pPr>
      <w:r w:rsidRPr="00227FC2">
        <w:rPr>
          <w:rFonts w:eastAsia="Times New Roman" w:cs="Arial"/>
          <w:color w:val="000000"/>
          <w:kern w:val="2"/>
          <w:lang w:val="fr-FR"/>
        </w:rPr>
        <w:t>Cette somme comprend la généreuse promesse de 2 640 046 € du gouvernement indien pour soutenir l'établissement d'un bureau pour l'unité de coordination de la CMS pour les voies de migration d'Asie centrale en Inde. Le gouvernement fournira également les installations et équipements nécessaires à ce bureau.</w:t>
      </w:r>
    </w:p>
    <w:p w14:paraId="1E23C09D" w14:textId="1F9ACEBD" w:rsidR="0049060A" w:rsidRDefault="0049060A">
      <w:pPr>
        <w:suppressAutoHyphens/>
        <w:ind w:left="567" w:hanging="567"/>
        <w:jc w:val="both"/>
        <w:rPr>
          <w:rFonts w:eastAsia="Times New Roman" w:cs="Arial"/>
          <w:color w:val="000000"/>
          <w:kern w:val="2"/>
          <w:highlight w:val="yellow"/>
          <w:lang w:val="fr-FR"/>
        </w:rPr>
      </w:pPr>
      <w:r>
        <w:rPr>
          <w:rFonts w:eastAsia="Times New Roman" w:cs="Arial"/>
          <w:color w:val="000000"/>
          <w:kern w:val="2"/>
          <w:highlight w:val="yellow"/>
          <w:lang w:val="fr-FR"/>
        </w:rPr>
        <w:br w:type="page"/>
      </w:r>
    </w:p>
    <w:p w14:paraId="437D706E" w14:textId="588F95CF" w:rsidR="00227FC2" w:rsidRPr="00227FC2" w:rsidRDefault="00816D6D" w:rsidP="00227FC2">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lastRenderedPageBreak/>
        <w:t>En plus du montant total indiqué ci-dessus, les plus grands m</w:t>
      </w:r>
      <w:r w:rsidR="001F0CA5">
        <w:rPr>
          <w:rFonts w:eastAsia="Times New Roman" w:cs="Arial"/>
          <w:color w:val="000000"/>
          <w:kern w:val="2"/>
          <w:lang w:val="fr-FR"/>
        </w:rPr>
        <w:t>é</w:t>
      </w:r>
      <w:r>
        <w:rPr>
          <w:rFonts w:eastAsia="Times New Roman" w:cs="Arial"/>
          <w:color w:val="000000"/>
          <w:kern w:val="2"/>
          <w:lang w:val="fr-FR"/>
        </w:rPr>
        <w:t>morandums d</w:t>
      </w:r>
      <w:r w:rsidR="001F0CA5">
        <w:rPr>
          <w:rFonts w:eastAsia="Times New Roman" w:cs="Arial"/>
          <w:color w:val="000000"/>
          <w:kern w:val="2"/>
          <w:lang w:val="fr-FR"/>
        </w:rPr>
        <w:t>’</w:t>
      </w:r>
      <w:r>
        <w:rPr>
          <w:rFonts w:eastAsia="Times New Roman" w:cs="Arial"/>
          <w:color w:val="000000"/>
          <w:kern w:val="2"/>
          <w:lang w:val="fr-FR"/>
        </w:rPr>
        <w:t>entente (</w:t>
      </w:r>
      <w:proofErr w:type="spellStart"/>
      <w:r>
        <w:rPr>
          <w:rFonts w:eastAsia="Times New Roman" w:cs="Arial"/>
          <w:color w:val="000000"/>
          <w:kern w:val="2"/>
          <w:lang w:val="fr-FR"/>
        </w:rPr>
        <w:t>MdE</w:t>
      </w:r>
      <w:proofErr w:type="spellEnd"/>
      <w:r>
        <w:rPr>
          <w:rFonts w:eastAsia="Times New Roman" w:cs="Arial"/>
          <w:color w:val="000000"/>
          <w:kern w:val="2"/>
          <w:lang w:val="fr-FR"/>
        </w:rPr>
        <w:t xml:space="preserve">) de la CMS ont permis de réunir des fonds importants pour leurs opérations. </w:t>
      </w:r>
      <w:r w:rsidR="00227FC2" w:rsidRPr="00227FC2">
        <w:rPr>
          <w:rFonts w:eastAsia="Times New Roman" w:cs="Arial"/>
          <w:color w:val="000000"/>
          <w:kern w:val="2"/>
          <w:lang w:val="fr-FR"/>
        </w:rPr>
        <w:t xml:space="preserve">Une promesse importante a été faite par l'Agence de l'environnement d'Abu Dhabi (EAD) au nom du gouvernement des Émirats arabes unis pour continuer à accueillir le Bureau de la CMS à Abu Dhabi pour la période de 2024 à 2027 (3,68 millions de </w:t>
      </w:r>
      <w:r w:rsidR="001166A0">
        <w:rPr>
          <w:rFonts w:eastAsia="Times New Roman" w:cs="Arial"/>
          <w:color w:val="000000"/>
          <w:kern w:val="2"/>
          <w:lang w:val="fr-FR"/>
        </w:rPr>
        <w:t xml:space="preserve">US </w:t>
      </w:r>
      <w:r w:rsidR="00227FC2" w:rsidRPr="00227FC2">
        <w:rPr>
          <w:rFonts w:eastAsia="Times New Roman" w:cs="Arial"/>
          <w:color w:val="000000"/>
          <w:kern w:val="2"/>
          <w:lang w:val="fr-FR"/>
        </w:rPr>
        <w:t>dollars). En novembre 2023, la CMS et l'EAD ont prolongé l'accord de partenariat en place depuis 2009. Le Bureau de la CMS à Abu Dhabi coordonne les Mémorandums d'Accord (</w:t>
      </w:r>
      <w:proofErr w:type="spellStart"/>
      <w:r w:rsidR="00227FC2" w:rsidRPr="00227FC2">
        <w:rPr>
          <w:rFonts w:eastAsia="Times New Roman" w:cs="Arial"/>
          <w:color w:val="000000"/>
          <w:kern w:val="2"/>
          <w:lang w:val="fr-FR"/>
        </w:rPr>
        <w:t>MdE</w:t>
      </w:r>
      <w:proofErr w:type="spellEnd"/>
      <w:r w:rsidR="00227FC2" w:rsidRPr="00227FC2">
        <w:rPr>
          <w:rFonts w:eastAsia="Times New Roman" w:cs="Arial"/>
          <w:color w:val="000000"/>
          <w:kern w:val="2"/>
          <w:lang w:val="fr-FR"/>
        </w:rPr>
        <w:t>) sur les rapaces et les dugongs. L'accord fournit le budget de base du Bureau, en plus des locaux, du soutien opérationnel et d'autres soutiens pratiques.</w:t>
      </w:r>
    </w:p>
    <w:p w14:paraId="2ADED56A" w14:textId="77777777" w:rsidR="004B74B3" w:rsidRDefault="004B74B3" w:rsidP="00227FC2">
      <w:pPr>
        <w:suppressAutoHyphens/>
        <w:jc w:val="both"/>
        <w:rPr>
          <w:rFonts w:eastAsia="Times New Roman" w:cs="Arial"/>
          <w:color w:val="000000"/>
          <w:kern w:val="2"/>
          <w:highlight w:val="yellow"/>
          <w:lang w:val="fr-FR"/>
        </w:rPr>
      </w:pPr>
    </w:p>
    <w:p w14:paraId="41AE0046" w14:textId="3900D45E"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De plus, en 2024</w:t>
      </w:r>
      <w:r w:rsidR="00227FC2">
        <w:rPr>
          <w:rFonts w:eastAsia="Times New Roman" w:cs="Arial"/>
          <w:color w:val="000000"/>
          <w:kern w:val="2"/>
          <w:lang w:val="fr-FR"/>
        </w:rPr>
        <w:t xml:space="preserve"> et 2025</w:t>
      </w:r>
      <w:r>
        <w:rPr>
          <w:rFonts w:eastAsia="Times New Roman" w:cs="Arial"/>
          <w:color w:val="000000"/>
          <w:kern w:val="2"/>
          <w:lang w:val="fr-FR"/>
        </w:rPr>
        <w:t xml:space="preserve">, les signataires du </w:t>
      </w:r>
      <w:proofErr w:type="spellStart"/>
      <w:r>
        <w:rPr>
          <w:rFonts w:eastAsia="Times New Roman" w:cs="Arial"/>
          <w:color w:val="000000"/>
          <w:kern w:val="2"/>
          <w:lang w:val="fr-FR"/>
        </w:rPr>
        <w:t>MdE</w:t>
      </w:r>
      <w:proofErr w:type="spellEnd"/>
      <w:r>
        <w:rPr>
          <w:rFonts w:eastAsia="Times New Roman" w:cs="Arial"/>
          <w:color w:val="000000"/>
          <w:kern w:val="2"/>
          <w:lang w:val="fr-FR"/>
        </w:rPr>
        <w:t xml:space="preserve"> Rapaces ont fourni un total de </w:t>
      </w:r>
      <w:r w:rsidR="00227FC2">
        <w:rPr>
          <w:rFonts w:eastAsia="Times New Roman" w:cs="Arial"/>
          <w:color w:val="000000"/>
          <w:kern w:val="2"/>
          <w:lang w:val="fr-FR"/>
        </w:rPr>
        <w:t>55 208 UD dollars</w:t>
      </w:r>
      <w:r>
        <w:rPr>
          <w:rFonts w:eastAsia="Times New Roman" w:cs="Arial"/>
          <w:color w:val="000000"/>
          <w:kern w:val="2"/>
          <w:lang w:val="fr-FR"/>
        </w:rPr>
        <w:t xml:space="preserve"> pour les activités associées au MdE. </w:t>
      </w:r>
      <w:r w:rsidR="00227FC2">
        <w:rPr>
          <w:rFonts w:eastAsia="Times New Roman" w:cs="Arial"/>
          <w:color w:val="000000"/>
          <w:kern w:val="2"/>
          <w:lang w:val="fr-FR"/>
        </w:rPr>
        <w:t>C</w:t>
      </w:r>
      <w:r w:rsidR="00227FC2" w:rsidRPr="00227FC2">
        <w:rPr>
          <w:rFonts w:eastAsia="Times New Roman" w:cs="Arial"/>
          <w:color w:val="000000"/>
          <w:kern w:val="2"/>
          <w:lang w:val="fr-FR"/>
        </w:rPr>
        <w:t xml:space="preserve">es contributions ont été apportées par les gouvernements de la Hongrie, des Pays-Bas, de la Suède, de la Croatie et de la </w:t>
      </w:r>
      <w:r w:rsidR="00227FC2">
        <w:rPr>
          <w:rFonts w:eastAsia="Times New Roman" w:cs="Arial"/>
          <w:color w:val="000000"/>
          <w:kern w:val="2"/>
          <w:lang w:val="fr-FR"/>
        </w:rPr>
        <w:t xml:space="preserve">France. </w:t>
      </w:r>
      <w:r>
        <w:rPr>
          <w:rFonts w:eastAsia="Times New Roman" w:cs="Arial"/>
          <w:color w:val="000000"/>
          <w:kern w:val="2"/>
          <w:lang w:val="fr-FR"/>
        </w:rPr>
        <w:t xml:space="preserve">Le </w:t>
      </w:r>
      <w:proofErr w:type="spellStart"/>
      <w:r>
        <w:rPr>
          <w:rFonts w:eastAsia="Times New Roman" w:cs="Arial"/>
          <w:color w:val="000000"/>
          <w:kern w:val="2"/>
          <w:lang w:val="fr-FR"/>
        </w:rPr>
        <w:t>MdE</w:t>
      </w:r>
      <w:proofErr w:type="spellEnd"/>
      <w:r>
        <w:rPr>
          <w:rFonts w:eastAsia="Times New Roman" w:cs="Arial"/>
          <w:color w:val="000000"/>
          <w:kern w:val="2"/>
          <w:lang w:val="fr-FR"/>
        </w:rPr>
        <w:t xml:space="preserve"> Dugongs a également reçu une contribution volontaire de </w:t>
      </w:r>
      <w:r w:rsidR="00227FC2">
        <w:rPr>
          <w:rFonts w:eastAsia="Times New Roman" w:cs="Arial"/>
          <w:color w:val="000000"/>
          <w:kern w:val="2"/>
          <w:lang w:val="fr-FR"/>
        </w:rPr>
        <w:t>66 000</w:t>
      </w:r>
      <w:r>
        <w:rPr>
          <w:rFonts w:eastAsia="Times New Roman" w:cs="Arial"/>
          <w:color w:val="000000"/>
          <w:kern w:val="2"/>
          <w:lang w:val="fr-FR"/>
        </w:rPr>
        <w:t xml:space="preserve"> </w:t>
      </w:r>
      <w:r w:rsidR="001166A0">
        <w:rPr>
          <w:rFonts w:eastAsia="Times New Roman" w:cs="Arial"/>
          <w:color w:val="000000"/>
          <w:kern w:val="2"/>
          <w:lang w:val="fr-FR"/>
        </w:rPr>
        <w:t xml:space="preserve">US </w:t>
      </w:r>
      <w:r>
        <w:rPr>
          <w:rFonts w:eastAsia="Times New Roman" w:cs="Arial"/>
          <w:color w:val="000000"/>
          <w:kern w:val="2"/>
          <w:lang w:val="fr-FR"/>
        </w:rPr>
        <w:t>dollars</w:t>
      </w:r>
      <w:r w:rsidR="001166A0">
        <w:rPr>
          <w:rFonts w:eastAsia="Times New Roman" w:cs="Arial"/>
          <w:color w:val="000000"/>
          <w:kern w:val="2"/>
          <w:lang w:val="fr-FR"/>
        </w:rPr>
        <w:t xml:space="preserve"> </w:t>
      </w:r>
      <w:r>
        <w:rPr>
          <w:rFonts w:eastAsia="Times New Roman" w:cs="Arial"/>
          <w:color w:val="000000"/>
          <w:kern w:val="2"/>
          <w:lang w:val="fr-FR"/>
        </w:rPr>
        <w:t xml:space="preserve">de la part de </w:t>
      </w:r>
      <w:r w:rsidR="00227FC2">
        <w:rPr>
          <w:rFonts w:eastAsia="Times New Roman" w:cs="Arial"/>
          <w:color w:val="000000"/>
          <w:kern w:val="2"/>
          <w:lang w:val="fr-FR"/>
        </w:rPr>
        <w:t>l’Australie</w:t>
      </w:r>
      <w:r>
        <w:rPr>
          <w:rFonts w:eastAsia="Times New Roman" w:cs="Arial"/>
          <w:color w:val="000000"/>
          <w:kern w:val="2"/>
          <w:lang w:val="fr-FR"/>
        </w:rPr>
        <w:t xml:space="preserve">. </w:t>
      </w:r>
    </w:p>
    <w:p w14:paraId="788E8125" w14:textId="77777777" w:rsidR="00F2251D" w:rsidRDefault="00F2251D" w:rsidP="00F2251D">
      <w:pPr>
        <w:suppressAutoHyphens/>
        <w:jc w:val="both"/>
        <w:rPr>
          <w:rFonts w:eastAsia="Times New Roman" w:cs="Arial"/>
          <w:color w:val="000000"/>
          <w:kern w:val="2"/>
          <w:lang w:val="fr-FR"/>
        </w:rPr>
      </w:pPr>
    </w:p>
    <w:p w14:paraId="72E2CF2C" w14:textId="008F8481"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D</w:t>
      </w:r>
      <w:r w:rsidR="001F0CA5">
        <w:rPr>
          <w:rFonts w:eastAsia="Times New Roman" w:cs="Arial"/>
          <w:color w:val="000000"/>
          <w:kern w:val="2"/>
          <w:lang w:val="fr-FR"/>
        </w:rPr>
        <w:t>’</w:t>
      </w:r>
      <w:r>
        <w:rPr>
          <w:rFonts w:eastAsia="Times New Roman" w:cs="Arial"/>
          <w:color w:val="000000"/>
          <w:kern w:val="2"/>
          <w:lang w:val="fr-FR"/>
        </w:rPr>
        <w:t>autres ressources ont été mobilisées par le MdE sur les requins et le MdE sur les tortues marines et leurs habitats de l</w:t>
      </w:r>
      <w:r w:rsidR="001F0CA5">
        <w:rPr>
          <w:rFonts w:eastAsia="Times New Roman" w:cs="Arial"/>
          <w:color w:val="000000"/>
          <w:kern w:val="2"/>
          <w:lang w:val="fr-FR"/>
        </w:rPr>
        <w:t>’</w:t>
      </w:r>
      <w:r>
        <w:rPr>
          <w:rFonts w:eastAsia="Times New Roman" w:cs="Arial"/>
          <w:color w:val="000000"/>
          <w:kern w:val="2"/>
          <w:lang w:val="fr-FR"/>
        </w:rPr>
        <w:t>océan Indien et de l</w:t>
      </w:r>
      <w:r w:rsidR="001F0CA5">
        <w:rPr>
          <w:rFonts w:eastAsia="Times New Roman" w:cs="Arial"/>
          <w:color w:val="000000"/>
          <w:kern w:val="2"/>
          <w:lang w:val="fr-FR"/>
        </w:rPr>
        <w:t>’</w:t>
      </w:r>
      <w:r>
        <w:rPr>
          <w:rFonts w:eastAsia="Times New Roman" w:cs="Arial"/>
          <w:color w:val="000000"/>
          <w:kern w:val="2"/>
          <w:lang w:val="fr-FR"/>
        </w:rPr>
        <w:t xml:space="preserve">Asie du Sud-Est (IOSEA). Les contributions obtenues en 2024 pour soutenir le budget du MdE sur les requins et son </w:t>
      </w:r>
      <w:proofErr w:type="spellStart"/>
      <w:r>
        <w:rPr>
          <w:rFonts w:eastAsia="Times New Roman" w:cs="Arial"/>
          <w:color w:val="000000"/>
          <w:kern w:val="2"/>
          <w:lang w:val="fr-FR"/>
        </w:rPr>
        <w:t>PdT</w:t>
      </w:r>
      <w:proofErr w:type="spellEnd"/>
      <w:r>
        <w:rPr>
          <w:rFonts w:eastAsia="Times New Roman" w:cs="Arial"/>
          <w:color w:val="000000"/>
          <w:kern w:val="2"/>
          <w:lang w:val="fr-FR"/>
        </w:rPr>
        <w:t xml:space="preserve"> s</w:t>
      </w:r>
      <w:r w:rsidR="001F0CA5">
        <w:rPr>
          <w:rFonts w:eastAsia="Times New Roman" w:cs="Arial"/>
          <w:color w:val="000000"/>
          <w:kern w:val="2"/>
          <w:lang w:val="fr-FR"/>
        </w:rPr>
        <w:t>’</w:t>
      </w:r>
      <w:r>
        <w:rPr>
          <w:rFonts w:eastAsia="Times New Roman" w:cs="Arial"/>
          <w:color w:val="000000"/>
          <w:kern w:val="2"/>
          <w:lang w:val="fr-FR"/>
        </w:rPr>
        <w:t>élèvent à 1</w:t>
      </w:r>
      <w:r w:rsidR="00227FC2">
        <w:rPr>
          <w:rFonts w:eastAsia="Times New Roman" w:cs="Arial"/>
          <w:color w:val="000000"/>
          <w:kern w:val="2"/>
          <w:lang w:val="fr-FR"/>
        </w:rPr>
        <w:t>53</w:t>
      </w:r>
      <w:r w:rsidR="001F0CA5">
        <w:rPr>
          <w:rFonts w:eastAsia="Times New Roman" w:cs="Arial"/>
          <w:color w:val="000000"/>
          <w:kern w:val="2"/>
          <w:lang w:val="fr-FR"/>
        </w:rPr>
        <w:t> </w:t>
      </w:r>
      <w:r w:rsidR="00227FC2">
        <w:rPr>
          <w:rFonts w:eastAsia="Times New Roman" w:cs="Arial"/>
          <w:color w:val="000000"/>
          <w:kern w:val="2"/>
          <w:lang w:val="fr-FR"/>
        </w:rPr>
        <w:t>468</w:t>
      </w:r>
      <w:r w:rsidR="001F0CA5">
        <w:rPr>
          <w:rFonts w:eastAsia="Times New Roman" w:cs="Arial"/>
          <w:color w:val="000000"/>
          <w:kern w:val="2"/>
          <w:lang w:val="fr-FR"/>
        </w:rPr>
        <w:t> </w:t>
      </w:r>
      <w:r w:rsidR="00227FC2">
        <w:rPr>
          <w:rFonts w:eastAsia="Times New Roman" w:cs="Arial"/>
          <w:color w:val="000000"/>
          <w:kern w:val="2"/>
          <w:lang w:val="fr-FR"/>
        </w:rPr>
        <w:t xml:space="preserve">US </w:t>
      </w:r>
      <w:r>
        <w:rPr>
          <w:rFonts w:eastAsia="Times New Roman" w:cs="Arial"/>
          <w:color w:val="000000"/>
          <w:kern w:val="2"/>
          <w:lang w:val="fr-FR"/>
        </w:rPr>
        <w:t xml:space="preserve">dollars, et celles reçues par le </w:t>
      </w:r>
      <w:proofErr w:type="spellStart"/>
      <w:r>
        <w:rPr>
          <w:rFonts w:eastAsia="Times New Roman" w:cs="Arial"/>
          <w:color w:val="000000"/>
          <w:kern w:val="2"/>
          <w:lang w:val="fr-FR"/>
        </w:rPr>
        <w:t>MdE</w:t>
      </w:r>
      <w:proofErr w:type="spellEnd"/>
      <w:r>
        <w:rPr>
          <w:rFonts w:eastAsia="Times New Roman" w:cs="Arial"/>
          <w:color w:val="000000"/>
          <w:kern w:val="2"/>
          <w:lang w:val="fr-FR"/>
        </w:rPr>
        <w:t xml:space="preserve"> de l</w:t>
      </w:r>
      <w:r w:rsidR="001F0CA5">
        <w:rPr>
          <w:rFonts w:eastAsia="Times New Roman" w:cs="Arial"/>
          <w:color w:val="000000"/>
          <w:kern w:val="2"/>
          <w:lang w:val="fr-FR"/>
        </w:rPr>
        <w:t>’</w:t>
      </w:r>
      <w:r>
        <w:rPr>
          <w:rFonts w:eastAsia="Times New Roman" w:cs="Arial"/>
          <w:color w:val="000000"/>
          <w:kern w:val="2"/>
          <w:lang w:val="fr-FR"/>
        </w:rPr>
        <w:t>IOSEA s</w:t>
      </w:r>
      <w:r w:rsidR="001F0CA5">
        <w:rPr>
          <w:rFonts w:eastAsia="Times New Roman" w:cs="Arial"/>
          <w:color w:val="000000"/>
          <w:kern w:val="2"/>
          <w:lang w:val="fr-FR"/>
        </w:rPr>
        <w:t>’</w:t>
      </w:r>
      <w:r>
        <w:rPr>
          <w:rFonts w:eastAsia="Times New Roman" w:cs="Arial"/>
          <w:color w:val="000000"/>
          <w:kern w:val="2"/>
          <w:lang w:val="fr-FR"/>
        </w:rPr>
        <w:t xml:space="preserve">élèvent à </w:t>
      </w:r>
      <w:r w:rsidR="00227FC2">
        <w:rPr>
          <w:rFonts w:eastAsia="Times New Roman" w:cs="Arial"/>
          <w:color w:val="000000"/>
          <w:kern w:val="2"/>
          <w:lang w:val="fr-FR"/>
        </w:rPr>
        <w:t>229 516</w:t>
      </w:r>
      <w:r w:rsidR="001F0CA5">
        <w:rPr>
          <w:rFonts w:eastAsia="Times New Roman" w:cs="Arial"/>
          <w:color w:val="000000"/>
          <w:kern w:val="2"/>
          <w:lang w:val="fr-FR"/>
        </w:rPr>
        <w:t> </w:t>
      </w:r>
      <w:r w:rsidR="00227FC2">
        <w:rPr>
          <w:rFonts w:eastAsia="Times New Roman" w:cs="Arial"/>
          <w:color w:val="000000"/>
          <w:kern w:val="2"/>
          <w:lang w:val="fr-FR"/>
        </w:rPr>
        <w:t xml:space="preserve">US </w:t>
      </w:r>
      <w:r>
        <w:rPr>
          <w:rFonts w:eastAsia="Times New Roman" w:cs="Arial"/>
          <w:color w:val="000000"/>
          <w:kern w:val="2"/>
          <w:lang w:val="fr-FR"/>
        </w:rPr>
        <w:t>dollars.</w:t>
      </w:r>
    </w:p>
    <w:p w14:paraId="0232C7AB" w14:textId="77777777" w:rsidR="004B74B3" w:rsidRDefault="004B74B3">
      <w:pPr>
        <w:suppressAutoHyphens/>
        <w:jc w:val="both"/>
        <w:rPr>
          <w:rFonts w:eastAsia="Times New Roman" w:cs="Arial"/>
          <w:i/>
          <w:iCs/>
          <w:color w:val="000000"/>
          <w:kern w:val="2"/>
          <w:highlight w:val="yellow"/>
          <w:lang w:val="fr-FR"/>
        </w:rPr>
      </w:pPr>
    </w:p>
    <w:p w14:paraId="7122A82F" w14:textId="77777777" w:rsidR="004B74B3" w:rsidRDefault="00816D6D">
      <w:pPr>
        <w:suppressAutoHyphens/>
        <w:jc w:val="both"/>
        <w:rPr>
          <w:rFonts w:eastAsia="Times New Roman" w:cs="Arial"/>
          <w:i/>
          <w:iCs/>
          <w:color w:val="000000"/>
          <w:kern w:val="2"/>
          <w:lang w:val="fr-FR"/>
        </w:rPr>
      </w:pPr>
      <w:r>
        <w:rPr>
          <w:rFonts w:eastAsia="Times New Roman" w:cs="Arial"/>
          <w:i/>
          <w:iCs/>
          <w:color w:val="000000"/>
          <w:kern w:val="2"/>
          <w:lang w:val="fr-FR"/>
        </w:rPr>
        <w:t>Contributions financières indirectes et contributions en nature</w:t>
      </w:r>
    </w:p>
    <w:p w14:paraId="599B14B4" w14:textId="77777777" w:rsidR="004B74B3" w:rsidRDefault="004B74B3">
      <w:pPr>
        <w:suppressAutoHyphens/>
        <w:jc w:val="both"/>
        <w:rPr>
          <w:rFonts w:eastAsia="Times New Roman" w:cs="Arial"/>
          <w:color w:val="000000"/>
          <w:kern w:val="2"/>
          <w:lang w:val="fr-FR"/>
        </w:rPr>
      </w:pPr>
    </w:p>
    <w:p w14:paraId="2D761116" w14:textId="77777777" w:rsidR="004B74B3" w:rsidRDefault="00816D6D">
      <w:pPr>
        <w:numPr>
          <w:ilvl w:val="0"/>
          <w:numId w:val="33"/>
        </w:numPr>
        <w:suppressAutoHyphens/>
        <w:ind w:left="567" w:hanging="567"/>
        <w:jc w:val="both"/>
        <w:rPr>
          <w:rFonts w:eastAsia="Times New Roman" w:cs="Arial"/>
          <w:color w:val="000000"/>
          <w:kern w:val="2"/>
          <w:lang w:val="fr-FR"/>
        </w:rPr>
      </w:pPr>
      <w:bookmarkStart w:id="1" w:name="_Hlk147750108"/>
      <w:r>
        <w:rPr>
          <w:rFonts w:eastAsia="Times New Roman" w:cs="Arial"/>
          <w:color w:val="000000"/>
          <w:kern w:val="2"/>
          <w:lang w:val="fr-FR"/>
        </w:rPr>
        <w:t>D</w:t>
      </w:r>
      <w:r w:rsidR="001F0CA5">
        <w:rPr>
          <w:rFonts w:eastAsia="Times New Roman" w:cs="Arial"/>
          <w:color w:val="000000"/>
          <w:kern w:val="2"/>
          <w:lang w:val="fr-FR"/>
        </w:rPr>
        <w:t>’</w:t>
      </w:r>
      <w:r>
        <w:rPr>
          <w:rFonts w:eastAsia="Times New Roman" w:cs="Arial"/>
          <w:color w:val="000000"/>
          <w:kern w:val="2"/>
          <w:lang w:val="fr-FR"/>
        </w:rPr>
        <w:t>autres contributions ont été apportées soit sous la forme d</w:t>
      </w:r>
      <w:r w:rsidR="001F0CA5">
        <w:rPr>
          <w:rFonts w:eastAsia="Times New Roman" w:cs="Arial"/>
          <w:color w:val="000000"/>
          <w:kern w:val="2"/>
          <w:lang w:val="fr-FR"/>
        </w:rPr>
        <w:t>’</w:t>
      </w:r>
      <w:r>
        <w:rPr>
          <w:rFonts w:eastAsia="Times New Roman" w:cs="Arial"/>
          <w:color w:val="000000"/>
          <w:kern w:val="2"/>
          <w:lang w:val="fr-FR"/>
        </w:rPr>
        <w:t>un soutien financier qui n</w:t>
      </w:r>
      <w:r w:rsidR="001F0CA5">
        <w:rPr>
          <w:rFonts w:eastAsia="Times New Roman" w:cs="Arial"/>
          <w:color w:val="000000"/>
          <w:kern w:val="2"/>
          <w:lang w:val="fr-FR"/>
        </w:rPr>
        <w:t>’</w:t>
      </w:r>
      <w:r>
        <w:rPr>
          <w:rFonts w:eastAsia="Times New Roman" w:cs="Arial"/>
          <w:color w:val="000000"/>
          <w:kern w:val="2"/>
          <w:lang w:val="fr-FR"/>
        </w:rPr>
        <w:t>a pas été fourni au Secrétariat mais qui a directement contribué aux activités</w:t>
      </w:r>
      <w:bookmarkEnd w:id="1"/>
      <w:r>
        <w:rPr>
          <w:rFonts w:eastAsia="Times New Roman" w:cs="Arial"/>
          <w:color w:val="000000"/>
          <w:kern w:val="2"/>
          <w:lang w:val="fr-FR"/>
        </w:rPr>
        <w:t>, soit sous la forme d</w:t>
      </w:r>
      <w:r w:rsidR="001F0CA5">
        <w:rPr>
          <w:rFonts w:eastAsia="Times New Roman" w:cs="Arial"/>
          <w:color w:val="000000"/>
          <w:kern w:val="2"/>
          <w:lang w:val="fr-FR"/>
        </w:rPr>
        <w:t>’</w:t>
      </w:r>
      <w:r>
        <w:rPr>
          <w:rFonts w:eastAsia="Times New Roman" w:cs="Arial"/>
          <w:color w:val="000000"/>
          <w:kern w:val="2"/>
          <w:lang w:val="fr-FR"/>
        </w:rPr>
        <w:t>un soutien en nature par la mise à disposition de personnel ou de services.</w:t>
      </w:r>
    </w:p>
    <w:p w14:paraId="257A4EB6" w14:textId="77777777" w:rsidR="004B74B3" w:rsidRDefault="004B74B3">
      <w:pPr>
        <w:suppressAutoHyphens/>
        <w:jc w:val="both"/>
        <w:rPr>
          <w:rFonts w:eastAsia="Times New Roman" w:cs="Arial"/>
          <w:i/>
          <w:color w:val="000000"/>
          <w:kern w:val="2"/>
          <w:highlight w:val="yellow"/>
          <w:lang w:val="fr-FR"/>
        </w:rPr>
      </w:pPr>
    </w:p>
    <w:p w14:paraId="602A6E29" w14:textId="77777777" w:rsidR="004B74B3" w:rsidRDefault="00816D6D">
      <w:pPr>
        <w:suppressAutoHyphens/>
        <w:jc w:val="both"/>
        <w:rPr>
          <w:rFonts w:eastAsia="Times New Roman" w:cs="Arial"/>
          <w:i/>
          <w:color w:val="000000"/>
          <w:kern w:val="2"/>
          <w:lang w:val="fr-FR"/>
        </w:rPr>
      </w:pPr>
      <w:r>
        <w:rPr>
          <w:rFonts w:eastAsia="Times New Roman" w:cs="Arial"/>
          <w:i/>
          <w:color w:val="000000"/>
          <w:kern w:val="2"/>
          <w:lang w:val="fr-FR"/>
        </w:rPr>
        <w:t>Activités et services</w:t>
      </w:r>
    </w:p>
    <w:p w14:paraId="56D11720" w14:textId="77777777" w:rsidR="004B74B3" w:rsidRDefault="004B74B3">
      <w:pPr>
        <w:suppressAutoHyphens/>
        <w:jc w:val="both"/>
        <w:rPr>
          <w:rFonts w:eastAsia="Times New Roman" w:cs="Arial"/>
          <w:i/>
          <w:color w:val="000000"/>
          <w:kern w:val="2"/>
          <w:highlight w:val="yellow"/>
          <w:lang w:val="fr-FR"/>
        </w:rPr>
      </w:pPr>
    </w:p>
    <w:p w14:paraId="2E71069C"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En plus d</w:t>
      </w:r>
      <w:r w:rsidR="001F0CA5">
        <w:rPr>
          <w:rFonts w:eastAsia="Times New Roman" w:cs="Arial"/>
          <w:color w:val="000000"/>
          <w:kern w:val="2"/>
          <w:lang w:val="fr-FR"/>
        </w:rPr>
        <w:t>’</w:t>
      </w:r>
      <w:r>
        <w:rPr>
          <w:rFonts w:eastAsia="Times New Roman" w:cs="Arial"/>
          <w:color w:val="000000"/>
          <w:kern w:val="2"/>
          <w:lang w:val="fr-FR"/>
        </w:rPr>
        <w:t>accueillir le Secrétariat de la CMS et d</w:t>
      </w:r>
      <w:r w:rsidR="001F0CA5">
        <w:rPr>
          <w:rFonts w:eastAsia="Times New Roman" w:cs="Arial"/>
          <w:color w:val="000000"/>
          <w:kern w:val="2"/>
          <w:lang w:val="fr-FR"/>
        </w:rPr>
        <w:t>’</w:t>
      </w:r>
      <w:r>
        <w:rPr>
          <w:rFonts w:eastAsia="Times New Roman" w:cs="Arial"/>
          <w:color w:val="000000"/>
          <w:kern w:val="2"/>
          <w:lang w:val="fr-FR"/>
        </w:rPr>
        <w:t>autres Secrétariats de la Famille CMS basés à Bonn, et de prendre en charge tous les coûts liés aux locaux, le ministère fédéral allemand de l</w:t>
      </w:r>
      <w:r w:rsidR="001F0CA5">
        <w:rPr>
          <w:rFonts w:eastAsia="Times New Roman" w:cs="Arial"/>
          <w:color w:val="000000"/>
          <w:kern w:val="2"/>
          <w:lang w:val="fr-FR"/>
        </w:rPr>
        <w:t>’</w:t>
      </w:r>
      <w:r>
        <w:rPr>
          <w:rFonts w:eastAsia="Times New Roman" w:cs="Arial"/>
          <w:color w:val="000000"/>
          <w:kern w:val="2"/>
          <w:lang w:val="fr-FR"/>
        </w:rPr>
        <w:t>Environnement, de la Protection de la nature, de la Sûreté nucléaire et de la Protection des consommateurs (BMUV) a offert des services d</w:t>
      </w:r>
      <w:r w:rsidR="001F0CA5">
        <w:rPr>
          <w:rFonts w:eastAsia="Times New Roman" w:cs="Arial"/>
          <w:color w:val="000000"/>
          <w:kern w:val="2"/>
          <w:lang w:val="fr-FR"/>
        </w:rPr>
        <w:t>’</w:t>
      </w:r>
      <w:r>
        <w:rPr>
          <w:rFonts w:eastAsia="Times New Roman" w:cs="Arial"/>
          <w:color w:val="000000"/>
          <w:kern w:val="2"/>
          <w:lang w:val="fr-FR"/>
        </w:rPr>
        <w:t>interprétation pour les réunions suivantes qui se sont déroulées à Bonn</w:t>
      </w:r>
      <w:r w:rsidR="001F0CA5">
        <w:rPr>
          <w:rFonts w:eastAsia="Times New Roman" w:cs="Arial"/>
          <w:color w:val="000000"/>
          <w:kern w:val="2"/>
          <w:lang w:val="fr-FR"/>
        </w:rPr>
        <w:t> </w:t>
      </w:r>
      <w:r>
        <w:rPr>
          <w:rFonts w:eastAsia="Times New Roman" w:cs="Arial"/>
          <w:color w:val="000000"/>
          <w:kern w:val="2"/>
          <w:lang w:val="fr-FR"/>
        </w:rPr>
        <w:t>:</w:t>
      </w:r>
    </w:p>
    <w:p w14:paraId="41175C4C" w14:textId="77777777" w:rsidR="004B74B3" w:rsidRDefault="00816D6D">
      <w:pPr>
        <w:numPr>
          <w:ilvl w:val="0"/>
          <w:numId w:val="34"/>
        </w:numPr>
        <w:suppressAutoHyphens/>
        <w:ind w:left="993" w:hanging="426"/>
        <w:jc w:val="both"/>
        <w:rPr>
          <w:rFonts w:eastAsia="Times New Roman" w:cs="Arial"/>
          <w:color w:val="000000"/>
          <w:kern w:val="2"/>
          <w:lang w:val="fr-FR"/>
        </w:rPr>
      </w:pPr>
      <w:r>
        <w:rPr>
          <w:rFonts w:eastAsia="Times New Roman" w:cs="Arial"/>
          <w:color w:val="000000"/>
          <w:kern w:val="2"/>
          <w:lang w:val="fr-FR"/>
        </w:rPr>
        <w:t>7</w:t>
      </w:r>
      <w:r>
        <w:rPr>
          <w:rFonts w:eastAsia="Times New Roman" w:cs="Arial"/>
          <w:color w:val="000000"/>
          <w:kern w:val="2"/>
          <w:vertAlign w:val="superscript"/>
          <w:lang w:val="fr-FR"/>
        </w:rPr>
        <w:t>e</w:t>
      </w:r>
      <w:r w:rsidR="001F0CA5">
        <w:rPr>
          <w:rFonts w:eastAsia="Times New Roman" w:cs="Arial"/>
          <w:color w:val="000000"/>
          <w:kern w:val="2"/>
          <w:lang w:val="fr-FR"/>
        </w:rPr>
        <w:t> </w:t>
      </w:r>
      <w:r>
        <w:rPr>
          <w:rFonts w:eastAsia="Times New Roman" w:cs="Arial"/>
          <w:color w:val="000000"/>
          <w:kern w:val="2"/>
          <w:lang w:val="fr-FR"/>
        </w:rPr>
        <w:t>réunion du Comité de session du Conseil scientifique, du 17 au 20</w:t>
      </w:r>
      <w:r w:rsidR="001F0CA5">
        <w:rPr>
          <w:rFonts w:eastAsia="Times New Roman" w:cs="Arial"/>
          <w:color w:val="000000"/>
          <w:kern w:val="2"/>
          <w:lang w:val="fr-FR"/>
        </w:rPr>
        <w:t> </w:t>
      </w:r>
      <w:r>
        <w:rPr>
          <w:rFonts w:eastAsia="Times New Roman" w:cs="Arial"/>
          <w:color w:val="000000"/>
          <w:kern w:val="2"/>
          <w:lang w:val="fr-FR"/>
        </w:rPr>
        <w:t>septembre 2024</w:t>
      </w:r>
      <w:r w:rsidR="001F0CA5">
        <w:rPr>
          <w:rFonts w:eastAsia="Times New Roman" w:cs="Arial"/>
          <w:color w:val="000000"/>
          <w:kern w:val="2"/>
          <w:lang w:val="fr-FR"/>
        </w:rPr>
        <w:t> </w:t>
      </w:r>
      <w:r>
        <w:rPr>
          <w:rFonts w:eastAsia="Times New Roman" w:cs="Arial"/>
          <w:color w:val="000000"/>
          <w:kern w:val="2"/>
          <w:lang w:val="fr-FR"/>
        </w:rPr>
        <w:t>;</w:t>
      </w:r>
    </w:p>
    <w:p w14:paraId="383CB058" w14:textId="77777777" w:rsidR="004B74B3" w:rsidRDefault="00816D6D">
      <w:pPr>
        <w:numPr>
          <w:ilvl w:val="0"/>
          <w:numId w:val="34"/>
        </w:numPr>
        <w:suppressAutoHyphens/>
        <w:ind w:left="993" w:hanging="426"/>
        <w:jc w:val="both"/>
        <w:rPr>
          <w:rFonts w:eastAsia="Times New Roman" w:cs="Arial"/>
          <w:color w:val="000000"/>
          <w:kern w:val="2"/>
          <w:lang w:val="fr-FR"/>
        </w:rPr>
      </w:pPr>
      <w:r>
        <w:rPr>
          <w:rFonts w:eastAsia="Times New Roman" w:cs="Arial"/>
          <w:color w:val="000000"/>
          <w:kern w:val="2"/>
          <w:lang w:val="fr-FR"/>
        </w:rPr>
        <w:t>56</w:t>
      </w:r>
      <w:r>
        <w:rPr>
          <w:rFonts w:eastAsia="Times New Roman" w:cs="Arial"/>
          <w:color w:val="000000"/>
          <w:kern w:val="2"/>
          <w:vertAlign w:val="superscript"/>
          <w:lang w:val="fr-FR"/>
        </w:rPr>
        <w:t>e</w:t>
      </w:r>
      <w:r w:rsidR="001F0CA5">
        <w:rPr>
          <w:rFonts w:eastAsia="Times New Roman" w:cs="Arial"/>
          <w:color w:val="000000"/>
          <w:kern w:val="2"/>
          <w:lang w:val="fr-FR"/>
        </w:rPr>
        <w:t> </w:t>
      </w:r>
      <w:r>
        <w:rPr>
          <w:rFonts w:eastAsia="Times New Roman" w:cs="Arial"/>
          <w:color w:val="000000"/>
          <w:kern w:val="2"/>
          <w:lang w:val="fr-FR"/>
        </w:rPr>
        <w:t>réunion du Comité permanent, du 25 au 27</w:t>
      </w:r>
      <w:r w:rsidR="001F0CA5">
        <w:rPr>
          <w:rFonts w:eastAsia="Times New Roman" w:cs="Arial"/>
          <w:color w:val="000000"/>
          <w:kern w:val="2"/>
          <w:lang w:val="fr-FR"/>
        </w:rPr>
        <w:t> </w:t>
      </w:r>
      <w:r>
        <w:rPr>
          <w:rFonts w:eastAsia="Times New Roman" w:cs="Arial"/>
          <w:color w:val="000000"/>
          <w:kern w:val="2"/>
          <w:lang w:val="fr-FR"/>
        </w:rPr>
        <w:t>mars 2025.</w:t>
      </w:r>
    </w:p>
    <w:p w14:paraId="0B45E68E" w14:textId="77777777" w:rsidR="004B74B3" w:rsidRDefault="004B74B3">
      <w:pPr>
        <w:suppressAutoHyphens/>
        <w:jc w:val="both"/>
        <w:rPr>
          <w:rFonts w:eastAsia="Times New Roman" w:cs="Arial"/>
          <w:color w:val="000000"/>
          <w:kern w:val="2"/>
          <w:highlight w:val="yellow"/>
          <w:lang w:val="fr-FR"/>
        </w:rPr>
      </w:pPr>
    </w:p>
    <w:p w14:paraId="66C8343B" w14:textId="4CB77727" w:rsidR="00DD1E67" w:rsidRDefault="00DD1E67">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w:t>
      </w:r>
      <w:r w:rsidRPr="00DD1E67">
        <w:rPr>
          <w:rFonts w:eastAsia="Times New Roman" w:cs="Arial"/>
          <w:color w:val="000000"/>
          <w:kern w:val="2"/>
          <w:lang w:val="fr-FR"/>
        </w:rPr>
        <w:t xml:space="preserve">e National Center for </w:t>
      </w:r>
      <w:proofErr w:type="spellStart"/>
      <w:r w:rsidRPr="00DD1E67">
        <w:rPr>
          <w:rFonts w:eastAsia="Times New Roman" w:cs="Arial"/>
          <w:color w:val="000000"/>
          <w:kern w:val="2"/>
          <w:lang w:val="fr-FR"/>
        </w:rPr>
        <w:t>Wildlife</w:t>
      </w:r>
      <w:proofErr w:type="spellEnd"/>
      <w:r w:rsidRPr="00DD1E67">
        <w:rPr>
          <w:rFonts w:eastAsia="Times New Roman" w:cs="Arial"/>
          <w:color w:val="000000"/>
          <w:kern w:val="2"/>
          <w:lang w:val="fr-FR"/>
        </w:rPr>
        <w:t xml:space="preserve"> du Royaume d'Arabie Saoudite s'est engagé à soutenir la mise en place du groupe de travail spécial sur la chasse, le prélèvement et le commerce illégaux d'oiseaux migrateurs en Asie du Sud-Ouest, sa coordination et ses opérations pour une période initiale de trois ans.</w:t>
      </w:r>
    </w:p>
    <w:p w14:paraId="2EAF9CF6" w14:textId="77777777" w:rsidR="00DD1E67" w:rsidRDefault="00DD1E67" w:rsidP="00DD1E67">
      <w:pPr>
        <w:suppressAutoHyphens/>
        <w:ind w:left="567"/>
        <w:jc w:val="both"/>
        <w:rPr>
          <w:rFonts w:eastAsia="Times New Roman" w:cs="Arial"/>
          <w:color w:val="000000"/>
          <w:kern w:val="2"/>
          <w:lang w:val="fr-FR"/>
        </w:rPr>
      </w:pPr>
    </w:p>
    <w:p w14:paraId="13AA8D1C" w14:textId="0282962F"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Le Secrétariat a renouvelé son programme de travail conjoint</w:t>
      </w:r>
      <w:r w:rsidR="001F0CA5">
        <w:rPr>
          <w:rFonts w:eastAsia="Times New Roman" w:cs="Arial"/>
          <w:color w:val="000000"/>
          <w:kern w:val="2"/>
          <w:lang w:val="fr-FR"/>
        </w:rPr>
        <w:t> </w:t>
      </w:r>
      <w:r>
        <w:rPr>
          <w:rFonts w:eastAsia="Times New Roman" w:cs="Arial"/>
          <w:color w:val="000000"/>
          <w:kern w:val="2"/>
          <w:lang w:val="fr-FR"/>
        </w:rPr>
        <w:t>2024-2026 avec l</w:t>
      </w:r>
      <w:r w:rsidR="001F0CA5">
        <w:rPr>
          <w:rFonts w:eastAsia="Times New Roman" w:cs="Arial"/>
          <w:color w:val="000000"/>
          <w:kern w:val="2"/>
          <w:lang w:val="fr-FR"/>
        </w:rPr>
        <w:t>’</w:t>
      </w:r>
      <w:r>
        <w:rPr>
          <w:rFonts w:eastAsia="Times New Roman" w:cs="Arial"/>
          <w:color w:val="000000"/>
          <w:kern w:val="2"/>
          <w:lang w:val="fr-FR"/>
        </w:rPr>
        <w:t>Agence fédérale pour la conservation de la nature d</w:t>
      </w:r>
      <w:r w:rsidR="001F0CA5">
        <w:rPr>
          <w:rFonts w:eastAsia="Times New Roman" w:cs="Arial"/>
          <w:color w:val="000000"/>
          <w:kern w:val="2"/>
          <w:lang w:val="fr-FR"/>
        </w:rPr>
        <w:t>’</w:t>
      </w:r>
      <w:r>
        <w:rPr>
          <w:rFonts w:eastAsia="Times New Roman" w:cs="Arial"/>
          <w:color w:val="000000"/>
          <w:kern w:val="2"/>
          <w:lang w:val="fr-FR"/>
        </w:rPr>
        <w:t>Allemagne (</w:t>
      </w:r>
      <w:proofErr w:type="spellStart"/>
      <w:r>
        <w:rPr>
          <w:rFonts w:eastAsia="Times New Roman" w:cs="Arial"/>
          <w:color w:val="000000"/>
          <w:kern w:val="2"/>
          <w:lang w:val="fr-FR"/>
        </w:rPr>
        <w:t>BfN</w:t>
      </w:r>
      <w:proofErr w:type="spellEnd"/>
      <w:r>
        <w:rPr>
          <w:rFonts w:eastAsia="Times New Roman" w:cs="Arial"/>
          <w:color w:val="000000"/>
          <w:kern w:val="2"/>
          <w:lang w:val="fr-FR"/>
        </w:rPr>
        <w:t>), financé par le BMUV, qui soutient l</w:t>
      </w:r>
      <w:r w:rsidR="001F0CA5">
        <w:rPr>
          <w:rFonts w:eastAsia="Times New Roman" w:cs="Arial"/>
          <w:color w:val="000000"/>
          <w:kern w:val="2"/>
          <w:lang w:val="fr-FR"/>
        </w:rPr>
        <w:t>’</w:t>
      </w:r>
      <w:r>
        <w:rPr>
          <w:rFonts w:eastAsia="Times New Roman" w:cs="Arial"/>
          <w:color w:val="000000"/>
          <w:kern w:val="2"/>
          <w:lang w:val="fr-FR"/>
        </w:rPr>
        <w:t>organisation de divers ateliers et activités, notamment en appui à l</w:t>
      </w:r>
      <w:r w:rsidR="001F0CA5">
        <w:rPr>
          <w:rFonts w:eastAsia="Times New Roman" w:cs="Arial"/>
          <w:color w:val="000000"/>
          <w:kern w:val="2"/>
          <w:lang w:val="fr-FR"/>
        </w:rPr>
        <w:t>’</w:t>
      </w:r>
      <w:r>
        <w:rPr>
          <w:rFonts w:eastAsia="Times New Roman" w:cs="Arial"/>
          <w:color w:val="000000"/>
          <w:kern w:val="2"/>
          <w:lang w:val="fr-FR"/>
        </w:rPr>
        <w:t>Initiative pour les mammifères d</w:t>
      </w:r>
      <w:r w:rsidR="001F0CA5">
        <w:rPr>
          <w:rFonts w:eastAsia="Times New Roman" w:cs="Arial"/>
          <w:color w:val="000000"/>
          <w:kern w:val="2"/>
          <w:lang w:val="fr-FR"/>
        </w:rPr>
        <w:t>’</w:t>
      </w:r>
      <w:r>
        <w:rPr>
          <w:rFonts w:eastAsia="Times New Roman" w:cs="Arial"/>
          <w:color w:val="000000"/>
          <w:kern w:val="2"/>
          <w:lang w:val="fr-FR"/>
        </w:rPr>
        <w:t>Asie centrale.</w:t>
      </w:r>
    </w:p>
    <w:p w14:paraId="10F43581" w14:textId="77777777" w:rsidR="004B74B3" w:rsidRDefault="004B74B3">
      <w:pPr>
        <w:pStyle w:val="ListParagraph"/>
        <w:rPr>
          <w:rFonts w:cs="Arial"/>
          <w:color w:val="000000"/>
          <w:kern w:val="2"/>
          <w:lang w:val="fr-FR"/>
        </w:rPr>
      </w:pPr>
    </w:p>
    <w:p w14:paraId="03B55089"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 xml:space="preserve">La </w:t>
      </w:r>
      <w:hyperlink r:id="rId16" w:history="1">
        <w:r>
          <w:rPr>
            <w:rFonts w:eastAsia="Times New Roman"/>
            <w:color w:val="000000"/>
            <w:lang w:val="fr-FR"/>
          </w:rPr>
          <w:t>septième réunion</w:t>
        </w:r>
      </w:hyperlink>
      <w:r>
        <w:rPr>
          <w:rFonts w:eastAsia="Times New Roman" w:cs="Arial"/>
          <w:color w:val="000000"/>
          <w:kern w:val="2"/>
          <w:lang w:val="fr-FR"/>
        </w:rPr>
        <w:t xml:space="preserve"> de l</w:t>
      </w:r>
      <w:r w:rsidR="001F0CA5">
        <w:rPr>
          <w:rFonts w:eastAsia="Times New Roman" w:cs="Arial"/>
          <w:color w:val="000000"/>
          <w:kern w:val="2"/>
          <w:lang w:val="fr-FR"/>
        </w:rPr>
        <w:t>’</w:t>
      </w:r>
      <w:r>
        <w:rPr>
          <w:rFonts w:eastAsia="Times New Roman" w:cs="Arial"/>
          <w:color w:val="000000"/>
          <w:kern w:val="2"/>
          <w:lang w:val="fr-FR"/>
        </w:rPr>
        <w:t>ETF s</w:t>
      </w:r>
      <w:r w:rsidR="001F0CA5">
        <w:rPr>
          <w:rFonts w:eastAsia="Times New Roman" w:cs="Arial"/>
          <w:color w:val="000000"/>
          <w:kern w:val="2"/>
          <w:lang w:val="fr-FR"/>
        </w:rPr>
        <w:t>’</w:t>
      </w:r>
      <w:r>
        <w:rPr>
          <w:rFonts w:eastAsia="Times New Roman" w:cs="Arial"/>
          <w:color w:val="000000"/>
          <w:kern w:val="2"/>
          <w:lang w:val="fr-FR"/>
        </w:rPr>
        <w:t>est tenue à Madrid du 24 au 26</w:t>
      </w:r>
      <w:r w:rsidR="001F0CA5">
        <w:rPr>
          <w:rFonts w:eastAsia="Times New Roman" w:cs="Arial"/>
          <w:color w:val="000000"/>
          <w:kern w:val="2"/>
          <w:lang w:val="fr-FR"/>
        </w:rPr>
        <w:t> </w:t>
      </w:r>
      <w:r>
        <w:rPr>
          <w:rFonts w:eastAsia="Times New Roman" w:cs="Arial"/>
          <w:color w:val="000000"/>
          <w:kern w:val="2"/>
          <w:lang w:val="fr-FR"/>
        </w:rPr>
        <w:t>avril 2024, sur l</w:t>
      </w:r>
      <w:r w:rsidR="001F0CA5">
        <w:rPr>
          <w:rFonts w:eastAsia="Times New Roman" w:cs="Arial"/>
          <w:color w:val="000000"/>
          <w:kern w:val="2"/>
          <w:lang w:val="fr-FR"/>
        </w:rPr>
        <w:t>’</w:t>
      </w:r>
      <w:r>
        <w:rPr>
          <w:rFonts w:eastAsia="Times New Roman" w:cs="Arial"/>
          <w:color w:val="000000"/>
          <w:kern w:val="2"/>
          <w:lang w:val="fr-FR"/>
        </w:rPr>
        <w:t>aimable invitation du gouvernement espagnol.</w:t>
      </w:r>
    </w:p>
    <w:p w14:paraId="5DDF53DC" w14:textId="77777777" w:rsidR="004B74B3" w:rsidRDefault="004B74B3">
      <w:pPr>
        <w:suppressAutoHyphens/>
        <w:jc w:val="both"/>
        <w:rPr>
          <w:rFonts w:eastAsia="Times New Roman" w:cs="Arial"/>
          <w:color w:val="000000"/>
          <w:kern w:val="2"/>
          <w:lang w:val="fr-FR"/>
        </w:rPr>
      </w:pPr>
    </w:p>
    <w:p w14:paraId="5BA112AF"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La troisième réunion des signataires du MdE Cerf de Boukhara et la réunion des États de l</w:t>
      </w:r>
      <w:r w:rsidR="001F0CA5">
        <w:rPr>
          <w:rFonts w:eastAsia="Times New Roman" w:cs="Arial"/>
          <w:color w:val="000000"/>
          <w:kern w:val="2"/>
          <w:lang w:val="fr-FR"/>
        </w:rPr>
        <w:t>’</w:t>
      </w:r>
      <w:r>
        <w:rPr>
          <w:rFonts w:eastAsia="Times New Roman" w:cs="Arial"/>
          <w:color w:val="000000"/>
          <w:kern w:val="2"/>
          <w:lang w:val="fr-FR"/>
        </w:rPr>
        <w:t>aire de répartition sur la mise en œuvre et la révision du Plan d</w:t>
      </w:r>
      <w:r w:rsidR="001F0CA5">
        <w:rPr>
          <w:rFonts w:eastAsia="Times New Roman" w:cs="Arial"/>
          <w:color w:val="000000"/>
          <w:kern w:val="2"/>
          <w:lang w:val="fr-FR"/>
        </w:rPr>
        <w:t>’</w:t>
      </w:r>
      <w:r>
        <w:rPr>
          <w:rFonts w:eastAsia="Times New Roman" w:cs="Arial"/>
          <w:color w:val="000000"/>
          <w:kern w:val="2"/>
          <w:lang w:val="fr-FR"/>
        </w:rPr>
        <w:t xml:space="preserve">action international </w:t>
      </w:r>
      <w:r>
        <w:rPr>
          <w:rFonts w:eastAsia="Times New Roman" w:cs="Arial"/>
          <w:color w:val="000000"/>
          <w:kern w:val="2"/>
          <w:lang w:val="fr-FR"/>
        </w:rPr>
        <w:lastRenderedPageBreak/>
        <w:t>par espèce pour la conservation de l</w:t>
      </w:r>
      <w:r w:rsidR="001F0CA5">
        <w:rPr>
          <w:rFonts w:eastAsia="Times New Roman" w:cs="Arial"/>
          <w:color w:val="000000"/>
          <w:kern w:val="2"/>
          <w:lang w:val="fr-FR"/>
        </w:rPr>
        <w:t>’</w:t>
      </w:r>
      <w:r>
        <w:rPr>
          <w:rFonts w:eastAsia="Times New Roman" w:cs="Arial"/>
          <w:color w:val="000000"/>
          <w:kern w:val="2"/>
          <w:lang w:val="fr-FR"/>
        </w:rPr>
        <w:t>Argali ont eu lieu à Almaty en septembre 2024, sur l</w:t>
      </w:r>
      <w:r w:rsidR="001F0CA5">
        <w:rPr>
          <w:rFonts w:eastAsia="Times New Roman" w:cs="Arial"/>
          <w:color w:val="000000"/>
          <w:kern w:val="2"/>
          <w:lang w:val="fr-FR"/>
        </w:rPr>
        <w:t>’</w:t>
      </w:r>
      <w:r>
        <w:rPr>
          <w:rFonts w:eastAsia="Times New Roman" w:cs="Arial"/>
          <w:color w:val="000000"/>
          <w:kern w:val="2"/>
          <w:lang w:val="fr-FR"/>
        </w:rPr>
        <w:t>aimable invitation du gouvernement du Kazakhstan.</w:t>
      </w:r>
    </w:p>
    <w:p w14:paraId="4D56B5C4" w14:textId="77777777" w:rsidR="004B74B3" w:rsidRDefault="004B74B3">
      <w:pPr>
        <w:suppressAutoHyphens/>
        <w:jc w:val="both"/>
        <w:rPr>
          <w:rFonts w:eastAsia="Times New Roman" w:cs="Arial"/>
          <w:color w:val="000000"/>
          <w:kern w:val="2"/>
          <w:lang w:val="fr-FR"/>
        </w:rPr>
      </w:pPr>
    </w:p>
    <w:p w14:paraId="1287F327"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La troisième réunion du MdE sur la conservation des espèces d</w:t>
      </w:r>
      <w:r w:rsidR="001F0CA5">
        <w:rPr>
          <w:rFonts w:eastAsia="Times New Roman" w:cs="Arial"/>
          <w:color w:val="000000"/>
          <w:kern w:val="2"/>
          <w:lang w:val="fr-FR"/>
        </w:rPr>
        <w:t>’</w:t>
      </w:r>
      <w:r>
        <w:rPr>
          <w:rFonts w:eastAsia="Times New Roman" w:cs="Arial"/>
          <w:color w:val="000000"/>
          <w:kern w:val="2"/>
          <w:lang w:val="fr-FR"/>
        </w:rPr>
        <w:t>oiseaux de prairie migrateurs et de leurs habitats dans la partie australe du continent sud-américain s</w:t>
      </w:r>
      <w:r w:rsidR="001F0CA5">
        <w:rPr>
          <w:rFonts w:eastAsia="Times New Roman" w:cs="Arial"/>
          <w:color w:val="000000"/>
          <w:kern w:val="2"/>
          <w:lang w:val="fr-FR"/>
        </w:rPr>
        <w:t>’</w:t>
      </w:r>
      <w:r>
        <w:rPr>
          <w:rFonts w:eastAsia="Times New Roman" w:cs="Arial"/>
          <w:color w:val="000000"/>
          <w:kern w:val="2"/>
          <w:lang w:val="fr-FR"/>
        </w:rPr>
        <w:t>est tenue à Florianópolis les 3 et 4</w:t>
      </w:r>
      <w:r w:rsidR="001F0CA5">
        <w:rPr>
          <w:rFonts w:eastAsia="Times New Roman" w:cs="Arial"/>
          <w:color w:val="000000"/>
          <w:kern w:val="2"/>
          <w:lang w:val="fr-FR"/>
        </w:rPr>
        <w:t> </w:t>
      </w:r>
      <w:r>
        <w:rPr>
          <w:rFonts w:eastAsia="Times New Roman" w:cs="Arial"/>
          <w:color w:val="000000"/>
          <w:kern w:val="2"/>
          <w:lang w:val="fr-FR"/>
        </w:rPr>
        <w:t>décembre 2024, juste après la deuxième réunion du Groupe de travail sur le cadre des voies de migration des Amériques, à l</w:t>
      </w:r>
      <w:r w:rsidR="001F0CA5">
        <w:rPr>
          <w:rFonts w:eastAsia="Times New Roman" w:cs="Arial"/>
          <w:color w:val="000000"/>
          <w:kern w:val="2"/>
          <w:lang w:val="fr-FR"/>
        </w:rPr>
        <w:t>’</w:t>
      </w:r>
      <w:r>
        <w:rPr>
          <w:rFonts w:eastAsia="Times New Roman" w:cs="Arial"/>
          <w:color w:val="000000"/>
          <w:kern w:val="2"/>
          <w:lang w:val="fr-FR"/>
        </w:rPr>
        <w:t xml:space="preserve">aimable invitation du gouvernement du Brésil. </w:t>
      </w:r>
    </w:p>
    <w:p w14:paraId="0D19F3EC" w14:textId="77777777" w:rsidR="00DD1E67" w:rsidRDefault="00DD1E67" w:rsidP="00DD1E67">
      <w:pPr>
        <w:suppressAutoHyphens/>
        <w:jc w:val="both"/>
        <w:rPr>
          <w:rFonts w:eastAsia="Times New Roman" w:cs="Arial"/>
          <w:color w:val="000000"/>
          <w:kern w:val="2"/>
          <w:lang w:val="fr-FR"/>
        </w:rPr>
      </w:pPr>
    </w:p>
    <w:p w14:paraId="6A18F091" w14:textId="77777777" w:rsidR="004B74B3" w:rsidRPr="00DD1E67"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Les gouvernements de l</w:t>
      </w:r>
      <w:r w:rsidR="001F0CA5">
        <w:rPr>
          <w:rFonts w:eastAsia="Times New Roman" w:cs="Arial"/>
          <w:color w:val="000000"/>
          <w:kern w:val="2"/>
          <w:lang w:val="fr-FR"/>
        </w:rPr>
        <w:t>’</w:t>
      </w:r>
      <w:r>
        <w:rPr>
          <w:rFonts w:eastAsia="Times New Roman" w:cs="Arial"/>
          <w:color w:val="000000"/>
          <w:kern w:val="2"/>
          <w:lang w:val="fr-FR"/>
        </w:rPr>
        <w:t>Uruguay et de l</w:t>
      </w:r>
      <w:r w:rsidR="001F0CA5">
        <w:rPr>
          <w:rFonts w:eastAsia="Times New Roman" w:cs="Arial"/>
          <w:color w:val="000000"/>
          <w:kern w:val="2"/>
          <w:lang w:val="fr-FR"/>
        </w:rPr>
        <w:t>’</w:t>
      </w:r>
      <w:r>
        <w:rPr>
          <w:rFonts w:eastAsia="Times New Roman" w:cs="Arial"/>
          <w:color w:val="000000"/>
          <w:kern w:val="2"/>
          <w:lang w:val="fr-FR"/>
        </w:rPr>
        <w:t>Autriche ont respectivement repris la coordination du MdE sur la conservation des espèces d</w:t>
      </w:r>
      <w:r w:rsidR="001F0CA5">
        <w:rPr>
          <w:rFonts w:eastAsia="Times New Roman" w:cs="Arial"/>
          <w:color w:val="000000"/>
          <w:kern w:val="2"/>
          <w:lang w:val="fr-FR"/>
        </w:rPr>
        <w:t>’</w:t>
      </w:r>
      <w:r>
        <w:rPr>
          <w:rFonts w:eastAsia="Times New Roman" w:cs="Arial"/>
          <w:color w:val="000000"/>
          <w:kern w:val="2"/>
          <w:lang w:val="fr-FR"/>
        </w:rPr>
        <w:t xml:space="preserve">oiseaux de prairie migrateurs et de leurs habitats dans la partie australe du continent sud-américain et </w:t>
      </w:r>
      <w:r>
        <w:rPr>
          <w:rFonts w:eastAsia="Calibri" w:cs="Arial"/>
          <w:lang w:val="fr-FR"/>
        </w:rPr>
        <w:t>du MdE sur la conservation et la gestion de la population centre-européenne de la Grande Outarde.</w:t>
      </w:r>
    </w:p>
    <w:p w14:paraId="52C31656" w14:textId="77777777" w:rsidR="00DD1E67" w:rsidRPr="00DD1E67" w:rsidRDefault="00DD1E67" w:rsidP="00DD1E67">
      <w:pPr>
        <w:rPr>
          <w:rFonts w:cs="Arial"/>
          <w:color w:val="000000"/>
          <w:kern w:val="2"/>
          <w:lang w:val="fr-FR"/>
        </w:rPr>
      </w:pPr>
    </w:p>
    <w:p w14:paraId="7C8699B1" w14:textId="310D2FDF" w:rsidR="00DD1E67" w:rsidRDefault="00DD1E67">
      <w:pPr>
        <w:numPr>
          <w:ilvl w:val="0"/>
          <w:numId w:val="33"/>
        </w:numPr>
        <w:suppressAutoHyphens/>
        <w:ind w:left="567" w:hanging="567"/>
        <w:jc w:val="both"/>
        <w:rPr>
          <w:rFonts w:eastAsia="Times New Roman" w:cs="Arial"/>
          <w:color w:val="000000"/>
          <w:kern w:val="2"/>
          <w:lang w:val="fr-FR"/>
        </w:rPr>
      </w:pPr>
      <w:r w:rsidRPr="00DD1E67">
        <w:rPr>
          <w:rFonts w:eastAsia="Times New Roman" w:cs="Arial"/>
          <w:color w:val="000000"/>
          <w:kern w:val="2"/>
          <w:lang w:val="fr-FR"/>
        </w:rPr>
        <w:t>Le gouvernement britannique a organisé un atelier d'experts sur les espèces migratrices et le changement climatique du 11 au 13 février 2025 à Édimbourg.</w:t>
      </w:r>
    </w:p>
    <w:p w14:paraId="59D1E329" w14:textId="77777777" w:rsidR="004B74B3" w:rsidRDefault="004B74B3">
      <w:pPr>
        <w:suppressAutoHyphens/>
        <w:jc w:val="both"/>
        <w:rPr>
          <w:rFonts w:eastAsia="Times New Roman" w:cs="Arial"/>
          <w:color w:val="000000"/>
          <w:kern w:val="2"/>
          <w:lang w:val="fr-FR"/>
        </w:rPr>
      </w:pPr>
    </w:p>
    <w:p w14:paraId="640478BB"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Les partenariats avec les ONG ont également été essentiels pour soutenir un certain nombre d</w:t>
      </w:r>
      <w:r w:rsidR="001F0CA5">
        <w:rPr>
          <w:rFonts w:eastAsia="Times New Roman" w:cs="Arial"/>
          <w:color w:val="000000"/>
          <w:kern w:val="2"/>
          <w:lang w:val="fr-FR"/>
        </w:rPr>
        <w:t>’</w:t>
      </w:r>
      <w:r>
        <w:rPr>
          <w:rFonts w:eastAsia="Times New Roman" w:cs="Arial"/>
          <w:color w:val="000000"/>
          <w:kern w:val="2"/>
          <w:lang w:val="fr-FR"/>
        </w:rPr>
        <w:t>initiatives, notamment la coordination du Plan d</w:t>
      </w:r>
      <w:r w:rsidR="001F0CA5">
        <w:rPr>
          <w:rFonts w:eastAsia="Times New Roman" w:cs="Arial"/>
          <w:color w:val="000000"/>
          <w:kern w:val="2"/>
          <w:lang w:val="fr-FR"/>
        </w:rPr>
        <w:t>’</w:t>
      </w:r>
      <w:r>
        <w:rPr>
          <w:rFonts w:eastAsia="Times New Roman" w:cs="Arial"/>
          <w:color w:val="000000"/>
          <w:kern w:val="2"/>
          <w:lang w:val="fr-FR"/>
        </w:rPr>
        <w:t>action pour les oiseaux migrateurs terrestres d</w:t>
      </w:r>
      <w:r w:rsidR="001F0CA5">
        <w:rPr>
          <w:rFonts w:eastAsia="Times New Roman" w:cs="Arial"/>
          <w:color w:val="000000"/>
          <w:kern w:val="2"/>
          <w:lang w:val="fr-FR"/>
        </w:rPr>
        <w:t>’</w:t>
      </w:r>
      <w:r>
        <w:rPr>
          <w:rFonts w:eastAsia="Times New Roman" w:cs="Arial"/>
          <w:color w:val="000000"/>
          <w:kern w:val="2"/>
          <w:lang w:val="fr-FR"/>
        </w:rPr>
        <w:t>Afrique-Eurasie par la Station ornithologique suisse et la mise en œuvre de plusieurs instruments de la CMS, tels que l</w:t>
      </w:r>
      <w:r w:rsidR="001F0CA5">
        <w:rPr>
          <w:rFonts w:eastAsia="Times New Roman" w:cs="Arial"/>
          <w:color w:val="000000"/>
          <w:kern w:val="2"/>
          <w:lang w:val="fr-FR"/>
        </w:rPr>
        <w:t>’</w:t>
      </w:r>
      <w:r>
        <w:rPr>
          <w:rFonts w:eastAsia="Times New Roman" w:cs="Arial"/>
          <w:color w:val="000000"/>
          <w:kern w:val="2"/>
          <w:lang w:val="fr-FR"/>
        </w:rPr>
        <w:t>Initiative pour les mammifères d</w:t>
      </w:r>
      <w:r w:rsidR="001F0CA5">
        <w:rPr>
          <w:rFonts w:eastAsia="Times New Roman" w:cs="Arial"/>
          <w:color w:val="000000"/>
          <w:kern w:val="2"/>
          <w:lang w:val="fr-FR"/>
        </w:rPr>
        <w:t>’</w:t>
      </w:r>
      <w:r>
        <w:rPr>
          <w:rFonts w:eastAsia="Times New Roman" w:cs="Arial"/>
          <w:color w:val="000000"/>
          <w:kern w:val="2"/>
          <w:lang w:val="fr-FR"/>
        </w:rPr>
        <w:t>Asie centrale.</w:t>
      </w:r>
    </w:p>
    <w:p w14:paraId="1A9879CC" w14:textId="77777777" w:rsidR="004B74B3" w:rsidRDefault="004B74B3">
      <w:pPr>
        <w:suppressAutoHyphens/>
        <w:jc w:val="both"/>
        <w:rPr>
          <w:rFonts w:eastAsia="Times New Roman" w:cs="Arial"/>
          <w:color w:val="000000"/>
          <w:kern w:val="2"/>
          <w:highlight w:val="yellow"/>
          <w:lang w:val="fr-FR"/>
        </w:rPr>
      </w:pPr>
    </w:p>
    <w:p w14:paraId="6685551C" w14:textId="77777777" w:rsidR="004B74B3" w:rsidRDefault="00816D6D">
      <w:pPr>
        <w:suppressAutoHyphens/>
        <w:jc w:val="both"/>
        <w:rPr>
          <w:rFonts w:eastAsia="Times New Roman" w:cs="Arial"/>
          <w:i/>
          <w:color w:val="000000"/>
          <w:kern w:val="2"/>
        </w:rPr>
      </w:pPr>
      <w:r>
        <w:rPr>
          <w:rFonts w:eastAsia="Times New Roman" w:cs="Arial"/>
          <w:i/>
          <w:color w:val="000000"/>
          <w:kern w:val="2"/>
        </w:rPr>
        <w:t>Personnel</w:t>
      </w:r>
    </w:p>
    <w:p w14:paraId="241EF062" w14:textId="77777777" w:rsidR="004B74B3" w:rsidRDefault="004B74B3">
      <w:pPr>
        <w:suppressAutoHyphens/>
        <w:jc w:val="both"/>
        <w:rPr>
          <w:rFonts w:eastAsia="Times New Roman" w:cs="Arial"/>
          <w:i/>
          <w:color w:val="000000"/>
          <w:kern w:val="2"/>
          <w:lang w:val="fr-FR"/>
        </w:rPr>
      </w:pPr>
    </w:p>
    <w:p w14:paraId="51F8B7F1"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Grâce à son programme de stages, le Secrétariat a bénéficié du soutien précieux de diplômés universitaires ou d</w:t>
      </w:r>
      <w:r w:rsidR="001F0CA5">
        <w:rPr>
          <w:rFonts w:eastAsia="Times New Roman" w:cs="Arial"/>
          <w:color w:val="000000"/>
          <w:kern w:val="2"/>
          <w:lang w:val="fr-FR"/>
        </w:rPr>
        <w:t>’</w:t>
      </w:r>
      <w:r>
        <w:rPr>
          <w:rFonts w:eastAsia="Times New Roman" w:cs="Arial"/>
          <w:color w:val="000000"/>
          <w:kern w:val="2"/>
          <w:lang w:val="fr-FR"/>
        </w:rPr>
        <w:t>étudiants, qui ont aidé le personnel de la CMS dans son travail quotidien. Ils travaillent en moyenne pour une période de trois mois sans rémunération. Depuis la COP14, 27</w:t>
      </w:r>
      <w:r w:rsidR="001F0CA5">
        <w:rPr>
          <w:rFonts w:eastAsia="Times New Roman" w:cs="Arial"/>
          <w:color w:val="000000"/>
          <w:kern w:val="2"/>
          <w:lang w:val="fr-FR"/>
        </w:rPr>
        <w:t> </w:t>
      </w:r>
      <w:r>
        <w:rPr>
          <w:rFonts w:eastAsia="Times New Roman" w:cs="Arial"/>
          <w:color w:val="000000"/>
          <w:kern w:val="2"/>
          <w:lang w:val="fr-FR"/>
        </w:rPr>
        <w:t>stagiaires de différents pays ont aidé le Secrétariat à réaliser des tâches ou des projets qui contribuent aux activités scientifiques, techniques, politiques, administratives et de communication.</w:t>
      </w:r>
    </w:p>
    <w:p w14:paraId="4DB5784F" w14:textId="77777777" w:rsidR="004B74B3" w:rsidRDefault="004B74B3">
      <w:pPr>
        <w:suppressAutoHyphens/>
        <w:ind w:left="567" w:hanging="567"/>
        <w:jc w:val="both"/>
        <w:rPr>
          <w:rFonts w:eastAsia="Times New Roman" w:cs="Arial"/>
          <w:color w:val="000000"/>
          <w:kern w:val="2"/>
          <w:lang w:val="fr-FR"/>
        </w:rPr>
      </w:pPr>
    </w:p>
    <w:p w14:paraId="45D54DC8"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Les synergies et le soutien mutuel entre les Secrétariats de la Famille CMS, tous situés à Bonn, ont renforcé l</w:t>
      </w:r>
      <w:r w:rsidR="001F0CA5">
        <w:rPr>
          <w:rFonts w:eastAsia="Times New Roman" w:cs="Arial"/>
          <w:color w:val="000000"/>
          <w:kern w:val="2"/>
          <w:lang w:val="fr-FR"/>
        </w:rPr>
        <w:t>’</w:t>
      </w:r>
      <w:r>
        <w:rPr>
          <w:rFonts w:eastAsia="Times New Roman" w:cs="Arial"/>
          <w:color w:val="000000"/>
          <w:kern w:val="2"/>
          <w:lang w:val="fr-FR"/>
        </w:rPr>
        <w:t xml:space="preserve">efficacité programmatique et administrative. De même, le Secrétariat de la CMS et les autres Secrétariats des AME se soutiennent souvent mutuellement en ce qui concerne la dotation en personnel de leurs Conférences des Parties respectives.  </w:t>
      </w:r>
    </w:p>
    <w:p w14:paraId="2315DEC1" w14:textId="77777777" w:rsidR="004B74B3" w:rsidRDefault="004B74B3">
      <w:pPr>
        <w:suppressAutoHyphens/>
        <w:jc w:val="both"/>
        <w:rPr>
          <w:rFonts w:eastAsia="Times New Roman" w:cs="Arial"/>
          <w:color w:val="000000"/>
          <w:kern w:val="2"/>
          <w:lang w:val="fr-FR"/>
        </w:rPr>
      </w:pPr>
    </w:p>
    <w:p w14:paraId="190F5793" w14:textId="77777777" w:rsidR="004B74B3" w:rsidRDefault="00816D6D">
      <w:pPr>
        <w:suppressAutoHyphens/>
        <w:jc w:val="both"/>
        <w:rPr>
          <w:rFonts w:eastAsia="Times New Roman" w:cs="Arial"/>
          <w:color w:val="000000"/>
          <w:kern w:val="2"/>
          <w:lang w:val="fr-FR"/>
        </w:rPr>
      </w:pPr>
      <w:r>
        <w:rPr>
          <w:rFonts w:eastAsia="Times New Roman" w:cs="Arial"/>
          <w:color w:val="000000"/>
          <w:kern w:val="2"/>
          <w:lang w:val="fr-FR"/>
        </w:rPr>
        <w:t xml:space="preserve">Propositions de subventions </w:t>
      </w:r>
    </w:p>
    <w:p w14:paraId="7C9F647C" w14:textId="77777777" w:rsidR="004B74B3" w:rsidRDefault="004B74B3">
      <w:pPr>
        <w:suppressAutoHyphens/>
        <w:jc w:val="both"/>
        <w:rPr>
          <w:rFonts w:eastAsia="Times New Roman" w:cs="Arial"/>
          <w:color w:val="000000"/>
          <w:kern w:val="2"/>
          <w:highlight w:val="yellow"/>
          <w:lang w:val="fr-FR"/>
        </w:rPr>
      </w:pPr>
    </w:p>
    <w:p w14:paraId="09DEF132"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Le Secrétariat de la CMS, en coopération avec les principaux partenaires de mise en œuvre, s</w:t>
      </w:r>
      <w:r w:rsidR="001F0CA5">
        <w:rPr>
          <w:rFonts w:eastAsia="Times New Roman" w:cs="Arial"/>
          <w:color w:val="000000"/>
          <w:kern w:val="2"/>
          <w:lang w:val="fr-FR"/>
        </w:rPr>
        <w:t>’</w:t>
      </w:r>
      <w:r>
        <w:rPr>
          <w:rFonts w:eastAsia="Times New Roman" w:cs="Arial"/>
          <w:color w:val="000000"/>
          <w:kern w:val="2"/>
          <w:lang w:val="fr-FR"/>
        </w:rPr>
        <w:t>efforce de contribuer à un certain nombre de demandes de subventions afin de poursuivre la mise en œuvre de son mandat et de soutenir les actions sur le terrain.</w:t>
      </w:r>
    </w:p>
    <w:p w14:paraId="48D7C04A" w14:textId="77777777" w:rsidR="004B74B3" w:rsidRDefault="004B74B3">
      <w:pPr>
        <w:suppressAutoHyphens/>
        <w:jc w:val="both"/>
        <w:rPr>
          <w:rFonts w:eastAsia="Times New Roman" w:cs="Arial"/>
          <w:color w:val="000000"/>
          <w:kern w:val="2"/>
          <w:highlight w:val="yellow"/>
          <w:u w:val="single"/>
          <w:lang w:val="fr-FR"/>
        </w:rPr>
      </w:pPr>
    </w:p>
    <w:p w14:paraId="17F8A868" w14:textId="77777777" w:rsidR="004B74B3" w:rsidRDefault="00816D6D">
      <w:pPr>
        <w:suppressAutoHyphens/>
        <w:jc w:val="both"/>
        <w:rPr>
          <w:rFonts w:eastAsia="Times New Roman" w:cs="Arial"/>
          <w:i/>
          <w:color w:val="000000"/>
          <w:kern w:val="2"/>
          <w:lang w:val="fr-FR"/>
        </w:rPr>
      </w:pPr>
      <w:r>
        <w:rPr>
          <w:rFonts w:eastAsia="Times New Roman" w:cs="Arial"/>
          <w:i/>
          <w:color w:val="000000"/>
          <w:kern w:val="2"/>
          <w:lang w:val="fr-FR"/>
        </w:rPr>
        <w:t>Fonds pour la biodiversité de Kunming</w:t>
      </w:r>
    </w:p>
    <w:p w14:paraId="3961693C" w14:textId="77777777" w:rsidR="004B74B3" w:rsidRDefault="004B74B3">
      <w:pPr>
        <w:suppressAutoHyphens/>
        <w:ind w:left="567" w:hanging="567"/>
        <w:jc w:val="both"/>
        <w:rPr>
          <w:rFonts w:eastAsia="Times New Roman" w:cs="Arial"/>
          <w:i/>
          <w:color w:val="000000"/>
          <w:kern w:val="2"/>
          <w:highlight w:val="yellow"/>
          <w:lang w:val="fr-FR"/>
        </w:rPr>
      </w:pPr>
    </w:p>
    <w:p w14:paraId="690EF943"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À la fin de 2024, le Fonds pour la biodiversité de Kunming (KBF) a lancé un appel à propositions avec plusieurs domaines thématiques du Cadre mondial de la biodiversité de Kunming-Montréal (GBF), qui sont d</w:t>
      </w:r>
      <w:r w:rsidR="001F0CA5">
        <w:rPr>
          <w:rFonts w:eastAsia="Times New Roman" w:cs="Arial"/>
          <w:color w:val="000000"/>
          <w:kern w:val="2"/>
          <w:lang w:val="fr-FR"/>
        </w:rPr>
        <w:t>’</w:t>
      </w:r>
      <w:r>
        <w:rPr>
          <w:rFonts w:eastAsia="Times New Roman" w:cs="Arial"/>
          <w:color w:val="000000"/>
          <w:kern w:val="2"/>
          <w:lang w:val="fr-FR"/>
        </w:rPr>
        <w:t>une grande importance pour la CMS et ses instruments. Le Secrétariat est actuellement en contact avec les points focaux des Parties des pays en développement ainsi qu</w:t>
      </w:r>
      <w:r w:rsidR="001F0CA5">
        <w:rPr>
          <w:rFonts w:eastAsia="Times New Roman" w:cs="Arial"/>
          <w:color w:val="000000"/>
          <w:kern w:val="2"/>
          <w:lang w:val="fr-FR"/>
        </w:rPr>
        <w:t>’</w:t>
      </w:r>
      <w:r>
        <w:rPr>
          <w:rFonts w:eastAsia="Times New Roman" w:cs="Arial"/>
          <w:color w:val="000000"/>
          <w:kern w:val="2"/>
          <w:lang w:val="fr-FR"/>
        </w:rPr>
        <w:t>avec les organisations non gouvernementales (ONG) partenaires en vue de soumettre plusieurs propositions pour soutenir la mise en œuvre au niveau national et régional. La date limite de soumission des remarques conceptuelles est le 10</w:t>
      </w:r>
      <w:r w:rsidR="001F0CA5">
        <w:rPr>
          <w:rFonts w:eastAsia="Times New Roman" w:cs="Arial"/>
          <w:color w:val="000000"/>
          <w:kern w:val="2"/>
          <w:lang w:val="fr-FR"/>
        </w:rPr>
        <w:t> </w:t>
      </w:r>
      <w:r>
        <w:rPr>
          <w:rFonts w:eastAsia="Times New Roman" w:cs="Arial"/>
          <w:color w:val="000000"/>
          <w:kern w:val="2"/>
          <w:lang w:val="fr-FR"/>
        </w:rPr>
        <w:t>février 2025.</w:t>
      </w:r>
    </w:p>
    <w:p w14:paraId="7E7D70B4" w14:textId="66C13AFE" w:rsidR="00DD1E67" w:rsidRDefault="00DD1E67">
      <w:pPr>
        <w:suppressAutoHyphens/>
        <w:jc w:val="both"/>
        <w:rPr>
          <w:rFonts w:eastAsia="Times New Roman" w:cs="Arial"/>
          <w:color w:val="000000"/>
          <w:kern w:val="2"/>
          <w:highlight w:val="yellow"/>
          <w:lang w:val="fr-FR"/>
        </w:rPr>
      </w:pPr>
      <w:r>
        <w:rPr>
          <w:rFonts w:eastAsia="Times New Roman" w:cs="Arial"/>
          <w:color w:val="000000"/>
          <w:kern w:val="2"/>
          <w:highlight w:val="yellow"/>
          <w:lang w:val="fr-FR"/>
        </w:rPr>
        <w:br w:type="page"/>
      </w:r>
    </w:p>
    <w:p w14:paraId="2D59A2C7" w14:textId="77777777" w:rsidR="004B74B3" w:rsidRDefault="00816D6D">
      <w:pPr>
        <w:suppressAutoHyphens/>
        <w:jc w:val="both"/>
        <w:rPr>
          <w:rFonts w:eastAsia="Times New Roman" w:cs="Arial"/>
          <w:i/>
          <w:iCs/>
          <w:color w:val="000000"/>
          <w:kern w:val="2"/>
          <w:lang w:val="fr-FR"/>
        </w:rPr>
      </w:pPr>
      <w:r>
        <w:rPr>
          <w:rFonts w:eastAsia="Times New Roman" w:cs="Arial"/>
          <w:i/>
          <w:iCs/>
          <w:color w:val="000000"/>
          <w:kern w:val="2"/>
          <w:lang w:val="fr-FR"/>
        </w:rPr>
        <w:lastRenderedPageBreak/>
        <w:t>Initiative internationale pour le climat (IKI)</w:t>
      </w:r>
    </w:p>
    <w:p w14:paraId="62C669A8" w14:textId="77777777" w:rsidR="004B74B3" w:rsidRDefault="004B74B3">
      <w:pPr>
        <w:suppressAutoHyphens/>
        <w:jc w:val="both"/>
        <w:rPr>
          <w:rFonts w:eastAsia="Times New Roman" w:cs="Arial"/>
          <w:i/>
          <w:iCs/>
          <w:color w:val="000000"/>
          <w:kern w:val="2"/>
          <w:highlight w:val="yellow"/>
          <w:lang w:val="fr-FR"/>
        </w:rPr>
      </w:pPr>
    </w:p>
    <w:p w14:paraId="70D0492A"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w:t>
      </w:r>
      <w:r w:rsidR="001F0CA5">
        <w:rPr>
          <w:rFonts w:eastAsia="Times New Roman" w:cs="Arial"/>
          <w:color w:val="000000"/>
          <w:kern w:val="2"/>
          <w:lang w:val="fr-FR"/>
        </w:rPr>
        <w:t>’</w:t>
      </w:r>
      <w:r>
        <w:rPr>
          <w:rFonts w:eastAsia="Times New Roman" w:cs="Arial"/>
          <w:color w:val="000000"/>
          <w:kern w:val="2"/>
          <w:lang w:val="fr-FR"/>
        </w:rPr>
        <w:t>Initiative internationale pour le climat (IKI) dispose de différentes procédures de sélection pour son financement, y compris des appels à projets thématiques qui abordent chaque année les défis actuels de l</w:t>
      </w:r>
      <w:r w:rsidR="001F0CA5">
        <w:rPr>
          <w:rFonts w:eastAsia="Times New Roman" w:cs="Arial"/>
          <w:color w:val="000000"/>
          <w:kern w:val="2"/>
          <w:lang w:val="fr-FR"/>
        </w:rPr>
        <w:t>’</w:t>
      </w:r>
      <w:r>
        <w:rPr>
          <w:rFonts w:eastAsia="Times New Roman" w:cs="Arial"/>
          <w:color w:val="000000"/>
          <w:kern w:val="2"/>
          <w:lang w:val="fr-FR"/>
        </w:rPr>
        <w:t>action climatique, de l</w:t>
      </w:r>
      <w:r w:rsidR="001F0CA5">
        <w:rPr>
          <w:rFonts w:eastAsia="Times New Roman" w:cs="Arial"/>
          <w:color w:val="000000"/>
          <w:kern w:val="2"/>
          <w:lang w:val="fr-FR"/>
        </w:rPr>
        <w:t>’</w:t>
      </w:r>
      <w:r>
        <w:rPr>
          <w:rFonts w:eastAsia="Times New Roman" w:cs="Arial"/>
          <w:color w:val="000000"/>
          <w:kern w:val="2"/>
          <w:lang w:val="fr-FR"/>
        </w:rPr>
        <w:t>adaptation et de la conservation de la biodiversité. À la fin de 2024, l</w:t>
      </w:r>
      <w:r w:rsidR="001F0CA5">
        <w:rPr>
          <w:rFonts w:eastAsia="Times New Roman" w:cs="Arial"/>
          <w:color w:val="000000"/>
          <w:kern w:val="2"/>
          <w:lang w:val="fr-FR"/>
        </w:rPr>
        <w:t>’</w:t>
      </w:r>
      <w:r>
        <w:rPr>
          <w:rFonts w:eastAsia="Times New Roman" w:cs="Arial"/>
          <w:color w:val="000000"/>
          <w:kern w:val="2"/>
          <w:lang w:val="fr-FR"/>
        </w:rPr>
        <w:t>IKI a lancé un appel thématique axé sur neuf priorités, dont la conservation, la gestion durable et la restauration des écosystèmes critiques pour les espèces migratrices. Le Secrétariat de la CMS est en train de développer des idées de projets qui pourraient soit s</w:t>
      </w:r>
      <w:r w:rsidR="001F0CA5">
        <w:rPr>
          <w:rFonts w:eastAsia="Times New Roman" w:cs="Arial"/>
          <w:color w:val="000000"/>
          <w:kern w:val="2"/>
          <w:lang w:val="fr-FR"/>
        </w:rPr>
        <w:t>’</w:t>
      </w:r>
      <w:r>
        <w:rPr>
          <w:rFonts w:eastAsia="Times New Roman" w:cs="Arial"/>
          <w:color w:val="000000"/>
          <w:kern w:val="2"/>
          <w:lang w:val="fr-FR"/>
        </w:rPr>
        <w:t>appuyer sur le succès des projets IKI précédents et en cours, soit faire avancer la mise en œuvre dans d</w:t>
      </w:r>
      <w:r w:rsidR="001F0CA5">
        <w:rPr>
          <w:rFonts w:eastAsia="Times New Roman" w:cs="Arial"/>
          <w:color w:val="000000"/>
          <w:kern w:val="2"/>
          <w:lang w:val="fr-FR"/>
        </w:rPr>
        <w:t>’</w:t>
      </w:r>
      <w:r>
        <w:rPr>
          <w:rFonts w:eastAsia="Times New Roman" w:cs="Arial"/>
          <w:color w:val="000000"/>
          <w:kern w:val="2"/>
          <w:lang w:val="fr-FR"/>
        </w:rPr>
        <w:t>autres domaines pertinents. La date limite de soumission des idées de projets est fixée au 18</w:t>
      </w:r>
      <w:r w:rsidR="001F0CA5">
        <w:rPr>
          <w:rFonts w:eastAsia="Times New Roman" w:cs="Arial"/>
          <w:color w:val="000000"/>
          <w:kern w:val="2"/>
          <w:lang w:val="fr-FR"/>
        </w:rPr>
        <w:t> </w:t>
      </w:r>
      <w:r>
        <w:rPr>
          <w:rFonts w:eastAsia="Times New Roman" w:cs="Arial"/>
          <w:color w:val="000000"/>
          <w:kern w:val="2"/>
          <w:lang w:val="fr-FR"/>
        </w:rPr>
        <w:t>février 2025.</w:t>
      </w:r>
    </w:p>
    <w:p w14:paraId="1D975D4A" w14:textId="77777777" w:rsidR="004B74B3" w:rsidRDefault="00816D6D">
      <w:pPr>
        <w:suppressAutoHyphens/>
        <w:jc w:val="both"/>
        <w:rPr>
          <w:rFonts w:eastAsia="Times New Roman" w:cs="Arial"/>
          <w:color w:val="000000"/>
          <w:kern w:val="2"/>
          <w:u w:val="single"/>
          <w:lang w:val="fr-FR"/>
        </w:rPr>
      </w:pPr>
      <w:r>
        <w:rPr>
          <w:rFonts w:eastAsia="Times New Roman" w:cs="Arial"/>
          <w:color w:val="000000"/>
          <w:kern w:val="2"/>
          <w:u w:val="single"/>
          <w:lang w:val="fr-FR"/>
        </w:rPr>
        <w:t>Fonds pour l</w:t>
      </w:r>
      <w:r w:rsidR="001F0CA5">
        <w:rPr>
          <w:rFonts w:eastAsia="Times New Roman" w:cs="Arial"/>
          <w:color w:val="000000"/>
          <w:kern w:val="2"/>
          <w:u w:val="single"/>
          <w:lang w:val="fr-FR"/>
        </w:rPr>
        <w:t>’</w:t>
      </w:r>
      <w:r>
        <w:rPr>
          <w:rFonts w:eastAsia="Times New Roman" w:cs="Arial"/>
          <w:color w:val="000000"/>
          <w:kern w:val="2"/>
          <w:u w:val="single"/>
          <w:lang w:val="fr-FR"/>
        </w:rPr>
        <w:t>environnement mondial</w:t>
      </w:r>
    </w:p>
    <w:p w14:paraId="52E2AE1C" w14:textId="77777777" w:rsidR="004B74B3" w:rsidRDefault="004B74B3">
      <w:pPr>
        <w:suppressAutoHyphens/>
        <w:jc w:val="both"/>
        <w:rPr>
          <w:rFonts w:eastAsia="Times New Roman" w:cs="Arial"/>
          <w:color w:val="000000"/>
          <w:kern w:val="2"/>
          <w:highlight w:val="yellow"/>
          <w:lang w:val="fr-FR"/>
        </w:rPr>
      </w:pPr>
    </w:p>
    <w:p w14:paraId="5D3E3F6D"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Bien que le Fonds pour l</w:t>
      </w:r>
      <w:r w:rsidR="001F0CA5">
        <w:rPr>
          <w:rFonts w:eastAsia="Times New Roman" w:cs="Arial"/>
          <w:color w:val="000000"/>
          <w:kern w:val="2"/>
          <w:lang w:val="fr-FR"/>
        </w:rPr>
        <w:t>’</w:t>
      </w:r>
      <w:r>
        <w:rPr>
          <w:rFonts w:eastAsia="Times New Roman" w:cs="Arial"/>
          <w:color w:val="000000"/>
          <w:kern w:val="2"/>
          <w:lang w:val="fr-FR"/>
        </w:rPr>
        <w:t>environnement mondial (FEM) ne soit pas un mécanisme financier pour la CMS, des conseils sur les priorités nationales pour la mise en œuvre de la CMS dans les reconstitutions du FEM peuvent être fournis par l</w:t>
      </w:r>
      <w:r w:rsidR="001F0CA5">
        <w:rPr>
          <w:rFonts w:eastAsia="Times New Roman" w:cs="Arial"/>
          <w:color w:val="000000"/>
          <w:kern w:val="2"/>
          <w:lang w:val="fr-FR"/>
        </w:rPr>
        <w:t>’</w:t>
      </w:r>
      <w:r>
        <w:rPr>
          <w:rFonts w:eastAsia="Times New Roman" w:cs="Arial"/>
          <w:color w:val="000000"/>
          <w:kern w:val="2"/>
          <w:lang w:val="fr-FR"/>
        </w:rPr>
        <w:t>intermédiaire de la Convention sur la diversité biologique (CDB). La COP de la CMS, par la Résolution 10</w:t>
      </w:r>
      <w:r w:rsidR="001F0CA5">
        <w:rPr>
          <w:rFonts w:eastAsia="Times New Roman" w:cs="Arial"/>
          <w:color w:val="000000"/>
          <w:kern w:val="2"/>
          <w:lang w:val="fr-FR"/>
        </w:rPr>
        <w:t>.</w:t>
      </w:r>
      <w:r>
        <w:rPr>
          <w:rFonts w:eastAsia="Times New Roman" w:cs="Arial"/>
          <w:color w:val="000000"/>
          <w:kern w:val="2"/>
          <w:lang w:val="fr-FR"/>
        </w:rPr>
        <w:t xml:space="preserve">25 (Rev.COP14) </w:t>
      </w:r>
      <w:r>
        <w:rPr>
          <w:rFonts w:eastAsia="Times New Roman" w:cs="Arial"/>
          <w:i/>
          <w:iCs/>
          <w:color w:val="000000"/>
          <w:kern w:val="2"/>
          <w:lang w:val="fr-FR"/>
        </w:rPr>
        <w:t>Renforcement de l</w:t>
      </w:r>
      <w:r w:rsidR="001F0CA5">
        <w:rPr>
          <w:rFonts w:eastAsia="Times New Roman" w:cs="Arial"/>
          <w:i/>
          <w:iCs/>
          <w:color w:val="000000"/>
          <w:kern w:val="2"/>
          <w:lang w:val="fr-FR"/>
        </w:rPr>
        <w:t>’</w:t>
      </w:r>
      <w:r>
        <w:rPr>
          <w:rFonts w:eastAsia="Times New Roman" w:cs="Arial"/>
          <w:i/>
          <w:iCs/>
          <w:color w:val="000000"/>
          <w:kern w:val="2"/>
          <w:lang w:val="fr-FR"/>
        </w:rPr>
        <w:t>engagement avec le Fonds pour l</w:t>
      </w:r>
      <w:r w:rsidR="001F0CA5">
        <w:rPr>
          <w:rFonts w:eastAsia="Times New Roman" w:cs="Arial"/>
          <w:i/>
          <w:iCs/>
          <w:color w:val="000000"/>
          <w:kern w:val="2"/>
          <w:lang w:val="fr-FR"/>
        </w:rPr>
        <w:t>’</w:t>
      </w:r>
      <w:r>
        <w:rPr>
          <w:rFonts w:eastAsia="Times New Roman" w:cs="Arial"/>
          <w:i/>
          <w:iCs/>
          <w:color w:val="000000"/>
          <w:kern w:val="2"/>
          <w:lang w:val="fr-FR"/>
        </w:rPr>
        <w:t>environnement mondial</w:t>
      </w:r>
      <w:r>
        <w:rPr>
          <w:rFonts w:eastAsia="Times New Roman" w:cs="Arial"/>
          <w:color w:val="000000"/>
          <w:kern w:val="2"/>
          <w:lang w:val="fr-FR"/>
        </w:rPr>
        <w:t>, délègue l</w:t>
      </w:r>
      <w:r w:rsidR="001F0CA5">
        <w:rPr>
          <w:rFonts w:eastAsia="Times New Roman" w:cs="Arial"/>
          <w:color w:val="000000"/>
          <w:kern w:val="2"/>
          <w:lang w:val="fr-FR"/>
        </w:rPr>
        <w:t>’</w:t>
      </w:r>
      <w:r>
        <w:rPr>
          <w:rFonts w:eastAsia="Times New Roman" w:cs="Arial"/>
          <w:color w:val="000000"/>
          <w:kern w:val="2"/>
          <w:lang w:val="fr-FR"/>
        </w:rPr>
        <w:t>autorité d</w:t>
      </w:r>
      <w:r w:rsidR="001F0CA5">
        <w:rPr>
          <w:rFonts w:eastAsia="Times New Roman" w:cs="Arial"/>
          <w:color w:val="000000"/>
          <w:kern w:val="2"/>
          <w:lang w:val="fr-FR"/>
        </w:rPr>
        <w:t>’</w:t>
      </w:r>
      <w:r>
        <w:rPr>
          <w:rFonts w:eastAsia="Times New Roman" w:cs="Arial"/>
          <w:color w:val="000000"/>
          <w:kern w:val="2"/>
          <w:lang w:val="fr-FR"/>
        </w:rPr>
        <w:t xml:space="preserve">élaborer ces conseils au Comité permanent de la CMS et demande au Secrétariat de la CMS de les transmettre en son nom à la CDB. </w:t>
      </w:r>
    </w:p>
    <w:p w14:paraId="38141343" w14:textId="77777777" w:rsidR="004B74B3" w:rsidRDefault="004B74B3">
      <w:pPr>
        <w:suppressAutoHyphens/>
        <w:ind w:left="567" w:hanging="567"/>
        <w:jc w:val="both"/>
        <w:rPr>
          <w:rFonts w:eastAsia="Times New Roman" w:cs="Arial"/>
          <w:color w:val="000000"/>
          <w:kern w:val="2"/>
          <w:highlight w:val="yellow"/>
          <w:lang w:val="fr-FR"/>
        </w:rPr>
      </w:pPr>
    </w:p>
    <w:p w14:paraId="7533C2EF"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En conséquence, en mai 2025, le Secrétariat de la CMS a préparé ces conseils en vue de leur examen par le Comité permanent de la CMS, en consultation avec son Président, afin d</w:t>
      </w:r>
      <w:r w:rsidR="001F0CA5">
        <w:rPr>
          <w:rFonts w:eastAsia="Times New Roman" w:cs="Arial"/>
          <w:color w:val="000000"/>
          <w:kern w:val="2"/>
          <w:lang w:val="fr-FR"/>
        </w:rPr>
        <w:t>’</w:t>
      </w:r>
      <w:r>
        <w:rPr>
          <w:rFonts w:eastAsia="Times New Roman" w:cs="Arial"/>
          <w:color w:val="000000"/>
          <w:kern w:val="2"/>
          <w:lang w:val="fr-FR"/>
        </w:rPr>
        <w:t>informer le développement des orientations stratégiques pour la neuvième période de reconstitution du Fonds pour l</w:t>
      </w:r>
      <w:r w:rsidR="001F0CA5">
        <w:rPr>
          <w:rFonts w:eastAsia="Times New Roman" w:cs="Arial"/>
          <w:color w:val="000000"/>
          <w:kern w:val="2"/>
          <w:lang w:val="fr-FR"/>
        </w:rPr>
        <w:t>’</w:t>
      </w:r>
      <w:r>
        <w:rPr>
          <w:rFonts w:eastAsia="Times New Roman" w:cs="Arial"/>
          <w:color w:val="000000"/>
          <w:kern w:val="2"/>
          <w:lang w:val="fr-FR"/>
        </w:rPr>
        <w:t>environnement mondial (GEF-9, 2026-2030). Ceci est conforme à la Décision</w:t>
      </w:r>
      <w:r w:rsidR="001F0CA5">
        <w:rPr>
          <w:rFonts w:eastAsia="Times New Roman" w:cs="Arial"/>
          <w:color w:val="000000"/>
          <w:kern w:val="2"/>
          <w:lang w:val="fr-FR"/>
        </w:rPr>
        <w:t> </w:t>
      </w:r>
      <w:r>
        <w:rPr>
          <w:rFonts w:eastAsia="Times New Roman" w:cs="Arial"/>
          <w:color w:val="000000"/>
          <w:kern w:val="2"/>
          <w:lang w:val="fr-FR"/>
        </w:rPr>
        <w:t>15/15 de la CDB, qui a invité les organes directeurs des diverses conventions liées à la biodiversité, y compris la CMS, à contribuer à l</w:t>
      </w:r>
      <w:r w:rsidR="001F0CA5">
        <w:rPr>
          <w:rFonts w:eastAsia="Times New Roman" w:cs="Arial"/>
          <w:color w:val="000000"/>
          <w:kern w:val="2"/>
          <w:lang w:val="fr-FR"/>
        </w:rPr>
        <w:t>’</w:t>
      </w:r>
      <w:r>
        <w:rPr>
          <w:rFonts w:eastAsia="Times New Roman" w:cs="Arial"/>
          <w:color w:val="000000"/>
          <w:kern w:val="2"/>
          <w:lang w:val="fr-FR"/>
        </w:rPr>
        <w:t>orientation stratégique pour le GEF-9, afin qu</w:t>
      </w:r>
      <w:r w:rsidR="001F0CA5">
        <w:rPr>
          <w:rFonts w:eastAsia="Times New Roman" w:cs="Arial"/>
          <w:color w:val="000000"/>
          <w:kern w:val="2"/>
          <w:lang w:val="fr-FR"/>
        </w:rPr>
        <w:t>’</w:t>
      </w:r>
      <w:r>
        <w:rPr>
          <w:rFonts w:eastAsia="Times New Roman" w:cs="Arial"/>
          <w:color w:val="000000"/>
          <w:kern w:val="2"/>
          <w:lang w:val="fr-FR"/>
        </w:rPr>
        <w:t>elle soit examinée par la COP16 de la CDB en octobre 2024. </w:t>
      </w:r>
    </w:p>
    <w:p w14:paraId="0E171EA1" w14:textId="77777777" w:rsidR="00F2251D" w:rsidRDefault="00F2251D" w:rsidP="00F2251D">
      <w:pPr>
        <w:suppressAutoHyphens/>
        <w:jc w:val="both"/>
        <w:rPr>
          <w:rFonts w:eastAsia="Times New Roman" w:cs="Arial"/>
          <w:color w:val="000000"/>
          <w:kern w:val="2"/>
          <w:lang w:val="fr-FR"/>
        </w:rPr>
      </w:pPr>
    </w:p>
    <w:p w14:paraId="33908A05"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Ces conseils, qui ont pris la forme d</w:t>
      </w:r>
      <w:r w:rsidR="001F0CA5">
        <w:rPr>
          <w:rFonts w:eastAsia="Times New Roman" w:cs="Arial"/>
          <w:color w:val="000000"/>
          <w:kern w:val="2"/>
          <w:lang w:val="fr-FR"/>
        </w:rPr>
        <w:t>’</w:t>
      </w:r>
      <w:r>
        <w:rPr>
          <w:rFonts w:eastAsia="Times New Roman" w:cs="Arial"/>
          <w:color w:val="000000"/>
          <w:kern w:val="2"/>
          <w:lang w:val="fr-FR"/>
        </w:rPr>
        <w:t>une Résolution, contenaient des dispositions pertinentes relatives à la conservation des espèces migratrices, alignées sur le Plan stratégique de Samarcande pour les espèces migratrices</w:t>
      </w:r>
      <w:r w:rsidR="001F0CA5">
        <w:rPr>
          <w:rFonts w:eastAsia="Times New Roman" w:cs="Arial"/>
          <w:color w:val="000000"/>
          <w:kern w:val="2"/>
          <w:lang w:val="fr-FR"/>
        </w:rPr>
        <w:t> </w:t>
      </w:r>
      <w:r>
        <w:rPr>
          <w:rFonts w:eastAsia="Times New Roman" w:cs="Arial"/>
          <w:color w:val="000000"/>
          <w:kern w:val="2"/>
          <w:lang w:val="fr-FR"/>
        </w:rPr>
        <w:t>2024-2032 et sur le Cadre mondial pour la biodiversité de Kunming-Montréal. </w:t>
      </w:r>
    </w:p>
    <w:p w14:paraId="4B0BAD32" w14:textId="77777777" w:rsidR="004B74B3" w:rsidRDefault="004B74B3">
      <w:pPr>
        <w:suppressAutoHyphens/>
        <w:ind w:left="567" w:hanging="567"/>
        <w:jc w:val="both"/>
        <w:rPr>
          <w:rFonts w:eastAsia="Times New Roman" w:cs="Arial"/>
          <w:color w:val="000000"/>
          <w:kern w:val="2"/>
          <w:highlight w:val="yellow"/>
          <w:lang w:val="fr-FR"/>
        </w:rPr>
      </w:pPr>
    </w:p>
    <w:p w14:paraId="1A0026AA"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Les conseils ont été formulés à un niveau stratégique, en tenant compte du mandat du FEM, des objectifs communs de la CMS et de la CDB, et du rôle prépondérant de la CMS dans la conservation et l</w:t>
      </w:r>
      <w:r w:rsidR="001F0CA5">
        <w:rPr>
          <w:rFonts w:eastAsia="Times New Roman" w:cs="Arial"/>
          <w:color w:val="000000"/>
          <w:kern w:val="2"/>
          <w:lang w:val="fr-FR"/>
        </w:rPr>
        <w:t>’</w:t>
      </w:r>
      <w:r>
        <w:rPr>
          <w:rFonts w:eastAsia="Times New Roman" w:cs="Arial"/>
          <w:color w:val="000000"/>
          <w:kern w:val="2"/>
          <w:lang w:val="fr-FR"/>
        </w:rPr>
        <w:t>utilisation durable des espèces migratrices d</w:t>
      </w:r>
      <w:r w:rsidR="001F0CA5">
        <w:rPr>
          <w:rFonts w:eastAsia="Times New Roman" w:cs="Arial"/>
          <w:color w:val="000000"/>
          <w:kern w:val="2"/>
          <w:lang w:val="fr-FR"/>
        </w:rPr>
        <w:t>’</w:t>
      </w:r>
      <w:r>
        <w:rPr>
          <w:rFonts w:eastAsia="Times New Roman" w:cs="Arial"/>
          <w:color w:val="000000"/>
          <w:kern w:val="2"/>
          <w:lang w:val="fr-FR"/>
        </w:rPr>
        <w:t>animaux sauvages et de leurs habitats.</w:t>
      </w:r>
    </w:p>
    <w:p w14:paraId="12D816E3" w14:textId="77777777" w:rsidR="004B74B3" w:rsidRDefault="004B74B3">
      <w:pPr>
        <w:suppressAutoHyphens/>
        <w:ind w:left="567" w:hanging="567"/>
        <w:jc w:val="both"/>
        <w:rPr>
          <w:rFonts w:eastAsia="Times New Roman" w:cs="Arial"/>
          <w:color w:val="000000"/>
          <w:kern w:val="2"/>
          <w:highlight w:val="yellow"/>
          <w:lang w:val="fr-FR"/>
        </w:rPr>
      </w:pPr>
    </w:p>
    <w:p w14:paraId="06F2AEC0" w14:textId="2E1C3A4A"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La Résolution a été transmise au Secrétariat de la CDB en juillet 2024 et a été incluse dans la documentation de pré-session pour examen à la COP16 de la CDB en novembre 2025</w:t>
      </w:r>
      <w:r w:rsidR="001F0CA5">
        <w:rPr>
          <w:rFonts w:eastAsia="Times New Roman" w:cs="Arial"/>
          <w:color w:val="000000"/>
          <w:kern w:val="2"/>
          <w:lang w:val="fr-FR"/>
        </w:rPr>
        <w:t> </w:t>
      </w:r>
      <w:r>
        <w:rPr>
          <w:rFonts w:eastAsia="Times New Roman" w:cs="Arial"/>
          <w:color w:val="000000"/>
          <w:kern w:val="2"/>
          <w:lang w:val="fr-FR"/>
        </w:rPr>
        <w:t>: les conseils de la CMS ont été mentionnés dans le document</w:t>
      </w:r>
      <w:r w:rsidR="001F0CA5">
        <w:rPr>
          <w:rFonts w:eastAsia="Times New Roman" w:cs="Arial"/>
          <w:color w:val="000000"/>
          <w:kern w:val="2"/>
          <w:lang w:val="fr-FR"/>
        </w:rPr>
        <w:t> </w:t>
      </w:r>
      <w:hyperlink r:id="rId17" w:history="1">
        <w:r>
          <w:rPr>
            <w:rStyle w:val="Hyperlink"/>
            <w:rFonts w:eastAsia="Times New Roman" w:cs="Arial"/>
            <w:kern w:val="2"/>
            <w:lang w:val="fr-FR"/>
          </w:rPr>
          <w:t>CBD/COP/16/6/Rev.1</w:t>
        </w:r>
      </w:hyperlink>
      <w:r>
        <w:rPr>
          <w:rFonts w:eastAsia="Times New Roman" w:cs="Arial"/>
          <w:color w:val="000000"/>
          <w:kern w:val="2"/>
          <w:lang w:val="fr-FR"/>
        </w:rPr>
        <w:t xml:space="preserve"> et reproduits dans leur intégralité dans le document</w:t>
      </w:r>
      <w:r w:rsidR="001F0CA5">
        <w:rPr>
          <w:rFonts w:eastAsia="Times New Roman" w:cs="Arial"/>
          <w:color w:val="000000"/>
          <w:kern w:val="2"/>
          <w:lang w:val="fr-FR"/>
        </w:rPr>
        <w:t> </w:t>
      </w:r>
      <w:hyperlink r:id="rId18" w:history="1">
        <w:r>
          <w:rPr>
            <w:rStyle w:val="Hyperlink"/>
            <w:rFonts w:eastAsia="Times New Roman" w:cs="Arial"/>
            <w:kern w:val="2"/>
            <w:lang w:val="fr-FR"/>
          </w:rPr>
          <w:t>CBD/COP/16/6/Add.2</w:t>
        </w:r>
      </w:hyperlink>
      <w:r>
        <w:rPr>
          <w:rFonts w:eastAsia="Times New Roman" w:cs="Arial"/>
          <w:color w:val="000000"/>
          <w:kern w:val="2"/>
          <w:lang w:val="fr-FR"/>
        </w:rPr>
        <w:t xml:space="preserve">. </w:t>
      </w:r>
    </w:p>
    <w:p w14:paraId="2726BCA4" w14:textId="77777777" w:rsidR="004B74B3" w:rsidRDefault="004B74B3">
      <w:pPr>
        <w:pStyle w:val="ListParagraph"/>
        <w:rPr>
          <w:rFonts w:cs="Arial"/>
          <w:color w:val="000000"/>
          <w:kern w:val="2"/>
          <w:lang w:val="fr-FR"/>
        </w:rPr>
      </w:pPr>
    </w:p>
    <w:p w14:paraId="141F9E99" w14:textId="2050D350"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Bien que l</w:t>
      </w:r>
      <w:r w:rsidR="001F0CA5">
        <w:rPr>
          <w:rFonts w:eastAsia="Times New Roman" w:cs="Arial"/>
          <w:color w:val="000000"/>
          <w:kern w:val="2"/>
          <w:lang w:val="fr-FR"/>
        </w:rPr>
        <w:t>’</w:t>
      </w:r>
      <w:r>
        <w:rPr>
          <w:rFonts w:eastAsia="Times New Roman" w:cs="Arial"/>
          <w:color w:val="000000"/>
          <w:kern w:val="2"/>
          <w:lang w:val="fr-FR"/>
        </w:rPr>
        <w:t>adoption de la Décision de la CDB concernant le mécanisme financier ait été reportée à la deuxième session reprise de la COP16 de la CDB, qui se tiendra du 25 au 27</w:t>
      </w:r>
      <w:r w:rsidR="001F0CA5">
        <w:rPr>
          <w:rFonts w:eastAsia="Times New Roman" w:cs="Arial"/>
          <w:color w:val="000000"/>
          <w:kern w:val="2"/>
          <w:lang w:val="fr-FR"/>
        </w:rPr>
        <w:t> </w:t>
      </w:r>
      <w:r>
        <w:rPr>
          <w:rFonts w:eastAsia="Times New Roman" w:cs="Arial"/>
          <w:color w:val="000000"/>
          <w:kern w:val="2"/>
          <w:lang w:val="fr-FR"/>
        </w:rPr>
        <w:t>février 2025 à Rome, le</w:t>
      </w:r>
      <w:r>
        <w:rPr>
          <w:i/>
          <w:iCs/>
          <w:lang w:val="fr-FR"/>
        </w:rPr>
        <w:t xml:space="preserve"> </w:t>
      </w:r>
      <w:hyperlink r:id="rId19" w:history="1">
        <w:r>
          <w:rPr>
            <w:rStyle w:val="Hyperlink"/>
            <w:rFonts w:eastAsia="Times New Roman" w:cs="Arial"/>
            <w:kern w:val="2"/>
            <w:lang w:val="fr-FR"/>
          </w:rPr>
          <w:t>projet de décision</w:t>
        </w:r>
      </w:hyperlink>
      <w:r>
        <w:rPr>
          <w:rFonts w:eastAsia="Times New Roman" w:cs="Arial"/>
          <w:color w:val="000000"/>
          <w:kern w:val="2"/>
          <w:lang w:val="fr-FR"/>
        </w:rPr>
        <w:t xml:space="preserve"> actuel propose de renforcer la coopération entre les </w:t>
      </w:r>
      <w:r>
        <w:rPr>
          <w:lang w:val="fr-FR"/>
        </w:rPr>
        <w:t>secrétariats des conventions liées à la biodiversité</w:t>
      </w:r>
      <w:r>
        <w:rPr>
          <w:rFonts w:eastAsia="Times New Roman" w:cs="Arial"/>
          <w:color w:val="000000"/>
          <w:kern w:val="2"/>
          <w:lang w:val="fr-FR"/>
        </w:rPr>
        <w:t xml:space="preserve"> pour </w:t>
      </w:r>
      <w:r>
        <w:rPr>
          <w:lang w:val="fr-FR"/>
        </w:rPr>
        <w:t>l</w:t>
      </w:r>
      <w:r w:rsidR="001F0CA5">
        <w:rPr>
          <w:lang w:val="fr-FR"/>
        </w:rPr>
        <w:t>’</w:t>
      </w:r>
      <w:r>
        <w:rPr>
          <w:lang w:val="fr-FR"/>
        </w:rPr>
        <w:t>élaboration de contributions aux projets d</w:t>
      </w:r>
      <w:r w:rsidR="001F0CA5">
        <w:rPr>
          <w:lang w:val="fr-FR"/>
        </w:rPr>
        <w:t>’</w:t>
      </w:r>
      <w:r>
        <w:rPr>
          <w:lang w:val="fr-FR"/>
        </w:rPr>
        <w:t>orientations de programmation et de recommandations politiques pour les négociations du FEM-9.</w:t>
      </w:r>
    </w:p>
    <w:p w14:paraId="1C13FDD8" w14:textId="77777777" w:rsidR="004B74B3" w:rsidRDefault="004B74B3">
      <w:pPr>
        <w:suppressAutoHyphens/>
        <w:jc w:val="both"/>
        <w:rPr>
          <w:rFonts w:eastAsia="Times New Roman" w:cs="Arial"/>
          <w:color w:val="000000"/>
          <w:kern w:val="2"/>
          <w:lang w:val="fr-FR"/>
        </w:rPr>
      </w:pPr>
    </w:p>
    <w:p w14:paraId="45FE0C07"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lastRenderedPageBreak/>
        <w:t>Outre ces efforts, le Secrétariat entretient des relations avec le Secrétariat du FEM et contribuera activement à toutes les étapes de l</w:t>
      </w:r>
      <w:r w:rsidR="001F0CA5">
        <w:rPr>
          <w:rFonts w:eastAsia="Times New Roman" w:cs="Arial"/>
          <w:color w:val="000000"/>
          <w:kern w:val="2"/>
          <w:lang w:val="fr-FR"/>
        </w:rPr>
        <w:t>’</w:t>
      </w:r>
      <w:r>
        <w:rPr>
          <w:rFonts w:eastAsia="Times New Roman" w:cs="Arial"/>
          <w:color w:val="000000"/>
          <w:kern w:val="2"/>
          <w:lang w:val="fr-FR"/>
        </w:rPr>
        <w:t>élaboration des Orientations de programmation du FEM-9. La première étape de ce processus consiste à convoquer des Groupes Consultatifs Techniques (GCT) composés d</w:t>
      </w:r>
      <w:r w:rsidR="001F0CA5">
        <w:rPr>
          <w:rFonts w:eastAsia="Times New Roman" w:cs="Arial"/>
          <w:color w:val="000000"/>
          <w:kern w:val="2"/>
          <w:lang w:val="fr-FR"/>
        </w:rPr>
        <w:t>’</w:t>
      </w:r>
      <w:r>
        <w:rPr>
          <w:rFonts w:eastAsia="Times New Roman" w:cs="Arial"/>
          <w:color w:val="000000"/>
          <w:kern w:val="2"/>
          <w:lang w:val="fr-FR"/>
        </w:rPr>
        <w:t>experts et de praticiens issus d</w:t>
      </w:r>
      <w:r w:rsidR="001F0CA5">
        <w:rPr>
          <w:rFonts w:eastAsia="Times New Roman" w:cs="Arial"/>
          <w:color w:val="000000"/>
          <w:kern w:val="2"/>
          <w:lang w:val="fr-FR"/>
        </w:rPr>
        <w:t>’</w:t>
      </w:r>
      <w:r>
        <w:rPr>
          <w:rFonts w:eastAsia="Times New Roman" w:cs="Arial"/>
          <w:color w:val="000000"/>
          <w:kern w:val="2"/>
          <w:lang w:val="fr-FR"/>
        </w:rPr>
        <w:t>un large éventail de disciplines, afin d</w:t>
      </w:r>
      <w:r w:rsidR="001F0CA5">
        <w:rPr>
          <w:rFonts w:eastAsia="Times New Roman" w:cs="Arial"/>
          <w:color w:val="000000"/>
          <w:kern w:val="2"/>
          <w:lang w:val="fr-FR"/>
        </w:rPr>
        <w:t>’</w:t>
      </w:r>
      <w:r>
        <w:rPr>
          <w:rFonts w:eastAsia="Times New Roman" w:cs="Arial"/>
          <w:color w:val="000000"/>
          <w:kern w:val="2"/>
          <w:lang w:val="fr-FR"/>
        </w:rPr>
        <w:t>aider le Secrétariat du FEM à apporter des contributions techniques et scientifiques sur les orientations potentielles des investissements dans les pays en développement au cours du cycle juillet</w:t>
      </w:r>
      <w:r w:rsidR="001F0CA5">
        <w:rPr>
          <w:rFonts w:eastAsia="Times New Roman" w:cs="Arial"/>
          <w:color w:val="000000"/>
          <w:kern w:val="2"/>
          <w:lang w:val="fr-FR"/>
        </w:rPr>
        <w:t> </w:t>
      </w:r>
      <w:r>
        <w:rPr>
          <w:rFonts w:eastAsia="Times New Roman" w:cs="Arial"/>
          <w:color w:val="000000"/>
          <w:kern w:val="2"/>
          <w:lang w:val="fr-FR"/>
        </w:rPr>
        <w:t>2026-juin</w:t>
      </w:r>
      <w:r w:rsidR="001F0CA5">
        <w:rPr>
          <w:rFonts w:eastAsia="Times New Roman" w:cs="Arial"/>
          <w:color w:val="000000"/>
          <w:kern w:val="2"/>
          <w:lang w:val="fr-FR"/>
        </w:rPr>
        <w:t> </w:t>
      </w:r>
      <w:r>
        <w:rPr>
          <w:rFonts w:eastAsia="Times New Roman" w:cs="Arial"/>
          <w:color w:val="000000"/>
          <w:kern w:val="2"/>
          <w:lang w:val="fr-FR"/>
        </w:rPr>
        <w:t>2030. Outre les membres du Groupe consultatif scientifique et technique (STAP) du FEM et les experts des organismes d</w:t>
      </w:r>
      <w:r w:rsidR="001F0CA5">
        <w:rPr>
          <w:rFonts w:eastAsia="Times New Roman" w:cs="Arial"/>
          <w:color w:val="000000"/>
          <w:kern w:val="2"/>
          <w:lang w:val="fr-FR"/>
        </w:rPr>
        <w:t>’</w:t>
      </w:r>
      <w:r>
        <w:rPr>
          <w:rFonts w:eastAsia="Times New Roman" w:cs="Arial"/>
          <w:color w:val="000000"/>
          <w:kern w:val="2"/>
          <w:lang w:val="fr-FR"/>
        </w:rPr>
        <w:t>exécution et des conventions du FEM, les GCT s</w:t>
      </w:r>
      <w:r w:rsidR="001F0CA5">
        <w:rPr>
          <w:rFonts w:eastAsia="Times New Roman" w:cs="Arial"/>
          <w:color w:val="000000"/>
          <w:kern w:val="2"/>
          <w:lang w:val="fr-FR"/>
        </w:rPr>
        <w:t>’</w:t>
      </w:r>
      <w:r>
        <w:rPr>
          <w:rFonts w:eastAsia="Times New Roman" w:cs="Arial"/>
          <w:color w:val="000000"/>
          <w:kern w:val="2"/>
          <w:lang w:val="fr-FR"/>
        </w:rPr>
        <w:t>appuient sur des experts et des leaders d</w:t>
      </w:r>
      <w:r w:rsidR="001F0CA5">
        <w:rPr>
          <w:rFonts w:eastAsia="Times New Roman" w:cs="Arial"/>
          <w:color w:val="000000"/>
          <w:kern w:val="2"/>
          <w:lang w:val="fr-FR"/>
        </w:rPr>
        <w:t>’</w:t>
      </w:r>
      <w:r>
        <w:rPr>
          <w:rFonts w:eastAsia="Times New Roman" w:cs="Arial"/>
          <w:color w:val="000000"/>
          <w:kern w:val="2"/>
          <w:lang w:val="fr-FR"/>
        </w:rPr>
        <w:t>opinion issus du monde universitaire, du secteur privé et des organisations de la société civile. Le Secrétariat a été invité aux réunions du GCT qui se tiendront du 18 au 20</w:t>
      </w:r>
      <w:r w:rsidR="001F0CA5">
        <w:rPr>
          <w:rFonts w:eastAsia="Times New Roman" w:cs="Arial"/>
          <w:color w:val="000000"/>
          <w:kern w:val="2"/>
          <w:lang w:val="fr-FR"/>
        </w:rPr>
        <w:t> </w:t>
      </w:r>
      <w:r>
        <w:rPr>
          <w:rFonts w:eastAsia="Times New Roman" w:cs="Arial"/>
          <w:color w:val="000000"/>
          <w:kern w:val="2"/>
          <w:lang w:val="fr-FR"/>
        </w:rPr>
        <w:t xml:space="preserve">février 2025 à Washington, D.C. </w:t>
      </w:r>
    </w:p>
    <w:p w14:paraId="3E204A1A" w14:textId="77777777" w:rsidR="004B74B3" w:rsidRDefault="004B74B3">
      <w:pPr>
        <w:suppressAutoHyphens/>
        <w:ind w:left="567" w:hanging="567"/>
        <w:jc w:val="both"/>
        <w:rPr>
          <w:rFonts w:eastAsia="Times New Roman" w:cs="Arial"/>
          <w:color w:val="000000"/>
          <w:kern w:val="2"/>
          <w:lang w:val="fr-FR"/>
        </w:rPr>
      </w:pPr>
    </w:p>
    <w:p w14:paraId="77C78DF3"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Le Secrétariat de la CMS continue à conseiller et à soutenir les Parties à la CMS, lorsqu</w:t>
      </w:r>
      <w:r w:rsidR="001F0CA5">
        <w:rPr>
          <w:rFonts w:eastAsia="Times New Roman" w:cs="Arial"/>
          <w:color w:val="000000"/>
          <w:kern w:val="2"/>
          <w:lang w:val="fr-FR"/>
        </w:rPr>
        <w:t>’</w:t>
      </w:r>
      <w:r>
        <w:rPr>
          <w:rFonts w:eastAsia="Times New Roman" w:cs="Arial"/>
          <w:color w:val="000000"/>
          <w:kern w:val="2"/>
          <w:lang w:val="fr-FR"/>
        </w:rPr>
        <w:t xml:space="preserve">il y a lieu, sur le processus de participation à la programmation du FEM-9. </w:t>
      </w:r>
    </w:p>
    <w:p w14:paraId="3D9DA08F" w14:textId="77777777" w:rsidR="004B74B3" w:rsidRDefault="004B74B3">
      <w:pPr>
        <w:suppressAutoHyphens/>
        <w:jc w:val="both"/>
        <w:rPr>
          <w:rFonts w:eastAsia="Times New Roman" w:cs="Arial"/>
          <w:color w:val="000000"/>
          <w:kern w:val="2"/>
          <w:lang w:val="fr-FR"/>
        </w:rPr>
      </w:pPr>
    </w:p>
    <w:p w14:paraId="63255C66" w14:textId="77777777" w:rsidR="004B74B3" w:rsidRDefault="00816D6D">
      <w:pPr>
        <w:suppressAutoHyphens/>
        <w:jc w:val="both"/>
        <w:rPr>
          <w:rFonts w:eastAsia="Times New Roman" w:cs="Arial"/>
          <w:color w:val="000000"/>
          <w:kern w:val="2"/>
          <w:u w:val="single"/>
          <w:lang w:val="fr-FR"/>
        </w:rPr>
      </w:pPr>
      <w:r>
        <w:rPr>
          <w:rFonts w:eastAsia="Times New Roman" w:cs="Arial"/>
          <w:color w:val="000000"/>
          <w:kern w:val="2"/>
          <w:u w:val="single"/>
          <w:lang w:val="fr-FR"/>
        </w:rPr>
        <w:t>Besoins de financement</w:t>
      </w:r>
    </w:p>
    <w:p w14:paraId="2B5695B7" w14:textId="77777777" w:rsidR="004B74B3" w:rsidRDefault="004B74B3">
      <w:pPr>
        <w:suppressAutoHyphens/>
        <w:jc w:val="both"/>
        <w:rPr>
          <w:rFonts w:eastAsia="Times New Roman" w:cs="Arial"/>
          <w:color w:val="000000"/>
          <w:kern w:val="2"/>
          <w:highlight w:val="yellow"/>
          <w:lang w:val="fr-FR"/>
        </w:rPr>
      </w:pPr>
    </w:p>
    <w:p w14:paraId="33BA4D18"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Malgré les contributions très positives et généreuses décrites ci-dessus, un nombre important de domaines de travail dans le cadre du PdT ne sont actuellement pas financés. Le document</w:t>
      </w:r>
      <w:r w:rsidR="001F0CA5">
        <w:rPr>
          <w:rFonts w:eastAsia="Times New Roman" w:cs="Arial"/>
          <w:color w:val="000000"/>
          <w:kern w:val="2"/>
          <w:lang w:val="fr-FR"/>
        </w:rPr>
        <w:t> </w:t>
      </w:r>
      <w:r>
        <w:rPr>
          <w:rFonts w:eastAsia="Times New Roman" w:cs="Arial"/>
          <w:color w:val="000000"/>
          <w:kern w:val="2"/>
          <w:lang w:val="fr-FR"/>
        </w:rPr>
        <w:t>UNEP/CMS/StC56/Doc.13 fournit des détails sur les lacunes et inclut des estimations des ressources nécessaires à la mise en œuvre des activités pour le reste de la période intersessions.</w:t>
      </w:r>
    </w:p>
    <w:p w14:paraId="0D2C73BA" w14:textId="77777777" w:rsidR="004B74B3" w:rsidRDefault="004B74B3">
      <w:pPr>
        <w:suppressAutoHyphens/>
        <w:ind w:left="567"/>
        <w:jc w:val="both"/>
        <w:rPr>
          <w:rFonts w:eastAsia="Times New Roman" w:cs="Arial"/>
          <w:color w:val="000000"/>
          <w:kern w:val="2"/>
          <w:lang w:val="fr-FR"/>
        </w:rPr>
      </w:pPr>
    </w:p>
    <w:p w14:paraId="7D607085"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Les membres du Comité permanent sont encouragés à consulter leur gouvernement, ainsi que d</w:t>
      </w:r>
      <w:r w:rsidR="001F0CA5">
        <w:rPr>
          <w:rFonts w:eastAsia="Times New Roman" w:cs="Arial"/>
          <w:color w:val="000000"/>
          <w:kern w:val="2"/>
          <w:lang w:val="fr-FR"/>
        </w:rPr>
        <w:t>’</w:t>
      </w:r>
      <w:r>
        <w:rPr>
          <w:rFonts w:eastAsia="Times New Roman" w:cs="Arial"/>
          <w:color w:val="000000"/>
          <w:kern w:val="2"/>
          <w:lang w:val="fr-FR"/>
        </w:rPr>
        <w:t>autres Parties et institutions dans leurs régions respectives, afin d</w:t>
      </w:r>
      <w:r w:rsidR="001F0CA5">
        <w:rPr>
          <w:rFonts w:eastAsia="Times New Roman" w:cs="Arial"/>
          <w:color w:val="000000"/>
          <w:kern w:val="2"/>
          <w:lang w:val="fr-FR"/>
        </w:rPr>
        <w:t>’</w:t>
      </w:r>
      <w:r>
        <w:rPr>
          <w:rFonts w:eastAsia="Times New Roman" w:cs="Arial"/>
          <w:color w:val="000000"/>
          <w:kern w:val="2"/>
          <w:lang w:val="fr-FR"/>
        </w:rPr>
        <w:t>explorer les possibilités d</w:t>
      </w:r>
      <w:r w:rsidR="001F0CA5">
        <w:rPr>
          <w:rFonts w:eastAsia="Times New Roman" w:cs="Arial"/>
          <w:color w:val="000000"/>
          <w:kern w:val="2"/>
          <w:lang w:val="fr-FR"/>
        </w:rPr>
        <w:t>’</w:t>
      </w:r>
      <w:r>
        <w:rPr>
          <w:rFonts w:eastAsia="Times New Roman" w:cs="Arial"/>
          <w:color w:val="000000"/>
          <w:kern w:val="2"/>
          <w:lang w:val="fr-FR"/>
        </w:rPr>
        <w:t>apporter un soutien financier à la mise en œuvre du PdT.</w:t>
      </w:r>
    </w:p>
    <w:p w14:paraId="77C9A93B" w14:textId="77777777" w:rsidR="004B74B3" w:rsidRDefault="004B74B3">
      <w:pPr>
        <w:suppressAutoHyphens/>
        <w:jc w:val="both"/>
        <w:rPr>
          <w:rFonts w:eastAsia="Times New Roman" w:cs="Arial"/>
          <w:color w:val="000000"/>
          <w:kern w:val="2"/>
          <w:lang w:val="fr-FR"/>
        </w:rPr>
      </w:pPr>
    </w:p>
    <w:p w14:paraId="0E6E33A6" w14:textId="77777777" w:rsidR="004B74B3" w:rsidRDefault="00816D6D">
      <w:pPr>
        <w:suppressAutoHyphens/>
        <w:jc w:val="both"/>
        <w:rPr>
          <w:rFonts w:eastAsia="Times New Roman" w:cs="Arial"/>
          <w:color w:val="000000"/>
          <w:kern w:val="2"/>
          <w:u w:val="single"/>
          <w:lang w:val="fr-FR"/>
        </w:rPr>
      </w:pPr>
      <w:r>
        <w:rPr>
          <w:rFonts w:eastAsia="Times New Roman" w:cs="Arial"/>
          <w:color w:val="000000"/>
          <w:kern w:val="2"/>
          <w:u w:val="single"/>
          <w:lang w:val="fr-FR"/>
        </w:rPr>
        <w:t>Actions recommandées</w:t>
      </w:r>
    </w:p>
    <w:p w14:paraId="34C01A7B" w14:textId="77777777" w:rsidR="004B74B3" w:rsidRDefault="004B74B3">
      <w:pPr>
        <w:suppressAutoHyphens/>
        <w:jc w:val="both"/>
        <w:rPr>
          <w:rFonts w:eastAsia="Times New Roman" w:cs="Arial"/>
          <w:color w:val="000000"/>
          <w:kern w:val="2"/>
          <w:u w:val="single"/>
          <w:lang w:val="fr-FR"/>
        </w:rPr>
      </w:pPr>
    </w:p>
    <w:p w14:paraId="48C4BCD8" w14:textId="77777777" w:rsidR="004B74B3" w:rsidRDefault="00816D6D">
      <w:pPr>
        <w:numPr>
          <w:ilvl w:val="0"/>
          <w:numId w:val="33"/>
        </w:numPr>
        <w:suppressAutoHyphens/>
        <w:ind w:left="567" w:hanging="567"/>
        <w:jc w:val="both"/>
        <w:rPr>
          <w:rFonts w:eastAsia="Times New Roman" w:cs="Arial"/>
          <w:color w:val="000000"/>
          <w:kern w:val="2"/>
          <w:lang w:val="fr-FR"/>
        </w:rPr>
      </w:pPr>
      <w:r>
        <w:rPr>
          <w:rFonts w:eastAsia="Times New Roman" w:cs="Arial"/>
          <w:color w:val="000000"/>
          <w:kern w:val="2"/>
          <w:lang w:val="fr-FR"/>
        </w:rPr>
        <w:t>Il est recommandé au Comité permanent de fournir des orientations au Secrétariat sur la mobilisation des ressources et la poursuite de l</w:t>
      </w:r>
      <w:r w:rsidR="001F0CA5">
        <w:rPr>
          <w:rFonts w:eastAsia="Times New Roman" w:cs="Arial"/>
          <w:color w:val="000000"/>
          <w:kern w:val="2"/>
          <w:lang w:val="fr-FR"/>
        </w:rPr>
        <w:t>’</w:t>
      </w:r>
      <w:r>
        <w:rPr>
          <w:rFonts w:eastAsia="Times New Roman" w:cs="Arial"/>
          <w:color w:val="000000"/>
          <w:kern w:val="2"/>
          <w:lang w:val="fr-FR"/>
        </w:rPr>
        <w:t>engagement avec le FEM.</w:t>
      </w:r>
    </w:p>
    <w:p w14:paraId="3E8D9458" w14:textId="77777777" w:rsidR="004B74B3" w:rsidRDefault="004B74B3">
      <w:pPr>
        <w:suppressAutoHyphens/>
        <w:jc w:val="both"/>
        <w:rPr>
          <w:rFonts w:cs="Arial"/>
          <w:color w:val="000000"/>
          <w:kern w:val="2"/>
          <w:u w:val="single"/>
          <w:lang w:val="fr-FR"/>
        </w:rPr>
      </w:pPr>
    </w:p>
    <w:p w14:paraId="5880C0B2" w14:textId="77777777" w:rsidR="004B74B3" w:rsidRDefault="004B74B3">
      <w:pPr>
        <w:suppressAutoHyphens/>
        <w:rPr>
          <w:rFonts w:cs="Arial"/>
          <w:color w:val="000000"/>
          <w:kern w:val="2"/>
          <w:u w:val="single"/>
          <w:lang w:val="fr-FR"/>
        </w:rPr>
      </w:pPr>
    </w:p>
    <w:sectPr w:rsidR="004B74B3">
      <w:headerReference w:type="even" r:id="rId20"/>
      <w:headerReference w:type="default" r:id="rId21"/>
      <w:footerReference w:type="even" r:id="rId22"/>
      <w:footerReference w:type="default" r:id="rId23"/>
      <w:headerReference w:type="first" r:id="rId24"/>
      <w:pgSz w:w="11906" w:h="16838" w:code="9"/>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C9B3" w14:textId="77777777" w:rsidR="00C20D6C" w:rsidRDefault="00C20D6C">
      <w:r>
        <w:rPr>
          <w:lang w:val="fr-FR"/>
        </w:rPr>
        <w:separator/>
      </w:r>
    </w:p>
  </w:endnote>
  <w:endnote w:type="continuationSeparator" w:id="0">
    <w:p w14:paraId="1586A693" w14:textId="77777777" w:rsidR="00C20D6C" w:rsidRDefault="00C20D6C">
      <w:r>
        <w:rPr>
          <w:lang w:val="fr-FR"/>
        </w:rPr>
        <w:continuationSeparator/>
      </w:r>
    </w:p>
  </w:endnote>
  <w:endnote w:type="continuationNotice" w:id="1">
    <w:p w14:paraId="46CE3B7F" w14:textId="77777777" w:rsidR="00C20D6C" w:rsidRDefault="00C20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01848836"/>
      <w:docPartObj>
        <w:docPartGallery w:val="Page Numbers (Bottom of Page)"/>
        <w:docPartUnique/>
      </w:docPartObj>
    </w:sdtPr>
    <w:sdtEndPr>
      <w:rPr>
        <w:sz w:val="18"/>
        <w:szCs w:val="18"/>
      </w:rPr>
    </w:sdtEndPr>
    <w:sdtContent>
      <w:p w14:paraId="0A515E9B" w14:textId="77777777" w:rsidR="001F56E8" w:rsidRPr="00892037" w:rsidRDefault="001F56E8" w:rsidP="001F56E8">
        <w:pPr>
          <w:pStyle w:val="Footer"/>
          <w:jc w:val="center"/>
          <w:rPr>
            <w:sz w:val="18"/>
            <w:szCs w:val="18"/>
          </w:rPr>
        </w:pPr>
        <w:r w:rsidRPr="00892037">
          <w:rPr>
            <w:sz w:val="18"/>
            <w:szCs w:val="18"/>
          </w:rPr>
          <w:fldChar w:fldCharType="begin"/>
        </w:r>
        <w:r w:rsidRPr="00892037">
          <w:rPr>
            <w:sz w:val="18"/>
            <w:szCs w:val="18"/>
          </w:rPr>
          <w:instrText xml:space="preserve"> PAGE   \* MERGEFORMAT </w:instrText>
        </w:r>
        <w:r w:rsidRPr="00892037">
          <w:rPr>
            <w:sz w:val="18"/>
            <w:szCs w:val="18"/>
          </w:rPr>
          <w:fldChar w:fldCharType="separate"/>
        </w:r>
        <w:r w:rsidR="001F0CA5">
          <w:rPr>
            <w:noProof/>
            <w:sz w:val="18"/>
            <w:szCs w:val="18"/>
          </w:rPr>
          <w:t>8</w:t>
        </w:r>
        <w:r w:rsidRPr="00892037">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9192853"/>
      <w:docPartObj>
        <w:docPartGallery w:val="Page Numbers (Bottom of Page)"/>
        <w:docPartUnique/>
      </w:docPartObj>
    </w:sdtPr>
    <w:sdtEndPr>
      <w:rPr>
        <w:sz w:val="18"/>
        <w:szCs w:val="18"/>
      </w:rPr>
    </w:sdtEndPr>
    <w:sdtContent>
      <w:p w14:paraId="1C60E42A" w14:textId="77777777" w:rsidR="001F56E8" w:rsidRPr="00892037" w:rsidRDefault="001F56E8" w:rsidP="001F56E8">
        <w:pPr>
          <w:pStyle w:val="Footer"/>
          <w:jc w:val="center"/>
          <w:rPr>
            <w:sz w:val="18"/>
            <w:szCs w:val="18"/>
          </w:rPr>
        </w:pPr>
        <w:r w:rsidRPr="00892037">
          <w:rPr>
            <w:sz w:val="18"/>
            <w:szCs w:val="18"/>
          </w:rPr>
          <w:fldChar w:fldCharType="begin"/>
        </w:r>
        <w:r w:rsidRPr="00892037">
          <w:rPr>
            <w:sz w:val="18"/>
            <w:szCs w:val="18"/>
          </w:rPr>
          <w:instrText xml:space="preserve"> PAGE   \* MERGEFORMAT </w:instrText>
        </w:r>
        <w:r w:rsidRPr="00892037">
          <w:rPr>
            <w:sz w:val="18"/>
            <w:szCs w:val="18"/>
          </w:rPr>
          <w:fldChar w:fldCharType="separate"/>
        </w:r>
        <w:r w:rsidR="001F0CA5">
          <w:rPr>
            <w:noProof/>
            <w:sz w:val="18"/>
            <w:szCs w:val="18"/>
          </w:rPr>
          <w:t>9</w:t>
        </w:r>
        <w:r w:rsidRPr="00892037">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30C65" w14:textId="77777777" w:rsidR="00C20D6C" w:rsidRDefault="00C20D6C">
      <w:r>
        <w:rPr>
          <w:lang w:val="fr-FR"/>
        </w:rPr>
        <w:separator/>
      </w:r>
    </w:p>
  </w:footnote>
  <w:footnote w:type="continuationSeparator" w:id="0">
    <w:p w14:paraId="63B75DB7" w14:textId="77777777" w:rsidR="00C20D6C" w:rsidRDefault="00C20D6C">
      <w:r>
        <w:rPr>
          <w:lang w:val="fr-FR"/>
        </w:rPr>
        <w:continuationSeparator/>
      </w:r>
    </w:p>
  </w:footnote>
  <w:footnote w:type="continuationNotice" w:id="1">
    <w:p w14:paraId="046004B1" w14:textId="77777777" w:rsidR="00C20D6C" w:rsidRDefault="00C20D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3159" w14:textId="77777777" w:rsidR="004B74B3" w:rsidRDefault="00816D6D">
    <w:pPr>
      <w:pBdr>
        <w:bottom w:val="single" w:sz="4" w:space="1" w:color="auto"/>
      </w:pBdr>
      <w:spacing w:before="80"/>
      <w:rPr>
        <w:i/>
        <w:iCs/>
        <w:sz w:val="18"/>
        <w:szCs w:val="18"/>
      </w:rPr>
    </w:pPr>
    <w:bookmarkStart w:id="2" w:name="_Hlk76136997"/>
    <w:r>
      <w:rPr>
        <w:i/>
        <w:iCs/>
        <w:sz w:val="18"/>
        <w:szCs w:val="18"/>
      </w:rPr>
      <w:t>UNEP/CMS/StC56/</w:t>
    </w:r>
    <w:r>
      <w:rPr>
        <w:i/>
        <w:sz w:val="18"/>
        <w:szCs w:val="18"/>
      </w:rPr>
      <w:t>Doc.10.2</w:t>
    </w:r>
  </w:p>
  <w:bookmarkEnd w:id="2"/>
  <w:p w14:paraId="3217EC77" w14:textId="77777777" w:rsidR="004B74B3" w:rsidRDefault="004B74B3">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92CE" w14:textId="77777777" w:rsidR="004B74B3" w:rsidRDefault="00816D6D">
    <w:pPr>
      <w:pBdr>
        <w:bottom w:val="single" w:sz="4" w:space="1" w:color="auto"/>
      </w:pBdr>
      <w:spacing w:before="80"/>
      <w:jc w:val="right"/>
      <w:rPr>
        <w:i/>
        <w:iCs/>
        <w:sz w:val="18"/>
        <w:szCs w:val="18"/>
      </w:rPr>
    </w:pPr>
    <w:r>
      <w:rPr>
        <w:i/>
        <w:iCs/>
        <w:sz w:val="18"/>
        <w:szCs w:val="18"/>
      </w:rPr>
      <w:t>UNEP/CMS/StC56/</w:t>
    </w:r>
    <w:r>
      <w:rPr>
        <w:i/>
        <w:sz w:val="18"/>
        <w:szCs w:val="18"/>
      </w:rPr>
      <w:t>Doc.10.2</w:t>
    </w:r>
  </w:p>
  <w:p w14:paraId="6A39B03E" w14:textId="77777777" w:rsidR="004B74B3" w:rsidRDefault="004B74B3">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944D" w14:textId="77777777" w:rsidR="008B6B6B" w:rsidRDefault="008B6B6B" w:rsidP="008B6B6B">
    <w:pPr>
      <w:pStyle w:val="Header"/>
    </w:pPr>
    <w:r>
      <w:rPr>
        <w:noProof/>
      </w:rPr>
      <w:drawing>
        <wp:anchor distT="0" distB="0" distL="114300" distR="114300" simplePos="0" relativeHeight="251661312" behindDoc="0" locked="0" layoutInCell="1" allowOverlap="1" wp14:anchorId="4A1B1C59" wp14:editId="0BF894F6">
          <wp:simplePos x="0" y="0"/>
          <wp:positionH relativeFrom="column">
            <wp:posOffset>-619125</wp:posOffset>
          </wp:positionH>
          <wp:positionV relativeFrom="paragraph">
            <wp:posOffset>-647700</wp:posOffset>
          </wp:positionV>
          <wp:extent cx="1514475" cy="1514475"/>
          <wp:effectExtent l="0" t="0" r="9525" b="9525"/>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447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DA615EA" wp14:editId="17A393A4">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7963C820" wp14:editId="040173C2">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21972" w14:textId="77777777" w:rsidR="008B6B6B" w:rsidRPr="00C64B0F" w:rsidRDefault="008B6B6B" w:rsidP="008B6B6B">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7963C820" id="_x0000_t202" coordsize="21600,21600" o:spt="202" path="m,l,21600r21600,l21600,xe">
              <v:stroke joinstyle="miter"/>
              <v:path gradientshapeok="t" o:connecttype="rect"/>
            </v:shapetype>
            <v:shape id="Text Box 2" o:spid="_x0000_s1027"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29121972" w14:textId="77777777" w:rsidR="008B6B6B" w:rsidRPr="00C64B0F" w:rsidRDefault="008B6B6B" w:rsidP="008B6B6B">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3396D504" w14:textId="77777777" w:rsidR="001F0CA5" w:rsidRDefault="001F0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0F9"/>
    <w:multiLevelType w:val="hybridMultilevel"/>
    <w:tmpl w:val="32B6F12C"/>
    <w:lvl w:ilvl="0" w:tplc="BF08256A">
      <w:start w:val="1"/>
      <w:numFmt w:val="decimal"/>
      <w:lvlText w:val="%1."/>
      <w:lvlJc w:val="left"/>
      <w:pPr>
        <w:ind w:left="720" w:hanging="360"/>
      </w:pPr>
      <w:rPr>
        <w:rFonts w:ascii="Arial" w:hAnsi="Arial" w:cs="Arial"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831EB"/>
    <w:multiLevelType w:val="hybridMultilevel"/>
    <w:tmpl w:val="BAF28E0A"/>
    <w:lvl w:ilvl="0" w:tplc="ADB48884">
      <w:start w:val="1"/>
      <w:numFmt w:val="lowerRoman"/>
      <w:lvlText w:val="%1)"/>
      <w:lvlJc w:val="left"/>
      <w:pPr>
        <w:ind w:left="1080" w:hanging="72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C7462"/>
    <w:multiLevelType w:val="hybridMultilevel"/>
    <w:tmpl w:val="E6E0ADF6"/>
    <w:lvl w:ilvl="0" w:tplc="65CE08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40C4F"/>
    <w:multiLevelType w:val="hybridMultilevel"/>
    <w:tmpl w:val="84867C50"/>
    <w:lvl w:ilvl="0" w:tplc="A94081EC">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8150499"/>
    <w:multiLevelType w:val="hybridMultilevel"/>
    <w:tmpl w:val="2DD0D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E4657"/>
    <w:multiLevelType w:val="hybridMultilevel"/>
    <w:tmpl w:val="3B4C624A"/>
    <w:lvl w:ilvl="0" w:tplc="54AA8D8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E3237"/>
    <w:multiLevelType w:val="hybridMultilevel"/>
    <w:tmpl w:val="15E67FBE"/>
    <w:lvl w:ilvl="0" w:tplc="1D4C6550">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61EA"/>
    <w:multiLevelType w:val="hybridMultilevel"/>
    <w:tmpl w:val="A9B89EA2"/>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259BB"/>
    <w:multiLevelType w:val="multilevel"/>
    <w:tmpl w:val="767CD594"/>
    <w:lvl w:ilvl="0">
      <w:start w:val="1"/>
      <w:numFmt w:val="lowerLetter"/>
      <w:lvlText w:val="%1)"/>
      <w:lvlJc w:val="left"/>
      <w:pPr>
        <w:tabs>
          <w:tab w:val="num" w:pos="1920"/>
        </w:tabs>
        <w:ind w:left="1920" w:hanging="360"/>
      </w:pPr>
    </w:lvl>
    <w:lvl w:ilvl="1">
      <w:start w:val="1"/>
      <w:numFmt w:val="decimal"/>
      <w:lvlText w:val="%2."/>
      <w:lvlJc w:val="left"/>
      <w:pPr>
        <w:tabs>
          <w:tab w:val="num" w:pos="2640"/>
        </w:tabs>
        <w:ind w:left="2640" w:hanging="360"/>
      </w:pPr>
    </w:lvl>
    <w:lvl w:ilvl="2">
      <w:start w:val="1"/>
      <w:numFmt w:val="decimal"/>
      <w:lvlText w:val="%3."/>
      <w:lvlJc w:val="left"/>
      <w:pPr>
        <w:tabs>
          <w:tab w:val="num" w:pos="3360"/>
        </w:tabs>
        <w:ind w:left="3360" w:hanging="360"/>
      </w:pPr>
    </w:lvl>
    <w:lvl w:ilvl="3">
      <w:start w:val="1"/>
      <w:numFmt w:val="decimal"/>
      <w:lvlText w:val="%4."/>
      <w:lvlJc w:val="left"/>
      <w:pPr>
        <w:tabs>
          <w:tab w:val="num" w:pos="4080"/>
        </w:tabs>
        <w:ind w:left="4080" w:hanging="360"/>
      </w:pPr>
    </w:lvl>
    <w:lvl w:ilvl="4">
      <w:start w:val="1"/>
      <w:numFmt w:val="decimal"/>
      <w:lvlText w:val="%5."/>
      <w:lvlJc w:val="left"/>
      <w:pPr>
        <w:tabs>
          <w:tab w:val="num" w:pos="4800"/>
        </w:tabs>
        <w:ind w:left="4800" w:hanging="360"/>
      </w:pPr>
    </w:lvl>
    <w:lvl w:ilvl="5">
      <w:start w:val="1"/>
      <w:numFmt w:val="decimal"/>
      <w:lvlText w:val="%6."/>
      <w:lvlJc w:val="left"/>
      <w:pPr>
        <w:tabs>
          <w:tab w:val="num" w:pos="5520"/>
        </w:tabs>
        <w:ind w:left="5520" w:hanging="360"/>
      </w:pPr>
    </w:lvl>
    <w:lvl w:ilvl="6">
      <w:start w:val="1"/>
      <w:numFmt w:val="decimal"/>
      <w:lvlText w:val="%7."/>
      <w:lvlJc w:val="left"/>
      <w:pPr>
        <w:tabs>
          <w:tab w:val="num" w:pos="6240"/>
        </w:tabs>
        <w:ind w:left="6240" w:hanging="360"/>
      </w:pPr>
    </w:lvl>
    <w:lvl w:ilvl="7">
      <w:start w:val="1"/>
      <w:numFmt w:val="decimal"/>
      <w:lvlText w:val="%8."/>
      <w:lvlJc w:val="left"/>
      <w:pPr>
        <w:tabs>
          <w:tab w:val="num" w:pos="6960"/>
        </w:tabs>
        <w:ind w:left="6960" w:hanging="360"/>
      </w:pPr>
    </w:lvl>
    <w:lvl w:ilvl="8">
      <w:start w:val="1"/>
      <w:numFmt w:val="decimal"/>
      <w:lvlText w:val="%9."/>
      <w:lvlJc w:val="left"/>
      <w:pPr>
        <w:tabs>
          <w:tab w:val="num" w:pos="7680"/>
        </w:tabs>
        <w:ind w:left="7680" w:hanging="360"/>
      </w:pPr>
    </w:lvl>
  </w:abstractNum>
  <w:abstractNum w:abstractNumId="15" w15:restartNumberingAfterBreak="0">
    <w:nsid w:val="3F75357B"/>
    <w:multiLevelType w:val="hybridMultilevel"/>
    <w:tmpl w:val="C9206604"/>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04FC5"/>
    <w:multiLevelType w:val="hybridMultilevel"/>
    <w:tmpl w:val="4AF03964"/>
    <w:lvl w:ilvl="0" w:tplc="E41A48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94072C"/>
    <w:multiLevelType w:val="hybridMultilevel"/>
    <w:tmpl w:val="AA3A0BC6"/>
    <w:lvl w:ilvl="0" w:tplc="A14C5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3664BC"/>
    <w:multiLevelType w:val="hybridMultilevel"/>
    <w:tmpl w:val="3D928D08"/>
    <w:lvl w:ilvl="0" w:tplc="C09CA74A">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7" w15:restartNumberingAfterBreak="0">
    <w:nsid w:val="54D0791F"/>
    <w:multiLevelType w:val="hybridMultilevel"/>
    <w:tmpl w:val="2C307EF2"/>
    <w:lvl w:ilvl="0" w:tplc="54AA8D8E">
      <w:start w:val="1"/>
      <w:numFmt w:val="bullet"/>
      <w:lvlText w:val=""/>
      <w:lvlJc w:val="left"/>
      <w:pPr>
        <w:ind w:left="720" w:hanging="360"/>
      </w:pPr>
      <w:rPr>
        <w:rFonts w:ascii="Symbol" w:hAnsi="Symbol" w:hint="default"/>
      </w:rPr>
    </w:lvl>
    <w:lvl w:ilvl="1" w:tplc="54AA8D8E">
      <w:start w:val="1"/>
      <w:numFmt w:val="bullet"/>
      <w:lvlText w:val=""/>
      <w:lvlJc w:val="left"/>
      <w:pPr>
        <w:ind w:left="1440" w:hanging="360"/>
      </w:pPr>
      <w:rPr>
        <w:rFonts w:ascii="Symbol" w:hAnsi="Symbol"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15:restartNumberingAfterBreak="0">
    <w:nsid w:val="57AA53BD"/>
    <w:multiLevelType w:val="hybridMultilevel"/>
    <w:tmpl w:val="91061256"/>
    <w:lvl w:ilvl="0" w:tplc="0FE63F22">
      <w:start w:val="1"/>
      <w:numFmt w:val="bullet"/>
      <w:lvlText w:val=""/>
      <w:lvlJc w:val="left"/>
      <w:pPr>
        <w:ind w:left="1170" w:hanging="360"/>
      </w:pPr>
      <w:rPr>
        <w:rFonts w:ascii="Symbol" w:hAnsi="Symbol" w:hint="default"/>
      </w:rPr>
    </w:lvl>
    <w:lvl w:ilvl="1" w:tplc="20000003">
      <w:start w:val="1"/>
      <w:numFmt w:val="bullet"/>
      <w:lvlText w:val="o"/>
      <w:lvlJc w:val="left"/>
      <w:pPr>
        <w:ind w:left="1890" w:hanging="360"/>
      </w:pPr>
      <w:rPr>
        <w:rFonts w:ascii="Courier New" w:hAnsi="Courier New" w:cs="Courier New" w:hint="default"/>
      </w:rPr>
    </w:lvl>
    <w:lvl w:ilvl="2" w:tplc="20000005">
      <w:start w:val="1"/>
      <w:numFmt w:val="bullet"/>
      <w:lvlText w:val=""/>
      <w:lvlJc w:val="left"/>
      <w:pPr>
        <w:ind w:left="2610" w:hanging="360"/>
      </w:pPr>
      <w:rPr>
        <w:rFonts w:ascii="Wingdings" w:hAnsi="Wingdings" w:hint="default"/>
      </w:rPr>
    </w:lvl>
    <w:lvl w:ilvl="3" w:tplc="20000001">
      <w:start w:val="1"/>
      <w:numFmt w:val="bullet"/>
      <w:lvlText w:val=""/>
      <w:lvlJc w:val="left"/>
      <w:pPr>
        <w:ind w:left="3330" w:hanging="360"/>
      </w:pPr>
      <w:rPr>
        <w:rFonts w:ascii="Symbol" w:hAnsi="Symbol" w:hint="default"/>
      </w:rPr>
    </w:lvl>
    <w:lvl w:ilvl="4" w:tplc="20000003">
      <w:start w:val="1"/>
      <w:numFmt w:val="bullet"/>
      <w:lvlText w:val="o"/>
      <w:lvlJc w:val="left"/>
      <w:pPr>
        <w:ind w:left="4050" w:hanging="360"/>
      </w:pPr>
      <w:rPr>
        <w:rFonts w:ascii="Courier New" w:hAnsi="Courier New" w:cs="Courier New" w:hint="default"/>
      </w:rPr>
    </w:lvl>
    <w:lvl w:ilvl="5" w:tplc="20000005">
      <w:start w:val="1"/>
      <w:numFmt w:val="bullet"/>
      <w:lvlText w:val=""/>
      <w:lvlJc w:val="left"/>
      <w:pPr>
        <w:ind w:left="4770" w:hanging="360"/>
      </w:pPr>
      <w:rPr>
        <w:rFonts w:ascii="Wingdings" w:hAnsi="Wingdings" w:hint="default"/>
      </w:rPr>
    </w:lvl>
    <w:lvl w:ilvl="6" w:tplc="20000001">
      <w:start w:val="1"/>
      <w:numFmt w:val="bullet"/>
      <w:lvlText w:val=""/>
      <w:lvlJc w:val="left"/>
      <w:pPr>
        <w:ind w:left="5490" w:hanging="360"/>
      </w:pPr>
      <w:rPr>
        <w:rFonts w:ascii="Symbol" w:hAnsi="Symbol" w:hint="default"/>
      </w:rPr>
    </w:lvl>
    <w:lvl w:ilvl="7" w:tplc="20000003">
      <w:start w:val="1"/>
      <w:numFmt w:val="bullet"/>
      <w:lvlText w:val="o"/>
      <w:lvlJc w:val="left"/>
      <w:pPr>
        <w:ind w:left="6210" w:hanging="360"/>
      </w:pPr>
      <w:rPr>
        <w:rFonts w:ascii="Courier New" w:hAnsi="Courier New" w:cs="Courier New" w:hint="default"/>
      </w:rPr>
    </w:lvl>
    <w:lvl w:ilvl="8" w:tplc="20000005">
      <w:start w:val="1"/>
      <w:numFmt w:val="bullet"/>
      <w:lvlText w:val=""/>
      <w:lvlJc w:val="left"/>
      <w:pPr>
        <w:ind w:left="6930" w:hanging="360"/>
      </w:pPr>
      <w:rPr>
        <w:rFonts w:ascii="Wingdings" w:hAnsi="Wingdings" w:hint="default"/>
      </w:rPr>
    </w:lvl>
  </w:abstractNum>
  <w:abstractNum w:abstractNumId="29" w15:restartNumberingAfterBreak="0">
    <w:nsid w:val="60206E39"/>
    <w:multiLevelType w:val="hybridMultilevel"/>
    <w:tmpl w:val="7DD02EC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0"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15:restartNumberingAfterBreak="0">
    <w:nsid w:val="714F3D2D"/>
    <w:multiLevelType w:val="hybridMultilevel"/>
    <w:tmpl w:val="719E2DB0"/>
    <w:lvl w:ilvl="0" w:tplc="23606B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91D95"/>
    <w:multiLevelType w:val="hybridMultilevel"/>
    <w:tmpl w:val="C29C8524"/>
    <w:lvl w:ilvl="0" w:tplc="8FD44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3B1538"/>
    <w:multiLevelType w:val="hybridMultilevel"/>
    <w:tmpl w:val="A6CED2BE"/>
    <w:lvl w:ilvl="0" w:tplc="035E7C30">
      <w:numFmt w:val="bullet"/>
      <w:lvlText w:val="-"/>
      <w:lvlJc w:val="left"/>
      <w:pPr>
        <w:ind w:left="733" w:hanging="360"/>
      </w:pPr>
      <w:rPr>
        <w:rFonts w:ascii="Arial" w:eastAsiaTheme="minorHAnsi" w:hAnsi="Arial" w:cs="Aria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35"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CF793E"/>
    <w:multiLevelType w:val="hybridMultilevel"/>
    <w:tmpl w:val="354AC304"/>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9261A"/>
    <w:multiLevelType w:val="hybridMultilevel"/>
    <w:tmpl w:val="1C7E563A"/>
    <w:lvl w:ilvl="0" w:tplc="438A69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E5F74"/>
    <w:multiLevelType w:val="hybridMultilevel"/>
    <w:tmpl w:val="12300722"/>
    <w:lvl w:ilvl="0" w:tplc="80666FD0">
      <w:numFmt w:val="bullet"/>
      <w:lvlText w:val="−"/>
      <w:lvlJc w:val="left"/>
      <w:pPr>
        <w:ind w:left="927" w:hanging="360"/>
      </w:pPr>
      <w:rPr>
        <w:rFonts w:ascii="Arial" w:eastAsia="Times New Roman"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2015955905">
    <w:abstractNumId w:val="26"/>
  </w:num>
  <w:num w:numId="2" w16cid:durableId="713191066">
    <w:abstractNumId w:val="19"/>
  </w:num>
  <w:num w:numId="3" w16cid:durableId="313489846">
    <w:abstractNumId w:val="35"/>
  </w:num>
  <w:num w:numId="4" w16cid:durableId="799419546">
    <w:abstractNumId w:val="18"/>
  </w:num>
  <w:num w:numId="5" w16cid:durableId="654649744">
    <w:abstractNumId w:val="12"/>
  </w:num>
  <w:num w:numId="6" w16cid:durableId="1432432983">
    <w:abstractNumId w:val="9"/>
  </w:num>
  <w:num w:numId="7" w16cid:durableId="172841480">
    <w:abstractNumId w:val="30"/>
  </w:num>
  <w:num w:numId="8" w16cid:durableId="1221405651">
    <w:abstractNumId w:val="24"/>
  </w:num>
  <w:num w:numId="9" w16cid:durableId="499930122">
    <w:abstractNumId w:val="17"/>
  </w:num>
  <w:num w:numId="10" w16cid:durableId="635065190">
    <w:abstractNumId w:val="10"/>
  </w:num>
  <w:num w:numId="11" w16cid:durableId="179054154">
    <w:abstractNumId w:val="1"/>
  </w:num>
  <w:num w:numId="12" w16cid:durableId="1962882246">
    <w:abstractNumId w:val="7"/>
  </w:num>
  <w:num w:numId="13" w16cid:durableId="439909830">
    <w:abstractNumId w:val="31"/>
  </w:num>
  <w:num w:numId="14" w16cid:durableId="1030496305">
    <w:abstractNumId w:val="21"/>
  </w:num>
  <w:num w:numId="15" w16cid:durableId="1224949350">
    <w:abstractNumId w:val="23"/>
  </w:num>
  <w:num w:numId="16" w16cid:durableId="969745666">
    <w:abstractNumId w:val="8"/>
  </w:num>
  <w:num w:numId="17" w16cid:durableId="1713845350">
    <w:abstractNumId w:val="11"/>
  </w:num>
  <w:num w:numId="18" w16cid:durableId="1043288427">
    <w:abstractNumId w:val="4"/>
  </w:num>
  <w:num w:numId="19" w16cid:durableId="574047337">
    <w:abstractNumId w:val="0"/>
  </w:num>
  <w:num w:numId="20" w16cid:durableId="1746995922">
    <w:abstractNumId w:val="5"/>
  </w:num>
  <w:num w:numId="21" w16cid:durableId="1035348309">
    <w:abstractNumId w:val="32"/>
  </w:num>
  <w:num w:numId="22" w16cid:durableId="1355308422">
    <w:abstractNumId w:val="3"/>
  </w:num>
  <w:num w:numId="23" w16cid:durableId="721486947">
    <w:abstractNumId w:val="16"/>
  </w:num>
  <w:num w:numId="24" w16cid:durableId="2027169294">
    <w:abstractNumId w:val="2"/>
  </w:num>
  <w:num w:numId="25" w16cid:durableId="2021152013">
    <w:abstractNumId w:val="37"/>
  </w:num>
  <w:num w:numId="26" w16cid:durableId="1500148528">
    <w:abstractNumId w:val="33"/>
  </w:num>
  <w:num w:numId="27" w16cid:durableId="1894191454">
    <w:abstractNumId w:val="20"/>
  </w:num>
  <w:num w:numId="28" w16cid:durableId="373192258">
    <w:abstractNumId w:val="15"/>
  </w:num>
  <w:num w:numId="29" w16cid:durableId="1103113919">
    <w:abstractNumId w:val="36"/>
  </w:num>
  <w:num w:numId="30" w16cid:durableId="697967614">
    <w:abstractNumId w:val="13"/>
  </w:num>
  <w:num w:numId="31" w16cid:durableId="1248999012">
    <w:abstractNumId w:val="34"/>
  </w:num>
  <w:num w:numId="32" w16cid:durableId="1678070078">
    <w:abstractNumId w:val="25"/>
  </w:num>
  <w:num w:numId="33" w16cid:durableId="1420322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3285648">
    <w:abstractNumId w:val="28"/>
  </w:num>
  <w:num w:numId="35" w16cid:durableId="1559435639">
    <w:abstractNumId w:val="27"/>
  </w:num>
  <w:num w:numId="36" w16cid:durableId="786315622">
    <w:abstractNumId w:val="6"/>
  </w:num>
  <w:num w:numId="37" w16cid:durableId="6844068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9220554">
    <w:abstractNumId w:val="29"/>
  </w:num>
  <w:num w:numId="39" w16cid:durableId="79949830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Q0MDU1NDYyMzE1NbBU0lEKTi0uzszPAykwqgUAK4TeNSwAAAA="/>
  </w:docVars>
  <w:rsids>
    <w:rsidRoot w:val="008562CA"/>
    <w:rsid w:val="000009A8"/>
    <w:rsid w:val="00034F7E"/>
    <w:rsid w:val="00045769"/>
    <w:rsid w:val="0005160C"/>
    <w:rsid w:val="00051664"/>
    <w:rsid w:val="00063003"/>
    <w:rsid w:val="000711E9"/>
    <w:rsid w:val="000717E8"/>
    <w:rsid w:val="00082E98"/>
    <w:rsid w:val="000844C6"/>
    <w:rsid w:val="00095251"/>
    <w:rsid w:val="000A2759"/>
    <w:rsid w:val="000A366E"/>
    <w:rsid w:val="000A52F9"/>
    <w:rsid w:val="000A749C"/>
    <w:rsid w:val="000B4967"/>
    <w:rsid w:val="000C2262"/>
    <w:rsid w:val="000D143B"/>
    <w:rsid w:val="000D7986"/>
    <w:rsid w:val="000E5605"/>
    <w:rsid w:val="000E6584"/>
    <w:rsid w:val="000F11A9"/>
    <w:rsid w:val="000F4744"/>
    <w:rsid w:val="00104DE3"/>
    <w:rsid w:val="00110BFB"/>
    <w:rsid w:val="00114805"/>
    <w:rsid w:val="001166A0"/>
    <w:rsid w:val="001176C5"/>
    <w:rsid w:val="00130BD6"/>
    <w:rsid w:val="00140BAE"/>
    <w:rsid w:val="00141787"/>
    <w:rsid w:val="0014334C"/>
    <w:rsid w:val="00154B25"/>
    <w:rsid w:val="001603B5"/>
    <w:rsid w:val="001609D0"/>
    <w:rsid w:val="00162F6D"/>
    <w:rsid w:val="00182754"/>
    <w:rsid w:val="001829E6"/>
    <w:rsid w:val="00183091"/>
    <w:rsid w:val="00187680"/>
    <w:rsid w:val="00194A9D"/>
    <w:rsid w:val="001B12B6"/>
    <w:rsid w:val="001B3E07"/>
    <w:rsid w:val="001B7C41"/>
    <w:rsid w:val="001C5A34"/>
    <w:rsid w:val="001D6539"/>
    <w:rsid w:val="001D6B3A"/>
    <w:rsid w:val="001E6601"/>
    <w:rsid w:val="001F0CA5"/>
    <w:rsid w:val="001F56E8"/>
    <w:rsid w:val="002020FE"/>
    <w:rsid w:val="00224964"/>
    <w:rsid w:val="00226F07"/>
    <w:rsid w:val="00227FC2"/>
    <w:rsid w:val="00233EEB"/>
    <w:rsid w:val="00235096"/>
    <w:rsid w:val="00240C01"/>
    <w:rsid w:val="002431F7"/>
    <w:rsid w:val="00251C24"/>
    <w:rsid w:val="002721A0"/>
    <w:rsid w:val="002812E2"/>
    <w:rsid w:val="0029086A"/>
    <w:rsid w:val="00291619"/>
    <w:rsid w:val="00293935"/>
    <w:rsid w:val="002A18E3"/>
    <w:rsid w:val="002A6860"/>
    <w:rsid w:val="002B0181"/>
    <w:rsid w:val="002C20BF"/>
    <w:rsid w:val="002E3D5F"/>
    <w:rsid w:val="002F0884"/>
    <w:rsid w:val="002F2584"/>
    <w:rsid w:val="002F3977"/>
    <w:rsid w:val="002F6F2C"/>
    <w:rsid w:val="00306964"/>
    <w:rsid w:val="0031319B"/>
    <w:rsid w:val="00325164"/>
    <w:rsid w:val="00333C17"/>
    <w:rsid w:val="00335945"/>
    <w:rsid w:val="00362711"/>
    <w:rsid w:val="003634B9"/>
    <w:rsid w:val="0037531F"/>
    <w:rsid w:val="0038081D"/>
    <w:rsid w:val="00390D58"/>
    <w:rsid w:val="003A7F9D"/>
    <w:rsid w:val="003B3206"/>
    <w:rsid w:val="003B342A"/>
    <w:rsid w:val="003C1A96"/>
    <w:rsid w:val="003D265B"/>
    <w:rsid w:val="003D5981"/>
    <w:rsid w:val="003D7753"/>
    <w:rsid w:val="003E387C"/>
    <w:rsid w:val="003E4770"/>
    <w:rsid w:val="003F1E76"/>
    <w:rsid w:val="003F6C18"/>
    <w:rsid w:val="00414952"/>
    <w:rsid w:val="0041794F"/>
    <w:rsid w:val="00440D8A"/>
    <w:rsid w:val="00441684"/>
    <w:rsid w:val="00441D94"/>
    <w:rsid w:val="00467366"/>
    <w:rsid w:val="00472D3E"/>
    <w:rsid w:val="00483634"/>
    <w:rsid w:val="0049060A"/>
    <w:rsid w:val="00490FF8"/>
    <w:rsid w:val="00491BF8"/>
    <w:rsid w:val="004A4DB6"/>
    <w:rsid w:val="004A792E"/>
    <w:rsid w:val="004B48C5"/>
    <w:rsid w:val="004B4DAF"/>
    <w:rsid w:val="004B4DDB"/>
    <w:rsid w:val="004B74B3"/>
    <w:rsid w:val="004C143D"/>
    <w:rsid w:val="004C65FE"/>
    <w:rsid w:val="004D7813"/>
    <w:rsid w:val="004E07A1"/>
    <w:rsid w:val="004F08DB"/>
    <w:rsid w:val="005010EF"/>
    <w:rsid w:val="005063D5"/>
    <w:rsid w:val="00507486"/>
    <w:rsid w:val="00512558"/>
    <w:rsid w:val="00523DE2"/>
    <w:rsid w:val="00524F12"/>
    <w:rsid w:val="00536F20"/>
    <w:rsid w:val="0054005D"/>
    <w:rsid w:val="00542F17"/>
    <w:rsid w:val="00551C9E"/>
    <w:rsid w:val="005576EE"/>
    <w:rsid w:val="00561A9D"/>
    <w:rsid w:val="0056357D"/>
    <w:rsid w:val="00564EEA"/>
    <w:rsid w:val="00572DC5"/>
    <w:rsid w:val="00574FB3"/>
    <w:rsid w:val="005763BC"/>
    <w:rsid w:val="005A055C"/>
    <w:rsid w:val="005A6EA3"/>
    <w:rsid w:val="005B45C2"/>
    <w:rsid w:val="005C436B"/>
    <w:rsid w:val="005D00EE"/>
    <w:rsid w:val="005D10CD"/>
    <w:rsid w:val="005D1205"/>
    <w:rsid w:val="005D3AC9"/>
    <w:rsid w:val="005D5834"/>
    <w:rsid w:val="005D702D"/>
    <w:rsid w:val="005E0379"/>
    <w:rsid w:val="005E0E05"/>
    <w:rsid w:val="005E1A0D"/>
    <w:rsid w:val="005F5516"/>
    <w:rsid w:val="005F7CEF"/>
    <w:rsid w:val="006013DC"/>
    <w:rsid w:val="00603283"/>
    <w:rsid w:val="00613EA7"/>
    <w:rsid w:val="0062114B"/>
    <w:rsid w:val="006227EB"/>
    <w:rsid w:val="00623B77"/>
    <w:rsid w:val="006252E0"/>
    <w:rsid w:val="0063388A"/>
    <w:rsid w:val="00640E5F"/>
    <w:rsid w:val="00652B20"/>
    <w:rsid w:val="006612A1"/>
    <w:rsid w:val="00664585"/>
    <w:rsid w:val="006A27EE"/>
    <w:rsid w:val="006B0385"/>
    <w:rsid w:val="006B0AF3"/>
    <w:rsid w:val="006B6483"/>
    <w:rsid w:val="006B7488"/>
    <w:rsid w:val="006C3A6A"/>
    <w:rsid w:val="006C465C"/>
    <w:rsid w:val="006D14C2"/>
    <w:rsid w:val="006D45FE"/>
    <w:rsid w:val="006D561E"/>
    <w:rsid w:val="006D7D48"/>
    <w:rsid w:val="006F26E4"/>
    <w:rsid w:val="006F4D60"/>
    <w:rsid w:val="007123B1"/>
    <w:rsid w:val="0071489E"/>
    <w:rsid w:val="0071781C"/>
    <w:rsid w:val="00722AE5"/>
    <w:rsid w:val="00726CD8"/>
    <w:rsid w:val="00732125"/>
    <w:rsid w:val="007370AF"/>
    <w:rsid w:val="007537E2"/>
    <w:rsid w:val="00753C6C"/>
    <w:rsid w:val="00763277"/>
    <w:rsid w:val="00777760"/>
    <w:rsid w:val="00786D1F"/>
    <w:rsid w:val="0079596E"/>
    <w:rsid w:val="007A0197"/>
    <w:rsid w:val="007B299E"/>
    <w:rsid w:val="007C1CC7"/>
    <w:rsid w:val="007E238D"/>
    <w:rsid w:val="007E4830"/>
    <w:rsid w:val="007F6050"/>
    <w:rsid w:val="007F6EBD"/>
    <w:rsid w:val="00805499"/>
    <w:rsid w:val="00811E4E"/>
    <w:rsid w:val="00816D6D"/>
    <w:rsid w:val="00822E98"/>
    <w:rsid w:val="00832425"/>
    <w:rsid w:val="00834C63"/>
    <w:rsid w:val="00835D8A"/>
    <w:rsid w:val="00837CF0"/>
    <w:rsid w:val="00843091"/>
    <w:rsid w:val="00843FA4"/>
    <w:rsid w:val="00844F23"/>
    <w:rsid w:val="00846899"/>
    <w:rsid w:val="008562CA"/>
    <w:rsid w:val="00890961"/>
    <w:rsid w:val="00892037"/>
    <w:rsid w:val="00894038"/>
    <w:rsid w:val="008A3F70"/>
    <w:rsid w:val="008B6B6B"/>
    <w:rsid w:val="008C17DA"/>
    <w:rsid w:val="008D119D"/>
    <w:rsid w:val="008D4A87"/>
    <w:rsid w:val="008D7252"/>
    <w:rsid w:val="008F549A"/>
    <w:rsid w:val="008F5E80"/>
    <w:rsid w:val="0091668C"/>
    <w:rsid w:val="009255EF"/>
    <w:rsid w:val="0092711D"/>
    <w:rsid w:val="00936EFB"/>
    <w:rsid w:val="00946087"/>
    <w:rsid w:val="00965DC3"/>
    <w:rsid w:val="00966666"/>
    <w:rsid w:val="009706DD"/>
    <w:rsid w:val="009709D5"/>
    <w:rsid w:val="00973073"/>
    <w:rsid w:val="0099055C"/>
    <w:rsid w:val="00996100"/>
    <w:rsid w:val="009A012D"/>
    <w:rsid w:val="009A0DD0"/>
    <w:rsid w:val="009A40F8"/>
    <w:rsid w:val="009B3889"/>
    <w:rsid w:val="009C19C3"/>
    <w:rsid w:val="009D0D98"/>
    <w:rsid w:val="009D460B"/>
    <w:rsid w:val="009F1160"/>
    <w:rsid w:val="009F415B"/>
    <w:rsid w:val="00A21B78"/>
    <w:rsid w:val="00A241A6"/>
    <w:rsid w:val="00A247ED"/>
    <w:rsid w:val="00A258AE"/>
    <w:rsid w:val="00A34F6A"/>
    <w:rsid w:val="00A3652A"/>
    <w:rsid w:val="00A40090"/>
    <w:rsid w:val="00A40CC0"/>
    <w:rsid w:val="00A42DB4"/>
    <w:rsid w:val="00A45D73"/>
    <w:rsid w:val="00A51B0B"/>
    <w:rsid w:val="00A57B2F"/>
    <w:rsid w:val="00A64446"/>
    <w:rsid w:val="00A71E27"/>
    <w:rsid w:val="00A75F60"/>
    <w:rsid w:val="00A87F82"/>
    <w:rsid w:val="00A91EF7"/>
    <w:rsid w:val="00A925FF"/>
    <w:rsid w:val="00AA5F9F"/>
    <w:rsid w:val="00AB5B8A"/>
    <w:rsid w:val="00AB7979"/>
    <w:rsid w:val="00AD3482"/>
    <w:rsid w:val="00AD4009"/>
    <w:rsid w:val="00AE1B5A"/>
    <w:rsid w:val="00B03B84"/>
    <w:rsid w:val="00B04D6C"/>
    <w:rsid w:val="00B10AFB"/>
    <w:rsid w:val="00B12446"/>
    <w:rsid w:val="00B14C30"/>
    <w:rsid w:val="00B202B0"/>
    <w:rsid w:val="00B215D7"/>
    <w:rsid w:val="00B41800"/>
    <w:rsid w:val="00B43FA1"/>
    <w:rsid w:val="00B511C4"/>
    <w:rsid w:val="00B543F5"/>
    <w:rsid w:val="00B80D4B"/>
    <w:rsid w:val="00B9023E"/>
    <w:rsid w:val="00B9094A"/>
    <w:rsid w:val="00B92569"/>
    <w:rsid w:val="00BA1B94"/>
    <w:rsid w:val="00BA4150"/>
    <w:rsid w:val="00BA72BA"/>
    <w:rsid w:val="00BC1615"/>
    <w:rsid w:val="00BC6622"/>
    <w:rsid w:val="00BD201B"/>
    <w:rsid w:val="00BD303D"/>
    <w:rsid w:val="00BE7C6B"/>
    <w:rsid w:val="00BF5532"/>
    <w:rsid w:val="00C10035"/>
    <w:rsid w:val="00C20D6C"/>
    <w:rsid w:val="00C33E36"/>
    <w:rsid w:val="00C37847"/>
    <w:rsid w:val="00C43D4B"/>
    <w:rsid w:val="00C476E4"/>
    <w:rsid w:val="00C51531"/>
    <w:rsid w:val="00C515BD"/>
    <w:rsid w:val="00C8207B"/>
    <w:rsid w:val="00C86B2C"/>
    <w:rsid w:val="00C906B5"/>
    <w:rsid w:val="00CA0700"/>
    <w:rsid w:val="00CB1C28"/>
    <w:rsid w:val="00CB2CFB"/>
    <w:rsid w:val="00CB655F"/>
    <w:rsid w:val="00CC0A4C"/>
    <w:rsid w:val="00CC1CF4"/>
    <w:rsid w:val="00CC6094"/>
    <w:rsid w:val="00CC6535"/>
    <w:rsid w:val="00CC6CC7"/>
    <w:rsid w:val="00CE4CEF"/>
    <w:rsid w:val="00CE681C"/>
    <w:rsid w:val="00CF4849"/>
    <w:rsid w:val="00D04B41"/>
    <w:rsid w:val="00D0633A"/>
    <w:rsid w:val="00D15371"/>
    <w:rsid w:val="00D2423C"/>
    <w:rsid w:val="00D3197C"/>
    <w:rsid w:val="00D40587"/>
    <w:rsid w:val="00D5791D"/>
    <w:rsid w:val="00D614EB"/>
    <w:rsid w:val="00D84C4B"/>
    <w:rsid w:val="00D93980"/>
    <w:rsid w:val="00D95871"/>
    <w:rsid w:val="00DA207A"/>
    <w:rsid w:val="00DB36A4"/>
    <w:rsid w:val="00DB5F96"/>
    <w:rsid w:val="00DC7969"/>
    <w:rsid w:val="00DD1E67"/>
    <w:rsid w:val="00DD4AEC"/>
    <w:rsid w:val="00DD4B3B"/>
    <w:rsid w:val="00DD5B36"/>
    <w:rsid w:val="00DE2A3E"/>
    <w:rsid w:val="00DE6C3B"/>
    <w:rsid w:val="00DF204B"/>
    <w:rsid w:val="00E023AF"/>
    <w:rsid w:val="00E04302"/>
    <w:rsid w:val="00E120FA"/>
    <w:rsid w:val="00E148BF"/>
    <w:rsid w:val="00E14E16"/>
    <w:rsid w:val="00E223AB"/>
    <w:rsid w:val="00E37EF2"/>
    <w:rsid w:val="00E4288C"/>
    <w:rsid w:val="00E43E25"/>
    <w:rsid w:val="00E45216"/>
    <w:rsid w:val="00E57E0F"/>
    <w:rsid w:val="00E73E2C"/>
    <w:rsid w:val="00E82D6E"/>
    <w:rsid w:val="00E82DC0"/>
    <w:rsid w:val="00EA27EC"/>
    <w:rsid w:val="00EB09A6"/>
    <w:rsid w:val="00ED4178"/>
    <w:rsid w:val="00ED539B"/>
    <w:rsid w:val="00EE25FB"/>
    <w:rsid w:val="00EE31DD"/>
    <w:rsid w:val="00EF3C94"/>
    <w:rsid w:val="00F01E83"/>
    <w:rsid w:val="00F05C0B"/>
    <w:rsid w:val="00F06935"/>
    <w:rsid w:val="00F1726E"/>
    <w:rsid w:val="00F17A42"/>
    <w:rsid w:val="00F2251D"/>
    <w:rsid w:val="00F359F0"/>
    <w:rsid w:val="00F36EFC"/>
    <w:rsid w:val="00F408DE"/>
    <w:rsid w:val="00F4206A"/>
    <w:rsid w:val="00F51EC0"/>
    <w:rsid w:val="00F8513F"/>
    <w:rsid w:val="00F86C43"/>
    <w:rsid w:val="00F941E9"/>
    <w:rsid w:val="00F95197"/>
    <w:rsid w:val="00FA2441"/>
    <w:rsid w:val="00FA28E4"/>
    <w:rsid w:val="00FA42BC"/>
    <w:rsid w:val="00FC641D"/>
    <w:rsid w:val="00FD719E"/>
    <w:rsid w:val="00FF3132"/>
    <w:rsid w:val="00FF5C9F"/>
    <w:rsid w:val="00FF6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C7C32"/>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lang w:val="en-GB"/>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rPr>
  </w:style>
  <w:style w:type="paragraph" w:styleId="Heading3">
    <w:name w:val="heading 3"/>
    <w:basedOn w:val="Normal"/>
    <w:next w:val="Normal"/>
    <w:link w:val="Heading3Char"/>
    <w:uiPriority w:val="9"/>
    <w:semiHidden/>
    <w:unhideWhenUsed/>
    <w:qFormat/>
    <w:rsid w:val="000A749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qFormat/>
    <w:rsid w:val="005576EE"/>
    <w:pPr>
      <w:widowControl w:val="0"/>
      <w:ind w:left="720"/>
      <w:contextualSpacing/>
    </w:pPr>
    <w:rPr>
      <w:rFonts w:ascii="Times New Roman" w:eastAsia="Times New Roman" w:hAnsi="Times New Roman" w:cs="Times New Roman"/>
      <w:snapToGrid w:val="0"/>
      <w:sz w:val="24"/>
      <w:szCs w:val="20"/>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customStyle="1" w:styleId="Mencinsinresolver1">
    <w:name w:val="Mención sin resolver1"/>
    <w:basedOn w:val="DefaultParagraphFont"/>
    <w:uiPriority w:val="99"/>
    <w:semiHidden/>
    <w:unhideWhenUsed/>
    <w:rsid w:val="00DD5B36"/>
    <w:rPr>
      <w:color w:val="605E5C"/>
      <w:shd w:val="clear" w:color="auto" w:fill="E1DFDD"/>
    </w:rPr>
  </w:style>
  <w:style w:type="character" w:customStyle="1" w:styleId="Heading3Char">
    <w:name w:val="Heading 3 Char"/>
    <w:basedOn w:val="DefaultParagraphFont"/>
    <w:link w:val="Heading3"/>
    <w:uiPriority w:val="9"/>
    <w:semiHidden/>
    <w:rsid w:val="000A749C"/>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4C65FE"/>
    <w:rPr>
      <w:color w:val="954F72" w:themeColor="followedHyperlink"/>
      <w:u w:val="single"/>
    </w:rPr>
  </w:style>
  <w:style w:type="paragraph" w:styleId="NormalWeb">
    <w:name w:val="Normal (Web)"/>
    <w:basedOn w:val="Normal"/>
    <w:uiPriority w:val="99"/>
    <w:semiHidden/>
    <w:unhideWhenUsed/>
    <w:rsid w:val="00F51EC0"/>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54005D"/>
    <w:rPr>
      <w:rFonts w:ascii="Arial" w:hAnsi="Arial"/>
      <w:lang w:val="en-GB"/>
    </w:rPr>
  </w:style>
  <w:style w:type="character" w:styleId="CommentReference">
    <w:name w:val="annotation reference"/>
    <w:basedOn w:val="DefaultParagraphFont"/>
    <w:uiPriority w:val="99"/>
    <w:semiHidden/>
    <w:unhideWhenUsed/>
    <w:rsid w:val="0054005D"/>
    <w:rPr>
      <w:sz w:val="16"/>
      <w:szCs w:val="16"/>
    </w:rPr>
  </w:style>
  <w:style w:type="paragraph" w:styleId="CommentText">
    <w:name w:val="annotation text"/>
    <w:basedOn w:val="Normal"/>
    <w:link w:val="CommentTextChar"/>
    <w:uiPriority w:val="99"/>
    <w:unhideWhenUsed/>
    <w:rsid w:val="0054005D"/>
    <w:rPr>
      <w:sz w:val="20"/>
      <w:szCs w:val="20"/>
    </w:rPr>
  </w:style>
  <w:style w:type="character" w:customStyle="1" w:styleId="CommentTextChar">
    <w:name w:val="Comment Text Char"/>
    <w:basedOn w:val="DefaultParagraphFont"/>
    <w:link w:val="CommentText"/>
    <w:uiPriority w:val="99"/>
    <w:rsid w:val="0054005D"/>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54005D"/>
    <w:rPr>
      <w:b/>
      <w:bCs/>
    </w:rPr>
  </w:style>
  <w:style w:type="character" w:customStyle="1" w:styleId="CommentSubjectChar">
    <w:name w:val="Comment Subject Char"/>
    <w:basedOn w:val="CommentTextChar"/>
    <w:link w:val="CommentSubject"/>
    <w:uiPriority w:val="99"/>
    <w:semiHidden/>
    <w:rsid w:val="0054005D"/>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5270">
      <w:bodyDiv w:val="1"/>
      <w:marLeft w:val="0"/>
      <w:marRight w:val="0"/>
      <w:marTop w:val="0"/>
      <w:marBottom w:val="0"/>
      <w:divBdr>
        <w:top w:val="none" w:sz="0" w:space="0" w:color="auto"/>
        <w:left w:val="none" w:sz="0" w:space="0" w:color="auto"/>
        <w:bottom w:val="none" w:sz="0" w:space="0" w:color="auto"/>
        <w:right w:val="none" w:sz="0" w:space="0" w:color="auto"/>
      </w:divBdr>
    </w:div>
    <w:div w:id="133182243">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560092445">
      <w:bodyDiv w:val="1"/>
      <w:marLeft w:val="0"/>
      <w:marRight w:val="0"/>
      <w:marTop w:val="0"/>
      <w:marBottom w:val="0"/>
      <w:divBdr>
        <w:top w:val="none" w:sz="0" w:space="0" w:color="auto"/>
        <w:left w:val="none" w:sz="0" w:space="0" w:color="auto"/>
        <w:bottom w:val="none" w:sz="0" w:space="0" w:color="auto"/>
        <w:right w:val="none" w:sz="0" w:space="0" w:color="auto"/>
      </w:divBdr>
    </w:div>
    <w:div w:id="702750475">
      <w:bodyDiv w:val="1"/>
      <w:marLeft w:val="0"/>
      <w:marRight w:val="0"/>
      <w:marTop w:val="0"/>
      <w:marBottom w:val="0"/>
      <w:divBdr>
        <w:top w:val="none" w:sz="0" w:space="0" w:color="auto"/>
        <w:left w:val="none" w:sz="0" w:space="0" w:color="auto"/>
        <w:bottom w:val="none" w:sz="0" w:space="0" w:color="auto"/>
        <w:right w:val="none" w:sz="0" w:space="0" w:color="auto"/>
      </w:divBdr>
    </w:div>
    <w:div w:id="740255064">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2082481182">
      <w:bodyDiv w:val="1"/>
      <w:marLeft w:val="0"/>
      <w:marRight w:val="0"/>
      <w:marTop w:val="0"/>
      <w:marBottom w:val="0"/>
      <w:divBdr>
        <w:top w:val="none" w:sz="0" w:space="0" w:color="auto"/>
        <w:left w:val="none" w:sz="0" w:space="0" w:color="auto"/>
        <w:bottom w:val="none" w:sz="0" w:space="0" w:color="auto"/>
        <w:right w:val="none" w:sz="0" w:space="0" w:color="auto"/>
      </w:divBdr>
    </w:div>
    <w:div w:id="214730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int/sites/default/files/document/cms_cop14_doc.13.3_resource-mobilization_f.pdf" TargetMode="External"/><Relationship Id="rId18" Type="http://schemas.openxmlformats.org/officeDocument/2006/relationships/hyperlink" Target="https://www.cbd.int/meetings/COP-1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cms.int/sites/default/files/document/cms_cop14_doc.13.3_resource-mobilization_f.pdf" TargetMode="External"/><Relationship Id="rId17" Type="http://schemas.openxmlformats.org/officeDocument/2006/relationships/hyperlink" Target="https://www.cbd.int/meetings/COP-1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en/meeting/seventh-meeting-convention-conservation-migratory-species-wild-animals-cms-energy-task-for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fr/node/25675"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cms.int/fr/news/2024014-jeune-expert-associ%C3%A9" TargetMode="External"/><Relationship Id="rId23" Type="http://schemas.openxmlformats.org/officeDocument/2006/relationships/footer" Target="footer2.xml"/><Relationship Id="rId10" Type="http://schemas.openxmlformats.org/officeDocument/2006/relationships/hyperlink" Target="https://www.cms.int/fr/node/25239" TargetMode="External"/><Relationship Id="rId19" Type="http://schemas.openxmlformats.org/officeDocument/2006/relationships/hyperlink" Target="https://www.cbd.int/meetings/COP-16?doc=672597a0f4f80266cf76d17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ms.int/fr/node/25239"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Notes xmlns="a7b50396-0b06-45c1-b28e-46f86d566a10" xsi:nil="true"/>
    <Sent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EB4AF-F9A8-4FA3-9174-B512FF96DDF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842D012-261F-46C2-A929-6557EB55F8D5}">
  <ds:schemaRefs>
    <ds:schemaRef ds:uri="http://schemas.microsoft.com/sharepoint/v3/contenttype/forms"/>
  </ds:schemaRefs>
</ds:datastoreItem>
</file>

<file path=customXml/itemProps3.xml><?xml version="1.0" encoding="utf-8"?>
<ds:datastoreItem xmlns:ds="http://schemas.openxmlformats.org/officeDocument/2006/customXml" ds:itemID="{DA827CC9-6801-44F2-B3F1-9EF4F892F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26</TotalTime>
  <Pages>7</Pages>
  <Words>2928</Words>
  <Characters>16026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5</cp:revision>
  <cp:lastPrinted>2019-12-06T20:21:00Z</cp:lastPrinted>
  <dcterms:created xsi:type="dcterms:W3CDTF">2025-02-03T07:59:00Z</dcterms:created>
  <dcterms:modified xsi:type="dcterms:W3CDTF">2025-02-13T08:17:00Z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