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F37E5" w14:textId="05BC7DCB" w:rsidR="00CA602A" w:rsidRPr="00AC56DD" w:rsidRDefault="000F40C5" w:rsidP="000F40C5">
      <w:pPr>
        <w:spacing w:after="0" w:line="240" w:lineRule="auto"/>
        <w:jc w:val="right"/>
        <w:rPr>
          <w:rFonts w:ascii="Arial" w:hAnsi="Arial" w:cs="Arial"/>
          <w:b/>
          <w:bCs/>
        </w:rPr>
      </w:pPr>
      <w:r w:rsidRPr="00AC56DD">
        <w:rPr>
          <w:rFonts w:ascii="Arial" w:hAnsi="Arial" w:cs="Arial"/>
          <w:b/>
          <w:bCs/>
        </w:rPr>
        <w:t>ANNEX 3</w:t>
      </w:r>
    </w:p>
    <w:p w14:paraId="17A8531F" w14:textId="7E1FB9E3" w:rsidR="00CA602A" w:rsidRDefault="00CA602A" w:rsidP="000F40C5">
      <w:pPr>
        <w:spacing w:after="0" w:line="240" w:lineRule="auto"/>
        <w:jc w:val="center"/>
        <w:rPr>
          <w:rFonts w:ascii="Arial" w:hAnsi="Arial" w:cs="Arial"/>
          <w:b/>
          <w:bCs/>
        </w:rPr>
      </w:pPr>
    </w:p>
    <w:p w14:paraId="222B3613" w14:textId="77777777" w:rsidR="000F40C5" w:rsidRPr="00AC56DD" w:rsidRDefault="000F40C5" w:rsidP="000F40C5">
      <w:pPr>
        <w:spacing w:after="0" w:line="240" w:lineRule="auto"/>
        <w:jc w:val="center"/>
        <w:rPr>
          <w:rFonts w:ascii="Arial" w:hAnsi="Arial" w:cs="Arial"/>
          <w:b/>
          <w:bCs/>
        </w:rPr>
      </w:pPr>
    </w:p>
    <w:p w14:paraId="5EF33238" w14:textId="77777777" w:rsidR="000F40C5" w:rsidRDefault="000F40C5" w:rsidP="000F40C5">
      <w:pPr>
        <w:spacing w:after="0" w:line="240" w:lineRule="auto"/>
        <w:jc w:val="center"/>
        <w:rPr>
          <w:rFonts w:ascii="Arial" w:hAnsi="Arial" w:cs="Arial"/>
          <w:b/>
          <w:bCs/>
        </w:rPr>
      </w:pPr>
      <w:r w:rsidRPr="00AC56DD">
        <w:rPr>
          <w:rFonts w:ascii="Arial" w:hAnsi="Arial" w:cs="Arial"/>
          <w:b/>
          <w:bCs/>
        </w:rPr>
        <w:t xml:space="preserve">REPORTING ON THE IMPLEMENTATION OF THE PROGRAMME OF WORK ON </w:t>
      </w:r>
    </w:p>
    <w:p w14:paraId="585AEBB9" w14:textId="1B9930D6" w:rsidR="005916B5" w:rsidRPr="00AC56DD" w:rsidRDefault="000F40C5" w:rsidP="000F40C5">
      <w:pPr>
        <w:spacing w:after="0" w:line="240" w:lineRule="auto"/>
        <w:jc w:val="center"/>
        <w:rPr>
          <w:rFonts w:ascii="Arial" w:hAnsi="Arial" w:cs="Arial"/>
          <w:b/>
          <w:bCs/>
        </w:rPr>
      </w:pPr>
      <w:r w:rsidRPr="00AC56DD">
        <w:rPr>
          <w:rFonts w:ascii="Arial" w:hAnsi="Arial" w:cs="Arial"/>
          <w:b/>
          <w:bCs/>
        </w:rPr>
        <w:t>CLIMATE CHANGE AND MIGRATORY SPECIES</w:t>
      </w:r>
    </w:p>
    <w:p w14:paraId="10B8B5CE" w14:textId="6EC62D13" w:rsidR="00E537BC" w:rsidRDefault="00E537BC" w:rsidP="000F40C5">
      <w:pPr>
        <w:spacing w:after="0" w:line="240" w:lineRule="auto"/>
        <w:jc w:val="both"/>
        <w:rPr>
          <w:rFonts w:ascii="Arial" w:hAnsi="Arial" w:cs="Arial"/>
          <w:i/>
          <w:iCs/>
        </w:rPr>
      </w:pPr>
    </w:p>
    <w:p w14:paraId="43BC1841" w14:textId="77777777" w:rsidR="000F40C5" w:rsidRPr="00AC56DD" w:rsidRDefault="000F40C5" w:rsidP="000F40C5">
      <w:pPr>
        <w:spacing w:after="0" w:line="240" w:lineRule="auto"/>
        <w:jc w:val="both"/>
        <w:rPr>
          <w:rFonts w:ascii="Arial" w:hAnsi="Arial" w:cs="Arial"/>
          <w:i/>
          <w:iCs/>
        </w:rPr>
      </w:pPr>
    </w:p>
    <w:p w14:paraId="3D60AA3B" w14:textId="21FB5440" w:rsidR="005916B5" w:rsidRDefault="004735B4" w:rsidP="000F40C5">
      <w:pPr>
        <w:spacing w:after="0" w:line="240" w:lineRule="auto"/>
        <w:jc w:val="both"/>
        <w:rPr>
          <w:rFonts w:ascii="Arial" w:hAnsi="Arial" w:cs="Arial"/>
          <w:i/>
          <w:iCs/>
        </w:rPr>
      </w:pPr>
      <w:r w:rsidRPr="00AC56DD">
        <w:rPr>
          <w:rFonts w:ascii="Arial" w:hAnsi="Arial" w:cs="Arial"/>
          <w:i/>
          <w:iCs/>
        </w:rPr>
        <w:t>Introduction</w:t>
      </w:r>
    </w:p>
    <w:p w14:paraId="41DBDE89" w14:textId="77777777" w:rsidR="000F40C5" w:rsidRPr="00AC56DD" w:rsidRDefault="000F40C5" w:rsidP="000F40C5">
      <w:pPr>
        <w:spacing w:after="0" w:line="240" w:lineRule="auto"/>
        <w:jc w:val="both"/>
        <w:rPr>
          <w:rFonts w:ascii="Arial" w:hAnsi="Arial" w:cs="Arial"/>
          <w:i/>
          <w:iCs/>
        </w:rPr>
      </w:pPr>
    </w:p>
    <w:p w14:paraId="1CB49066" w14:textId="2AF50BF5" w:rsidR="004735B4" w:rsidRDefault="004735B4" w:rsidP="000F40C5">
      <w:pPr>
        <w:spacing w:after="0" w:line="240" w:lineRule="auto"/>
        <w:jc w:val="both"/>
        <w:rPr>
          <w:rFonts w:ascii="Arial" w:hAnsi="Arial" w:cs="Arial"/>
        </w:rPr>
      </w:pPr>
      <w:r w:rsidRPr="00AC56DD">
        <w:rPr>
          <w:rFonts w:ascii="Arial" w:hAnsi="Arial" w:cs="Arial"/>
        </w:rPr>
        <w:t>The Programme of Work on Climate Change and Migratory Species was adopted at the 11</w:t>
      </w:r>
      <w:r w:rsidRPr="00AC56DD">
        <w:rPr>
          <w:rFonts w:ascii="Arial" w:hAnsi="Arial" w:cs="Arial"/>
          <w:vertAlign w:val="superscript"/>
        </w:rPr>
        <w:t>th</w:t>
      </w:r>
      <w:r w:rsidRPr="00AC56DD">
        <w:rPr>
          <w:rFonts w:ascii="Arial" w:hAnsi="Arial" w:cs="Arial"/>
        </w:rPr>
        <w:t xml:space="preserve"> Meeting </w:t>
      </w:r>
      <w:r w:rsidR="00673B68" w:rsidRPr="00AC56DD">
        <w:rPr>
          <w:rFonts w:ascii="Arial" w:hAnsi="Arial" w:cs="Arial"/>
        </w:rPr>
        <w:t>of</w:t>
      </w:r>
      <w:r w:rsidRPr="00AC56DD">
        <w:rPr>
          <w:rFonts w:ascii="Arial" w:hAnsi="Arial" w:cs="Arial"/>
        </w:rPr>
        <w:t xml:space="preserve"> the Conference of Parties in </w:t>
      </w:r>
      <w:r w:rsidR="00004A62" w:rsidRPr="00AC56DD">
        <w:rPr>
          <w:rFonts w:ascii="Arial" w:hAnsi="Arial" w:cs="Arial"/>
        </w:rPr>
        <w:t>Quito</w:t>
      </w:r>
      <w:r w:rsidR="00E537BC" w:rsidRPr="00AC56DD">
        <w:rPr>
          <w:rFonts w:ascii="Arial" w:hAnsi="Arial" w:cs="Arial"/>
        </w:rPr>
        <w:t>,</w:t>
      </w:r>
      <w:r w:rsidRPr="00AC56DD">
        <w:rPr>
          <w:rFonts w:ascii="Arial" w:hAnsi="Arial" w:cs="Arial"/>
        </w:rPr>
        <w:t xml:space="preserve"> </w:t>
      </w:r>
      <w:r w:rsidR="00004A62" w:rsidRPr="00AC56DD">
        <w:rPr>
          <w:rFonts w:ascii="Arial" w:hAnsi="Arial" w:cs="Arial"/>
        </w:rPr>
        <w:t>in</w:t>
      </w:r>
      <w:r w:rsidRPr="00AC56DD">
        <w:rPr>
          <w:rFonts w:ascii="Arial" w:hAnsi="Arial" w:cs="Arial"/>
        </w:rPr>
        <w:t xml:space="preserve"> </w:t>
      </w:r>
      <w:hyperlink r:id="rId7" w:history="1">
        <w:r w:rsidRPr="00AC56DD">
          <w:rPr>
            <w:rStyle w:val="Hyperlink"/>
            <w:rFonts w:ascii="Arial" w:hAnsi="Arial" w:cs="Arial"/>
          </w:rPr>
          <w:t>Resolution 11.26</w:t>
        </w:r>
      </w:hyperlink>
      <w:r w:rsidRPr="00AC56DD">
        <w:rPr>
          <w:rFonts w:ascii="Arial" w:hAnsi="Arial" w:cs="Arial"/>
        </w:rPr>
        <w:t xml:space="preserve"> </w:t>
      </w:r>
      <w:r w:rsidRPr="00AC56DD">
        <w:rPr>
          <w:rFonts w:ascii="Arial" w:hAnsi="Arial" w:cs="Arial"/>
          <w:i/>
          <w:iCs/>
        </w:rPr>
        <w:t>Programme of Work on Climate Change and Migratory Species</w:t>
      </w:r>
      <w:r w:rsidRPr="00AC56DD">
        <w:rPr>
          <w:rFonts w:ascii="Arial" w:hAnsi="Arial" w:cs="Arial"/>
        </w:rPr>
        <w:t xml:space="preserve">. This Programme of Work was developed </w:t>
      </w:r>
      <w:r w:rsidR="00624CF2" w:rsidRPr="00AC56DD">
        <w:rPr>
          <w:rFonts w:ascii="Arial" w:hAnsi="Arial" w:cs="Arial"/>
        </w:rPr>
        <w:t>because, as identified in the Resolution, “</w:t>
      </w:r>
      <w:r w:rsidR="00624CF2" w:rsidRPr="00AC56DD">
        <w:rPr>
          <w:rFonts w:ascii="Arial" w:hAnsi="Arial" w:cs="Arial"/>
          <w:i/>
          <w:iCs/>
        </w:rPr>
        <w:t>scientific information indicates that action to help migratory species adapt to climate change is urgently required in order to meet the objectives of the Convention…</w:t>
      </w:r>
      <w:r w:rsidR="00624CF2" w:rsidRPr="00AC56DD">
        <w:rPr>
          <w:rFonts w:ascii="Arial" w:hAnsi="Arial" w:cs="Arial"/>
        </w:rPr>
        <w:t xml:space="preserve">”. </w:t>
      </w:r>
      <w:r w:rsidR="00673B68" w:rsidRPr="00AC56DD">
        <w:rPr>
          <w:rFonts w:ascii="Arial" w:hAnsi="Arial" w:cs="Arial"/>
        </w:rPr>
        <w:t>In 201</w:t>
      </w:r>
      <w:r w:rsidR="00E537BC" w:rsidRPr="00AC56DD">
        <w:rPr>
          <w:rFonts w:ascii="Arial" w:hAnsi="Arial" w:cs="Arial"/>
        </w:rPr>
        <w:t>9</w:t>
      </w:r>
      <w:r w:rsidR="00673B68" w:rsidRPr="00AC56DD">
        <w:rPr>
          <w:rFonts w:ascii="Arial" w:hAnsi="Arial" w:cs="Arial"/>
        </w:rPr>
        <w:t>, at the 13</w:t>
      </w:r>
      <w:r w:rsidR="00673B68" w:rsidRPr="00AC56DD">
        <w:rPr>
          <w:rFonts w:ascii="Arial" w:hAnsi="Arial" w:cs="Arial"/>
          <w:vertAlign w:val="superscript"/>
        </w:rPr>
        <w:t>th</w:t>
      </w:r>
      <w:r w:rsidR="00673B68" w:rsidRPr="00AC56DD">
        <w:rPr>
          <w:rFonts w:ascii="Arial" w:hAnsi="Arial" w:cs="Arial"/>
        </w:rPr>
        <w:t xml:space="preserve"> Meeting of the Conference of the Parties, </w:t>
      </w:r>
      <w:hyperlink r:id="rId8" w:history="1">
        <w:r w:rsidR="00673B68" w:rsidRPr="00AC56DD">
          <w:rPr>
            <w:rStyle w:val="Hyperlink"/>
            <w:rFonts w:ascii="Arial" w:hAnsi="Arial" w:cs="Arial"/>
          </w:rPr>
          <w:t>Decision 13.126</w:t>
        </w:r>
      </w:hyperlink>
      <w:r w:rsidR="00673B68" w:rsidRPr="00AC56DD">
        <w:rPr>
          <w:rFonts w:ascii="Arial" w:hAnsi="Arial" w:cs="Arial"/>
        </w:rPr>
        <w:t xml:space="preserve"> was adopte</w:t>
      </w:r>
      <w:r w:rsidR="003C15D8" w:rsidRPr="00AC56DD">
        <w:rPr>
          <w:rFonts w:ascii="Arial" w:hAnsi="Arial" w:cs="Arial"/>
        </w:rPr>
        <w:t>d. This Decision requests that Parties</w:t>
      </w:r>
      <w:r w:rsidR="00E537BC" w:rsidRPr="00AC56DD">
        <w:rPr>
          <w:rFonts w:ascii="Arial" w:hAnsi="Arial" w:cs="Arial"/>
        </w:rPr>
        <w:t xml:space="preserve"> to the Convention</w:t>
      </w:r>
      <w:r w:rsidR="003C15D8" w:rsidRPr="00AC56DD">
        <w:rPr>
          <w:rFonts w:ascii="Arial" w:hAnsi="Arial" w:cs="Arial"/>
        </w:rPr>
        <w:t xml:space="preserve"> report on </w:t>
      </w:r>
      <w:r w:rsidR="00E537BC" w:rsidRPr="00AC56DD">
        <w:rPr>
          <w:rFonts w:ascii="Arial" w:hAnsi="Arial" w:cs="Arial"/>
        </w:rPr>
        <w:t xml:space="preserve">their </w:t>
      </w:r>
      <w:r w:rsidR="003C15D8" w:rsidRPr="00AC56DD">
        <w:rPr>
          <w:rFonts w:ascii="Arial" w:hAnsi="Arial" w:cs="Arial"/>
        </w:rPr>
        <w:t xml:space="preserve">progress in implementing the Programme of Work, </w:t>
      </w:r>
      <w:r w:rsidR="00E537BC" w:rsidRPr="00AC56DD">
        <w:rPr>
          <w:rFonts w:ascii="Arial" w:hAnsi="Arial" w:cs="Arial"/>
        </w:rPr>
        <w:t>which is to include</w:t>
      </w:r>
      <w:r w:rsidR="003C15D8" w:rsidRPr="00AC56DD">
        <w:rPr>
          <w:rFonts w:ascii="Arial" w:hAnsi="Arial" w:cs="Arial"/>
        </w:rPr>
        <w:t xml:space="preserve"> monitoring and efficacy of measures taken, to the 14</w:t>
      </w:r>
      <w:r w:rsidR="003C15D8" w:rsidRPr="00AC56DD">
        <w:rPr>
          <w:rFonts w:ascii="Arial" w:hAnsi="Arial" w:cs="Arial"/>
          <w:vertAlign w:val="superscript"/>
        </w:rPr>
        <w:t>th</w:t>
      </w:r>
      <w:r w:rsidR="003C15D8" w:rsidRPr="00AC56DD">
        <w:rPr>
          <w:rFonts w:ascii="Arial" w:hAnsi="Arial" w:cs="Arial"/>
        </w:rPr>
        <w:t xml:space="preserve"> Conference of Parties. The Decision requests that this information be reported through the National Reporting process. </w:t>
      </w:r>
      <w:r w:rsidR="00004A62" w:rsidRPr="00AC56DD">
        <w:rPr>
          <w:rFonts w:ascii="Arial" w:hAnsi="Arial" w:cs="Arial"/>
        </w:rPr>
        <w:t xml:space="preserve">Climate change is a cross-cutting </w:t>
      </w:r>
      <w:r w:rsidR="00483EBD" w:rsidRPr="00AC56DD">
        <w:rPr>
          <w:rFonts w:ascii="Arial" w:hAnsi="Arial" w:cs="Arial"/>
        </w:rPr>
        <w:t>issue and</w:t>
      </w:r>
      <w:r w:rsidR="00E537BC" w:rsidRPr="00AC56DD">
        <w:rPr>
          <w:rFonts w:ascii="Arial" w:hAnsi="Arial" w:cs="Arial"/>
        </w:rPr>
        <w:t>,</w:t>
      </w:r>
      <w:r w:rsidR="003C15D8" w:rsidRPr="00AC56DD">
        <w:rPr>
          <w:rFonts w:ascii="Arial" w:hAnsi="Arial" w:cs="Arial"/>
        </w:rPr>
        <w:t xml:space="preserve"> therefore</w:t>
      </w:r>
      <w:r w:rsidR="00E537BC" w:rsidRPr="00AC56DD">
        <w:rPr>
          <w:rFonts w:ascii="Arial" w:hAnsi="Arial" w:cs="Arial"/>
        </w:rPr>
        <w:t>,</w:t>
      </w:r>
      <w:r w:rsidR="003C15D8" w:rsidRPr="00AC56DD">
        <w:rPr>
          <w:rFonts w:ascii="Arial" w:hAnsi="Arial" w:cs="Arial"/>
        </w:rPr>
        <w:t xml:space="preserve"> </w:t>
      </w:r>
      <w:r w:rsidR="00E537BC" w:rsidRPr="00AC56DD">
        <w:rPr>
          <w:rFonts w:ascii="Arial" w:hAnsi="Arial" w:cs="Arial"/>
        </w:rPr>
        <w:t xml:space="preserve">the work and activities conducted by Parties through this Programme of Work may be </w:t>
      </w:r>
      <w:r w:rsidR="003C15D8" w:rsidRPr="00AC56DD">
        <w:rPr>
          <w:rFonts w:ascii="Arial" w:hAnsi="Arial" w:cs="Arial"/>
        </w:rPr>
        <w:t>of relevance to many sections of the National Report</w:t>
      </w:r>
      <w:r w:rsidR="00004A62" w:rsidRPr="00AC56DD">
        <w:rPr>
          <w:rFonts w:ascii="Arial" w:hAnsi="Arial" w:cs="Arial"/>
        </w:rPr>
        <w:t xml:space="preserve">. </w:t>
      </w:r>
    </w:p>
    <w:p w14:paraId="15D875D9" w14:textId="77777777" w:rsidR="000F40C5" w:rsidRPr="00AC56DD" w:rsidRDefault="000F40C5" w:rsidP="000F40C5">
      <w:pPr>
        <w:spacing w:after="0" w:line="240" w:lineRule="auto"/>
        <w:jc w:val="both"/>
        <w:rPr>
          <w:rFonts w:ascii="Arial" w:hAnsi="Arial" w:cs="Arial"/>
        </w:rPr>
      </w:pPr>
    </w:p>
    <w:p w14:paraId="2ADD1332" w14:textId="75E1AF89" w:rsidR="00483EBD" w:rsidRPr="00AC56DD" w:rsidRDefault="00483EBD" w:rsidP="000F40C5">
      <w:pPr>
        <w:spacing w:after="120" w:line="240" w:lineRule="auto"/>
        <w:jc w:val="both"/>
        <w:rPr>
          <w:rFonts w:ascii="Arial" w:hAnsi="Arial" w:cs="Arial"/>
        </w:rPr>
      </w:pPr>
      <w:r w:rsidRPr="00AC56DD">
        <w:rPr>
          <w:rFonts w:ascii="Arial" w:hAnsi="Arial" w:cs="Arial"/>
        </w:rPr>
        <w:t xml:space="preserve">Actions for implementation in the Programme of Work have the following </w:t>
      </w:r>
      <w:r w:rsidR="00E537BC" w:rsidRPr="00AC56DD">
        <w:rPr>
          <w:rFonts w:ascii="Arial" w:hAnsi="Arial" w:cs="Arial"/>
        </w:rPr>
        <w:t xml:space="preserve">temporal </w:t>
      </w:r>
      <w:r w:rsidRPr="00AC56DD">
        <w:rPr>
          <w:rFonts w:ascii="Arial" w:hAnsi="Arial" w:cs="Arial"/>
        </w:rPr>
        <w:t xml:space="preserve">categories: </w:t>
      </w:r>
    </w:p>
    <w:p w14:paraId="27AC7AB5" w14:textId="30B852C2" w:rsidR="00483EBD" w:rsidRPr="00AC56DD" w:rsidRDefault="00483EBD" w:rsidP="000F40C5">
      <w:pPr>
        <w:spacing w:after="80" w:line="240" w:lineRule="auto"/>
        <w:jc w:val="both"/>
        <w:rPr>
          <w:rFonts w:ascii="Arial" w:hAnsi="Arial" w:cs="Arial"/>
        </w:rPr>
      </w:pPr>
      <w:r w:rsidRPr="00AC56DD">
        <w:rPr>
          <w:rFonts w:ascii="Arial" w:hAnsi="Arial" w:cs="Arial"/>
        </w:rPr>
        <w:t>[S]: Short term – Actions to be completed within one triennium</w:t>
      </w:r>
    </w:p>
    <w:p w14:paraId="1A49DDC9" w14:textId="4FCF6DDC" w:rsidR="00483EBD" w:rsidRPr="00AC56DD" w:rsidRDefault="00483EBD" w:rsidP="000F40C5">
      <w:pPr>
        <w:spacing w:after="80" w:line="240" w:lineRule="auto"/>
        <w:jc w:val="both"/>
        <w:rPr>
          <w:rFonts w:ascii="Arial" w:hAnsi="Arial" w:cs="Arial"/>
        </w:rPr>
      </w:pPr>
      <w:r w:rsidRPr="00AC56DD">
        <w:rPr>
          <w:rFonts w:ascii="Arial" w:hAnsi="Arial" w:cs="Arial"/>
        </w:rPr>
        <w:t>[M]: Medium term – Actions to be completed within two triennia</w:t>
      </w:r>
    </w:p>
    <w:p w14:paraId="63B67F11" w14:textId="7F2EBF61" w:rsidR="00483EBD" w:rsidRPr="00AC56DD" w:rsidRDefault="00483EBD" w:rsidP="000F40C5">
      <w:pPr>
        <w:spacing w:after="0" w:line="240" w:lineRule="auto"/>
        <w:jc w:val="both"/>
        <w:rPr>
          <w:rFonts w:ascii="Arial" w:hAnsi="Arial" w:cs="Arial"/>
        </w:rPr>
      </w:pPr>
      <w:r w:rsidRPr="00AC56DD">
        <w:rPr>
          <w:rFonts w:ascii="Arial" w:hAnsi="Arial" w:cs="Arial"/>
        </w:rPr>
        <w:t>[L]: Longer term – Actions to be completed within three triennia or longer</w:t>
      </w:r>
    </w:p>
    <w:p w14:paraId="3F70E94B" w14:textId="5CFE632E" w:rsidR="00483EBD" w:rsidRPr="00AC56DD" w:rsidRDefault="00483EBD" w:rsidP="000F40C5">
      <w:pPr>
        <w:spacing w:after="0" w:line="240" w:lineRule="auto"/>
        <w:jc w:val="both"/>
        <w:rPr>
          <w:rFonts w:ascii="Arial" w:hAnsi="Arial" w:cs="Arial"/>
        </w:rPr>
      </w:pPr>
    </w:p>
    <w:p w14:paraId="09D21F10" w14:textId="30DB6796" w:rsidR="00483EBD" w:rsidRPr="00AC56DD" w:rsidRDefault="00CB6DF6" w:rsidP="000F40C5">
      <w:pPr>
        <w:spacing w:after="0" w:line="240" w:lineRule="auto"/>
        <w:jc w:val="both"/>
        <w:rPr>
          <w:rFonts w:ascii="Arial" w:hAnsi="Arial" w:cs="Arial"/>
        </w:rPr>
      </w:pPr>
      <w:r w:rsidRPr="00AC56DD">
        <w:rPr>
          <w:rFonts w:ascii="Arial" w:hAnsi="Arial" w:cs="Arial"/>
        </w:rPr>
        <w:t>N</w:t>
      </w:r>
      <w:r w:rsidR="00483EBD" w:rsidRPr="00AC56DD">
        <w:rPr>
          <w:rFonts w:ascii="Arial" w:hAnsi="Arial" w:cs="Arial"/>
        </w:rPr>
        <w:t>ote</w:t>
      </w:r>
      <w:r w:rsidRPr="00AC56DD">
        <w:rPr>
          <w:rFonts w:ascii="Arial" w:hAnsi="Arial" w:cs="Arial"/>
        </w:rPr>
        <w:t>:</w:t>
      </w:r>
      <w:r w:rsidR="00E537BC" w:rsidRPr="00AC56DD">
        <w:rPr>
          <w:rFonts w:ascii="Arial" w:hAnsi="Arial" w:cs="Arial"/>
        </w:rPr>
        <w:t xml:space="preserve"> Any</w:t>
      </w:r>
      <w:r w:rsidR="00483EBD" w:rsidRPr="00AC56DD">
        <w:rPr>
          <w:rFonts w:ascii="Arial" w:hAnsi="Arial" w:cs="Arial"/>
        </w:rPr>
        <w:t xml:space="preserve"> </w:t>
      </w:r>
      <w:r w:rsidR="00E537BC" w:rsidRPr="00AC56DD">
        <w:rPr>
          <w:rFonts w:ascii="Arial" w:hAnsi="Arial" w:cs="Arial"/>
        </w:rPr>
        <w:t>s</w:t>
      </w:r>
      <w:r w:rsidR="00483EBD" w:rsidRPr="00AC56DD">
        <w:rPr>
          <w:rFonts w:ascii="Arial" w:hAnsi="Arial" w:cs="Arial"/>
        </w:rPr>
        <w:t xml:space="preserve">uch actions </w:t>
      </w:r>
      <w:r w:rsidR="00E537BC" w:rsidRPr="00AC56DD">
        <w:rPr>
          <w:rFonts w:ascii="Arial" w:hAnsi="Arial" w:cs="Arial"/>
        </w:rPr>
        <w:t>towards</w:t>
      </w:r>
      <w:r w:rsidR="00483EBD" w:rsidRPr="00AC56DD">
        <w:rPr>
          <w:rFonts w:ascii="Arial" w:hAnsi="Arial" w:cs="Arial"/>
        </w:rPr>
        <w:t xml:space="preserve"> implementation, or plans thereto, are all potentially relevant for reporting.</w:t>
      </w:r>
    </w:p>
    <w:p w14:paraId="3FA0A6A7" w14:textId="77777777" w:rsidR="00CB6DF6" w:rsidRPr="00AC56DD" w:rsidRDefault="00CB6DF6" w:rsidP="000F40C5">
      <w:pPr>
        <w:spacing w:after="0" w:line="240" w:lineRule="auto"/>
        <w:jc w:val="both"/>
        <w:rPr>
          <w:rFonts w:ascii="Arial" w:hAnsi="Arial" w:cs="Arial"/>
        </w:rPr>
      </w:pPr>
    </w:p>
    <w:p w14:paraId="41AF27C5" w14:textId="4404EB15" w:rsidR="005916B5" w:rsidRDefault="003C15D8" w:rsidP="000F40C5">
      <w:pPr>
        <w:spacing w:after="0" w:line="240" w:lineRule="auto"/>
        <w:rPr>
          <w:rFonts w:ascii="Arial" w:hAnsi="Arial" w:cs="Arial"/>
          <w:i/>
          <w:iCs/>
        </w:rPr>
      </w:pPr>
      <w:r w:rsidRPr="00AC56DD">
        <w:rPr>
          <w:rFonts w:ascii="Arial" w:hAnsi="Arial" w:cs="Arial"/>
          <w:i/>
          <w:iCs/>
        </w:rPr>
        <w:t xml:space="preserve">National Report / Programme of Work </w:t>
      </w:r>
      <w:r w:rsidR="00E537BC" w:rsidRPr="00AC56DD">
        <w:rPr>
          <w:rFonts w:ascii="Arial" w:hAnsi="Arial" w:cs="Arial"/>
          <w:i/>
          <w:iCs/>
        </w:rPr>
        <w:t>A</w:t>
      </w:r>
      <w:r w:rsidRPr="00AC56DD">
        <w:rPr>
          <w:rFonts w:ascii="Arial" w:hAnsi="Arial" w:cs="Arial"/>
          <w:i/>
          <w:iCs/>
        </w:rPr>
        <w:t>lignment</w:t>
      </w:r>
    </w:p>
    <w:p w14:paraId="0BBB6D75" w14:textId="77777777" w:rsidR="000F40C5" w:rsidRPr="00AC56DD" w:rsidRDefault="000F40C5" w:rsidP="000F40C5">
      <w:pPr>
        <w:spacing w:after="0" w:line="240" w:lineRule="auto"/>
        <w:rPr>
          <w:rFonts w:ascii="Arial" w:hAnsi="Arial" w:cs="Arial"/>
          <w:i/>
          <w:iCs/>
        </w:rPr>
      </w:pPr>
    </w:p>
    <w:tbl>
      <w:tblPr>
        <w:tblStyle w:val="TableGrid"/>
        <w:tblW w:w="0" w:type="auto"/>
        <w:tblLook w:val="04A0" w:firstRow="1" w:lastRow="0" w:firstColumn="1" w:lastColumn="0" w:noHBand="0" w:noVBand="1"/>
      </w:tblPr>
      <w:tblGrid>
        <w:gridCol w:w="3325"/>
        <w:gridCol w:w="5742"/>
      </w:tblGrid>
      <w:tr w:rsidR="00483EBD" w:rsidRPr="000F40C5" w14:paraId="1B4BFEB6" w14:textId="77777777" w:rsidTr="00483EBD">
        <w:tc>
          <w:tcPr>
            <w:tcW w:w="3325" w:type="dxa"/>
            <w:shd w:val="clear" w:color="auto" w:fill="1F4E79"/>
          </w:tcPr>
          <w:p w14:paraId="5B4D10A7" w14:textId="18063F44" w:rsidR="00483EBD" w:rsidRPr="000F40C5" w:rsidRDefault="00483EBD" w:rsidP="000F40C5">
            <w:pPr>
              <w:spacing w:before="60" w:after="60"/>
              <w:jc w:val="center"/>
              <w:rPr>
                <w:rFonts w:ascii="Arial" w:hAnsi="Arial" w:cs="Arial"/>
                <w:b/>
                <w:bCs/>
                <w:color w:val="FFFFFF" w:themeColor="background1"/>
              </w:rPr>
            </w:pPr>
            <w:r w:rsidRPr="000F40C5">
              <w:rPr>
                <w:rFonts w:ascii="Arial" w:hAnsi="Arial" w:cs="Arial"/>
                <w:b/>
                <w:bCs/>
                <w:color w:val="FFFFFF" w:themeColor="background1"/>
              </w:rPr>
              <w:t>Programme of Work</w:t>
            </w:r>
          </w:p>
        </w:tc>
        <w:tc>
          <w:tcPr>
            <w:tcW w:w="5742" w:type="dxa"/>
            <w:shd w:val="clear" w:color="auto" w:fill="1F4E79"/>
          </w:tcPr>
          <w:p w14:paraId="578DF86D" w14:textId="030B66FB" w:rsidR="00483EBD" w:rsidRPr="000F40C5" w:rsidRDefault="00483EBD" w:rsidP="000F40C5">
            <w:pPr>
              <w:spacing w:before="60" w:after="60"/>
              <w:jc w:val="center"/>
              <w:rPr>
                <w:rFonts w:ascii="Arial" w:hAnsi="Arial" w:cs="Arial"/>
                <w:b/>
                <w:bCs/>
                <w:color w:val="FFFFFF" w:themeColor="background1"/>
              </w:rPr>
            </w:pPr>
            <w:r w:rsidRPr="000F40C5">
              <w:rPr>
                <w:rFonts w:ascii="Arial" w:hAnsi="Arial" w:cs="Arial"/>
                <w:b/>
                <w:bCs/>
                <w:color w:val="FFFFFF" w:themeColor="background1"/>
              </w:rPr>
              <w:t>National Reporting</w:t>
            </w:r>
          </w:p>
        </w:tc>
      </w:tr>
      <w:tr w:rsidR="00483EBD" w:rsidRPr="000F40C5" w14:paraId="2A20EFAB" w14:textId="77777777" w:rsidTr="00483EBD">
        <w:tc>
          <w:tcPr>
            <w:tcW w:w="3325" w:type="dxa"/>
          </w:tcPr>
          <w:p w14:paraId="4D775279" w14:textId="71BA7FD8" w:rsidR="00483EBD" w:rsidRPr="000F40C5" w:rsidRDefault="00483EBD" w:rsidP="000F40C5">
            <w:pPr>
              <w:spacing w:before="60" w:after="60"/>
              <w:rPr>
                <w:rFonts w:ascii="Arial" w:hAnsi="Arial" w:cs="Arial"/>
                <w:sz w:val="20"/>
                <w:szCs w:val="20"/>
              </w:rPr>
            </w:pPr>
            <w:r w:rsidRPr="000F40C5">
              <w:rPr>
                <w:rFonts w:ascii="Arial" w:hAnsi="Arial" w:cs="Arial"/>
                <w:b/>
                <w:bCs/>
                <w:sz w:val="20"/>
                <w:szCs w:val="20"/>
              </w:rPr>
              <w:t>Measures to facilitate species adaptation in response to climate change</w:t>
            </w:r>
          </w:p>
        </w:tc>
        <w:tc>
          <w:tcPr>
            <w:tcW w:w="5742" w:type="dxa"/>
          </w:tcPr>
          <w:p w14:paraId="6177D764" w14:textId="4849DA63" w:rsidR="00FB1310" w:rsidRPr="000F40C5" w:rsidRDefault="00562181" w:rsidP="000F40C5">
            <w:pPr>
              <w:spacing w:before="60" w:after="60"/>
              <w:jc w:val="both"/>
              <w:rPr>
                <w:rFonts w:ascii="Arial" w:hAnsi="Arial" w:cs="Arial"/>
                <w:b/>
                <w:bCs/>
                <w:sz w:val="20"/>
                <w:szCs w:val="20"/>
              </w:rPr>
            </w:pPr>
            <w:r w:rsidRPr="000F40C5">
              <w:rPr>
                <w:rFonts w:ascii="Arial" w:hAnsi="Arial" w:cs="Arial"/>
                <w:sz w:val="20"/>
                <w:szCs w:val="20"/>
              </w:rPr>
              <w:t>Significan</w:t>
            </w:r>
            <w:r w:rsidR="00552074">
              <w:rPr>
                <w:rFonts w:ascii="Arial" w:hAnsi="Arial" w:cs="Arial"/>
                <w:sz w:val="20"/>
                <w:szCs w:val="20"/>
              </w:rPr>
              <w:t>t</w:t>
            </w:r>
            <w:r w:rsidRPr="000F40C5">
              <w:rPr>
                <w:rFonts w:ascii="Arial" w:hAnsi="Arial" w:cs="Arial"/>
                <w:sz w:val="20"/>
                <w:szCs w:val="20"/>
              </w:rPr>
              <w:t xml:space="preserve"> advances</w:t>
            </w:r>
            <w:r w:rsidR="00F65D0C" w:rsidRPr="000F40C5">
              <w:rPr>
                <w:rFonts w:ascii="Arial" w:hAnsi="Arial" w:cs="Arial"/>
                <w:sz w:val="20"/>
                <w:szCs w:val="20"/>
              </w:rPr>
              <w:t>, such as</w:t>
            </w:r>
            <w:r w:rsidR="00E537BC" w:rsidRPr="000F40C5">
              <w:rPr>
                <w:rFonts w:ascii="Arial" w:hAnsi="Arial" w:cs="Arial"/>
                <w:sz w:val="20"/>
                <w:szCs w:val="20"/>
              </w:rPr>
              <w:t xml:space="preserve"> those purposed with the intent to</w:t>
            </w:r>
            <w:r w:rsidR="00F65D0C" w:rsidRPr="000F40C5">
              <w:rPr>
                <w:rFonts w:ascii="Arial" w:hAnsi="Arial" w:cs="Arial"/>
                <w:sz w:val="20"/>
                <w:szCs w:val="20"/>
              </w:rPr>
              <w:t xml:space="preserve"> eliminate, counteract or compensate for detrimental impacts of climate change and restoring degraded habitats and connectivity,</w:t>
            </w:r>
            <w:r w:rsidRPr="000F40C5">
              <w:rPr>
                <w:rFonts w:ascii="Arial" w:hAnsi="Arial" w:cs="Arial"/>
                <w:sz w:val="20"/>
                <w:szCs w:val="20"/>
              </w:rPr>
              <w:t xml:space="preserve"> as well as any negative trends concerning actions and activities as they relate to the pressure of climate change on migratory species, their habitats and migration systems could be reported in Section X (</w:t>
            </w:r>
            <w:r w:rsidRPr="000F40C5">
              <w:rPr>
                <w:rFonts w:ascii="Arial" w:hAnsi="Arial" w:cs="Arial"/>
                <w:i/>
                <w:iCs/>
                <w:sz w:val="20"/>
                <w:szCs w:val="20"/>
              </w:rPr>
              <w:t>Threats &amp; Pressures</w:t>
            </w:r>
            <w:r w:rsidRPr="000F40C5">
              <w:rPr>
                <w:rFonts w:ascii="Arial" w:hAnsi="Arial" w:cs="Arial"/>
                <w:sz w:val="20"/>
                <w:szCs w:val="20"/>
              </w:rPr>
              <w:t xml:space="preserve">). </w:t>
            </w:r>
            <w:r w:rsidR="004A0D2B" w:rsidRPr="000F40C5">
              <w:rPr>
                <w:rFonts w:ascii="Arial" w:hAnsi="Arial" w:cs="Arial"/>
                <w:sz w:val="20"/>
                <w:szCs w:val="20"/>
              </w:rPr>
              <w:t>Relevant work</w:t>
            </w:r>
            <w:r w:rsidR="00E537BC" w:rsidRPr="000F40C5">
              <w:rPr>
                <w:rFonts w:ascii="Arial" w:hAnsi="Arial" w:cs="Arial"/>
                <w:sz w:val="20"/>
                <w:szCs w:val="20"/>
              </w:rPr>
              <w:t xml:space="preserve"> and activities for</w:t>
            </w:r>
            <w:r w:rsidR="004A0D2B" w:rsidRPr="000F40C5">
              <w:rPr>
                <w:rFonts w:ascii="Arial" w:hAnsi="Arial" w:cs="Arial"/>
                <w:sz w:val="20"/>
                <w:szCs w:val="20"/>
              </w:rPr>
              <w:t xml:space="preserve"> cooperation between States to implement aspects of the POW could be reported in Section XII (</w:t>
            </w:r>
            <w:r w:rsidR="004A0D2B" w:rsidRPr="000F40C5">
              <w:rPr>
                <w:rFonts w:ascii="Arial" w:hAnsi="Arial" w:cs="Arial"/>
                <w:i/>
                <w:iCs/>
                <w:sz w:val="20"/>
                <w:szCs w:val="20"/>
              </w:rPr>
              <w:t>Cooperating to Conserve Migration Systems</w:t>
            </w:r>
            <w:r w:rsidR="004A0D2B" w:rsidRPr="000F40C5">
              <w:rPr>
                <w:rFonts w:ascii="Arial" w:hAnsi="Arial" w:cs="Arial"/>
                <w:sz w:val="20"/>
                <w:szCs w:val="20"/>
              </w:rPr>
              <w:t xml:space="preserve">). </w:t>
            </w:r>
            <w:r w:rsidRPr="000F40C5">
              <w:rPr>
                <w:rFonts w:ascii="Arial" w:hAnsi="Arial" w:cs="Arial"/>
                <w:sz w:val="20"/>
                <w:szCs w:val="20"/>
              </w:rPr>
              <w:t>Reportable information may also be applicable to other pressures in this Section</w:t>
            </w:r>
            <w:r w:rsidR="00E537BC" w:rsidRPr="000F40C5">
              <w:rPr>
                <w:rFonts w:ascii="Arial" w:hAnsi="Arial" w:cs="Arial"/>
                <w:sz w:val="20"/>
                <w:szCs w:val="20"/>
              </w:rPr>
              <w:t>,</w:t>
            </w:r>
            <w:r w:rsidRPr="000F40C5">
              <w:rPr>
                <w:rFonts w:ascii="Arial" w:hAnsi="Arial" w:cs="Arial"/>
                <w:sz w:val="20"/>
                <w:szCs w:val="20"/>
              </w:rPr>
              <w:t xml:space="preserve"> which</w:t>
            </w:r>
            <w:r w:rsidR="00E537BC" w:rsidRPr="000F40C5">
              <w:rPr>
                <w:rFonts w:ascii="Arial" w:hAnsi="Arial" w:cs="Arial"/>
                <w:sz w:val="20"/>
                <w:szCs w:val="20"/>
              </w:rPr>
              <w:t xml:space="preserve"> may be</w:t>
            </w:r>
            <w:r w:rsidRPr="000F40C5">
              <w:rPr>
                <w:rFonts w:ascii="Arial" w:hAnsi="Arial" w:cs="Arial"/>
                <w:sz w:val="20"/>
                <w:szCs w:val="20"/>
              </w:rPr>
              <w:t xml:space="preserve"> exacerbated by climate change. Considerations relevant to habitat and protected areas</w:t>
            </w:r>
            <w:r w:rsidR="00F65D0C" w:rsidRPr="000F40C5">
              <w:rPr>
                <w:rFonts w:ascii="Arial" w:hAnsi="Arial" w:cs="Arial"/>
                <w:sz w:val="20"/>
                <w:szCs w:val="20"/>
              </w:rPr>
              <w:t>, such as designation of seasonal protected areas, placing restrictions on land-use etc.,</w:t>
            </w:r>
            <w:r w:rsidRPr="000F40C5">
              <w:rPr>
                <w:rFonts w:ascii="Arial" w:hAnsi="Arial" w:cs="Arial"/>
                <w:sz w:val="20"/>
                <w:szCs w:val="20"/>
              </w:rPr>
              <w:t xml:space="preserve"> could be </w:t>
            </w:r>
            <w:r w:rsidR="00F65D0C" w:rsidRPr="000F40C5">
              <w:rPr>
                <w:rFonts w:ascii="Arial" w:hAnsi="Arial" w:cs="Arial"/>
                <w:sz w:val="20"/>
                <w:szCs w:val="20"/>
              </w:rPr>
              <w:t>reported in Section XIII (</w:t>
            </w:r>
            <w:r w:rsidR="00F65D0C" w:rsidRPr="000F40C5">
              <w:rPr>
                <w:rFonts w:ascii="Arial" w:hAnsi="Arial" w:cs="Arial"/>
                <w:i/>
                <w:iCs/>
                <w:sz w:val="20"/>
                <w:szCs w:val="20"/>
              </w:rPr>
              <w:t>Area-</w:t>
            </w:r>
            <w:r w:rsidR="004A0D2B" w:rsidRPr="000F40C5">
              <w:rPr>
                <w:rFonts w:ascii="Arial" w:hAnsi="Arial" w:cs="Arial"/>
                <w:i/>
                <w:iCs/>
                <w:sz w:val="20"/>
                <w:szCs w:val="20"/>
              </w:rPr>
              <w:t>B</w:t>
            </w:r>
            <w:r w:rsidR="00F65D0C" w:rsidRPr="000F40C5">
              <w:rPr>
                <w:rFonts w:ascii="Arial" w:hAnsi="Arial" w:cs="Arial"/>
                <w:i/>
                <w:iCs/>
                <w:sz w:val="20"/>
                <w:szCs w:val="20"/>
              </w:rPr>
              <w:t>ased Conservation Measures</w:t>
            </w:r>
            <w:r w:rsidR="00F65D0C" w:rsidRPr="000F40C5">
              <w:rPr>
                <w:rFonts w:ascii="Arial" w:hAnsi="Arial" w:cs="Arial"/>
                <w:sz w:val="20"/>
                <w:szCs w:val="20"/>
              </w:rPr>
              <w:t>)</w:t>
            </w:r>
            <w:r w:rsidR="00CB6DF6" w:rsidRPr="000F40C5">
              <w:rPr>
                <w:rFonts w:ascii="Arial" w:hAnsi="Arial" w:cs="Arial"/>
                <w:sz w:val="20"/>
                <w:szCs w:val="20"/>
              </w:rPr>
              <w:t>.</w:t>
            </w:r>
          </w:p>
        </w:tc>
      </w:tr>
      <w:tr w:rsidR="00483EBD" w:rsidRPr="000F40C5" w14:paraId="2BB5BB0A" w14:textId="77777777" w:rsidTr="00483EBD">
        <w:tc>
          <w:tcPr>
            <w:tcW w:w="3325" w:type="dxa"/>
          </w:tcPr>
          <w:p w14:paraId="4C972CBE" w14:textId="70D80B79" w:rsidR="00483EBD" w:rsidRPr="000F40C5" w:rsidRDefault="00483EBD" w:rsidP="000F40C5">
            <w:pPr>
              <w:spacing w:before="60" w:after="60"/>
              <w:rPr>
                <w:rFonts w:ascii="Arial" w:hAnsi="Arial" w:cs="Arial"/>
                <w:sz w:val="20"/>
                <w:szCs w:val="20"/>
              </w:rPr>
            </w:pPr>
            <w:r w:rsidRPr="000F40C5">
              <w:rPr>
                <w:rFonts w:ascii="Arial" w:hAnsi="Arial" w:cs="Arial"/>
                <w:b/>
                <w:bCs/>
                <w:sz w:val="20"/>
                <w:szCs w:val="20"/>
              </w:rPr>
              <w:lastRenderedPageBreak/>
              <w:t>Vulnerability assessment</w:t>
            </w:r>
          </w:p>
        </w:tc>
        <w:tc>
          <w:tcPr>
            <w:tcW w:w="5742" w:type="dxa"/>
          </w:tcPr>
          <w:p w14:paraId="0205B66F" w14:textId="01CF20EF" w:rsidR="00483EBD" w:rsidRPr="000F40C5" w:rsidRDefault="00F65D0C" w:rsidP="000F40C5">
            <w:pPr>
              <w:spacing w:before="60" w:after="60"/>
              <w:jc w:val="both"/>
              <w:rPr>
                <w:rFonts w:ascii="Arial" w:hAnsi="Arial" w:cs="Arial"/>
                <w:b/>
                <w:bCs/>
                <w:sz w:val="20"/>
                <w:szCs w:val="20"/>
              </w:rPr>
            </w:pPr>
            <w:r w:rsidRPr="000F40C5">
              <w:rPr>
                <w:rFonts w:ascii="Arial" w:hAnsi="Arial" w:cs="Arial"/>
                <w:sz w:val="20"/>
                <w:szCs w:val="20"/>
              </w:rPr>
              <w:t>Such assessments specifically evaluating species’ vulnerability to</w:t>
            </w:r>
            <w:r w:rsidR="00483EBD" w:rsidRPr="000F40C5">
              <w:rPr>
                <w:rFonts w:ascii="Arial" w:hAnsi="Arial" w:cs="Arial"/>
                <w:sz w:val="20"/>
                <w:szCs w:val="20"/>
              </w:rPr>
              <w:t xml:space="preserve"> climate change could be addressed in Section X</w:t>
            </w:r>
            <w:r w:rsidRPr="000F40C5">
              <w:rPr>
                <w:rFonts w:ascii="Arial" w:hAnsi="Arial" w:cs="Arial"/>
                <w:sz w:val="20"/>
                <w:szCs w:val="20"/>
              </w:rPr>
              <w:t xml:space="preserve"> (</w:t>
            </w:r>
            <w:r w:rsidRPr="000F40C5">
              <w:rPr>
                <w:rFonts w:ascii="Arial" w:hAnsi="Arial" w:cs="Arial"/>
                <w:i/>
                <w:iCs/>
                <w:sz w:val="20"/>
                <w:szCs w:val="20"/>
              </w:rPr>
              <w:t>Threats &amp; Pressures)</w:t>
            </w:r>
            <w:r w:rsidR="00483EBD" w:rsidRPr="000F40C5">
              <w:rPr>
                <w:rFonts w:ascii="Arial" w:hAnsi="Arial" w:cs="Arial"/>
                <w:sz w:val="20"/>
                <w:szCs w:val="20"/>
              </w:rPr>
              <w:t>.</w:t>
            </w:r>
            <w:r w:rsidR="004A0D2B" w:rsidRPr="000F40C5">
              <w:rPr>
                <w:rFonts w:ascii="Arial" w:hAnsi="Arial" w:cs="Arial"/>
                <w:sz w:val="20"/>
                <w:szCs w:val="20"/>
              </w:rPr>
              <w:t xml:space="preserve"> Any research or funding </w:t>
            </w:r>
            <w:r w:rsidR="00E537BC" w:rsidRPr="000F40C5">
              <w:rPr>
                <w:rFonts w:ascii="Arial" w:hAnsi="Arial" w:cs="Arial"/>
                <w:sz w:val="20"/>
                <w:szCs w:val="20"/>
              </w:rPr>
              <w:t>regarding</w:t>
            </w:r>
            <w:r w:rsidR="004A0D2B" w:rsidRPr="000F40C5">
              <w:rPr>
                <w:rFonts w:ascii="Arial" w:hAnsi="Arial" w:cs="Arial"/>
                <w:sz w:val="20"/>
                <w:szCs w:val="20"/>
              </w:rPr>
              <w:t xml:space="preserve"> such assessments could be reported in Section XVIII (</w:t>
            </w:r>
            <w:r w:rsidR="004A0D2B" w:rsidRPr="000F40C5">
              <w:rPr>
                <w:rFonts w:ascii="Arial" w:hAnsi="Arial" w:cs="Arial"/>
                <w:i/>
                <w:iCs/>
                <w:sz w:val="20"/>
                <w:szCs w:val="20"/>
              </w:rPr>
              <w:t>Knowledge, Data and Capacity-Building</w:t>
            </w:r>
            <w:r w:rsidR="004A0D2B" w:rsidRPr="000F40C5">
              <w:rPr>
                <w:rFonts w:ascii="Arial" w:hAnsi="Arial" w:cs="Arial"/>
                <w:sz w:val="20"/>
                <w:szCs w:val="20"/>
              </w:rPr>
              <w:t>) and Section XIX (</w:t>
            </w:r>
            <w:r w:rsidR="004A0D2B" w:rsidRPr="000F40C5">
              <w:rPr>
                <w:rFonts w:ascii="Arial" w:hAnsi="Arial" w:cs="Arial"/>
                <w:i/>
                <w:iCs/>
                <w:sz w:val="20"/>
                <w:szCs w:val="20"/>
              </w:rPr>
              <w:t>Resource Mobilization</w:t>
            </w:r>
            <w:r w:rsidR="004A0D2B" w:rsidRPr="000F40C5">
              <w:rPr>
                <w:rFonts w:ascii="Arial" w:hAnsi="Arial" w:cs="Arial"/>
                <w:sz w:val="20"/>
                <w:szCs w:val="20"/>
              </w:rPr>
              <w:t>).</w:t>
            </w:r>
          </w:p>
        </w:tc>
      </w:tr>
      <w:tr w:rsidR="00483EBD" w:rsidRPr="000F40C5" w14:paraId="0B627B0E" w14:textId="77777777" w:rsidTr="00483EBD">
        <w:tc>
          <w:tcPr>
            <w:tcW w:w="3325" w:type="dxa"/>
          </w:tcPr>
          <w:p w14:paraId="75D53536" w14:textId="6125AB1F" w:rsidR="00483EBD" w:rsidRPr="000F40C5" w:rsidRDefault="00483EBD" w:rsidP="000F40C5">
            <w:pPr>
              <w:spacing w:before="60" w:after="60"/>
              <w:rPr>
                <w:rFonts w:ascii="Arial" w:hAnsi="Arial" w:cs="Arial"/>
                <w:sz w:val="20"/>
                <w:szCs w:val="20"/>
              </w:rPr>
            </w:pPr>
            <w:r w:rsidRPr="000F40C5">
              <w:rPr>
                <w:rFonts w:ascii="Arial" w:hAnsi="Arial" w:cs="Arial"/>
                <w:b/>
                <w:bCs/>
                <w:sz w:val="20"/>
                <w:szCs w:val="20"/>
              </w:rPr>
              <w:t>Monitoring and research</w:t>
            </w:r>
          </w:p>
        </w:tc>
        <w:tc>
          <w:tcPr>
            <w:tcW w:w="5742" w:type="dxa"/>
          </w:tcPr>
          <w:p w14:paraId="647131FE" w14:textId="68CB62D6" w:rsidR="00483EBD" w:rsidRPr="000F40C5" w:rsidRDefault="00483EBD" w:rsidP="000F40C5">
            <w:pPr>
              <w:spacing w:before="60" w:after="60"/>
              <w:jc w:val="both"/>
              <w:rPr>
                <w:rFonts w:ascii="Arial" w:hAnsi="Arial" w:cs="Arial"/>
                <w:b/>
                <w:bCs/>
                <w:sz w:val="20"/>
                <w:szCs w:val="20"/>
              </w:rPr>
            </w:pPr>
            <w:r w:rsidRPr="000F40C5">
              <w:rPr>
                <w:rFonts w:ascii="Arial" w:hAnsi="Arial" w:cs="Arial"/>
                <w:sz w:val="20"/>
                <w:szCs w:val="20"/>
              </w:rPr>
              <w:t xml:space="preserve">Contributions in relation to the POW as they relate to </w:t>
            </w:r>
            <w:r w:rsidR="009A76FD" w:rsidRPr="000F40C5">
              <w:rPr>
                <w:rFonts w:ascii="Arial" w:hAnsi="Arial" w:cs="Arial"/>
                <w:sz w:val="20"/>
                <w:szCs w:val="20"/>
              </w:rPr>
              <w:t xml:space="preserve">research and monitoring, and filling information gaps </w:t>
            </w:r>
            <w:r w:rsidRPr="000F40C5">
              <w:rPr>
                <w:rFonts w:ascii="Arial" w:hAnsi="Arial" w:cs="Arial"/>
                <w:sz w:val="20"/>
                <w:szCs w:val="20"/>
              </w:rPr>
              <w:t>as well as mobilizing resources</w:t>
            </w:r>
            <w:r w:rsidR="009A76FD" w:rsidRPr="000F40C5">
              <w:rPr>
                <w:rFonts w:ascii="Arial" w:hAnsi="Arial" w:cs="Arial"/>
                <w:sz w:val="20"/>
                <w:szCs w:val="20"/>
              </w:rPr>
              <w:t xml:space="preserve"> towards such efforts</w:t>
            </w:r>
            <w:r w:rsidRPr="000F40C5">
              <w:rPr>
                <w:rFonts w:ascii="Arial" w:hAnsi="Arial" w:cs="Arial"/>
                <w:sz w:val="20"/>
                <w:szCs w:val="20"/>
              </w:rPr>
              <w:t xml:space="preserve"> </w:t>
            </w:r>
            <w:r w:rsidR="009A76FD" w:rsidRPr="000F40C5">
              <w:rPr>
                <w:rFonts w:ascii="Arial" w:hAnsi="Arial" w:cs="Arial"/>
                <w:sz w:val="20"/>
                <w:szCs w:val="20"/>
              </w:rPr>
              <w:t>could</w:t>
            </w:r>
            <w:r w:rsidRPr="000F40C5">
              <w:rPr>
                <w:rFonts w:ascii="Arial" w:hAnsi="Arial" w:cs="Arial"/>
                <w:sz w:val="20"/>
                <w:szCs w:val="20"/>
              </w:rPr>
              <w:t xml:space="preserve"> be reported in Sections XVIII (</w:t>
            </w:r>
            <w:r w:rsidRPr="000F40C5">
              <w:rPr>
                <w:rFonts w:ascii="Arial" w:hAnsi="Arial" w:cs="Arial"/>
                <w:i/>
                <w:iCs/>
                <w:sz w:val="20"/>
                <w:szCs w:val="20"/>
              </w:rPr>
              <w:t>Knowledge, Data and Capacity-Building</w:t>
            </w:r>
            <w:r w:rsidRPr="000F40C5">
              <w:rPr>
                <w:rFonts w:ascii="Arial" w:hAnsi="Arial" w:cs="Arial"/>
                <w:sz w:val="20"/>
                <w:szCs w:val="20"/>
              </w:rPr>
              <w:t>) and XIX (</w:t>
            </w:r>
            <w:r w:rsidRPr="000F40C5">
              <w:rPr>
                <w:rFonts w:ascii="Arial" w:hAnsi="Arial" w:cs="Arial"/>
                <w:i/>
                <w:iCs/>
                <w:sz w:val="20"/>
                <w:szCs w:val="20"/>
              </w:rPr>
              <w:t>Resource Mobilization</w:t>
            </w:r>
            <w:r w:rsidRPr="000F40C5">
              <w:rPr>
                <w:rFonts w:ascii="Arial" w:hAnsi="Arial" w:cs="Arial"/>
                <w:sz w:val="20"/>
                <w:szCs w:val="20"/>
              </w:rPr>
              <w:t>).</w:t>
            </w:r>
          </w:p>
        </w:tc>
      </w:tr>
      <w:tr w:rsidR="00483EBD" w:rsidRPr="000F40C5" w14:paraId="64EA0E45" w14:textId="77777777" w:rsidTr="00483EBD">
        <w:tc>
          <w:tcPr>
            <w:tcW w:w="3325" w:type="dxa"/>
          </w:tcPr>
          <w:p w14:paraId="5C1789B9" w14:textId="38AA087B" w:rsidR="00483EBD" w:rsidRPr="000F40C5" w:rsidRDefault="00483EBD" w:rsidP="000F40C5">
            <w:pPr>
              <w:spacing w:before="60" w:after="60"/>
              <w:rPr>
                <w:rFonts w:ascii="Arial" w:hAnsi="Arial" w:cs="Arial"/>
                <w:sz w:val="20"/>
                <w:szCs w:val="20"/>
              </w:rPr>
            </w:pPr>
            <w:r w:rsidRPr="000F40C5">
              <w:rPr>
                <w:rFonts w:ascii="Arial" w:hAnsi="Arial" w:cs="Arial"/>
                <w:b/>
                <w:bCs/>
                <w:sz w:val="20"/>
                <w:szCs w:val="20"/>
              </w:rPr>
              <w:t>Climate change mitigation, human adaptation, and land use planning</w:t>
            </w:r>
          </w:p>
        </w:tc>
        <w:tc>
          <w:tcPr>
            <w:tcW w:w="5742" w:type="dxa"/>
          </w:tcPr>
          <w:p w14:paraId="0D5D8B67" w14:textId="31F77135" w:rsidR="00483EBD" w:rsidRPr="000F40C5" w:rsidRDefault="009A76FD" w:rsidP="000F40C5">
            <w:pPr>
              <w:spacing w:before="60" w:after="60"/>
              <w:jc w:val="both"/>
              <w:rPr>
                <w:rFonts w:ascii="Arial" w:hAnsi="Arial" w:cs="Arial"/>
                <w:b/>
                <w:bCs/>
                <w:sz w:val="20"/>
                <w:szCs w:val="20"/>
              </w:rPr>
            </w:pPr>
            <w:r w:rsidRPr="000F40C5">
              <w:rPr>
                <w:rFonts w:ascii="Arial" w:hAnsi="Arial" w:cs="Arial"/>
                <w:sz w:val="20"/>
                <w:szCs w:val="20"/>
              </w:rPr>
              <w:t>Contributions in relation to the POW relate</w:t>
            </w:r>
            <w:r w:rsidR="00DE0A1B" w:rsidRPr="000F40C5">
              <w:rPr>
                <w:rFonts w:ascii="Arial" w:hAnsi="Arial" w:cs="Arial"/>
                <w:sz w:val="20"/>
                <w:szCs w:val="20"/>
              </w:rPr>
              <w:t>d</w:t>
            </w:r>
            <w:r w:rsidRPr="000F40C5">
              <w:rPr>
                <w:rFonts w:ascii="Arial" w:hAnsi="Arial" w:cs="Arial"/>
                <w:sz w:val="20"/>
                <w:szCs w:val="20"/>
              </w:rPr>
              <w:t xml:space="preserve"> to research and monitoring, filling information gaps </w:t>
            </w:r>
            <w:r w:rsidR="00DE0A1B" w:rsidRPr="000F40C5">
              <w:rPr>
                <w:rFonts w:ascii="Arial" w:hAnsi="Arial" w:cs="Arial"/>
                <w:sz w:val="20"/>
                <w:szCs w:val="20"/>
              </w:rPr>
              <w:t>and any other</w:t>
            </w:r>
            <w:r w:rsidRPr="000F40C5">
              <w:rPr>
                <w:rFonts w:ascii="Arial" w:hAnsi="Arial" w:cs="Arial"/>
                <w:sz w:val="20"/>
                <w:szCs w:val="20"/>
              </w:rPr>
              <w:t xml:space="preserve"> mobiliz</w:t>
            </w:r>
            <w:r w:rsidR="00DE0A1B" w:rsidRPr="000F40C5">
              <w:rPr>
                <w:rFonts w:ascii="Arial" w:hAnsi="Arial" w:cs="Arial"/>
                <w:sz w:val="20"/>
                <w:szCs w:val="20"/>
              </w:rPr>
              <w:t>ation of</w:t>
            </w:r>
            <w:r w:rsidRPr="000F40C5">
              <w:rPr>
                <w:rFonts w:ascii="Arial" w:hAnsi="Arial" w:cs="Arial"/>
                <w:sz w:val="20"/>
                <w:szCs w:val="20"/>
              </w:rPr>
              <w:t xml:space="preserve"> resources towards such efforts could be reported in Sections XVIII (</w:t>
            </w:r>
            <w:r w:rsidRPr="000F40C5">
              <w:rPr>
                <w:rFonts w:ascii="Arial" w:hAnsi="Arial" w:cs="Arial"/>
                <w:i/>
                <w:iCs/>
                <w:sz w:val="20"/>
                <w:szCs w:val="20"/>
              </w:rPr>
              <w:t>Knowledge, Data and Capacity-Building</w:t>
            </w:r>
            <w:r w:rsidRPr="000F40C5">
              <w:rPr>
                <w:rFonts w:ascii="Arial" w:hAnsi="Arial" w:cs="Arial"/>
                <w:sz w:val="20"/>
                <w:szCs w:val="20"/>
              </w:rPr>
              <w:t>) and XIX (</w:t>
            </w:r>
            <w:r w:rsidRPr="000F40C5">
              <w:rPr>
                <w:rFonts w:ascii="Arial" w:hAnsi="Arial" w:cs="Arial"/>
                <w:i/>
                <w:iCs/>
                <w:sz w:val="20"/>
                <w:szCs w:val="20"/>
              </w:rPr>
              <w:t>Resource Mobilization</w:t>
            </w:r>
            <w:r w:rsidRPr="000F40C5">
              <w:rPr>
                <w:rFonts w:ascii="Arial" w:hAnsi="Arial" w:cs="Arial"/>
                <w:sz w:val="20"/>
                <w:szCs w:val="20"/>
              </w:rPr>
              <w:t xml:space="preserve">). Considerations relevant to habitat and protected areas, such as </w:t>
            </w:r>
            <w:r w:rsidR="00DE0A1B" w:rsidRPr="000F40C5">
              <w:rPr>
                <w:rFonts w:ascii="Arial" w:hAnsi="Arial" w:cs="Arial"/>
                <w:sz w:val="20"/>
                <w:szCs w:val="20"/>
              </w:rPr>
              <w:t>the revisal</w:t>
            </w:r>
            <w:r w:rsidRPr="000F40C5">
              <w:rPr>
                <w:rFonts w:ascii="Arial" w:hAnsi="Arial" w:cs="Arial"/>
                <w:sz w:val="20"/>
                <w:szCs w:val="20"/>
              </w:rPr>
              <w:t xml:space="preserve"> of zoning maps and environmental sensitivity for inclusion of critical and important sites for migratory species could be reported in Section XIII (</w:t>
            </w:r>
            <w:r w:rsidRPr="000F40C5">
              <w:rPr>
                <w:rFonts w:ascii="Arial" w:hAnsi="Arial" w:cs="Arial"/>
                <w:i/>
                <w:iCs/>
                <w:sz w:val="20"/>
                <w:szCs w:val="20"/>
              </w:rPr>
              <w:t>Area-Based Conservation Measures</w:t>
            </w:r>
            <w:r w:rsidRPr="000F40C5">
              <w:rPr>
                <w:rFonts w:ascii="Arial" w:hAnsi="Arial" w:cs="Arial"/>
                <w:sz w:val="20"/>
                <w:szCs w:val="20"/>
              </w:rPr>
              <w:t xml:space="preserve">). </w:t>
            </w:r>
            <w:r w:rsidR="007E2935" w:rsidRPr="000F40C5">
              <w:rPr>
                <w:rFonts w:ascii="Arial" w:hAnsi="Arial" w:cs="Arial"/>
                <w:sz w:val="20"/>
                <w:szCs w:val="20"/>
              </w:rPr>
              <w:t>Information regarding mitigation and adaptation</w:t>
            </w:r>
            <w:r w:rsidR="00DE0A1B" w:rsidRPr="000F40C5">
              <w:rPr>
                <w:rFonts w:ascii="Arial" w:hAnsi="Arial" w:cs="Arial"/>
                <w:sz w:val="20"/>
                <w:szCs w:val="20"/>
              </w:rPr>
              <w:t>,</w:t>
            </w:r>
            <w:r w:rsidR="007E2935" w:rsidRPr="000F40C5">
              <w:rPr>
                <w:rFonts w:ascii="Arial" w:hAnsi="Arial" w:cs="Arial"/>
                <w:sz w:val="20"/>
                <w:szCs w:val="20"/>
              </w:rPr>
              <w:t xml:space="preserve"> and assessments, such as EIA/SEA, as they relate to development, infrastructure and other sectors could be reported in Section VI (</w:t>
            </w:r>
            <w:r w:rsidR="007E2935" w:rsidRPr="000F40C5">
              <w:rPr>
                <w:rFonts w:ascii="Arial" w:hAnsi="Arial" w:cs="Arial"/>
                <w:i/>
                <w:iCs/>
                <w:sz w:val="20"/>
                <w:szCs w:val="20"/>
              </w:rPr>
              <w:t>Mainstreaming Migratory Species in Other Sectors and Processes</w:t>
            </w:r>
            <w:r w:rsidR="007E2935" w:rsidRPr="000F40C5">
              <w:rPr>
                <w:rFonts w:ascii="Arial" w:hAnsi="Arial" w:cs="Arial"/>
                <w:sz w:val="20"/>
                <w:szCs w:val="20"/>
              </w:rPr>
              <w:t>). Any such research or funding</w:t>
            </w:r>
            <w:r w:rsidR="00DE0A1B" w:rsidRPr="000F40C5">
              <w:rPr>
                <w:rFonts w:ascii="Arial" w:hAnsi="Arial" w:cs="Arial"/>
                <w:sz w:val="20"/>
                <w:szCs w:val="20"/>
              </w:rPr>
              <w:t xml:space="preserve"> towards</w:t>
            </w:r>
            <w:r w:rsidR="007E2935" w:rsidRPr="000F40C5">
              <w:rPr>
                <w:rFonts w:ascii="Arial" w:hAnsi="Arial" w:cs="Arial"/>
                <w:sz w:val="20"/>
                <w:szCs w:val="20"/>
              </w:rPr>
              <w:t xml:space="preserve"> such topics could be reported in Section XVIII (</w:t>
            </w:r>
            <w:r w:rsidR="007E2935" w:rsidRPr="000F40C5">
              <w:rPr>
                <w:rFonts w:ascii="Arial" w:hAnsi="Arial" w:cs="Arial"/>
                <w:i/>
                <w:iCs/>
                <w:sz w:val="20"/>
                <w:szCs w:val="20"/>
              </w:rPr>
              <w:t>Knowledge, Data and Capacity-Building</w:t>
            </w:r>
            <w:r w:rsidR="007E2935" w:rsidRPr="000F40C5">
              <w:rPr>
                <w:rFonts w:ascii="Arial" w:hAnsi="Arial" w:cs="Arial"/>
                <w:sz w:val="20"/>
                <w:szCs w:val="20"/>
              </w:rPr>
              <w:t>) and Section XIX (</w:t>
            </w:r>
            <w:r w:rsidR="007E2935" w:rsidRPr="000F40C5">
              <w:rPr>
                <w:rFonts w:ascii="Arial" w:hAnsi="Arial" w:cs="Arial"/>
                <w:i/>
                <w:iCs/>
                <w:sz w:val="20"/>
                <w:szCs w:val="20"/>
              </w:rPr>
              <w:t>Resource Mobilization</w:t>
            </w:r>
            <w:r w:rsidR="007E2935" w:rsidRPr="000F40C5">
              <w:rPr>
                <w:rFonts w:ascii="Arial" w:hAnsi="Arial" w:cs="Arial"/>
                <w:sz w:val="20"/>
                <w:szCs w:val="20"/>
              </w:rPr>
              <w:t>).</w:t>
            </w:r>
          </w:p>
        </w:tc>
      </w:tr>
      <w:tr w:rsidR="00483EBD" w:rsidRPr="000F40C5" w14:paraId="64450298" w14:textId="77777777" w:rsidTr="00483EBD">
        <w:tc>
          <w:tcPr>
            <w:tcW w:w="3325" w:type="dxa"/>
          </w:tcPr>
          <w:p w14:paraId="5523166A" w14:textId="6E143ADC" w:rsidR="00483EBD" w:rsidRPr="000F40C5" w:rsidRDefault="00483EBD" w:rsidP="000F40C5">
            <w:pPr>
              <w:spacing w:before="60" w:after="60"/>
              <w:rPr>
                <w:rFonts w:ascii="Arial" w:hAnsi="Arial" w:cs="Arial"/>
                <w:sz w:val="20"/>
                <w:szCs w:val="20"/>
              </w:rPr>
            </w:pPr>
            <w:r w:rsidRPr="000F40C5">
              <w:rPr>
                <w:rFonts w:ascii="Arial" w:hAnsi="Arial" w:cs="Arial"/>
                <w:b/>
                <w:bCs/>
                <w:sz w:val="20"/>
                <w:szCs w:val="20"/>
              </w:rPr>
              <w:t>Knowledge exchange and capacity-building</w:t>
            </w:r>
          </w:p>
        </w:tc>
        <w:tc>
          <w:tcPr>
            <w:tcW w:w="5742" w:type="dxa"/>
          </w:tcPr>
          <w:p w14:paraId="645981CD" w14:textId="5573AF72" w:rsidR="00483EBD" w:rsidRPr="000F40C5" w:rsidRDefault="007E2935" w:rsidP="000F40C5">
            <w:pPr>
              <w:spacing w:before="60" w:after="60"/>
              <w:jc w:val="both"/>
              <w:rPr>
                <w:rFonts w:ascii="Arial" w:hAnsi="Arial" w:cs="Arial"/>
                <w:sz w:val="20"/>
                <w:szCs w:val="20"/>
              </w:rPr>
            </w:pPr>
            <w:r w:rsidRPr="000F40C5">
              <w:rPr>
                <w:rFonts w:ascii="Arial" w:hAnsi="Arial" w:cs="Arial"/>
                <w:sz w:val="20"/>
                <w:szCs w:val="20"/>
              </w:rPr>
              <w:t>Awareness raising activities, development of educational materials, engagement of stakeholders, and other activities involving the public which relate to the POW could be reported in Section V (</w:t>
            </w:r>
            <w:r w:rsidRPr="000F40C5">
              <w:rPr>
                <w:rFonts w:ascii="Arial" w:hAnsi="Arial" w:cs="Arial"/>
                <w:i/>
                <w:iCs/>
                <w:sz w:val="20"/>
                <w:szCs w:val="20"/>
              </w:rPr>
              <w:t>Awareness</w:t>
            </w:r>
            <w:r w:rsidRPr="000F40C5">
              <w:rPr>
                <w:rFonts w:ascii="Arial" w:hAnsi="Arial" w:cs="Arial"/>
                <w:sz w:val="20"/>
                <w:szCs w:val="20"/>
              </w:rPr>
              <w:t xml:space="preserve">). Any research, </w:t>
            </w:r>
            <w:r w:rsidR="00DE0A1B" w:rsidRPr="000F40C5">
              <w:rPr>
                <w:rFonts w:ascii="Arial" w:hAnsi="Arial" w:cs="Arial"/>
                <w:sz w:val="20"/>
                <w:szCs w:val="20"/>
              </w:rPr>
              <w:t>funding, capacity</w:t>
            </w:r>
            <w:r w:rsidRPr="000F40C5">
              <w:rPr>
                <w:rFonts w:ascii="Arial" w:hAnsi="Arial" w:cs="Arial"/>
                <w:sz w:val="20"/>
                <w:szCs w:val="20"/>
              </w:rPr>
              <w:t xml:space="preserve"> building and promotion thereof could be reported in Section XVIII (</w:t>
            </w:r>
            <w:r w:rsidRPr="000F40C5">
              <w:rPr>
                <w:rFonts w:ascii="Arial" w:hAnsi="Arial" w:cs="Arial"/>
                <w:i/>
                <w:iCs/>
                <w:sz w:val="20"/>
                <w:szCs w:val="20"/>
              </w:rPr>
              <w:t>Knowledge, Data and Capacity-Building</w:t>
            </w:r>
            <w:r w:rsidRPr="000F40C5">
              <w:rPr>
                <w:rFonts w:ascii="Arial" w:hAnsi="Arial" w:cs="Arial"/>
                <w:sz w:val="20"/>
                <w:szCs w:val="20"/>
              </w:rPr>
              <w:t>) and Section XIX (</w:t>
            </w:r>
            <w:r w:rsidRPr="000F40C5">
              <w:rPr>
                <w:rFonts w:ascii="Arial" w:hAnsi="Arial" w:cs="Arial"/>
                <w:i/>
                <w:iCs/>
                <w:sz w:val="20"/>
                <w:szCs w:val="20"/>
              </w:rPr>
              <w:t>Resource Mobilization</w:t>
            </w:r>
            <w:r w:rsidRPr="000F40C5">
              <w:rPr>
                <w:rFonts w:ascii="Arial" w:hAnsi="Arial" w:cs="Arial"/>
                <w:sz w:val="20"/>
                <w:szCs w:val="20"/>
              </w:rPr>
              <w:t>).</w:t>
            </w:r>
          </w:p>
        </w:tc>
      </w:tr>
      <w:tr w:rsidR="00483EBD" w:rsidRPr="000F40C5" w14:paraId="72D38610" w14:textId="77777777" w:rsidTr="00483EBD">
        <w:tc>
          <w:tcPr>
            <w:tcW w:w="3325" w:type="dxa"/>
          </w:tcPr>
          <w:p w14:paraId="11A80C64" w14:textId="19230482" w:rsidR="00483EBD" w:rsidRPr="000F40C5" w:rsidRDefault="00483EBD" w:rsidP="000F40C5">
            <w:pPr>
              <w:spacing w:before="60" w:after="60"/>
              <w:rPr>
                <w:rFonts w:ascii="Arial" w:hAnsi="Arial" w:cs="Arial"/>
                <w:sz w:val="20"/>
                <w:szCs w:val="20"/>
              </w:rPr>
            </w:pPr>
            <w:r w:rsidRPr="000F40C5">
              <w:rPr>
                <w:rFonts w:ascii="Arial" w:hAnsi="Arial" w:cs="Arial"/>
                <w:b/>
                <w:bCs/>
                <w:sz w:val="20"/>
                <w:szCs w:val="20"/>
              </w:rPr>
              <w:t>Cooperation and implementation</w:t>
            </w:r>
          </w:p>
        </w:tc>
        <w:tc>
          <w:tcPr>
            <w:tcW w:w="5742" w:type="dxa"/>
          </w:tcPr>
          <w:p w14:paraId="128E9A09" w14:textId="6DF307E9" w:rsidR="00483EBD" w:rsidRPr="000F40C5" w:rsidRDefault="00767D94" w:rsidP="000F40C5">
            <w:pPr>
              <w:spacing w:before="60" w:after="60"/>
              <w:jc w:val="both"/>
              <w:rPr>
                <w:rFonts w:ascii="Arial" w:hAnsi="Arial" w:cs="Arial"/>
                <w:sz w:val="20"/>
                <w:szCs w:val="20"/>
              </w:rPr>
            </w:pPr>
            <w:r w:rsidRPr="000F40C5">
              <w:rPr>
                <w:rFonts w:ascii="Arial" w:hAnsi="Arial" w:cs="Arial"/>
                <w:sz w:val="20"/>
                <w:szCs w:val="20"/>
              </w:rPr>
              <w:t>Coordination</w:t>
            </w:r>
            <w:r w:rsidR="00DE0A1B" w:rsidRPr="000F40C5">
              <w:rPr>
                <w:rFonts w:ascii="Arial" w:hAnsi="Arial" w:cs="Arial"/>
                <w:sz w:val="20"/>
                <w:szCs w:val="20"/>
              </w:rPr>
              <w:t>,</w:t>
            </w:r>
            <w:r w:rsidRPr="000F40C5">
              <w:rPr>
                <w:rFonts w:ascii="Arial" w:hAnsi="Arial" w:cs="Arial"/>
                <w:sz w:val="20"/>
                <w:szCs w:val="20"/>
              </w:rPr>
              <w:t xml:space="preserve"> and work</w:t>
            </w:r>
            <w:r w:rsidR="00621F16" w:rsidRPr="000F40C5">
              <w:rPr>
                <w:rFonts w:ascii="Arial" w:hAnsi="Arial" w:cs="Arial"/>
                <w:sz w:val="20"/>
                <w:szCs w:val="20"/>
              </w:rPr>
              <w:t xml:space="preserve"> between, as well as strengthening of synergies</w:t>
            </w:r>
            <w:r w:rsidRPr="000F40C5">
              <w:rPr>
                <w:rFonts w:ascii="Arial" w:hAnsi="Arial" w:cs="Arial"/>
                <w:sz w:val="20"/>
                <w:szCs w:val="20"/>
              </w:rPr>
              <w:t xml:space="preserve"> across </w:t>
            </w:r>
            <w:r w:rsidR="00621F16" w:rsidRPr="000F40C5">
              <w:rPr>
                <w:rFonts w:ascii="Arial" w:hAnsi="Arial" w:cs="Arial"/>
                <w:sz w:val="20"/>
                <w:szCs w:val="20"/>
              </w:rPr>
              <w:t xml:space="preserve">various </w:t>
            </w:r>
            <w:r w:rsidRPr="000F40C5">
              <w:rPr>
                <w:rFonts w:ascii="Arial" w:hAnsi="Arial" w:cs="Arial"/>
                <w:sz w:val="20"/>
                <w:szCs w:val="20"/>
              </w:rPr>
              <w:t>processes</w:t>
            </w:r>
            <w:r w:rsidR="00621F16" w:rsidRPr="000F40C5">
              <w:rPr>
                <w:rFonts w:ascii="Arial" w:hAnsi="Arial" w:cs="Arial"/>
                <w:sz w:val="20"/>
                <w:szCs w:val="20"/>
              </w:rPr>
              <w:t xml:space="preserve"> and agreements</w:t>
            </w:r>
            <w:r w:rsidRPr="000F40C5">
              <w:rPr>
                <w:rFonts w:ascii="Arial" w:hAnsi="Arial" w:cs="Arial"/>
                <w:sz w:val="20"/>
                <w:szCs w:val="20"/>
              </w:rPr>
              <w:t xml:space="preserve"> in response to the POW</w:t>
            </w:r>
            <w:r w:rsidR="00621F16" w:rsidRPr="000F40C5">
              <w:rPr>
                <w:rFonts w:ascii="Arial" w:hAnsi="Arial" w:cs="Arial"/>
                <w:sz w:val="20"/>
                <w:szCs w:val="20"/>
              </w:rPr>
              <w:t xml:space="preserve"> could be reported in Section XII (</w:t>
            </w:r>
            <w:r w:rsidR="00621F16" w:rsidRPr="000F40C5">
              <w:rPr>
                <w:rFonts w:ascii="Arial" w:hAnsi="Arial" w:cs="Arial"/>
                <w:i/>
                <w:iCs/>
                <w:sz w:val="20"/>
                <w:szCs w:val="20"/>
              </w:rPr>
              <w:t>Cooperating to Conserve Migration Systems</w:t>
            </w:r>
            <w:r w:rsidR="00621F16" w:rsidRPr="000F40C5">
              <w:rPr>
                <w:rFonts w:ascii="Arial" w:hAnsi="Arial" w:cs="Arial"/>
                <w:sz w:val="20"/>
                <w:szCs w:val="20"/>
              </w:rPr>
              <w:t>). Enabling legislative, administrative and other measures necessary for implementation of work related to the POW could be reported in Section VII (</w:t>
            </w:r>
            <w:r w:rsidR="00621F16" w:rsidRPr="000F40C5">
              <w:rPr>
                <w:rFonts w:ascii="Arial" w:hAnsi="Arial" w:cs="Arial"/>
                <w:i/>
                <w:iCs/>
                <w:sz w:val="20"/>
                <w:szCs w:val="20"/>
              </w:rPr>
              <w:t>Governance, Policy and Legislative Coherence</w:t>
            </w:r>
            <w:r w:rsidR="00621F16" w:rsidRPr="000F40C5">
              <w:rPr>
                <w:rFonts w:ascii="Arial" w:hAnsi="Arial" w:cs="Arial"/>
                <w:sz w:val="20"/>
                <w:szCs w:val="20"/>
              </w:rPr>
              <w:t xml:space="preserve">). Reportable information </w:t>
            </w:r>
            <w:r w:rsidR="00DE0A1B" w:rsidRPr="000F40C5">
              <w:rPr>
                <w:rFonts w:ascii="Arial" w:hAnsi="Arial" w:cs="Arial"/>
                <w:sz w:val="20"/>
                <w:szCs w:val="20"/>
              </w:rPr>
              <w:t>regarding</w:t>
            </w:r>
            <w:r w:rsidR="00621F16" w:rsidRPr="000F40C5">
              <w:rPr>
                <w:rFonts w:ascii="Arial" w:hAnsi="Arial" w:cs="Arial"/>
                <w:sz w:val="20"/>
                <w:szCs w:val="20"/>
              </w:rPr>
              <w:t xml:space="preserve"> National Biodiversity Strategies and Action Plans</w:t>
            </w:r>
            <w:r w:rsidR="00DE0A1B" w:rsidRPr="000F40C5">
              <w:rPr>
                <w:rFonts w:ascii="Arial" w:hAnsi="Arial" w:cs="Arial"/>
                <w:sz w:val="20"/>
                <w:szCs w:val="20"/>
              </w:rPr>
              <w:t xml:space="preserve"> (NBSAPs)</w:t>
            </w:r>
            <w:r w:rsidR="00621F16" w:rsidRPr="000F40C5">
              <w:rPr>
                <w:rFonts w:ascii="Arial" w:hAnsi="Arial" w:cs="Arial"/>
                <w:sz w:val="20"/>
                <w:szCs w:val="20"/>
              </w:rPr>
              <w:t xml:space="preserve"> and</w:t>
            </w:r>
            <w:r w:rsidR="00DE0A1B" w:rsidRPr="000F40C5">
              <w:rPr>
                <w:rFonts w:ascii="Arial" w:hAnsi="Arial" w:cs="Arial"/>
                <w:sz w:val="20"/>
                <w:szCs w:val="20"/>
              </w:rPr>
              <w:t xml:space="preserve"> any</w:t>
            </w:r>
            <w:r w:rsidR="00621F16" w:rsidRPr="000F40C5">
              <w:rPr>
                <w:rFonts w:ascii="Arial" w:hAnsi="Arial" w:cs="Arial"/>
                <w:sz w:val="20"/>
                <w:szCs w:val="20"/>
              </w:rPr>
              <w:t xml:space="preserve"> other relevant action plans and strategies could be provided in Section </w:t>
            </w:r>
            <w:r w:rsidR="00C45C3E" w:rsidRPr="000F40C5">
              <w:rPr>
                <w:rFonts w:ascii="Arial" w:hAnsi="Arial" w:cs="Arial"/>
                <w:sz w:val="20"/>
                <w:szCs w:val="20"/>
              </w:rPr>
              <w:t>XVI (</w:t>
            </w:r>
            <w:r w:rsidR="00C45C3E" w:rsidRPr="000F40C5">
              <w:rPr>
                <w:rFonts w:ascii="Arial" w:hAnsi="Arial" w:cs="Arial"/>
                <w:i/>
                <w:iCs/>
                <w:sz w:val="20"/>
                <w:szCs w:val="20"/>
              </w:rPr>
              <w:t>National Biodiversity Strategies and Action Plans</w:t>
            </w:r>
            <w:r w:rsidR="00C45C3E" w:rsidRPr="000F40C5">
              <w:rPr>
                <w:rFonts w:ascii="Arial" w:hAnsi="Arial" w:cs="Arial"/>
                <w:sz w:val="20"/>
                <w:szCs w:val="20"/>
              </w:rPr>
              <w:t>). Any forms of support</w:t>
            </w:r>
            <w:r w:rsidR="00DE0A1B" w:rsidRPr="000F40C5">
              <w:rPr>
                <w:rFonts w:ascii="Arial" w:hAnsi="Arial" w:cs="Arial"/>
                <w:sz w:val="20"/>
                <w:szCs w:val="20"/>
              </w:rPr>
              <w:t xml:space="preserve"> towards these efforts (</w:t>
            </w:r>
            <w:r w:rsidR="00C45C3E" w:rsidRPr="000F40C5">
              <w:rPr>
                <w:rFonts w:ascii="Arial" w:hAnsi="Arial" w:cs="Arial"/>
                <w:sz w:val="20"/>
                <w:szCs w:val="20"/>
              </w:rPr>
              <w:t>technical, advisory, or other</w:t>
            </w:r>
            <w:r w:rsidR="00DE0A1B" w:rsidRPr="000F40C5">
              <w:rPr>
                <w:rFonts w:ascii="Arial" w:hAnsi="Arial" w:cs="Arial"/>
                <w:sz w:val="20"/>
                <w:szCs w:val="20"/>
              </w:rPr>
              <w:t>)</w:t>
            </w:r>
            <w:r w:rsidR="00C45C3E" w:rsidRPr="000F40C5">
              <w:rPr>
                <w:rFonts w:ascii="Arial" w:hAnsi="Arial" w:cs="Arial"/>
                <w:sz w:val="20"/>
                <w:szCs w:val="20"/>
              </w:rPr>
              <w:t xml:space="preserve"> could be reported in Section XVIII (</w:t>
            </w:r>
            <w:r w:rsidR="00C45C3E" w:rsidRPr="000F40C5">
              <w:rPr>
                <w:rFonts w:ascii="Arial" w:hAnsi="Arial" w:cs="Arial"/>
                <w:i/>
                <w:iCs/>
                <w:sz w:val="20"/>
                <w:szCs w:val="20"/>
              </w:rPr>
              <w:t>Knowledge, Data and Capacity-Building</w:t>
            </w:r>
            <w:r w:rsidR="00C45C3E" w:rsidRPr="000F40C5">
              <w:rPr>
                <w:rFonts w:ascii="Arial" w:hAnsi="Arial" w:cs="Arial"/>
                <w:sz w:val="20"/>
                <w:szCs w:val="20"/>
              </w:rPr>
              <w:t>) and Section XIX (</w:t>
            </w:r>
            <w:r w:rsidR="00C45C3E" w:rsidRPr="000F40C5">
              <w:rPr>
                <w:rFonts w:ascii="Arial" w:hAnsi="Arial" w:cs="Arial"/>
                <w:i/>
                <w:iCs/>
                <w:sz w:val="20"/>
                <w:szCs w:val="20"/>
              </w:rPr>
              <w:t>Resource Mobilization</w:t>
            </w:r>
            <w:r w:rsidR="00C45C3E" w:rsidRPr="000F40C5">
              <w:rPr>
                <w:rFonts w:ascii="Arial" w:hAnsi="Arial" w:cs="Arial"/>
                <w:sz w:val="20"/>
                <w:szCs w:val="20"/>
              </w:rPr>
              <w:t>).</w:t>
            </w:r>
          </w:p>
        </w:tc>
      </w:tr>
      <w:tr w:rsidR="00CB6DF6" w:rsidRPr="000F40C5" w14:paraId="67C1F882" w14:textId="77777777" w:rsidTr="003F5D08">
        <w:tc>
          <w:tcPr>
            <w:tcW w:w="9067" w:type="dxa"/>
            <w:gridSpan w:val="2"/>
          </w:tcPr>
          <w:p w14:paraId="1BBAC91C" w14:textId="3BA335D4" w:rsidR="00CB6DF6" w:rsidRPr="000F40C5" w:rsidRDefault="00CB6DF6" w:rsidP="000F40C5">
            <w:pPr>
              <w:spacing w:before="60" w:after="60"/>
              <w:jc w:val="both"/>
              <w:rPr>
                <w:rFonts w:ascii="Arial" w:hAnsi="Arial" w:cs="Arial"/>
                <w:i/>
                <w:iCs/>
                <w:sz w:val="20"/>
                <w:szCs w:val="20"/>
              </w:rPr>
            </w:pPr>
            <w:r w:rsidRPr="000F40C5">
              <w:rPr>
                <w:rFonts w:ascii="Arial" w:hAnsi="Arial" w:cs="Arial"/>
                <w:b/>
                <w:bCs/>
                <w:i/>
                <w:iCs/>
                <w:sz w:val="20"/>
                <w:szCs w:val="20"/>
              </w:rPr>
              <w:t>Note:</w:t>
            </w:r>
            <w:r w:rsidRPr="000F40C5">
              <w:rPr>
                <w:rFonts w:ascii="Arial" w:hAnsi="Arial" w:cs="Arial"/>
                <w:i/>
                <w:iCs/>
                <w:sz w:val="20"/>
                <w:szCs w:val="20"/>
              </w:rPr>
              <w:t xml:space="preserve"> this is not an exhaustive description of how and where implementation, activities, and other aspects of the POW could be reported in the questionnaire. There are many such opportunities throughout the questionnaire where information related to the POW may be applicable.</w:t>
            </w:r>
          </w:p>
        </w:tc>
      </w:tr>
    </w:tbl>
    <w:p w14:paraId="2E952615" w14:textId="77777777" w:rsidR="00CB6DF6" w:rsidRPr="00AC56DD" w:rsidRDefault="00CB6DF6" w:rsidP="000F40C5">
      <w:pPr>
        <w:spacing w:after="0" w:line="240" w:lineRule="auto"/>
        <w:rPr>
          <w:rFonts w:ascii="Arial" w:hAnsi="Arial" w:cs="Arial"/>
        </w:rPr>
      </w:pPr>
    </w:p>
    <w:sectPr w:rsidR="00CB6DF6" w:rsidRPr="00AC56DD" w:rsidSect="000F40C5">
      <w:headerReference w:type="even" r:id="rId9"/>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C26E6" w14:textId="77777777" w:rsidR="000F40C5" w:rsidRDefault="000F40C5" w:rsidP="000F40C5">
      <w:pPr>
        <w:spacing w:after="0" w:line="240" w:lineRule="auto"/>
      </w:pPr>
      <w:r>
        <w:separator/>
      </w:r>
    </w:p>
  </w:endnote>
  <w:endnote w:type="continuationSeparator" w:id="0">
    <w:p w14:paraId="3D3592A3" w14:textId="77777777" w:rsidR="000F40C5" w:rsidRDefault="000F40C5" w:rsidP="000F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5497321"/>
      <w:docPartObj>
        <w:docPartGallery w:val="Page Numbers (Bottom of Page)"/>
        <w:docPartUnique/>
      </w:docPartObj>
    </w:sdtPr>
    <w:sdtEndPr>
      <w:rPr>
        <w:rFonts w:ascii="Arial" w:hAnsi="Arial" w:cs="Arial"/>
        <w:noProof/>
        <w:sz w:val="18"/>
        <w:szCs w:val="18"/>
      </w:rPr>
    </w:sdtEndPr>
    <w:sdtContent>
      <w:p w14:paraId="7282FFB4" w14:textId="476BC896" w:rsidR="000F40C5" w:rsidRPr="000F40C5" w:rsidRDefault="000F40C5">
        <w:pPr>
          <w:pStyle w:val="Footer"/>
          <w:jc w:val="center"/>
          <w:rPr>
            <w:rFonts w:ascii="Arial" w:hAnsi="Arial" w:cs="Arial"/>
            <w:sz w:val="18"/>
            <w:szCs w:val="18"/>
          </w:rPr>
        </w:pPr>
        <w:r w:rsidRPr="000F40C5">
          <w:rPr>
            <w:rFonts w:ascii="Arial" w:hAnsi="Arial" w:cs="Arial"/>
            <w:sz w:val="18"/>
            <w:szCs w:val="18"/>
          </w:rPr>
          <w:fldChar w:fldCharType="begin"/>
        </w:r>
        <w:r w:rsidRPr="000F40C5">
          <w:rPr>
            <w:rFonts w:ascii="Arial" w:hAnsi="Arial" w:cs="Arial"/>
            <w:sz w:val="18"/>
            <w:szCs w:val="18"/>
          </w:rPr>
          <w:instrText xml:space="preserve"> PAGE   \* MERGEFORMAT </w:instrText>
        </w:r>
        <w:r w:rsidRPr="000F40C5">
          <w:rPr>
            <w:rFonts w:ascii="Arial" w:hAnsi="Arial" w:cs="Arial"/>
            <w:sz w:val="18"/>
            <w:szCs w:val="18"/>
          </w:rPr>
          <w:fldChar w:fldCharType="separate"/>
        </w:r>
        <w:r w:rsidRPr="000F40C5">
          <w:rPr>
            <w:rFonts w:ascii="Arial" w:hAnsi="Arial" w:cs="Arial"/>
            <w:noProof/>
            <w:sz w:val="18"/>
            <w:szCs w:val="18"/>
          </w:rPr>
          <w:t>2</w:t>
        </w:r>
        <w:r w:rsidRPr="000F40C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517295"/>
      <w:docPartObj>
        <w:docPartGallery w:val="Page Numbers (Bottom of Page)"/>
        <w:docPartUnique/>
      </w:docPartObj>
    </w:sdtPr>
    <w:sdtEndPr>
      <w:rPr>
        <w:rFonts w:ascii="Arial" w:hAnsi="Arial" w:cs="Arial"/>
        <w:noProof/>
        <w:sz w:val="18"/>
        <w:szCs w:val="18"/>
      </w:rPr>
    </w:sdtEndPr>
    <w:sdtContent>
      <w:p w14:paraId="3AE2D94D" w14:textId="2CC98F3B" w:rsidR="000F40C5" w:rsidRPr="000F40C5" w:rsidRDefault="000F40C5">
        <w:pPr>
          <w:pStyle w:val="Footer"/>
          <w:jc w:val="center"/>
          <w:rPr>
            <w:rFonts w:ascii="Arial" w:hAnsi="Arial" w:cs="Arial"/>
            <w:sz w:val="18"/>
            <w:szCs w:val="18"/>
          </w:rPr>
        </w:pPr>
        <w:r w:rsidRPr="000F40C5">
          <w:rPr>
            <w:rFonts w:ascii="Arial" w:hAnsi="Arial" w:cs="Arial"/>
            <w:sz w:val="18"/>
            <w:szCs w:val="18"/>
          </w:rPr>
          <w:fldChar w:fldCharType="begin"/>
        </w:r>
        <w:r w:rsidRPr="000F40C5">
          <w:rPr>
            <w:rFonts w:ascii="Arial" w:hAnsi="Arial" w:cs="Arial"/>
            <w:sz w:val="18"/>
            <w:szCs w:val="18"/>
          </w:rPr>
          <w:instrText xml:space="preserve"> PAGE   \* MERGEFORMAT </w:instrText>
        </w:r>
        <w:r w:rsidRPr="000F40C5">
          <w:rPr>
            <w:rFonts w:ascii="Arial" w:hAnsi="Arial" w:cs="Arial"/>
            <w:sz w:val="18"/>
            <w:szCs w:val="18"/>
          </w:rPr>
          <w:fldChar w:fldCharType="separate"/>
        </w:r>
        <w:r w:rsidRPr="000F40C5">
          <w:rPr>
            <w:rFonts w:ascii="Arial" w:hAnsi="Arial" w:cs="Arial"/>
            <w:noProof/>
            <w:sz w:val="18"/>
            <w:szCs w:val="18"/>
          </w:rPr>
          <w:t>2</w:t>
        </w:r>
        <w:r w:rsidRPr="000F40C5">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FCB89" w14:textId="77777777" w:rsidR="000F40C5" w:rsidRDefault="000F40C5" w:rsidP="000F40C5">
      <w:pPr>
        <w:spacing w:after="0" w:line="240" w:lineRule="auto"/>
      </w:pPr>
      <w:r>
        <w:separator/>
      </w:r>
    </w:p>
  </w:footnote>
  <w:footnote w:type="continuationSeparator" w:id="0">
    <w:p w14:paraId="01A53820" w14:textId="77777777" w:rsidR="000F40C5" w:rsidRDefault="000F40C5" w:rsidP="000F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10662" w14:textId="49370CF0" w:rsidR="000F40C5" w:rsidRPr="000F40C5" w:rsidRDefault="000F40C5" w:rsidP="000F40C5">
    <w:pPr>
      <w:pBdr>
        <w:bottom w:val="single" w:sz="4" w:space="1" w:color="auto"/>
      </w:pBdr>
      <w:spacing w:before="80"/>
      <w:rPr>
        <w:rFonts w:ascii="Arial" w:hAnsi="Arial" w:cs="Arial"/>
        <w:i/>
        <w:iCs/>
        <w:sz w:val="18"/>
        <w:szCs w:val="18"/>
        <w:lang w:val="en-GB"/>
      </w:rPr>
    </w:pPr>
    <w:r w:rsidRPr="000F40C5">
      <w:rPr>
        <w:rFonts w:ascii="Arial" w:hAnsi="Arial" w:cs="Arial"/>
        <w:i/>
        <w:iCs/>
        <w:sz w:val="18"/>
        <w:szCs w:val="18"/>
        <w:lang w:val="en-GB"/>
      </w:rPr>
      <w:t xml:space="preserve">UNEP/CMS/StC52/Doc.11/Annex </w:t>
    </w:r>
    <w:r>
      <w:rPr>
        <w:rFonts w:ascii="Arial" w:hAnsi="Arial" w:cs="Arial"/>
        <w:i/>
        <w:iCs/>
        <w:sz w:val="18"/>
        <w:szCs w:val="18"/>
        <w:lang w:val="en-GB"/>
      </w:rPr>
      <w:t>3</w:t>
    </w:r>
  </w:p>
  <w:p w14:paraId="0A1A1678" w14:textId="77777777" w:rsidR="000F40C5" w:rsidRPr="000F40C5" w:rsidRDefault="000F40C5">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FD5E8" w14:textId="71D2AAC6" w:rsidR="000F40C5" w:rsidRPr="000F40C5" w:rsidRDefault="000F40C5" w:rsidP="000F40C5">
    <w:pPr>
      <w:pBdr>
        <w:bottom w:val="single" w:sz="4" w:space="1" w:color="auto"/>
      </w:pBdr>
      <w:spacing w:before="80"/>
      <w:jc w:val="right"/>
      <w:rPr>
        <w:rFonts w:ascii="Arial" w:hAnsi="Arial" w:cs="Arial"/>
        <w:i/>
        <w:iCs/>
        <w:sz w:val="18"/>
        <w:szCs w:val="18"/>
        <w:lang w:val="en-GB"/>
      </w:rPr>
    </w:pPr>
    <w:r w:rsidRPr="000F40C5">
      <w:rPr>
        <w:rFonts w:ascii="Arial" w:hAnsi="Arial" w:cs="Arial"/>
        <w:i/>
        <w:iCs/>
        <w:sz w:val="18"/>
        <w:szCs w:val="18"/>
        <w:lang w:val="en-GB"/>
      </w:rPr>
      <w:t xml:space="preserve">UNEP/CMS/StC52/Doc.11/Annex </w:t>
    </w:r>
    <w:r>
      <w:rPr>
        <w:rFonts w:ascii="Arial" w:hAnsi="Arial" w:cs="Arial"/>
        <w:i/>
        <w:iCs/>
        <w:sz w:val="18"/>
        <w:szCs w:val="18"/>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B5"/>
    <w:rsid w:val="00004A62"/>
    <w:rsid w:val="00052AE7"/>
    <w:rsid w:val="000C5AB5"/>
    <w:rsid w:val="000F40C5"/>
    <w:rsid w:val="00296D38"/>
    <w:rsid w:val="003512D6"/>
    <w:rsid w:val="003C15D8"/>
    <w:rsid w:val="003D17F4"/>
    <w:rsid w:val="00412867"/>
    <w:rsid w:val="004735B4"/>
    <w:rsid w:val="00483EBD"/>
    <w:rsid w:val="004A0D2B"/>
    <w:rsid w:val="004A305C"/>
    <w:rsid w:val="00544ACB"/>
    <w:rsid w:val="00552074"/>
    <w:rsid w:val="00562181"/>
    <w:rsid w:val="005870BE"/>
    <w:rsid w:val="005916B5"/>
    <w:rsid w:val="00621F16"/>
    <w:rsid w:val="00622270"/>
    <w:rsid w:val="00624CF2"/>
    <w:rsid w:val="00661EB1"/>
    <w:rsid w:val="00673B68"/>
    <w:rsid w:val="006A4B0A"/>
    <w:rsid w:val="00750033"/>
    <w:rsid w:val="00767D94"/>
    <w:rsid w:val="00771FF1"/>
    <w:rsid w:val="00786F7E"/>
    <w:rsid w:val="007C708C"/>
    <w:rsid w:val="007E0F34"/>
    <w:rsid w:val="007E2935"/>
    <w:rsid w:val="00945A25"/>
    <w:rsid w:val="00973CA7"/>
    <w:rsid w:val="009A76FD"/>
    <w:rsid w:val="009D1A30"/>
    <w:rsid w:val="009F467B"/>
    <w:rsid w:val="00A05E29"/>
    <w:rsid w:val="00A22A61"/>
    <w:rsid w:val="00A94B98"/>
    <w:rsid w:val="00AC56DD"/>
    <w:rsid w:val="00B64EDE"/>
    <w:rsid w:val="00BA779D"/>
    <w:rsid w:val="00BC6EFD"/>
    <w:rsid w:val="00BD028D"/>
    <w:rsid w:val="00C30896"/>
    <w:rsid w:val="00C45C3E"/>
    <w:rsid w:val="00CA602A"/>
    <w:rsid w:val="00CB6DF6"/>
    <w:rsid w:val="00CC6951"/>
    <w:rsid w:val="00CE64C2"/>
    <w:rsid w:val="00D2055D"/>
    <w:rsid w:val="00D30E01"/>
    <w:rsid w:val="00D64CA1"/>
    <w:rsid w:val="00D9350D"/>
    <w:rsid w:val="00DC6A2D"/>
    <w:rsid w:val="00DE0A1B"/>
    <w:rsid w:val="00E537BC"/>
    <w:rsid w:val="00EE2E44"/>
    <w:rsid w:val="00F143B0"/>
    <w:rsid w:val="00F65D0C"/>
    <w:rsid w:val="00F82400"/>
    <w:rsid w:val="00F82AA7"/>
    <w:rsid w:val="00FB13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2BC9"/>
  <w15:chartTrackingRefBased/>
  <w15:docId w15:val="{6537ED95-BFC0-4A02-9F23-C9CF42E0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16B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CF2"/>
    <w:rPr>
      <w:color w:val="0563C1" w:themeColor="hyperlink"/>
      <w:u w:val="single"/>
    </w:rPr>
  </w:style>
  <w:style w:type="character" w:styleId="UnresolvedMention">
    <w:name w:val="Unresolved Mention"/>
    <w:basedOn w:val="DefaultParagraphFont"/>
    <w:uiPriority w:val="99"/>
    <w:semiHidden/>
    <w:unhideWhenUsed/>
    <w:rsid w:val="00624CF2"/>
    <w:rPr>
      <w:color w:val="605E5C"/>
      <w:shd w:val="clear" w:color="auto" w:fill="E1DFDD"/>
    </w:rPr>
  </w:style>
  <w:style w:type="character" w:styleId="CommentReference">
    <w:name w:val="annotation reference"/>
    <w:basedOn w:val="DefaultParagraphFont"/>
    <w:uiPriority w:val="99"/>
    <w:semiHidden/>
    <w:unhideWhenUsed/>
    <w:rsid w:val="00767D94"/>
    <w:rPr>
      <w:sz w:val="16"/>
      <w:szCs w:val="16"/>
    </w:rPr>
  </w:style>
  <w:style w:type="paragraph" w:styleId="CommentText">
    <w:name w:val="annotation text"/>
    <w:basedOn w:val="Normal"/>
    <w:link w:val="CommentTextChar"/>
    <w:uiPriority w:val="99"/>
    <w:semiHidden/>
    <w:unhideWhenUsed/>
    <w:rsid w:val="00767D94"/>
    <w:pPr>
      <w:spacing w:line="240" w:lineRule="auto"/>
    </w:pPr>
    <w:rPr>
      <w:sz w:val="20"/>
      <w:szCs w:val="20"/>
    </w:rPr>
  </w:style>
  <w:style w:type="character" w:customStyle="1" w:styleId="CommentTextChar">
    <w:name w:val="Comment Text Char"/>
    <w:basedOn w:val="DefaultParagraphFont"/>
    <w:link w:val="CommentText"/>
    <w:uiPriority w:val="99"/>
    <w:semiHidden/>
    <w:rsid w:val="00767D94"/>
    <w:rPr>
      <w:sz w:val="20"/>
      <w:szCs w:val="20"/>
    </w:rPr>
  </w:style>
  <w:style w:type="paragraph" w:styleId="CommentSubject">
    <w:name w:val="annotation subject"/>
    <w:basedOn w:val="CommentText"/>
    <w:next w:val="CommentText"/>
    <w:link w:val="CommentSubjectChar"/>
    <w:uiPriority w:val="99"/>
    <w:semiHidden/>
    <w:unhideWhenUsed/>
    <w:rsid w:val="00767D94"/>
    <w:rPr>
      <w:b/>
      <w:bCs/>
    </w:rPr>
  </w:style>
  <w:style w:type="character" w:customStyle="1" w:styleId="CommentSubjectChar">
    <w:name w:val="Comment Subject Char"/>
    <w:basedOn w:val="CommentTextChar"/>
    <w:link w:val="CommentSubject"/>
    <w:uiPriority w:val="99"/>
    <w:semiHidden/>
    <w:rsid w:val="00767D94"/>
    <w:rPr>
      <w:b/>
      <w:bCs/>
      <w:sz w:val="20"/>
      <w:szCs w:val="20"/>
    </w:rPr>
  </w:style>
  <w:style w:type="paragraph" w:styleId="BalloonText">
    <w:name w:val="Balloon Text"/>
    <w:basedOn w:val="Normal"/>
    <w:link w:val="BalloonTextChar"/>
    <w:uiPriority w:val="99"/>
    <w:semiHidden/>
    <w:unhideWhenUsed/>
    <w:rsid w:val="00622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70"/>
    <w:rPr>
      <w:rFonts w:ascii="Segoe UI" w:hAnsi="Segoe UI" w:cs="Segoe UI"/>
      <w:sz w:val="18"/>
      <w:szCs w:val="18"/>
    </w:rPr>
  </w:style>
  <w:style w:type="paragraph" w:styleId="Header">
    <w:name w:val="header"/>
    <w:basedOn w:val="Normal"/>
    <w:link w:val="HeaderChar"/>
    <w:uiPriority w:val="99"/>
    <w:unhideWhenUsed/>
    <w:rsid w:val="000F4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0C5"/>
  </w:style>
  <w:style w:type="paragraph" w:styleId="Footer">
    <w:name w:val="footer"/>
    <w:basedOn w:val="Normal"/>
    <w:link w:val="FooterChar"/>
    <w:uiPriority w:val="99"/>
    <w:unhideWhenUsed/>
    <w:rsid w:val="000F4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int/en/page/decisions-13126-13128-climate-change-and-migratory-spe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int/en/document/programme-work-climate-change-and-migratory-species-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29754-C8C3-47AB-B943-B19F8303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Piro</dc:creator>
  <cp:keywords/>
  <dc:description/>
  <cp:lastModifiedBy>Catherine Brueckner</cp:lastModifiedBy>
  <cp:revision>3</cp:revision>
  <dcterms:created xsi:type="dcterms:W3CDTF">2021-08-10T10:33:00Z</dcterms:created>
  <dcterms:modified xsi:type="dcterms:W3CDTF">2021-08-16T07:44:00Z</dcterms:modified>
</cp:coreProperties>
</file>