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540" w:type="dxa"/>
        <w:tblBorders>
          <w:bottom w:val="single" w:sz="12" w:space="0" w:color="auto"/>
          <w:insideH w:val="single" w:sz="12" w:space="0" w:color="auto"/>
        </w:tblBorders>
        <w:tblLayout w:type="fixed"/>
        <w:tblCellMar>
          <w:top w:w="198" w:type="dxa"/>
        </w:tblCellMar>
        <w:tblLook w:val="0000" w:firstRow="0" w:lastRow="0" w:firstColumn="0" w:lastColumn="0" w:noHBand="0" w:noVBand="0"/>
      </w:tblPr>
      <w:tblGrid>
        <w:gridCol w:w="1441"/>
        <w:gridCol w:w="4340"/>
        <w:gridCol w:w="3759"/>
      </w:tblGrid>
      <w:tr w:rsidR="00E966DE" w:rsidRPr="00FD56E6" w14:paraId="38D2A3B3" w14:textId="77777777" w:rsidTr="008C7BF0">
        <w:trPr>
          <w:cantSplit/>
          <w:trHeight w:val="753"/>
        </w:trPr>
        <w:tc>
          <w:tcPr>
            <w:tcW w:w="9540" w:type="dxa"/>
            <w:gridSpan w:val="3"/>
            <w:tcBorders>
              <w:bottom w:val="single" w:sz="4" w:space="0" w:color="auto"/>
            </w:tcBorders>
            <w:tcMar>
              <w:top w:w="85" w:type="dxa"/>
            </w:tcMar>
          </w:tcPr>
          <w:p w14:paraId="3CB9A3EE" w14:textId="77777777" w:rsidR="00E966DE" w:rsidRPr="00FD56E6" w:rsidRDefault="00E966DE" w:rsidP="009750BD">
            <w:pPr>
              <w:tabs>
                <w:tab w:val="left" w:pos="-1057"/>
                <w:tab w:val="left" w:pos="-720"/>
                <w:tab w:val="left" w:pos="0"/>
                <w:tab w:val="left" w:pos="141"/>
                <w:tab w:val="left" w:pos="720"/>
                <w:tab w:val="right" w:pos="8955"/>
              </w:tabs>
              <w:jc w:val="both"/>
              <w:rPr>
                <w:lang w:val="en-GB"/>
              </w:rPr>
            </w:pPr>
            <w:r>
              <w:rPr>
                <w:noProof/>
              </w:rPr>
              <w:drawing>
                <wp:anchor distT="0" distB="0" distL="114300" distR="114300" simplePos="0" relativeHeight="251661312" behindDoc="1" locked="0" layoutInCell="1" allowOverlap="1" wp14:anchorId="7A9E7FA8" wp14:editId="2D9445F8">
                  <wp:simplePos x="0" y="0"/>
                  <wp:positionH relativeFrom="column">
                    <wp:posOffset>-50800</wp:posOffset>
                  </wp:positionH>
                  <wp:positionV relativeFrom="paragraph">
                    <wp:posOffset>188595</wp:posOffset>
                  </wp:positionV>
                  <wp:extent cx="636270" cy="466725"/>
                  <wp:effectExtent l="0" t="0" r="0" b="9525"/>
                  <wp:wrapTight wrapText="bothSides">
                    <wp:wrapPolygon edited="0">
                      <wp:start x="0" y="0"/>
                      <wp:lineTo x="0" y="21159"/>
                      <wp:lineTo x="20695" y="21159"/>
                      <wp:lineTo x="206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99" b="11667"/>
                          <a:stretch/>
                        </pic:blipFill>
                        <pic:spPr bwMode="auto">
                          <a:xfrm>
                            <a:off x="0" y="0"/>
                            <a:ext cx="63627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13E">
              <w:rPr>
                <w:noProof/>
              </w:rPr>
              <w:drawing>
                <wp:anchor distT="0" distB="0" distL="114300" distR="114300" simplePos="0" relativeHeight="251660288" behindDoc="0" locked="0" layoutInCell="1" allowOverlap="1" wp14:anchorId="2C4D1156" wp14:editId="239EECB5">
                  <wp:simplePos x="0" y="0"/>
                  <wp:positionH relativeFrom="column">
                    <wp:posOffset>654685</wp:posOffset>
                  </wp:positionH>
                  <wp:positionV relativeFrom="paragraph">
                    <wp:posOffset>207645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66DE" w:rsidRPr="008C7BF0" w14:paraId="2D85A1D7" w14:textId="77777777" w:rsidTr="008C7BF0">
        <w:trPr>
          <w:trHeight w:val="1375"/>
        </w:trPr>
        <w:tc>
          <w:tcPr>
            <w:tcW w:w="1441" w:type="dxa"/>
            <w:tcBorders>
              <w:top w:val="single" w:sz="4" w:space="0" w:color="auto"/>
              <w:bottom w:val="single" w:sz="4" w:space="0" w:color="auto"/>
            </w:tcBorders>
            <w:tcMar>
              <w:top w:w="85" w:type="dxa"/>
            </w:tcMar>
          </w:tcPr>
          <w:p w14:paraId="03DED363" w14:textId="77777777" w:rsidR="00E966DE" w:rsidRPr="00FD56E6" w:rsidRDefault="00E966DE" w:rsidP="009750BD">
            <w:pPr>
              <w:jc w:val="both"/>
              <w:rPr>
                <w:lang w:val="en-GB"/>
              </w:rPr>
            </w:pPr>
            <w:r>
              <w:rPr>
                <w:noProof/>
              </w:rPr>
              <w:drawing>
                <wp:anchor distT="0" distB="0" distL="114300" distR="114300" simplePos="0" relativeHeight="251659264" behindDoc="0" locked="0" layoutInCell="1" allowOverlap="1" wp14:anchorId="22EB94C7" wp14:editId="3B4BC58E">
                  <wp:simplePos x="0" y="0"/>
                  <wp:positionH relativeFrom="column">
                    <wp:posOffset>7620</wp:posOffset>
                  </wp:positionH>
                  <wp:positionV relativeFrom="paragraph">
                    <wp:posOffset>-15463</wp:posOffset>
                  </wp:positionV>
                  <wp:extent cx="989330" cy="84477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7097" t="4031" r="6290" b="3818"/>
                          <a:stretch>
                            <a:fillRect/>
                          </a:stretch>
                        </pic:blipFill>
                        <pic:spPr bwMode="auto">
                          <a:xfrm>
                            <a:off x="0" y="0"/>
                            <a:ext cx="989852" cy="8452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40" w:type="dxa"/>
            <w:tcBorders>
              <w:top w:val="single" w:sz="4" w:space="0" w:color="auto"/>
              <w:bottom w:val="single" w:sz="4" w:space="0" w:color="auto"/>
            </w:tcBorders>
            <w:tcMar>
              <w:top w:w="85" w:type="dxa"/>
            </w:tcMar>
          </w:tcPr>
          <w:p w14:paraId="166029C6" w14:textId="77777777" w:rsidR="00E966DE" w:rsidRPr="0081661F" w:rsidRDefault="00E966DE" w:rsidP="009750BD">
            <w:pPr>
              <w:spacing w:before="40"/>
              <w:ind w:left="274"/>
              <w:rPr>
                <w:rFonts w:ascii="Arial" w:hAnsi="Arial" w:cs="Arial"/>
                <w:b/>
                <w:bCs/>
                <w:sz w:val="10"/>
                <w:szCs w:val="10"/>
                <w:lang w:val="es-ES"/>
              </w:rPr>
            </w:pPr>
          </w:p>
          <w:p w14:paraId="022F5C3D" w14:textId="77777777" w:rsidR="00E966DE" w:rsidRPr="00F73717" w:rsidRDefault="00E966DE" w:rsidP="009750BD">
            <w:pPr>
              <w:spacing w:before="40"/>
              <w:ind w:left="274"/>
              <w:rPr>
                <w:rFonts w:ascii="Arial" w:hAnsi="Arial" w:cs="Arial"/>
                <w:b/>
                <w:bCs/>
                <w:lang w:val="es-ES"/>
              </w:rPr>
            </w:pPr>
            <w:r w:rsidRPr="00F73717">
              <w:rPr>
                <w:rFonts w:ascii="Arial" w:hAnsi="Arial" w:cs="Arial"/>
                <w:b/>
                <w:bCs/>
                <w:lang w:val="es-ES"/>
              </w:rPr>
              <w:t>MEMORANDO DE ENTENDIMIENTO SOBRE LA CONSERVACI</w:t>
            </w:r>
            <w:r w:rsidRPr="009A5554">
              <w:rPr>
                <w:rFonts w:ascii="Arial" w:hAnsi="Arial" w:cs="Arial"/>
                <w:b/>
                <w:bCs/>
                <w:lang w:val="es-ES"/>
              </w:rPr>
              <w:t>Ó</w:t>
            </w:r>
            <w:r w:rsidRPr="00F73717">
              <w:rPr>
                <w:rFonts w:ascii="Arial" w:hAnsi="Arial" w:cs="Arial"/>
                <w:b/>
                <w:bCs/>
                <w:lang w:val="es-ES"/>
              </w:rPr>
              <w:t>N DE TIBURONES MIGRATORIOS</w:t>
            </w:r>
          </w:p>
        </w:tc>
        <w:tc>
          <w:tcPr>
            <w:tcW w:w="3759" w:type="dxa"/>
            <w:tcBorders>
              <w:top w:val="single" w:sz="4" w:space="0" w:color="auto"/>
              <w:bottom w:val="single" w:sz="4" w:space="0" w:color="auto"/>
            </w:tcBorders>
            <w:tcMar>
              <w:top w:w="85" w:type="dxa"/>
            </w:tcMar>
          </w:tcPr>
          <w:p w14:paraId="6DF23253" w14:textId="77777777" w:rsidR="00E966DE" w:rsidRPr="0081661F" w:rsidRDefault="00E966DE" w:rsidP="009750BD">
            <w:pPr>
              <w:spacing w:before="40" w:after="40"/>
              <w:rPr>
                <w:rFonts w:ascii="Arial" w:hAnsi="Arial" w:cs="Arial"/>
                <w:sz w:val="10"/>
                <w:szCs w:val="10"/>
                <w:lang w:val="es-ES"/>
              </w:rPr>
            </w:pPr>
          </w:p>
          <w:p w14:paraId="7F8193C2" w14:textId="0F70FF8F" w:rsidR="00E966DE" w:rsidRPr="008C7BF0" w:rsidRDefault="00E966DE" w:rsidP="008C7BF0">
            <w:pPr>
              <w:spacing w:before="40" w:after="40"/>
              <w:ind w:right="-450"/>
              <w:rPr>
                <w:rFonts w:ascii="Arial" w:hAnsi="Arial" w:cs="Arial"/>
              </w:rPr>
            </w:pPr>
            <w:r w:rsidRPr="008C7BF0">
              <w:rPr>
                <w:rFonts w:ascii="Arial" w:hAnsi="Arial" w:cs="Arial"/>
              </w:rPr>
              <w:t>CMS/Sharks/MOS4/Doc.</w:t>
            </w:r>
            <w:r w:rsidR="00FE1D65" w:rsidRPr="008C7BF0">
              <w:rPr>
                <w:rFonts w:ascii="Arial" w:hAnsi="Arial" w:cs="Arial"/>
              </w:rPr>
              <w:t>10.</w:t>
            </w:r>
            <w:r w:rsidR="00DA13B3" w:rsidRPr="008C7BF0">
              <w:rPr>
                <w:rFonts w:ascii="Arial" w:hAnsi="Arial" w:cs="Arial"/>
              </w:rPr>
              <w:t>2</w:t>
            </w:r>
            <w:r w:rsidR="008C7BF0" w:rsidRPr="00BD1922">
              <w:rPr>
                <w:rFonts w:ascii="Arial" w:hAnsi="Arial" w:cs="Arial"/>
                <w:u w:val="single"/>
              </w:rPr>
              <w:t>/Rev.1</w:t>
            </w:r>
          </w:p>
          <w:p w14:paraId="290E891E" w14:textId="7C59CEC9" w:rsidR="00E966DE" w:rsidRPr="00323517" w:rsidRDefault="00BD1922" w:rsidP="009750BD">
            <w:pPr>
              <w:spacing w:before="40" w:after="40"/>
              <w:rPr>
                <w:rFonts w:ascii="Arial" w:hAnsi="Arial" w:cs="Arial"/>
                <w:lang w:val="es-ES"/>
              </w:rPr>
            </w:pPr>
            <w:r>
              <w:rPr>
                <w:rFonts w:ascii="Arial" w:hAnsi="Arial" w:cs="Arial"/>
                <w:strike/>
                <w:lang w:val="es-ES"/>
              </w:rPr>
              <w:t xml:space="preserve">28 de noviembre 2022 </w:t>
            </w:r>
            <w:r w:rsidR="008C7BF0" w:rsidRPr="00BD1922">
              <w:rPr>
                <w:rFonts w:ascii="Arial" w:hAnsi="Arial" w:cs="Arial"/>
                <w:u w:val="single"/>
                <w:lang w:val="es-ES"/>
              </w:rPr>
              <w:t>1 de marzo</w:t>
            </w:r>
            <w:r w:rsidR="00FE1D65" w:rsidRPr="00BD1922">
              <w:rPr>
                <w:rFonts w:ascii="Arial" w:hAnsi="Arial" w:cs="Arial"/>
                <w:u w:val="single"/>
                <w:lang w:val="es-ES"/>
              </w:rPr>
              <w:t xml:space="preserve"> de</w:t>
            </w:r>
            <w:r w:rsidR="00E966DE" w:rsidRPr="00BD1922">
              <w:rPr>
                <w:rFonts w:ascii="Arial" w:hAnsi="Arial" w:cs="Arial"/>
                <w:u w:val="single"/>
                <w:lang w:val="es-ES"/>
              </w:rPr>
              <w:t xml:space="preserve"> 202</w:t>
            </w:r>
            <w:r w:rsidRPr="00BD1922">
              <w:rPr>
                <w:rFonts w:ascii="Arial" w:hAnsi="Arial" w:cs="Arial"/>
                <w:u w:val="single"/>
                <w:lang w:val="es-ES"/>
              </w:rPr>
              <w:t>3</w:t>
            </w:r>
          </w:p>
          <w:p w14:paraId="2DAEFF51" w14:textId="77777777" w:rsidR="00E966DE" w:rsidRPr="00E66323" w:rsidRDefault="00E966DE" w:rsidP="009750BD">
            <w:pPr>
              <w:spacing w:before="40" w:after="40"/>
              <w:rPr>
                <w:lang w:val="es-ES"/>
              </w:rPr>
            </w:pPr>
            <w:r w:rsidRPr="00F73871">
              <w:rPr>
                <w:rFonts w:ascii="Arial" w:hAnsi="Arial" w:cs="Arial"/>
                <w:lang w:val="es-ES"/>
              </w:rPr>
              <w:t xml:space="preserve">Original: </w:t>
            </w:r>
            <w:proofErr w:type="gramStart"/>
            <w:r w:rsidRPr="00F73871">
              <w:rPr>
                <w:rFonts w:ascii="Arial" w:hAnsi="Arial" w:cs="Arial"/>
                <w:lang w:val="es-ES"/>
              </w:rPr>
              <w:t>Inglés</w:t>
            </w:r>
            <w:proofErr w:type="gramEnd"/>
          </w:p>
        </w:tc>
      </w:tr>
    </w:tbl>
    <w:p w14:paraId="4E9B14C4" w14:textId="77777777" w:rsidR="00E966DE" w:rsidRPr="00E966DE" w:rsidRDefault="00E966DE" w:rsidP="00E966DE">
      <w:pPr>
        <w:widowControl w:val="0"/>
        <w:autoSpaceDE w:val="0"/>
        <w:autoSpaceDN w:val="0"/>
        <w:adjustRightInd w:val="0"/>
        <w:spacing w:before="40" w:after="0" w:line="240" w:lineRule="auto"/>
        <w:jc w:val="both"/>
        <w:rPr>
          <w:rFonts w:ascii="Arial" w:eastAsia="Times New Roman" w:hAnsi="Arial" w:cs="Arial"/>
          <w:spacing w:val="-4"/>
          <w:lang w:val="es-ES"/>
        </w:rPr>
      </w:pPr>
      <w:r w:rsidRPr="00E966DE">
        <w:rPr>
          <w:rFonts w:ascii="Arial" w:eastAsia="Times New Roman" w:hAnsi="Arial" w:cs="Arial"/>
          <w:spacing w:val="-4"/>
          <w:lang w:val="es-ES"/>
        </w:rPr>
        <w:t>4</w:t>
      </w:r>
      <w:r w:rsidRPr="00E966DE">
        <w:rPr>
          <w:rFonts w:ascii="Arial" w:eastAsia="Times New Roman" w:hAnsi="Arial" w:cs="Arial"/>
          <w:spacing w:val="-4"/>
          <w:vertAlign w:val="superscript"/>
          <w:lang w:val="es-ES"/>
        </w:rPr>
        <w:t xml:space="preserve">a </w:t>
      </w:r>
      <w:r w:rsidRPr="00E966DE">
        <w:rPr>
          <w:rFonts w:ascii="Arial" w:eastAsia="Times New Roman" w:hAnsi="Arial" w:cs="Arial"/>
          <w:spacing w:val="-4"/>
          <w:lang w:val="es-ES"/>
        </w:rPr>
        <w:t xml:space="preserve">Reunión de los Signatarios </w:t>
      </w:r>
    </w:p>
    <w:p w14:paraId="2E788E47"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iCs/>
          <w:lang w:val="es-ES"/>
        </w:rPr>
      </w:pPr>
      <w:r w:rsidRPr="00E966DE">
        <w:rPr>
          <w:rFonts w:ascii="Arial" w:eastAsia="Times New Roman" w:hAnsi="Arial" w:cs="Arial"/>
          <w:bCs/>
          <w:lang w:val="es-ES"/>
        </w:rPr>
        <w:t>Bonn,28 de febrero-2 de marzo 2023</w:t>
      </w:r>
    </w:p>
    <w:p w14:paraId="61F702EC" w14:textId="3F5AB1A9"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r w:rsidRPr="00E966DE">
        <w:rPr>
          <w:rFonts w:ascii="Arial" w:eastAsia="Times New Roman" w:hAnsi="Arial" w:cs="Arial"/>
          <w:bCs/>
          <w:lang w:val="es-ES"/>
        </w:rPr>
        <w:t xml:space="preserve">Orden del día </w:t>
      </w:r>
      <w:r w:rsidR="00FE1D65">
        <w:rPr>
          <w:rFonts w:ascii="Arial" w:eastAsia="Times New Roman" w:hAnsi="Arial" w:cs="Arial"/>
          <w:bCs/>
          <w:lang w:val="es-ES"/>
        </w:rPr>
        <w:t>10</w:t>
      </w:r>
    </w:p>
    <w:p w14:paraId="66D5FF68" w14:textId="3AB429D9"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2CB64758"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5C37FC5D" w14:textId="28A7395A" w:rsidR="00E966DE" w:rsidRDefault="008C7BF0" w:rsidP="008C7BF0">
      <w:pPr>
        <w:widowControl w:val="0"/>
        <w:autoSpaceDE w:val="0"/>
        <w:autoSpaceDN w:val="0"/>
        <w:adjustRightInd w:val="0"/>
        <w:spacing w:after="0" w:line="240" w:lineRule="auto"/>
        <w:jc w:val="center"/>
        <w:rPr>
          <w:rFonts w:ascii="Arial" w:eastAsia="Times New Roman" w:hAnsi="Arial" w:cs="Arial"/>
          <w:b/>
          <w:bCs/>
          <w:color w:val="FF0000"/>
          <w:u w:val="single"/>
          <w:lang w:val="es-ES"/>
        </w:rPr>
      </w:pPr>
      <w:r w:rsidRPr="008C7BF0">
        <w:rPr>
          <w:rFonts w:ascii="Arial" w:eastAsia="Times New Roman" w:hAnsi="Arial" w:cs="Arial"/>
          <w:b/>
          <w:bCs/>
          <w:color w:val="FF0000"/>
          <w:u w:val="single"/>
          <w:lang w:val="es-ES"/>
        </w:rPr>
        <w:t>Según lo revisado en la MOS4</w:t>
      </w:r>
    </w:p>
    <w:p w14:paraId="324FF2CF" w14:textId="77777777" w:rsidR="008C7BF0" w:rsidRPr="008C7BF0" w:rsidRDefault="008C7BF0" w:rsidP="008C7BF0">
      <w:pPr>
        <w:widowControl w:val="0"/>
        <w:autoSpaceDE w:val="0"/>
        <w:autoSpaceDN w:val="0"/>
        <w:adjustRightInd w:val="0"/>
        <w:spacing w:after="0" w:line="240" w:lineRule="auto"/>
        <w:jc w:val="center"/>
        <w:rPr>
          <w:rFonts w:ascii="Arial" w:eastAsia="Times New Roman" w:hAnsi="Arial" w:cs="Arial"/>
          <w:b/>
          <w:bCs/>
          <w:color w:val="FF0000"/>
          <w:u w:val="single"/>
          <w:lang w:val="es-ES"/>
        </w:rPr>
      </w:pPr>
    </w:p>
    <w:p w14:paraId="0DA3934C"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
          <w:bCs/>
          <w:lang w:val="es-ES"/>
        </w:rPr>
      </w:pPr>
      <w:r w:rsidRPr="00FE1D65">
        <w:rPr>
          <w:rFonts w:ascii="Arial" w:eastAsia="Times New Roman" w:hAnsi="Arial" w:cs="Arial"/>
          <w:b/>
          <w:bCs/>
          <w:lang w:val="es-ES"/>
        </w:rPr>
        <w:t xml:space="preserve">DESARROLLO DE UNA </w:t>
      </w:r>
    </w:p>
    <w:p w14:paraId="5756856D"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
          <w:bCs/>
          <w:lang w:val="es-ES"/>
        </w:rPr>
      </w:pPr>
      <w:r w:rsidRPr="00FE1D65">
        <w:rPr>
          <w:rFonts w:ascii="Arial" w:eastAsia="Times New Roman" w:hAnsi="Arial" w:cs="Arial"/>
          <w:b/>
          <w:bCs/>
          <w:lang w:val="es-ES"/>
        </w:rPr>
        <w:t>ESTRATEGIA DE CONSERVACIÓN Y PLANES DE ACCIÓN</w:t>
      </w:r>
    </w:p>
    <w:p w14:paraId="2D4996FE" w14:textId="7E148C71" w:rsidR="00FE1D65" w:rsidRPr="00FE1D65" w:rsidRDefault="00FE1D65" w:rsidP="00FE1D65">
      <w:pPr>
        <w:widowControl w:val="0"/>
        <w:autoSpaceDE w:val="0"/>
        <w:autoSpaceDN w:val="0"/>
        <w:adjustRightInd w:val="0"/>
        <w:spacing w:after="120" w:line="240" w:lineRule="auto"/>
        <w:ind w:right="259"/>
        <w:jc w:val="center"/>
        <w:rPr>
          <w:rFonts w:ascii="Arial" w:eastAsia="Times New Roman" w:hAnsi="Arial" w:cs="Arial"/>
          <w:b/>
          <w:bCs/>
          <w:lang w:val="es-ES"/>
        </w:rPr>
      </w:pPr>
      <w:r w:rsidRPr="00FE1D65">
        <w:rPr>
          <w:rFonts w:ascii="Arial" w:eastAsia="Times New Roman" w:hAnsi="Arial" w:cs="Arial"/>
          <w:b/>
          <w:bCs/>
          <w:lang w:val="es-ES"/>
        </w:rPr>
        <w:t>PARA TIBURONES Y RAYAS</w:t>
      </w:r>
      <w:r w:rsidR="00DA13B3">
        <w:rPr>
          <w:rFonts w:ascii="Arial" w:eastAsia="Times New Roman" w:hAnsi="Arial" w:cs="Arial"/>
          <w:b/>
          <w:bCs/>
          <w:lang w:val="es-ES"/>
        </w:rPr>
        <w:t xml:space="preserve"> </w:t>
      </w:r>
      <w:r w:rsidR="00DA13B3" w:rsidRPr="00FE1D65">
        <w:rPr>
          <w:rFonts w:ascii="Arial" w:eastAsia="Times New Roman" w:hAnsi="Arial" w:cs="Arial"/>
          <w:b/>
          <w:bCs/>
          <w:lang w:val="es-ES"/>
        </w:rPr>
        <w:t>PELÁGICOS</w:t>
      </w:r>
    </w:p>
    <w:p w14:paraId="54B795E6" w14:textId="74E5A191"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r w:rsidRPr="00FE1D65">
        <w:rPr>
          <w:rFonts w:ascii="Arial" w:eastAsia="Times New Roman" w:hAnsi="Arial" w:cs="Arial"/>
          <w:b/>
          <w:bCs/>
          <w:lang w:val="es-ES"/>
        </w:rPr>
        <w:t xml:space="preserve"> </w:t>
      </w:r>
      <w:r w:rsidRPr="00FE1D65">
        <w:rPr>
          <w:rFonts w:ascii="Arial" w:eastAsia="Times New Roman" w:hAnsi="Arial" w:cs="Arial"/>
          <w:bCs/>
          <w:i/>
          <w:lang w:val="es-ES"/>
        </w:rPr>
        <w:t>(Preparado por el Comité Asesor y la Secretaría)</w:t>
      </w:r>
    </w:p>
    <w:p w14:paraId="21FE8AF9"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p>
    <w:p w14:paraId="3D2633F2"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p>
    <w:p w14:paraId="7DA39B4F" w14:textId="5809E7DB"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Este documento contiene una visión general de una iniciativa que pretende recopilar datos sobre las especies de tiburones y rayas </w:t>
      </w:r>
      <w:r w:rsidR="006A6406" w:rsidRPr="00FE1D65">
        <w:rPr>
          <w:rFonts w:ascii="Arial" w:eastAsia="Times New Roman" w:hAnsi="Arial" w:cs="Arial"/>
          <w:bCs/>
          <w:iCs/>
          <w:lang w:val="es-ES"/>
        </w:rPr>
        <w:t xml:space="preserve">pelágicos </w:t>
      </w:r>
      <w:r w:rsidRPr="00FE1D65">
        <w:rPr>
          <w:rFonts w:ascii="Arial" w:eastAsia="Times New Roman" w:hAnsi="Arial" w:cs="Arial"/>
          <w:bCs/>
          <w:iCs/>
          <w:lang w:val="es-ES"/>
        </w:rPr>
        <w:t xml:space="preserve">incluidas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en cooperación con el Grupo de Especialistas en Tiburones de la Comisión de Supervivencia de Especies de la Unión Internacional para la Conservación de la Naturaleza (UICN CSE SSG)</w:t>
      </w:r>
      <w:r w:rsidR="008C7BF0">
        <w:rPr>
          <w:rFonts w:ascii="Arial" w:eastAsia="Times New Roman" w:hAnsi="Arial" w:cs="Arial"/>
          <w:bCs/>
          <w:iCs/>
          <w:lang w:val="es-ES"/>
        </w:rPr>
        <w:t xml:space="preserve"> </w:t>
      </w:r>
      <w:r w:rsidR="008C7BF0" w:rsidRPr="008C7BF0">
        <w:rPr>
          <w:rFonts w:ascii="Arial" w:eastAsia="Times New Roman" w:hAnsi="Arial" w:cs="Arial"/>
          <w:bCs/>
          <w:iCs/>
          <w:u w:val="single"/>
          <w:lang w:val="es-ES"/>
        </w:rPr>
        <w:t xml:space="preserve">y las </w:t>
      </w:r>
      <w:proofErr w:type="spellStart"/>
      <w:r w:rsidR="008C7BF0" w:rsidRPr="008C7BF0">
        <w:rPr>
          <w:rFonts w:ascii="Arial" w:eastAsia="Times New Roman" w:hAnsi="Arial" w:cs="Arial"/>
          <w:bCs/>
          <w:iCs/>
          <w:u w:val="single"/>
          <w:lang w:val="es-ES"/>
        </w:rPr>
        <w:t>OROPs</w:t>
      </w:r>
      <w:proofErr w:type="spellEnd"/>
      <w:r w:rsidR="008C7BF0" w:rsidRPr="008C7BF0">
        <w:rPr>
          <w:rFonts w:ascii="Arial" w:eastAsia="Times New Roman" w:hAnsi="Arial" w:cs="Arial"/>
          <w:bCs/>
          <w:iCs/>
          <w:u w:val="single"/>
          <w:lang w:val="es-ES"/>
        </w:rPr>
        <w:t xml:space="preserve"> pertinentes</w:t>
      </w:r>
      <w:r w:rsidRPr="00FE1D65">
        <w:rPr>
          <w:rFonts w:ascii="Arial" w:eastAsia="Times New Roman" w:hAnsi="Arial" w:cs="Arial"/>
          <w:bCs/>
          <w:iCs/>
          <w:lang w:val="es-ES"/>
        </w:rPr>
        <w:t>.</w:t>
      </w:r>
    </w:p>
    <w:p w14:paraId="088A2215"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364A4730" w14:textId="77777777" w:rsidR="00FE1D65" w:rsidRPr="008C7BF0"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strike/>
          <w:lang w:val="es-ES"/>
        </w:rPr>
      </w:pPr>
      <w:r w:rsidRPr="008C7BF0">
        <w:rPr>
          <w:rFonts w:ascii="Arial" w:eastAsia="Times New Roman" w:hAnsi="Arial" w:cs="Arial"/>
          <w:bCs/>
          <w:iCs/>
          <w:strike/>
          <w:lang w:val="es-ES"/>
        </w:rPr>
        <w:t xml:space="preserve">En el </w:t>
      </w:r>
      <w:r w:rsidRPr="008C7BF0">
        <w:rPr>
          <w:rFonts w:ascii="Arial" w:eastAsia="Times New Roman" w:hAnsi="Arial" w:cs="Arial"/>
          <w:bCs/>
          <w:iCs/>
          <w:strike/>
          <w:u w:val="single"/>
          <w:lang w:val="es-ES"/>
        </w:rPr>
        <w:t>Anexo 1</w:t>
      </w:r>
      <w:r w:rsidRPr="008C7BF0">
        <w:rPr>
          <w:rFonts w:ascii="Arial" w:eastAsia="Times New Roman" w:hAnsi="Arial" w:cs="Arial"/>
          <w:bCs/>
          <w:iCs/>
          <w:strike/>
          <w:lang w:val="es-ES"/>
        </w:rPr>
        <w:t xml:space="preserve"> del presente documento se incluyen los proyectos de Decisión de esta Reunión para apoyar la aplicación de esta iniciativa, a fin de que sean examinados en la reunión.</w:t>
      </w:r>
    </w:p>
    <w:p w14:paraId="5A99C1D2" w14:textId="77777777" w:rsidR="00FE1D65" w:rsidRPr="008C7BF0"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strike/>
          <w:lang w:val="es-ES"/>
        </w:rPr>
      </w:pPr>
    </w:p>
    <w:p w14:paraId="57AD76C5" w14:textId="77777777" w:rsidR="00FE1D65" w:rsidRPr="008C7BF0"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strike/>
          <w:lang w:val="es-ES"/>
        </w:rPr>
      </w:pPr>
      <w:r w:rsidRPr="008C7BF0">
        <w:rPr>
          <w:rFonts w:ascii="Arial" w:eastAsia="Times New Roman" w:hAnsi="Arial" w:cs="Arial"/>
          <w:bCs/>
          <w:iCs/>
          <w:strike/>
          <w:u w:val="single"/>
          <w:lang w:val="es-ES"/>
        </w:rPr>
        <w:t>En el Anexo 2</w:t>
      </w:r>
      <w:r w:rsidRPr="008C7BF0">
        <w:rPr>
          <w:rFonts w:ascii="Arial" w:eastAsia="Times New Roman" w:hAnsi="Arial" w:cs="Arial"/>
          <w:bCs/>
          <w:iCs/>
          <w:strike/>
          <w:lang w:val="es-ES"/>
        </w:rPr>
        <w:t xml:space="preserve"> se sugieren actividades que los Signatarios podrían incluir en su Programa de Trabajo para el trienio 2023-2025, que también se debatirán en el punto 12 del orden del día.</w:t>
      </w:r>
    </w:p>
    <w:p w14:paraId="34B24978"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36B95BA2"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Antecedentes</w:t>
      </w:r>
    </w:p>
    <w:p w14:paraId="7FFD23EC"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2D581F47"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shd w:val="clear" w:color="auto" w:fill="FFFFFF"/>
          <w:lang w:val="es-ES"/>
        </w:rPr>
        <w:t>A efectos de este documento, se consideran tiburones y rayas pelágicos aquellas especies que suelen habitar (pasar la mayor parte del tiempo) en las partes superiores de la columna de agua, incluidos los ecosistemas de plataforma marina y oceánicos.</w:t>
      </w:r>
    </w:p>
    <w:p w14:paraId="28B4BB17"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387A2218" w14:textId="089D1420"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Recientemente se utilizaron las </w:t>
      </w:r>
      <w:r w:rsidR="00DA13B3">
        <w:rPr>
          <w:rFonts w:ascii="Arial" w:eastAsia="Times New Roman" w:hAnsi="Arial" w:cs="Arial"/>
          <w:bCs/>
          <w:iCs/>
          <w:lang w:val="es-ES"/>
        </w:rPr>
        <w:t>c</w:t>
      </w:r>
      <w:r w:rsidRPr="00FE1D65">
        <w:rPr>
          <w:rFonts w:ascii="Arial" w:eastAsia="Times New Roman" w:hAnsi="Arial" w:cs="Arial"/>
          <w:bCs/>
          <w:iCs/>
          <w:lang w:val="es-ES"/>
        </w:rPr>
        <w:t xml:space="preserve">ategorías y </w:t>
      </w:r>
      <w:r w:rsidR="00DA13B3">
        <w:rPr>
          <w:rFonts w:ascii="Arial" w:eastAsia="Times New Roman" w:hAnsi="Arial" w:cs="Arial"/>
          <w:bCs/>
          <w:iCs/>
          <w:lang w:val="es-ES"/>
        </w:rPr>
        <w:t>c</w:t>
      </w:r>
      <w:r w:rsidRPr="00FE1D65">
        <w:rPr>
          <w:rFonts w:ascii="Arial" w:eastAsia="Times New Roman" w:hAnsi="Arial" w:cs="Arial"/>
          <w:bCs/>
          <w:iCs/>
          <w:lang w:val="es-ES"/>
        </w:rPr>
        <w:t xml:space="preserve">riterios de la </w:t>
      </w:r>
      <w:r w:rsidR="00DA13B3" w:rsidRPr="00DA13B3">
        <w:rPr>
          <w:rFonts w:ascii="Arial" w:eastAsia="Times New Roman" w:hAnsi="Arial" w:cs="Arial"/>
          <w:bCs/>
          <w:iCs/>
          <w:lang w:val="es-ES"/>
        </w:rPr>
        <w:t xml:space="preserve">Lista Roja de Especies Amenazadas de la UICN </w:t>
      </w:r>
      <w:r w:rsidRPr="00FE1D65">
        <w:rPr>
          <w:rFonts w:ascii="Arial" w:eastAsia="Times New Roman" w:hAnsi="Arial" w:cs="Arial"/>
          <w:bCs/>
          <w:iCs/>
          <w:lang w:val="es-ES"/>
        </w:rPr>
        <w:t>para evaluar la situación mundial de 31 especies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Los resultados destacan que desde 1970, la abundancia mundial de estas especies ha disminuido en un 71 % debido a un aumento de 18 veces en la presión pesquera relativa (</w:t>
      </w:r>
      <w:proofErr w:type="spellStart"/>
      <w:r w:rsidRPr="00FE1D65">
        <w:rPr>
          <w:rFonts w:ascii="Arial" w:eastAsia="Times New Roman" w:hAnsi="Arial" w:cs="Arial"/>
          <w:bCs/>
          <w:iCs/>
          <w:lang w:val="es-ES"/>
        </w:rPr>
        <w:t>Pacoureau</w:t>
      </w:r>
      <w:proofErr w:type="spellEnd"/>
      <w:r w:rsidRPr="00FE1D65">
        <w:rPr>
          <w:rFonts w:ascii="Arial" w:eastAsia="Times New Roman" w:hAnsi="Arial" w:cs="Arial"/>
          <w:bCs/>
          <w:iCs/>
          <w:lang w:val="es-ES"/>
        </w:rPr>
        <w:t xml:space="preserve"> </w:t>
      </w:r>
      <w:r w:rsidRPr="00FE1D65">
        <w:rPr>
          <w:rFonts w:ascii="Arial" w:eastAsia="Times New Roman" w:hAnsi="Arial" w:cs="Arial"/>
          <w:bCs/>
          <w:i/>
          <w:lang w:val="es-ES"/>
        </w:rPr>
        <w:t>et al.</w:t>
      </w:r>
      <w:r w:rsidRPr="00FE1D65">
        <w:rPr>
          <w:rFonts w:ascii="Arial" w:eastAsia="Times New Roman" w:hAnsi="Arial" w:cs="Arial"/>
          <w:bCs/>
          <w:iCs/>
          <w:lang w:val="es-ES"/>
        </w:rPr>
        <w:t xml:space="preserve"> 2021</w:t>
      </w:r>
      <w:r w:rsidRPr="00FE1D65">
        <w:rPr>
          <w:rFonts w:ascii="Arial" w:eastAsia="Times New Roman" w:hAnsi="Arial" w:cs="Arial"/>
          <w:bCs/>
          <w:iCs/>
          <w:vertAlign w:val="superscript"/>
          <w:lang w:val="es-ES"/>
        </w:rPr>
        <w:footnoteReference w:id="1"/>
      </w:r>
      <w:r w:rsidRPr="00FE1D65">
        <w:rPr>
          <w:rFonts w:ascii="Arial" w:eastAsia="Times New Roman" w:hAnsi="Arial" w:cs="Arial"/>
          <w:bCs/>
          <w:iCs/>
          <w:lang w:val="es-ES"/>
        </w:rPr>
        <w:t xml:space="preserve">, incluido como el documento </w:t>
      </w:r>
      <w:hyperlink r:id="rId10" w:history="1">
        <w:r w:rsidRPr="00FE1D65">
          <w:rPr>
            <w:rFonts w:ascii="Arial" w:eastAsia="Times New Roman" w:hAnsi="Arial" w:cs="Arial"/>
            <w:color w:val="0000FF"/>
            <w:u w:val="single"/>
            <w:lang w:val="es-ES"/>
          </w:rPr>
          <w:t>CMS/</w:t>
        </w:r>
        <w:proofErr w:type="spellStart"/>
        <w:r w:rsidRPr="00FE1D65">
          <w:rPr>
            <w:rFonts w:ascii="Arial" w:eastAsia="Times New Roman" w:hAnsi="Arial" w:cs="Arial"/>
            <w:color w:val="0000FF"/>
            <w:u w:val="single"/>
            <w:lang w:val="es-ES"/>
          </w:rPr>
          <w:t>Sharks</w:t>
        </w:r>
        <w:proofErr w:type="spellEnd"/>
        <w:r w:rsidRPr="00FE1D65">
          <w:rPr>
            <w:rFonts w:ascii="Arial" w:eastAsia="Times New Roman" w:hAnsi="Arial" w:cs="Arial"/>
            <w:color w:val="0000FF"/>
            <w:u w:val="single"/>
            <w:lang w:val="es-ES"/>
          </w:rPr>
          <w:t>/MOS4/Inf.6</w:t>
        </w:r>
      </w:hyperlink>
      <w:r w:rsidRPr="00FE1D65">
        <w:rPr>
          <w:rFonts w:ascii="Arial" w:eastAsia="Times New Roman" w:hAnsi="Arial" w:cs="Arial"/>
          <w:bCs/>
          <w:iCs/>
          <w:lang w:val="es-ES"/>
        </w:rPr>
        <w:t xml:space="preserve">). La Tabla 1 incluye las especies de tiburones y rayas </w:t>
      </w:r>
      <w:r w:rsidR="006A6406" w:rsidRPr="00FE1D65">
        <w:rPr>
          <w:rFonts w:ascii="Arial" w:eastAsia="Times New Roman" w:hAnsi="Arial" w:cs="Arial"/>
          <w:bCs/>
          <w:iCs/>
          <w:lang w:val="es-ES"/>
        </w:rPr>
        <w:t xml:space="preserve">pelágicos </w:t>
      </w:r>
      <w:r w:rsidRPr="00FE1D65">
        <w:rPr>
          <w:rFonts w:ascii="Arial" w:eastAsia="Times New Roman" w:hAnsi="Arial" w:cs="Arial"/>
          <w:bCs/>
          <w:iCs/>
          <w:lang w:val="es-ES"/>
        </w:rPr>
        <w:t xml:space="preserve">que figuran actualmente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w:t>
      </w:r>
    </w:p>
    <w:p w14:paraId="407ACA29"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Cs/>
          <w:iCs/>
          <w:lang w:val="es-ES"/>
        </w:rPr>
      </w:pPr>
    </w:p>
    <w:p w14:paraId="41AA5FC2" w14:textId="0D19C474"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La falta de datos sobre pesquerías, las prioridades que compiten con otras especies explotadas comercial o recreativamente y las complicadas cuestiones jurisdiccionales plantean dificultades para evaluar y conservar los tiburones y las rayas</w:t>
      </w:r>
      <w:r w:rsidR="006A6406" w:rsidRPr="00FE1D65">
        <w:rPr>
          <w:rFonts w:ascii="Arial" w:eastAsia="Times New Roman" w:hAnsi="Arial" w:cs="Arial"/>
          <w:bCs/>
          <w:iCs/>
          <w:lang w:val="es-ES"/>
        </w:rPr>
        <w:t xml:space="preserve"> pelágicos</w:t>
      </w:r>
      <w:r w:rsidRPr="00FE1D65">
        <w:rPr>
          <w:rFonts w:ascii="Arial" w:eastAsia="Times New Roman" w:hAnsi="Arial" w:cs="Arial"/>
          <w:bCs/>
          <w:iCs/>
          <w:lang w:val="es-ES"/>
        </w:rPr>
        <w:t xml:space="preserve">. De </w:t>
      </w:r>
      <w:r w:rsidRPr="00FE1D65">
        <w:rPr>
          <w:rFonts w:ascii="Arial" w:eastAsia="Times New Roman" w:hAnsi="Arial" w:cs="Arial"/>
          <w:bCs/>
          <w:iCs/>
          <w:lang w:val="es-ES"/>
        </w:rPr>
        <w:lastRenderedPageBreak/>
        <w:t>las cinco Organizaciones Regionales de Ordenación Pesquera (OROP)</w:t>
      </w:r>
      <w:r w:rsidRPr="00FE1D65">
        <w:rPr>
          <w:rFonts w:ascii="Arial" w:eastAsia="Times New Roman" w:hAnsi="Arial" w:cs="Arial"/>
          <w:bCs/>
          <w:iCs/>
          <w:vertAlign w:val="superscript"/>
          <w:lang w:val="es-ES"/>
        </w:rPr>
        <w:footnoteReference w:id="2"/>
      </w:r>
      <w:r w:rsidRPr="00FE1D65">
        <w:rPr>
          <w:rFonts w:ascii="Arial" w:eastAsia="Times New Roman" w:hAnsi="Arial" w:cs="Arial"/>
          <w:bCs/>
          <w:iCs/>
          <w:lang w:val="es-ES"/>
        </w:rPr>
        <w:t xml:space="preserve"> que gestionan los </w:t>
      </w:r>
      <w:proofErr w:type="spellStart"/>
      <w:r w:rsidRPr="00FE1D65">
        <w:rPr>
          <w:rFonts w:ascii="Arial" w:eastAsia="Times New Roman" w:hAnsi="Arial" w:cs="Arial"/>
          <w:bCs/>
          <w:iCs/>
          <w:lang w:val="es-ES"/>
        </w:rPr>
        <w:t>túnidos</w:t>
      </w:r>
      <w:proofErr w:type="spellEnd"/>
      <w:r w:rsidRPr="00FE1D65">
        <w:rPr>
          <w:rFonts w:ascii="Arial" w:eastAsia="Times New Roman" w:hAnsi="Arial" w:cs="Arial"/>
          <w:bCs/>
          <w:iCs/>
          <w:lang w:val="es-ES"/>
        </w:rPr>
        <w:t xml:space="preserve"> pelágicos y especies afines, solamente cuatro especies de tiburones (tintorera - </w:t>
      </w:r>
      <w:proofErr w:type="spellStart"/>
      <w:r w:rsidRPr="00FE1D65">
        <w:rPr>
          <w:rFonts w:ascii="Arial" w:eastAsia="Times New Roman" w:hAnsi="Arial" w:cs="Arial"/>
          <w:bCs/>
          <w:i/>
          <w:lang w:val="es-ES"/>
        </w:rPr>
        <w:t>Prionace</w:t>
      </w:r>
      <w:proofErr w:type="spellEnd"/>
      <w:r w:rsidRPr="00FE1D65">
        <w:rPr>
          <w:rFonts w:ascii="Arial" w:eastAsia="Times New Roman" w:hAnsi="Arial" w:cs="Arial"/>
          <w:bCs/>
          <w:i/>
          <w:lang w:val="es-ES"/>
        </w:rPr>
        <w:t xml:space="preserve"> glauca</w:t>
      </w:r>
      <w:r w:rsidRPr="00FE1D65">
        <w:rPr>
          <w:rFonts w:ascii="Arial" w:eastAsia="Times New Roman" w:hAnsi="Arial" w:cs="Arial"/>
          <w:bCs/>
          <w:iCs/>
          <w:lang w:val="es-ES"/>
        </w:rPr>
        <w:t xml:space="preserve">, marrajos - </w:t>
      </w:r>
      <w:proofErr w:type="spellStart"/>
      <w:r w:rsidRPr="00FE1D65">
        <w:rPr>
          <w:rFonts w:ascii="Arial" w:eastAsia="Times New Roman" w:hAnsi="Arial" w:cs="Arial"/>
          <w:bCs/>
          <w:i/>
          <w:lang w:val="es-ES"/>
        </w:rPr>
        <w:t>Isurus</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oxyrinchus</w:t>
      </w:r>
      <w:proofErr w:type="spellEnd"/>
      <w:r w:rsidRPr="00FE1D65">
        <w:rPr>
          <w:rFonts w:ascii="Arial" w:eastAsia="Times New Roman" w:hAnsi="Arial" w:cs="Arial"/>
          <w:bCs/>
          <w:iCs/>
          <w:lang w:val="es-ES"/>
        </w:rPr>
        <w:t xml:space="preserve">, tiburón oceánico de puntas blancas - </w:t>
      </w:r>
      <w:proofErr w:type="spellStart"/>
      <w:r w:rsidRPr="00FE1D65">
        <w:rPr>
          <w:rFonts w:ascii="Arial" w:eastAsia="Times New Roman" w:hAnsi="Arial" w:cs="Arial"/>
          <w:bCs/>
          <w:i/>
          <w:lang w:val="es-ES"/>
        </w:rPr>
        <w:t>Carcharhinus</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longimanus</w:t>
      </w:r>
      <w:proofErr w:type="spellEnd"/>
      <w:r w:rsidRPr="00FE1D65">
        <w:rPr>
          <w:rFonts w:ascii="Arial" w:eastAsia="Times New Roman" w:hAnsi="Arial" w:cs="Arial"/>
          <w:bCs/>
          <w:iCs/>
          <w:lang w:val="es-ES"/>
        </w:rPr>
        <w:t xml:space="preserve"> y marrajo sardinero - </w:t>
      </w:r>
      <w:proofErr w:type="spellStart"/>
      <w:r w:rsidRPr="00FE1D65">
        <w:rPr>
          <w:rFonts w:ascii="Arial" w:eastAsia="Times New Roman" w:hAnsi="Arial" w:cs="Arial"/>
          <w:bCs/>
          <w:i/>
          <w:lang w:val="es-ES"/>
        </w:rPr>
        <w:t>Lamna</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nasus</w:t>
      </w:r>
      <w:proofErr w:type="spellEnd"/>
      <w:r w:rsidRPr="00FE1D65">
        <w:rPr>
          <w:rFonts w:ascii="Arial" w:eastAsia="Times New Roman" w:hAnsi="Arial" w:cs="Arial"/>
          <w:bCs/>
          <w:iCs/>
          <w:lang w:val="es-ES"/>
        </w:rPr>
        <w:t xml:space="preserve">) han sido objeto de evaluaciones cuantitativas realizadas para algunas de las unidades de población pertinentes. </w:t>
      </w:r>
    </w:p>
    <w:p w14:paraId="40287FA6"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
          <w:iCs/>
          <w:lang w:val="es-ES"/>
        </w:rPr>
      </w:pPr>
    </w:p>
    <w:p w14:paraId="6CB5EBE7" w14:textId="77777777" w:rsidR="00FE1D65" w:rsidRPr="00FE1D65" w:rsidRDefault="00FE1D65" w:rsidP="00CF3F08">
      <w:pPr>
        <w:widowControl w:val="0"/>
        <w:autoSpaceDE w:val="0"/>
        <w:autoSpaceDN w:val="0"/>
        <w:adjustRightInd w:val="0"/>
        <w:spacing w:after="0" w:line="240" w:lineRule="auto"/>
        <w:ind w:left="567"/>
        <w:jc w:val="both"/>
        <w:rPr>
          <w:rFonts w:ascii="Arial" w:eastAsia="Times New Roman" w:hAnsi="Arial" w:cs="Arial"/>
          <w:bCs/>
          <w:iCs/>
          <w:lang w:val="es-ES"/>
        </w:rPr>
      </w:pPr>
      <w:r w:rsidRPr="00FE1D65">
        <w:rPr>
          <w:rFonts w:ascii="Arial" w:eastAsia="Times New Roman" w:hAnsi="Arial" w:cs="Arial"/>
          <w:b/>
          <w:iCs/>
          <w:lang w:val="es-ES"/>
        </w:rPr>
        <w:t xml:space="preserve">Tabla 1: </w:t>
      </w:r>
      <w:r w:rsidRPr="00FE1D65">
        <w:rPr>
          <w:rFonts w:ascii="Arial" w:eastAsia="Times New Roman" w:hAnsi="Arial" w:cs="Arial"/>
          <w:bCs/>
          <w:iCs/>
          <w:lang w:val="es-ES"/>
        </w:rPr>
        <w:t xml:space="preserve">Especies pelágicas de tiburones y rayas actualmente incluidas en el Anexo 1 del </w:t>
      </w:r>
      <w:proofErr w:type="spellStart"/>
      <w:r w:rsidRPr="00FE1D65">
        <w:rPr>
          <w:rFonts w:ascii="Arial" w:eastAsia="Times New Roman" w:hAnsi="Arial" w:cs="Arial"/>
          <w:bCs/>
          <w:iCs/>
          <w:lang w:val="es-ES"/>
        </w:rPr>
        <w:t>MdE</w:t>
      </w:r>
      <w:proofErr w:type="spellEnd"/>
    </w:p>
    <w:p w14:paraId="1A27ECA4"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Cs/>
          <w:iCs/>
          <w:lang w:val="es-ES"/>
        </w:rPr>
      </w:pPr>
    </w:p>
    <w:tbl>
      <w:tblPr>
        <w:tblStyle w:val="PlainTable21"/>
        <w:tblW w:w="8441" w:type="dxa"/>
        <w:tblInd w:w="567" w:type="dxa"/>
        <w:tblLook w:val="04A0" w:firstRow="1" w:lastRow="0" w:firstColumn="1" w:lastColumn="0" w:noHBand="0" w:noVBand="1"/>
      </w:tblPr>
      <w:tblGrid>
        <w:gridCol w:w="4630"/>
        <w:gridCol w:w="3811"/>
      </w:tblGrid>
      <w:tr w:rsidR="00FE1D65" w:rsidRPr="00FE1D65" w14:paraId="43F3E27D"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08ADFC77" w14:textId="77777777" w:rsidR="00FE1D65" w:rsidRPr="00FE1D65" w:rsidRDefault="00FE1D65" w:rsidP="00FE1D65">
            <w:pPr>
              <w:rPr>
                <w:rFonts w:ascii="Arial" w:eastAsia="Times New Roman" w:hAnsi="Arial" w:cs="Arial"/>
                <w:color w:val="000000"/>
                <w:sz w:val="20"/>
                <w:szCs w:val="20"/>
                <w:lang w:val="es-ES"/>
              </w:rPr>
            </w:pPr>
            <w:r w:rsidRPr="00FE1D65">
              <w:rPr>
                <w:rFonts w:ascii="Arial" w:eastAsia="Times New Roman" w:hAnsi="Arial" w:cs="Arial"/>
                <w:color w:val="000000"/>
                <w:sz w:val="20"/>
                <w:szCs w:val="20"/>
                <w:lang w:val="es-ES"/>
              </w:rPr>
              <w:t>Nombre científico</w:t>
            </w:r>
          </w:p>
        </w:tc>
        <w:tc>
          <w:tcPr>
            <w:tcW w:w="3811" w:type="dxa"/>
            <w:noWrap/>
            <w:vAlign w:val="center"/>
          </w:tcPr>
          <w:p w14:paraId="15BB0D24" w14:textId="77777777" w:rsidR="00FE1D65" w:rsidRPr="00FE1D65"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ES"/>
              </w:rPr>
            </w:pPr>
            <w:r w:rsidRPr="00FE1D65">
              <w:rPr>
                <w:rFonts w:ascii="Arial" w:eastAsia="Times New Roman" w:hAnsi="Arial" w:cs="Arial"/>
                <w:color w:val="000000"/>
                <w:sz w:val="20"/>
                <w:szCs w:val="20"/>
                <w:lang w:val="es-ES"/>
              </w:rPr>
              <w:t>Nombre común</w:t>
            </w:r>
          </w:p>
        </w:tc>
      </w:tr>
      <w:tr w:rsidR="00FE1D65" w:rsidRPr="00FE1D65" w14:paraId="6F101145"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E44A90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pelagicus</w:t>
            </w:r>
            <w:proofErr w:type="spellEnd"/>
          </w:p>
        </w:tc>
        <w:tc>
          <w:tcPr>
            <w:tcW w:w="3811" w:type="dxa"/>
            <w:noWrap/>
            <w:vAlign w:val="center"/>
          </w:tcPr>
          <w:p w14:paraId="2B1566A8"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pelágico</w:t>
            </w:r>
          </w:p>
        </w:tc>
      </w:tr>
      <w:tr w:rsidR="00FE1D65" w:rsidRPr="00FE1D65" w14:paraId="1B4F91F7"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67386E4"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superciliosus</w:t>
            </w:r>
            <w:proofErr w:type="spellEnd"/>
          </w:p>
        </w:tc>
        <w:tc>
          <w:tcPr>
            <w:tcW w:w="3811" w:type="dxa"/>
            <w:noWrap/>
            <w:vAlign w:val="center"/>
            <w:hideMark/>
          </w:tcPr>
          <w:p w14:paraId="290AB85D"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ojón</w:t>
            </w:r>
          </w:p>
        </w:tc>
      </w:tr>
      <w:tr w:rsidR="00FE1D65" w:rsidRPr="00FE1D65" w14:paraId="1A92E959"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69F83D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vulpinus</w:t>
            </w:r>
            <w:proofErr w:type="spellEnd"/>
          </w:p>
        </w:tc>
        <w:tc>
          <w:tcPr>
            <w:tcW w:w="3811" w:type="dxa"/>
            <w:noWrap/>
            <w:vAlign w:val="center"/>
            <w:hideMark/>
          </w:tcPr>
          <w:p w14:paraId="4091205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marino</w:t>
            </w:r>
          </w:p>
        </w:tc>
      </w:tr>
      <w:tr w:rsidR="00FE1D65" w:rsidRPr="00FE1D65" w14:paraId="061AF098"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110ECE3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falciformis</w:t>
            </w:r>
            <w:proofErr w:type="spellEnd"/>
          </w:p>
        </w:tc>
        <w:tc>
          <w:tcPr>
            <w:tcW w:w="3811" w:type="dxa"/>
            <w:noWrap/>
            <w:vAlign w:val="center"/>
            <w:hideMark/>
          </w:tcPr>
          <w:p w14:paraId="000976B0"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sedoso</w:t>
            </w:r>
          </w:p>
        </w:tc>
      </w:tr>
      <w:tr w:rsidR="00FE1D65" w:rsidRPr="00BD1922" w14:paraId="517130DA"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28CA29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longimanus</w:t>
            </w:r>
            <w:proofErr w:type="spellEnd"/>
          </w:p>
        </w:tc>
        <w:tc>
          <w:tcPr>
            <w:tcW w:w="3811" w:type="dxa"/>
            <w:noWrap/>
            <w:vAlign w:val="center"/>
            <w:hideMark/>
          </w:tcPr>
          <w:p w14:paraId="7846DBF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oceánico de puntas blancas</w:t>
            </w:r>
          </w:p>
        </w:tc>
      </w:tr>
      <w:tr w:rsidR="00FE1D65" w:rsidRPr="00FE1D65" w14:paraId="76838CC6"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7E6BF5EE"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obscurus</w:t>
            </w:r>
            <w:proofErr w:type="spellEnd"/>
          </w:p>
        </w:tc>
        <w:tc>
          <w:tcPr>
            <w:tcW w:w="3811" w:type="dxa"/>
            <w:noWrap/>
            <w:vAlign w:val="center"/>
            <w:hideMark/>
          </w:tcPr>
          <w:p w14:paraId="0EC6AA6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arenero</w:t>
            </w:r>
          </w:p>
        </w:tc>
      </w:tr>
      <w:tr w:rsidR="00FE1D65" w:rsidRPr="00FE1D65" w14:paraId="6FC7ED5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2FBC8EF4"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Carcharodon</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carcharias</w:t>
            </w:r>
            <w:proofErr w:type="spellEnd"/>
          </w:p>
        </w:tc>
        <w:tc>
          <w:tcPr>
            <w:tcW w:w="3811" w:type="dxa"/>
            <w:noWrap/>
            <w:vAlign w:val="center"/>
            <w:hideMark/>
          </w:tcPr>
          <w:p w14:paraId="6FC4E667"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Gran tiburón blanco</w:t>
            </w:r>
          </w:p>
        </w:tc>
      </w:tr>
      <w:tr w:rsidR="00FE1D65" w:rsidRPr="00FE1D65" w14:paraId="52261F5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63E9CAA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Cetorhinus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maximus</w:t>
            </w:r>
            <w:proofErr w:type="spellEnd"/>
          </w:p>
        </w:tc>
        <w:tc>
          <w:tcPr>
            <w:tcW w:w="3811" w:type="dxa"/>
            <w:noWrap/>
            <w:vAlign w:val="center"/>
            <w:hideMark/>
          </w:tcPr>
          <w:p w14:paraId="1B100F42"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peregrino</w:t>
            </w:r>
          </w:p>
        </w:tc>
      </w:tr>
      <w:tr w:rsidR="00FE1D65" w:rsidRPr="00FE1D65" w14:paraId="4EDD7870"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1B8DD1BC"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Isurus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oxyrinchus</w:t>
            </w:r>
            <w:proofErr w:type="spellEnd"/>
          </w:p>
        </w:tc>
        <w:tc>
          <w:tcPr>
            <w:tcW w:w="3811" w:type="dxa"/>
            <w:noWrap/>
            <w:vAlign w:val="center"/>
            <w:hideMark/>
          </w:tcPr>
          <w:p w14:paraId="2AB3CD73"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común</w:t>
            </w:r>
          </w:p>
        </w:tc>
      </w:tr>
      <w:tr w:rsidR="00FE1D65" w:rsidRPr="00FE1D65" w14:paraId="1BE9B8A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21623B5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Isurus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paucus</w:t>
            </w:r>
            <w:proofErr w:type="spellEnd"/>
          </w:p>
        </w:tc>
        <w:tc>
          <w:tcPr>
            <w:tcW w:w="3811" w:type="dxa"/>
            <w:noWrap/>
            <w:vAlign w:val="center"/>
            <w:hideMark/>
          </w:tcPr>
          <w:p w14:paraId="508BBD4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de aleta larga</w:t>
            </w:r>
          </w:p>
        </w:tc>
      </w:tr>
      <w:tr w:rsidR="00FE1D65" w:rsidRPr="00FE1D65" w14:paraId="136E281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705E4A7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Lamna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nasus</w:t>
            </w:r>
            <w:proofErr w:type="spellEnd"/>
          </w:p>
        </w:tc>
        <w:tc>
          <w:tcPr>
            <w:tcW w:w="3811" w:type="dxa"/>
            <w:noWrap/>
            <w:vAlign w:val="center"/>
            <w:hideMark/>
          </w:tcPr>
          <w:p w14:paraId="6C5BA8F8"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sardinero</w:t>
            </w:r>
          </w:p>
        </w:tc>
      </w:tr>
      <w:tr w:rsidR="00FE1D65" w:rsidRPr="00FE1D65" w14:paraId="00FF6567"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040570F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alfredi</w:t>
            </w:r>
            <w:proofErr w:type="spellEnd"/>
          </w:p>
        </w:tc>
        <w:tc>
          <w:tcPr>
            <w:tcW w:w="3811" w:type="dxa"/>
            <w:noWrap/>
            <w:vAlign w:val="center"/>
          </w:tcPr>
          <w:p w14:paraId="5FCAC549"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 xml:space="preserve">Manta </w:t>
            </w:r>
            <w:proofErr w:type="spellStart"/>
            <w:r w:rsidRPr="00D9593E">
              <w:rPr>
                <w:rFonts w:ascii="Arial" w:eastAsia="Times New Roman" w:hAnsi="Arial" w:cs="Arial"/>
                <w:b w:val="0"/>
                <w:bCs w:val="0"/>
                <w:color w:val="000000"/>
                <w:sz w:val="20"/>
                <w:szCs w:val="20"/>
                <w:lang w:val="es-ES"/>
              </w:rPr>
              <w:t>alfredi</w:t>
            </w:r>
            <w:proofErr w:type="spellEnd"/>
          </w:p>
        </w:tc>
      </w:tr>
      <w:tr w:rsidR="00FE1D65" w:rsidRPr="00FE1D65" w14:paraId="314FEB08"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60E1D8C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birostris</w:t>
            </w:r>
            <w:proofErr w:type="spellEnd"/>
          </w:p>
        </w:tc>
        <w:tc>
          <w:tcPr>
            <w:tcW w:w="3811" w:type="dxa"/>
            <w:noWrap/>
            <w:vAlign w:val="center"/>
            <w:hideMark/>
          </w:tcPr>
          <w:p w14:paraId="5345A17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Mantarraya oceánica</w:t>
            </w:r>
          </w:p>
        </w:tc>
      </w:tr>
      <w:tr w:rsidR="00FE1D65" w:rsidRPr="00BD1922" w14:paraId="6B4237F3"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61F8707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eregoodootenkee</w:t>
            </w:r>
            <w:proofErr w:type="spellEnd"/>
          </w:p>
        </w:tc>
        <w:tc>
          <w:tcPr>
            <w:tcW w:w="3811" w:type="dxa"/>
            <w:noWrap/>
            <w:vAlign w:val="center"/>
          </w:tcPr>
          <w:p w14:paraId="12FF67E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diablo pigmea de aleta larga</w:t>
            </w:r>
          </w:p>
        </w:tc>
      </w:tr>
      <w:tr w:rsidR="00FE1D65" w:rsidRPr="00FE1D65" w14:paraId="0B774FC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66694B1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hypostoma</w:t>
            </w:r>
            <w:proofErr w:type="spellEnd"/>
            <w:r w:rsidRPr="00D9593E">
              <w:rPr>
                <w:rFonts w:ascii="Arial" w:eastAsia="Times New Roman" w:hAnsi="Arial" w:cs="Arial"/>
                <w:b w:val="0"/>
                <w:bCs w:val="0"/>
                <w:i/>
                <w:iCs/>
                <w:color w:val="000000"/>
                <w:sz w:val="20"/>
                <w:szCs w:val="20"/>
                <w:vertAlign w:val="superscript"/>
                <w:lang w:val="es-ES"/>
              </w:rPr>
              <w:footnoteReference w:id="3"/>
            </w:r>
          </w:p>
        </w:tc>
        <w:tc>
          <w:tcPr>
            <w:tcW w:w="3811" w:type="dxa"/>
            <w:noWrap/>
            <w:vAlign w:val="center"/>
          </w:tcPr>
          <w:p w14:paraId="70731EF3"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enana</w:t>
            </w:r>
          </w:p>
        </w:tc>
      </w:tr>
      <w:tr w:rsidR="00FE1D65" w:rsidRPr="00BD1922" w14:paraId="1EA0E81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B3D71A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kuhlii</w:t>
            </w:r>
            <w:proofErr w:type="spellEnd"/>
          </w:p>
        </w:tc>
        <w:tc>
          <w:tcPr>
            <w:tcW w:w="3811" w:type="dxa"/>
            <w:noWrap/>
            <w:vAlign w:val="center"/>
          </w:tcPr>
          <w:p w14:paraId="7F3E932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diablo pigmea de aleta corta</w:t>
            </w:r>
          </w:p>
        </w:tc>
      </w:tr>
      <w:tr w:rsidR="00FE1D65" w:rsidRPr="00FE1D65" w14:paraId="41B5A2FA"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1DF54E0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mobular</w:t>
            </w:r>
            <w:proofErr w:type="spellEnd"/>
            <w:r w:rsidRPr="00D9593E">
              <w:rPr>
                <w:rFonts w:ascii="Arial" w:eastAsia="Times New Roman" w:hAnsi="Arial" w:cs="Arial"/>
                <w:b w:val="0"/>
                <w:bCs w:val="0"/>
                <w:i/>
                <w:iCs/>
                <w:color w:val="000000"/>
                <w:sz w:val="20"/>
                <w:szCs w:val="20"/>
                <w:vertAlign w:val="superscript"/>
                <w:lang w:val="es-ES"/>
              </w:rPr>
              <w:footnoteReference w:id="4"/>
            </w:r>
          </w:p>
        </w:tc>
        <w:tc>
          <w:tcPr>
            <w:tcW w:w="3811" w:type="dxa"/>
            <w:noWrap/>
            <w:vAlign w:val="center"/>
          </w:tcPr>
          <w:p w14:paraId="66BED31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de espina</w:t>
            </w:r>
          </w:p>
        </w:tc>
      </w:tr>
      <w:tr w:rsidR="00FE1D65" w:rsidRPr="00FE1D65" w14:paraId="00420759"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03A276F"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munkiana</w:t>
            </w:r>
            <w:proofErr w:type="spellEnd"/>
          </w:p>
        </w:tc>
        <w:tc>
          <w:tcPr>
            <w:tcW w:w="3811" w:type="dxa"/>
            <w:noWrap/>
            <w:vAlign w:val="center"/>
          </w:tcPr>
          <w:p w14:paraId="0207CCA2"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violácea</w:t>
            </w:r>
          </w:p>
        </w:tc>
      </w:tr>
      <w:tr w:rsidR="00FE1D65" w:rsidRPr="00FE1D65" w14:paraId="3FF8E45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020800F"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tarapacana</w:t>
            </w:r>
            <w:proofErr w:type="spellEnd"/>
          </w:p>
        </w:tc>
        <w:tc>
          <w:tcPr>
            <w:tcW w:w="3811" w:type="dxa"/>
            <w:noWrap/>
            <w:vAlign w:val="center"/>
            <w:hideMark/>
          </w:tcPr>
          <w:p w14:paraId="79DD75B0"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cornuda</w:t>
            </w:r>
          </w:p>
        </w:tc>
      </w:tr>
      <w:tr w:rsidR="00FE1D65" w:rsidRPr="00FE1D65" w14:paraId="1147BC12"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4A5DE482"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thurstoni</w:t>
            </w:r>
            <w:proofErr w:type="spellEnd"/>
          </w:p>
        </w:tc>
        <w:tc>
          <w:tcPr>
            <w:tcW w:w="3811" w:type="dxa"/>
            <w:noWrap/>
            <w:vAlign w:val="center"/>
            <w:hideMark/>
          </w:tcPr>
          <w:p w14:paraId="0F141A7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chupasangre</w:t>
            </w:r>
          </w:p>
        </w:tc>
      </w:tr>
      <w:tr w:rsidR="00FE1D65" w:rsidRPr="00FE1D65" w14:paraId="426B9F9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806AF8C"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Rhincodon</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typus</w:t>
            </w:r>
            <w:proofErr w:type="spellEnd"/>
          </w:p>
        </w:tc>
        <w:tc>
          <w:tcPr>
            <w:tcW w:w="3811" w:type="dxa"/>
            <w:noWrap/>
            <w:vAlign w:val="center"/>
            <w:hideMark/>
          </w:tcPr>
          <w:p w14:paraId="03893966"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ballena</w:t>
            </w:r>
          </w:p>
        </w:tc>
      </w:tr>
      <w:tr w:rsidR="00FE1D65" w:rsidRPr="00FE1D65" w14:paraId="63D312C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35D77EFD"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lewini</w:t>
            </w:r>
            <w:proofErr w:type="spellEnd"/>
          </w:p>
        </w:tc>
        <w:tc>
          <w:tcPr>
            <w:tcW w:w="3811" w:type="dxa"/>
            <w:noWrap/>
            <w:vAlign w:val="center"/>
          </w:tcPr>
          <w:p w14:paraId="272F7CC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común</w:t>
            </w:r>
          </w:p>
        </w:tc>
      </w:tr>
      <w:tr w:rsidR="00FE1D65" w:rsidRPr="00FE1D65" w14:paraId="5BDE799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3384E58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mokarran</w:t>
            </w:r>
            <w:proofErr w:type="spellEnd"/>
          </w:p>
        </w:tc>
        <w:tc>
          <w:tcPr>
            <w:tcW w:w="3811" w:type="dxa"/>
            <w:noWrap/>
            <w:vAlign w:val="center"/>
            <w:hideMark/>
          </w:tcPr>
          <w:p w14:paraId="0C66B946"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gigante</w:t>
            </w:r>
          </w:p>
        </w:tc>
      </w:tr>
      <w:tr w:rsidR="00FE1D65" w:rsidRPr="00FE1D65" w14:paraId="22C0DE76"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0EC44F2"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zygaena</w:t>
            </w:r>
            <w:proofErr w:type="spellEnd"/>
          </w:p>
        </w:tc>
        <w:tc>
          <w:tcPr>
            <w:tcW w:w="3811" w:type="dxa"/>
            <w:noWrap/>
            <w:vAlign w:val="center"/>
            <w:hideMark/>
          </w:tcPr>
          <w:p w14:paraId="031DA147"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liso</w:t>
            </w:r>
          </w:p>
        </w:tc>
      </w:tr>
    </w:tbl>
    <w:p w14:paraId="5C2326A6" w14:textId="77777777" w:rsidR="00FE1D65" w:rsidRPr="00FE1D65" w:rsidRDefault="00FE1D65" w:rsidP="00FE1D65">
      <w:pPr>
        <w:widowControl w:val="0"/>
        <w:autoSpaceDE w:val="0"/>
        <w:autoSpaceDN w:val="0"/>
        <w:adjustRightInd w:val="0"/>
        <w:spacing w:after="0" w:line="240" w:lineRule="auto"/>
        <w:ind w:left="720"/>
        <w:contextualSpacing/>
        <w:jc w:val="both"/>
        <w:rPr>
          <w:rFonts w:ascii="Arial" w:eastAsia="Times New Roman" w:hAnsi="Arial" w:cs="Arial"/>
          <w:bCs/>
          <w:iCs/>
          <w:lang w:val="es-ES"/>
        </w:rPr>
      </w:pPr>
    </w:p>
    <w:p w14:paraId="4B8E8E53" w14:textId="6AB8CAA6"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
          <w:iCs/>
          <w:lang w:val="es-ES"/>
        </w:rPr>
      </w:pPr>
      <w:r w:rsidRPr="00FE1D65">
        <w:rPr>
          <w:rFonts w:ascii="Arial" w:eastAsia="Times New Roman" w:hAnsi="Arial" w:cs="Arial"/>
          <w:bCs/>
          <w:iCs/>
          <w:lang w:val="es-ES"/>
        </w:rPr>
        <w:t>Aparte de algunos reglamentos nacionales de recuperación y gestión pesquera para determinadas especies, no existe ningún plan de conservación formal para la mayoría de las especies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en peligro. Por lo tanto, una </w:t>
      </w:r>
      <w:r w:rsidR="00CF3F08">
        <w:rPr>
          <w:rFonts w:ascii="Arial" w:eastAsia="Times New Roman" w:hAnsi="Arial" w:cs="Arial"/>
          <w:bCs/>
          <w:iCs/>
          <w:lang w:val="es-ES"/>
        </w:rPr>
        <w:t>e</w:t>
      </w:r>
      <w:r w:rsidR="00CF3F08" w:rsidRPr="00FE1D65">
        <w:rPr>
          <w:rFonts w:ascii="Arial" w:eastAsia="Times New Roman" w:hAnsi="Arial" w:cs="Arial"/>
          <w:bCs/>
          <w:iCs/>
          <w:lang w:val="es-ES"/>
        </w:rPr>
        <w:t>strategia</w:t>
      </w:r>
      <w:r w:rsidRPr="00FE1D65">
        <w:rPr>
          <w:rFonts w:ascii="Arial" w:eastAsia="Times New Roman" w:hAnsi="Arial" w:cs="Arial"/>
          <w:bCs/>
          <w:iCs/>
          <w:lang w:val="es-ES"/>
        </w:rPr>
        <w:t xml:space="preserve"> </w:t>
      </w:r>
      <w:r w:rsidR="00DA13B3" w:rsidRPr="00DA13B3">
        <w:rPr>
          <w:rFonts w:ascii="Arial" w:eastAsia="Times New Roman" w:hAnsi="Arial" w:cs="Arial"/>
          <w:bCs/>
          <w:iCs/>
          <w:lang w:val="es-ES"/>
        </w:rPr>
        <w:t>mundial</w:t>
      </w:r>
      <w:r w:rsidR="00DA13B3" w:rsidRPr="00FE1D65">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w:t>
      </w:r>
      <w:r w:rsidR="00DA13B3">
        <w:rPr>
          <w:rFonts w:ascii="Arial" w:eastAsia="Times New Roman" w:hAnsi="Arial" w:cs="Arial"/>
          <w:bCs/>
          <w:iCs/>
          <w:lang w:val="es-ES"/>
        </w:rPr>
        <w:t xml:space="preserve"> </w:t>
      </w:r>
      <w:r w:rsidRPr="00FE1D65">
        <w:rPr>
          <w:rFonts w:ascii="Arial" w:eastAsia="Times New Roman" w:hAnsi="Arial" w:cs="Arial"/>
          <w:bCs/>
          <w:iCs/>
          <w:lang w:val="es-ES"/>
        </w:rPr>
        <w:t xml:space="preserve">y </w:t>
      </w:r>
      <w:r w:rsidR="00DA13B3">
        <w:rPr>
          <w:rFonts w:ascii="Arial" w:eastAsia="Times New Roman" w:hAnsi="Arial" w:cs="Arial"/>
          <w:bCs/>
          <w:iCs/>
          <w:lang w:val="es-ES"/>
        </w:rPr>
        <w:t>p</w:t>
      </w:r>
      <w:r w:rsidRPr="00FE1D65">
        <w:rPr>
          <w:rFonts w:ascii="Arial" w:eastAsia="Times New Roman" w:hAnsi="Arial" w:cs="Arial"/>
          <w:bCs/>
          <w:iCs/>
          <w:lang w:val="es-ES"/>
        </w:rPr>
        <w:t xml:space="preserve">lanes de </w:t>
      </w:r>
      <w:r w:rsidR="00DA13B3">
        <w:rPr>
          <w:rFonts w:ascii="Arial" w:eastAsia="Times New Roman" w:hAnsi="Arial" w:cs="Arial"/>
          <w:bCs/>
          <w:iCs/>
          <w:lang w:val="es-ES"/>
        </w:rPr>
        <w:t>a</w:t>
      </w:r>
      <w:r w:rsidRPr="00FE1D65">
        <w:rPr>
          <w:rFonts w:ascii="Arial" w:eastAsia="Times New Roman" w:hAnsi="Arial" w:cs="Arial"/>
          <w:bCs/>
          <w:iCs/>
          <w:lang w:val="es-ES"/>
        </w:rPr>
        <w:t>cción regionales</w:t>
      </w:r>
      <w:r w:rsidRPr="00FE1D65">
        <w:rPr>
          <w:rFonts w:ascii="Arial" w:eastAsia="Times New Roman" w:hAnsi="Arial" w:cs="Arial"/>
          <w:bCs/>
          <w:iCs/>
          <w:vertAlign w:val="superscript"/>
          <w:lang w:val="es-ES"/>
        </w:rPr>
        <w:footnoteReference w:id="5"/>
      </w:r>
      <w:r w:rsidRPr="00FE1D65">
        <w:rPr>
          <w:rFonts w:ascii="Arial" w:eastAsia="Times New Roman" w:hAnsi="Arial" w:cs="Arial"/>
          <w:bCs/>
          <w:iCs/>
          <w:lang w:val="es-ES"/>
        </w:rPr>
        <w:t>para estas especies tiene el potencial de llenar este vacío y servir como información crítica y orientación para las agencias gubernamentales y las OROP.</w:t>
      </w:r>
    </w:p>
    <w:p w14:paraId="36F6EA68" w14:textId="5722AE52" w:rsidR="00FE1D65" w:rsidRPr="00FE1D65" w:rsidRDefault="00FE1D65" w:rsidP="00FE1D65">
      <w:pPr>
        <w:spacing w:after="0" w:line="240" w:lineRule="auto"/>
        <w:rPr>
          <w:rFonts w:ascii="Arial" w:eastAsia="Times New Roman" w:hAnsi="Arial" w:cs="Arial"/>
          <w:b/>
          <w:iCs/>
          <w:lang w:val="es-ES"/>
        </w:rPr>
      </w:pPr>
    </w:p>
    <w:p w14:paraId="398B72F8" w14:textId="4D3D8B99"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 xml:space="preserve">Propuestas del </w:t>
      </w:r>
      <w:proofErr w:type="spellStart"/>
      <w:r w:rsidRPr="00FE1D65">
        <w:rPr>
          <w:rFonts w:ascii="Arial" w:eastAsia="Times New Roman" w:hAnsi="Arial" w:cs="Arial"/>
          <w:b/>
          <w:iCs/>
          <w:lang w:val="es-ES"/>
        </w:rPr>
        <w:t>MdE</w:t>
      </w:r>
      <w:proofErr w:type="spellEnd"/>
    </w:p>
    <w:p w14:paraId="35C6701B"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18C797C0"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incluye mandatos firmes que exigen una mejor recopilación de datos para todas las especies enumeradas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w:t>
      </w:r>
    </w:p>
    <w:p w14:paraId="3C154F5B"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18922F27"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De las 35 especies válidas que figuran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24 se consideran especies pelágicas o pelágicas costeras (véase la Tabla 1), y las 11 especies válidas restantes se consideran </w:t>
      </w:r>
      <w:proofErr w:type="spellStart"/>
      <w:r w:rsidRPr="00FE1D65">
        <w:rPr>
          <w:rFonts w:ascii="Arial" w:eastAsia="Times New Roman" w:hAnsi="Arial" w:cs="Arial"/>
          <w:bCs/>
          <w:iCs/>
          <w:lang w:val="es-ES"/>
        </w:rPr>
        <w:t>demersales</w:t>
      </w:r>
      <w:proofErr w:type="spellEnd"/>
      <w:r w:rsidRPr="00FE1D65">
        <w:rPr>
          <w:rFonts w:ascii="Arial" w:eastAsia="Times New Roman" w:hAnsi="Arial" w:cs="Arial"/>
          <w:bCs/>
          <w:iCs/>
          <w:lang w:val="es-ES"/>
        </w:rPr>
        <w:t>.</w:t>
      </w:r>
    </w:p>
    <w:p w14:paraId="28539DEA" w14:textId="04DCCC98" w:rsid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25A18BC2" w14:textId="77777777" w:rsidR="00CF3F08" w:rsidRPr="00FE1D65" w:rsidRDefault="00CF3F08"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79D2D38D"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Actividad 1.3 del </w:t>
      </w:r>
      <w:hyperlink r:id="rId11" w:history="1">
        <w:r w:rsidRPr="00FE1D65">
          <w:rPr>
            <w:rFonts w:ascii="Arial" w:eastAsia="Times New Roman" w:hAnsi="Arial" w:cs="Arial"/>
            <w:bCs/>
            <w:iCs/>
            <w:color w:val="0000FF"/>
            <w:u w:val="single"/>
            <w:lang w:val="es-ES"/>
          </w:rPr>
          <w:t xml:space="preserve">Plan de conservación (Anexo 3 del </w:t>
        </w:r>
        <w:proofErr w:type="spellStart"/>
        <w:r w:rsidRPr="00FE1D65">
          <w:rPr>
            <w:rFonts w:ascii="Arial" w:eastAsia="Times New Roman" w:hAnsi="Arial" w:cs="Arial"/>
            <w:bCs/>
            <w:iCs/>
            <w:color w:val="0000FF"/>
            <w:u w:val="single"/>
            <w:lang w:val="es-ES"/>
          </w:rPr>
          <w:t>MdE</w:t>
        </w:r>
        <w:proofErr w:type="spellEnd"/>
        <w:r w:rsidRPr="00FE1D65">
          <w:rPr>
            <w:rFonts w:ascii="Arial" w:eastAsia="Times New Roman" w:hAnsi="Arial" w:cs="Arial"/>
            <w:bCs/>
            <w:iCs/>
            <w:color w:val="0000FF"/>
            <w:u w:val="single"/>
            <w:lang w:val="es-ES"/>
          </w:rPr>
          <w:t xml:space="preserve"> sobre los Tiburones)</w:t>
        </w:r>
      </w:hyperlink>
      <w:r w:rsidRPr="00FE1D65">
        <w:rPr>
          <w:rFonts w:ascii="Arial" w:eastAsia="Times New Roman" w:hAnsi="Arial" w:cs="Arial"/>
          <w:bCs/>
          <w:iCs/>
          <w:lang w:val="es-ES"/>
        </w:rPr>
        <w:t xml:space="preserve"> solicita a los Signatarios que "Recopilen datos relevantes, mejoren el conocimiento ecológico y realicen estudios de referencia".</w:t>
      </w:r>
    </w:p>
    <w:p w14:paraId="280AB911"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3E6A89EE"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Actividad 3.2 del </w:t>
      </w:r>
      <w:hyperlink r:id="rId12" w:history="1">
        <w:r w:rsidRPr="00FE1D65">
          <w:rPr>
            <w:rFonts w:ascii="Arial" w:eastAsia="Times New Roman" w:hAnsi="Arial" w:cs="Arial"/>
            <w:bCs/>
            <w:iCs/>
            <w:color w:val="0000FF"/>
            <w:u w:val="single"/>
            <w:lang w:val="es-ES"/>
          </w:rPr>
          <w:t>Plan de conservación</w:t>
        </w:r>
      </w:hyperlink>
      <w:r w:rsidRPr="00FE1D65">
        <w:rPr>
          <w:rFonts w:ascii="Arial" w:eastAsia="Times New Roman" w:hAnsi="Arial" w:cs="Arial"/>
          <w:bCs/>
          <w:iCs/>
          <w:lang w:val="es-ES"/>
        </w:rPr>
        <w:t xml:space="preserve"> solicita a los Signatarios que "Desarrollen programas para establecer datos de referencia y facilitar la elaboración de informes para cada especie sobre: las tasas de captura de tiburones, la cantidad de capturas accidentales y dirigidas, la cantidad de residuos y descartes".</w:t>
      </w:r>
    </w:p>
    <w:p w14:paraId="183A579D"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113FE7F2"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Además, la iniciativa cumple el </w:t>
      </w:r>
      <w:hyperlink r:id="rId13" w:history="1">
        <w:r w:rsidRPr="00FE1D65">
          <w:rPr>
            <w:rFonts w:ascii="Arial" w:eastAsia="Times New Roman" w:hAnsi="Arial" w:cs="Arial"/>
            <w:bCs/>
            <w:iCs/>
            <w:color w:val="0000FF"/>
            <w:u w:val="single"/>
            <w:lang w:val="es-ES"/>
          </w:rPr>
          <w:t>Programa de Trabajo (2019 – 2021)</w:t>
        </w:r>
      </w:hyperlink>
      <w:r w:rsidRPr="00FE1D65">
        <w:rPr>
          <w:rFonts w:ascii="Arial" w:eastAsia="Times New Roman" w:hAnsi="Arial" w:cs="Arial"/>
          <w:bCs/>
          <w:iCs/>
          <w:lang w:val="es-ES"/>
        </w:rPr>
        <w:t xml:space="preserve"> N.º 16 para ‘Servir de enlace con el SSG de la CSE de la UICN y participar en talleres de evaluación y planificación de la conservación’.</w:t>
      </w:r>
    </w:p>
    <w:p w14:paraId="5BB1F472"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54FBA8D5" w14:textId="533B6773"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Estrategia de conservación y planes de acción regionales para tiburones y rayas</w:t>
      </w:r>
      <w:r w:rsidR="00DA13B3">
        <w:rPr>
          <w:rFonts w:ascii="Arial" w:eastAsia="Times New Roman" w:hAnsi="Arial" w:cs="Arial"/>
          <w:b/>
          <w:iCs/>
          <w:lang w:val="es-ES"/>
        </w:rPr>
        <w:t xml:space="preserve"> </w:t>
      </w:r>
      <w:r w:rsidR="00DA13B3" w:rsidRPr="00FE1D65">
        <w:rPr>
          <w:rFonts w:ascii="Arial" w:eastAsia="Times New Roman" w:hAnsi="Arial" w:cs="Arial"/>
          <w:b/>
          <w:iCs/>
          <w:lang w:val="es-ES"/>
        </w:rPr>
        <w:t>pelágicos</w:t>
      </w:r>
    </w:p>
    <w:p w14:paraId="5588D10A"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highlight w:val="yellow"/>
          <w:lang w:val="es-ES"/>
        </w:rPr>
      </w:pPr>
    </w:p>
    <w:p w14:paraId="7CC8486B"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objetivo de la planificación de la conservación de las especies es aumentar la eficacia de la acción garantizando que se basa en un análisis exhaustivo de la información disponible, en objetivos bien definidos y alcanzables, en la incorporación de múltiples perspectivas y en el acuerdo entre los implicados sobre lo que debe hacerse. </w:t>
      </w:r>
    </w:p>
    <w:p w14:paraId="2A8F1E45"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4F88F809" w14:textId="0D3457AC"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desarrollo de una </w:t>
      </w:r>
      <w:r w:rsidR="00DA13B3">
        <w:rPr>
          <w:rFonts w:ascii="Arial" w:eastAsia="Times New Roman" w:hAnsi="Arial" w:cs="Arial"/>
          <w:bCs/>
          <w:iCs/>
          <w:lang w:val="es-ES"/>
        </w:rPr>
        <w:t>e</w:t>
      </w:r>
      <w:r w:rsidRPr="00FE1D65">
        <w:rPr>
          <w:rFonts w:ascii="Arial" w:eastAsia="Times New Roman" w:hAnsi="Arial" w:cs="Arial"/>
          <w:bCs/>
          <w:iCs/>
          <w:lang w:val="es-ES"/>
        </w:rPr>
        <w:t xml:space="preserve">strategia </w:t>
      </w:r>
      <w:r w:rsidR="00DA13B3" w:rsidRPr="00DA13B3">
        <w:rPr>
          <w:rFonts w:ascii="Arial" w:eastAsia="Times New Roman" w:hAnsi="Arial" w:cs="Arial"/>
          <w:bCs/>
          <w:iCs/>
          <w:lang w:val="es-ES"/>
        </w:rPr>
        <w:t>mundial</w:t>
      </w:r>
      <w:r w:rsidR="00DA13B3" w:rsidRPr="00FE1D65">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 xml:space="preserve">onservación y de </w:t>
      </w:r>
      <w:r w:rsidR="00DA13B3">
        <w:rPr>
          <w:rFonts w:ascii="Arial" w:eastAsia="Times New Roman" w:hAnsi="Arial" w:cs="Arial"/>
          <w:bCs/>
          <w:iCs/>
          <w:lang w:val="es-ES"/>
        </w:rPr>
        <w:t>p</w:t>
      </w:r>
      <w:r w:rsidRPr="00FE1D65">
        <w:rPr>
          <w:rFonts w:ascii="Arial" w:eastAsia="Times New Roman" w:hAnsi="Arial" w:cs="Arial"/>
          <w:bCs/>
          <w:iCs/>
          <w:lang w:val="es-ES"/>
        </w:rPr>
        <w:t xml:space="preserve">lanes de </w:t>
      </w:r>
      <w:r w:rsidR="00DA13B3">
        <w:rPr>
          <w:rFonts w:ascii="Arial" w:eastAsia="Times New Roman" w:hAnsi="Arial" w:cs="Arial"/>
          <w:bCs/>
          <w:iCs/>
          <w:lang w:val="es-ES"/>
        </w:rPr>
        <w:t>a</w:t>
      </w:r>
      <w:r w:rsidRPr="00FE1D65">
        <w:rPr>
          <w:rFonts w:ascii="Arial" w:eastAsia="Times New Roman" w:hAnsi="Arial" w:cs="Arial"/>
          <w:bCs/>
          <w:iCs/>
          <w:lang w:val="es-ES"/>
        </w:rPr>
        <w:t xml:space="preserve">cción regionales se llevará a cabo en cooperación con </w:t>
      </w:r>
      <w:r w:rsidR="008C7BF0" w:rsidRPr="00355A11">
        <w:rPr>
          <w:rFonts w:ascii="Arial" w:eastAsia="Times New Roman" w:hAnsi="Arial" w:cs="Arial"/>
          <w:bCs/>
          <w:iCs/>
          <w:u w:val="single"/>
          <w:lang w:val="es-ES"/>
        </w:rPr>
        <w:t xml:space="preserve">los socios colaboradores pertinentes de las </w:t>
      </w:r>
      <w:proofErr w:type="spellStart"/>
      <w:r w:rsidR="008C7BF0" w:rsidRPr="00355A11">
        <w:rPr>
          <w:rFonts w:ascii="Arial" w:eastAsia="Times New Roman" w:hAnsi="Arial" w:cs="Arial"/>
          <w:bCs/>
          <w:iCs/>
          <w:u w:val="single"/>
          <w:lang w:val="es-ES"/>
        </w:rPr>
        <w:t>OROPs</w:t>
      </w:r>
      <w:proofErr w:type="spellEnd"/>
      <w:r w:rsidR="008C7BF0">
        <w:rPr>
          <w:rFonts w:ascii="Arial" w:eastAsia="Times New Roman" w:hAnsi="Arial" w:cs="Arial"/>
          <w:bCs/>
          <w:iCs/>
          <w:lang w:val="es-ES"/>
        </w:rPr>
        <w:t xml:space="preserve">, </w:t>
      </w:r>
      <w:r w:rsidRPr="00FE1D65">
        <w:rPr>
          <w:rFonts w:ascii="Arial" w:eastAsia="Times New Roman" w:hAnsi="Arial" w:cs="Arial"/>
          <w:bCs/>
          <w:iCs/>
          <w:lang w:val="es-ES"/>
        </w:rPr>
        <w:t>el Grupo de Especialistas en Planificación de la Conservación de la Comisión de Supervivencia de Especies de la Unión Internacional para la Conservación de la Naturaleza (CPSG de la CSE de la UICN), que dirige y apoya la planificación de la conservación de especies dentro de la CSE de la UICN. Su enfoque de la planificación está profundamente arraigado en una serie de principios que hacen hincapié en la solidez científica y la participación significativa de las principales partes interesadas. Estos principios se utilizan para guiar una serie de pasos de planificación que siguen evolucionando en respuesta a la creciente complejidad de los retos actuales de la conservación de la vida silvestre. En conjunto, estos principios y pasos son elementos importantes en el desarrollo y la aplicación de planes eficaces de conservación de especies.</w:t>
      </w:r>
      <w:r w:rsidRPr="00FE1D65">
        <w:rPr>
          <w:rFonts w:ascii="Arial" w:eastAsia="Times New Roman" w:hAnsi="Arial" w:cs="Times New Roman"/>
          <w:sz w:val="18"/>
          <w:szCs w:val="24"/>
          <w:lang w:val="es-ES"/>
        </w:rPr>
        <w:t xml:space="preserve"> </w:t>
      </w:r>
    </w:p>
    <w:p w14:paraId="54A0493C"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4266614"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Como la mayoría de las OROP tienen pocas normas de gestión para muchas especies incluidas en el Anexo 1, los organismos gubernamentales se quedan a menudo sin orientación para gestionar las pesquerías que interactúan con las especies incluidas en el Anexo 1 y conservar estas especies. Además, aparte de unos pocos planes nacionales de recuperación y gestión pesquera para determinadas especies, no existe ningún plan formal de conservación para la mayoría de los tiburones y rayas pelágicos en peligro. </w:t>
      </w:r>
    </w:p>
    <w:p w14:paraId="7026DA97"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1D9CBE15" w14:textId="59175F7A"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lastRenderedPageBreak/>
        <w:t xml:space="preserve">Por lo tanto, una </w:t>
      </w:r>
      <w:r w:rsidR="00DA13B3">
        <w:rPr>
          <w:rFonts w:ascii="Arial" w:eastAsia="Times New Roman" w:hAnsi="Arial" w:cs="Arial"/>
          <w:bCs/>
          <w:iCs/>
          <w:lang w:val="es-ES"/>
        </w:rPr>
        <w:t>e</w:t>
      </w:r>
      <w:r w:rsidRPr="00FE1D65">
        <w:rPr>
          <w:rFonts w:ascii="Arial" w:eastAsia="Times New Roman" w:hAnsi="Arial" w:cs="Arial"/>
          <w:bCs/>
          <w:iCs/>
          <w:lang w:val="es-ES"/>
        </w:rPr>
        <w:t xml:space="preserve">strategia </w:t>
      </w:r>
      <w:r w:rsidR="00DA13B3">
        <w:rPr>
          <w:rFonts w:ascii="Arial" w:eastAsia="Times New Roman" w:hAnsi="Arial" w:cs="Arial"/>
          <w:bCs/>
          <w:iCs/>
          <w:lang w:val="es-ES"/>
        </w:rPr>
        <w:t>m</w:t>
      </w:r>
      <w:r w:rsidRPr="00FE1D65">
        <w:rPr>
          <w:rFonts w:ascii="Arial" w:eastAsia="Times New Roman" w:hAnsi="Arial" w:cs="Arial"/>
          <w:bCs/>
          <w:iCs/>
          <w:lang w:val="es-ES"/>
        </w:rPr>
        <w:t xml:space="preserve">undial de </w:t>
      </w:r>
      <w:r w:rsidR="00DA13B3">
        <w:rPr>
          <w:rFonts w:ascii="Arial" w:eastAsia="Times New Roman" w:hAnsi="Arial" w:cs="Arial"/>
          <w:bCs/>
          <w:iCs/>
          <w:lang w:val="es-ES"/>
        </w:rPr>
        <w:t>c</w:t>
      </w:r>
      <w:r w:rsidRPr="00FE1D65">
        <w:rPr>
          <w:rFonts w:ascii="Arial" w:eastAsia="Times New Roman" w:hAnsi="Arial" w:cs="Arial"/>
          <w:bCs/>
          <w:iCs/>
          <w:lang w:val="es-ES"/>
        </w:rPr>
        <w:t xml:space="preserve">onservación y un </w:t>
      </w:r>
      <w:r w:rsidR="00DA13B3">
        <w:rPr>
          <w:rFonts w:ascii="Arial" w:eastAsia="Times New Roman" w:hAnsi="Arial" w:cs="Arial"/>
          <w:bCs/>
          <w:iCs/>
          <w:lang w:val="es-ES"/>
        </w:rPr>
        <w:t>p</w:t>
      </w:r>
      <w:r w:rsidRPr="00FE1D65">
        <w:rPr>
          <w:rFonts w:ascii="Arial" w:eastAsia="Times New Roman" w:hAnsi="Arial" w:cs="Arial"/>
          <w:bCs/>
          <w:iCs/>
          <w:lang w:val="es-ES"/>
        </w:rPr>
        <w:t xml:space="preserve">lan de </w:t>
      </w:r>
      <w:r w:rsidR="00DA13B3">
        <w:rPr>
          <w:rFonts w:ascii="Arial" w:eastAsia="Times New Roman" w:hAnsi="Arial" w:cs="Arial"/>
          <w:bCs/>
          <w:iCs/>
          <w:lang w:val="es-ES"/>
        </w:rPr>
        <w:t>a</w:t>
      </w:r>
      <w:r w:rsidRPr="00FE1D65">
        <w:rPr>
          <w:rFonts w:ascii="Arial" w:eastAsia="Times New Roman" w:hAnsi="Arial" w:cs="Arial"/>
          <w:bCs/>
          <w:iCs/>
          <w:lang w:val="es-ES"/>
        </w:rPr>
        <w:t xml:space="preserve">cción regional para las especies pelágicas tienen el potencial de llenar este vacío y servir de información y orientación fundamentales para los organismos gubernamentales y la comunidad pesquera internacional. </w:t>
      </w:r>
    </w:p>
    <w:p w14:paraId="2134DC69"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03F86524" w14:textId="10506B5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Con el apoyo financiero del Ministerio Federal Alemán de Medio Ambiente, Conservación de la Naturaleza, Seguridad Nuclear y Protección del Consumidor</w:t>
      </w:r>
      <w:r w:rsidR="00DA13B3">
        <w:rPr>
          <w:rFonts w:ascii="Arial" w:eastAsia="Times New Roman" w:hAnsi="Arial" w:cs="Arial"/>
          <w:bCs/>
          <w:iCs/>
          <w:lang w:val="es-ES"/>
        </w:rPr>
        <w:t xml:space="preserve"> </w:t>
      </w:r>
      <w:r w:rsidR="00DA13B3" w:rsidRPr="00DA13B3">
        <w:rPr>
          <w:rFonts w:ascii="Arial" w:eastAsia="Times New Roman" w:hAnsi="Arial" w:cs="Arial"/>
          <w:bCs/>
          <w:iCs/>
          <w:lang w:val="es-ES"/>
        </w:rPr>
        <w:t>y el Principado de Mónaco</w:t>
      </w:r>
      <w:r w:rsidRPr="00FE1D65">
        <w:rPr>
          <w:rFonts w:ascii="Arial" w:eastAsia="Times New Roman" w:hAnsi="Arial" w:cs="Arial"/>
          <w:bCs/>
          <w:iCs/>
          <w:lang w:val="es-ES"/>
        </w:rPr>
        <w:t>, el SSG de la CSE de la UICN en colaboración con el CPSG de la CSE de la UICN ya han dado los primeros pasos para iniciar el desarrollo de</w:t>
      </w:r>
      <w:r w:rsidR="00DA13B3">
        <w:rPr>
          <w:rFonts w:ascii="Arial" w:eastAsia="Times New Roman" w:hAnsi="Arial" w:cs="Arial"/>
          <w:bCs/>
          <w:iCs/>
          <w:lang w:val="es-ES"/>
        </w:rPr>
        <w:t xml:space="preserve"> </w:t>
      </w:r>
      <w:r w:rsidRPr="00FE1D65">
        <w:rPr>
          <w:rFonts w:ascii="Arial" w:eastAsia="Times New Roman" w:hAnsi="Arial" w:cs="Arial"/>
          <w:bCs/>
          <w:iCs/>
          <w:lang w:val="es-ES"/>
        </w:rPr>
        <w:t>l</w:t>
      </w:r>
      <w:r w:rsidR="00DA13B3">
        <w:rPr>
          <w:rFonts w:ascii="Arial" w:eastAsia="Times New Roman" w:hAnsi="Arial" w:cs="Arial"/>
          <w:bCs/>
          <w:iCs/>
          <w:lang w:val="es-ES"/>
        </w:rPr>
        <w:t>a</w:t>
      </w:r>
      <w:r w:rsidRPr="00FE1D65">
        <w:rPr>
          <w:rFonts w:ascii="Arial" w:eastAsia="Times New Roman" w:hAnsi="Arial" w:cs="Arial"/>
          <w:bCs/>
          <w:iCs/>
          <w:lang w:val="es-ES"/>
        </w:rPr>
        <w:t xml:space="preserve"> </w:t>
      </w:r>
      <w:r w:rsidR="00DA13B3">
        <w:rPr>
          <w:rFonts w:ascii="Arial" w:eastAsia="Times New Roman" w:hAnsi="Arial" w:cs="Arial"/>
          <w:bCs/>
          <w:iCs/>
          <w:lang w:val="es-ES"/>
        </w:rPr>
        <w:t>e</w:t>
      </w:r>
      <w:r w:rsidR="00DA13B3" w:rsidRPr="00FE1D65">
        <w:rPr>
          <w:rFonts w:ascii="Arial" w:eastAsia="Times New Roman" w:hAnsi="Arial" w:cs="Arial"/>
          <w:bCs/>
          <w:iCs/>
          <w:lang w:val="es-ES"/>
        </w:rPr>
        <w:t>strategia</w:t>
      </w:r>
      <w:r w:rsidR="00DA13B3" w:rsidRPr="00FE1D65" w:rsidDel="00DA13B3">
        <w:rPr>
          <w:rFonts w:ascii="Arial" w:eastAsia="Times New Roman" w:hAnsi="Arial" w:cs="Arial"/>
          <w:bCs/>
          <w:iCs/>
          <w:lang w:val="es-ES"/>
        </w:rPr>
        <w:t xml:space="preserve"> </w:t>
      </w:r>
      <w:r w:rsidR="00DA13B3">
        <w:rPr>
          <w:rFonts w:ascii="Arial" w:eastAsia="Times New Roman" w:hAnsi="Arial" w:cs="Arial"/>
          <w:bCs/>
          <w:iCs/>
          <w:lang w:val="es-ES"/>
        </w:rPr>
        <w:t xml:space="preserve">mundial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 En octubre de 2022 se celebró una reunión virtual de expertos. Está prevista una segunda reunión virtual en enero de 2023. En estas reuniones participan científicos, responsables políticos y partes interesadas para recoger aportaciones preliminares sobre el alcance y la escala de</w:t>
      </w:r>
      <w:r w:rsidR="00DA13B3">
        <w:rPr>
          <w:rFonts w:ascii="Arial" w:eastAsia="Times New Roman" w:hAnsi="Arial" w:cs="Arial"/>
          <w:bCs/>
          <w:iCs/>
          <w:lang w:val="es-ES"/>
        </w:rPr>
        <w:t xml:space="preserve"> </w:t>
      </w:r>
      <w:r w:rsidRPr="00FE1D65">
        <w:rPr>
          <w:rFonts w:ascii="Arial" w:eastAsia="Times New Roman" w:hAnsi="Arial" w:cs="Arial"/>
          <w:bCs/>
          <w:iCs/>
          <w:lang w:val="es-ES"/>
        </w:rPr>
        <w:t>l</w:t>
      </w:r>
      <w:r w:rsidR="00DA13B3">
        <w:rPr>
          <w:rFonts w:ascii="Arial" w:eastAsia="Times New Roman" w:hAnsi="Arial" w:cs="Arial"/>
          <w:bCs/>
          <w:iCs/>
          <w:lang w:val="es-ES"/>
        </w:rPr>
        <w:t>a</w:t>
      </w:r>
      <w:r w:rsidRPr="00FE1D65">
        <w:rPr>
          <w:rFonts w:ascii="Arial" w:eastAsia="Times New Roman" w:hAnsi="Arial" w:cs="Arial"/>
          <w:bCs/>
          <w:iCs/>
          <w:lang w:val="es-ES"/>
        </w:rPr>
        <w:t xml:space="preserve"> </w:t>
      </w:r>
      <w:r w:rsidR="00DA13B3">
        <w:rPr>
          <w:rFonts w:ascii="Arial" w:eastAsia="Times New Roman" w:hAnsi="Arial" w:cs="Arial"/>
          <w:bCs/>
          <w:iCs/>
          <w:lang w:val="es-ES"/>
        </w:rPr>
        <w:t>e</w:t>
      </w:r>
      <w:r w:rsidR="00DA13B3" w:rsidRPr="00FE1D65">
        <w:rPr>
          <w:rFonts w:ascii="Arial" w:eastAsia="Times New Roman" w:hAnsi="Arial" w:cs="Arial"/>
          <w:bCs/>
          <w:iCs/>
          <w:lang w:val="es-ES"/>
        </w:rPr>
        <w:t>strategia</w:t>
      </w:r>
      <w:r w:rsidR="00DA13B3" w:rsidRPr="00FE1D65" w:rsidDel="00DA13B3">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w:t>
      </w:r>
    </w:p>
    <w:p w14:paraId="6B4CC402"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highlight w:val="yellow"/>
          <w:lang w:val="es-ES"/>
        </w:rPr>
      </w:pPr>
    </w:p>
    <w:p w14:paraId="7B0867D3" w14:textId="2ADDE8AF"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 xml:space="preserve">Mejora de la disponibilidad de datos para los Signatarios del </w:t>
      </w:r>
      <w:proofErr w:type="spellStart"/>
      <w:r w:rsidRPr="00FE1D65">
        <w:rPr>
          <w:rFonts w:ascii="Arial" w:eastAsia="Times New Roman" w:hAnsi="Arial" w:cs="Arial"/>
          <w:b/>
          <w:iCs/>
          <w:lang w:val="es-ES"/>
        </w:rPr>
        <w:t>MdE</w:t>
      </w:r>
      <w:proofErr w:type="spellEnd"/>
      <w:r w:rsidRPr="00FE1D65">
        <w:rPr>
          <w:rFonts w:ascii="Arial" w:eastAsia="Times New Roman" w:hAnsi="Arial" w:cs="Arial"/>
          <w:b/>
          <w:iCs/>
          <w:lang w:val="es-ES"/>
        </w:rPr>
        <w:t xml:space="preserve"> sobre los Tiburones de la CMS y las Partes Contratantes de la Comisión del Atún para el Océano Índico (CAOI) en la región del Océano Índico</w:t>
      </w:r>
    </w:p>
    <w:p w14:paraId="0C840776"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401EEC72" w14:textId="26E51C95"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etapa inicial </w:t>
      </w:r>
      <w:r w:rsidR="006A6406" w:rsidRPr="006A6406">
        <w:rPr>
          <w:rFonts w:ascii="Arial" w:eastAsia="Times New Roman" w:hAnsi="Arial" w:cs="Arial"/>
          <w:bCs/>
          <w:iCs/>
          <w:lang w:val="es-ES"/>
        </w:rPr>
        <w:t xml:space="preserve">de la iniciativa </w:t>
      </w:r>
      <w:r w:rsidRPr="00FE1D65">
        <w:rPr>
          <w:rFonts w:ascii="Arial" w:eastAsia="Times New Roman" w:hAnsi="Arial" w:cs="Arial"/>
          <w:bCs/>
          <w:iCs/>
          <w:lang w:val="es-ES"/>
        </w:rPr>
        <w:t xml:space="preserve">se centrará </w:t>
      </w:r>
      <w:r w:rsidR="006A6406" w:rsidRPr="006A6406">
        <w:rPr>
          <w:rFonts w:ascii="Arial" w:eastAsia="Times New Roman" w:hAnsi="Arial" w:cs="Arial"/>
          <w:bCs/>
          <w:iCs/>
          <w:lang w:val="es-ES"/>
        </w:rPr>
        <w:t xml:space="preserve">en la elaboración de un plan de acción regional para la región </w:t>
      </w:r>
      <w:r w:rsidRPr="00FE1D65">
        <w:rPr>
          <w:rFonts w:ascii="Arial" w:eastAsia="Times New Roman" w:hAnsi="Arial" w:cs="Arial"/>
          <w:bCs/>
          <w:iCs/>
          <w:lang w:val="es-ES"/>
        </w:rPr>
        <w:t xml:space="preserve">del Océano Índico, ya que el estado de la Lista Roja </w:t>
      </w:r>
      <w:r w:rsidR="006A6406" w:rsidRPr="006A6406">
        <w:rPr>
          <w:rFonts w:ascii="Arial" w:eastAsia="Times New Roman" w:hAnsi="Arial" w:cs="Arial"/>
          <w:bCs/>
          <w:iCs/>
          <w:lang w:val="es-ES"/>
        </w:rPr>
        <w:t>de la UICN</w:t>
      </w:r>
      <w:r w:rsidR="006A6406">
        <w:rPr>
          <w:rFonts w:ascii="Arial" w:eastAsia="Times New Roman" w:hAnsi="Arial" w:cs="Arial"/>
          <w:bCs/>
          <w:iCs/>
          <w:lang w:val="es-ES"/>
        </w:rPr>
        <w:t xml:space="preserve"> </w:t>
      </w:r>
      <w:r w:rsidRPr="00FE1D65">
        <w:rPr>
          <w:rFonts w:ascii="Arial" w:eastAsia="Times New Roman" w:hAnsi="Arial" w:cs="Arial"/>
          <w:bCs/>
          <w:iCs/>
          <w:lang w:val="es-ES"/>
        </w:rPr>
        <w:t xml:space="preserve">y la disponibilidad de datos para muchas especies de tiburones y rayas es peor en esta cuenca oceánica que en cualquier otra parte del mundo. Además, en esta región se ha observado una disminución de tiburones y rayas pelágicos de hasta el 85 %. </w:t>
      </w:r>
      <w:r w:rsidR="006A6406" w:rsidRPr="006A6406">
        <w:rPr>
          <w:rFonts w:ascii="Arial" w:eastAsia="Times New Roman" w:hAnsi="Arial" w:cs="Arial"/>
          <w:bCs/>
          <w:iCs/>
          <w:lang w:val="es-ES"/>
        </w:rPr>
        <w:t xml:space="preserve">Este agotamiento ha aumentado el riesgo de extinción global de las especies de esta región hasta el punto de que tres cuartas partes de ellas están amenazadas de extinción. </w:t>
      </w:r>
      <w:r w:rsidRPr="00FE1D65">
        <w:rPr>
          <w:rFonts w:ascii="Arial" w:eastAsia="Times New Roman" w:hAnsi="Arial" w:cs="Arial"/>
          <w:bCs/>
          <w:iCs/>
          <w:lang w:val="es-ES"/>
        </w:rPr>
        <w:t xml:space="preserve"> (</w:t>
      </w:r>
      <w:proofErr w:type="spellStart"/>
      <w:r w:rsidR="00B17159">
        <w:fldChar w:fldCharType="begin"/>
      </w:r>
      <w:r w:rsidR="00B17159" w:rsidRPr="00E272CE">
        <w:rPr>
          <w:lang w:val="es-ES"/>
        </w:rPr>
        <w:instrText>HYPERLINK "https://www.cms.int/sharks/en/document/half-century-global-decline-oceanic-sharks-and-rays"</w:instrText>
      </w:r>
      <w:r w:rsidR="00B17159">
        <w:fldChar w:fldCharType="separate"/>
      </w:r>
      <w:r w:rsidRPr="00FE1D65">
        <w:rPr>
          <w:rFonts w:ascii="Arial" w:eastAsia="Times New Roman" w:hAnsi="Arial" w:cs="Arial"/>
          <w:bCs/>
          <w:iCs/>
          <w:color w:val="0000FF"/>
          <w:u w:val="single"/>
          <w:lang w:val="es-ES"/>
        </w:rPr>
        <w:t>Pacoureau</w:t>
      </w:r>
      <w:proofErr w:type="spellEnd"/>
      <w:r w:rsidRPr="00FE1D65">
        <w:rPr>
          <w:rFonts w:ascii="Arial" w:eastAsia="Times New Roman" w:hAnsi="Arial" w:cs="Arial"/>
          <w:bCs/>
          <w:iCs/>
          <w:color w:val="0000FF"/>
          <w:u w:val="single"/>
          <w:lang w:val="es-ES"/>
        </w:rPr>
        <w:t xml:space="preserve"> </w:t>
      </w:r>
      <w:r w:rsidRPr="00FE1D65">
        <w:rPr>
          <w:rFonts w:ascii="Arial" w:eastAsia="Times New Roman" w:hAnsi="Arial" w:cs="Arial"/>
          <w:bCs/>
          <w:i/>
          <w:color w:val="0000FF"/>
          <w:u w:val="single"/>
          <w:lang w:val="es-ES"/>
        </w:rPr>
        <w:t>et al.</w:t>
      </w:r>
      <w:r w:rsidRPr="00FE1D65">
        <w:rPr>
          <w:rFonts w:ascii="Arial" w:eastAsia="Times New Roman" w:hAnsi="Arial" w:cs="Arial"/>
          <w:bCs/>
          <w:iCs/>
          <w:color w:val="0000FF"/>
          <w:u w:val="single"/>
          <w:lang w:val="es-ES"/>
        </w:rPr>
        <w:t xml:space="preserve"> 2021</w:t>
      </w:r>
      <w:r w:rsidRPr="00FE1D65">
        <w:rPr>
          <w:rFonts w:ascii="Arial" w:eastAsia="Times New Roman" w:hAnsi="Arial" w:cs="Arial"/>
          <w:bCs/>
          <w:iCs/>
          <w:color w:val="0000FF"/>
          <w:u w:val="single"/>
          <w:vertAlign w:val="superscript"/>
          <w:lang w:val="es-ES"/>
        </w:rPr>
        <w:t>1</w:t>
      </w:r>
      <w:r w:rsidRPr="00FE1D65">
        <w:rPr>
          <w:rFonts w:ascii="Arial" w:eastAsia="Times New Roman" w:hAnsi="Arial" w:cs="Arial"/>
          <w:bCs/>
          <w:iCs/>
          <w:color w:val="0000FF"/>
          <w:u w:val="single"/>
          <w:lang w:val="es-ES"/>
        </w:rPr>
        <w:t>, proporcionado como documento CMS/</w:t>
      </w:r>
      <w:proofErr w:type="spellStart"/>
      <w:r w:rsidRPr="00FE1D65">
        <w:rPr>
          <w:rFonts w:ascii="Arial" w:eastAsia="Times New Roman" w:hAnsi="Arial" w:cs="Arial"/>
          <w:bCs/>
          <w:iCs/>
          <w:color w:val="0000FF"/>
          <w:u w:val="single"/>
          <w:lang w:val="es-ES"/>
        </w:rPr>
        <w:t>Sharks</w:t>
      </w:r>
      <w:proofErr w:type="spellEnd"/>
      <w:r w:rsidRPr="00FE1D65">
        <w:rPr>
          <w:rFonts w:ascii="Arial" w:eastAsia="Times New Roman" w:hAnsi="Arial" w:cs="Arial"/>
          <w:bCs/>
          <w:iCs/>
          <w:color w:val="0000FF"/>
          <w:u w:val="single"/>
          <w:lang w:val="es-ES"/>
        </w:rPr>
        <w:t>/MOS4/Inf.6</w:t>
      </w:r>
      <w:r w:rsidR="00B17159">
        <w:rPr>
          <w:rFonts w:ascii="Arial" w:eastAsia="Times New Roman" w:hAnsi="Arial" w:cs="Arial"/>
          <w:bCs/>
          <w:iCs/>
          <w:color w:val="0000FF"/>
          <w:u w:val="single"/>
          <w:lang w:val="es-ES"/>
        </w:rPr>
        <w:fldChar w:fldCharType="end"/>
      </w:r>
      <w:r w:rsidRPr="00FE1D65">
        <w:rPr>
          <w:rFonts w:ascii="Arial" w:eastAsia="Times New Roman" w:hAnsi="Arial" w:cs="Arial"/>
          <w:bCs/>
          <w:iCs/>
          <w:lang w:val="es-ES"/>
        </w:rPr>
        <w:t>).</w:t>
      </w:r>
    </w:p>
    <w:p w14:paraId="7D619C30"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24B1E848" w14:textId="2984DFE0"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El estado actual de los conocimientos sobre las poblaciones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en el Océano Índico es pobre, y la mayoría de las especies se consideran con datos limitados. La CAOI clasifica actualmente la situación de todos los tiburones como </w:t>
      </w:r>
      <w:r w:rsidR="006A6406">
        <w:rPr>
          <w:rFonts w:ascii="Arial" w:eastAsia="Times New Roman" w:hAnsi="Arial" w:cs="Arial"/>
          <w:bCs/>
          <w:iCs/>
          <w:lang w:val="es-ES"/>
        </w:rPr>
        <w:t>“</w:t>
      </w:r>
      <w:r w:rsidRPr="00FE1D65">
        <w:rPr>
          <w:rFonts w:ascii="Arial" w:eastAsia="Times New Roman" w:hAnsi="Arial" w:cs="Arial"/>
          <w:bCs/>
          <w:iCs/>
          <w:lang w:val="es-ES"/>
        </w:rPr>
        <w:t>No evaluada/Incierta</w:t>
      </w:r>
      <w:r w:rsidR="006A6406">
        <w:rPr>
          <w:rFonts w:ascii="Arial" w:eastAsia="Times New Roman" w:hAnsi="Arial" w:cs="Arial"/>
          <w:bCs/>
          <w:iCs/>
          <w:lang w:val="es-ES"/>
        </w:rPr>
        <w:t>”</w:t>
      </w:r>
      <w:r w:rsidRPr="00FE1D65">
        <w:rPr>
          <w:rFonts w:ascii="Arial" w:eastAsia="Times New Roman" w:hAnsi="Arial" w:cs="Arial"/>
          <w:bCs/>
          <w:iCs/>
          <w:lang w:val="es-ES"/>
        </w:rPr>
        <w:t>. Dada la falta de disponibilidad de datos sobre estas especies, es necesario realizar ejercicios de extracción de datos no sólo para proporcionar información que sirva de orientación para el Plan de Conservación, sino también para actualizar las bases de datos actuales de la CAOI y ayudar en la labor del Grupo de Trabajo sobre Ecosistemas y Capturas Incidentales (WPEB) de la CAOI.</w:t>
      </w:r>
    </w:p>
    <w:p w14:paraId="5828DBF6"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328B42FC" w14:textId="6174CCD4"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El objetivo general de la iniciativa para la región del Océano Índico es recopilar datos sobre las capturas de 19 especies</w:t>
      </w:r>
      <w:r w:rsidRPr="00FE1D65">
        <w:rPr>
          <w:rFonts w:ascii="Arial" w:eastAsia="Times New Roman" w:hAnsi="Arial" w:cs="Arial"/>
          <w:bCs/>
          <w:iCs/>
          <w:vertAlign w:val="superscript"/>
          <w:lang w:val="es-ES"/>
        </w:rPr>
        <w:footnoteReference w:id="6"/>
      </w:r>
      <w:r w:rsidRPr="00FE1D65">
        <w:rPr>
          <w:rFonts w:ascii="Arial" w:eastAsia="Times New Roman" w:hAnsi="Arial" w:cs="Arial"/>
          <w:bCs/>
          <w:iCs/>
          <w:lang w:val="es-ES"/>
        </w:rPr>
        <w:t xml:space="preserve"> de tiburones y rayas, desarrollar un </w:t>
      </w:r>
      <w:r w:rsidR="006A6406">
        <w:rPr>
          <w:rFonts w:ascii="Arial" w:eastAsia="Times New Roman" w:hAnsi="Arial" w:cs="Arial"/>
          <w:bCs/>
          <w:iCs/>
          <w:lang w:val="es-ES"/>
        </w:rPr>
        <w:t>p</w:t>
      </w:r>
      <w:r w:rsidRPr="00FE1D65">
        <w:rPr>
          <w:rFonts w:ascii="Arial" w:eastAsia="Times New Roman" w:hAnsi="Arial" w:cs="Arial"/>
          <w:bCs/>
          <w:iCs/>
          <w:lang w:val="es-ES"/>
        </w:rPr>
        <w:t xml:space="preserve">lan de acción regional para tiburones y rayas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y proporcionar los datos cotejados y el </w:t>
      </w:r>
      <w:r w:rsidR="006A6406">
        <w:rPr>
          <w:rFonts w:ascii="Arial" w:eastAsia="Times New Roman" w:hAnsi="Arial" w:cs="Arial"/>
          <w:bCs/>
          <w:iCs/>
          <w:lang w:val="es-ES"/>
        </w:rPr>
        <w:t>p</w:t>
      </w:r>
      <w:r w:rsidRPr="00FE1D65">
        <w:rPr>
          <w:rFonts w:ascii="Arial" w:eastAsia="Times New Roman" w:hAnsi="Arial" w:cs="Arial"/>
          <w:bCs/>
          <w:iCs/>
          <w:lang w:val="es-ES"/>
        </w:rPr>
        <w:t xml:space="preserve">lan de acción regional a los Signatarios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de la región del Océano Índico y al Comité Científico de la CAOI.</w:t>
      </w:r>
    </w:p>
    <w:p w14:paraId="2395967D"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3CBB0430"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Junto con la recopilación de datos, es necesario desarrollar una medida del nivel de riesgo (por ejemplo, puntos de referencia de riesgo) de estas especies pelágicas para informar a los responsables de la toma de decisiones y a los planificadores de la conservación. A falta de una evaluación formal de las poblaciones para medir un índice de abundancia relativa, pueden calcularse puntos de referencia basados en la mortalidad por pesca para asignar un nivel de riesgo a cada especie en el Océano Índico.</w:t>
      </w:r>
    </w:p>
    <w:p w14:paraId="6D9C89EA"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963C61A" w14:textId="10C7AB76"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Una vez establecidos estos puntos de referencia para cada especie, puede establecerse un nivel de riesgo y asignar la especie a una categoría de riesgo (por </w:t>
      </w:r>
      <w:r w:rsidRPr="00FE1D65">
        <w:rPr>
          <w:rFonts w:ascii="Arial" w:eastAsia="Times New Roman" w:hAnsi="Arial" w:cs="Arial"/>
          <w:bCs/>
          <w:iCs/>
          <w:lang w:val="es-ES"/>
        </w:rPr>
        <w:lastRenderedPageBreak/>
        <w:t xml:space="preserve">ejemplo, en recuperación, riesgo medio, riesgo alto). Se trata de una forma alternativa de calcular el riesgo de declive de una especie cuando los datos sobre las características del ciclo vital, el tamaño de la población y la captura por prácticas pesqueras dirigidas y no dirigidas son limitados. Estas evaluaciones de riesgo serán esenciales para contribuir al </w:t>
      </w:r>
      <w:r w:rsidR="002A19B3">
        <w:rPr>
          <w:rFonts w:ascii="Arial" w:eastAsia="Times New Roman" w:hAnsi="Arial" w:cs="Arial"/>
          <w:bCs/>
          <w:iCs/>
          <w:lang w:val="es-ES"/>
        </w:rPr>
        <w:t>p</w:t>
      </w:r>
      <w:r w:rsidRPr="00FE1D65">
        <w:rPr>
          <w:rFonts w:ascii="Arial" w:eastAsia="Times New Roman" w:hAnsi="Arial" w:cs="Arial"/>
          <w:bCs/>
          <w:iCs/>
          <w:lang w:val="es-ES"/>
        </w:rPr>
        <w:t>lan de acción regional para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w:t>
      </w:r>
    </w:p>
    <w:p w14:paraId="73B3A317"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4F74D8A0" w14:textId="78192EF8" w:rsidR="00FE1D65" w:rsidRPr="00CF3F08" w:rsidRDefault="00FE1D65" w:rsidP="00CF3F08">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u w:val="single"/>
          <w:lang w:val="es-ES"/>
        </w:rPr>
      </w:pPr>
      <w:r w:rsidRPr="00FE1D65">
        <w:rPr>
          <w:rFonts w:ascii="Arial" w:eastAsia="Times New Roman" w:hAnsi="Arial" w:cs="Arial"/>
          <w:bCs/>
          <w:iCs/>
          <w:lang w:val="es-ES"/>
        </w:rPr>
        <w:t xml:space="preserve">Esta iniciativa proporcionará, para estas especies pelágicas enumeradas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información para ayudar tanto a los Signatarios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como a las Partes Contratantes de la CAOI a tomar decisiones informadas, desarrollar estrategias adecuadas específicas para cada especie, alinear las políticas nacionales y regionales sobre la gestión sostenible de la pesca, preparar evaluaciones de las poblaciones, así como proporcionar orientación sobre las prioridades de cooperación internacional en toda la región para lograr objetivos comunes. Además, el proyecto apoyaría proporcionar otra herramienta para priorizar las especies en 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en función del nivel de riesgo. </w:t>
      </w:r>
    </w:p>
    <w:p w14:paraId="666029F5" w14:textId="77777777" w:rsidR="00693330" w:rsidRDefault="00693330" w:rsidP="009C665F">
      <w:pPr>
        <w:autoSpaceDN w:val="0"/>
        <w:spacing w:after="0" w:line="240" w:lineRule="auto"/>
        <w:ind w:right="26"/>
        <w:jc w:val="both"/>
        <w:rPr>
          <w:rFonts w:ascii="Arial" w:eastAsia="Times New Roman" w:hAnsi="Arial" w:cs="Arial"/>
          <w:u w:val="single"/>
          <w:lang w:val="es-ES"/>
        </w:rPr>
      </w:pPr>
    </w:p>
    <w:p w14:paraId="75E53F35" w14:textId="64427F9E" w:rsidR="00FE1D65" w:rsidRPr="008C7BF0" w:rsidRDefault="00FE1D65" w:rsidP="009C665F">
      <w:pPr>
        <w:autoSpaceDN w:val="0"/>
        <w:spacing w:after="0" w:line="240" w:lineRule="auto"/>
        <w:ind w:right="26"/>
        <w:jc w:val="both"/>
        <w:rPr>
          <w:rFonts w:ascii="Arial" w:eastAsia="Times New Roman" w:hAnsi="Arial" w:cs="Arial"/>
          <w:strike/>
          <w:u w:val="single"/>
          <w:lang w:val="es-ES"/>
        </w:rPr>
      </w:pPr>
      <w:r w:rsidRPr="008C7BF0">
        <w:rPr>
          <w:rFonts w:ascii="Arial" w:eastAsia="Times New Roman" w:hAnsi="Arial" w:cs="Arial"/>
          <w:strike/>
          <w:u w:val="single"/>
          <w:lang w:val="es-ES"/>
        </w:rPr>
        <w:t xml:space="preserve">Acción </w:t>
      </w:r>
      <w:r w:rsidR="00693330" w:rsidRPr="008C7BF0">
        <w:rPr>
          <w:rFonts w:ascii="Arial" w:eastAsia="Times New Roman" w:hAnsi="Arial" w:cs="Arial"/>
          <w:strike/>
          <w:u w:val="single"/>
          <w:lang w:val="es-ES"/>
        </w:rPr>
        <w:t>recomendada</w:t>
      </w:r>
      <w:r w:rsidRPr="008C7BF0">
        <w:rPr>
          <w:rFonts w:ascii="Arial" w:eastAsia="Times New Roman" w:hAnsi="Arial" w:cs="Arial"/>
          <w:strike/>
          <w:u w:val="single"/>
          <w:lang w:val="es-ES"/>
        </w:rPr>
        <w:t>:</w:t>
      </w:r>
    </w:p>
    <w:p w14:paraId="76B6CA30" w14:textId="351D967F" w:rsidR="00FE1D65" w:rsidRPr="008C7BF0" w:rsidRDefault="00FE1D65" w:rsidP="009C665F">
      <w:pPr>
        <w:widowControl w:val="0"/>
        <w:autoSpaceDE w:val="0"/>
        <w:autoSpaceDN w:val="0"/>
        <w:adjustRightInd w:val="0"/>
        <w:spacing w:after="0" w:line="240" w:lineRule="auto"/>
        <w:ind w:right="26"/>
        <w:jc w:val="both"/>
        <w:rPr>
          <w:rFonts w:ascii="Arial" w:eastAsia="Times New Roman" w:hAnsi="Arial" w:cs="Arial"/>
          <w:strike/>
          <w:lang w:val="es-ES"/>
        </w:rPr>
      </w:pPr>
    </w:p>
    <w:p w14:paraId="5D77900B" w14:textId="77777777" w:rsidR="00FE1D65" w:rsidRPr="008C7BF0" w:rsidRDefault="00FE1D65" w:rsidP="009C665F">
      <w:pPr>
        <w:pStyle w:val="ListParagraph"/>
        <w:widowControl w:val="0"/>
        <w:numPr>
          <w:ilvl w:val="0"/>
          <w:numId w:val="1"/>
        </w:numPr>
        <w:autoSpaceDE w:val="0"/>
        <w:autoSpaceDN w:val="0"/>
        <w:adjustRightInd w:val="0"/>
        <w:spacing w:after="0" w:line="240" w:lineRule="auto"/>
        <w:ind w:left="540" w:right="26" w:hanging="540"/>
        <w:jc w:val="both"/>
        <w:rPr>
          <w:rFonts w:ascii="Arial" w:eastAsia="Times New Roman" w:hAnsi="Arial" w:cs="Arial"/>
          <w:strike/>
          <w:lang w:val="es-ES"/>
        </w:rPr>
      </w:pPr>
      <w:r w:rsidRPr="008C7BF0">
        <w:rPr>
          <w:rFonts w:ascii="Arial" w:eastAsia="Times New Roman" w:hAnsi="Arial" w:cs="Arial"/>
          <w:strike/>
          <w:lang w:val="es-ES"/>
        </w:rPr>
        <w:t>Se solicita a la Reunión:</w:t>
      </w:r>
    </w:p>
    <w:p w14:paraId="4EDDD288" w14:textId="77777777" w:rsidR="00FE1D65" w:rsidRPr="008C7BF0" w:rsidRDefault="00FE1D65" w:rsidP="009C665F">
      <w:pPr>
        <w:widowControl w:val="0"/>
        <w:autoSpaceDE w:val="0"/>
        <w:autoSpaceDN w:val="0"/>
        <w:adjustRightInd w:val="0"/>
        <w:spacing w:after="0" w:line="240" w:lineRule="auto"/>
        <w:ind w:left="720" w:right="26"/>
        <w:contextualSpacing/>
        <w:jc w:val="both"/>
        <w:rPr>
          <w:rFonts w:ascii="Arial" w:eastAsia="Times New Roman" w:hAnsi="Arial" w:cs="Arial"/>
          <w:strike/>
          <w:lang w:val="es-ES"/>
        </w:rPr>
      </w:pPr>
    </w:p>
    <w:p w14:paraId="2EE291C2" w14:textId="77E16F5A" w:rsidR="00FE1D65" w:rsidRPr="008C7BF0" w:rsidRDefault="00693330" w:rsidP="009C665F">
      <w:pPr>
        <w:widowControl w:val="0"/>
        <w:numPr>
          <w:ilvl w:val="0"/>
          <w:numId w:val="2"/>
        </w:numPr>
        <w:autoSpaceDE w:val="0"/>
        <w:autoSpaceDN w:val="0"/>
        <w:adjustRightInd w:val="0"/>
        <w:spacing w:after="0" w:line="240" w:lineRule="auto"/>
        <w:ind w:left="900" w:right="26"/>
        <w:contextualSpacing/>
        <w:jc w:val="both"/>
        <w:rPr>
          <w:rFonts w:ascii="Arial" w:eastAsia="Times New Roman" w:hAnsi="Arial" w:cs="Arial"/>
          <w:strike/>
          <w:lang w:val="es-ES"/>
        </w:rPr>
      </w:pPr>
      <w:r w:rsidRPr="008C7BF0">
        <w:rPr>
          <w:rFonts w:ascii="Arial" w:eastAsia="Times New Roman" w:hAnsi="Arial" w:cs="Arial"/>
          <w:strike/>
          <w:lang w:val="es-ES"/>
        </w:rPr>
        <w:t>r</w:t>
      </w:r>
      <w:r w:rsidR="00FE1D65" w:rsidRPr="008C7BF0">
        <w:rPr>
          <w:rFonts w:ascii="Arial" w:eastAsia="Times New Roman" w:hAnsi="Arial" w:cs="Arial"/>
          <w:strike/>
          <w:lang w:val="es-ES"/>
        </w:rPr>
        <w:t xml:space="preserve">evisar el borrador de decisión presentado en </w:t>
      </w:r>
      <w:r w:rsidR="00FE1D65" w:rsidRPr="008C7BF0">
        <w:rPr>
          <w:rFonts w:ascii="Arial" w:eastAsia="Times New Roman" w:hAnsi="Arial" w:cs="Arial"/>
          <w:strike/>
          <w:u w:val="single"/>
          <w:lang w:val="es-ES"/>
        </w:rPr>
        <w:t>el Anexo 1</w:t>
      </w:r>
      <w:r w:rsidR="00FE1D65" w:rsidRPr="008C7BF0">
        <w:rPr>
          <w:rFonts w:ascii="Arial" w:eastAsia="Times New Roman" w:hAnsi="Arial" w:cs="Arial"/>
          <w:strike/>
          <w:lang w:val="es-ES"/>
        </w:rPr>
        <w:t xml:space="preserve"> del presente documento y acordar una versión final;</w:t>
      </w:r>
    </w:p>
    <w:p w14:paraId="0B9B80CF" w14:textId="77777777" w:rsidR="00FE1D65" w:rsidRPr="008C7BF0" w:rsidRDefault="00FE1D65" w:rsidP="009C665F">
      <w:pPr>
        <w:widowControl w:val="0"/>
        <w:autoSpaceDE w:val="0"/>
        <w:autoSpaceDN w:val="0"/>
        <w:adjustRightInd w:val="0"/>
        <w:spacing w:after="0" w:line="240" w:lineRule="auto"/>
        <w:ind w:left="900" w:right="26" w:hanging="360"/>
        <w:contextualSpacing/>
        <w:jc w:val="both"/>
        <w:rPr>
          <w:rFonts w:ascii="Arial" w:eastAsia="Times New Roman" w:hAnsi="Arial" w:cs="Arial"/>
          <w:strike/>
          <w:lang w:val="es-ES"/>
        </w:rPr>
      </w:pPr>
    </w:p>
    <w:p w14:paraId="6A8EB1B7" w14:textId="3E834668" w:rsidR="00E966DE" w:rsidRPr="008C7BF0" w:rsidRDefault="00693330" w:rsidP="009C665F">
      <w:pPr>
        <w:widowControl w:val="0"/>
        <w:numPr>
          <w:ilvl w:val="0"/>
          <w:numId w:val="2"/>
        </w:numPr>
        <w:autoSpaceDE w:val="0"/>
        <w:autoSpaceDN w:val="0"/>
        <w:adjustRightInd w:val="0"/>
        <w:spacing w:after="0" w:line="240" w:lineRule="auto"/>
        <w:ind w:left="900" w:right="26"/>
        <w:contextualSpacing/>
        <w:jc w:val="both"/>
        <w:rPr>
          <w:rFonts w:ascii="Arial" w:eastAsia="Times New Roman" w:hAnsi="Arial" w:cs="Arial"/>
          <w:strike/>
          <w:lang w:val="es-ES"/>
        </w:rPr>
      </w:pPr>
      <w:r w:rsidRPr="008C7BF0">
        <w:rPr>
          <w:rFonts w:ascii="Arial" w:eastAsia="Times New Roman" w:hAnsi="Arial" w:cs="Arial"/>
          <w:strike/>
          <w:lang w:val="es-ES"/>
        </w:rPr>
        <w:t>r</w:t>
      </w:r>
      <w:r w:rsidR="00FE1D65" w:rsidRPr="008C7BF0">
        <w:rPr>
          <w:rFonts w:ascii="Arial" w:eastAsia="Times New Roman" w:hAnsi="Arial" w:cs="Arial"/>
          <w:strike/>
          <w:lang w:val="es-ES"/>
        </w:rPr>
        <w:t xml:space="preserve">evisar el borrador de las actividades presentadas en </w:t>
      </w:r>
      <w:r w:rsidR="00FE1D65" w:rsidRPr="008C7BF0">
        <w:rPr>
          <w:rFonts w:ascii="Arial" w:eastAsia="Times New Roman" w:hAnsi="Arial" w:cs="Arial"/>
          <w:strike/>
          <w:u w:val="single"/>
          <w:lang w:val="es-ES"/>
        </w:rPr>
        <w:t>el Anexo 2</w:t>
      </w:r>
      <w:r w:rsidR="00FE1D65" w:rsidRPr="008C7BF0">
        <w:rPr>
          <w:rFonts w:ascii="Arial" w:eastAsia="Times New Roman" w:hAnsi="Arial" w:cs="Arial"/>
          <w:strike/>
          <w:lang w:val="es-ES"/>
        </w:rPr>
        <w:t xml:space="preserve"> del presente documento y considerar su inclusión en el Programa de Trabajo 2023 – 2025.</w:t>
      </w:r>
    </w:p>
    <w:p w14:paraId="6133E346" w14:textId="77777777" w:rsidR="00FE1D65" w:rsidRDefault="00FE1D65" w:rsidP="00FE1D65">
      <w:pPr>
        <w:pStyle w:val="ListParagraph"/>
        <w:rPr>
          <w:rFonts w:ascii="Arial" w:eastAsia="Times New Roman" w:hAnsi="Arial" w:cs="Arial"/>
          <w:lang w:val="es-ES"/>
        </w:rPr>
      </w:pPr>
    </w:p>
    <w:p w14:paraId="2AB4A5E3" w14:textId="77777777" w:rsidR="00FE1D65" w:rsidRDefault="00FE1D65"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sectPr w:rsidR="00FE1D65" w:rsidSect="00CF3F08">
          <w:headerReference w:type="even" r:id="rId14"/>
          <w:headerReference w:type="default" r:id="rId15"/>
          <w:footerReference w:type="even" r:id="rId16"/>
          <w:footerReference w:type="default" r:id="rId17"/>
          <w:pgSz w:w="11906" w:h="16838" w:code="9"/>
          <w:pgMar w:top="1440" w:right="1440" w:bottom="1440" w:left="1440" w:header="708" w:footer="708" w:gutter="0"/>
          <w:cols w:space="708"/>
          <w:titlePg/>
          <w:docGrid w:linePitch="360"/>
        </w:sectPr>
      </w:pPr>
    </w:p>
    <w:p w14:paraId="777D7201" w14:textId="77777777" w:rsidR="00FE1D65" w:rsidRPr="008C7BF0" w:rsidRDefault="00FE1D65" w:rsidP="00220328">
      <w:pPr>
        <w:ind w:right="90"/>
        <w:jc w:val="right"/>
        <w:rPr>
          <w:rFonts w:ascii="Arial" w:eastAsia="Times New Roman" w:hAnsi="Arial" w:cs="Arial"/>
          <w:b/>
          <w:iCs/>
          <w:strike/>
          <w:lang w:val="es-ES"/>
        </w:rPr>
      </w:pPr>
      <w:r w:rsidRPr="008C7BF0">
        <w:rPr>
          <w:rFonts w:ascii="Arial" w:eastAsia="Times New Roman" w:hAnsi="Arial" w:cs="Arial"/>
          <w:b/>
          <w:iCs/>
          <w:strike/>
          <w:lang w:val="es-ES"/>
        </w:rPr>
        <w:lastRenderedPageBreak/>
        <w:t>ANEXO 1</w:t>
      </w:r>
    </w:p>
    <w:p w14:paraId="228B9716" w14:textId="77777777" w:rsidR="00FE1D65" w:rsidRPr="008C7BF0" w:rsidRDefault="00FE1D65" w:rsidP="00FE1D65">
      <w:pPr>
        <w:jc w:val="center"/>
        <w:rPr>
          <w:rFonts w:ascii="Arial" w:eastAsia="Times New Roman" w:hAnsi="Arial" w:cs="Arial"/>
          <w:b/>
          <w:iCs/>
          <w:strike/>
          <w:lang w:val="es-ES"/>
        </w:rPr>
      </w:pPr>
    </w:p>
    <w:p w14:paraId="602FF13F" w14:textId="73D82072" w:rsidR="00FE1D65" w:rsidRPr="008C7BF0" w:rsidRDefault="00FE1D65" w:rsidP="00FE1D65">
      <w:pPr>
        <w:jc w:val="center"/>
        <w:rPr>
          <w:rFonts w:ascii="Arial" w:eastAsia="Times New Roman" w:hAnsi="Arial" w:cs="Arial"/>
          <w:b/>
          <w:iCs/>
          <w:strike/>
          <w:lang w:val="es-ES"/>
        </w:rPr>
      </w:pPr>
      <w:r w:rsidRPr="008C7BF0">
        <w:rPr>
          <w:rFonts w:ascii="Arial" w:eastAsia="Times New Roman" w:hAnsi="Arial" w:cs="Arial"/>
          <w:b/>
          <w:iCs/>
          <w:strike/>
          <w:lang w:val="es-ES"/>
        </w:rPr>
        <w:t xml:space="preserve">BORRADOR </w:t>
      </w:r>
      <w:r w:rsidR="002A19B3" w:rsidRPr="008C7BF0">
        <w:rPr>
          <w:rFonts w:ascii="Arial" w:eastAsia="Times New Roman" w:hAnsi="Arial" w:cs="Arial"/>
          <w:b/>
          <w:iCs/>
          <w:strike/>
          <w:lang w:val="es-ES"/>
        </w:rPr>
        <w:t>DECISIONES DE LA REUNIÓN</w:t>
      </w:r>
    </w:p>
    <w:p w14:paraId="2A46D7F4" w14:textId="77777777" w:rsidR="00FE1D65" w:rsidRPr="008C7BF0" w:rsidRDefault="00FE1D65" w:rsidP="00FE1D65">
      <w:pPr>
        <w:spacing w:after="0" w:line="240" w:lineRule="auto"/>
        <w:rPr>
          <w:rFonts w:ascii="Arial" w:eastAsia="Times New Roman" w:hAnsi="Arial" w:cs="Arial"/>
          <w:bCs/>
          <w:iCs/>
          <w:strike/>
          <w:lang w:val="es-ES"/>
        </w:rPr>
      </w:pPr>
      <w:r w:rsidRPr="008C7BF0">
        <w:rPr>
          <w:rFonts w:ascii="Arial" w:eastAsia="Times New Roman" w:hAnsi="Arial" w:cs="Arial"/>
          <w:bCs/>
          <w:iCs/>
          <w:strike/>
          <w:lang w:val="es-ES"/>
        </w:rPr>
        <w:t>Signatarios</w:t>
      </w:r>
    </w:p>
    <w:p w14:paraId="7AD76BDA" w14:textId="77777777" w:rsidR="00FE1D65" w:rsidRPr="008C7BF0" w:rsidRDefault="00FE1D65" w:rsidP="00FE1D65">
      <w:pPr>
        <w:spacing w:after="0" w:line="240" w:lineRule="auto"/>
        <w:jc w:val="both"/>
        <w:rPr>
          <w:rFonts w:ascii="Arial" w:eastAsia="Times New Roman" w:hAnsi="Arial" w:cs="Arial"/>
          <w:bCs/>
          <w:iCs/>
          <w:strike/>
          <w:lang w:val="es-ES"/>
        </w:rPr>
      </w:pPr>
    </w:p>
    <w:p w14:paraId="35517D96" w14:textId="5AA400ED" w:rsidR="00FE1D65" w:rsidRPr="008C7BF0" w:rsidRDefault="00FE1D65" w:rsidP="00220328">
      <w:pPr>
        <w:widowControl w:val="0"/>
        <w:numPr>
          <w:ilvl w:val="0"/>
          <w:numId w:val="4"/>
        </w:numPr>
        <w:autoSpaceDE w:val="0"/>
        <w:autoSpaceDN w:val="0"/>
        <w:adjustRightInd w:val="0"/>
        <w:spacing w:after="0" w:line="240" w:lineRule="auto"/>
        <w:ind w:left="567" w:right="90" w:hanging="567"/>
        <w:contextualSpacing/>
        <w:jc w:val="both"/>
        <w:rPr>
          <w:rFonts w:ascii="Arial" w:eastAsia="Times New Roman" w:hAnsi="Arial" w:cs="Arial"/>
          <w:bCs/>
          <w:iCs/>
          <w:strike/>
          <w:lang w:val="es-ES"/>
        </w:rPr>
      </w:pPr>
      <w:r w:rsidRPr="008C7BF0">
        <w:rPr>
          <w:rFonts w:ascii="Arial" w:eastAsia="Times New Roman" w:hAnsi="Arial" w:cs="Arial"/>
          <w:bCs/>
          <w:iCs/>
          <w:strike/>
          <w:lang w:val="es-ES"/>
        </w:rPr>
        <w:t xml:space="preserve">Aceptar la iniciativa y los progresos realizados por el Grupo de Especialistas en Tiburones de la Comisión de Supervivencia de Especies de la Unión Internacional para la Conservación de la Naturaleza (UICN SSC SSG) en el desarrollo de una </w:t>
      </w:r>
      <w:r w:rsidR="00730A43" w:rsidRPr="008C7BF0">
        <w:rPr>
          <w:rFonts w:ascii="Arial" w:eastAsia="Times New Roman" w:hAnsi="Arial" w:cs="Arial"/>
          <w:bCs/>
          <w:iCs/>
          <w:strike/>
          <w:lang w:val="es-ES"/>
        </w:rPr>
        <w:t>e</w:t>
      </w:r>
      <w:r w:rsidRPr="008C7BF0">
        <w:rPr>
          <w:rFonts w:ascii="Arial" w:eastAsia="Times New Roman" w:hAnsi="Arial" w:cs="Arial"/>
          <w:bCs/>
          <w:iCs/>
          <w:strike/>
          <w:lang w:val="es-ES"/>
        </w:rPr>
        <w:t xml:space="preserve">strategia </w:t>
      </w:r>
      <w:r w:rsidR="00730A43" w:rsidRPr="008C7BF0">
        <w:rPr>
          <w:rFonts w:ascii="Arial" w:eastAsia="Times New Roman" w:hAnsi="Arial" w:cs="Arial"/>
          <w:bCs/>
          <w:iCs/>
          <w:strike/>
          <w:lang w:val="es-ES"/>
        </w:rPr>
        <w:t xml:space="preserve">mundial </w:t>
      </w:r>
      <w:r w:rsidRPr="008C7BF0">
        <w:rPr>
          <w:rFonts w:ascii="Arial" w:eastAsia="Times New Roman" w:hAnsi="Arial" w:cs="Arial"/>
          <w:bCs/>
          <w:iCs/>
          <w:strike/>
          <w:lang w:val="es-ES"/>
        </w:rPr>
        <w:t xml:space="preserve">de </w:t>
      </w:r>
      <w:r w:rsidR="00730A43" w:rsidRPr="008C7BF0">
        <w:rPr>
          <w:rFonts w:ascii="Arial" w:eastAsia="Times New Roman" w:hAnsi="Arial" w:cs="Arial"/>
          <w:bCs/>
          <w:iCs/>
          <w:strike/>
          <w:lang w:val="es-ES"/>
        </w:rPr>
        <w:t>c</w:t>
      </w:r>
      <w:r w:rsidRPr="008C7BF0">
        <w:rPr>
          <w:rFonts w:ascii="Arial" w:eastAsia="Times New Roman" w:hAnsi="Arial" w:cs="Arial"/>
          <w:bCs/>
          <w:iCs/>
          <w:strike/>
          <w:lang w:val="es-ES"/>
        </w:rPr>
        <w:t xml:space="preserve">onservación y </w:t>
      </w:r>
      <w:r w:rsidR="00730A43" w:rsidRPr="008C7BF0">
        <w:rPr>
          <w:rFonts w:ascii="Arial" w:eastAsia="Times New Roman" w:hAnsi="Arial" w:cs="Arial"/>
          <w:bCs/>
          <w:iCs/>
          <w:strike/>
          <w:lang w:val="es-ES"/>
        </w:rPr>
        <w:t>p</w:t>
      </w:r>
      <w:r w:rsidRPr="008C7BF0">
        <w:rPr>
          <w:rFonts w:ascii="Arial" w:eastAsia="Times New Roman" w:hAnsi="Arial" w:cs="Arial"/>
          <w:bCs/>
          <w:iCs/>
          <w:strike/>
          <w:lang w:val="es-ES"/>
        </w:rPr>
        <w:t xml:space="preserve">lanes de </w:t>
      </w:r>
      <w:r w:rsidR="00730A43" w:rsidRPr="008C7BF0">
        <w:rPr>
          <w:rFonts w:ascii="Arial" w:eastAsia="Times New Roman" w:hAnsi="Arial" w:cs="Arial"/>
          <w:bCs/>
          <w:iCs/>
          <w:strike/>
          <w:lang w:val="es-ES"/>
        </w:rPr>
        <w:t>a</w:t>
      </w:r>
      <w:r w:rsidRPr="008C7BF0">
        <w:rPr>
          <w:rFonts w:ascii="Arial" w:eastAsia="Times New Roman" w:hAnsi="Arial" w:cs="Arial"/>
          <w:bCs/>
          <w:iCs/>
          <w:strike/>
          <w:lang w:val="es-ES"/>
        </w:rPr>
        <w:t xml:space="preserve">cción </w:t>
      </w:r>
      <w:r w:rsidR="00E83C08" w:rsidRPr="008C7BF0">
        <w:rPr>
          <w:rFonts w:ascii="Arial" w:eastAsia="Times New Roman" w:hAnsi="Arial" w:cs="Arial"/>
          <w:bCs/>
          <w:iCs/>
          <w:strike/>
          <w:lang w:val="es-ES"/>
        </w:rPr>
        <w:t xml:space="preserve">regionales </w:t>
      </w:r>
      <w:r w:rsidRPr="008C7BF0">
        <w:rPr>
          <w:rFonts w:ascii="Arial" w:eastAsia="Times New Roman" w:hAnsi="Arial" w:cs="Arial"/>
          <w:bCs/>
          <w:iCs/>
          <w:strike/>
          <w:lang w:val="es-ES"/>
        </w:rPr>
        <w:t xml:space="preserve">para </w:t>
      </w:r>
      <w:r w:rsidR="00E83C08" w:rsidRPr="008C7BF0">
        <w:rPr>
          <w:rFonts w:ascii="Arial" w:eastAsia="Times New Roman" w:hAnsi="Arial" w:cs="Arial"/>
          <w:bCs/>
          <w:iCs/>
          <w:strike/>
          <w:lang w:val="es-ES"/>
        </w:rPr>
        <w:t>t</w:t>
      </w:r>
      <w:r w:rsidRPr="008C7BF0">
        <w:rPr>
          <w:rFonts w:ascii="Arial" w:eastAsia="Times New Roman" w:hAnsi="Arial" w:cs="Arial"/>
          <w:bCs/>
          <w:iCs/>
          <w:strike/>
          <w:lang w:val="es-ES"/>
        </w:rPr>
        <w:t xml:space="preserve">iburones y </w:t>
      </w:r>
      <w:r w:rsidR="00E83C08" w:rsidRPr="008C7BF0">
        <w:rPr>
          <w:rFonts w:ascii="Arial" w:eastAsia="Times New Roman" w:hAnsi="Arial" w:cs="Arial"/>
          <w:bCs/>
          <w:iCs/>
          <w:strike/>
          <w:lang w:val="es-ES"/>
        </w:rPr>
        <w:t>r</w:t>
      </w:r>
      <w:r w:rsidRPr="008C7BF0">
        <w:rPr>
          <w:rFonts w:ascii="Arial" w:eastAsia="Times New Roman" w:hAnsi="Arial" w:cs="Arial"/>
          <w:bCs/>
          <w:iCs/>
          <w:strike/>
          <w:lang w:val="es-ES"/>
        </w:rPr>
        <w:t xml:space="preserve">ayas </w:t>
      </w:r>
      <w:r w:rsidR="00E83C08" w:rsidRPr="008C7BF0">
        <w:rPr>
          <w:rFonts w:ascii="Arial" w:eastAsia="Times New Roman" w:hAnsi="Arial" w:cs="Arial"/>
          <w:bCs/>
          <w:iCs/>
          <w:strike/>
          <w:lang w:val="es-ES"/>
        </w:rPr>
        <w:t>p</w:t>
      </w:r>
      <w:r w:rsidRPr="008C7BF0">
        <w:rPr>
          <w:rFonts w:ascii="Arial" w:eastAsia="Times New Roman" w:hAnsi="Arial" w:cs="Arial"/>
          <w:bCs/>
          <w:iCs/>
          <w:strike/>
          <w:lang w:val="es-ES"/>
        </w:rPr>
        <w:t xml:space="preserve">elágicos y acordó apoyar el enfoque descrito en el documento </w:t>
      </w:r>
      <w:hyperlink r:id="rId18" w:history="1">
        <w:r w:rsidRPr="008C7BF0">
          <w:rPr>
            <w:rFonts w:ascii="Arial" w:eastAsia="Times New Roman" w:hAnsi="Arial" w:cs="Arial"/>
            <w:bCs/>
            <w:iCs/>
            <w:strike/>
            <w:color w:val="0000FF"/>
            <w:u w:val="single"/>
            <w:lang w:val="es-ES"/>
          </w:rPr>
          <w:t>CMS/</w:t>
        </w:r>
        <w:proofErr w:type="spellStart"/>
        <w:r w:rsidRPr="008C7BF0">
          <w:rPr>
            <w:rFonts w:ascii="Arial" w:eastAsia="Times New Roman" w:hAnsi="Arial" w:cs="Arial"/>
            <w:bCs/>
            <w:iCs/>
            <w:strike/>
            <w:color w:val="0000FF"/>
            <w:u w:val="single"/>
            <w:lang w:val="es-ES"/>
          </w:rPr>
          <w:t>Sharks</w:t>
        </w:r>
        <w:proofErr w:type="spellEnd"/>
        <w:r w:rsidRPr="008C7BF0">
          <w:rPr>
            <w:rFonts w:ascii="Arial" w:eastAsia="Times New Roman" w:hAnsi="Arial" w:cs="Arial"/>
            <w:bCs/>
            <w:iCs/>
            <w:strike/>
            <w:color w:val="0000FF"/>
            <w:u w:val="single"/>
            <w:lang w:val="es-ES"/>
          </w:rPr>
          <w:t>/MOS4/</w:t>
        </w:r>
        <w:proofErr w:type="spellStart"/>
        <w:r w:rsidRPr="008C7BF0">
          <w:rPr>
            <w:rFonts w:ascii="Arial" w:eastAsia="Times New Roman" w:hAnsi="Arial" w:cs="Arial"/>
            <w:bCs/>
            <w:iCs/>
            <w:strike/>
            <w:color w:val="0000FF"/>
            <w:u w:val="single"/>
            <w:lang w:val="es-ES"/>
          </w:rPr>
          <w:t>Doc</w:t>
        </w:r>
        <w:proofErr w:type="spellEnd"/>
        <w:r w:rsidRPr="008C7BF0">
          <w:rPr>
            <w:rFonts w:ascii="Arial" w:eastAsia="Times New Roman" w:hAnsi="Arial" w:cs="Arial"/>
            <w:bCs/>
            <w:iCs/>
            <w:strike/>
            <w:color w:val="0000FF"/>
            <w:u w:val="single"/>
            <w:lang w:val="es-ES"/>
          </w:rPr>
          <w:t xml:space="preserve"> 10.2</w:t>
        </w:r>
      </w:hyperlink>
      <w:r w:rsidRPr="008C7BF0">
        <w:rPr>
          <w:rFonts w:ascii="Arial" w:eastAsia="Times New Roman" w:hAnsi="Arial" w:cs="Arial"/>
          <w:bCs/>
          <w:iCs/>
          <w:strike/>
          <w:lang w:val="es-ES"/>
        </w:rPr>
        <w:t>.</w:t>
      </w:r>
    </w:p>
    <w:p w14:paraId="1C40135F" w14:textId="22C78774" w:rsidR="00FE1D65" w:rsidRDefault="00FE1D65"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pPr>
    </w:p>
    <w:p w14:paraId="472469CA" w14:textId="77777777" w:rsidR="00AF1028" w:rsidRDefault="00AF1028"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sectPr w:rsidR="00AF1028" w:rsidSect="00E966DE">
          <w:headerReference w:type="first" r:id="rId19"/>
          <w:footerReference w:type="first" r:id="rId20"/>
          <w:pgSz w:w="11906" w:h="16838" w:code="9"/>
          <w:pgMar w:top="1138" w:right="1138" w:bottom="1138" w:left="1138" w:header="708" w:footer="708" w:gutter="0"/>
          <w:cols w:space="708"/>
          <w:titlePg/>
          <w:docGrid w:linePitch="360"/>
        </w:sectPr>
      </w:pPr>
    </w:p>
    <w:p w14:paraId="5BA43F7C" w14:textId="77777777" w:rsidR="00AF1028" w:rsidRPr="00E966DE" w:rsidRDefault="00AF1028"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pPr>
    </w:p>
    <w:p w14:paraId="18A714DA" w14:textId="77777777" w:rsidR="00AF1028" w:rsidRPr="008C7BF0" w:rsidRDefault="00AF1028" w:rsidP="00AF1028">
      <w:pPr>
        <w:widowControl w:val="0"/>
        <w:autoSpaceDE w:val="0"/>
        <w:autoSpaceDN w:val="0"/>
        <w:adjustRightInd w:val="0"/>
        <w:spacing w:after="0" w:line="240" w:lineRule="auto"/>
        <w:ind w:right="252"/>
        <w:jc w:val="right"/>
        <w:rPr>
          <w:rFonts w:ascii="Arial" w:eastAsia="Times New Roman" w:hAnsi="Arial" w:cs="Arial"/>
          <w:b/>
          <w:iCs/>
          <w:strike/>
          <w:lang w:val="es-ES"/>
        </w:rPr>
      </w:pPr>
      <w:r w:rsidRPr="008C7BF0">
        <w:rPr>
          <w:rFonts w:ascii="Arial" w:eastAsia="Times New Roman" w:hAnsi="Arial" w:cs="Arial"/>
          <w:b/>
          <w:iCs/>
          <w:strike/>
          <w:lang w:val="es-ES"/>
        </w:rPr>
        <w:t>ANEXO 2</w:t>
      </w:r>
    </w:p>
    <w:p w14:paraId="5CD7BA92" w14:textId="77777777" w:rsidR="00AF1028" w:rsidRPr="008C7BF0" w:rsidRDefault="00AF1028" w:rsidP="00AF1028">
      <w:pPr>
        <w:widowControl w:val="0"/>
        <w:autoSpaceDE w:val="0"/>
        <w:autoSpaceDN w:val="0"/>
        <w:adjustRightInd w:val="0"/>
        <w:spacing w:after="0" w:line="240" w:lineRule="auto"/>
        <w:ind w:right="252"/>
        <w:rPr>
          <w:rFonts w:ascii="Arial" w:eastAsia="Times New Roman" w:hAnsi="Arial" w:cs="Arial"/>
          <w:bCs/>
          <w:iCs/>
          <w:strike/>
          <w:lang w:val="es-ES"/>
        </w:rPr>
      </w:pPr>
    </w:p>
    <w:p w14:paraId="5B1D68E6" w14:textId="77777777" w:rsidR="00AF1028" w:rsidRPr="008C7BF0" w:rsidRDefault="00AF1028" w:rsidP="00AF1028">
      <w:pPr>
        <w:widowControl w:val="0"/>
        <w:autoSpaceDE w:val="0"/>
        <w:autoSpaceDN w:val="0"/>
        <w:adjustRightInd w:val="0"/>
        <w:spacing w:after="0" w:line="240" w:lineRule="auto"/>
        <w:ind w:right="252"/>
        <w:jc w:val="center"/>
        <w:rPr>
          <w:rFonts w:ascii="Arial" w:eastAsia="Times New Roman" w:hAnsi="Arial" w:cs="Arial"/>
          <w:bCs/>
          <w:iCs/>
          <w:strike/>
          <w:lang w:val="es-ES"/>
        </w:rPr>
      </w:pPr>
      <w:r w:rsidRPr="008C7BF0">
        <w:rPr>
          <w:rFonts w:ascii="Arial" w:eastAsia="Times New Roman" w:hAnsi="Arial" w:cs="Arial"/>
          <w:b/>
          <w:bCs/>
          <w:strike/>
          <w:color w:val="000000"/>
          <w:shd w:val="clear" w:color="auto" w:fill="FFFFFF"/>
          <w:lang w:val="es-ES"/>
        </w:rPr>
        <w:t>BORRADOR DE ACTIVIDADES PARA LA INCLUSIÓN EN EL PROGRAMA DE TRABAJO 2023-2025</w:t>
      </w:r>
    </w:p>
    <w:p w14:paraId="124E350C" w14:textId="77777777" w:rsidR="00AF1028" w:rsidRPr="008C7BF0" w:rsidRDefault="00AF1028" w:rsidP="00AF1028">
      <w:pPr>
        <w:widowControl w:val="0"/>
        <w:autoSpaceDE w:val="0"/>
        <w:autoSpaceDN w:val="0"/>
        <w:adjustRightInd w:val="0"/>
        <w:spacing w:after="0" w:line="240" w:lineRule="auto"/>
        <w:ind w:right="252"/>
        <w:rPr>
          <w:rFonts w:ascii="Arial" w:eastAsia="Times New Roman" w:hAnsi="Arial" w:cs="Arial"/>
          <w:bCs/>
          <w:iCs/>
          <w:strike/>
          <w:lang w:val="es-ES"/>
        </w:rPr>
      </w:pPr>
    </w:p>
    <w:tbl>
      <w:tblPr>
        <w:tblStyle w:val="PlainTable22"/>
        <w:tblW w:w="14593" w:type="dxa"/>
        <w:tblLayout w:type="fixed"/>
        <w:tblLook w:val="04A0" w:firstRow="1" w:lastRow="0" w:firstColumn="1" w:lastColumn="0" w:noHBand="0" w:noVBand="1"/>
      </w:tblPr>
      <w:tblGrid>
        <w:gridCol w:w="639"/>
        <w:gridCol w:w="3676"/>
        <w:gridCol w:w="1757"/>
        <w:gridCol w:w="1757"/>
        <w:gridCol w:w="959"/>
        <w:gridCol w:w="1692"/>
        <w:gridCol w:w="2200"/>
        <w:gridCol w:w="1913"/>
      </w:tblGrid>
      <w:tr w:rsidR="00AF1028" w:rsidRPr="00BD1922" w14:paraId="51138E17" w14:textId="77777777" w:rsidTr="00220328">
        <w:trPr>
          <w:cnfStyle w:val="100000000000" w:firstRow="1" w:lastRow="0" w:firstColumn="0" w:lastColumn="0" w:oddVBand="0" w:evenVBand="0" w:oddHBand="0" w:evenHBand="0" w:firstRowFirstColumn="0" w:firstRowLastColumn="0" w:lastRowFirstColumn="0" w:lastRowLastColumn="0"/>
          <w:trHeight w:val="689"/>
          <w:tblHeader/>
        </w:trPr>
        <w:tc>
          <w:tcPr>
            <w:cnfStyle w:val="001000000000" w:firstRow="0" w:lastRow="0" w:firstColumn="1" w:lastColumn="0" w:oddVBand="0" w:evenVBand="0" w:oddHBand="0" w:evenHBand="0" w:firstRowFirstColumn="0" w:firstRowLastColumn="0" w:lastRowFirstColumn="0" w:lastRowLastColumn="0"/>
            <w:tcW w:w="639" w:type="dxa"/>
            <w:vAlign w:val="center"/>
            <w:hideMark/>
          </w:tcPr>
          <w:p w14:paraId="5D55B9A4"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N.º</w:t>
            </w:r>
          </w:p>
        </w:tc>
        <w:tc>
          <w:tcPr>
            <w:tcW w:w="3676" w:type="dxa"/>
            <w:vAlign w:val="center"/>
            <w:hideMark/>
          </w:tcPr>
          <w:p w14:paraId="3CBFAFD4"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color w:val="000000"/>
                <w:sz w:val="20"/>
                <w:szCs w:val="20"/>
                <w:lang w:val="es-ES" w:eastAsia="es-ES"/>
              </w:rPr>
              <w:t>Actividad</w:t>
            </w:r>
          </w:p>
        </w:tc>
        <w:tc>
          <w:tcPr>
            <w:tcW w:w="1757" w:type="dxa"/>
            <w:vAlign w:val="center"/>
            <w:hideMark/>
          </w:tcPr>
          <w:p w14:paraId="20C93D65"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Propuesta</w:t>
            </w:r>
            <w:r w:rsidRPr="008C7BF0">
              <w:rPr>
                <w:rFonts w:ascii="Arial" w:eastAsia="Calibri" w:hAnsi="Arial" w:cs="Arial"/>
                <w:strike/>
                <w:sz w:val="20"/>
                <w:szCs w:val="20"/>
                <w:vertAlign w:val="superscript"/>
                <w:lang w:val="es-ES"/>
              </w:rPr>
              <w:footnoteReference w:id="7"/>
            </w:r>
          </w:p>
        </w:tc>
        <w:tc>
          <w:tcPr>
            <w:tcW w:w="1757" w:type="dxa"/>
            <w:vAlign w:val="center"/>
            <w:hideMark/>
          </w:tcPr>
          <w:p w14:paraId="63451C50"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Prioridad</w:t>
            </w:r>
          </w:p>
          <w:p w14:paraId="6D5C13FC"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clasificación</w:t>
            </w:r>
            <w:r w:rsidRPr="008C7BF0">
              <w:rPr>
                <w:rFonts w:ascii="Arial" w:eastAsia="Calibri" w:hAnsi="Arial" w:cs="Arial"/>
                <w:strike/>
                <w:sz w:val="20"/>
                <w:szCs w:val="20"/>
                <w:vertAlign w:val="superscript"/>
                <w:lang w:val="es-ES"/>
              </w:rPr>
              <w:footnoteReference w:id="8"/>
            </w:r>
          </w:p>
        </w:tc>
        <w:tc>
          <w:tcPr>
            <w:tcW w:w="959" w:type="dxa"/>
            <w:vAlign w:val="center"/>
            <w:hideMark/>
          </w:tcPr>
          <w:p w14:paraId="00778C1C"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Marco temporal</w:t>
            </w:r>
            <w:r w:rsidRPr="008C7BF0">
              <w:rPr>
                <w:rFonts w:ascii="Arial" w:eastAsia="Calibri" w:hAnsi="Arial" w:cs="Arial"/>
                <w:strike/>
                <w:sz w:val="20"/>
                <w:szCs w:val="20"/>
                <w:vertAlign w:val="superscript"/>
                <w:lang w:val="es-ES"/>
              </w:rPr>
              <w:footnoteReference w:id="9"/>
            </w:r>
          </w:p>
        </w:tc>
        <w:tc>
          <w:tcPr>
            <w:tcW w:w="1692" w:type="dxa"/>
            <w:vAlign w:val="center"/>
            <w:hideMark/>
          </w:tcPr>
          <w:p w14:paraId="0546AE78"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Entidad responsable</w:t>
            </w:r>
            <w:r w:rsidRPr="008C7BF0">
              <w:rPr>
                <w:rFonts w:ascii="Arial" w:eastAsia="Calibri" w:hAnsi="Arial" w:cs="Arial"/>
                <w:strike/>
                <w:sz w:val="20"/>
                <w:szCs w:val="20"/>
                <w:vertAlign w:val="superscript"/>
                <w:lang w:val="es-ES"/>
              </w:rPr>
              <w:footnoteReference w:id="10"/>
            </w:r>
          </w:p>
        </w:tc>
        <w:tc>
          <w:tcPr>
            <w:tcW w:w="2200" w:type="dxa"/>
            <w:vAlign w:val="center"/>
            <w:hideMark/>
          </w:tcPr>
          <w:p w14:paraId="039FF017"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Necesidades de financiación para la implementación</w:t>
            </w:r>
          </w:p>
        </w:tc>
        <w:tc>
          <w:tcPr>
            <w:tcW w:w="1909" w:type="dxa"/>
            <w:vAlign w:val="center"/>
            <w:hideMark/>
          </w:tcPr>
          <w:p w14:paraId="29CA4DB3" w14:textId="77777777" w:rsidR="00AF1028" w:rsidRPr="008C7BF0"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Personal de la Secretaría necesario para la implementación (días laborables)</w:t>
            </w:r>
          </w:p>
        </w:tc>
      </w:tr>
      <w:tr w:rsidR="00AF1028" w:rsidRPr="00BD1922" w14:paraId="66B1BBBD" w14:textId="77777777" w:rsidTr="0022032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593" w:type="dxa"/>
            <w:gridSpan w:val="8"/>
            <w:hideMark/>
          </w:tcPr>
          <w:p w14:paraId="763EEA5C"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Conservación de Especies/Conservación del Hábitat </w:t>
            </w:r>
          </w:p>
        </w:tc>
      </w:tr>
      <w:tr w:rsidR="00AF1028" w:rsidRPr="00BD1922" w14:paraId="74D5BC8C" w14:textId="77777777" w:rsidTr="00220328">
        <w:trPr>
          <w:trHeight w:val="264"/>
        </w:trPr>
        <w:tc>
          <w:tcPr>
            <w:cnfStyle w:val="001000000000" w:firstRow="0" w:lastRow="0" w:firstColumn="1" w:lastColumn="0" w:oddVBand="0" w:evenVBand="0" w:oddHBand="0" w:evenHBand="0" w:firstRowFirstColumn="0" w:firstRowLastColumn="0" w:lastRowFirstColumn="0" w:lastRowLastColumn="0"/>
            <w:tcW w:w="14593" w:type="dxa"/>
            <w:gridSpan w:val="8"/>
            <w:hideMark/>
          </w:tcPr>
          <w:p w14:paraId="4B7C264A" w14:textId="77777777" w:rsidR="00AF1028" w:rsidRPr="008C7BF0" w:rsidRDefault="00AF1028" w:rsidP="00AF1028">
            <w:pPr>
              <w:widowControl w:val="0"/>
              <w:autoSpaceDE w:val="0"/>
              <w:autoSpaceDN w:val="0"/>
              <w:adjustRightInd w:val="0"/>
              <w:ind w:right="252"/>
              <w:rPr>
                <w:rFonts w:ascii="Arial" w:eastAsia="Times New Roman" w:hAnsi="Arial" w:cs="Arial"/>
                <w:strike/>
                <w:sz w:val="20"/>
                <w:szCs w:val="20"/>
                <w:lang w:val="es-ES"/>
              </w:rPr>
            </w:pPr>
            <w:r w:rsidRPr="008C7BF0">
              <w:rPr>
                <w:rFonts w:ascii="Arial" w:eastAsia="Times New Roman" w:hAnsi="Arial" w:cs="Arial"/>
                <w:strike/>
                <w:sz w:val="20"/>
                <w:szCs w:val="20"/>
                <w:lang w:val="es-ES" w:eastAsia="es-ES"/>
              </w:rPr>
              <w:t>X. Desarrollo de una Estrategia de Conservación y Planes de Acción para Tiburones Pelágicos y Rayas</w:t>
            </w:r>
          </w:p>
        </w:tc>
      </w:tr>
      <w:tr w:rsidR="00AF1028" w:rsidRPr="00BD1922" w14:paraId="54FFE55D" w14:textId="77777777" w:rsidTr="0022032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39" w:type="dxa"/>
          </w:tcPr>
          <w:p w14:paraId="46AF34A1"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x.1</w:t>
            </w:r>
          </w:p>
        </w:tc>
        <w:tc>
          <w:tcPr>
            <w:tcW w:w="3676" w:type="dxa"/>
          </w:tcPr>
          <w:p w14:paraId="4A82E260"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rPr>
            </w:pPr>
            <w:r w:rsidRPr="008C7BF0">
              <w:rPr>
                <w:rFonts w:ascii="Arial" w:eastAsia="Times New Roman" w:hAnsi="Arial" w:cs="Arial"/>
                <w:strike/>
                <w:sz w:val="20"/>
                <w:szCs w:val="20"/>
                <w:lang w:val="es-ES"/>
              </w:rPr>
              <w:t>Proporcionar apoyo técnico al SSG de la CSE de la UICN, lo que incluye compartir información y conocimientos pertinentes y participar en talleres de expertos y/o reuniones y procesos de planificación de la conservación.</w:t>
            </w:r>
          </w:p>
        </w:tc>
        <w:tc>
          <w:tcPr>
            <w:tcW w:w="1757" w:type="dxa"/>
          </w:tcPr>
          <w:p w14:paraId="1A334735"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Decisiones MOS4 (CP 1.3 y 3.2)</w:t>
            </w:r>
          </w:p>
        </w:tc>
        <w:tc>
          <w:tcPr>
            <w:tcW w:w="1757" w:type="dxa"/>
          </w:tcPr>
          <w:p w14:paraId="3C3F76EC"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959" w:type="dxa"/>
          </w:tcPr>
          <w:p w14:paraId="69C21E30"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1692" w:type="dxa"/>
          </w:tcPr>
          <w:p w14:paraId="570D0B33"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CA, SIG, (SEC: si se proporcionaron fondos a través de la Secretaría)</w:t>
            </w:r>
          </w:p>
        </w:tc>
        <w:tc>
          <w:tcPr>
            <w:tcW w:w="2200" w:type="dxa"/>
            <w:shd w:val="clear" w:color="auto" w:fill="auto"/>
          </w:tcPr>
          <w:p w14:paraId="2A7395B8" w14:textId="31B1A512" w:rsidR="00AF1028" w:rsidRPr="008C7BF0" w:rsidRDefault="002203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shd w:val="clear" w:color="auto" w:fill="FFFF00"/>
                <w:lang w:val="es-ES" w:eastAsia="en-GB"/>
              </w:rPr>
            </w:pPr>
            <w:r w:rsidRPr="008C7BF0">
              <w:rPr>
                <w:rFonts w:ascii="Arial" w:eastAsia="Times New Roman" w:hAnsi="Arial" w:cs="Arial"/>
                <w:strike/>
                <w:sz w:val="20"/>
                <w:szCs w:val="20"/>
                <w:lang w:val="es-ES" w:eastAsia="es-ES"/>
              </w:rPr>
              <w:t>10 000 € por reunión para gastos de viaje del CA</w:t>
            </w:r>
          </w:p>
        </w:tc>
        <w:tc>
          <w:tcPr>
            <w:tcW w:w="1909" w:type="dxa"/>
          </w:tcPr>
          <w:p w14:paraId="2F4386CA" w14:textId="11FCA353"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w:t>
            </w:r>
            <w:r w:rsidR="002A19B3" w:rsidRPr="008C7BF0">
              <w:rPr>
                <w:rFonts w:ascii="Arial" w:eastAsia="Times New Roman" w:hAnsi="Arial" w:cs="Arial"/>
                <w:strike/>
                <w:sz w:val="20"/>
                <w:szCs w:val="20"/>
                <w:lang w:val="es-ES" w:eastAsia="es-ES"/>
              </w:rPr>
              <w:t xml:space="preserve"> personal</w:t>
            </w:r>
            <w:r w:rsidRPr="008C7BF0">
              <w:rPr>
                <w:rFonts w:ascii="Arial" w:eastAsia="Times New Roman" w:hAnsi="Arial" w:cs="Arial"/>
                <w:strike/>
                <w:sz w:val="20"/>
                <w:szCs w:val="20"/>
                <w:lang w:val="es-ES" w:eastAsia="es-ES"/>
              </w:rPr>
              <w:t>: 0,5</w:t>
            </w:r>
          </w:p>
          <w:p w14:paraId="4C96D025" w14:textId="4E02EE7E"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G</w:t>
            </w:r>
            <w:r w:rsidR="002A19B3" w:rsidRPr="008C7BF0">
              <w:rPr>
                <w:rFonts w:ascii="Arial" w:eastAsia="Times New Roman" w:hAnsi="Arial" w:cs="Arial"/>
                <w:strike/>
                <w:sz w:val="20"/>
                <w:szCs w:val="20"/>
                <w:lang w:val="es-ES" w:eastAsia="es-ES"/>
              </w:rPr>
              <w:t xml:space="preserve"> personal</w:t>
            </w:r>
            <w:r w:rsidRPr="008C7BF0">
              <w:rPr>
                <w:rFonts w:ascii="Arial" w:eastAsia="Times New Roman" w:hAnsi="Arial" w:cs="Arial"/>
                <w:strike/>
                <w:sz w:val="20"/>
                <w:szCs w:val="20"/>
                <w:lang w:val="es-ES" w:eastAsia="es-ES"/>
              </w:rPr>
              <w:t>: 0,5</w:t>
            </w:r>
          </w:p>
          <w:p w14:paraId="50BBF056"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(gestión de viajes)</w:t>
            </w:r>
          </w:p>
        </w:tc>
      </w:tr>
      <w:tr w:rsidR="00AF1028" w:rsidRPr="00BD1922" w14:paraId="376B50A5" w14:textId="77777777" w:rsidTr="00220328">
        <w:trPr>
          <w:trHeight w:val="410"/>
        </w:trPr>
        <w:tc>
          <w:tcPr>
            <w:cnfStyle w:val="001000000000" w:firstRow="0" w:lastRow="0" w:firstColumn="1" w:lastColumn="0" w:oddVBand="0" w:evenVBand="0" w:oddHBand="0" w:evenHBand="0" w:firstRowFirstColumn="0" w:firstRowLastColumn="0" w:lastRowFirstColumn="0" w:lastRowLastColumn="0"/>
            <w:tcW w:w="639" w:type="dxa"/>
          </w:tcPr>
          <w:p w14:paraId="780EFD9E"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x.2</w:t>
            </w:r>
          </w:p>
        </w:tc>
        <w:tc>
          <w:tcPr>
            <w:tcW w:w="3676" w:type="dxa"/>
          </w:tcPr>
          <w:p w14:paraId="7224989F" w14:textId="2F14B9DA"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rPr>
            </w:pPr>
            <w:r w:rsidRPr="008C7BF0">
              <w:rPr>
                <w:rFonts w:ascii="Arial" w:eastAsia="Times New Roman" w:hAnsi="Arial" w:cs="Arial"/>
                <w:strike/>
                <w:color w:val="000000"/>
                <w:sz w:val="20"/>
                <w:szCs w:val="20"/>
                <w:shd w:val="clear" w:color="auto" w:fill="FFFFFF"/>
                <w:lang w:val="es-ES"/>
              </w:rPr>
              <w:t xml:space="preserve">Proporcionar financiación para apoyar el desarrollo de una </w:t>
            </w:r>
            <w:r w:rsidR="002A19B3" w:rsidRPr="008C7BF0">
              <w:rPr>
                <w:rFonts w:ascii="Arial" w:eastAsia="Times New Roman" w:hAnsi="Arial" w:cs="Arial"/>
                <w:strike/>
                <w:color w:val="000000"/>
                <w:sz w:val="20"/>
                <w:szCs w:val="20"/>
                <w:shd w:val="clear" w:color="auto" w:fill="FFFFFF"/>
                <w:lang w:val="es-ES"/>
              </w:rPr>
              <w:t>e</w:t>
            </w:r>
            <w:r w:rsidRPr="008C7BF0">
              <w:rPr>
                <w:rFonts w:ascii="Arial" w:eastAsia="Times New Roman" w:hAnsi="Arial" w:cs="Arial"/>
                <w:strike/>
                <w:color w:val="000000"/>
                <w:sz w:val="20"/>
                <w:szCs w:val="20"/>
                <w:shd w:val="clear" w:color="auto" w:fill="FFFFFF"/>
                <w:lang w:val="es-ES"/>
              </w:rPr>
              <w:t>strategia</w:t>
            </w:r>
            <w:r w:rsidR="002A19B3" w:rsidRPr="008C7BF0">
              <w:rPr>
                <w:rFonts w:ascii="Arial" w:eastAsia="Times New Roman" w:hAnsi="Arial" w:cs="Arial"/>
                <w:strike/>
                <w:color w:val="000000"/>
                <w:sz w:val="20"/>
                <w:szCs w:val="20"/>
                <w:shd w:val="clear" w:color="auto" w:fill="FFFFFF"/>
                <w:lang w:val="es-ES"/>
              </w:rPr>
              <w:t xml:space="preserve"> mundial</w:t>
            </w:r>
            <w:r w:rsidRPr="008C7BF0">
              <w:rPr>
                <w:rFonts w:ascii="Arial" w:eastAsia="Times New Roman" w:hAnsi="Arial" w:cs="Arial"/>
                <w:strike/>
                <w:color w:val="000000"/>
                <w:sz w:val="20"/>
                <w:szCs w:val="20"/>
                <w:shd w:val="clear" w:color="auto" w:fill="FFFFFF"/>
                <w:lang w:val="es-ES"/>
              </w:rPr>
              <w:t xml:space="preserve"> y </w:t>
            </w:r>
            <w:r w:rsidR="002A19B3" w:rsidRPr="008C7BF0">
              <w:rPr>
                <w:rFonts w:ascii="Arial" w:eastAsia="Times New Roman" w:hAnsi="Arial" w:cs="Arial"/>
                <w:strike/>
                <w:color w:val="000000"/>
                <w:sz w:val="20"/>
                <w:szCs w:val="20"/>
                <w:shd w:val="clear" w:color="auto" w:fill="FFFFFF"/>
                <w:lang w:val="es-ES"/>
              </w:rPr>
              <w:t>p</w:t>
            </w:r>
            <w:r w:rsidRPr="008C7BF0">
              <w:rPr>
                <w:rFonts w:ascii="Arial" w:eastAsia="Times New Roman" w:hAnsi="Arial" w:cs="Arial"/>
                <w:strike/>
                <w:color w:val="000000"/>
                <w:sz w:val="20"/>
                <w:szCs w:val="20"/>
                <w:shd w:val="clear" w:color="auto" w:fill="FFFFFF"/>
                <w:lang w:val="es-ES"/>
              </w:rPr>
              <w:t xml:space="preserve">lan de </w:t>
            </w:r>
            <w:r w:rsidR="002A19B3" w:rsidRPr="008C7BF0">
              <w:rPr>
                <w:rFonts w:ascii="Arial" w:eastAsia="Times New Roman" w:hAnsi="Arial" w:cs="Arial"/>
                <w:strike/>
                <w:color w:val="000000"/>
                <w:sz w:val="20"/>
                <w:szCs w:val="20"/>
                <w:shd w:val="clear" w:color="auto" w:fill="FFFFFF"/>
                <w:lang w:val="es-ES"/>
              </w:rPr>
              <w:t>a</w:t>
            </w:r>
            <w:r w:rsidRPr="008C7BF0">
              <w:rPr>
                <w:rFonts w:ascii="Arial" w:eastAsia="Times New Roman" w:hAnsi="Arial" w:cs="Arial"/>
                <w:strike/>
                <w:color w:val="000000"/>
                <w:sz w:val="20"/>
                <w:szCs w:val="20"/>
                <w:shd w:val="clear" w:color="auto" w:fill="FFFFFF"/>
                <w:lang w:val="es-ES"/>
              </w:rPr>
              <w:t xml:space="preserve">cción para la </w:t>
            </w:r>
            <w:r w:rsidR="002A19B3" w:rsidRPr="008C7BF0">
              <w:rPr>
                <w:rFonts w:ascii="Arial" w:eastAsia="Times New Roman" w:hAnsi="Arial" w:cs="Arial"/>
                <w:strike/>
                <w:color w:val="000000"/>
                <w:sz w:val="20"/>
                <w:szCs w:val="20"/>
                <w:shd w:val="clear" w:color="auto" w:fill="FFFFFF"/>
                <w:lang w:val="es-ES"/>
              </w:rPr>
              <w:t>c</w:t>
            </w:r>
            <w:r w:rsidRPr="008C7BF0">
              <w:rPr>
                <w:rFonts w:ascii="Arial" w:eastAsia="Times New Roman" w:hAnsi="Arial" w:cs="Arial"/>
                <w:strike/>
                <w:color w:val="000000"/>
                <w:sz w:val="20"/>
                <w:szCs w:val="20"/>
                <w:shd w:val="clear" w:color="auto" w:fill="FFFFFF"/>
                <w:lang w:val="es-ES"/>
              </w:rPr>
              <w:t xml:space="preserve">onservación de </w:t>
            </w:r>
            <w:r w:rsidR="002A19B3" w:rsidRPr="008C7BF0">
              <w:rPr>
                <w:rFonts w:ascii="Arial" w:eastAsia="Times New Roman" w:hAnsi="Arial" w:cs="Arial"/>
                <w:strike/>
                <w:color w:val="000000"/>
                <w:sz w:val="20"/>
                <w:szCs w:val="20"/>
                <w:shd w:val="clear" w:color="auto" w:fill="FFFFFF"/>
                <w:lang w:val="es-ES"/>
              </w:rPr>
              <w:t>t</w:t>
            </w:r>
            <w:r w:rsidRPr="008C7BF0">
              <w:rPr>
                <w:rFonts w:ascii="Arial" w:eastAsia="Times New Roman" w:hAnsi="Arial" w:cs="Arial"/>
                <w:strike/>
                <w:color w:val="000000"/>
                <w:sz w:val="20"/>
                <w:szCs w:val="20"/>
                <w:shd w:val="clear" w:color="auto" w:fill="FFFFFF"/>
                <w:lang w:val="es-ES"/>
              </w:rPr>
              <w:t>iburones</w:t>
            </w:r>
            <w:r w:rsidR="002A19B3" w:rsidRPr="008C7BF0">
              <w:rPr>
                <w:rFonts w:ascii="Arial" w:eastAsia="Times New Roman" w:hAnsi="Arial" w:cs="Arial"/>
                <w:strike/>
                <w:color w:val="000000"/>
                <w:sz w:val="20"/>
                <w:szCs w:val="20"/>
                <w:shd w:val="clear" w:color="auto" w:fill="FFFFFF"/>
                <w:lang w:val="es-ES"/>
              </w:rPr>
              <w:t xml:space="preserve"> y rayas</w:t>
            </w:r>
            <w:r w:rsidRPr="008C7BF0">
              <w:rPr>
                <w:rFonts w:ascii="Arial" w:eastAsia="Times New Roman" w:hAnsi="Arial" w:cs="Arial"/>
                <w:strike/>
                <w:color w:val="000000"/>
                <w:sz w:val="20"/>
                <w:szCs w:val="20"/>
                <w:shd w:val="clear" w:color="auto" w:fill="FFFFFF"/>
                <w:lang w:val="es-ES"/>
              </w:rPr>
              <w:t xml:space="preserve"> </w:t>
            </w:r>
            <w:r w:rsidR="002A19B3" w:rsidRPr="008C7BF0">
              <w:rPr>
                <w:rFonts w:ascii="Arial" w:eastAsia="Times New Roman" w:hAnsi="Arial" w:cs="Arial"/>
                <w:strike/>
                <w:color w:val="000000"/>
                <w:sz w:val="20"/>
                <w:szCs w:val="20"/>
                <w:shd w:val="clear" w:color="auto" w:fill="FFFFFF"/>
                <w:lang w:val="es-ES"/>
              </w:rPr>
              <w:t>p</w:t>
            </w:r>
            <w:r w:rsidRPr="008C7BF0">
              <w:rPr>
                <w:rFonts w:ascii="Arial" w:eastAsia="Times New Roman" w:hAnsi="Arial" w:cs="Arial"/>
                <w:strike/>
                <w:color w:val="000000"/>
                <w:sz w:val="20"/>
                <w:szCs w:val="20"/>
                <w:shd w:val="clear" w:color="auto" w:fill="FFFFFF"/>
                <w:lang w:val="es-ES"/>
              </w:rPr>
              <w:t xml:space="preserve">elágicos, con un enfoque regional inicial en el Océano Índico. </w:t>
            </w:r>
          </w:p>
        </w:tc>
        <w:tc>
          <w:tcPr>
            <w:tcW w:w="1757" w:type="dxa"/>
          </w:tcPr>
          <w:p w14:paraId="01000048"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Decisiones MOS4 (CP 1.3 y 3.2)</w:t>
            </w:r>
          </w:p>
        </w:tc>
        <w:tc>
          <w:tcPr>
            <w:tcW w:w="1757" w:type="dxa"/>
          </w:tcPr>
          <w:p w14:paraId="781768A6"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959" w:type="dxa"/>
          </w:tcPr>
          <w:p w14:paraId="3516A5BD"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1692" w:type="dxa"/>
          </w:tcPr>
          <w:p w14:paraId="40E10539"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CA, SIG, (SEC: si se proporcionaron fondos a través de la Secretaría)</w:t>
            </w:r>
          </w:p>
        </w:tc>
        <w:tc>
          <w:tcPr>
            <w:tcW w:w="2200" w:type="dxa"/>
          </w:tcPr>
          <w:p w14:paraId="13923314" w14:textId="1886D35F"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shd w:val="clear" w:color="auto" w:fill="FFFF00"/>
                <w:lang w:val="es-ES" w:eastAsia="en-GB"/>
              </w:rPr>
            </w:pPr>
            <w:r w:rsidRPr="008C7BF0">
              <w:rPr>
                <w:rFonts w:ascii="Arial" w:eastAsia="Times New Roman" w:hAnsi="Arial" w:cs="Arial"/>
                <w:strike/>
                <w:sz w:val="20"/>
                <w:szCs w:val="20"/>
                <w:lang w:val="es-ES" w:eastAsia="es-ES"/>
              </w:rPr>
              <w:t>250 000 € (fondos del proyecto</w:t>
            </w:r>
            <w:r w:rsidR="00D9593E" w:rsidRPr="008C7BF0">
              <w:rPr>
                <w:rFonts w:ascii="Arial" w:eastAsia="Times New Roman" w:hAnsi="Arial" w:cs="Arial"/>
                <w:strike/>
                <w:sz w:val="20"/>
                <w:szCs w:val="20"/>
                <w:lang w:val="es-ES" w:eastAsia="es-ES"/>
              </w:rPr>
              <w:t xml:space="preserve"> para la región del Océano Índico</w:t>
            </w:r>
            <w:r w:rsidRPr="008C7BF0">
              <w:rPr>
                <w:rFonts w:ascii="Arial" w:eastAsia="Times New Roman" w:hAnsi="Arial" w:cs="Arial"/>
                <w:strike/>
                <w:sz w:val="20"/>
                <w:szCs w:val="20"/>
                <w:lang w:val="es-ES" w:eastAsia="es-ES"/>
              </w:rPr>
              <w:t>)</w:t>
            </w:r>
          </w:p>
        </w:tc>
        <w:tc>
          <w:tcPr>
            <w:tcW w:w="1909" w:type="dxa"/>
          </w:tcPr>
          <w:p w14:paraId="6ABE31CC"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 personal: 5</w:t>
            </w:r>
          </w:p>
          <w:p w14:paraId="1D894D68"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(recaudación de fondos, gestión del acuerdo con los donantes)</w:t>
            </w:r>
          </w:p>
        </w:tc>
      </w:tr>
      <w:tr w:rsidR="00AF1028" w:rsidRPr="008C7BF0" w14:paraId="0E043A42" w14:textId="77777777" w:rsidTr="0022032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39" w:type="dxa"/>
          </w:tcPr>
          <w:p w14:paraId="2B0196D2"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x.3</w:t>
            </w:r>
          </w:p>
        </w:tc>
        <w:tc>
          <w:tcPr>
            <w:tcW w:w="3676" w:type="dxa"/>
          </w:tcPr>
          <w:p w14:paraId="7703B7B3" w14:textId="150A1B56"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sz w:val="20"/>
                <w:szCs w:val="20"/>
                <w:shd w:val="clear" w:color="auto" w:fill="FFFFFF"/>
                <w:lang w:val="es-ES"/>
              </w:rPr>
            </w:pPr>
            <w:r w:rsidRPr="008C7BF0">
              <w:rPr>
                <w:rFonts w:ascii="Arial" w:eastAsia="Times New Roman" w:hAnsi="Arial" w:cs="Arial"/>
                <w:strike/>
                <w:sz w:val="20"/>
                <w:szCs w:val="20"/>
                <w:lang w:val="es-ES"/>
              </w:rPr>
              <w:t xml:space="preserve">Colaborar con el SSG de la CSE de la UICN en el desarrollo de una </w:t>
            </w:r>
            <w:r w:rsidR="002A19B3" w:rsidRPr="008C7BF0">
              <w:rPr>
                <w:rFonts w:ascii="Arial" w:eastAsia="Times New Roman" w:hAnsi="Arial" w:cs="Arial"/>
                <w:strike/>
                <w:sz w:val="20"/>
                <w:szCs w:val="20"/>
                <w:lang w:val="es-ES"/>
              </w:rPr>
              <w:t>e</w:t>
            </w:r>
            <w:r w:rsidRPr="008C7BF0">
              <w:rPr>
                <w:rFonts w:ascii="Arial" w:eastAsia="Times New Roman" w:hAnsi="Arial" w:cs="Arial"/>
                <w:strike/>
                <w:sz w:val="20"/>
                <w:szCs w:val="20"/>
                <w:lang w:val="es-ES"/>
              </w:rPr>
              <w:t>strategia</w:t>
            </w:r>
            <w:r w:rsidR="002A19B3" w:rsidRPr="008C7BF0">
              <w:rPr>
                <w:rFonts w:ascii="Arial" w:eastAsia="Times New Roman" w:hAnsi="Arial" w:cs="Arial"/>
                <w:strike/>
                <w:sz w:val="20"/>
                <w:szCs w:val="20"/>
                <w:lang w:val="es-ES"/>
              </w:rPr>
              <w:t xml:space="preserve"> </w:t>
            </w:r>
            <w:r w:rsidRPr="008C7BF0">
              <w:rPr>
                <w:rFonts w:ascii="Arial" w:eastAsia="Times New Roman" w:hAnsi="Arial" w:cs="Arial"/>
                <w:strike/>
                <w:sz w:val="20"/>
                <w:szCs w:val="20"/>
                <w:lang w:val="es-ES"/>
              </w:rPr>
              <w:t xml:space="preserve">de </w:t>
            </w:r>
            <w:r w:rsidR="002A19B3" w:rsidRPr="008C7BF0">
              <w:rPr>
                <w:rFonts w:ascii="Arial" w:eastAsia="Times New Roman" w:hAnsi="Arial" w:cs="Arial"/>
                <w:strike/>
                <w:sz w:val="20"/>
                <w:szCs w:val="20"/>
                <w:lang w:val="es-ES"/>
              </w:rPr>
              <w:t>c</w:t>
            </w:r>
            <w:r w:rsidRPr="008C7BF0">
              <w:rPr>
                <w:rFonts w:ascii="Arial" w:eastAsia="Times New Roman" w:hAnsi="Arial" w:cs="Arial"/>
                <w:strike/>
                <w:sz w:val="20"/>
                <w:szCs w:val="20"/>
                <w:lang w:val="es-ES"/>
              </w:rPr>
              <w:t xml:space="preserve">onservación mundial y de </w:t>
            </w:r>
            <w:r w:rsidR="002A19B3" w:rsidRPr="008C7BF0">
              <w:rPr>
                <w:rFonts w:ascii="Arial" w:eastAsia="Times New Roman" w:hAnsi="Arial" w:cs="Arial"/>
                <w:strike/>
                <w:sz w:val="20"/>
                <w:szCs w:val="20"/>
                <w:lang w:val="es-ES"/>
              </w:rPr>
              <w:t>p</w:t>
            </w:r>
            <w:r w:rsidRPr="008C7BF0">
              <w:rPr>
                <w:rFonts w:ascii="Arial" w:eastAsia="Times New Roman" w:hAnsi="Arial" w:cs="Arial"/>
                <w:strike/>
                <w:sz w:val="20"/>
                <w:szCs w:val="20"/>
                <w:lang w:val="es-ES"/>
              </w:rPr>
              <w:t xml:space="preserve">lanes de </w:t>
            </w:r>
            <w:r w:rsidR="002A19B3" w:rsidRPr="008C7BF0">
              <w:rPr>
                <w:rFonts w:ascii="Arial" w:eastAsia="Times New Roman" w:hAnsi="Arial" w:cs="Arial"/>
                <w:strike/>
                <w:sz w:val="20"/>
                <w:szCs w:val="20"/>
                <w:lang w:val="es-ES"/>
              </w:rPr>
              <w:t>a</w:t>
            </w:r>
            <w:r w:rsidRPr="008C7BF0">
              <w:rPr>
                <w:rFonts w:ascii="Arial" w:eastAsia="Times New Roman" w:hAnsi="Arial" w:cs="Arial"/>
                <w:strike/>
                <w:sz w:val="20"/>
                <w:szCs w:val="20"/>
                <w:lang w:val="es-ES"/>
              </w:rPr>
              <w:t>cción regionales para tiburones y rayas pelágicos.</w:t>
            </w:r>
          </w:p>
        </w:tc>
        <w:tc>
          <w:tcPr>
            <w:tcW w:w="1757" w:type="dxa"/>
          </w:tcPr>
          <w:p w14:paraId="64AB3DD2"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Decisiones MOS4 (CP 1.3 y 3.2)</w:t>
            </w:r>
          </w:p>
        </w:tc>
        <w:tc>
          <w:tcPr>
            <w:tcW w:w="1757" w:type="dxa"/>
          </w:tcPr>
          <w:p w14:paraId="186F7B6E"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959" w:type="dxa"/>
          </w:tcPr>
          <w:p w14:paraId="07DEF226"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1692" w:type="dxa"/>
          </w:tcPr>
          <w:p w14:paraId="0EFC3E5A"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SEC</w:t>
            </w:r>
          </w:p>
        </w:tc>
        <w:tc>
          <w:tcPr>
            <w:tcW w:w="2200" w:type="dxa"/>
          </w:tcPr>
          <w:p w14:paraId="7DF0AC0D"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shd w:val="clear" w:color="auto" w:fill="FFFF00"/>
                <w:lang w:val="es-ES" w:eastAsia="en-GB"/>
              </w:rPr>
            </w:pPr>
          </w:p>
        </w:tc>
        <w:tc>
          <w:tcPr>
            <w:tcW w:w="1909" w:type="dxa"/>
          </w:tcPr>
          <w:p w14:paraId="1505791E" w14:textId="77777777" w:rsidR="00AF1028" w:rsidRPr="008C7BF0"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 personal: 2</w:t>
            </w:r>
          </w:p>
        </w:tc>
      </w:tr>
      <w:tr w:rsidR="00AF1028" w:rsidRPr="00BD1922" w14:paraId="25432EC3" w14:textId="77777777" w:rsidTr="00220328">
        <w:trPr>
          <w:trHeight w:val="410"/>
        </w:trPr>
        <w:tc>
          <w:tcPr>
            <w:cnfStyle w:val="001000000000" w:firstRow="0" w:lastRow="0" w:firstColumn="1" w:lastColumn="0" w:oddVBand="0" w:evenVBand="0" w:oddHBand="0" w:evenHBand="0" w:firstRowFirstColumn="0" w:firstRowLastColumn="0" w:lastRowFirstColumn="0" w:lastRowLastColumn="0"/>
            <w:tcW w:w="639" w:type="dxa"/>
          </w:tcPr>
          <w:p w14:paraId="533BBEF5" w14:textId="77777777" w:rsidR="00AF1028" w:rsidRPr="008C7BF0" w:rsidRDefault="00AF1028" w:rsidP="00AF1028">
            <w:pPr>
              <w:textAlignment w:val="baseline"/>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x.4</w:t>
            </w:r>
          </w:p>
        </w:tc>
        <w:tc>
          <w:tcPr>
            <w:tcW w:w="3676" w:type="dxa"/>
          </w:tcPr>
          <w:p w14:paraId="361993B2"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rPr>
            </w:pPr>
            <w:r w:rsidRPr="008C7BF0">
              <w:rPr>
                <w:rFonts w:ascii="Arial" w:eastAsia="Times New Roman" w:hAnsi="Arial" w:cs="Arial"/>
                <w:strike/>
                <w:sz w:val="20"/>
                <w:szCs w:val="20"/>
                <w:lang w:val="es-ES"/>
              </w:rPr>
              <w:t>Proporcionar apoyo al SSG de la CSE de la UICN para la aplicación de la iniciativa en el Océano Índico (y en otras regiones si se dispone de fondos).</w:t>
            </w:r>
          </w:p>
        </w:tc>
        <w:tc>
          <w:tcPr>
            <w:tcW w:w="1757" w:type="dxa"/>
          </w:tcPr>
          <w:p w14:paraId="0E43F393"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Decisiones MOS4 (CP 1.3 y 3.2)</w:t>
            </w:r>
          </w:p>
        </w:tc>
        <w:tc>
          <w:tcPr>
            <w:tcW w:w="1757" w:type="dxa"/>
          </w:tcPr>
          <w:p w14:paraId="5FE4150F"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959" w:type="dxa"/>
          </w:tcPr>
          <w:p w14:paraId="4C08C54D"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Por determinar </w:t>
            </w:r>
          </w:p>
        </w:tc>
        <w:tc>
          <w:tcPr>
            <w:tcW w:w="1692" w:type="dxa"/>
          </w:tcPr>
          <w:p w14:paraId="0786078C"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SEC</w:t>
            </w:r>
          </w:p>
        </w:tc>
        <w:tc>
          <w:tcPr>
            <w:tcW w:w="2200" w:type="dxa"/>
            <w:shd w:val="clear" w:color="auto" w:fill="auto"/>
          </w:tcPr>
          <w:p w14:paraId="3BDC40E7" w14:textId="3FC76053"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shd w:val="clear" w:color="auto" w:fill="FFFF00"/>
                <w:lang w:val="es-ES" w:eastAsia="en-GB"/>
              </w:rPr>
            </w:pPr>
            <w:r w:rsidRPr="008C7BF0">
              <w:rPr>
                <w:rFonts w:ascii="Arial" w:eastAsia="Times New Roman" w:hAnsi="Arial" w:cs="Arial"/>
                <w:strike/>
                <w:sz w:val="20"/>
                <w:szCs w:val="20"/>
                <w:lang w:val="es-ES" w:eastAsia="es-ES"/>
              </w:rPr>
              <w:t>(</w:t>
            </w:r>
            <w:r w:rsidR="00D9593E" w:rsidRPr="008C7BF0">
              <w:rPr>
                <w:rFonts w:ascii="Arial" w:eastAsia="Times New Roman" w:hAnsi="Arial" w:cs="Arial"/>
                <w:strike/>
                <w:sz w:val="20"/>
                <w:szCs w:val="20"/>
                <w:lang w:val="es-ES" w:eastAsia="es-ES"/>
              </w:rPr>
              <w:t>véase también el punto x.2</w:t>
            </w:r>
            <w:r w:rsidRPr="008C7BF0">
              <w:rPr>
                <w:rFonts w:ascii="Arial" w:eastAsia="Times New Roman" w:hAnsi="Arial" w:cs="Arial"/>
                <w:strike/>
                <w:sz w:val="20"/>
                <w:szCs w:val="20"/>
                <w:lang w:val="es-ES" w:eastAsia="es-ES"/>
              </w:rPr>
              <w:t>)</w:t>
            </w:r>
          </w:p>
        </w:tc>
        <w:tc>
          <w:tcPr>
            <w:tcW w:w="1909" w:type="dxa"/>
          </w:tcPr>
          <w:p w14:paraId="0BB2BCDB"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 xml:space="preserve">P personal: 20 </w:t>
            </w:r>
          </w:p>
          <w:p w14:paraId="6303D65A" w14:textId="77777777" w:rsidR="00AF1028" w:rsidRPr="008C7BF0"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sz w:val="20"/>
                <w:szCs w:val="20"/>
                <w:lang w:val="es-ES" w:eastAsia="en-GB"/>
              </w:rPr>
            </w:pPr>
            <w:r w:rsidRPr="008C7BF0">
              <w:rPr>
                <w:rFonts w:ascii="Arial" w:eastAsia="Times New Roman" w:hAnsi="Arial" w:cs="Arial"/>
                <w:strike/>
                <w:sz w:val="20"/>
                <w:szCs w:val="20"/>
                <w:lang w:val="es-ES" w:eastAsia="es-ES"/>
              </w:rPr>
              <w:t>G personal: 5</w:t>
            </w:r>
            <w:r w:rsidRPr="008C7BF0">
              <w:rPr>
                <w:rFonts w:ascii="Arial" w:eastAsia="Times New Roman" w:hAnsi="Arial" w:cs="Arial"/>
                <w:strike/>
                <w:sz w:val="20"/>
                <w:szCs w:val="20"/>
                <w:lang w:val="es-ES" w:eastAsia="es-ES"/>
              </w:rPr>
              <w:br/>
              <w:t>(gestión de proyectos y acuerdos de financiación)</w:t>
            </w:r>
          </w:p>
        </w:tc>
      </w:tr>
    </w:tbl>
    <w:p w14:paraId="3ABABB7C" w14:textId="71B788BC" w:rsidR="00E966DE" w:rsidRPr="008C7BF0" w:rsidRDefault="00E966DE" w:rsidP="00220328">
      <w:pPr>
        <w:spacing w:after="0" w:line="240" w:lineRule="auto"/>
        <w:rPr>
          <w:strike/>
          <w:lang w:val="es-ES"/>
        </w:rPr>
      </w:pPr>
    </w:p>
    <w:sectPr w:rsidR="00E966DE" w:rsidRPr="008C7BF0" w:rsidSect="00AF1028">
      <w:headerReference w:type="even" r:id="rId21"/>
      <w:headerReference w:type="first" r:id="rId22"/>
      <w:pgSz w:w="16838" w:h="11906" w:orient="landscape" w:code="9"/>
      <w:pgMar w:top="1138" w:right="1138" w:bottom="1138" w:left="113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9892" w14:textId="77777777" w:rsidR="00E966DE" w:rsidRDefault="00E966DE" w:rsidP="00E966DE">
      <w:pPr>
        <w:spacing w:after="0" w:line="240" w:lineRule="auto"/>
      </w:pPr>
      <w:r>
        <w:separator/>
      </w:r>
    </w:p>
  </w:endnote>
  <w:endnote w:type="continuationSeparator" w:id="0">
    <w:p w14:paraId="06AB7F87" w14:textId="77777777" w:rsidR="00E966DE" w:rsidRDefault="00E966DE" w:rsidP="00E9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40433"/>
      <w:docPartObj>
        <w:docPartGallery w:val="Page Numbers (Bottom of Page)"/>
        <w:docPartUnique/>
      </w:docPartObj>
    </w:sdtPr>
    <w:sdtEndPr>
      <w:rPr>
        <w:rFonts w:ascii="Arial" w:hAnsi="Arial" w:cs="Arial"/>
        <w:noProof/>
        <w:sz w:val="18"/>
        <w:szCs w:val="18"/>
      </w:rPr>
    </w:sdtEndPr>
    <w:sdtContent>
      <w:p w14:paraId="0FA8DC4A" w14:textId="1673854F" w:rsidR="00E966DE" w:rsidRPr="00E966DE" w:rsidRDefault="00E966DE">
        <w:pPr>
          <w:pStyle w:val="Footer"/>
          <w:jc w:val="center"/>
          <w:rPr>
            <w:rFonts w:ascii="Arial" w:hAnsi="Arial" w:cs="Arial"/>
            <w:sz w:val="18"/>
            <w:szCs w:val="18"/>
          </w:rPr>
        </w:pPr>
        <w:r w:rsidRPr="00E966DE">
          <w:rPr>
            <w:rFonts w:ascii="Arial" w:hAnsi="Arial" w:cs="Arial"/>
            <w:sz w:val="18"/>
            <w:szCs w:val="18"/>
          </w:rPr>
          <w:fldChar w:fldCharType="begin"/>
        </w:r>
        <w:r w:rsidRPr="00E966DE">
          <w:rPr>
            <w:rFonts w:ascii="Arial" w:hAnsi="Arial" w:cs="Arial"/>
            <w:sz w:val="18"/>
            <w:szCs w:val="18"/>
          </w:rPr>
          <w:instrText xml:space="preserve"> PAGE   \* MERGEFORMAT </w:instrText>
        </w:r>
        <w:r w:rsidRPr="00E966DE">
          <w:rPr>
            <w:rFonts w:ascii="Arial" w:hAnsi="Arial" w:cs="Arial"/>
            <w:sz w:val="18"/>
            <w:szCs w:val="18"/>
          </w:rPr>
          <w:fldChar w:fldCharType="separate"/>
        </w:r>
        <w:r w:rsidRPr="00E966DE">
          <w:rPr>
            <w:rFonts w:ascii="Arial" w:hAnsi="Arial" w:cs="Arial"/>
            <w:noProof/>
            <w:sz w:val="18"/>
            <w:szCs w:val="18"/>
          </w:rPr>
          <w:t>2</w:t>
        </w:r>
        <w:r w:rsidRPr="00E966D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637885"/>
      <w:docPartObj>
        <w:docPartGallery w:val="Page Numbers (Bottom of Page)"/>
        <w:docPartUnique/>
      </w:docPartObj>
    </w:sdtPr>
    <w:sdtEndPr>
      <w:rPr>
        <w:rFonts w:ascii="Arial" w:hAnsi="Arial" w:cs="Arial"/>
        <w:noProof/>
        <w:sz w:val="18"/>
        <w:szCs w:val="18"/>
      </w:rPr>
    </w:sdtEndPr>
    <w:sdtContent>
      <w:p w14:paraId="34A74C4C" w14:textId="1B70B6F1" w:rsidR="00E966DE" w:rsidRPr="00E966DE" w:rsidRDefault="00E966DE">
        <w:pPr>
          <w:pStyle w:val="Footer"/>
          <w:jc w:val="center"/>
          <w:rPr>
            <w:rFonts w:ascii="Arial" w:hAnsi="Arial" w:cs="Arial"/>
            <w:sz w:val="18"/>
            <w:szCs w:val="18"/>
          </w:rPr>
        </w:pPr>
        <w:r w:rsidRPr="00E966DE">
          <w:rPr>
            <w:rFonts w:ascii="Arial" w:hAnsi="Arial" w:cs="Arial"/>
            <w:sz w:val="18"/>
            <w:szCs w:val="18"/>
          </w:rPr>
          <w:fldChar w:fldCharType="begin"/>
        </w:r>
        <w:r w:rsidRPr="00E966DE">
          <w:rPr>
            <w:rFonts w:ascii="Arial" w:hAnsi="Arial" w:cs="Arial"/>
            <w:sz w:val="18"/>
            <w:szCs w:val="18"/>
          </w:rPr>
          <w:instrText xml:space="preserve"> PAGE   \* MERGEFORMAT </w:instrText>
        </w:r>
        <w:r w:rsidRPr="00E966DE">
          <w:rPr>
            <w:rFonts w:ascii="Arial" w:hAnsi="Arial" w:cs="Arial"/>
            <w:sz w:val="18"/>
            <w:szCs w:val="18"/>
          </w:rPr>
          <w:fldChar w:fldCharType="separate"/>
        </w:r>
        <w:r w:rsidRPr="00E966DE">
          <w:rPr>
            <w:rFonts w:ascii="Arial" w:hAnsi="Arial" w:cs="Arial"/>
            <w:noProof/>
            <w:sz w:val="18"/>
            <w:szCs w:val="18"/>
          </w:rPr>
          <w:t>2</w:t>
        </w:r>
        <w:r w:rsidRPr="00E966D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68641"/>
      <w:docPartObj>
        <w:docPartGallery w:val="Page Numbers (Bottom of Page)"/>
        <w:docPartUnique/>
      </w:docPartObj>
    </w:sdtPr>
    <w:sdtEndPr>
      <w:rPr>
        <w:rFonts w:ascii="Arial" w:hAnsi="Arial" w:cs="Arial"/>
        <w:noProof/>
        <w:sz w:val="18"/>
        <w:szCs w:val="18"/>
      </w:rPr>
    </w:sdtEndPr>
    <w:sdtContent>
      <w:p w14:paraId="0D657019" w14:textId="5B0EA617" w:rsidR="00AF1028" w:rsidRPr="00AF1028" w:rsidRDefault="00AF1028">
        <w:pPr>
          <w:pStyle w:val="Footer"/>
          <w:jc w:val="center"/>
          <w:rPr>
            <w:rFonts w:ascii="Arial" w:hAnsi="Arial" w:cs="Arial"/>
            <w:sz w:val="18"/>
            <w:szCs w:val="18"/>
          </w:rPr>
        </w:pPr>
        <w:r w:rsidRPr="00AF1028">
          <w:rPr>
            <w:rFonts w:ascii="Arial" w:hAnsi="Arial" w:cs="Arial"/>
            <w:sz w:val="18"/>
            <w:szCs w:val="18"/>
          </w:rPr>
          <w:fldChar w:fldCharType="begin"/>
        </w:r>
        <w:r w:rsidRPr="00AF1028">
          <w:rPr>
            <w:rFonts w:ascii="Arial" w:hAnsi="Arial" w:cs="Arial"/>
            <w:sz w:val="18"/>
            <w:szCs w:val="18"/>
          </w:rPr>
          <w:instrText xml:space="preserve"> PAGE   \* MERGEFORMAT </w:instrText>
        </w:r>
        <w:r w:rsidRPr="00AF1028">
          <w:rPr>
            <w:rFonts w:ascii="Arial" w:hAnsi="Arial" w:cs="Arial"/>
            <w:sz w:val="18"/>
            <w:szCs w:val="18"/>
          </w:rPr>
          <w:fldChar w:fldCharType="separate"/>
        </w:r>
        <w:r w:rsidRPr="00AF1028">
          <w:rPr>
            <w:rFonts w:ascii="Arial" w:hAnsi="Arial" w:cs="Arial"/>
            <w:noProof/>
            <w:sz w:val="18"/>
            <w:szCs w:val="18"/>
          </w:rPr>
          <w:t>2</w:t>
        </w:r>
        <w:r w:rsidRPr="00AF102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1A9F" w14:textId="77777777" w:rsidR="00E966DE" w:rsidRDefault="00E966DE" w:rsidP="00E966DE">
      <w:pPr>
        <w:spacing w:after="0" w:line="240" w:lineRule="auto"/>
      </w:pPr>
      <w:r>
        <w:separator/>
      </w:r>
    </w:p>
  </w:footnote>
  <w:footnote w:type="continuationSeparator" w:id="0">
    <w:p w14:paraId="25854B90" w14:textId="77777777" w:rsidR="00E966DE" w:rsidRDefault="00E966DE" w:rsidP="00E966DE">
      <w:pPr>
        <w:spacing w:after="0" w:line="240" w:lineRule="auto"/>
      </w:pPr>
      <w:r>
        <w:continuationSeparator/>
      </w:r>
    </w:p>
  </w:footnote>
  <w:footnote w:id="1">
    <w:p w14:paraId="26685FB2" w14:textId="77777777" w:rsidR="00FE1D65" w:rsidRPr="00CF3F08" w:rsidRDefault="00FE1D65" w:rsidP="00FE1D65">
      <w:pPr>
        <w:pStyle w:val="FootnoteText"/>
        <w:jc w:val="both"/>
        <w:rPr>
          <w:rFonts w:ascii="Arial" w:hAnsi="Arial" w:cs="Arial"/>
          <w:sz w:val="16"/>
          <w:szCs w:val="16"/>
          <w:lang w:val="es-ES"/>
        </w:rPr>
      </w:pPr>
      <w:r w:rsidRPr="00D15376">
        <w:rPr>
          <w:rStyle w:val="FootnoteReference"/>
          <w:rFonts w:ascii="Arial" w:hAnsi="Arial" w:cs="Arial"/>
          <w:sz w:val="16"/>
          <w:szCs w:val="16"/>
        </w:rPr>
        <w:footnoteRef/>
      </w:r>
      <w:r w:rsidRPr="00D15376">
        <w:rPr>
          <w:rFonts w:ascii="Arial" w:hAnsi="Arial" w:cs="Arial"/>
          <w:sz w:val="16"/>
          <w:szCs w:val="16"/>
          <w:lang w:val="fr-FR"/>
        </w:rPr>
        <w:t xml:space="preserve"> </w:t>
      </w:r>
      <w:proofErr w:type="spellStart"/>
      <w:r w:rsidRPr="00D15376">
        <w:rPr>
          <w:rFonts w:ascii="Arial" w:hAnsi="Arial" w:cs="Arial"/>
          <w:sz w:val="16"/>
          <w:szCs w:val="16"/>
          <w:lang w:val="fr-FR"/>
        </w:rPr>
        <w:t>Pacoureau</w:t>
      </w:r>
      <w:proofErr w:type="spellEnd"/>
      <w:r w:rsidRPr="00D15376">
        <w:rPr>
          <w:rFonts w:ascii="Arial" w:hAnsi="Arial" w:cs="Arial"/>
          <w:sz w:val="16"/>
          <w:szCs w:val="16"/>
          <w:lang w:val="fr-FR"/>
        </w:rPr>
        <w:t>, N., Rigby, C.L., Kyne, P.M</w:t>
      </w:r>
      <w:r w:rsidRPr="00D15376">
        <w:rPr>
          <w:rFonts w:ascii="Arial" w:hAnsi="Arial" w:cs="Arial"/>
          <w:i/>
          <w:iCs/>
          <w:sz w:val="16"/>
          <w:szCs w:val="16"/>
          <w:lang w:val="fr-FR"/>
        </w:rPr>
        <w:t>. et al.</w:t>
      </w:r>
      <w:r w:rsidRPr="00D15376">
        <w:rPr>
          <w:rFonts w:ascii="Arial" w:hAnsi="Arial" w:cs="Arial"/>
          <w:sz w:val="16"/>
          <w:szCs w:val="16"/>
          <w:lang w:val="fr-FR"/>
        </w:rPr>
        <w:t xml:space="preserve"> </w:t>
      </w:r>
      <w:r w:rsidRPr="00FE1D65">
        <w:rPr>
          <w:rFonts w:ascii="Arial" w:hAnsi="Arial" w:cs="Arial"/>
          <w:sz w:val="16"/>
          <w:szCs w:val="16"/>
        </w:rPr>
        <w:t xml:space="preserve">(2021) Half a century of global decline in oceanic sharks and rays. </w:t>
      </w:r>
      <w:proofErr w:type="spellStart"/>
      <w:r w:rsidRPr="00CF3F08">
        <w:rPr>
          <w:rFonts w:ascii="Arial" w:hAnsi="Arial" w:cs="Arial"/>
          <w:i/>
          <w:iCs/>
          <w:sz w:val="16"/>
          <w:szCs w:val="16"/>
          <w:lang w:val="es-ES"/>
        </w:rPr>
        <w:t>Nature</w:t>
      </w:r>
      <w:proofErr w:type="spellEnd"/>
      <w:r w:rsidRPr="00CF3F08">
        <w:rPr>
          <w:rFonts w:ascii="Arial" w:hAnsi="Arial" w:cs="Arial"/>
          <w:sz w:val="16"/>
          <w:szCs w:val="16"/>
          <w:lang w:val="es-ES"/>
        </w:rPr>
        <w:t xml:space="preserve">, </w:t>
      </w:r>
      <w:r w:rsidRPr="00CF3F08">
        <w:rPr>
          <w:rFonts w:ascii="Arial" w:hAnsi="Arial" w:cs="Arial"/>
          <w:b/>
          <w:bCs/>
          <w:sz w:val="16"/>
          <w:szCs w:val="16"/>
          <w:lang w:val="es-ES"/>
        </w:rPr>
        <w:t>589 (</w:t>
      </w:r>
      <w:r w:rsidR="00BD1922">
        <w:fldChar w:fldCharType="begin"/>
      </w:r>
      <w:r w:rsidR="00BD1922" w:rsidRPr="00BD1922">
        <w:rPr>
          <w:lang w:val="es-ES"/>
        </w:rPr>
        <w:instrText xml:space="preserve"> HYPERLINK "https://doi.org/10.1038/s41586-020-03173-9" </w:instrText>
      </w:r>
      <w:r w:rsidR="00BD1922">
        <w:fldChar w:fldCharType="separate"/>
      </w:r>
      <w:r w:rsidRPr="00CF3F08">
        <w:rPr>
          <w:rStyle w:val="Hyperlink"/>
          <w:rFonts w:ascii="Arial" w:hAnsi="Arial" w:cs="Arial"/>
          <w:sz w:val="16"/>
          <w:szCs w:val="16"/>
          <w:lang w:val="es-ES"/>
        </w:rPr>
        <w:t>https://doi.org/10.1038/s41586-020-03173-9</w:t>
      </w:r>
      <w:r w:rsidR="00BD1922">
        <w:rPr>
          <w:rStyle w:val="Hyperlink"/>
          <w:rFonts w:ascii="Arial" w:hAnsi="Arial" w:cs="Arial"/>
          <w:sz w:val="16"/>
          <w:szCs w:val="16"/>
          <w:lang w:val="es-ES"/>
        </w:rPr>
        <w:fldChar w:fldCharType="end"/>
      </w:r>
      <w:r w:rsidRPr="00CF3F08">
        <w:rPr>
          <w:rFonts w:ascii="Arial" w:hAnsi="Arial" w:cs="Arial"/>
          <w:sz w:val="16"/>
          <w:szCs w:val="16"/>
          <w:lang w:val="es-ES"/>
        </w:rPr>
        <w:t>).</w:t>
      </w:r>
    </w:p>
  </w:footnote>
  <w:footnote w:id="2">
    <w:p w14:paraId="0D2BEED5" w14:textId="77777777" w:rsidR="00FE1D65" w:rsidRPr="00CF3F08"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Comisión para la Conservación del Atún Rojo del Sur (CCSBT), Comisión del Atún para el Océano Índico (CAOI), Comisión Interamericana del Atún Tropical (CIAT), Comisión Internacional para la Conservación del Atún Atlántico (CICAA), Comisión de Pesca del Pacífico Occidental y Central (WCPFC).</w:t>
      </w:r>
    </w:p>
  </w:footnote>
  <w:footnote w:id="3">
    <w:p w14:paraId="69761993" w14:textId="77777777" w:rsidR="00FE1D65" w:rsidRPr="00CF3F08" w:rsidRDefault="00FE1D65" w:rsidP="00FE1D65">
      <w:pPr>
        <w:pStyle w:val="FootnoteText"/>
        <w:rPr>
          <w:rFonts w:ascii="Arial" w:hAnsi="Arial" w:cs="Arial"/>
          <w:sz w:val="16"/>
          <w:szCs w:val="16"/>
          <w:lang w:val="es-ES"/>
        </w:rPr>
      </w:pPr>
      <w:r w:rsidRPr="00DA43ED">
        <w:rPr>
          <w:rStyle w:val="FootnoteReference"/>
          <w:rFonts w:ascii="Arial" w:hAnsi="Arial" w:cs="Arial"/>
          <w:sz w:val="18"/>
          <w:szCs w:val="18"/>
        </w:rPr>
        <w:footnoteRef/>
      </w:r>
      <w:r w:rsidRPr="00CF3F08">
        <w:rPr>
          <w:rFonts w:ascii="Arial" w:hAnsi="Arial" w:cs="Arial"/>
          <w:sz w:val="18"/>
          <w:szCs w:val="18"/>
          <w:lang w:val="es-ES"/>
        </w:rPr>
        <w:t xml:space="preserve"> </w:t>
      </w:r>
      <w:proofErr w:type="spellStart"/>
      <w:r w:rsidRPr="00CF3F08">
        <w:rPr>
          <w:rFonts w:ascii="Arial" w:hAnsi="Arial" w:cs="Arial"/>
          <w:i/>
          <w:iCs/>
          <w:sz w:val="16"/>
          <w:szCs w:val="16"/>
          <w:lang w:val="es-ES"/>
        </w:rPr>
        <w:t>Mobula</w:t>
      </w:r>
      <w:proofErr w:type="spellEnd"/>
      <w:r w:rsidRPr="00CF3F08">
        <w:rPr>
          <w:rFonts w:ascii="Arial" w:hAnsi="Arial" w:cs="Arial"/>
          <w:i/>
          <w:iCs/>
          <w:sz w:val="16"/>
          <w:szCs w:val="16"/>
          <w:lang w:val="es-ES"/>
        </w:rPr>
        <w:t xml:space="preserve"> </w:t>
      </w:r>
      <w:proofErr w:type="spellStart"/>
      <w:r w:rsidRPr="00CF3F08">
        <w:rPr>
          <w:rFonts w:ascii="Arial" w:hAnsi="Arial" w:cs="Arial"/>
          <w:i/>
          <w:iCs/>
          <w:sz w:val="16"/>
          <w:szCs w:val="16"/>
          <w:lang w:val="es-ES"/>
        </w:rPr>
        <w:t>rochebrunei</w:t>
      </w:r>
      <w:proofErr w:type="spellEnd"/>
      <w:r w:rsidRPr="00CF3F08">
        <w:rPr>
          <w:rFonts w:ascii="Arial" w:hAnsi="Arial" w:cs="Arial"/>
          <w:sz w:val="16"/>
          <w:szCs w:val="16"/>
          <w:lang w:val="es-ES"/>
        </w:rPr>
        <w:t xml:space="preserve"> también se considera en la actualidad una sola especie junto con </w:t>
      </w:r>
      <w:proofErr w:type="spellStart"/>
      <w:r w:rsidRPr="00CF3F08">
        <w:rPr>
          <w:rFonts w:ascii="Arial" w:hAnsi="Arial" w:cs="Arial"/>
          <w:i/>
          <w:iCs/>
          <w:sz w:val="16"/>
          <w:szCs w:val="16"/>
          <w:lang w:val="es-ES"/>
        </w:rPr>
        <w:t>Mobula</w:t>
      </w:r>
      <w:proofErr w:type="spellEnd"/>
      <w:r w:rsidRPr="00CF3F08">
        <w:rPr>
          <w:rFonts w:ascii="Arial" w:hAnsi="Arial" w:cs="Arial"/>
          <w:i/>
          <w:iCs/>
          <w:sz w:val="16"/>
          <w:szCs w:val="16"/>
          <w:lang w:val="es-ES"/>
        </w:rPr>
        <w:t xml:space="preserve"> </w:t>
      </w:r>
      <w:proofErr w:type="spellStart"/>
      <w:r w:rsidRPr="00CF3F08">
        <w:rPr>
          <w:rFonts w:ascii="Arial" w:hAnsi="Arial" w:cs="Arial"/>
          <w:i/>
          <w:iCs/>
          <w:sz w:val="16"/>
          <w:szCs w:val="16"/>
          <w:lang w:val="es-ES"/>
        </w:rPr>
        <w:t>hypostoma</w:t>
      </w:r>
      <w:proofErr w:type="spellEnd"/>
      <w:r w:rsidRPr="00CF3F08">
        <w:rPr>
          <w:rFonts w:ascii="Arial" w:hAnsi="Arial" w:cs="Arial"/>
          <w:sz w:val="16"/>
          <w:szCs w:val="16"/>
          <w:lang w:val="es-ES"/>
        </w:rPr>
        <w:t>.</w:t>
      </w:r>
    </w:p>
  </w:footnote>
  <w:footnote w:id="4">
    <w:p w14:paraId="72BFFF15" w14:textId="77777777" w:rsidR="00FE1D65" w:rsidRPr="00FE1D65"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D15376">
        <w:rPr>
          <w:rFonts w:ascii="Arial" w:hAnsi="Arial" w:cs="Arial"/>
          <w:sz w:val="16"/>
          <w:szCs w:val="16"/>
          <w:lang w:val="es-ES"/>
        </w:rPr>
        <w:t xml:space="preserve"> </w:t>
      </w:r>
      <w:proofErr w:type="spellStart"/>
      <w:r w:rsidRPr="00D15376">
        <w:rPr>
          <w:rFonts w:ascii="Arial" w:hAnsi="Arial" w:cs="Arial"/>
          <w:i/>
          <w:iCs/>
          <w:sz w:val="16"/>
          <w:szCs w:val="16"/>
          <w:lang w:val="es-ES"/>
        </w:rPr>
        <w:t>Mobula</w:t>
      </w:r>
      <w:proofErr w:type="spellEnd"/>
      <w:r w:rsidRPr="00D15376">
        <w:rPr>
          <w:rFonts w:ascii="Arial" w:hAnsi="Arial" w:cs="Arial"/>
          <w:i/>
          <w:iCs/>
          <w:sz w:val="16"/>
          <w:szCs w:val="16"/>
          <w:lang w:val="es-ES"/>
        </w:rPr>
        <w:t xml:space="preserve"> </w:t>
      </w:r>
      <w:proofErr w:type="spellStart"/>
      <w:r w:rsidRPr="00D15376">
        <w:rPr>
          <w:rFonts w:ascii="Arial" w:hAnsi="Arial" w:cs="Arial"/>
          <w:i/>
          <w:iCs/>
          <w:sz w:val="16"/>
          <w:szCs w:val="16"/>
          <w:lang w:val="es-ES"/>
        </w:rPr>
        <w:t>japanica</w:t>
      </w:r>
      <w:proofErr w:type="spellEnd"/>
      <w:r w:rsidRPr="00D15376">
        <w:rPr>
          <w:rFonts w:ascii="Arial" w:hAnsi="Arial" w:cs="Arial"/>
          <w:i/>
          <w:iCs/>
          <w:sz w:val="16"/>
          <w:szCs w:val="16"/>
          <w:lang w:val="es-ES"/>
        </w:rPr>
        <w:t xml:space="preserve"> </w:t>
      </w:r>
      <w:r w:rsidRPr="00D15376">
        <w:rPr>
          <w:rFonts w:ascii="Arial" w:hAnsi="Arial" w:cs="Arial"/>
          <w:sz w:val="16"/>
          <w:szCs w:val="16"/>
          <w:lang w:val="es-ES"/>
        </w:rPr>
        <w:t xml:space="preserve">también se considera en la actualidad una sola especie junto con </w:t>
      </w:r>
      <w:proofErr w:type="spellStart"/>
      <w:r w:rsidRPr="00D15376">
        <w:rPr>
          <w:rFonts w:ascii="Arial" w:hAnsi="Arial" w:cs="Arial"/>
          <w:i/>
          <w:iCs/>
          <w:sz w:val="16"/>
          <w:szCs w:val="16"/>
          <w:lang w:val="es-ES"/>
        </w:rPr>
        <w:t>Mobula</w:t>
      </w:r>
      <w:proofErr w:type="spellEnd"/>
      <w:r w:rsidRPr="00D15376">
        <w:rPr>
          <w:rFonts w:ascii="Arial" w:hAnsi="Arial" w:cs="Arial"/>
          <w:i/>
          <w:iCs/>
          <w:sz w:val="16"/>
          <w:szCs w:val="16"/>
          <w:lang w:val="es-ES"/>
        </w:rPr>
        <w:t xml:space="preserve"> </w:t>
      </w:r>
      <w:proofErr w:type="spellStart"/>
      <w:r w:rsidRPr="00D15376">
        <w:rPr>
          <w:rFonts w:ascii="Arial" w:hAnsi="Arial" w:cs="Arial"/>
          <w:i/>
          <w:iCs/>
          <w:sz w:val="16"/>
          <w:szCs w:val="16"/>
          <w:lang w:val="es-ES"/>
        </w:rPr>
        <w:t>mobular</w:t>
      </w:r>
      <w:proofErr w:type="spellEnd"/>
      <w:r w:rsidRPr="00D15376">
        <w:rPr>
          <w:rFonts w:ascii="Arial" w:hAnsi="Arial" w:cs="Arial"/>
          <w:sz w:val="16"/>
          <w:szCs w:val="16"/>
          <w:lang w:val="es-ES"/>
        </w:rPr>
        <w:t>.</w:t>
      </w:r>
    </w:p>
  </w:footnote>
  <w:footnote w:id="5">
    <w:p w14:paraId="4AA9AAEF" w14:textId="77777777" w:rsidR="00FE1D65" w:rsidRPr="00CF3F08" w:rsidRDefault="00FE1D65" w:rsidP="00FE1D65">
      <w:pPr>
        <w:pStyle w:val="FootnoteText"/>
        <w:rPr>
          <w:rFonts w:ascii="Arial" w:hAnsi="Arial" w:cs="Arial"/>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Estrategia global y Planes de acción Regionales</w:t>
      </w:r>
    </w:p>
  </w:footnote>
  <w:footnote w:id="6">
    <w:p w14:paraId="6A0F78A6" w14:textId="77777777" w:rsidR="00FE1D65" w:rsidRPr="00CF3F08"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Los expertos están identificando las especies </w:t>
      </w:r>
    </w:p>
  </w:footnote>
  <w:footnote w:id="7">
    <w:p w14:paraId="6124972C" w14:textId="77777777" w:rsidR="00AF1028" w:rsidRPr="008C7BF0" w:rsidRDefault="00AF1028" w:rsidP="00AF1028">
      <w:pPr>
        <w:pStyle w:val="FootnoteText"/>
        <w:jc w:val="both"/>
        <w:rPr>
          <w:rFonts w:ascii="Arial" w:hAnsi="Arial" w:cs="Arial"/>
          <w:strike/>
          <w:sz w:val="16"/>
          <w:szCs w:val="16"/>
          <w:lang w:val="es-ES"/>
        </w:rPr>
      </w:pPr>
      <w:r w:rsidRPr="008C7BF0">
        <w:rPr>
          <w:rFonts w:ascii="Arial" w:hAnsi="Arial" w:cs="Arial"/>
          <w:strike/>
          <w:sz w:val="16"/>
          <w:szCs w:val="16"/>
        </w:rPr>
        <w:footnoteRef/>
      </w:r>
      <w:r w:rsidRPr="008C7BF0">
        <w:rPr>
          <w:rFonts w:ascii="Arial" w:hAnsi="Arial" w:cs="Arial"/>
          <w:strike/>
          <w:sz w:val="16"/>
          <w:szCs w:val="16"/>
          <w:lang w:val="es-ES"/>
        </w:rPr>
        <w:t xml:space="preserve"> Plan de Conservación (CP), Términos de Referencia del Comité Asesor (AC TOR), Términos de Referencia de la Secretaría (SEC TOR)</w:t>
      </w:r>
    </w:p>
  </w:footnote>
  <w:footnote w:id="8">
    <w:p w14:paraId="53C8513E" w14:textId="77777777" w:rsidR="00AF1028" w:rsidRPr="008C7BF0" w:rsidRDefault="00AF1028" w:rsidP="00AF1028">
      <w:pPr>
        <w:pStyle w:val="FootnoteText"/>
        <w:jc w:val="both"/>
        <w:rPr>
          <w:rFonts w:ascii="Arial" w:hAnsi="Arial" w:cs="Arial"/>
          <w:strike/>
          <w:sz w:val="16"/>
          <w:szCs w:val="16"/>
          <w:lang w:val="es-ES"/>
        </w:rPr>
      </w:pPr>
      <w:r w:rsidRPr="008C7BF0">
        <w:rPr>
          <w:rFonts w:ascii="Arial" w:hAnsi="Arial" w:cs="Arial"/>
          <w:strike/>
          <w:sz w:val="16"/>
          <w:szCs w:val="16"/>
        </w:rPr>
        <w:footnoteRef/>
      </w:r>
      <w:r w:rsidRPr="008C7BF0">
        <w:rPr>
          <w:rFonts w:ascii="Arial" w:hAnsi="Arial" w:cs="Arial"/>
          <w:strike/>
          <w:sz w:val="16"/>
          <w:szCs w:val="16"/>
          <w:lang w:val="es-ES"/>
        </w:rPr>
        <w:t xml:space="preserve"> Actividades Básicas de la Secretaría y prioridades sugeridas (Alta, Media)</w:t>
      </w:r>
    </w:p>
  </w:footnote>
  <w:footnote w:id="9">
    <w:p w14:paraId="46E1A4B2" w14:textId="77777777" w:rsidR="00AF1028" w:rsidRPr="008C7BF0" w:rsidRDefault="00AF1028" w:rsidP="00AF1028">
      <w:pPr>
        <w:pStyle w:val="FootnoteText"/>
        <w:jc w:val="both"/>
        <w:rPr>
          <w:rFonts w:ascii="Arial" w:hAnsi="Arial" w:cs="Arial"/>
          <w:strike/>
          <w:sz w:val="16"/>
          <w:szCs w:val="16"/>
          <w:lang w:val="es-ES"/>
        </w:rPr>
      </w:pPr>
      <w:r w:rsidRPr="008C7BF0">
        <w:rPr>
          <w:rFonts w:ascii="Arial" w:hAnsi="Arial" w:cs="Arial"/>
          <w:strike/>
          <w:sz w:val="16"/>
          <w:szCs w:val="16"/>
        </w:rPr>
        <w:footnoteRef/>
      </w:r>
      <w:r w:rsidRPr="008C7BF0">
        <w:rPr>
          <w:rFonts w:ascii="Arial" w:hAnsi="Arial" w:cs="Arial"/>
          <w:strike/>
          <w:sz w:val="16"/>
          <w:szCs w:val="16"/>
          <w:lang w:val="es-ES"/>
        </w:rPr>
        <w:t xml:space="preserve"> Año(s) durante el(los) cual(es) debería implementarse la actividad</w:t>
      </w:r>
    </w:p>
  </w:footnote>
  <w:footnote w:id="10">
    <w:p w14:paraId="59780D17" w14:textId="77777777" w:rsidR="00AF1028" w:rsidRPr="008C7BF0" w:rsidRDefault="00AF1028" w:rsidP="00AF1028">
      <w:pPr>
        <w:pStyle w:val="FootnoteText"/>
        <w:jc w:val="both"/>
        <w:rPr>
          <w:strike/>
          <w:sz w:val="18"/>
          <w:szCs w:val="18"/>
          <w:lang w:val="es-ES"/>
        </w:rPr>
      </w:pPr>
      <w:r w:rsidRPr="008C7BF0">
        <w:rPr>
          <w:rFonts w:ascii="Arial" w:hAnsi="Arial" w:cs="Arial"/>
          <w:strike/>
          <w:sz w:val="16"/>
          <w:szCs w:val="16"/>
        </w:rPr>
        <w:footnoteRef/>
      </w:r>
      <w:r w:rsidRPr="008C7BF0">
        <w:rPr>
          <w:rFonts w:ascii="Arial" w:hAnsi="Arial" w:cs="Arial"/>
          <w:strike/>
          <w:sz w:val="16"/>
          <w:szCs w:val="16"/>
          <w:lang w:val="es-ES"/>
        </w:rPr>
        <w:t xml:space="preserve"> Signatarios (SIG), Comité Asesor (CA), Secretaría (SEC), Grupo de Trabajo de Conservación (CWS), Consultores, Socios Cooperadores (</w:t>
      </w:r>
      <w:proofErr w:type="spellStart"/>
      <w:r w:rsidRPr="008C7BF0">
        <w:rPr>
          <w:rFonts w:ascii="Arial" w:hAnsi="Arial" w:cs="Arial"/>
          <w:strike/>
          <w:sz w:val="16"/>
          <w:szCs w:val="16"/>
          <w:lang w:val="es-ES"/>
        </w:rPr>
        <w:t>CooP</w:t>
      </w:r>
      <w:proofErr w:type="spellEnd"/>
      <w:r w:rsidRPr="008C7BF0">
        <w:rPr>
          <w:rFonts w:ascii="Arial" w:hAnsi="Arial" w:cs="Arial"/>
          <w:strike/>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6243" w14:textId="1ACAC561" w:rsidR="00E966DE" w:rsidRPr="00FE1D65" w:rsidRDefault="00E966DE" w:rsidP="00E966DE">
    <w:pPr>
      <w:pStyle w:val="Header"/>
      <w:pBdr>
        <w:bottom w:val="single" w:sz="4" w:space="1" w:color="auto"/>
      </w:pBdr>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00FE1D65" w:rsidRPr="00FE1D65">
      <w:rPr>
        <w:rFonts w:ascii="Arial" w:hAnsi="Arial" w:cs="Arial"/>
        <w:i/>
        <w:sz w:val="18"/>
        <w:szCs w:val="18"/>
      </w:rPr>
      <w:t>1</w:t>
    </w:r>
    <w:r w:rsidR="00FE1D65">
      <w:rPr>
        <w:rFonts w:ascii="Arial" w:hAnsi="Arial" w:cs="Arial"/>
        <w:i/>
        <w:sz w:val="18"/>
        <w:szCs w:val="18"/>
      </w:rPr>
      <w:t>0.</w:t>
    </w:r>
    <w:r w:rsidR="00E272CE">
      <w:rPr>
        <w:rFonts w:ascii="Arial" w:hAnsi="Arial" w:cs="Arial"/>
        <w:i/>
        <w:sz w:val="18"/>
        <w:szCs w:val="18"/>
      </w:rPr>
      <w:t>2</w:t>
    </w:r>
    <w:r w:rsidR="008C7BF0">
      <w:rPr>
        <w:rFonts w:ascii="Arial" w:hAnsi="Arial" w:cs="Arial"/>
        <w:i/>
        <w:sz w:val="18"/>
        <w:szCs w:val="18"/>
      </w:rPr>
      <w:t>/</w:t>
    </w:r>
    <w:r w:rsidR="008C7BF0" w:rsidRPr="008C7BF0">
      <w:rPr>
        <w:rFonts w:ascii="Arial" w:hAnsi="Arial" w:cs="Arial"/>
        <w:i/>
        <w:sz w:val="18"/>
        <w:szCs w:val="18"/>
        <w:u w:val="single"/>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1A9E" w14:textId="601CC177" w:rsidR="00E966DE" w:rsidRPr="00FE1D65" w:rsidRDefault="00E966DE" w:rsidP="00FE1D65">
    <w:pPr>
      <w:pStyle w:val="Header"/>
      <w:pBdr>
        <w:bottom w:val="single" w:sz="4" w:space="1" w:color="auto"/>
      </w:pBdr>
      <w:jc w:val="right"/>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00FE1D65" w:rsidRPr="00FE1D65">
      <w:rPr>
        <w:rFonts w:ascii="Arial" w:hAnsi="Arial" w:cs="Arial"/>
        <w:i/>
        <w:sz w:val="18"/>
        <w:szCs w:val="18"/>
      </w:rPr>
      <w:t>1</w:t>
    </w:r>
    <w:r w:rsidR="00FE1D65">
      <w:rPr>
        <w:rFonts w:ascii="Arial" w:hAnsi="Arial" w:cs="Arial"/>
        <w:i/>
        <w:sz w:val="18"/>
        <w:szCs w:val="18"/>
      </w:rPr>
      <w:t>0.</w:t>
    </w:r>
    <w:r w:rsidR="00E272CE">
      <w:rPr>
        <w:rFonts w:ascii="Arial" w:hAnsi="Arial" w:cs="Arial"/>
        <w:i/>
        <w:sz w:val="18"/>
        <w:szCs w:val="18"/>
      </w:rPr>
      <w:t>2</w:t>
    </w:r>
    <w:r w:rsidR="008C7BF0">
      <w:rPr>
        <w:rFonts w:ascii="Arial" w:hAnsi="Arial" w:cs="Arial"/>
        <w:i/>
        <w:sz w:val="18"/>
        <w:szCs w:val="18"/>
      </w:rPr>
      <w:t>/</w:t>
    </w:r>
    <w:r w:rsidR="008C7BF0" w:rsidRPr="008C7BF0">
      <w:rPr>
        <w:rFonts w:ascii="Arial" w:hAnsi="Arial" w:cs="Arial"/>
        <w:i/>
        <w:sz w:val="18"/>
        <w:szCs w:val="18"/>
        <w:u w:val="single"/>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98" w14:textId="7CD8C2A4" w:rsidR="00AF1028" w:rsidRPr="00FE1D65" w:rsidRDefault="00AF1028" w:rsidP="00AF1028">
    <w:pPr>
      <w:pStyle w:val="Header"/>
      <w:pBdr>
        <w:bottom w:val="single" w:sz="4" w:space="1" w:color="auto"/>
      </w:pBd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w:t>
    </w:r>
    <w:r w:rsidR="00E272CE">
      <w:rPr>
        <w:rFonts w:ascii="Arial" w:hAnsi="Arial" w:cs="Arial"/>
        <w:i/>
        <w:sz w:val="18"/>
        <w:szCs w:val="18"/>
      </w:rPr>
      <w:t>2</w:t>
    </w:r>
    <w:r>
      <w:rPr>
        <w:rFonts w:ascii="Arial" w:hAnsi="Arial" w:cs="Arial"/>
        <w:i/>
        <w:sz w:val="18"/>
        <w:szCs w:val="18"/>
      </w:rPr>
      <w:t>/Anexo 1</w:t>
    </w:r>
  </w:p>
  <w:p w14:paraId="35C768CF" w14:textId="77777777" w:rsidR="00AF1028" w:rsidRPr="003E6A17" w:rsidRDefault="00AF1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5ECB" w14:textId="2B761F4D" w:rsidR="00AF1028" w:rsidRPr="00FE1D65" w:rsidRDefault="00AF1028" w:rsidP="00E966DE">
    <w:pPr>
      <w:pStyle w:val="Header"/>
      <w:pBdr>
        <w:bottom w:val="single" w:sz="4" w:space="1" w:color="auto"/>
      </w:pBdr>
      <w:rPr>
        <w:rFonts w:ascii="Arial" w:hAnsi="Arial" w:cs="Arial"/>
        <w:i/>
        <w:sz w:val="18"/>
        <w:szCs w:val="18"/>
      </w:rPr>
    </w:pPr>
    <w:r>
      <w:rPr>
        <w:rFonts w:ascii="Arial" w:hAnsi="Arial" w:cs="Arial"/>
        <w:i/>
        <w:sz w:val="18"/>
        <w:szCs w:val="18"/>
      </w:rPr>
      <w:t>UNEP/CMS/Sharks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0.4/Anexo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2713" w14:textId="1B873F40" w:rsidR="00AF1028" w:rsidRPr="003E6A17" w:rsidRDefault="00AF1028" w:rsidP="00220328">
    <w:pPr>
      <w:pStyle w:val="Header"/>
      <w:pBdr>
        <w:bottom w:val="single" w:sz="4" w:space="1" w:color="auto"/>
      </w:pBdr>
      <w:jc w:val="right"/>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w:t>
    </w:r>
    <w:r w:rsidR="00E272CE">
      <w:rPr>
        <w:rFonts w:ascii="Arial" w:hAnsi="Arial" w:cs="Arial"/>
        <w:i/>
        <w:sz w:val="18"/>
        <w:szCs w:val="18"/>
      </w:rPr>
      <w:t>2</w:t>
    </w:r>
    <w:r>
      <w:rPr>
        <w:rFonts w:ascii="Arial" w:hAnsi="Arial"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164BE"/>
    <w:multiLevelType w:val="hybridMultilevel"/>
    <w:tmpl w:val="2AAC88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6F876DE2"/>
    <w:multiLevelType w:val="hybridMultilevel"/>
    <w:tmpl w:val="B2448842"/>
    <w:lvl w:ilvl="0" w:tplc="82DA62CE">
      <w:start w:val="1"/>
      <w:numFmt w:val="decimal"/>
      <w:lvlText w:val="%1."/>
      <w:lvlJc w:val="left"/>
      <w:pPr>
        <w:ind w:left="360" w:hanging="360"/>
      </w:pPr>
      <w:rPr>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457311">
    <w:abstractNumId w:val="1"/>
  </w:num>
  <w:num w:numId="2" w16cid:durableId="631056669">
    <w:abstractNumId w:val="3"/>
  </w:num>
  <w:num w:numId="3" w16cid:durableId="584727522">
    <w:abstractNumId w:val="0"/>
  </w:num>
  <w:num w:numId="4" w16cid:durableId="127101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TA2NTA0NTExNDdS0lEKTi0uzszPAykwrQUAMT5R/CwAAAA="/>
  </w:docVars>
  <w:rsids>
    <w:rsidRoot w:val="00E966DE"/>
    <w:rsid w:val="00220328"/>
    <w:rsid w:val="002A19B3"/>
    <w:rsid w:val="002F6FD3"/>
    <w:rsid w:val="00355A11"/>
    <w:rsid w:val="003E32B7"/>
    <w:rsid w:val="003E6A17"/>
    <w:rsid w:val="00506EA5"/>
    <w:rsid w:val="00693330"/>
    <w:rsid w:val="006A6406"/>
    <w:rsid w:val="00730A43"/>
    <w:rsid w:val="008C7BF0"/>
    <w:rsid w:val="009C665F"/>
    <w:rsid w:val="00AF1028"/>
    <w:rsid w:val="00B17159"/>
    <w:rsid w:val="00B36D40"/>
    <w:rsid w:val="00BD1922"/>
    <w:rsid w:val="00CF3F08"/>
    <w:rsid w:val="00D9593E"/>
    <w:rsid w:val="00DA13B3"/>
    <w:rsid w:val="00E272CE"/>
    <w:rsid w:val="00E44627"/>
    <w:rsid w:val="00E83C08"/>
    <w:rsid w:val="00E966DE"/>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D34810"/>
  <w15:chartTrackingRefBased/>
  <w15:docId w15:val="{5BA2E732-AE75-484A-A12D-FD465AE5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DE"/>
  </w:style>
  <w:style w:type="paragraph" w:styleId="Footer">
    <w:name w:val="footer"/>
    <w:basedOn w:val="Normal"/>
    <w:link w:val="FooterChar"/>
    <w:uiPriority w:val="99"/>
    <w:unhideWhenUsed/>
    <w:rsid w:val="00E9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DE"/>
  </w:style>
  <w:style w:type="paragraph" w:styleId="FootnoteText">
    <w:name w:val="footnote text"/>
    <w:basedOn w:val="Normal"/>
    <w:link w:val="FootnoteTextChar"/>
    <w:uiPriority w:val="99"/>
    <w:semiHidden/>
    <w:unhideWhenUsed/>
    <w:rsid w:val="00FE1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D65"/>
    <w:rPr>
      <w:sz w:val="20"/>
      <w:szCs w:val="20"/>
    </w:rPr>
  </w:style>
  <w:style w:type="character" w:styleId="Hyperlink">
    <w:name w:val="Hyperlink"/>
    <w:uiPriority w:val="99"/>
    <w:rsid w:val="00FE1D65"/>
    <w:rPr>
      <w:rFonts w:cs="Times New Roman"/>
      <w:color w:val="0000FF"/>
      <w:u w:val="single"/>
    </w:rPr>
  </w:style>
  <w:style w:type="character" w:styleId="FootnoteReference">
    <w:name w:val="footnote reference"/>
    <w:basedOn w:val="DefaultParagraphFont"/>
    <w:uiPriority w:val="99"/>
    <w:semiHidden/>
    <w:unhideWhenUsed/>
    <w:rsid w:val="00FE1D65"/>
    <w:rPr>
      <w:vertAlign w:val="superscript"/>
    </w:rPr>
  </w:style>
  <w:style w:type="table" w:customStyle="1" w:styleId="PlainTable21">
    <w:name w:val="Plain Table 21"/>
    <w:basedOn w:val="TableNormal"/>
    <w:next w:val="PlainTable2"/>
    <w:uiPriority w:val="42"/>
    <w:rsid w:val="00FE1D65"/>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1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E1D65"/>
    <w:pPr>
      <w:ind w:left="720"/>
      <w:contextualSpacing/>
    </w:pPr>
  </w:style>
  <w:style w:type="table" w:customStyle="1" w:styleId="PlainTable22">
    <w:name w:val="Plain Table 22"/>
    <w:basedOn w:val="TableNormal"/>
    <w:next w:val="PlainTable2"/>
    <w:uiPriority w:val="42"/>
    <w:rsid w:val="00AF1028"/>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DA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ms.int/sharks/en/node/10821" TargetMode="External"/><Relationship Id="rId18" Type="http://schemas.openxmlformats.org/officeDocument/2006/relationships/hyperlink" Target="https://www.cms.int/sharks/en/document/development-conservation-strategy-and-action-plans-pelagic-sharks-and-rays"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s://www.cms.int/sharks/en/document/text-memorandum-understanding-conservation-migratory-shark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int/sharks/en/document/text-memorandum-understanding-conservation-migratory-shark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cms.int/sharks/en/document/half-century-global-decline-oceanic-sharks-and-ray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Victoria Cancino Ordenes</dc:creator>
  <cp:keywords/>
  <dc:description/>
  <cp:lastModifiedBy>Ximena Victoria Cancino Ordenes</cp:lastModifiedBy>
  <cp:revision>4</cp:revision>
  <cp:lastPrinted>2022-12-22T16:18:00Z</cp:lastPrinted>
  <dcterms:created xsi:type="dcterms:W3CDTF">2023-03-01T20:38:00Z</dcterms:created>
  <dcterms:modified xsi:type="dcterms:W3CDTF">2023-03-01T21:39:00Z</dcterms:modified>
</cp:coreProperties>
</file>