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294"/>
        <w:tblW w:w="9375" w:type="dxa"/>
        <w:tblBorders>
          <w:insideV w:val="single" w:sz="12" w:space="0" w:color="auto"/>
        </w:tblBorders>
        <w:tblLayout w:type="fixed"/>
        <w:tblCellMar>
          <w:top w:w="198" w:type="dxa"/>
        </w:tblCellMar>
        <w:tblLook w:val="0000" w:firstRow="0" w:lastRow="0" w:firstColumn="0" w:lastColumn="0" w:noHBand="0" w:noVBand="0"/>
      </w:tblPr>
      <w:tblGrid>
        <w:gridCol w:w="1499"/>
        <w:gridCol w:w="3888"/>
        <w:gridCol w:w="3988"/>
      </w:tblGrid>
      <w:tr w:rsidR="003C6B55" w:rsidRPr="00FD56E6" w14:paraId="31C1001A" w14:textId="77777777" w:rsidTr="00FD4F0F">
        <w:trPr>
          <w:cantSplit/>
          <w:trHeight w:val="1034"/>
        </w:trPr>
        <w:tc>
          <w:tcPr>
            <w:tcW w:w="9375" w:type="dxa"/>
            <w:gridSpan w:val="3"/>
            <w:tcBorders>
              <w:bottom w:val="single" w:sz="12" w:space="0" w:color="auto"/>
            </w:tcBorders>
            <w:tcMar>
              <w:top w:w="85" w:type="dxa"/>
            </w:tcMar>
          </w:tcPr>
          <w:p w14:paraId="669D0B22" w14:textId="2AFD918D" w:rsidR="00CE7534" w:rsidRPr="00CE7534" w:rsidRDefault="003853A2" w:rsidP="00CE7534">
            <w:pPr>
              <w:tabs>
                <w:tab w:val="left" w:pos="-1057"/>
                <w:tab w:val="left" w:pos="-720"/>
                <w:tab w:val="left" w:pos="0"/>
                <w:tab w:val="left" w:pos="141"/>
                <w:tab w:val="left" w:pos="720"/>
                <w:tab w:val="right" w:pos="8955"/>
              </w:tabs>
              <w:jc w:val="both"/>
              <w:rPr>
                <w:sz w:val="22"/>
                <w:szCs w:val="22"/>
                <w:lang w:val="en-GB"/>
              </w:rPr>
            </w:pPr>
            <w:r>
              <w:rPr>
                <w:noProof/>
                <w:sz w:val="22"/>
                <w:szCs w:val="22"/>
                <w:lang w:val="en-GB"/>
              </w:rPr>
              <w:drawing>
                <wp:anchor distT="0" distB="0" distL="114300" distR="114300" simplePos="0" relativeHeight="251671552" behindDoc="0" locked="0" layoutInCell="1" allowOverlap="1" wp14:anchorId="778279E1" wp14:editId="7D577BDF">
                  <wp:simplePos x="0" y="0"/>
                  <wp:positionH relativeFrom="column">
                    <wp:posOffset>-68580</wp:posOffset>
                  </wp:positionH>
                  <wp:positionV relativeFrom="paragraph">
                    <wp:posOffset>161925</wp:posOffset>
                  </wp:positionV>
                  <wp:extent cx="781050" cy="45720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20732" b="20732"/>
                          <a:stretch/>
                        </pic:blipFill>
                        <pic:spPr bwMode="auto">
                          <a:xfrm>
                            <a:off x="0" y="0"/>
                            <a:ext cx="781050" cy="4572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51B4C" w:rsidRPr="00F9613E">
              <w:rPr>
                <w:noProof/>
              </w:rPr>
              <w:drawing>
                <wp:anchor distT="0" distB="0" distL="114300" distR="114300" simplePos="0" relativeHeight="251670528" behindDoc="0" locked="0" layoutInCell="1" allowOverlap="1" wp14:anchorId="53D76870" wp14:editId="6AC8DF92">
                  <wp:simplePos x="0" y="0"/>
                  <wp:positionH relativeFrom="column">
                    <wp:posOffset>759460</wp:posOffset>
                  </wp:positionH>
                  <wp:positionV relativeFrom="paragraph">
                    <wp:posOffset>207645</wp:posOffset>
                  </wp:positionV>
                  <wp:extent cx="333375" cy="409575"/>
                  <wp:effectExtent l="0" t="0" r="0" b="9525"/>
                  <wp:wrapNone/>
                  <wp:docPr id="9" name="Picture 9" descr="cms_logo-for_letterhead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 descr="cms_logo-for_letterhead_black"/>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r="-30273" b="-13983"/>
                          <a:stretch/>
                        </pic:blipFill>
                        <pic:spPr bwMode="auto">
                          <a:xfrm>
                            <a:off x="0" y="0"/>
                            <a:ext cx="333375" cy="4095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r w:rsidR="003C6B55" w:rsidRPr="005D72F1" w14:paraId="472DD153" w14:textId="77777777" w:rsidTr="005D72F1">
        <w:trPr>
          <w:trHeight w:val="1356"/>
        </w:trPr>
        <w:tc>
          <w:tcPr>
            <w:tcW w:w="1499" w:type="dxa"/>
            <w:tcBorders>
              <w:top w:val="single" w:sz="12" w:space="0" w:color="auto"/>
              <w:bottom w:val="single" w:sz="12" w:space="0" w:color="auto"/>
              <w:right w:val="nil"/>
            </w:tcBorders>
            <w:tcMar>
              <w:top w:w="85" w:type="dxa"/>
            </w:tcMar>
          </w:tcPr>
          <w:p w14:paraId="542DBCBC" w14:textId="77777777" w:rsidR="003C6B55" w:rsidRPr="00FD56E6" w:rsidRDefault="003C6B55" w:rsidP="003C6B55">
            <w:pPr>
              <w:jc w:val="both"/>
              <w:rPr>
                <w:sz w:val="22"/>
                <w:szCs w:val="22"/>
                <w:lang w:val="en-GB"/>
              </w:rPr>
            </w:pPr>
            <w:r>
              <w:rPr>
                <w:noProof/>
              </w:rPr>
              <w:drawing>
                <wp:anchor distT="0" distB="0" distL="114300" distR="114300" simplePos="0" relativeHeight="251666432" behindDoc="0" locked="0" layoutInCell="1" allowOverlap="1" wp14:anchorId="4B2DA574" wp14:editId="0EE21F26">
                  <wp:simplePos x="0" y="0"/>
                  <wp:positionH relativeFrom="column">
                    <wp:posOffset>-17145</wp:posOffset>
                  </wp:positionH>
                  <wp:positionV relativeFrom="paragraph">
                    <wp:posOffset>-4445</wp:posOffset>
                  </wp:positionV>
                  <wp:extent cx="977900" cy="835013"/>
                  <wp:effectExtent l="0" t="0" r="0" b="381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l="17097" t="4031" r="6290" b="3818"/>
                          <a:stretch>
                            <a:fillRect/>
                          </a:stretch>
                        </pic:blipFill>
                        <pic:spPr bwMode="auto">
                          <a:xfrm>
                            <a:off x="0" y="0"/>
                            <a:ext cx="977900" cy="835013"/>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888" w:type="dxa"/>
            <w:tcBorders>
              <w:top w:val="single" w:sz="12" w:space="0" w:color="auto"/>
              <w:left w:val="nil"/>
              <w:bottom w:val="single" w:sz="12" w:space="0" w:color="auto"/>
              <w:right w:val="nil"/>
            </w:tcBorders>
            <w:tcMar>
              <w:top w:w="85" w:type="dxa"/>
            </w:tcMar>
          </w:tcPr>
          <w:p w14:paraId="4987A3C6" w14:textId="77777777" w:rsidR="000F4E00" w:rsidRPr="000F4E00" w:rsidRDefault="000F4E00" w:rsidP="003C6B55">
            <w:pPr>
              <w:spacing w:before="40"/>
              <w:ind w:left="274"/>
              <w:rPr>
                <w:rFonts w:ascii="Arial" w:hAnsi="Arial" w:cs="Arial"/>
                <w:b/>
                <w:bCs/>
                <w:sz w:val="10"/>
                <w:szCs w:val="10"/>
                <w:lang w:val="fr-FR"/>
              </w:rPr>
            </w:pPr>
          </w:p>
          <w:p w14:paraId="79AE6996" w14:textId="54E3FDAC" w:rsidR="003C6B55" w:rsidRPr="00B25614" w:rsidRDefault="003C6B55" w:rsidP="003C6B55">
            <w:pPr>
              <w:spacing w:before="40"/>
              <w:ind w:left="274"/>
              <w:rPr>
                <w:b/>
                <w:bCs/>
                <w:sz w:val="22"/>
                <w:szCs w:val="22"/>
                <w:lang w:val="fr-FR"/>
              </w:rPr>
            </w:pPr>
            <w:r w:rsidRPr="009B083A">
              <w:rPr>
                <w:rFonts w:ascii="Arial" w:hAnsi="Arial" w:cs="Arial"/>
                <w:b/>
                <w:bCs/>
                <w:sz w:val="22"/>
                <w:szCs w:val="22"/>
                <w:lang w:val="fr-FR"/>
              </w:rPr>
              <w:t>MÉ</w:t>
            </w:r>
            <w:r>
              <w:rPr>
                <w:rFonts w:ascii="Arial" w:hAnsi="Arial" w:cs="Arial"/>
                <w:b/>
                <w:bCs/>
                <w:sz w:val="22"/>
                <w:szCs w:val="22"/>
                <w:lang w:val="fr-FR"/>
              </w:rPr>
              <w:t xml:space="preserve">MORANDUM D’ENTENTE SUR LA </w:t>
            </w:r>
            <w:r w:rsidRPr="009B083A">
              <w:rPr>
                <w:rFonts w:ascii="Arial" w:hAnsi="Arial" w:cs="Arial"/>
                <w:b/>
                <w:bCs/>
                <w:sz w:val="22"/>
                <w:szCs w:val="22"/>
                <w:lang w:val="fr-FR"/>
              </w:rPr>
              <w:t>CONSERVATION DES REQUINS MIGRATEURS</w:t>
            </w:r>
          </w:p>
        </w:tc>
        <w:tc>
          <w:tcPr>
            <w:tcW w:w="3988" w:type="dxa"/>
            <w:tcBorders>
              <w:top w:val="single" w:sz="12" w:space="0" w:color="auto"/>
              <w:left w:val="nil"/>
              <w:bottom w:val="single" w:sz="12" w:space="0" w:color="auto"/>
            </w:tcBorders>
            <w:tcMar>
              <w:top w:w="85" w:type="dxa"/>
            </w:tcMar>
          </w:tcPr>
          <w:p w14:paraId="17B9FB22" w14:textId="77777777" w:rsidR="000F4E00" w:rsidRPr="000F4E00" w:rsidRDefault="000F4E00" w:rsidP="007B4024">
            <w:pPr>
              <w:spacing w:before="40" w:after="40"/>
              <w:ind w:left="-108"/>
              <w:jc w:val="both"/>
              <w:rPr>
                <w:rFonts w:ascii="Arial" w:hAnsi="Arial" w:cs="Arial"/>
                <w:sz w:val="10"/>
                <w:szCs w:val="10"/>
                <w:lang w:val="fr-FR"/>
              </w:rPr>
            </w:pPr>
          </w:p>
          <w:p w14:paraId="331591E9" w14:textId="581FCF3D" w:rsidR="003C6B55" w:rsidRPr="005D72F1" w:rsidRDefault="003C6B55" w:rsidP="007B4024">
            <w:pPr>
              <w:spacing w:before="40" w:after="40"/>
              <w:ind w:left="-108"/>
              <w:jc w:val="both"/>
              <w:rPr>
                <w:rFonts w:ascii="Arial" w:hAnsi="Arial" w:cs="Arial"/>
                <w:sz w:val="22"/>
                <w:szCs w:val="22"/>
              </w:rPr>
            </w:pPr>
            <w:r w:rsidRPr="005D72F1">
              <w:rPr>
                <w:rFonts w:ascii="Arial" w:hAnsi="Arial" w:cs="Arial"/>
                <w:sz w:val="22"/>
                <w:szCs w:val="22"/>
              </w:rPr>
              <w:t>CMS/Sharks/MOS</w:t>
            </w:r>
            <w:r w:rsidR="004F27E0" w:rsidRPr="005D72F1">
              <w:rPr>
                <w:rFonts w:ascii="Arial" w:hAnsi="Arial" w:cs="Arial"/>
                <w:sz w:val="22"/>
                <w:szCs w:val="22"/>
              </w:rPr>
              <w:t>4</w:t>
            </w:r>
            <w:r w:rsidR="001C7504" w:rsidRPr="005D72F1">
              <w:rPr>
                <w:rFonts w:ascii="Arial" w:hAnsi="Arial" w:cs="Arial"/>
                <w:sz w:val="22"/>
                <w:szCs w:val="22"/>
              </w:rPr>
              <w:t>/Doc.</w:t>
            </w:r>
            <w:r w:rsidR="00536AE8" w:rsidRPr="005D72F1">
              <w:rPr>
                <w:rFonts w:ascii="Arial" w:hAnsi="Arial" w:cs="Arial"/>
                <w:sz w:val="22"/>
                <w:szCs w:val="22"/>
              </w:rPr>
              <w:t>10.2</w:t>
            </w:r>
            <w:r w:rsidR="005D72F1" w:rsidRPr="005D72F1">
              <w:rPr>
                <w:rFonts w:ascii="Arial" w:hAnsi="Arial" w:cs="Arial"/>
                <w:sz w:val="22"/>
                <w:szCs w:val="22"/>
              </w:rPr>
              <w:t>/</w:t>
            </w:r>
            <w:r w:rsidR="005D72F1" w:rsidRPr="005D72F1">
              <w:rPr>
                <w:rFonts w:ascii="Arial" w:hAnsi="Arial" w:cs="Arial"/>
                <w:sz w:val="22"/>
                <w:szCs w:val="22"/>
                <w:u w:val="single"/>
              </w:rPr>
              <w:t>Rev.1</w:t>
            </w:r>
          </w:p>
          <w:p w14:paraId="5D8B5935" w14:textId="55F0FC8F" w:rsidR="003C6B55" w:rsidRPr="005D72F1" w:rsidRDefault="00536AE8" w:rsidP="007B4024">
            <w:pPr>
              <w:spacing w:before="40" w:after="40"/>
              <w:ind w:left="-108"/>
              <w:jc w:val="both"/>
              <w:rPr>
                <w:rFonts w:ascii="Arial" w:hAnsi="Arial" w:cs="Arial"/>
                <w:sz w:val="22"/>
                <w:szCs w:val="22"/>
                <w:lang w:val="pt-PT"/>
              </w:rPr>
            </w:pPr>
            <w:r w:rsidRPr="005D72F1">
              <w:rPr>
                <w:rFonts w:ascii="Arial" w:hAnsi="Arial" w:cs="Arial"/>
                <w:strike/>
                <w:sz w:val="22"/>
                <w:szCs w:val="22"/>
                <w:lang w:val="pt-PT"/>
              </w:rPr>
              <w:t xml:space="preserve">28 </w:t>
            </w:r>
            <w:proofErr w:type="spellStart"/>
            <w:r w:rsidRPr="005D72F1">
              <w:rPr>
                <w:rFonts w:ascii="Arial" w:hAnsi="Arial" w:cs="Arial"/>
                <w:strike/>
                <w:sz w:val="22"/>
                <w:szCs w:val="22"/>
                <w:lang w:val="pt-PT"/>
              </w:rPr>
              <w:t>novembre</w:t>
            </w:r>
            <w:proofErr w:type="spellEnd"/>
            <w:r w:rsidR="00627A42" w:rsidRPr="005D72F1">
              <w:rPr>
                <w:rFonts w:ascii="Arial" w:hAnsi="Arial" w:cs="Arial"/>
                <w:strike/>
                <w:sz w:val="22"/>
                <w:szCs w:val="22"/>
                <w:lang w:val="pt-PT"/>
              </w:rPr>
              <w:t xml:space="preserve"> </w:t>
            </w:r>
            <w:r w:rsidR="003C6B55" w:rsidRPr="005D72F1">
              <w:rPr>
                <w:rFonts w:ascii="Arial" w:hAnsi="Arial" w:cs="Arial"/>
                <w:strike/>
                <w:sz w:val="22"/>
                <w:szCs w:val="22"/>
                <w:lang w:val="pt-PT"/>
              </w:rPr>
              <w:t>20</w:t>
            </w:r>
            <w:r w:rsidR="004F27E0" w:rsidRPr="005D72F1">
              <w:rPr>
                <w:rFonts w:ascii="Arial" w:hAnsi="Arial" w:cs="Arial"/>
                <w:strike/>
                <w:sz w:val="22"/>
                <w:szCs w:val="22"/>
                <w:lang w:val="pt-PT"/>
              </w:rPr>
              <w:t>22</w:t>
            </w:r>
            <w:r w:rsidR="005D72F1">
              <w:rPr>
                <w:rFonts w:ascii="Arial" w:hAnsi="Arial" w:cs="Arial"/>
                <w:sz w:val="22"/>
                <w:szCs w:val="22"/>
                <w:lang w:val="pt-PT"/>
              </w:rPr>
              <w:t xml:space="preserve"> 1er </w:t>
            </w:r>
            <w:proofErr w:type="spellStart"/>
            <w:r w:rsidR="005D72F1">
              <w:rPr>
                <w:rFonts w:ascii="Arial" w:hAnsi="Arial" w:cs="Arial"/>
                <w:sz w:val="22"/>
                <w:szCs w:val="22"/>
                <w:lang w:val="pt-PT"/>
              </w:rPr>
              <w:t>mars</w:t>
            </w:r>
            <w:proofErr w:type="spellEnd"/>
            <w:r w:rsidR="005D72F1">
              <w:rPr>
                <w:rFonts w:ascii="Arial" w:hAnsi="Arial" w:cs="Arial"/>
                <w:sz w:val="22"/>
                <w:szCs w:val="22"/>
                <w:lang w:val="pt-PT"/>
              </w:rPr>
              <w:t xml:space="preserve"> 2023</w:t>
            </w:r>
          </w:p>
          <w:p w14:paraId="417F2EA9" w14:textId="77777777" w:rsidR="003C6B55" w:rsidRPr="005D72F1" w:rsidRDefault="003C6B55" w:rsidP="007B4024">
            <w:pPr>
              <w:ind w:left="-108"/>
              <w:jc w:val="both"/>
              <w:rPr>
                <w:sz w:val="22"/>
                <w:szCs w:val="22"/>
                <w:lang w:val="pt-PT"/>
              </w:rPr>
            </w:pPr>
            <w:r w:rsidRPr="005D72F1">
              <w:rPr>
                <w:rFonts w:ascii="Arial" w:hAnsi="Arial" w:cs="Arial"/>
                <w:sz w:val="22"/>
                <w:szCs w:val="22"/>
                <w:lang w:val="pt-PT"/>
              </w:rPr>
              <w:t xml:space="preserve">Original: </w:t>
            </w:r>
            <w:proofErr w:type="spellStart"/>
            <w:r w:rsidRPr="005D72F1">
              <w:rPr>
                <w:rFonts w:ascii="Arial" w:hAnsi="Arial" w:cs="Arial"/>
                <w:sz w:val="22"/>
                <w:szCs w:val="22"/>
                <w:lang w:val="pt-PT"/>
              </w:rPr>
              <w:t>Anglais</w:t>
            </w:r>
            <w:proofErr w:type="spellEnd"/>
          </w:p>
        </w:tc>
      </w:tr>
    </w:tbl>
    <w:p w14:paraId="43C44561" w14:textId="2739FBE5" w:rsidR="00B25614" w:rsidRPr="009B083A" w:rsidRDefault="00CC6F9A" w:rsidP="0049063C">
      <w:pPr>
        <w:jc w:val="both"/>
        <w:rPr>
          <w:rFonts w:ascii="Arial" w:hAnsi="Arial" w:cs="Arial"/>
          <w:spacing w:val="-4"/>
          <w:sz w:val="22"/>
          <w:szCs w:val="22"/>
          <w:lang w:val="fr-FR"/>
        </w:rPr>
      </w:pPr>
      <w:r w:rsidRPr="00CC6F9A">
        <w:rPr>
          <w:rFonts w:ascii="Arial" w:hAnsi="Arial" w:cs="Arial"/>
          <w:sz w:val="22"/>
          <w:szCs w:val="22"/>
          <w:lang w:val="fr-FR"/>
        </w:rPr>
        <w:t>4</w:t>
      </w:r>
      <w:r w:rsidRPr="00CC6F9A">
        <w:rPr>
          <w:rFonts w:ascii="Arial" w:hAnsi="Arial" w:cs="Arial"/>
          <w:sz w:val="22"/>
          <w:szCs w:val="22"/>
          <w:vertAlign w:val="superscript"/>
          <w:lang w:val="fr-FR"/>
        </w:rPr>
        <w:t>e</w:t>
      </w:r>
      <w:r>
        <w:rPr>
          <w:rFonts w:ascii="Arial" w:hAnsi="Arial" w:cs="Arial"/>
          <w:sz w:val="22"/>
          <w:szCs w:val="22"/>
          <w:lang w:val="fr-FR"/>
        </w:rPr>
        <w:t xml:space="preserve"> </w:t>
      </w:r>
      <w:r w:rsidR="00B25614" w:rsidRPr="009B083A">
        <w:rPr>
          <w:rFonts w:ascii="Arial" w:hAnsi="Arial" w:cs="Arial"/>
          <w:spacing w:val="-4"/>
          <w:sz w:val="22"/>
          <w:szCs w:val="22"/>
          <w:lang w:val="fr-FR"/>
        </w:rPr>
        <w:t xml:space="preserve">Réunion des </w:t>
      </w:r>
      <w:r w:rsidR="00B25614" w:rsidRPr="009B083A">
        <w:rPr>
          <w:rFonts w:ascii="Arial" w:hAnsi="Arial" w:cs="Arial"/>
          <w:bCs/>
          <w:spacing w:val="-4"/>
          <w:sz w:val="22"/>
          <w:szCs w:val="22"/>
          <w:lang w:val="fr-FR"/>
        </w:rPr>
        <w:t>Signataires</w:t>
      </w:r>
    </w:p>
    <w:p w14:paraId="5BA6671D" w14:textId="444A0D9E" w:rsidR="00B25614" w:rsidRPr="009B083A" w:rsidRDefault="004F27E0" w:rsidP="0049063C">
      <w:pPr>
        <w:spacing w:line="228" w:lineRule="auto"/>
        <w:jc w:val="both"/>
        <w:rPr>
          <w:rFonts w:ascii="Arial" w:hAnsi="Arial" w:cs="Arial"/>
          <w:iCs/>
          <w:sz w:val="22"/>
          <w:szCs w:val="22"/>
          <w:lang w:val="fr-FR"/>
        </w:rPr>
      </w:pPr>
      <w:r>
        <w:rPr>
          <w:rFonts w:ascii="Arial" w:hAnsi="Arial" w:cs="Arial"/>
          <w:bCs/>
          <w:sz w:val="22"/>
          <w:szCs w:val="22"/>
          <w:lang w:val="fr-FR"/>
        </w:rPr>
        <w:t>Bonn</w:t>
      </w:r>
      <w:r w:rsidR="009B083A" w:rsidRPr="009B083A">
        <w:rPr>
          <w:rFonts w:ascii="Arial" w:hAnsi="Arial" w:cs="Arial"/>
          <w:bCs/>
          <w:sz w:val="22"/>
          <w:szCs w:val="22"/>
          <w:lang w:val="fr-FR"/>
        </w:rPr>
        <w:t xml:space="preserve">, </w:t>
      </w:r>
      <w:r>
        <w:rPr>
          <w:rFonts w:ascii="Arial" w:hAnsi="Arial" w:cs="Arial"/>
          <w:bCs/>
          <w:sz w:val="22"/>
          <w:szCs w:val="22"/>
          <w:lang w:val="fr-FR"/>
        </w:rPr>
        <w:t>28 février</w:t>
      </w:r>
      <w:r w:rsidR="009B083A" w:rsidRPr="009B083A">
        <w:rPr>
          <w:rFonts w:ascii="Arial" w:hAnsi="Arial" w:cs="Arial"/>
          <w:bCs/>
          <w:sz w:val="22"/>
          <w:szCs w:val="22"/>
          <w:lang w:val="fr-FR"/>
        </w:rPr>
        <w:t xml:space="preserve"> – </w:t>
      </w:r>
      <w:r>
        <w:rPr>
          <w:rFonts w:ascii="Arial" w:hAnsi="Arial" w:cs="Arial"/>
          <w:bCs/>
          <w:sz w:val="22"/>
          <w:szCs w:val="22"/>
          <w:lang w:val="fr-FR"/>
        </w:rPr>
        <w:t>2 mars</w:t>
      </w:r>
      <w:r w:rsidR="009B083A" w:rsidRPr="009B083A">
        <w:rPr>
          <w:rFonts w:ascii="Arial" w:hAnsi="Arial" w:cs="Arial"/>
          <w:bCs/>
          <w:sz w:val="22"/>
          <w:szCs w:val="22"/>
          <w:lang w:val="fr-FR"/>
        </w:rPr>
        <w:t xml:space="preserve"> 20</w:t>
      </w:r>
      <w:r>
        <w:rPr>
          <w:rFonts w:ascii="Arial" w:hAnsi="Arial" w:cs="Arial"/>
          <w:bCs/>
          <w:sz w:val="22"/>
          <w:szCs w:val="22"/>
          <w:lang w:val="fr-FR"/>
        </w:rPr>
        <w:t>23</w:t>
      </w:r>
    </w:p>
    <w:p w14:paraId="19CEAB50" w14:textId="7524CC2C" w:rsidR="00B25614" w:rsidRPr="009B083A" w:rsidRDefault="001C7504" w:rsidP="0049063C">
      <w:pPr>
        <w:jc w:val="both"/>
        <w:rPr>
          <w:rFonts w:ascii="Arial" w:hAnsi="Arial" w:cs="Arial"/>
          <w:sz w:val="22"/>
          <w:szCs w:val="22"/>
          <w:lang w:val="fr-FR"/>
        </w:rPr>
      </w:pPr>
      <w:r>
        <w:rPr>
          <w:rFonts w:ascii="Arial" w:hAnsi="Arial" w:cs="Arial"/>
          <w:bCs/>
          <w:sz w:val="22"/>
          <w:szCs w:val="22"/>
          <w:lang w:val="fr-FR"/>
        </w:rPr>
        <w:t xml:space="preserve">Point </w:t>
      </w:r>
      <w:r w:rsidR="00536AE8">
        <w:rPr>
          <w:rFonts w:ascii="Arial" w:hAnsi="Arial" w:cs="Arial"/>
          <w:bCs/>
          <w:sz w:val="22"/>
          <w:szCs w:val="22"/>
          <w:lang w:val="fr-FR"/>
        </w:rPr>
        <w:t>10.2</w:t>
      </w:r>
      <w:r w:rsidR="00627A42">
        <w:rPr>
          <w:rFonts w:ascii="Arial" w:hAnsi="Arial" w:cs="Arial"/>
          <w:bCs/>
          <w:sz w:val="22"/>
          <w:szCs w:val="22"/>
          <w:lang w:val="fr-FR"/>
        </w:rPr>
        <w:t xml:space="preserve"> </w:t>
      </w:r>
      <w:r w:rsidR="00B25614" w:rsidRPr="009B083A">
        <w:rPr>
          <w:rFonts w:ascii="Arial" w:hAnsi="Arial" w:cs="Arial"/>
          <w:bCs/>
          <w:sz w:val="22"/>
          <w:szCs w:val="22"/>
          <w:lang w:val="fr-FR"/>
        </w:rPr>
        <w:t>de l’ordre du jour</w:t>
      </w:r>
    </w:p>
    <w:p w14:paraId="288EE57E" w14:textId="77777777" w:rsidR="00B25614" w:rsidRPr="00540C05" w:rsidRDefault="00B25614" w:rsidP="00B25614">
      <w:pPr>
        <w:jc w:val="both"/>
        <w:rPr>
          <w:rFonts w:ascii="Arial" w:hAnsi="Arial" w:cs="Arial"/>
          <w:sz w:val="22"/>
          <w:szCs w:val="22"/>
          <w:lang w:val="fr-FR"/>
        </w:rPr>
      </w:pPr>
    </w:p>
    <w:p w14:paraId="0D06ECEA" w14:textId="2403D2E5" w:rsidR="00B25614" w:rsidRDefault="005D72F1" w:rsidP="005D72F1">
      <w:pPr>
        <w:jc w:val="center"/>
        <w:rPr>
          <w:rFonts w:ascii="Arial" w:hAnsi="Arial" w:cs="Arial"/>
          <w:b/>
          <w:bCs/>
          <w:color w:val="FF0000"/>
          <w:sz w:val="22"/>
          <w:szCs w:val="22"/>
          <w:u w:val="single"/>
          <w:lang w:val="fr-FR"/>
        </w:rPr>
      </w:pPr>
      <w:r w:rsidRPr="005D72F1">
        <w:rPr>
          <w:rFonts w:ascii="Arial" w:hAnsi="Arial" w:cs="Arial"/>
          <w:b/>
          <w:bCs/>
          <w:color w:val="FF0000"/>
          <w:sz w:val="22"/>
          <w:szCs w:val="22"/>
          <w:u w:val="single"/>
          <w:lang w:val="fr-FR"/>
        </w:rPr>
        <w:t>Tel que révisé à la MOS4</w:t>
      </w:r>
    </w:p>
    <w:p w14:paraId="41BE6AD8" w14:textId="77777777" w:rsidR="005D72F1" w:rsidRPr="005D72F1" w:rsidRDefault="005D72F1" w:rsidP="005D72F1">
      <w:pPr>
        <w:jc w:val="center"/>
        <w:rPr>
          <w:rFonts w:ascii="Arial" w:hAnsi="Arial" w:cs="Arial"/>
          <w:b/>
          <w:bCs/>
          <w:color w:val="FF0000"/>
          <w:sz w:val="22"/>
          <w:szCs w:val="22"/>
          <w:u w:val="single"/>
          <w:lang w:val="fr-FR"/>
        </w:rPr>
      </w:pPr>
    </w:p>
    <w:p w14:paraId="0B8D6B12" w14:textId="77777777" w:rsidR="00536AE8" w:rsidRPr="00536AE8" w:rsidRDefault="00536AE8" w:rsidP="00536AE8">
      <w:pPr>
        <w:jc w:val="center"/>
        <w:rPr>
          <w:rFonts w:ascii="Arial" w:hAnsi="Arial" w:cs="Arial"/>
          <w:b/>
          <w:sz w:val="22"/>
          <w:szCs w:val="22"/>
          <w:lang w:val="fr-FR"/>
        </w:rPr>
      </w:pPr>
      <w:r w:rsidRPr="00536AE8">
        <w:rPr>
          <w:rFonts w:ascii="Arial" w:hAnsi="Arial" w:cs="Arial"/>
          <w:b/>
          <w:sz w:val="22"/>
          <w:szCs w:val="22"/>
          <w:lang w:val="fr-FR"/>
        </w:rPr>
        <w:t>ÉLABORATION D’UNE STRATÉGIE DE CONSERVATION ET DE PLANS D’ACTION</w:t>
      </w:r>
    </w:p>
    <w:p w14:paraId="0030E4B6" w14:textId="075021F3" w:rsidR="001C7504" w:rsidRPr="00536AE8" w:rsidRDefault="00536AE8" w:rsidP="00536AE8">
      <w:pPr>
        <w:spacing w:after="120"/>
        <w:jc w:val="center"/>
        <w:rPr>
          <w:rFonts w:ascii="Arial" w:hAnsi="Arial" w:cs="Arial"/>
          <w:b/>
          <w:sz w:val="22"/>
          <w:szCs w:val="22"/>
          <w:lang w:val="fr-FR"/>
        </w:rPr>
      </w:pPr>
      <w:r w:rsidRPr="00536AE8">
        <w:rPr>
          <w:rFonts w:ascii="Arial" w:hAnsi="Arial" w:cs="Arial"/>
          <w:b/>
          <w:sz w:val="22"/>
          <w:szCs w:val="22"/>
          <w:lang w:val="fr-FR"/>
        </w:rPr>
        <w:t>POUR LES REQUINS ET LES RAIES PÉLAGIQUES</w:t>
      </w:r>
    </w:p>
    <w:p w14:paraId="6EC2C37A" w14:textId="599C8CF4" w:rsidR="00B25614" w:rsidRPr="00536AE8" w:rsidRDefault="00E72512" w:rsidP="00B25614">
      <w:pPr>
        <w:jc w:val="center"/>
        <w:rPr>
          <w:rFonts w:ascii="Arial" w:hAnsi="Arial" w:cs="Arial"/>
          <w:bCs/>
          <w:i/>
          <w:sz w:val="22"/>
          <w:szCs w:val="22"/>
          <w:lang w:val="fr-FR"/>
        </w:rPr>
      </w:pPr>
      <w:r w:rsidRPr="00536AE8">
        <w:rPr>
          <w:rFonts w:ascii="Arial" w:hAnsi="Arial" w:cs="Arial"/>
          <w:bCs/>
          <w:i/>
          <w:sz w:val="22"/>
          <w:szCs w:val="22"/>
          <w:lang w:val="fr-FR"/>
        </w:rPr>
        <w:t>(</w:t>
      </w:r>
      <w:r w:rsidR="00536AE8" w:rsidRPr="00536AE8">
        <w:rPr>
          <w:rFonts w:ascii="Arial" w:hAnsi="Arial" w:cs="Arial"/>
          <w:bCs/>
          <w:i/>
          <w:sz w:val="22"/>
          <w:szCs w:val="22"/>
          <w:lang w:val="fr-FR"/>
        </w:rPr>
        <w:t>Préparé par le Comité consultatif et le Secrétariat</w:t>
      </w:r>
      <w:r w:rsidR="00B25614" w:rsidRPr="00536AE8">
        <w:rPr>
          <w:rFonts w:ascii="Arial" w:hAnsi="Arial" w:cs="Arial"/>
          <w:bCs/>
          <w:i/>
          <w:sz w:val="22"/>
          <w:szCs w:val="22"/>
          <w:lang w:val="fr-FR"/>
        </w:rPr>
        <w:t>)</w:t>
      </w:r>
    </w:p>
    <w:p w14:paraId="54CDA235" w14:textId="6FD4AD7B" w:rsidR="00CE7534" w:rsidRDefault="00CE7534" w:rsidP="00B25614">
      <w:pPr>
        <w:jc w:val="center"/>
        <w:rPr>
          <w:rFonts w:ascii="Arial" w:hAnsi="Arial" w:cs="Arial"/>
          <w:bCs/>
          <w:i/>
          <w:sz w:val="22"/>
          <w:szCs w:val="22"/>
          <w:lang w:val="fr-FR"/>
        </w:rPr>
      </w:pPr>
    </w:p>
    <w:p w14:paraId="526944AB" w14:textId="77777777" w:rsidR="00536AE8" w:rsidRPr="00536AE8" w:rsidRDefault="00536AE8" w:rsidP="00536AE8">
      <w:pPr>
        <w:jc w:val="both"/>
        <w:rPr>
          <w:rFonts w:ascii="Arial" w:hAnsi="Arial" w:cs="Arial"/>
          <w:bCs/>
          <w:sz w:val="22"/>
          <w:szCs w:val="22"/>
          <w:lang w:val="fr-FR"/>
        </w:rPr>
      </w:pPr>
    </w:p>
    <w:p w14:paraId="2B7C38AD" w14:textId="5A56DFCD" w:rsidR="00536AE8" w:rsidRPr="00536AE8" w:rsidRDefault="00536AE8" w:rsidP="00536AE8">
      <w:pPr>
        <w:tabs>
          <w:tab w:val="left" w:pos="567"/>
        </w:tabs>
        <w:ind w:left="567" w:hanging="567"/>
        <w:jc w:val="both"/>
        <w:rPr>
          <w:rFonts w:ascii="Arial" w:hAnsi="Arial" w:cs="Arial"/>
          <w:bCs/>
          <w:sz w:val="22"/>
          <w:szCs w:val="22"/>
          <w:lang w:val="fr-FR"/>
        </w:rPr>
      </w:pPr>
      <w:r w:rsidRPr="00536AE8">
        <w:rPr>
          <w:rFonts w:ascii="Arial" w:hAnsi="Arial" w:cs="Arial"/>
          <w:bCs/>
          <w:sz w:val="22"/>
          <w:szCs w:val="22"/>
          <w:lang w:val="fr-FR"/>
        </w:rPr>
        <w:t>1.</w:t>
      </w:r>
      <w:r w:rsidRPr="00536AE8">
        <w:rPr>
          <w:rFonts w:ascii="Arial" w:hAnsi="Arial" w:cs="Arial"/>
          <w:bCs/>
          <w:sz w:val="22"/>
          <w:szCs w:val="22"/>
          <w:lang w:val="fr-FR"/>
        </w:rPr>
        <w:tab/>
        <w:t>Ce document contient l’aperçu d’une initiative qui vise à rassembler des données sur les espèces de requins et de raies pélagiques inscrites à l’Annexe 1 du Mémorandum d’entente sur la conservation des requins migrateurs (</w:t>
      </w:r>
      <w:proofErr w:type="spellStart"/>
      <w:r w:rsidRPr="00536AE8">
        <w:rPr>
          <w:rFonts w:ascii="Arial" w:hAnsi="Arial" w:cs="Arial"/>
          <w:bCs/>
          <w:sz w:val="22"/>
          <w:szCs w:val="22"/>
          <w:lang w:val="fr-FR"/>
        </w:rPr>
        <w:t>MdE</w:t>
      </w:r>
      <w:proofErr w:type="spellEnd"/>
      <w:r w:rsidRPr="00536AE8">
        <w:rPr>
          <w:rFonts w:ascii="Arial" w:hAnsi="Arial" w:cs="Arial"/>
          <w:bCs/>
          <w:sz w:val="22"/>
          <w:szCs w:val="22"/>
          <w:lang w:val="fr-FR"/>
        </w:rPr>
        <w:t xml:space="preserve"> requins), en coopération avec le Groupe de spécialistes des requins de la Commission de la sauvegarde des espèces (CSE) de l’Union internationale pour la conservation de la nature (UICN)</w:t>
      </w:r>
      <w:r w:rsidR="005D72F1">
        <w:rPr>
          <w:rFonts w:ascii="Arial" w:hAnsi="Arial" w:cs="Arial"/>
          <w:bCs/>
          <w:sz w:val="22"/>
          <w:szCs w:val="22"/>
          <w:lang w:val="fr-FR"/>
        </w:rPr>
        <w:t xml:space="preserve"> </w:t>
      </w:r>
      <w:r w:rsidR="005D72F1" w:rsidRPr="005D72F1">
        <w:rPr>
          <w:rFonts w:ascii="Arial" w:hAnsi="Arial" w:cs="Arial"/>
          <w:bCs/>
          <w:sz w:val="22"/>
          <w:szCs w:val="22"/>
          <w:u w:val="single"/>
          <w:lang w:val="fr-FR"/>
        </w:rPr>
        <w:t>et des ORGP pertinentes</w:t>
      </w:r>
      <w:r w:rsidRPr="00536AE8">
        <w:rPr>
          <w:rFonts w:ascii="Arial" w:hAnsi="Arial" w:cs="Arial"/>
          <w:bCs/>
          <w:sz w:val="22"/>
          <w:szCs w:val="22"/>
          <w:lang w:val="fr-FR"/>
        </w:rPr>
        <w:t>.</w:t>
      </w:r>
    </w:p>
    <w:p w14:paraId="57972102" w14:textId="77777777" w:rsidR="00536AE8" w:rsidRPr="00536AE8" w:rsidRDefault="00536AE8" w:rsidP="00536AE8">
      <w:pPr>
        <w:tabs>
          <w:tab w:val="left" w:pos="567"/>
        </w:tabs>
        <w:ind w:left="567" w:hanging="567"/>
        <w:jc w:val="both"/>
        <w:rPr>
          <w:rFonts w:ascii="Arial" w:hAnsi="Arial" w:cs="Arial"/>
          <w:bCs/>
          <w:sz w:val="22"/>
          <w:szCs w:val="22"/>
          <w:lang w:val="fr-FR"/>
        </w:rPr>
      </w:pPr>
    </w:p>
    <w:p w14:paraId="5BDA3399" w14:textId="76F76C42" w:rsidR="00536AE8" w:rsidRPr="005D72F1" w:rsidRDefault="00536AE8" w:rsidP="00536AE8">
      <w:pPr>
        <w:tabs>
          <w:tab w:val="left" w:pos="567"/>
        </w:tabs>
        <w:ind w:left="567" w:hanging="567"/>
        <w:jc w:val="both"/>
        <w:rPr>
          <w:rFonts w:ascii="Arial" w:hAnsi="Arial" w:cs="Arial"/>
          <w:bCs/>
          <w:strike/>
          <w:sz w:val="22"/>
          <w:szCs w:val="22"/>
          <w:lang w:val="fr-FR"/>
        </w:rPr>
      </w:pPr>
      <w:r w:rsidRPr="005D72F1">
        <w:rPr>
          <w:rFonts w:ascii="Arial" w:hAnsi="Arial" w:cs="Arial"/>
          <w:bCs/>
          <w:strike/>
          <w:sz w:val="22"/>
          <w:szCs w:val="22"/>
          <w:lang w:val="fr-FR"/>
        </w:rPr>
        <w:t>2.</w:t>
      </w:r>
      <w:r w:rsidRPr="005D72F1">
        <w:rPr>
          <w:rFonts w:ascii="Arial" w:hAnsi="Arial" w:cs="Arial"/>
          <w:bCs/>
          <w:strike/>
          <w:sz w:val="22"/>
          <w:szCs w:val="22"/>
          <w:lang w:val="fr-FR"/>
        </w:rPr>
        <w:tab/>
        <w:t>Les projets de décisions de cette réunion visant à soutenir la mise en œuvre de cette initiative figurent à l’Annexe 1 du présent document pour examen lors de la réunion.</w:t>
      </w:r>
    </w:p>
    <w:p w14:paraId="5CFA67AC" w14:textId="77777777" w:rsidR="00536AE8" w:rsidRPr="005D72F1" w:rsidRDefault="00536AE8" w:rsidP="00536AE8">
      <w:pPr>
        <w:tabs>
          <w:tab w:val="left" w:pos="567"/>
        </w:tabs>
        <w:ind w:left="567" w:hanging="567"/>
        <w:jc w:val="both"/>
        <w:rPr>
          <w:rFonts w:ascii="Arial" w:hAnsi="Arial" w:cs="Arial"/>
          <w:bCs/>
          <w:strike/>
          <w:sz w:val="22"/>
          <w:szCs w:val="22"/>
          <w:lang w:val="fr-FR"/>
        </w:rPr>
      </w:pPr>
    </w:p>
    <w:p w14:paraId="0D680B54" w14:textId="7C485864" w:rsidR="00536AE8" w:rsidRPr="005D72F1" w:rsidRDefault="00536AE8" w:rsidP="00536AE8">
      <w:pPr>
        <w:tabs>
          <w:tab w:val="left" w:pos="567"/>
        </w:tabs>
        <w:ind w:left="567" w:hanging="567"/>
        <w:jc w:val="both"/>
        <w:rPr>
          <w:rFonts w:ascii="Arial" w:hAnsi="Arial" w:cs="Arial"/>
          <w:bCs/>
          <w:strike/>
          <w:sz w:val="22"/>
          <w:szCs w:val="22"/>
          <w:lang w:val="fr-FR"/>
        </w:rPr>
      </w:pPr>
      <w:r w:rsidRPr="005D72F1">
        <w:rPr>
          <w:rFonts w:ascii="Arial" w:hAnsi="Arial" w:cs="Arial"/>
          <w:bCs/>
          <w:strike/>
          <w:sz w:val="22"/>
          <w:szCs w:val="22"/>
          <w:lang w:val="fr-FR"/>
        </w:rPr>
        <w:t>3.</w:t>
      </w:r>
      <w:r w:rsidRPr="005D72F1">
        <w:rPr>
          <w:rFonts w:ascii="Arial" w:hAnsi="Arial" w:cs="Arial"/>
          <w:bCs/>
          <w:strike/>
          <w:sz w:val="22"/>
          <w:szCs w:val="22"/>
          <w:lang w:val="fr-FR"/>
        </w:rPr>
        <w:tab/>
        <w:t>L’Annexe 2 présente des suggestions sur les activités que les signataires pourraient souhaiter inclure dans leur programme de travail pour la période triennale 2023-2025, qui sera également discuté au point 12 de l’ordre du jour.</w:t>
      </w:r>
    </w:p>
    <w:p w14:paraId="6B8740D2" w14:textId="77777777" w:rsidR="00536AE8" w:rsidRPr="00536AE8" w:rsidRDefault="00536AE8" w:rsidP="00536AE8">
      <w:pPr>
        <w:tabs>
          <w:tab w:val="left" w:pos="567"/>
        </w:tabs>
        <w:ind w:left="567" w:hanging="567"/>
        <w:jc w:val="both"/>
        <w:rPr>
          <w:rFonts w:ascii="Arial" w:hAnsi="Arial" w:cs="Arial"/>
          <w:bCs/>
          <w:sz w:val="22"/>
          <w:szCs w:val="22"/>
          <w:lang w:val="fr-FR"/>
        </w:rPr>
      </w:pPr>
    </w:p>
    <w:p w14:paraId="3ECEB80B" w14:textId="77777777" w:rsidR="00536AE8" w:rsidRPr="00536AE8" w:rsidRDefault="00536AE8" w:rsidP="00536AE8">
      <w:pPr>
        <w:jc w:val="both"/>
        <w:rPr>
          <w:rFonts w:ascii="Arial" w:hAnsi="Arial" w:cs="Arial"/>
          <w:b/>
          <w:sz w:val="22"/>
          <w:szCs w:val="22"/>
          <w:lang w:val="fr-FR"/>
        </w:rPr>
      </w:pPr>
      <w:r w:rsidRPr="00536AE8">
        <w:rPr>
          <w:rFonts w:ascii="Arial" w:hAnsi="Arial" w:cs="Arial"/>
          <w:b/>
          <w:sz w:val="22"/>
          <w:szCs w:val="22"/>
          <w:lang w:val="fr-FR"/>
        </w:rPr>
        <w:t>Contexte</w:t>
      </w:r>
    </w:p>
    <w:p w14:paraId="1B774C4C" w14:textId="77777777" w:rsidR="00536AE8" w:rsidRPr="00536AE8" w:rsidRDefault="00536AE8" w:rsidP="00536AE8">
      <w:pPr>
        <w:ind w:left="567" w:hanging="567"/>
        <w:jc w:val="both"/>
        <w:rPr>
          <w:rFonts w:ascii="Arial" w:hAnsi="Arial" w:cs="Arial"/>
          <w:bCs/>
          <w:sz w:val="22"/>
          <w:szCs w:val="22"/>
          <w:lang w:val="fr-FR"/>
        </w:rPr>
      </w:pPr>
    </w:p>
    <w:p w14:paraId="4AB6D254" w14:textId="77777777" w:rsidR="00536AE8" w:rsidRPr="00536AE8" w:rsidRDefault="00536AE8" w:rsidP="00536AE8">
      <w:pPr>
        <w:ind w:left="567" w:hanging="567"/>
        <w:jc w:val="both"/>
        <w:rPr>
          <w:rFonts w:ascii="Arial" w:hAnsi="Arial" w:cs="Arial"/>
          <w:bCs/>
          <w:sz w:val="22"/>
          <w:szCs w:val="22"/>
          <w:lang w:val="fr-FR"/>
        </w:rPr>
      </w:pPr>
      <w:r w:rsidRPr="002746C2">
        <w:rPr>
          <w:rFonts w:ascii="Arial" w:hAnsi="Arial" w:cs="Arial"/>
          <w:bCs/>
          <w:strike/>
          <w:sz w:val="22"/>
          <w:szCs w:val="22"/>
          <w:lang w:val="fr-FR"/>
        </w:rPr>
        <w:t>4</w:t>
      </w:r>
      <w:r w:rsidRPr="00536AE8">
        <w:rPr>
          <w:rFonts w:ascii="Arial" w:hAnsi="Arial" w:cs="Arial"/>
          <w:bCs/>
          <w:sz w:val="22"/>
          <w:szCs w:val="22"/>
          <w:lang w:val="fr-FR"/>
        </w:rPr>
        <w:t>.</w:t>
      </w:r>
      <w:r w:rsidRPr="00536AE8">
        <w:rPr>
          <w:rFonts w:ascii="Arial" w:hAnsi="Arial" w:cs="Arial"/>
          <w:bCs/>
          <w:sz w:val="22"/>
          <w:szCs w:val="22"/>
          <w:lang w:val="fr-FR"/>
        </w:rPr>
        <w:tab/>
        <w:t>Aux fins du présent document, les requins et les raies pélagiques sont considérés comme étant les espèces qui habitent généralement (passent la majorité de leur temps) les parties supérieures de la colonne d’eau, notamment les écosystèmes des mers épicontinentales et océaniques.</w:t>
      </w:r>
    </w:p>
    <w:p w14:paraId="62AFCEBC" w14:textId="77777777" w:rsidR="00536AE8" w:rsidRPr="00536AE8" w:rsidRDefault="00536AE8" w:rsidP="00536AE8">
      <w:pPr>
        <w:ind w:left="567" w:hanging="567"/>
        <w:jc w:val="both"/>
        <w:rPr>
          <w:rFonts w:ascii="Arial" w:hAnsi="Arial" w:cs="Arial"/>
          <w:bCs/>
          <w:sz w:val="22"/>
          <w:szCs w:val="22"/>
          <w:lang w:val="fr-FR"/>
        </w:rPr>
      </w:pPr>
    </w:p>
    <w:p w14:paraId="0D9AE38F" w14:textId="36B9B9B0" w:rsidR="00536AE8" w:rsidRPr="00536AE8" w:rsidRDefault="00536AE8" w:rsidP="00536AE8">
      <w:pPr>
        <w:ind w:left="567" w:hanging="567"/>
        <w:jc w:val="both"/>
        <w:rPr>
          <w:rFonts w:ascii="Arial" w:hAnsi="Arial" w:cs="Arial"/>
          <w:bCs/>
          <w:sz w:val="22"/>
          <w:szCs w:val="22"/>
          <w:lang w:val="fr-FR"/>
        </w:rPr>
      </w:pPr>
      <w:r w:rsidRPr="00536AE8">
        <w:rPr>
          <w:rFonts w:ascii="Arial" w:hAnsi="Arial" w:cs="Arial"/>
          <w:bCs/>
          <w:sz w:val="22"/>
          <w:szCs w:val="22"/>
          <w:lang w:val="fr-FR"/>
        </w:rPr>
        <w:t>5.</w:t>
      </w:r>
      <w:r w:rsidRPr="00536AE8">
        <w:rPr>
          <w:rFonts w:ascii="Arial" w:hAnsi="Arial" w:cs="Arial"/>
          <w:bCs/>
          <w:sz w:val="22"/>
          <w:szCs w:val="22"/>
          <w:lang w:val="fr-FR"/>
        </w:rPr>
        <w:tab/>
        <w:t xml:space="preserve">Les catégories et critères de la liste rouge de l’UICN </w:t>
      </w:r>
      <w:r w:rsidR="007D4F41" w:rsidRPr="007D4F41">
        <w:rPr>
          <w:rFonts w:ascii="Arial" w:hAnsi="Arial" w:cs="Arial"/>
          <w:bCs/>
          <w:sz w:val="22"/>
          <w:szCs w:val="22"/>
          <w:lang w:val="fr-FR"/>
        </w:rPr>
        <w:t xml:space="preserve">des espèces menacées </w:t>
      </w:r>
      <w:r w:rsidRPr="00536AE8">
        <w:rPr>
          <w:rFonts w:ascii="Arial" w:hAnsi="Arial" w:cs="Arial"/>
          <w:bCs/>
          <w:sz w:val="22"/>
          <w:szCs w:val="22"/>
          <w:lang w:val="fr-FR"/>
        </w:rPr>
        <w:t>ont récemment été utilisés pour évaluer le statut mondial de 31 espèces de requins et de raies pélagiques. Les résultats soulignent que depuis 1970, l’abondance mondiale de ces espèces a diminué de 71 % en raison d’une multiplication par 18 de la pression de pêche relative (</w:t>
      </w:r>
      <w:proofErr w:type="spellStart"/>
      <w:r w:rsidRPr="00536AE8">
        <w:rPr>
          <w:rFonts w:ascii="Arial" w:hAnsi="Arial" w:cs="Arial"/>
          <w:bCs/>
          <w:sz w:val="22"/>
          <w:szCs w:val="22"/>
          <w:lang w:val="fr-FR"/>
        </w:rPr>
        <w:t>Pacoureaue</w:t>
      </w:r>
      <w:proofErr w:type="spellEnd"/>
      <w:r w:rsidRPr="00536AE8">
        <w:rPr>
          <w:rFonts w:ascii="Arial" w:hAnsi="Arial" w:cs="Arial"/>
          <w:bCs/>
          <w:sz w:val="22"/>
          <w:szCs w:val="22"/>
          <w:lang w:val="fr-FR"/>
        </w:rPr>
        <w:t xml:space="preserve"> al. 2021 </w:t>
      </w:r>
      <w:r w:rsidR="002F1B52">
        <w:rPr>
          <w:rStyle w:val="FootnoteReference"/>
          <w:rFonts w:cs="Arial"/>
          <w:bCs/>
          <w:iCs/>
          <w:sz w:val="22"/>
          <w:szCs w:val="22"/>
          <w:lang w:val="fr-FR"/>
        </w:rPr>
        <w:footnoteReference w:id="1"/>
      </w:r>
      <w:r w:rsidRPr="00536AE8">
        <w:rPr>
          <w:rFonts w:ascii="Arial" w:hAnsi="Arial" w:cs="Arial"/>
          <w:bCs/>
          <w:sz w:val="22"/>
          <w:szCs w:val="22"/>
          <w:lang w:val="fr-FR"/>
        </w:rPr>
        <w:t xml:space="preserve"> ; présenté dans le document </w:t>
      </w:r>
      <w:hyperlink r:id="rId11" w:history="1">
        <w:r w:rsidRPr="00536AE8">
          <w:rPr>
            <w:rStyle w:val="Hyperlink"/>
            <w:rFonts w:ascii="Arial" w:hAnsi="Arial" w:cs="Arial"/>
            <w:sz w:val="22"/>
            <w:szCs w:val="22"/>
            <w:lang w:val="fr-FR"/>
          </w:rPr>
          <w:t>CMS/Sharks/MOS4/Inf.6</w:t>
        </w:r>
      </w:hyperlink>
      <w:r w:rsidRPr="00536AE8">
        <w:rPr>
          <w:rFonts w:ascii="Arial" w:hAnsi="Arial" w:cs="Arial"/>
          <w:bCs/>
          <w:sz w:val="22"/>
          <w:szCs w:val="22"/>
          <w:lang w:val="fr-FR"/>
        </w:rPr>
        <w:t xml:space="preserve">). Le tableau 1 comprend les espèces de requins et de raies pélagiques actuellement inscrites à l’Annexe 1 du </w:t>
      </w:r>
      <w:proofErr w:type="spellStart"/>
      <w:r w:rsidRPr="00536AE8">
        <w:rPr>
          <w:rFonts w:ascii="Arial" w:hAnsi="Arial" w:cs="Arial"/>
          <w:bCs/>
          <w:sz w:val="22"/>
          <w:szCs w:val="22"/>
          <w:lang w:val="fr-FR"/>
        </w:rPr>
        <w:t>MdE</w:t>
      </w:r>
      <w:proofErr w:type="spellEnd"/>
      <w:r w:rsidRPr="00536AE8">
        <w:rPr>
          <w:rFonts w:ascii="Arial" w:hAnsi="Arial" w:cs="Arial"/>
          <w:bCs/>
          <w:sz w:val="22"/>
          <w:szCs w:val="22"/>
          <w:lang w:val="fr-FR"/>
        </w:rPr>
        <w:t>.</w:t>
      </w:r>
    </w:p>
    <w:p w14:paraId="0A188F96" w14:textId="77777777" w:rsidR="00536AE8" w:rsidRPr="00536AE8" w:rsidRDefault="00536AE8" w:rsidP="00536AE8">
      <w:pPr>
        <w:ind w:left="567" w:hanging="567"/>
        <w:jc w:val="both"/>
        <w:rPr>
          <w:rFonts w:ascii="Arial" w:hAnsi="Arial" w:cs="Arial"/>
          <w:bCs/>
          <w:sz w:val="22"/>
          <w:szCs w:val="22"/>
          <w:lang w:val="fr-FR"/>
        </w:rPr>
      </w:pPr>
    </w:p>
    <w:p w14:paraId="6B492E87" w14:textId="7C80B53A" w:rsidR="00536AE8" w:rsidRPr="00536AE8" w:rsidRDefault="00536AE8" w:rsidP="00536AE8">
      <w:pPr>
        <w:ind w:left="567" w:hanging="567"/>
        <w:jc w:val="both"/>
        <w:rPr>
          <w:rFonts w:ascii="Arial" w:hAnsi="Arial" w:cs="Arial"/>
          <w:bCs/>
          <w:sz w:val="22"/>
          <w:szCs w:val="22"/>
          <w:lang w:val="fr-FR"/>
        </w:rPr>
      </w:pPr>
      <w:r w:rsidRPr="00536AE8">
        <w:rPr>
          <w:rFonts w:ascii="Arial" w:hAnsi="Arial" w:cs="Arial"/>
          <w:bCs/>
          <w:sz w:val="22"/>
          <w:szCs w:val="22"/>
          <w:lang w:val="fr-FR"/>
        </w:rPr>
        <w:t>6.</w:t>
      </w:r>
      <w:r w:rsidRPr="00536AE8">
        <w:rPr>
          <w:rFonts w:ascii="Arial" w:hAnsi="Arial" w:cs="Arial"/>
          <w:bCs/>
          <w:sz w:val="22"/>
          <w:szCs w:val="22"/>
          <w:lang w:val="fr-FR"/>
        </w:rPr>
        <w:tab/>
        <w:t xml:space="preserve">Le manque de données sur les pêches, les priorités concurrentes avec d’autres espèces exploitées à des fins commerciales ou récréatives et les questions juridictionnelles complexes posent des difficultés pour l’évaluation et la conservation des requins et les raies </w:t>
      </w:r>
      <w:r w:rsidRPr="00536AE8">
        <w:rPr>
          <w:rFonts w:ascii="Arial" w:hAnsi="Arial" w:cs="Arial"/>
          <w:bCs/>
          <w:sz w:val="22"/>
          <w:szCs w:val="22"/>
          <w:lang w:val="fr-FR"/>
        </w:rPr>
        <w:lastRenderedPageBreak/>
        <w:t xml:space="preserve">pélagiques. Parmi les cinq organisations régionales de gestion des pêches (ORGP) </w:t>
      </w:r>
      <w:r w:rsidR="002F1B52">
        <w:rPr>
          <w:rStyle w:val="FootnoteReference"/>
          <w:rFonts w:cs="Arial"/>
          <w:bCs/>
          <w:iCs/>
          <w:sz w:val="22"/>
          <w:szCs w:val="22"/>
          <w:lang w:val="fr-FR"/>
        </w:rPr>
        <w:footnoteReference w:id="2"/>
      </w:r>
      <w:r w:rsidRPr="00536AE8">
        <w:rPr>
          <w:rFonts w:ascii="Arial" w:hAnsi="Arial" w:cs="Arial"/>
          <w:bCs/>
          <w:sz w:val="22"/>
          <w:szCs w:val="22"/>
          <w:lang w:val="fr-FR"/>
        </w:rPr>
        <w:t xml:space="preserve"> qui gèrent les thons pélagiques et les espèces apparentées, seules quatre espèces de requins (Requin bleu – </w:t>
      </w:r>
      <w:proofErr w:type="spellStart"/>
      <w:r w:rsidRPr="00536AE8">
        <w:rPr>
          <w:rFonts w:ascii="Arial" w:hAnsi="Arial" w:cs="Arial"/>
          <w:bCs/>
          <w:i/>
          <w:iCs/>
          <w:sz w:val="22"/>
          <w:szCs w:val="22"/>
          <w:lang w:val="fr-FR"/>
        </w:rPr>
        <w:t>Prionace</w:t>
      </w:r>
      <w:proofErr w:type="spellEnd"/>
      <w:r w:rsidRPr="00536AE8">
        <w:rPr>
          <w:rFonts w:ascii="Arial" w:hAnsi="Arial" w:cs="Arial"/>
          <w:bCs/>
          <w:i/>
          <w:iCs/>
          <w:sz w:val="22"/>
          <w:szCs w:val="22"/>
          <w:lang w:val="fr-FR"/>
        </w:rPr>
        <w:t xml:space="preserve"> </w:t>
      </w:r>
      <w:proofErr w:type="spellStart"/>
      <w:r w:rsidRPr="00536AE8">
        <w:rPr>
          <w:rFonts w:ascii="Arial" w:hAnsi="Arial" w:cs="Arial"/>
          <w:bCs/>
          <w:i/>
          <w:iCs/>
          <w:sz w:val="22"/>
          <w:szCs w:val="22"/>
          <w:lang w:val="fr-FR"/>
        </w:rPr>
        <w:t>glauca</w:t>
      </w:r>
      <w:proofErr w:type="spellEnd"/>
      <w:r w:rsidRPr="00536AE8">
        <w:rPr>
          <w:rFonts w:ascii="Arial" w:hAnsi="Arial" w:cs="Arial"/>
          <w:bCs/>
          <w:sz w:val="22"/>
          <w:szCs w:val="22"/>
          <w:lang w:val="fr-FR"/>
        </w:rPr>
        <w:t xml:space="preserve">, Requin taupe bleu – </w:t>
      </w:r>
      <w:proofErr w:type="spellStart"/>
      <w:r w:rsidRPr="00536AE8">
        <w:rPr>
          <w:rFonts w:ascii="Arial" w:hAnsi="Arial" w:cs="Arial"/>
          <w:bCs/>
          <w:i/>
          <w:iCs/>
          <w:sz w:val="22"/>
          <w:szCs w:val="22"/>
          <w:lang w:val="fr-FR"/>
        </w:rPr>
        <w:t>Isurus</w:t>
      </w:r>
      <w:proofErr w:type="spellEnd"/>
      <w:r w:rsidRPr="00536AE8">
        <w:rPr>
          <w:rFonts w:ascii="Arial" w:hAnsi="Arial" w:cs="Arial"/>
          <w:bCs/>
          <w:i/>
          <w:iCs/>
          <w:sz w:val="22"/>
          <w:szCs w:val="22"/>
          <w:lang w:val="fr-FR"/>
        </w:rPr>
        <w:t xml:space="preserve"> </w:t>
      </w:r>
      <w:proofErr w:type="spellStart"/>
      <w:r w:rsidRPr="00536AE8">
        <w:rPr>
          <w:rFonts w:ascii="Arial" w:hAnsi="Arial" w:cs="Arial"/>
          <w:bCs/>
          <w:i/>
          <w:iCs/>
          <w:sz w:val="22"/>
          <w:szCs w:val="22"/>
          <w:lang w:val="fr-FR"/>
        </w:rPr>
        <w:t>oxyrinchus</w:t>
      </w:r>
      <w:proofErr w:type="spellEnd"/>
      <w:r w:rsidRPr="00536AE8">
        <w:rPr>
          <w:rFonts w:ascii="Arial" w:hAnsi="Arial" w:cs="Arial"/>
          <w:bCs/>
          <w:sz w:val="22"/>
          <w:szCs w:val="22"/>
          <w:lang w:val="fr-FR"/>
        </w:rPr>
        <w:t xml:space="preserve">, Requin océanique – </w:t>
      </w:r>
      <w:proofErr w:type="spellStart"/>
      <w:r w:rsidRPr="00536AE8">
        <w:rPr>
          <w:rFonts w:ascii="Arial" w:hAnsi="Arial" w:cs="Arial"/>
          <w:bCs/>
          <w:i/>
          <w:iCs/>
          <w:sz w:val="22"/>
          <w:szCs w:val="22"/>
          <w:lang w:val="fr-FR"/>
        </w:rPr>
        <w:t>Carcharhinus</w:t>
      </w:r>
      <w:proofErr w:type="spellEnd"/>
      <w:r w:rsidRPr="00536AE8">
        <w:rPr>
          <w:rFonts w:ascii="Arial" w:hAnsi="Arial" w:cs="Arial"/>
          <w:bCs/>
          <w:i/>
          <w:iCs/>
          <w:sz w:val="22"/>
          <w:szCs w:val="22"/>
          <w:lang w:val="fr-FR"/>
        </w:rPr>
        <w:t xml:space="preserve"> </w:t>
      </w:r>
      <w:proofErr w:type="spellStart"/>
      <w:r w:rsidRPr="00536AE8">
        <w:rPr>
          <w:rFonts w:ascii="Arial" w:hAnsi="Arial" w:cs="Arial"/>
          <w:bCs/>
          <w:i/>
          <w:iCs/>
          <w:sz w:val="22"/>
          <w:szCs w:val="22"/>
          <w:lang w:val="fr-FR"/>
        </w:rPr>
        <w:t>longimanus</w:t>
      </w:r>
      <w:proofErr w:type="spellEnd"/>
      <w:r w:rsidRPr="00536AE8">
        <w:rPr>
          <w:rFonts w:ascii="Arial" w:hAnsi="Arial" w:cs="Arial"/>
          <w:bCs/>
          <w:sz w:val="22"/>
          <w:szCs w:val="22"/>
          <w:lang w:val="fr-FR"/>
        </w:rPr>
        <w:t xml:space="preserve">, et Requin-taupe commun – </w:t>
      </w:r>
      <w:proofErr w:type="spellStart"/>
      <w:r w:rsidRPr="00536AE8">
        <w:rPr>
          <w:rFonts w:ascii="Arial" w:hAnsi="Arial" w:cs="Arial"/>
          <w:bCs/>
          <w:i/>
          <w:iCs/>
          <w:sz w:val="22"/>
          <w:szCs w:val="22"/>
          <w:lang w:val="fr-FR"/>
        </w:rPr>
        <w:t>Lamna</w:t>
      </w:r>
      <w:proofErr w:type="spellEnd"/>
      <w:r w:rsidRPr="00536AE8">
        <w:rPr>
          <w:rFonts w:ascii="Arial" w:hAnsi="Arial" w:cs="Arial"/>
          <w:bCs/>
          <w:i/>
          <w:iCs/>
          <w:sz w:val="22"/>
          <w:szCs w:val="22"/>
          <w:lang w:val="fr-FR"/>
        </w:rPr>
        <w:t xml:space="preserve"> </w:t>
      </w:r>
      <w:proofErr w:type="spellStart"/>
      <w:r w:rsidRPr="00536AE8">
        <w:rPr>
          <w:rFonts w:ascii="Arial" w:hAnsi="Arial" w:cs="Arial"/>
          <w:bCs/>
          <w:i/>
          <w:iCs/>
          <w:sz w:val="22"/>
          <w:szCs w:val="22"/>
          <w:lang w:val="fr-FR"/>
        </w:rPr>
        <w:t>nasus</w:t>
      </w:r>
      <w:proofErr w:type="spellEnd"/>
      <w:r w:rsidRPr="00536AE8">
        <w:rPr>
          <w:rFonts w:ascii="Arial" w:hAnsi="Arial" w:cs="Arial"/>
          <w:bCs/>
          <w:sz w:val="22"/>
          <w:szCs w:val="22"/>
          <w:lang w:val="fr-FR"/>
        </w:rPr>
        <w:t>) ont fait l’objet d’évaluations quantitatives des stocks pour certaines des unités de stock concernées.</w:t>
      </w:r>
    </w:p>
    <w:p w14:paraId="65EDEDAE" w14:textId="77777777" w:rsidR="00536AE8" w:rsidRPr="00536AE8" w:rsidRDefault="00536AE8" w:rsidP="00536AE8">
      <w:pPr>
        <w:jc w:val="both"/>
        <w:rPr>
          <w:rFonts w:ascii="Arial" w:hAnsi="Arial" w:cs="Arial"/>
          <w:b/>
          <w:sz w:val="22"/>
          <w:szCs w:val="22"/>
          <w:lang w:val="fr-FR"/>
        </w:rPr>
      </w:pPr>
    </w:p>
    <w:p w14:paraId="73C41555" w14:textId="77777777" w:rsidR="00536AE8" w:rsidRPr="00536AE8" w:rsidRDefault="00536AE8" w:rsidP="007D4F41">
      <w:pPr>
        <w:ind w:left="567"/>
        <w:jc w:val="both"/>
        <w:rPr>
          <w:rFonts w:ascii="Arial" w:hAnsi="Arial" w:cs="Arial"/>
          <w:bCs/>
          <w:sz w:val="22"/>
          <w:szCs w:val="22"/>
          <w:lang w:val="fr-FR"/>
        </w:rPr>
      </w:pPr>
      <w:r w:rsidRPr="00536AE8">
        <w:rPr>
          <w:rFonts w:ascii="Arial" w:hAnsi="Arial" w:cs="Arial"/>
          <w:b/>
          <w:sz w:val="22"/>
          <w:szCs w:val="22"/>
          <w:lang w:val="fr-FR"/>
        </w:rPr>
        <w:t>Tableau 1</w:t>
      </w:r>
      <w:r w:rsidRPr="00536AE8">
        <w:rPr>
          <w:rFonts w:ascii="Arial" w:hAnsi="Arial" w:cs="Arial"/>
          <w:bCs/>
          <w:sz w:val="22"/>
          <w:szCs w:val="22"/>
          <w:lang w:val="fr-FR"/>
        </w:rPr>
        <w:t xml:space="preserve"> : Espèces pélagiques de requins et de raies actuellement inscrites à l’Annexe 1 du </w:t>
      </w:r>
      <w:proofErr w:type="spellStart"/>
      <w:r w:rsidRPr="00536AE8">
        <w:rPr>
          <w:rFonts w:ascii="Arial" w:hAnsi="Arial" w:cs="Arial"/>
          <w:bCs/>
          <w:sz w:val="22"/>
          <w:szCs w:val="22"/>
          <w:lang w:val="fr-FR"/>
        </w:rPr>
        <w:t>MdE</w:t>
      </w:r>
      <w:proofErr w:type="spellEnd"/>
      <w:r w:rsidRPr="00536AE8">
        <w:rPr>
          <w:rFonts w:ascii="Arial" w:hAnsi="Arial" w:cs="Arial"/>
          <w:bCs/>
          <w:sz w:val="22"/>
          <w:szCs w:val="22"/>
          <w:lang w:val="fr-FR"/>
        </w:rPr>
        <w:t xml:space="preserve"> requins</w:t>
      </w:r>
    </w:p>
    <w:tbl>
      <w:tblPr>
        <w:tblStyle w:val="PlainTable2"/>
        <w:tblW w:w="8788" w:type="dxa"/>
        <w:tblInd w:w="567" w:type="dxa"/>
        <w:tblLook w:val="04A0" w:firstRow="1" w:lastRow="0" w:firstColumn="1" w:lastColumn="0" w:noHBand="0" w:noVBand="1"/>
      </w:tblPr>
      <w:tblGrid>
        <w:gridCol w:w="4820"/>
        <w:gridCol w:w="3968"/>
      </w:tblGrid>
      <w:tr w:rsidR="00536AE8" w:rsidRPr="002F1B52" w14:paraId="39E4C695" w14:textId="77777777" w:rsidTr="00CE7ACC">
        <w:trPr>
          <w:cnfStyle w:val="100000000000" w:firstRow="1" w:lastRow="0" w:firstColumn="0" w:lastColumn="0" w:oddVBand="0" w:evenVBand="0" w:oddHBand="0" w:evenHBand="0" w:firstRowFirstColumn="0" w:firstRowLastColumn="0" w:lastRowFirstColumn="0" w:lastRowLastColumn="0"/>
          <w:trHeight w:val="312"/>
          <w:tblHeader/>
        </w:trPr>
        <w:tc>
          <w:tcPr>
            <w:cnfStyle w:val="001000000000" w:firstRow="0" w:lastRow="0" w:firstColumn="1" w:lastColumn="0" w:oddVBand="0" w:evenVBand="0" w:oddHBand="0" w:evenHBand="0" w:firstRowFirstColumn="0" w:firstRowLastColumn="0" w:lastRowFirstColumn="0" w:lastRowLastColumn="0"/>
            <w:tcW w:w="4820" w:type="dxa"/>
            <w:noWrap/>
            <w:vAlign w:val="center"/>
          </w:tcPr>
          <w:p w14:paraId="6215A339" w14:textId="77777777" w:rsidR="00536AE8" w:rsidRPr="002F1B52" w:rsidRDefault="00536AE8" w:rsidP="008A5E68">
            <w:pPr>
              <w:widowControl/>
              <w:autoSpaceDE/>
              <w:autoSpaceDN/>
              <w:adjustRightInd/>
              <w:rPr>
                <w:rFonts w:ascii="Arial" w:hAnsi="Arial" w:cs="Arial"/>
                <w:color w:val="000000"/>
                <w:szCs w:val="20"/>
                <w:lang w:val="fr-FR"/>
              </w:rPr>
            </w:pPr>
            <w:r w:rsidRPr="002F1B52">
              <w:rPr>
                <w:rFonts w:ascii="Arial" w:hAnsi="Arial" w:cs="Arial"/>
                <w:color w:val="000000"/>
                <w:szCs w:val="20"/>
                <w:lang w:val="fr-FR"/>
              </w:rPr>
              <w:t>Nom scientifique</w:t>
            </w:r>
          </w:p>
        </w:tc>
        <w:tc>
          <w:tcPr>
            <w:tcW w:w="3968" w:type="dxa"/>
            <w:noWrap/>
            <w:vAlign w:val="center"/>
          </w:tcPr>
          <w:p w14:paraId="7323A7AE" w14:textId="77777777" w:rsidR="00536AE8" w:rsidRPr="002F1B52" w:rsidRDefault="00536AE8" w:rsidP="008A5E68">
            <w:pPr>
              <w:widowControl/>
              <w:autoSpaceDE/>
              <w:autoSpaceDN/>
              <w:adjustRightInd/>
              <w:cnfStyle w:val="100000000000" w:firstRow="1" w:lastRow="0" w:firstColumn="0" w:lastColumn="0" w:oddVBand="0" w:evenVBand="0" w:oddHBand="0" w:evenHBand="0" w:firstRowFirstColumn="0" w:firstRowLastColumn="0" w:lastRowFirstColumn="0" w:lastRowLastColumn="0"/>
              <w:rPr>
                <w:rFonts w:ascii="Arial" w:hAnsi="Arial" w:cs="Arial"/>
                <w:color w:val="000000"/>
                <w:szCs w:val="20"/>
                <w:lang w:val="fr-FR"/>
              </w:rPr>
            </w:pPr>
            <w:r w:rsidRPr="002F1B52">
              <w:rPr>
                <w:rFonts w:ascii="Arial" w:hAnsi="Arial" w:cs="Arial"/>
                <w:color w:val="000000"/>
                <w:szCs w:val="20"/>
                <w:lang w:val="fr-FR"/>
              </w:rPr>
              <w:t>Nom commun</w:t>
            </w:r>
          </w:p>
        </w:tc>
      </w:tr>
      <w:tr w:rsidR="00536AE8" w:rsidRPr="002F1B52" w14:paraId="7D43E9C5" w14:textId="77777777" w:rsidTr="00CE7ACC">
        <w:trPr>
          <w:cnfStyle w:val="100000000000" w:firstRow="1" w:lastRow="0" w:firstColumn="0" w:lastColumn="0" w:oddVBand="0" w:evenVBand="0" w:oddHBand="0" w:evenHBand="0" w:firstRowFirstColumn="0" w:firstRowLastColumn="0" w:lastRowFirstColumn="0" w:lastRowLastColumn="0"/>
          <w:trHeight w:val="312"/>
          <w:tblHeader/>
        </w:trPr>
        <w:tc>
          <w:tcPr>
            <w:cnfStyle w:val="001000000000" w:firstRow="0" w:lastRow="0" w:firstColumn="1" w:lastColumn="0" w:oddVBand="0" w:evenVBand="0" w:oddHBand="0" w:evenHBand="0" w:firstRowFirstColumn="0" w:firstRowLastColumn="0" w:lastRowFirstColumn="0" w:lastRowLastColumn="0"/>
            <w:tcW w:w="4820" w:type="dxa"/>
            <w:noWrap/>
            <w:vAlign w:val="center"/>
          </w:tcPr>
          <w:p w14:paraId="18A30C16" w14:textId="77777777" w:rsidR="00536AE8" w:rsidRPr="002F1B52" w:rsidRDefault="00536AE8" w:rsidP="008A5E68">
            <w:pPr>
              <w:widowControl/>
              <w:autoSpaceDE/>
              <w:autoSpaceDN/>
              <w:adjustRightInd/>
              <w:rPr>
                <w:rFonts w:ascii="Arial" w:hAnsi="Arial" w:cs="Arial"/>
                <w:b w:val="0"/>
                <w:bCs w:val="0"/>
                <w:i/>
                <w:iCs/>
                <w:color w:val="000000"/>
                <w:szCs w:val="20"/>
              </w:rPr>
            </w:pPr>
            <w:proofErr w:type="spellStart"/>
            <w:r w:rsidRPr="002F1B52">
              <w:rPr>
                <w:rFonts w:ascii="Arial" w:hAnsi="Arial" w:cs="Arial"/>
                <w:b w:val="0"/>
                <w:bCs w:val="0"/>
                <w:i/>
                <w:iCs/>
                <w:color w:val="000000"/>
                <w:szCs w:val="20"/>
              </w:rPr>
              <w:t>Alopias</w:t>
            </w:r>
            <w:proofErr w:type="spellEnd"/>
            <w:r w:rsidRPr="002F1B52">
              <w:rPr>
                <w:rFonts w:ascii="Arial" w:hAnsi="Arial" w:cs="Arial"/>
                <w:b w:val="0"/>
                <w:bCs w:val="0"/>
                <w:i/>
                <w:iCs/>
                <w:color w:val="000000"/>
                <w:szCs w:val="20"/>
              </w:rPr>
              <w:t xml:space="preserve"> </w:t>
            </w:r>
            <w:proofErr w:type="spellStart"/>
            <w:r w:rsidRPr="002F1B52">
              <w:rPr>
                <w:rFonts w:ascii="Arial" w:hAnsi="Arial" w:cs="Arial"/>
                <w:b w:val="0"/>
                <w:bCs w:val="0"/>
                <w:i/>
                <w:iCs/>
                <w:color w:val="000000"/>
                <w:szCs w:val="20"/>
              </w:rPr>
              <w:t>pelagicus</w:t>
            </w:r>
            <w:proofErr w:type="spellEnd"/>
          </w:p>
        </w:tc>
        <w:tc>
          <w:tcPr>
            <w:tcW w:w="3968" w:type="dxa"/>
            <w:noWrap/>
            <w:vAlign w:val="center"/>
          </w:tcPr>
          <w:p w14:paraId="4213662F" w14:textId="77777777" w:rsidR="00536AE8" w:rsidRPr="002F1B52" w:rsidRDefault="00536AE8" w:rsidP="008A5E68">
            <w:pPr>
              <w:widowControl/>
              <w:autoSpaceDE/>
              <w:autoSpaceDN/>
              <w:adjustRightInd/>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szCs w:val="20"/>
                <w:lang w:val="fr-FR"/>
              </w:rPr>
            </w:pPr>
            <w:r w:rsidRPr="002F1B52">
              <w:rPr>
                <w:rFonts w:ascii="Arial" w:hAnsi="Arial" w:cs="Arial"/>
                <w:b w:val="0"/>
                <w:bCs w:val="0"/>
                <w:color w:val="000000"/>
                <w:szCs w:val="20"/>
                <w:lang w:val="fr-FR"/>
              </w:rPr>
              <w:t>Requin renard pélagique</w:t>
            </w:r>
          </w:p>
        </w:tc>
      </w:tr>
      <w:tr w:rsidR="00536AE8" w:rsidRPr="005D72F1" w14:paraId="7AC7916E" w14:textId="77777777" w:rsidTr="00CE7ACC">
        <w:trPr>
          <w:cnfStyle w:val="100000000000" w:firstRow="1" w:lastRow="0" w:firstColumn="0" w:lastColumn="0" w:oddVBand="0" w:evenVBand="0" w:oddHBand="0" w:evenHBand="0" w:firstRowFirstColumn="0" w:firstRowLastColumn="0" w:lastRowFirstColumn="0" w:lastRowLastColumn="0"/>
          <w:trHeight w:val="312"/>
          <w:tblHeader/>
        </w:trPr>
        <w:tc>
          <w:tcPr>
            <w:cnfStyle w:val="001000000000" w:firstRow="0" w:lastRow="0" w:firstColumn="1" w:lastColumn="0" w:oddVBand="0" w:evenVBand="0" w:oddHBand="0" w:evenHBand="0" w:firstRowFirstColumn="0" w:firstRowLastColumn="0" w:lastRowFirstColumn="0" w:lastRowLastColumn="0"/>
            <w:tcW w:w="4820" w:type="dxa"/>
            <w:noWrap/>
            <w:vAlign w:val="center"/>
            <w:hideMark/>
          </w:tcPr>
          <w:p w14:paraId="316C1C75" w14:textId="77777777" w:rsidR="00536AE8" w:rsidRPr="002F1B52" w:rsidRDefault="00536AE8" w:rsidP="008A5E68">
            <w:pPr>
              <w:widowControl/>
              <w:autoSpaceDE/>
              <w:autoSpaceDN/>
              <w:adjustRightInd/>
              <w:rPr>
                <w:rFonts w:ascii="Arial" w:hAnsi="Arial" w:cs="Arial"/>
                <w:b w:val="0"/>
                <w:bCs w:val="0"/>
                <w:i/>
                <w:iCs/>
                <w:color w:val="000000"/>
                <w:szCs w:val="20"/>
              </w:rPr>
            </w:pPr>
            <w:proofErr w:type="spellStart"/>
            <w:r w:rsidRPr="002F1B52">
              <w:rPr>
                <w:rFonts w:ascii="Arial" w:hAnsi="Arial" w:cs="Arial"/>
                <w:b w:val="0"/>
                <w:bCs w:val="0"/>
                <w:i/>
                <w:iCs/>
                <w:color w:val="000000"/>
                <w:szCs w:val="20"/>
              </w:rPr>
              <w:t>Alopias</w:t>
            </w:r>
            <w:proofErr w:type="spellEnd"/>
            <w:r w:rsidRPr="002F1B52">
              <w:rPr>
                <w:rFonts w:ascii="Arial" w:hAnsi="Arial" w:cs="Arial"/>
                <w:b w:val="0"/>
                <w:bCs w:val="0"/>
                <w:i/>
                <w:iCs/>
                <w:color w:val="000000"/>
                <w:szCs w:val="20"/>
              </w:rPr>
              <w:t xml:space="preserve"> </w:t>
            </w:r>
            <w:proofErr w:type="spellStart"/>
            <w:r w:rsidRPr="002F1B52">
              <w:rPr>
                <w:rFonts w:ascii="Arial" w:hAnsi="Arial" w:cs="Arial"/>
                <w:b w:val="0"/>
                <w:bCs w:val="0"/>
                <w:i/>
                <w:iCs/>
                <w:color w:val="000000"/>
                <w:szCs w:val="20"/>
              </w:rPr>
              <w:t>superciliosus</w:t>
            </w:r>
            <w:proofErr w:type="spellEnd"/>
          </w:p>
        </w:tc>
        <w:tc>
          <w:tcPr>
            <w:tcW w:w="3968" w:type="dxa"/>
            <w:noWrap/>
            <w:vAlign w:val="center"/>
            <w:hideMark/>
          </w:tcPr>
          <w:p w14:paraId="1B8C91F1" w14:textId="77777777" w:rsidR="00536AE8" w:rsidRPr="002F1B52" w:rsidRDefault="00536AE8" w:rsidP="008A5E68">
            <w:pPr>
              <w:widowControl/>
              <w:autoSpaceDE/>
              <w:autoSpaceDN/>
              <w:adjustRightInd/>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szCs w:val="20"/>
                <w:lang w:val="fr-FR"/>
              </w:rPr>
            </w:pPr>
            <w:r w:rsidRPr="002F1B52">
              <w:rPr>
                <w:rFonts w:ascii="Arial" w:hAnsi="Arial" w:cs="Arial"/>
                <w:b w:val="0"/>
                <w:bCs w:val="0"/>
                <w:color w:val="000000"/>
                <w:szCs w:val="20"/>
                <w:lang w:val="fr-FR"/>
              </w:rPr>
              <w:t>Requin renard à gros yeux</w:t>
            </w:r>
          </w:p>
        </w:tc>
      </w:tr>
      <w:tr w:rsidR="00536AE8" w:rsidRPr="002F1B52" w14:paraId="20852E20" w14:textId="77777777" w:rsidTr="00CE7ACC">
        <w:trPr>
          <w:cnfStyle w:val="100000000000" w:firstRow="1" w:lastRow="0" w:firstColumn="0" w:lastColumn="0" w:oddVBand="0" w:evenVBand="0" w:oddHBand="0" w:evenHBand="0" w:firstRowFirstColumn="0" w:firstRowLastColumn="0" w:lastRowFirstColumn="0" w:lastRowLastColumn="0"/>
          <w:trHeight w:val="312"/>
          <w:tblHeader/>
        </w:trPr>
        <w:tc>
          <w:tcPr>
            <w:cnfStyle w:val="001000000000" w:firstRow="0" w:lastRow="0" w:firstColumn="1" w:lastColumn="0" w:oddVBand="0" w:evenVBand="0" w:oddHBand="0" w:evenHBand="0" w:firstRowFirstColumn="0" w:firstRowLastColumn="0" w:lastRowFirstColumn="0" w:lastRowLastColumn="0"/>
            <w:tcW w:w="4820" w:type="dxa"/>
            <w:noWrap/>
            <w:vAlign w:val="center"/>
            <w:hideMark/>
          </w:tcPr>
          <w:p w14:paraId="552322B8" w14:textId="77777777" w:rsidR="00536AE8" w:rsidRPr="002F1B52" w:rsidRDefault="00536AE8" w:rsidP="008A5E68">
            <w:pPr>
              <w:widowControl/>
              <w:autoSpaceDE/>
              <w:autoSpaceDN/>
              <w:adjustRightInd/>
              <w:rPr>
                <w:rFonts w:ascii="Arial" w:hAnsi="Arial" w:cs="Arial"/>
                <w:b w:val="0"/>
                <w:bCs w:val="0"/>
                <w:i/>
                <w:iCs/>
                <w:color w:val="000000"/>
                <w:szCs w:val="20"/>
              </w:rPr>
            </w:pPr>
            <w:proofErr w:type="spellStart"/>
            <w:r w:rsidRPr="002F1B52">
              <w:rPr>
                <w:rFonts w:ascii="Arial" w:hAnsi="Arial" w:cs="Arial"/>
                <w:b w:val="0"/>
                <w:bCs w:val="0"/>
                <w:i/>
                <w:iCs/>
                <w:color w:val="000000"/>
                <w:szCs w:val="20"/>
              </w:rPr>
              <w:t>Alopias</w:t>
            </w:r>
            <w:proofErr w:type="spellEnd"/>
            <w:r w:rsidRPr="002F1B52">
              <w:rPr>
                <w:rFonts w:ascii="Arial" w:hAnsi="Arial" w:cs="Arial"/>
                <w:b w:val="0"/>
                <w:bCs w:val="0"/>
                <w:i/>
                <w:iCs/>
                <w:color w:val="000000"/>
                <w:szCs w:val="20"/>
              </w:rPr>
              <w:t xml:space="preserve"> vulpinus</w:t>
            </w:r>
          </w:p>
        </w:tc>
        <w:tc>
          <w:tcPr>
            <w:tcW w:w="3968" w:type="dxa"/>
            <w:noWrap/>
            <w:vAlign w:val="center"/>
            <w:hideMark/>
          </w:tcPr>
          <w:p w14:paraId="3FF7CD20" w14:textId="77777777" w:rsidR="00536AE8" w:rsidRPr="002F1B52" w:rsidRDefault="00536AE8" w:rsidP="008A5E68">
            <w:pPr>
              <w:widowControl/>
              <w:autoSpaceDE/>
              <w:autoSpaceDN/>
              <w:adjustRightInd/>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szCs w:val="20"/>
                <w:lang w:val="fr-FR"/>
              </w:rPr>
            </w:pPr>
            <w:r w:rsidRPr="002F1B52">
              <w:rPr>
                <w:rFonts w:ascii="Arial" w:hAnsi="Arial" w:cs="Arial"/>
                <w:b w:val="0"/>
                <w:bCs w:val="0"/>
                <w:color w:val="000000"/>
                <w:szCs w:val="20"/>
                <w:lang w:val="fr-FR"/>
              </w:rPr>
              <w:t>Requin renard commun</w:t>
            </w:r>
          </w:p>
        </w:tc>
      </w:tr>
      <w:tr w:rsidR="00536AE8" w:rsidRPr="002F1B52" w14:paraId="59F6464D" w14:textId="77777777" w:rsidTr="00CE7ACC">
        <w:trPr>
          <w:cnfStyle w:val="100000000000" w:firstRow="1" w:lastRow="0" w:firstColumn="0" w:lastColumn="0" w:oddVBand="0" w:evenVBand="0" w:oddHBand="0" w:evenHBand="0" w:firstRowFirstColumn="0" w:firstRowLastColumn="0" w:lastRowFirstColumn="0" w:lastRowLastColumn="0"/>
          <w:trHeight w:val="312"/>
          <w:tblHeader/>
        </w:trPr>
        <w:tc>
          <w:tcPr>
            <w:cnfStyle w:val="001000000000" w:firstRow="0" w:lastRow="0" w:firstColumn="1" w:lastColumn="0" w:oddVBand="0" w:evenVBand="0" w:oddHBand="0" w:evenHBand="0" w:firstRowFirstColumn="0" w:firstRowLastColumn="0" w:lastRowFirstColumn="0" w:lastRowLastColumn="0"/>
            <w:tcW w:w="4820" w:type="dxa"/>
            <w:noWrap/>
            <w:vAlign w:val="center"/>
            <w:hideMark/>
          </w:tcPr>
          <w:p w14:paraId="304751E0" w14:textId="77777777" w:rsidR="00536AE8" w:rsidRPr="002F1B52" w:rsidRDefault="00536AE8" w:rsidP="008A5E68">
            <w:pPr>
              <w:widowControl/>
              <w:autoSpaceDE/>
              <w:autoSpaceDN/>
              <w:adjustRightInd/>
              <w:rPr>
                <w:rFonts w:ascii="Arial" w:hAnsi="Arial" w:cs="Arial"/>
                <w:b w:val="0"/>
                <w:bCs w:val="0"/>
                <w:i/>
                <w:iCs/>
                <w:color w:val="000000"/>
                <w:szCs w:val="20"/>
              </w:rPr>
            </w:pPr>
            <w:r w:rsidRPr="002F1B52">
              <w:rPr>
                <w:rFonts w:ascii="Arial" w:hAnsi="Arial" w:cs="Arial"/>
                <w:b w:val="0"/>
                <w:bCs w:val="0"/>
                <w:i/>
                <w:iCs/>
                <w:color w:val="000000"/>
                <w:szCs w:val="20"/>
              </w:rPr>
              <w:t xml:space="preserve">Carcharhinus </w:t>
            </w:r>
            <w:proofErr w:type="spellStart"/>
            <w:r w:rsidRPr="002F1B52">
              <w:rPr>
                <w:rFonts w:ascii="Arial" w:hAnsi="Arial" w:cs="Arial"/>
                <w:b w:val="0"/>
                <w:bCs w:val="0"/>
                <w:i/>
                <w:iCs/>
                <w:color w:val="000000"/>
                <w:szCs w:val="20"/>
              </w:rPr>
              <w:t>falciformis</w:t>
            </w:r>
            <w:proofErr w:type="spellEnd"/>
          </w:p>
        </w:tc>
        <w:tc>
          <w:tcPr>
            <w:tcW w:w="3968" w:type="dxa"/>
            <w:noWrap/>
            <w:vAlign w:val="center"/>
            <w:hideMark/>
          </w:tcPr>
          <w:p w14:paraId="3B1CC675" w14:textId="77777777" w:rsidR="00536AE8" w:rsidRPr="002F1B52" w:rsidRDefault="00536AE8" w:rsidP="008A5E68">
            <w:pPr>
              <w:widowControl/>
              <w:autoSpaceDE/>
              <w:autoSpaceDN/>
              <w:adjustRightInd/>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szCs w:val="20"/>
                <w:lang w:val="fr-FR"/>
              </w:rPr>
            </w:pPr>
            <w:r w:rsidRPr="002F1B52">
              <w:rPr>
                <w:rFonts w:ascii="Arial" w:hAnsi="Arial" w:cs="Arial"/>
                <w:b w:val="0"/>
                <w:bCs w:val="0"/>
                <w:color w:val="000000"/>
                <w:szCs w:val="20"/>
                <w:lang w:val="fr-FR"/>
              </w:rPr>
              <w:t>Requin soyeux</w:t>
            </w:r>
          </w:p>
        </w:tc>
      </w:tr>
      <w:tr w:rsidR="00536AE8" w:rsidRPr="002F1B52" w14:paraId="25579226" w14:textId="77777777" w:rsidTr="00CE7ACC">
        <w:trPr>
          <w:cnfStyle w:val="100000000000" w:firstRow="1" w:lastRow="0" w:firstColumn="0" w:lastColumn="0" w:oddVBand="0" w:evenVBand="0" w:oddHBand="0" w:evenHBand="0" w:firstRowFirstColumn="0" w:firstRowLastColumn="0" w:lastRowFirstColumn="0" w:lastRowLastColumn="0"/>
          <w:trHeight w:val="312"/>
          <w:tblHeader/>
        </w:trPr>
        <w:tc>
          <w:tcPr>
            <w:cnfStyle w:val="001000000000" w:firstRow="0" w:lastRow="0" w:firstColumn="1" w:lastColumn="0" w:oddVBand="0" w:evenVBand="0" w:oddHBand="0" w:evenHBand="0" w:firstRowFirstColumn="0" w:firstRowLastColumn="0" w:lastRowFirstColumn="0" w:lastRowLastColumn="0"/>
            <w:tcW w:w="4820" w:type="dxa"/>
            <w:noWrap/>
            <w:vAlign w:val="center"/>
            <w:hideMark/>
          </w:tcPr>
          <w:p w14:paraId="57F3E2F8" w14:textId="77777777" w:rsidR="00536AE8" w:rsidRPr="002F1B52" w:rsidRDefault="00536AE8" w:rsidP="008A5E68">
            <w:pPr>
              <w:widowControl/>
              <w:autoSpaceDE/>
              <w:autoSpaceDN/>
              <w:adjustRightInd/>
              <w:rPr>
                <w:rFonts w:ascii="Arial" w:hAnsi="Arial" w:cs="Arial"/>
                <w:b w:val="0"/>
                <w:bCs w:val="0"/>
                <w:i/>
                <w:iCs/>
                <w:color w:val="000000"/>
                <w:szCs w:val="20"/>
              </w:rPr>
            </w:pPr>
            <w:r w:rsidRPr="002F1B52">
              <w:rPr>
                <w:rFonts w:ascii="Arial" w:hAnsi="Arial" w:cs="Arial"/>
                <w:b w:val="0"/>
                <w:bCs w:val="0"/>
                <w:i/>
                <w:iCs/>
                <w:color w:val="000000"/>
                <w:szCs w:val="20"/>
              </w:rPr>
              <w:t xml:space="preserve">Carcharhinus </w:t>
            </w:r>
            <w:proofErr w:type="spellStart"/>
            <w:r w:rsidRPr="002F1B52">
              <w:rPr>
                <w:rFonts w:ascii="Arial" w:hAnsi="Arial" w:cs="Arial"/>
                <w:b w:val="0"/>
                <w:bCs w:val="0"/>
                <w:i/>
                <w:iCs/>
                <w:color w:val="000000"/>
                <w:szCs w:val="20"/>
              </w:rPr>
              <w:t>longimanus</w:t>
            </w:r>
            <w:proofErr w:type="spellEnd"/>
          </w:p>
        </w:tc>
        <w:tc>
          <w:tcPr>
            <w:tcW w:w="3968" w:type="dxa"/>
            <w:noWrap/>
            <w:vAlign w:val="center"/>
            <w:hideMark/>
          </w:tcPr>
          <w:p w14:paraId="42572C9E" w14:textId="77777777" w:rsidR="00536AE8" w:rsidRPr="002F1B52" w:rsidRDefault="00536AE8" w:rsidP="008A5E68">
            <w:pPr>
              <w:widowControl/>
              <w:autoSpaceDE/>
              <w:autoSpaceDN/>
              <w:adjustRightInd/>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szCs w:val="20"/>
                <w:lang w:val="fr-FR"/>
              </w:rPr>
            </w:pPr>
            <w:r w:rsidRPr="002F1B52">
              <w:rPr>
                <w:rFonts w:ascii="Arial" w:hAnsi="Arial" w:cs="Arial"/>
                <w:b w:val="0"/>
                <w:bCs w:val="0"/>
                <w:color w:val="000000"/>
                <w:szCs w:val="20"/>
                <w:lang w:val="fr-FR"/>
              </w:rPr>
              <w:t>Requin océanique</w:t>
            </w:r>
          </w:p>
        </w:tc>
      </w:tr>
      <w:tr w:rsidR="00536AE8" w:rsidRPr="002F1B52" w14:paraId="0703CC25" w14:textId="77777777" w:rsidTr="00CE7ACC">
        <w:trPr>
          <w:cnfStyle w:val="100000000000" w:firstRow="1" w:lastRow="0" w:firstColumn="0" w:lastColumn="0" w:oddVBand="0" w:evenVBand="0" w:oddHBand="0" w:evenHBand="0" w:firstRowFirstColumn="0" w:firstRowLastColumn="0" w:lastRowFirstColumn="0" w:lastRowLastColumn="0"/>
          <w:trHeight w:val="312"/>
          <w:tblHeader/>
        </w:trPr>
        <w:tc>
          <w:tcPr>
            <w:cnfStyle w:val="001000000000" w:firstRow="0" w:lastRow="0" w:firstColumn="1" w:lastColumn="0" w:oddVBand="0" w:evenVBand="0" w:oddHBand="0" w:evenHBand="0" w:firstRowFirstColumn="0" w:firstRowLastColumn="0" w:lastRowFirstColumn="0" w:lastRowLastColumn="0"/>
            <w:tcW w:w="4820" w:type="dxa"/>
            <w:noWrap/>
            <w:vAlign w:val="center"/>
            <w:hideMark/>
          </w:tcPr>
          <w:p w14:paraId="2B8E9319" w14:textId="77777777" w:rsidR="00536AE8" w:rsidRPr="002F1B52" w:rsidRDefault="00536AE8" w:rsidP="008A5E68">
            <w:pPr>
              <w:widowControl/>
              <w:autoSpaceDE/>
              <w:autoSpaceDN/>
              <w:adjustRightInd/>
              <w:rPr>
                <w:rFonts w:ascii="Arial" w:hAnsi="Arial" w:cs="Arial"/>
                <w:b w:val="0"/>
                <w:bCs w:val="0"/>
                <w:i/>
                <w:iCs/>
                <w:color w:val="000000"/>
                <w:szCs w:val="20"/>
              </w:rPr>
            </w:pPr>
            <w:r w:rsidRPr="002F1B52">
              <w:rPr>
                <w:rFonts w:ascii="Arial" w:hAnsi="Arial" w:cs="Arial"/>
                <w:b w:val="0"/>
                <w:bCs w:val="0"/>
                <w:i/>
                <w:iCs/>
                <w:color w:val="000000"/>
                <w:szCs w:val="20"/>
              </w:rPr>
              <w:t>Carcharhinus obscurus</w:t>
            </w:r>
          </w:p>
        </w:tc>
        <w:tc>
          <w:tcPr>
            <w:tcW w:w="3968" w:type="dxa"/>
            <w:noWrap/>
            <w:vAlign w:val="center"/>
            <w:hideMark/>
          </w:tcPr>
          <w:p w14:paraId="17ADF103" w14:textId="77777777" w:rsidR="00536AE8" w:rsidRPr="002F1B52" w:rsidRDefault="00536AE8" w:rsidP="008A5E68">
            <w:pPr>
              <w:widowControl/>
              <w:autoSpaceDE/>
              <w:autoSpaceDN/>
              <w:adjustRightInd/>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szCs w:val="20"/>
                <w:lang w:val="fr-FR"/>
              </w:rPr>
            </w:pPr>
            <w:r w:rsidRPr="002F1B52">
              <w:rPr>
                <w:rFonts w:ascii="Arial" w:hAnsi="Arial" w:cs="Arial"/>
                <w:b w:val="0"/>
                <w:bCs w:val="0"/>
                <w:color w:val="000000"/>
                <w:szCs w:val="20"/>
                <w:lang w:val="fr-FR"/>
              </w:rPr>
              <w:t>Requin sombre</w:t>
            </w:r>
          </w:p>
        </w:tc>
      </w:tr>
      <w:tr w:rsidR="00536AE8" w:rsidRPr="002F1B52" w14:paraId="63D2C7F0" w14:textId="77777777" w:rsidTr="00CE7ACC">
        <w:trPr>
          <w:cnfStyle w:val="100000000000" w:firstRow="1" w:lastRow="0" w:firstColumn="0" w:lastColumn="0" w:oddVBand="0" w:evenVBand="0" w:oddHBand="0" w:evenHBand="0" w:firstRowFirstColumn="0" w:firstRowLastColumn="0" w:lastRowFirstColumn="0" w:lastRowLastColumn="0"/>
          <w:trHeight w:val="312"/>
          <w:tblHeader/>
        </w:trPr>
        <w:tc>
          <w:tcPr>
            <w:cnfStyle w:val="001000000000" w:firstRow="0" w:lastRow="0" w:firstColumn="1" w:lastColumn="0" w:oddVBand="0" w:evenVBand="0" w:oddHBand="0" w:evenHBand="0" w:firstRowFirstColumn="0" w:firstRowLastColumn="0" w:lastRowFirstColumn="0" w:lastRowLastColumn="0"/>
            <w:tcW w:w="4820" w:type="dxa"/>
            <w:noWrap/>
            <w:vAlign w:val="center"/>
            <w:hideMark/>
          </w:tcPr>
          <w:p w14:paraId="37BB68EE" w14:textId="77777777" w:rsidR="00536AE8" w:rsidRPr="002F1B52" w:rsidRDefault="00536AE8" w:rsidP="008A5E68">
            <w:pPr>
              <w:widowControl/>
              <w:autoSpaceDE/>
              <w:autoSpaceDN/>
              <w:adjustRightInd/>
              <w:rPr>
                <w:rFonts w:ascii="Arial" w:hAnsi="Arial" w:cs="Arial"/>
                <w:b w:val="0"/>
                <w:bCs w:val="0"/>
                <w:i/>
                <w:iCs/>
                <w:color w:val="000000"/>
                <w:szCs w:val="20"/>
              </w:rPr>
            </w:pPr>
            <w:r w:rsidRPr="002F1B52">
              <w:rPr>
                <w:rFonts w:ascii="Arial" w:hAnsi="Arial" w:cs="Arial"/>
                <w:b w:val="0"/>
                <w:bCs w:val="0"/>
                <w:i/>
                <w:iCs/>
                <w:color w:val="000000"/>
                <w:szCs w:val="20"/>
              </w:rPr>
              <w:t>Carcharodon carcharias</w:t>
            </w:r>
          </w:p>
        </w:tc>
        <w:tc>
          <w:tcPr>
            <w:tcW w:w="3968" w:type="dxa"/>
            <w:noWrap/>
            <w:vAlign w:val="center"/>
            <w:hideMark/>
          </w:tcPr>
          <w:p w14:paraId="2BB542DC" w14:textId="77777777" w:rsidR="00536AE8" w:rsidRPr="002F1B52" w:rsidRDefault="00536AE8" w:rsidP="008A5E68">
            <w:pPr>
              <w:widowControl/>
              <w:autoSpaceDE/>
              <w:autoSpaceDN/>
              <w:adjustRightInd/>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szCs w:val="20"/>
                <w:lang w:val="fr-FR"/>
              </w:rPr>
            </w:pPr>
            <w:r w:rsidRPr="002F1B52">
              <w:rPr>
                <w:rFonts w:ascii="Arial" w:hAnsi="Arial" w:cs="Arial"/>
                <w:b w:val="0"/>
                <w:bCs w:val="0"/>
                <w:color w:val="000000"/>
                <w:szCs w:val="20"/>
                <w:lang w:val="fr-FR"/>
              </w:rPr>
              <w:t>Grand requin blanc</w:t>
            </w:r>
          </w:p>
        </w:tc>
      </w:tr>
      <w:tr w:rsidR="00536AE8" w:rsidRPr="002F1B52" w14:paraId="66009411" w14:textId="77777777" w:rsidTr="00CE7ACC">
        <w:trPr>
          <w:cnfStyle w:val="100000000000" w:firstRow="1" w:lastRow="0" w:firstColumn="0" w:lastColumn="0" w:oddVBand="0" w:evenVBand="0" w:oddHBand="0" w:evenHBand="0" w:firstRowFirstColumn="0" w:firstRowLastColumn="0" w:lastRowFirstColumn="0" w:lastRowLastColumn="0"/>
          <w:trHeight w:val="312"/>
          <w:tblHeader/>
        </w:trPr>
        <w:tc>
          <w:tcPr>
            <w:cnfStyle w:val="001000000000" w:firstRow="0" w:lastRow="0" w:firstColumn="1" w:lastColumn="0" w:oddVBand="0" w:evenVBand="0" w:oddHBand="0" w:evenHBand="0" w:firstRowFirstColumn="0" w:firstRowLastColumn="0" w:lastRowFirstColumn="0" w:lastRowLastColumn="0"/>
            <w:tcW w:w="4820" w:type="dxa"/>
            <w:noWrap/>
            <w:vAlign w:val="center"/>
            <w:hideMark/>
          </w:tcPr>
          <w:p w14:paraId="284D301C" w14:textId="77777777" w:rsidR="00536AE8" w:rsidRPr="002F1B52" w:rsidRDefault="00536AE8" w:rsidP="008A5E68">
            <w:pPr>
              <w:widowControl/>
              <w:autoSpaceDE/>
              <w:autoSpaceDN/>
              <w:adjustRightInd/>
              <w:rPr>
                <w:rFonts w:ascii="Arial" w:hAnsi="Arial" w:cs="Arial"/>
                <w:b w:val="0"/>
                <w:bCs w:val="0"/>
                <w:i/>
                <w:iCs/>
                <w:color w:val="000000"/>
                <w:szCs w:val="20"/>
              </w:rPr>
            </w:pPr>
            <w:proofErr w:type="spellStart"/>
            <w:r w:rsidRPr="002F1B52">
              <w:rPr>
                <w:rFonts w:ascii="Arial" w:hAnsi="Arial" w:cs="Arial"/>
                <w:b w:val="0"/>
                <w:bCs w:val="0"/>
                <w:i/>
                <w:iCs/>
                <w:color w:val="000000"/>
                <w:szCs w:val="20"/>
              </w:rPr>
              <w:t>Cetorhinus</w:t>
            </w:r>
            <w:proofErr w:type="spellEnd"/>
            <w:r w:rsidRPr="002F1B52">
              <w:rPr>
                <w:rFonts w:ascii="Arial" w:hAnsi="Arial" w:cs="Arial"/>
                <w:b w:val="0"/>
                <w:bCs w:val="0"/>
                <w:i/>
                <w:iCs/>
                <w:color w:val="000000"/>
                <w:szCs w:val="20"/>
              </w:rPr>
              <w:t xml:space="preserve"> maximus</w:t>
            </w:r>
          </w:p>
        </w:tc>
        <w:tc>
          <w:tcPr>
            <w:tcW w:w="3968" w:type="dxa"/>
            <w:noWrap/>
            <w:vAlign w:val="center"/>
            <w:hideMark/>
          </w:tcPr>
          <w:p w14:paraId="343B678E" w14:textId="77777777" w:rsidR="00536AE8" w:rsidRPr="002F1B52" w:rsidRDefault="00536AE8" w:rsidP="008A5E68">
            <w:pPr>
              <w:widowControl/>
              <w:autoSpaceDE/>
              <w:autoSpaceDN/>
              <w:adjustRightInd/>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szCs w:val="20"/>
                <w:lang w:val="fr-FR"/>
              </w:rPr>
            </w:pPr>
            <w:r w:rsidRPr="002F1B52">
              <w:rPr>
                <w:rFonts w:ascii="Arial" w:hAnsi="Arial" w:cs="Arial"/>
                <w:b w:val="0"/>
                <w:bCs w:val="0"/>
                <w:color w:val="000000"/>
                <w:szCs w:val="20"/>
                <w:lang w:val="fr-FR"/>
              </w:rPr>
              <w:t>Requin pèlerin</w:t>
            </w:r>
          </w:p>
        </w:tc>
      </w:tr>
      <w:tr w:rsidR="00536AE8" w:rsidRPr="002F1B52" w14:paraId="6C241669" w14:textId="77777777" w:rsidTr="00CE7ACC">
        <w:trPr>
          <w:cnfStyle w:val="100000000000" w:firstRow="1" w:lastRow="0" w:firstColumn="0" w:lastColumn="0" w:oddVBand="0" w:evenVBand="0" w:oddHBand="0" w:evenHBand="0" w:firstRowFirstColumn="0" w:firstRowLastColumn="0" w:lastRowFirstColumn="0" w:lastRowLastColumn="0"/>
          <w:trHeight w:val="312"/>
          <w:tblHeader/>
        </w:trPr>
        <w:tc>
          <w:tcPr>
            <w:cnfStyle w:val="001000000000" w:firstRow="0" w:lastRow="0" w:firstColumn="1" w:lastColumn="0" w:oddVBand="0" w:evenVBand="0" w:oddHBand="0" w:evenHBand="0" w:firstRowFirstColumn="0" w:firstRowLastColumn="0" w:lastRowFirstColumn="0" w:lastRowLastColumn="0"/>
            <w:tcW w:w="4820" w:type="dxa"/>
            <w:noWrap/>
            <w:vAlign w:val="center"/>
            <w:hideMark/>
          </w:tcPr>
          <w:p w14:paraId="3F3D3614" w14:textId="77777777" w:rsidR="00536AE8" w:rsidRPr="002F1B52" w:rsidRDefault="00536AE8" w:rsidP="008A5E68">
            <w:pPr>
              <w:widowControl/>
              <w:autoSpaceDE/>
              <w:autoSpaceDN/>
              <w:adjustRightInd/>
              <w:rPr>
                <w:rFonts w:ascii="Arial" w:hAnsi="Arial" w:cs="Arial"/>
                <w:b w:val="0"/>
                <w:bCs w:val="0"/>
                <w:i/>
                <w:iCs/>
                <w:color w:val="000000"/>
                <w:szCs w:val="20"/>
              </w:rPr>
            </w:pPr>
            <w:proofErr w:type="spellStart"/>
            <w:r w:rsidRPr="002F1B52">
              <w:rPr>
                <w:rFonts w:ascii="Arial" w:hAnsi="Arial" w:cs="Arial"/>
                <w:b w:val="0"/>
                <w:bCs w:val="0"/>
                <w:i/>
                <w:iCs/>
                <w:color w:val="000000"/>
                <w:szCs w:val="20"/>
              </w:rPr>
              <w:t>Isurus</w:t>
            </w:r>
            <w:proofErr w:type="spellEnd"/>
            <w:r w:rsidRPr="002F1B52">
              <w:rPr>
                <w:rFonts w:ascii="Arial" w:hAnsi="Arial" w:cs="Arial"/>
                <w:b w:val="0"/>
                <w:bCs w:val="0"/>
                <w:i/>
                <w:iCs/>
                <w:color w:val="000000"/>
                <w:szCs w:val="20"/>
              </w:rPr>
              <w:t xml:space="preserve"> </w:t>
            </w:r>
            <w:proofErr w:type="spellStart"/>
            <w:r w:rsidRPr="002F1B52">
              <w:rPr>
                <w:rFonts w:ascii="Arial" w:hAnsi="Arial" w:cs="Arial"/>
                <w:b w:val="0"/>
                <w:bCs w:val="0"/>
                <w:i/>
                <w:iCs/>
                <w:color w:val="000000"/>
                <w:szCs w:val="20"/>
              </w:rPr>
              <w:t>oxyrinchus</w:t>
            </w:r>
            <w:proofErr w:type="spellEnd"/>
          </w:p>
        </w:tc>
        <w:tc>
          <w:tcPr>
            <w:tcW w:w="3968" w:type="dxa"/>
            <w:noWrap/>
            <w:vAlign w:val="center"/>
            <w:hideMark/>
          </w:tcPr>
          <w:p w14:paraId="2A50784E" w14:textId="77777777" w:rsidR="00536AE8" w:rsidRPr="002F1B52" w:rsidRDefault="00536AE8" w:rsidP="008A5E68">
            <w:pPr>
              <w:widowControl/>
              <w:autoSpaceDE/>
              <w:autoSpaceDN/>
              <w:adjustRightInd/>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szCs w:val="20"/>
                <w:lang w:val="fr-FR"/>
              </w:rPr>
            </w:pPr>
            <w:r w:rsidRPr="002F1B52">
              <w:rPr>
                <w:rFonts w:ascii="Arial" w:hAnsi="Arial" w:cs="Arial"/>
                <w:b w:val="0"/>
                <w:bCs w:val="0"/>
                <w:color w:val="000000"/>
                <w:szCs w:val="20"/>
                <w:lang w:val="fr-FR"/>
              </w:rPr>
              <w:t>Requin taupe bleu</w:t>
            </w:r>
          </w:p>
        </w:tc>
      </w:tr>
      <w:tr w:rsidR="00536AE8" w:rsidRPr="002F1B52" w14:paraId="6EE1BE83" w14:textId="77777777" w:rsidTr="00CE7ACC">
        <w:trPr>
          <w:cnfStyle w:val="100000000000" w:firstRow="1" w:lastRow="0" w:firstColumn="0" w:lastColumn="0" w:oddVBand="0" w:evenVBand="0" w:oddHBand="0" w:evenHBand="0" w:firstRowFirstColumn="0" w:firstRowLastColumn="0" w:lastRowFirstColumn="0" w:lastRowLastColumn="0"/>
          <w:trHeight w:val="312"/>
          <w:tblHeader/>
        </w:trPr>
        <w:tc>
          <w:tcPr>
            <w:cnfStyle w:val="001000000000" w:firstRow="0" w:lastRow="0" w:firstColumn="1" w:lastColumn="0" w:oddVBand="0" w:evenVBand="0" w:oddHBand="0" w:evenHBand="0" w:firstRowFirstColumn="0" w:firstRowLastColumn="0" w:lastRowFirstColumn="0" w:lastRowLastColumn="0"/>
            <w:tcW w:w="4820" w:type="dxa"/>
            <w:noWrap/>
            <w:vAlign w:val="center"/>
            <w:hideMark/>
          </w:tcPr>
          <w:p w14:paraId="3F7C9E53" w14:textId="77777777" w:rsidR="00536AE8" w:rsidRPr="002F1B52" w:rsidRDefault="00536AE8" w:rsidP="008A5E68">
            <w:pPr>
              <w:widowControl/>
              <w:autoSpaceDE/>
              <w:autoSpaceDN/>
              <w:adjustRightInd/>
              <w:rPr>
                <w:rFonts w:ascii="Arial" w:hAnsi="Arial" w:cs="Arial"/>
                <w:b w:val="0"/>
                <w:bCs w:val="0"/>
                <w:i/>
                <w:iCs/>
                <w:color w:val="000000"/>
                <w:szCs w:val="20"/>
              </w:rPr>
            </w:pPr>
            <w:proofErr w:type="spellStart"/>
            <w:r w:rsidRPr="002F1B52">
              <w:rPr>
                <w:rFonts w:ascii="Arial" w:hAnsi="Arial" w:cs="Arial"/>
                <w:b w:val="0"/>
                <w:bCs w:val="0"/>
                <w:i/>
                <w:iCs/>
                <w:color w:val="000000"/>
                <w:szCs w:val="20"/>
              </w:rPr>
              <w:t>Isurus</w:t>
            </w:r>
            <w:proofErr w:type="spellEnd"/>
            <w:r w:rsidRPr="002F1B52">
              <w:rPr>
                <w:rFonts w:ascii="Arial" w:hAnsi="Arial" w:cs="Arial"/>
                <w:b w:val="0"/>
                <w:bCs w:val="0"/>
                <w:i/>
                <w:iCs/>
                <w:color w:val="000000"/>
                <w:szCs w:val="20"/>
              </w:rPr>
              <w:t xml:space="preserve"> </w:t>
            </w:r>
            <w:proofErr w:type="spellStart"/>
            <w:r w:rsidRPr="002F1B52">
              <w:rPr>
                <w:rFonts w:ascii="Arial" w:hAnsi="Arial" w:cs="Arial"/>
                <w:b w:val="0"/>
                <w:bCs w:val="0"/>
                <w:i/>
                <w:iCs/>
                <w:color w:val="000000"/>
                <w:szCs w:val="20"/>
              </w:rPr>
              <w:t>paucus</w:t>
            </w:r>
            <w:proofErr w:type="spellEnd"/>
          </w:p>
        </w:tc>
        <w:tc>
          <w:tcPr>
            <w:tcW w:w="3968" w:type="dxa"/>
            <w:noWrap/>
            <w:vAlign w:val="center"/>
            <w:hideMark/>
          </w:tcPr>
          <w:p w14:paraId="2AD2AA73" w14:textId="77777777" w:rsidR="00536AE8" w:rsidRPr="002F1B52" w:rsidRDefault="00536AE8" w:rsidP="008A5E68">
            <w:pPr>
              <w:widowControl/>
              <w:autoSpaceDE/>
              <w:autoSpaceDN/>
              <w:adjustRightInd/>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szCs w:val="20"/>
                <w:lang w:val="fr-FR"/>
              </w:rPr>
            </w:pPr>
            <w:r w:rsidRPr="002F1B52">
              <w:rPr>
                <w:rFonts w:ascii="Arial" w:hAnsi="Arial" w:cs="Arial"/>
                <w:b w:val="0"/>
                <w:bCs w:val="0"/>
                <w:color w:val="000000"/>
                <w:szCs w:val="20"/>
                <w:lang w:val="fr-FR"/>
              </w:rPr>
              <w:t>Petit requin taupe</w:t>
            </w:r>
          </w:p>
        </w:tc>
      </w:tr>
      <w:tr w:rsidR="00536AE8" w:rsidRPr="002F1B52" w14:paraId="3F69CDA1" w14:textId="77777777" w:rsidTr="00CE7ACC">
        <w:trPr>
          <w:cnfStyle w:val="100000000000" w:firstRow="1" w:lastRow="0" w:firstColumn="0" w:lastColumn="0" w:oddVBand="0" w:evenVBand="0" w:oddHBand="0" w:evenHBand="0" w:firstRowFirstColumn="0" w:firstRowLastColumn="0" w:lastRowFirstColumn="0" w:lastRowLastColumn="0"/>
          <w:trHeight w:val="312"/>
          <w:tblHeader/>
        </w:trPr>
        <w:tc>
          <w:tcPr>
            <w:cnfStyle w:val="001000000000" w:firstRow="0" w:lastRow="0" w:firstColumn="1" w:lastColumn="0" w:oddVBand="0" w:evenVBand="0" w:oddHBand="0" w:evenHBand="0" w:firstRowFirstColumn="0" w:firstRowLastColumn="0" w:lastRowFirstColumn="0" w:lastRowLastColumn="0"/>
            <w:tcW w:w="4820" w:type="dxa"/>
            <w:noWrap/>
            <w:vAlign w:val="center"/>
            <w:hideMark/>
          </w:tcPr>
          <w:p w14:paraId="6556A564" w14:textId="77777777" w:rsidR="00536AE8" w:rsidRPr="002F1B52" w:rsidRDefault="00536AE8" w:rsidP="008A5E68">
            <w:pPr>
              <w:widowControl/>
              <w:autoSpaceDE/>
              <w:autoSpaceDN/>
              <w:adjustRightInd/>
              <w:rPr>
                <w:rFonts w:ascii="Arial" w:hAnsi="Arial" w:cs="Arial"/>
                <w:b w:val="0"/>
                <w:bCs w:val="0"/>
                <w:i/>
                <w:iCs/>
                <w:color w:val="000000"/>
                <w:szCs w:val="20"/>
              </w:rPr>
            </w:pPr>
            <w:r w:rsidRPr="002F1B52">
              <w:rPr>
                <w:rFonts w:ascii="Arial" w:hAnsi="Arial" w:cs="Arial"/>
                <w:b w:val="0"/>
                <w:bCs w:val="0"/>
                <w:i/>
                <w:iCs/>
                <w:color w:val="000000"/>
                <w:szCs w:val="20"/>
              </w:rPr>
              <w:t>Lamna nasus</w:t>
            </w:r>
          </w:p>
        </w:tc>
        <w:tc>
          <w:tcPr>
            <w:tcW w:w="3968" w:type="dxa"/>
            <w:noWrap/>
            <w:vAlign w:val="center"/>
            <w:hideMark/>
          </w:tcPr>
          <w:p w14:paraId="4813ECA2" w14:textId="77777777" w:rsidR="00536AE8" w:rsidRPr="002F1B52" w:rsidRDefault="00536AE8" w:rsidP="008A5E68">
            <w:pPr>
              <w:widowControl/>
              <w:autoSpaceDE/>
              <w:autoSpaceDN/>
              <w:adjustRightInd/>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szCs w:val="20"/>
                <w:lang w:val="fr-FR"/>
              </w:rPr>
            </w:pPr>
            <w:r w:rsidRPr="002F1B52">
              <w:rPr>
                <w:rFonts w:ascii="Arial" w:hAnsi="Arial" w:cs="Arial"/>
                <w:b w:val="0"/>
                <w:bCs w:val="0"/>
                <w:color w:val="000000"/>
                <w:szCs w:val="20"/>
                <w:lang w:val="fr-FR"/>
              </w:rPr>
              <w:t>Requin-taupe commun</w:t>
            </w:r>
          </w:p>
        </w:tc>
      </w:tr>
      <w:tr w:rsidR="00536AE8" w:rsidRPr="002F1B52" w14:paraId="62A0DA4D" w14:textId="77777777" w:rsidTr="00CE7ACC">
        <w:trPr>
          <w:cnfStyle w:val="100000000000" w:firstRow="1" w:lastRow="0" w:firstColumn="0" w:lastColumn="0" w:oddVBand="0" w:evenVBand="0" w:oddHBand="0" w:evenHBand="0" w:firstRowFirstColumn="0" w:firstRowLastColumn="0" w:lastRowFirstColumn="0" w:lastRowLastColumn="0"/>
          <w:trHeight w:val="312"/>
          <w:tblHeader/>
        </w:trPr>
        <w:tc>
          <w:tcPr>
            <w:cnfStyle w:val="001000000000" w:firstRow="0" w:lastRow="0" w:firstColumn="1" w:lastColumn="0" w:oddVBand="0" w:evenVBand="0" w:oddHBand="0" w:evenHBand="0" w:firstRowFirstColumn="0" w:firstRowLastColumn="0" w:lastRowFirstColumn="0" w:lastRowLastColumn="0"/>
            <w:tcW w:w="4820" w:type="dxa"/>
            <w:noWrap/>
            <w:vAlign w:val="center"/>
          </w:tcPr>
          <w:p w14:paraId="59027DF7" w14:textId="77777777" w:rsidR="00536AE8" w:rsidRPr="002F1B52" w:rsidRDefault="00536AE8" w:rsidP="008A5E68">
            <w:pPr>
              <w:widowControl/>
              <w:autoSpaceDE/>
              <w:autoSpaceDN/>
              <w:adjustRightInd/>
              <w:rPr>
                <w:rFonts w:ascii="Arial" w:hAnsi="Arial" w:cs="Arial"/>
                <w:b w:val="0"/>
                <w:bCs w:val="0"/>
                <w:i/>
                <w:iCs/>
                <w:color w:val="000000"/>
                <w:szCs w:val="20"/>
              </w:rPr>
            </w:pPr>
            <w:proofErr w:type="spellStart"/>
            <w:r w:rsidRPr="002F1B52">
              <w:rPr>
                <w:rFonts w:ascii="Arial" w:hAnsi="Arial" w:cs="Arial"/>
                <w:b w:val="0"/>
                <w:bCs w:val="0"/>
                <w:i/>
                <w:iCs/>
                <w:color w:val="000000"/>
                <w:szCs w:val="20"/>
              </w:rPr>
              <w:t>Mobula</w:t>
            </w:r>
            <w:proofErr w:type="spellEnd"/>
            <w:r w:rsidRPr="002F1B52">
              <w:rPr>
                <w:rFonts w:ascii="Arial" w:hAnsi="Arial" w:cs="Arial"/>
                <w:b w:val="0"/>
                <w:bCs w:val="0"/>
                <w:i/>
                <w:iCs/>
                <w:color w:val="000000"/>
                <w:szCs w:val="20"/>
              </w:rPr>
              <w:t xml:space="preserve"> </w:t>
            </w:r>
            <w:proofErr w:type="spellStart"/>
            <w:r w:rsidRPr="002F1B52">
              <w:rPr>
                <w:rFonts w:ascii="Arial" w:hAnsi="Arial" w:cs="Arial"/>
                <w:b w:val="0"/>
                <w:bCs w:val="0"/>
                <w:i/>
                <w:iCs/>
                <w:color w:val="000000"/>
                <w:szCs w:val="20"/>
              </w:rPr>
              <w:t>alfredi</w:t>
            </w:r>
            <w:proofErr w:type="spellEnd"/>
          </w:p>
        </w:tc>
        <w:tc>
          <w:tcPr>
            <w:tcW w:w="3968" w:type="dxa"/>
            <w:noWrap/>
            <w:vAlign w:val="center"/>
          </w:tcPr>
          <w:p w14:paraId="4FA75CD3" w14:textId="77777777" w:rsidR="00536AE8" w:rsidRPr="002F1B52" w:rsidRDefault="00536AE8" w:rsidP="008A5E68">
            <w:pPr>
              <w:widowControl/>
              <w:autoSpaceDE/>
              <w:autoSpaceDN/>
              <w:adjustRightInd/>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szCs w:val="20"/>
                <w:lang w:val="fr-FR"/>
              </w:rPr>
            </w:pPr>
            <w:r w:rsidRPr="002F1B52">
              <w:rPr>
                <w:rFonts w:ascii="Arial" w:hAnsi="Arial" w:cs="Arial"/>
                <w:b w:val="0"/>
                <w:bCs w:val="0"/>
                <w:color w:val="000000"/>
                <w:szCs w:val="20"/>
                <w:lang w:val="fr-FR"/>
              </w:rPr>
              <w:t xml:space="preserve">Raie </w:t>
            </w:r>
            <w:proofErr w:type="spellStart"/>
            <w:r w:rsidRPr="002F1B52">
              <w:rPr>
                <w:rFonts w:ascii="Arial" w:hAnsi="Arial" w:cs="Arial"/>
                <w:b w:val="0"/>
                <w:bCs w:val="0"/>
                <w:color w:val="000000"/>
                <w:szCs w:val="20"/>
                <w:lang w:val="fr-FR"/>
              </w:rPr>
              <w:t>manta</w:t>
            </w:r>
            <w:proofErr w:type="spellEnd"/>
            <w:r w:rsidRPr="002F1B52">
              <w:rPr>
                <w:rFonts w:ascii="Arial" w:hAnsi="Arial" w:cs="Arial"/>
                <w:b w:val="0"/>
                <w:bCs w:val="0"/>
                <w:color w:val="000000"/>
                <w:szCs w:val="20"/>
                <w:lang w:val="fr-FR"/>
              </w:rPr>
              <w:t xml:space="preserve"> de récif</w:t>
            </w:r>
          </w:p>
        </w:tc>
      </w:tr>
      <w:tr w:rsidR="00536AE8" w:rsidRPr="002F1B52" w14:paraId="7123867B" w14:textId="77777777" w:rsidTr="00CE7ACC">
        <w:trPr>
          <w:cnfStyle w:val="100000000000" w:firstRow="1" w:lastRow="0" w:firstColumn="0" w:lastColumn="0" w:oddVBand="0" w:evenVBand="0" w:oddHBand="0" w:evenHBand="0" w:firstRowFirstColumn="0" w:firstRowLastColumn="0" w:lastRowFirstColumn="0" w:lastRowLastColumn="0"/>
          <w:trHeight w:val="312"/>
          <w:tblHeader/>
        </w:trPr>
        <w:tc>
          <w:tcPr>
            <w:cnfStyle w:val="001000000000" w:firstRow="0" w:lastRow="0" w:firstColumn="1" w:lastColumn="0" w:oddVBand="0" w:evenVBand="0" w:oddHBand="0" w:evenHBand="0" w:firstRowFirstColumn="0" w:firstRowLastColumn="0" w:lastRowFirstColumn="0" w:lastRowLastColumn="0"/>
            <w:tcW w:w="4820" w:type="dxa"/>
            <w:noWrap/>
            <w:vAlign w:val="center"/>
            <w:hideMark/>
          </w:tcPr>
          <w:p w14:paraId="4FE39908" w14:textId="77777777" w:rsidR="00536AE8" w:rsidRPr="002F1B52" w:rsidRDefault="00536AE8" w:rsidP="008A5E68">
            <w:pPr>
              <w:widowControl/>
              <w:autoSpaceDE/>
              <w:autoSpaceDN/>
              <w:adjustRightInd/>
              <w:rPr>
                <w:rFonts w:ascii="Arial" w:hAnsi="Arial" w:cs="Arial"/>
                <w:b w:val="0"/>
                <w:bCs w:val="0"/>
                <w:i/>
                <w:iCs/>
                <w:color w:val="000000"/>
                <w:szCs w:val="20"/>
              </w:rPr>
            </w:pPr>
            <w:proofErr w:type="spellStart"/>
            <w:r w:rsidRPr="002F1B52">
              <w:rPr>
                <w:rFonts w:ascii="Arial" w:hAnsi="Arial" w:cs="Arial"/>
                <w:b w:val="0"/>
                <w:bCs w:val="0"/>
                <w:i/>
                <w:iCs/>
                <w:color w:val="000000"/>
                <w:szCs w:val="20"/>
              </w:rPr>
              <w:t>Mobula</w:t>
            </w:r>
            <w:proofErr w:type="spellEnd"/>
            <w:r w:rsidRPr="002F1B52">
              <w:rPr>
                <w:rFonts w:ascii="Arial" w:hAnsi="Arial" w:cs="Arial"/>
                <w:b w:val="0"/>
                <w:bCs w:val="0"/>
                <w:i/>
                <w:iCs/>
                <w:color w:val="000000"/>
                <w:szCs w:val="20"/>
              </w:rPr>
              <w:t xml:space="preserve"> </w:t>
            </w:r>
            <w:proofErr w:type="spellStart"/>
            <w:r w:rsidRPr="002F1B52">
              <w:rPr>
                <w:rFonts w:ascii="Arial" w:hAnsi="Arial" w:cs="Arial"/>
                <w:b w:val="0"/>
                <w:bCs w:val="0"/>
                <w:i/>
                <w:iCs/>
                <w:color w:val="000000"/>
                <w:szCs w:val="20"/>
              </w:rPr>
              <w:t>birostris</w:t>
            </w:r>
            <w:proofErr w:type="spellEnd"/>
          </w:p>
        </w:tc>
        <w:tc>
          <w:tcPr>
            <w:tcW w:w="3968" w:type="dxa"/>
            <w:noWrap/>
            <w:vAlign w:val="center"/>
            <w:hideMark/>
          </w:tcPr>
          <w:p w14:paraId="6972B8AC" w14:textId="77777777" w:rsidR="00536AE8" w:rsidRPr="002F1B52" w:rsidRDefault="00536AE8" w:rsidP="008A5E68">
            <w:pPr>
              <w:widowControl/>
              <w:autoSpaceDE/>
              <w:autoSpaceDN/>
              <w:adjustRightInd/>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szCs w:val="20"/>
                <w:lang w:val="fr-FR"/>
              </w:rPr>
            </w:pPr>
            <w:r w:rsidRPr="002F1B52">
              <w:rPr>
                <w:rFonts w:ascii="Arial" w:hAnsi="Arial" w:cs="Arial"/>
                <w:b w:val="0"/>
                <w:bCs w:val="0"/>
                <w:color w:val="000000"/>
                <w:szCs w:val="20"/>
                <w:lang w:val="fr-FR"/>
              </w:rPr>
              <w:t>Raie Manta</w:t>
            </w:r>
          </w:p>
        </w:tc>
      </w:tr>
      <w:tr w:rsidR="00536AE8" w:rsidRPr="005D72F1" w14:paraId="41A2837D" w14:textId="77777777" w:rsidTr="00CE7ACC">
        <w:trPr>
          <w:cnfStyle w:val="100000000000" w:firstRow="1" w:lastRow="0" w:firstColumn="0" w:lastColumn="0" w:oddVBand="0" w:evenVBand="0" w:oddHBand="0" w:evenHBand="0" w:firstRowFirstColumn="0" w:firstRowLastColumn="0" w:lastRowFirstColumn="0" w:lastRowLastColumn="0"/>
          <w:trHeight w:val="312"/>
          <w:tblHeader/>
        </w:trPr>
        <w:tc>
          <w:tcPr>
            <w:cnfStyle w:val="001000000000" w:firstRow="0" w:lastRow="0" w:firstColumn="1" w:lastColumn="0" w:oddVBand="0" w:evenVBand="0" w:oddHBand="0" w:evenHBand="0" w:firstRowFirstColumn="0" w:firstRowLastColumn="0" w:lastRowFirstColumn="0" w:lastRowLastColumn="0"/>
            <w:tcW w:w="4820" w:type="dxa"/>
            <w:noWrap/>
            <w:vAlign w:val="center"/>
          </w:tcPr>
          <w:p w14:paraId="7AEB2161" w14:textId="77777777" w:rsidR="00536AE8" w:rsidRPr="002F1B52" w:rsidRDefault="00536AE8" w:rsidP="008A5E68">
            <w:pPr>
              <w:widowControl/>
              <w:autoSpaceDE/>
              <w:autoSpaceDN/>
              <w:adjustRightInd/>
              <w:rPr>
                <w:rFonts w:ascii="Arial" w:hAnsi="Arial" w:cs="Arial"/>
                <w:b w:val="0"/>
                <w:bCs w:val="0"/>
                <w:i/>
                <w:iCs/>
                <w:color w:val="000000"/>
                <w:szCs w:val="20"/>
              </w:rPr>
            </w:pPr>
            <w:proofErr w:type="spellStart"/>
            <w:r w:rsidRPr="002F1B52">
              <w:rPr>
                <w:rFonts w:ascii="Arial" w:hAnsi="Arial" w:cs="Arial"/>
                <w:b w:val="0"/>
                <w:bCs w:val="0"/>
                <w:i/>
                <w:iCs/>
                <w:color w:val="000000"/>
                <w:szCs w:val="20"/>
              </w:rPr>
              <w:t>Mobula</w:t>
            </w:r>
            <w:proofErr w:type="spellEnd"/>
            <w:r w:rsidRPr="002F1B52">
              <w:rPr>
                <w:rFonts w:ascii="Arial" w:hAnsi="Arial" w:cs="Arial"/>
                <w:b w:val="0"/>
                <w:bCs w:val="0"/>
                <w:i/>
                <w:iCs/>
                <w:color w:val="000000"/>
                <w:szCs w:val="20"/>
              </w:rPr>
              <w:t xml:space="preserve"> </w:t>
            </w:r>
            <w:proofErr w:type="spellStart"/>
            <w:r w:rsidRPr="002F1B52">
              <w:rPr>
                <w:rFonts w:ascii="Arial" w:hAnsi="Arial" w:cs="Arial"/>
                <w:b w:val="0"/>
                <w:bCs w:val="0"/>
                <w:i/>
                <w:iCs/>
                <w:color w:val="000000"/>
                <w:szCs w:val="20"/>
              </w:rPr>
              <w:t>eregoodoo</w:t>
            </w:r>
            <w:proofErr w:type="spellEnd"/>
          </w:p>
        </w:tc>
        <w:tc>
          <w:tcPr>
            <w:tcW w:w="3968" w:type="dxa"/>
            <w:noWrap/>
            <w:vAlign w:val="center"/>
          </w:tcPr>
          <w:p w14:paraId="296C7A74" w14:textId="77777777" w:rsidR="00536AE8" w:rsidRPr="002F1B52" w:rsidRDefault="00536AE8" w:rsidP="008A5E68">
            <w:pPr>
              <w:widowControl/>
              <w:autoSpaceDE/>
              <w:autoSpaceDN/>
              <w:adjustRightInd/>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szCs w:val="20"/>
                <w:lang w:val="fr-FR"/>
              </w:rPr>
            </w:pPr>
            <w:r w:rsidRPr="002F1B52">
              <w:rPr>
                <w:rFonts w:ascii="Arial" w:hAnsi="Arial" w:cs="Arial"/>
                <w:b w:val="0"/>
                <w:bCs w:val="0"/>
                <w:color w:val="000000"/>
                <w:szCs w:val="20"/>
                <w:lang w:val="fr-FR"/>
              </w:rPr>
              <w:t>Raie du Diable à longues cornes</w:t>
            </w:r>
          </w:p>
        </w:tc>
      </w:tr>
      <w:tr w:rsidR="00536AE8" w:rsidRPr="002F1B52" w14:paraId="196B3D1E" w14:textId="77777777" w:rsidTr="00CE7ACC">
        <w:trPr>
          <w:cnfStyle w:val="100000000000" w:firstRow="1" w:lastRow="0" w:firstColumn="0" w:lastColumn="0" w:oddVBand="0" w:evenVBand="0" w:oddHBand="0" w:evenHBand="0" w:firstRowFirstColumn="0" w:firstRowLastColumn="0" w:lastRowFirstColumn="0" w:lastRowLastColumn="0"/>
          <w:trHeight w:val="312"/>
          <w:tblHeader/>
        </w:trPr>
        <w:tc>
          <w:tcPr>
            <w:cnfStyle w:val="001000000000" w:firstRow="0" w:lastRow="0" w:firstColumn="1" w:lastColumn="0" w:oddVBand="0" w:evenVBand="0" w:oddHBand="0" w:evenHBand="0" w:firstRowFirstColumn="0" w:firstRowLastColumn="0" w:lastRowFirstColumn="0" w:lastRowLastColumn="0"/>
            <w:tcW w:w="4820" w:type="dxa"/>
            <w:noWrap/>
            <w:vAlign w:val="center"/>
          </w:tcPr>
          <w:p w14:paraId="129B39F7" w14:textId="77777777" w:rsidR="00536AE8" w:rsidRPr="002F1B52" w:rsidRDefault="00536AE8" w:rsidP="008A5E68">
            <w:pPr>
              <w:widowControl/>
              <w:autoSpaceDE/>
              <w:autoSpaceDN/>
              <w:adjustRightInd/>
              <w:rPr>
                <w:rFonts w:ascii="Arial" w:hAnsi="Arial" w:cs="Arial"/>
                <w:b w:val="0"/>
                <w:bCs w:val="0"/>
                <w:i/>
                <w:iCs/>
                <w:color w:val="000000"/>
                <w:szCs w:val="20"/>
                <w:lang w:val="fr-FR"/>
              </w:rPr>
            </w:pPr>
            <w:proofErr w:type="spellStart"/>
            <w:r w:rsidRPr="002F1B52">
              <w:rPr>
                <w:rFonts w:ascii="Arial" w:hAnsi="Arial" w:cs="Arial"/>
                <w:b w:val="0"/>
                <w:bCs w:val="0"/>
                <w:i/>
                <w:iCs/>
                <w:color w:val="000000"/>
                <w:szCs w:val="20"/>
                <w:lang w:val="fr-FR"/>
              </w:rPr>
              <w:t>Mobula</w:t>
            </w:r>
            <w:proofErr w:type="spellEnd"/>
            <w:r w:rsidRPr="002F1B52">
              <w:rPr>
                <w:rFonts w:ascii="Arial" w:hAnsi="Arial" w:cs="Arial"/>
                <w:b w:val="0"/>
                <w:bCs w:val="0"/>
                <w:i/>
                <w:iCs/>
                <w:color w:val="000000"/>
                <w:szCs w:val="20"/>
                <w:lang w:val="fr-FR"/>
              </w:rPr>
              <w:t xml:space="preserve"> </w:t>
            </w:r>
            <w:proofErr w:type="spellStart"/>
            <w:r w:rsidRPr="002F1B52">
              <w:rPr>
                <w:rFonts w:ascii="Arial" w:hAnsi="Arial" w:cs="Arial"/>
                <w:b w:val="0"/>
                <w:bCs w:val="0"/>
                <w:i/>
                <w:iCs/>
                <w:color w:val="000000"/>
                <w:szCs w:val="20"/>
                <w:lang w:val="fr-FR"/>
              </w:rPr>
              <w:t>hypostoma</w:t>
            </w:r>
            <w:proofErr w:type="spellEnd"/>
            <w:r w:rsidRPr="002F1B52">
              <w:rPr>
                <w:rStyle w:val="FootnoteReference"/>
                <w:rFonts w:ascii="Arial" w:hAnsi="Arial" w:cs="Arial"/>
                <w:b w:val="0"/>
                <w:bCs w:val="0"/>
                <w:i/>
                <w:iCs/>
                <w:color w:val="000000"/>
                <w:szCs w:val="20"/>
                <w:lang w:val="fr-FR"/>
              </w:rPr>
              <w:footnoteReference w:id="3"/>
            </w:r>
          </w:p>
        </w:tc>
        <w:tc>
          <w:tcPr>
            <w:tcW w:w="3968" w:type="dxa"/>
            <w:noWrap/>
            <w:vAlign w:val="center"/>
          </w:tcPr>
          <w:p w14:paraId="680B6D41" w14:textId="77777777" w:rsidR="00536AE8" w:rsidRPr="002F1B52" w:rsidRDefault="00536AE8" w:rsidP="008A5E68">
            <w:pPr>
              <w:widowControl/>
              <w:autoSpaceDE/>
              <w:autoSpaceDN/>
              <w:adjustRightInd/>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szCs w:val="20"/>
                <w:lang w:val="fr-FR"/>
              </w:rPr>
            </w:pPr>
            <w:r w:rsidRPr="002F1B52">
              <w:rPr>
                <w:rFonts w:ascii="Arial" w:hAnsi="Arial" w:cs="Arial"/>
                <w:b w:val="0"/>
                <w:bCs w:val="0"/>
                <w:color w:val="000000"/>
                <w:szCs w:val="20"/>
                <w:lang w:val="fr-FR"/>
              </w:rPr>
              <w:t>Diable géant</w:t>
            </w:r>
          </w:p>
        </w:tc>
      </w:tr>
      <w:tr w:rsidR="00536AE8" w:rsidRPr="002F1B52" w14:paraId="201CC023" w14:textId="77777777" w:rsidTr="00CE7ACC">
        <w:trPr>
          <w:cnfStyle w:val="100000000000" w:firstRow="1" w:lastRow="0" w:firstColumn="0" w:lastColumn="0" w:oddVBand="0" w:evenVBand="0" w:oddHBand="0" w:evenHBand="0" w:firstRowFirstColumn="0" w:firstRowLastColumn="0" w:lastRowFirstColumn="0" w:lastRowLastColumn="0"/>
          <w:trHeight w:val="312"/>
          <w:tblHeader/>
        </w:trPr>
        <w:tc>
          <w:tcPr>
            <w:cnfStyle w:val="001000000000" w:firstRow="0" w:lastRow="0" w:firstColumn="1" w:lastColumn="0" w:oddVBand="0" w:evenVBand="0" w:oddHBand="0" w:evenHBand="0" w:firstRowFirstColumn="0" w:firstRowLastColumn="0" w:lastRowFirstColumn="0" w:lastRowLastColumn="0"/>
            <w:tcW w:w="4820" w:type="dxa"/>
            <w:noWrap/>
            <w:vAlign w:val="center"/>
          </w:tcPr>
          <w:p w14:paraId="42146DF5" w14:textId="77777777" w:rsidR="00536AE8" w:rsidRPr="002F1B52" w:rsidRDefault="00536AE8" w:rsidP="008A5E68">
            <w:pPr>
              <w:widowControl/>
              <w:autoSpaceDE/>
              <w:autoSpaceDN/>
              <w:adjustRightInd/>
              <w:rPr>
                <w:rFonts w:ascii="Arial" w:hAnsi="Arial" w:cs="Arial"/>
                <w:b w:val="0"/>
                <w:bCs w:val="0"/>
                <w:i/>
                <w:iCs/>
                <w:color w:val="000000"/>
                <w:szCs w:val="20"/>
              </w:rPr>
            </w:pPr>
            <w:proofErr w:type="spellStart"/>
            <w:r w:rsidRPr="002F1B52">
              <w:rPr>
                <w:rFonts w:ascii="Arial" w:hAnsi="Arial" w:cs="Arial"/>
                <w:b w:val="0"/>
                <w:bCs w:val="0"/>
                <w:i/>
                <w:iCs/>
                <w:color w:val="000000"/>
                <w:szCs w:val="20"/>
              </w:rPr>
              <w:t>Mobula</w:t>
            </w:r>
            <w:proofErr w:type="spellEnd"/>
            <w:r w:rsidRPr="002F1B52">
              <w:rPr>
                <w:rFonts w:ascii="Arial" w:hAnsi="Arial" w:cs="Arial"/>
                <w:b w:val="0"/>
                <w:bCs w:val="0"/>
                <w:i/>
                <w:iCs/>
                <w:color w:val="000000"/>
                <w:szCs w:val="20"/>
              </w:rPr>
              <w:t xml:space="preserve"> </w:t>
            </w:r>
            <w:proofErr w:type="spellStart"/>
            <w:r w:rsidRPr="002F1B52">
              <w:rPr>
                <w:rFonts w:ascii="Arial" w:hAnsi="Arial" w:cs="Arial"/>
                <w:b w:val="0"/>
                <w:bCs w:val="0"/>
                <w:i/>
                <w:iCs/>
                <w:color w:val="000000"/>
                <w:szCs w:val="20"/>
              </w:rPr>
              <w:t>kuhlii</w:t>
            </w:r>
            <w:proofErr w:type="spellEnd"/>
          </w:p>
        </w:tc>
        <w:tc>
          <w:tcPr>
            <w:tcW w:w="3968" w:type="dxa"/>
            <w:noWrap/>
            <w:vAlign w:val="center"/>
          </w:tcPr>
          <w:p w14:paraId="24CB237A" w14:textId="77777777" w:rsidR="00536AE8" w:rsidRPr="002F1B52" w:rsidRDefault="00536AE8" w:rsidP="008A5E68">
            <w:pPr>
              <w:widowControl/>
              <w:autoSpaceDE/>
              <w:autoSpaceDN/>
              <w:adjustRightInd/>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szCs w:val="20"/>
                <w:lang w:val="fr-FR"/>
              </w:rPr>
            </w:pPr>
            <w:r w:rsidRPr="002F1B52">
              <w:rPr>
                <w:rFonts w:ascii="Arial" w:hAnsi="Arial" w:cs="Arial"/>
                <w:b w:val="0"/>
                <w:bCs w:val="0"/>
                <w:color w:val="000000"/>
                <w:szCs w:val="20"/>
                <w:lang w:val="fr-FR"/>
              </w:rPr>
              <w:t>Petit diable</w:t>
            </w:r>
          </w:p>
        </w:tc>
      </w:tr>
      <w:tr w:rsidR="00536AE8" w:rsidRPr="002F1B52" w14:paraId="1B9FDDAE" w14:textId="77777777" w:rsidTr="00CE7ACC">
        <w:trPr>
          <w:cnfStyle w:val="100000000000" w:firstRow="1" w:lastRow="0" w:firstColumn="0" w:lastColumn="0" w:oddVBand="0" w:evenVBand="0" w:oddHBand="0" w:evenHBand="0" w:firstRowFirstColumn="0" w:firstRowLastColumn="0" w:lastRowFirstColumn="0" w:lastRowLastColumn="0"/>
          <w:trHeight w:val="312"/>
          <w:tblHeader/>
        </w:trPr>
        <w:tc>
          <w:tcPr>
            <w:cnfStyle w:val="001000000000" w:firstRow="0" w:lastRow="0" w:firstColumn="1" w:lastColumn="0" w:oddVBand="0" w:evenVBand="0" w:oddHBand="0" w:evenHBand="0" w:firstRowFirstColumn="0" w:firstRowLastColumn="0" w:lastRowFirstColumn="0" w:lastRowLastColumn="0"/>
            <w:tcW w:w="4820" w:type="dxa"/>
            <w:noWrap/>
            <w:vAlign w:val="center"/>
          </w:tcPr>
          <w:p w14:paraId="0A03B6C4" w14:textId="77777777" w:rsidR="00536AE8" w:rsidRPr="002F1B52" w:rsidRDefault="00536AE8" w:rsidP="008A5E68">
            <w:pPr>
              <w:widowControl/>
              <w:autoSpaceDE/>
              <w:autoSpaceDN/>
              <w:adjustRightInd/>
              <w:rPr>
                <w:rFonts w:ascii="Arial" w:hAnsi="Arial" w:cs="Arial"/>
                <w:b w:val="0"/>
                <w:bCs w:val="0"/>
                <w:i/>
                <w:iCs/>
                <w:color w:val="000000"/>
                <w:szCs w:val="20"/>
                <w:lang w:val="fr-FR"/>
              </w:rPr>
            </w:pPr>
            <w:proofErr w:type="spellStart"/>
            <w:r w:rsidRPr="002F1B52">
              <w:rPr>
                <w:rFonts w:ascii="Arial" w:hAnsi="Arial" w:cs="Arial"/>
                <w:b w:val="0"/>
                <w:bCs w:val="0"/>
                <w:i/>
                <w:iCs/>
                <w:color w:val="000000"/>
                <w:szCs w:val="20"/>
                <w:lang w:val="fr-FR"/>
              </w:rPr>
              <w:t>Mobula</w:t>
            </w:r>
            <w:proofErr w:type="spellEnd"/>
            <w:r w:rsidRPr="002F1B52">
              <w:rPr>
                <w:rFonts w:ascii="Arial" w:hAnsi="Arial" w:cs="Arial"/>
                <w:b w:val="0"/>
                <w:bCs w:val="0"/>
                <w:i/>
                <w:iCs/>
                <w:color w:val="000000"/>
                <w:szCs w:val="20"/>
                <w:lang w:val="fr-FR"/>
              </w:rPr>
              <w:t xml:space="preserve"> mobular</w:t>
            </w:r>
            <w:r w:rsidRPr="002F1B52">
              <w:rPr>
                <w:rStyle w:val="FootnoteReference"/>
                <w:rFonts w:ascii="Arial" w:hAnsi="Arial" w:cs="Arial"/>
                <w:b w:val="0"/>
                <w:bCs w:val="0"/>
                <w:i/>
                <w:iCs/>
                <w:color w:val="000000"/>
                <w:szCs w:val="20"/>
                <w:lang w:val="fr-FR"/>
              </w:rPr>
              <w:footnoteReference w:id="4"/>
            </w:r>
          </w:p>
        </w:tc>
        <w:tc>
          <w:tcPr>
            <w:tcW w:w="3968" w:type="dxa"/>
            <w:noWrap/>
            <w:vAlign w:val="center"/>
          </w:tcPr>
          <w:p w14:paraId="4B872B95" w14:textId="77777777" w:rsidR="00536AE8" w:rsidRPr="002F1B52" w:rsidRDefault="00536AE8" w:rsidP="008A5E68">
            <w:pPr>
              <w:widowControl/>
              <w:autoSpaceDE/>
              <w:autoSpaceDN/>
              <w:adjustRightInd/>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szCs w:val="20"/>
                <w:lang w:val="fr-FR"/>
              </w:rPr>
            </w:pPr>
            <w:r w:rsidRPr="002F1B52">
              <w:rPr>
                <w:rFonts w:ascii="Arial" w:hAnsi="Arial" w:cs="Arial"/>
                <w:b w:val="0"/>
                <w:bCs w:val="0"/>
                <w:color w:val="000000"/>
                <w:szCs w:val="20"/>
                <w:lang w:val="fr-FR"/>
              </w:rPr>
              <w:t>Mante</w:t>
            </w:r>
          </w:p>
        </w:tc>
      </w:tr>
      <w:tr w:rsidR="00536AE8" w:rsidRPr="002F1B52" w14:paraId="284FD9AA" w14:textId="77777777" w:rsidTr="00CE7ACC">
        <w:trPr>
          <w:cnfStyle w:val="100000000000" w:firstRow="1" w:lastRow="0" w:firstColumn="0" w:lastColumn="0" w:oddVBand="0" w:evenVBand="0" w:oddHBand="0" w:evenHBand="0" w:firstRowFirstColumn="0" w:firstRowLastColumn="0" w:lastRowFirstColumn="0" w:lastRowLastColumn="0"/>
          <w:trHeight w:val="312"/>
          <w:tblHeader/>
        </w:trPr>
        <w:tc>
          <w:tcPr>
            <w:cnfStyle w:val="001000000000" w:firstRow="0" w:lastRow="0" w:firstColumn="1" w:lastColumn="0" w:oddVBand="0" w:evenVBand="0" w:oddHBand="0" w:evenHBand="0" w:firstRowFirstColumn="0" w:firstRowLastColumn="0" w:lastRowFirstColumn="0" w:lastRowLastColumn="0"/>
            <w:tcW w:w="4820" w:type="dxa"/>
            <w:noWrap/>
            <w:vAlign w:val="center"/>
          </w:tcPr>
          <w:p w14:paraId="5F081AED" w14:textId="77777777" w:rsidR="00536AE8" w:rsidRPr="002F1B52" w:rsidRDefault="00536AE8" w:rsidP="008A5E68">
            <w:pPr>
              <w:widowControl/>
              <w:autoSpaceDE/>
              <w:autoSpaceDN/>
              <w:adjustRightInd/>
              <w:rPr>
                <w:rFonts w:ascii="Arial" w:hAnsi="Arial" w:cs="Arial"/>
                <w:b w:val="0"/>
                <w:bCs w:val="0"/>
                <w:i/>
                <w:iCs/>
                <w:color w:val="000000"/>
                <w:szCs w:val="20"/>
              </w:rPr>
            </w:pPr>
            <w:proofErr w:type="spellStart"/>
            <w:r w:rsidRPr="002F1B52">
              <w:rPr>
                <w:rFonts w:ascii="Arial" w:hAnsi="Arial" w:cs="Arial"/>
                <w:b w:val="0"/>
                <w:bCs w:val="0"/>
                <w:i/>
                <w:iCs/>
                <w:color w:val="000000"/>
                <w:szCs w:val="20"/>
              </w:rPr>
              <w:t>Mobula</w:t>
            </w:r>
            <w:proofErr w:type="spellEnd"/>
            <w:r w:rsidRPr="002F1B52">
              <w:rPr>
                <w:rFonts w:ascii="Arial" w:hAnsi="Arial" w:cs="Arial"/>
                <w:b w:val="0"/>
                <w:bCs w:val="0"/>
                <w:i/>
                <w:iCs/>
                <w:color w:val="000000"/>
                <w:szCs w:val="20"/>
              </w:rPr>
              <w:t xml:space="preserve"> </w:t>
            </w:r>
            <w:proofErr w:type="spellStart"/>
            <w:r w:rsidRPr="002F1B52">
              <w:rPr>
                <w:rFonts w:ascii="Arial" w:hAnsi="Arial" w:cs="Arial"/>
                <w:b w:val="0"/>
                <w:bCs w:val="0"/>
                <w:i/>
                <w:iCs/>
                <w:color w:val="000000"/>
                <w:szCs w:val="20"/>
              </w:rPr>
              <w:t>munkiana</w:t>
            </w:r>
            <w:proofErr w:type="spellEnd"/>
          </w:p>
        </w:tc>
        <w:tc>
          <w:tcPr>
            <w:tcW w:w="3968" w:type="dxa"/>
            <w:noWrap/>
            <w:vAlign w:val="center"/>
          </w:tcPr>
          <w:p w14:paraId="54FDD136" w14:textId="77777777" w:rsidR="00536AE8" w:rsidRPr="002F1B52" w:rsidRDefault="00536AE8" w:rsidP="008A5E68">
            <w:pPr>
              <w:widowControl/>
              <w:autoSpaceDE/>
              <w:autoSpaceDN/>
              <w:adjustRightInd/>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szCs w:val="20"/>
                <w:lang w:val="fr-FR"/>
              </w:rPr>
            </w:pPr>
            <w:r w:rsidRPr="002F1B52">
              <w:rPr>
                <w:rFonts w:ascii="Arial" w:hAnsi="Arial" w:cs="Arial"/>
                <w:b w:val="0"/>
                <w:bCs w:val="0"/>
                <w:color w:val="000000"/>
                <w:szCs w:val="20"/>
                <w:lang w:val="fr-FR"/>
              </w:rPr>
              <w:t>Mante de Munk</w:t>
            </w:r>
          </w:p>
        </w:tc>
      </w:tr>
      <w:tr w:rsidR="00536AE8" w:rsidRPr="002F1B52" w14:paraId="08E2EEE9" w14:textId="77777777" w:rsidTr="00CE7ACC">
        <w:trPr>
          <w:cnfStyle w:val="100000000000" w:firstRow="1" w:lastRow="0" w:firstColumn="0" w:lastColumn="0" w:oddVBand="0" w:evenVBand="0" w:oddHBand="0" w:evenHBand="0" w:firstRowFirstColumn="0" w:firstRowLastColumn="0" w:lastRowFirstColumn="0" w:lastRowLastColumn="0"/>
          <w:trHeight w:val="312"/>
          <w:tblHeader/>
        </w:trPr>
        <w:tc>
          <w:tcPr>
            <w:cnfStyle w:val="001000000000" w:firstRow="0" w:lastRow="0" w:firstColumn="1" w:lastColumn="0" w:oddVBand="0" w:evenVBand="0" w:oddHBand="0" w:evenHBand="0" w:firstRowFirstColumn="0" w:firstRowLastColumn="0" w:lastRowFirstColumn="0" w:lastRowLastColumn="0"/>
            <w:tcW w:w="4820" w:type="dxa"/>
            <w:noWrap/>
            <w:vAlign w:val="center"/>
            <w:hideMark/>
          </w:tcPr>
          <w:p w14:paraId="1A5E0875" w14:textId="77777777" w:rsidR="00536AE8" w:rsidRPr="002F1B52" w:rsidRDefault="00536AE8" w:rsidP="008A5E68">
            <w:pPr>
              <w:widowControl/>
              <w:autoSpaceDE/>
              <w:autoSpaceDN/>
              <w:adjustRightInd/>
              <w:rPr>
                <w:rFonts w:ascii="Arial" w:hAnsi="Arial" w:cs="Arial"/>
                <w:b w:val="0"/>
                <w:bCs w:val="0"/>
                <w:i/>
                <w:iCs/>
                <w:color w:val="000000"/>
                <w:szCs w:val="20"/>
              </w:rPr>
            </w:pPr>
            <w:proofErr w:type="spellStart"/>
            <w:r w:rsidRPr="002F1B52">
              <w:rPr>
                <w:rFonts w:ascii="Arial" w:hAnsi="Arial" w:cs="Arial"/>
                <w:b w:val="0"/>
                <w:bCs w:val="0"/>
                <w:i/>
                <w:iCs/>
                <w:color w:val="000000"/>
                <w:szCs w:val="20"/>
              </w:rPr>
              <w:t>Mobula</w:t>
            </w:r>
            <w:proofErr w:type="spellEnd"/>
            <w:r w:rsidRPr="002F1B52">
              <w:rPr>
                <w:rFonts w:ascii="Arial" w:hAnsi="Arial" w:cs="Arial"/>
                <w:b w:val="0"/>
                <w:bCs w:val="0"/>
                <w:i/>
                <w:iCs/>
                <w:color w:val="000000"/>
                <w:szCs w:val="20"/>
              </w:rPr>
              <w:t xml:space="preserve"> </w:t>
            </w:r>
            <w:proofErr w:type="spellStart"/>
            <w:r w:rsidRPr="002F1B52">
              <w:rPr>
                <w:rFonts w:ascii="Arial" w:hAnsi="Arial" w:cs="Arial"/>
                <w:b w:val="0"/>
                <w:bCs w:val="0"/>
                <w:i/>
                <w:iCs/>
                <w:color w:val="000000"/>
                <w:szCs w:val="20"/>
              </w:rPr>
              <w:t>tarapacana</w:t>
            </w:r>
            <w:proofErr w:type="spellEnd"/>
          </w:p>
        </w:tc>
        <w:tc>
          <w:tcPr>
            <w:tcW w:w="3968" w:type="dxa"/>
            <w:noWrap/>
            <w:vAlign w:val="center"/>
            <w:hideMark/>
          </w:tcPr>
          <w:p w14:paraId="24771EBD" w14:textId="77777777" w:rsidR="00536AE8" w:rsidRPr="002F1B52" w:rsidRDefault="00536AE8" w:rsidP="008A5E68">
            <w:pPr>
              <w:widowControl/>
              <w:autoSpaceDE/>
              <w:autoSpaceDN/>
              <w:adjustRightInd/>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szCs w:val="20"/>
                <w:lang w:val="fr-FR"/>
              </w:rPr>
            </w:pPr>
            <w:r w:rsidRPr="002F1B52">
              <w:rPr>
                <w:rFonts w:ascii="Arial" w:hAnsi="Arial" w:cs="Arial"/>
                <w:b w:val="0"/>
                <w:bCs w:val="0"/>
                <w:color w:val="000000"/>
                <w:szCs w:val="20"/>
                <w:lang w:val="fr-FR"/>
              </w:rPr>
              <w:t>Mante chilienne</w:t>
            </w:r>
          </w:p>
        </w:tc>
      </w:tr>
      <w:tr w:rsidR="00536AE8" w:rsidRPr="002F1B52" w14:paraId="09F7C7CA" w14:textId="77777777" w:rsidTr="00CE7ACC">
        <w:trPr>
          <w:cnfStyle w:val="100000000000" w:firstRow="1" w:lastRow="0" w:firstColumn="0" w:lastColumn="0" w:oddVBand="0" w:evenVBand="0" w:oddHBand="0" w:evenHBand="0" w:firstRowFirstColumn="0" w:firstRowLastColumn="0" w:lastRowFirstColumn="0" w:lastRowLastColumn="0"/>
          <w:trHeight w:val="312"/>
          <w:tblHeader/>
        </w:trPr>
        <w:tc>
          <w:tcPr>
            <w:cnfStyle w:val="001000000000" w:firstRow="0" w:lastRow="0" w:firstColumn="1" w:lastColumn="0" w:oddVBand="0" w:evenVBand="0" w:oddHBand="0" w:evenHBand="0" w:firstRowFirstColumn="0" w:firstRowLastColumn="0" w:lastRowFirstColumn="0" w:lastRowLastColumn="0"/>
            <w:tcW w:w="4820" w:type="dxa"/>
            <w:noWrap/>
            <w:vAlign w:val="center"/>
            <w:hideMark/>
          </w:tcPr>
          <w:p w14:paraId="04F4279B" w14:textId="77777777" w:rsidR="00536AE8" w:rsidRPr="002F1B52" w:rsidRDefault="00536AE8" w:rsidP="008A5E68">
            <w:pPr>
              <w:widowControl/>
              <w:autoSpaceDE/>
              <w:autoSpaceDN/>
              <w:adjustRightInd/>
              <w:rPr>
                <w:rFonts w:ascii="Arial" w:hAnsi="Arial" w:cs="Arial"/>
                <w:b w:val="0"/>
                <w:bCs w:val="0"/>
                <w:i/>
                <w:iCs/>
                <w:color w:val="000000"/>
                <w:szCs w:val="20"/>
              </w:rPr>
            </w:pPr>
            <w:proofErr w:type="spellStart"/>
            <w:r w:rsidRPr="002F1B52">
              <w:rPr>
                <w:rFonts w:ascii="Arial" w:hAnsi="Arial" w:cs="Arial"/>
                <w:b w:val="0"/>
                <w:bCs w:val="0"/>
                <w:i/>
                <w:iCs/>
                <w:color w:val="000000"/>
                <w:szCs w:val="20"/>
              </w:rPr>
              <w:t>Mobula</w:t>
            </w:r>
            <w:proofErr w:type="spellEnd"/>
            <w:r w:rsidRPr="002F1B52">
              <w:rPr>
                <w:rFonts w:ascii="Arial" w:hAnsi="Arial" w:cs="Arial"/>
                <w:b w:val="0"/>
                <w:bCs w:val="0"/>
                <w:i/>
                <w:iCs/>
                <w:color w:val="000000"/>
                <w:szCs w:val="20"/>
              </w:rPr>
              <w:t xml:space="preserve"> </w:t>
            </w:r>
            <w:proofErr w:type="spellStart"/>
            <w:r w:rsidRPr="002F1B52">
              <w:rPr>
                <w:rFonts w:ascii="Arial" w:hAnsi="Arial" w:cs="Arial"/>
                <w:b w:val="0"/>
                <w:bCs w:val="0"/>
                <w:i/>
                <w:iCs/>
                <w:color w:val="000000"/>
                <w:szCs w:val="20"/>
              </w:rPr>
              <w:t>thurstoni</w:t>
            </w:r>
            <w:proofErr w:type="spellEnd"/>
          </w:p>
        </w:tc>
        <w:tc>
          <w:tcPr>
            <w:tcW w:w="3968" w:type="dxa"/>
            <w:noWrap/>
            <w:vAlign w:val="center"/>
            <w:hideMark/>
          </w:tcPr>
          <w:p w14:paraId="25A01950" w14:textId="77777777" w:rsidR="00536AE8" w:rsidRPr="002F1B52" w:rsidRDefault="00536AE8" w:rsidP="008A5E68">
            <w:pPr>
              <w:widowControl/>
              <w:autoSpaceDE/>
              <w:autoSpaceDN/>
              <w:adjustRightInd/>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szCs w:val="20"/>
                <w:lang w:val="fr-FR"/>
              </w:rPr>
            </w:pPr>
            <w:r w:rsidRPr="002F1B52">
              <w:rPr>
                <w:rFonts w:ascii="Arial" w:hAnsi="Arial" w:cs="Arial"/>
                <w:b w:val="0"/>
                <w:bCs w:val="0"/>
                <w:color w:val="000000"/>
                <w:szCs w:val="20"/>
                <w:lang w:val="fr-FR"/>
              </w:rPr>
              <w:t>Mante vampire</w:t>
            </w:r>
          </w:p>
        </w:tc>
      </w:tr>
      <w:tr w:rsidR="00536AE8" w:rsidRPr="002F1B52" w14:paraId="46074D61" w14:textId="77777777" w:rsidTr="00CE7ACC">
        <w:trPr>
          <w:cnfStyle w:val="100000000000" w:firstRow="1" w:lastRow="0" w:firstColumn="0" w:lastColumn="0" w:oddVBand="0" w:evenVBand="0" w:oddHBand="0" w:evenHBand="0" w:firstRowFirstColumn="0" w:firstRowLastColumn="0" w:lastRowFirstColumn="0" w:lastRowLastColumn="0"/>
          <w:trHeight w:val="312"/>
          <w:tblHeader/>
        </w:trPr>
        <w:tc>
          <w:tcPr>
            <w:cnfStyle w:val="001000000000" w:firstRow="0" w:lastRow="0" w:firstColumn="1" w:lastColumn="0" w:oddVBand="0" w:evenVBand="0" w:oddHBand="0" w:evenHBand="0" w:firstRowFirstColumn="0" w:firstRowLastColumn="0" w:lastRowFirstColumn="0" w:lastRowLastColumn="0"/>
            <w:tcW w:w="4820" w:type="dxa"/>
            <w:noWrap/>
            <w:vAlign w:val="center"/>
            <w:hideMark/>
          </w:tcPr>
          <w:p w14:paraId="01B84CEE" w14:textId="77777777" w:rsidR="00536AE8" w:rsidRPr="002F1B52" w:rsidRDefault="00536AE8" w:rsidP="008A5E68">
            <w:pPr>
              <w:widowControl/>
              <w:autoSpaceDE/>
              <w:autoSpaceDN/>
              <w:adjustRightInd/>
              <w:rPr>
                <w:rFonts w:ascii="Arial" w:hAnsi="Arial" w:cs="Arial"/>
                <w:b w:val="0"/>
                <w:bCs w:val="0"/>
                <w:i/>
                <w:iCs/>
                <w:color w:val="000000"/>
                <w:szCs w:val="20"/>
              </w:rPr>
            </w:pPr>
            <w:r w:rsidRPr="002F1B52">
              <w:rPr>
                <w:rFonts w:ascii="Arial" w:hAnsi="Arial" w:cs="Arial"/>
                <w:b w:val="0"/>
                <w:bCs w:val="0"/>
                <w:i/>
                <w:iCs/>
                <w:color w:val="000000"/>
                <w:szCs w:val="20"/>
              </w:rPr>
              <w:t>Rhincodon typus</w:t>
            </w:r>
          </w:p>
        </w:tc>
        <w:tc>
          <w:tcPr>
            <w:tcW w:w="3968" w:type="dxa"/>
            <w:noWrap/>
            <w:vAlign w:val="center"/>
            <w:hideMark/>
          </w:tcPr>
          <w:p w14:paraId="166BF0F3" w14:textId="77777777" w:rsidR="00536AE8" w:rsidRPr="002F1B52" w:rsidRDefault="00536AE8" w:rsidP="008A5E68">
            <w:pPr>
              <w:widowControl/>
              <w:autoSpaceDE/>
              <w:autoSpaceDN/>
              <w:adjustRightInd/>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szCs w:val="20"/>
                <w:lang w:val="fr-FR"/>
              </w:rPr>
            </w:pPr>
            <w:r w:rsidRPr="002F1B52">
              <w:rPr>
                <w:rFonts w:ascii="Arial" w:hAnsi="Arial" w:cs="Arial"/>
                <w:b w:val="0"/>
                <w:bCs w:val="0"/>
                <w:color w:val="000000"/>
                <w:szCs w:val="20"/>
                <w:lang w:val="fr-FR"/>
              </w:rPr>
              <w:t>Requin-baleine</w:t>
            </w:r>
          </w:p>
        </w:tc>
      </w:tr>
      <w:tr w:rsidR="00536AE8" w:rsidRPr="002F1B52" w14:paraId="3916F3CA" w14:textId="77777777" w:rsidTr="00CE7ACC">
        <w:trPr>
          <w:cnfStyle w:val="100000000000" w:firstRow="1" w:lastRow="0" w:firstColumn="0" w:lastColumn="0" w:oddVBand="0" w:evenVBand="0" w:oddHBand="0" w:evenHBand="0" w:firstRowFirstColumn="0" w:firstRowLastColumn="0" w:lastRowFirstColumn="0" w:lastRowLastColumn="0"/>
          <w:trHeight w:val="312"/>
          <w:tblHeader/>
        </w:trPr>
        <w:tc>
          <w:tcPr>
            <w:cnfStyle w:val="001000000000" w:firstRow="0" w:lastRow="0" w:firstColumn="1" w:lastColumn="0" w:oddVBand="0" w:evenVBand="0" w:oddHBand="0" w:evenHBand="0" w:firstRowFirstColumn="0" w:firstRowLastColumn="0" w:lastRowFirstColumn="0" w:lastRowLastColumn="0"/>
            <w:tcW w:w="4820" w:type="dxa"/>
            <w:noWrap/>
            <w:vAlign w:val="center"/>
          </w:tcPr>
          <w:p w14:paraId="21306E70" w14:textId="77777777" w:rsidR="00536AE8" w:rsidRPr="002F1B52" w:rsidRDefault="00536AE8" w:rsidP="008A5E68">
            <w:pPr>
              <w:widowControl/>
              <w:autoSpaceDE/>
              <w:autoSpaceDN/>
              <w:adjustRightInd/>
              <w:rPr>
                <w:rFonts w:ascii="Arial" w:hAnsi="Arial" w:cs="Arial"/>
                <w:b w:val="0"/>
                <w:bCs w:val="0"/>
                <w:i/>
                <w:iCs/>
                <w:color w:val="000000"/>
                <w:szCs w:val="20"/>
              </w:rPr>
            </w:pPr>
            <w:r w:rsidRPr="002F1B52">
              <w:rPr>
                <w:rFonts w:ascii="Arial" w:hAnsi="Arial" w:cs="Arial"/>
                <w:b w:val="0"/>
                <w:bCs w:val="0"/>
                <w:i/>
                <w:iCs/>
                <w:color w:val="000000"/>
                <w:szCs w:val="20"/>
              </w:rPr>
              <w:t xml:space="preserve">Sphyrna </w:t>
            </w:r>
            <w:proofErr w:type="spellStart"/>
            <w:r w:rsidRPr="002F1B52">
              <w:rPr>
                <w:rFonts w:ascii="Arial" w:hAnsi="Arial" w:cs="Arial"/>
                <w:b w:val="0"/>
                <w:bCs w:val="0"/>
                <w:i/>
                <w:iCs/>
                <w:color w:val="000000"/>
                <w:szCs w:val="20"/>
              </w:rPr>
              <w:t>lewini</w:t>
            </w:r>
            <w:proofErr w:type="spellEnd"/>
          </w:p>
        </w:tc>
        <w:tc>
          <w:tcPr>
            <w:tcW w:w="3968" w:type="dxa"/>
            <w:noWrap/>
            <w:vAlign w:val="center"/>
          </w:tcPr>
          <w:p w14:paraId="5A097D40" w14:textId="77777777" w:rsidR="00536AE8" w:rsidRPr="002F1B52" w:rsidRDefault="00536AE8" w:rsidP="008A5E68">
            <w:pPr>
              <w:widowControl/>
              <w:autoSpaceDE/>
              <w:autoSpaceDN/>
              <w:adjustRightInd/>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szCs w:val="20"/>
                <w:lang w:val="fr-FR"/>
              </w:rPr>
            </w:pPr>
            <w:r w:rsidRPr="002F1B52">
              <w:rPr>
                <w:rFonts w:ascii="Arial" w:hAnsi="Arial" w:cs="Arial"/>
                <w:b w:val="0"/>
                <w:bCs w:val="0"/>
                <w:color w:val="000000"/>
                <w:szCs w:val="20"/>
                <w:lang w:val="fr-FR"/>
              </w:rPr>
              <w:t xml:space="preserve">Requin-marteau </w:t>
            </w:r>
            <w:proofErr w:type="spellStart"/>
            <w:r w:rsidRPr="002F1B52">
              <w:rPr>
                <w:rFonts w:ascii="Arial" w:hAnsi="Arial" w:cs="Arial"/>
                <w:b w:val="0"/>
                <w:bCs w:val="0"/>
                <w:color w:val="000000"/>
                <w:szCs w:val="20"/>
                <w:lang w:val="fr-FR"/>
              </w:rPr>
              <w:t>halicorne</w:t>
            </w:r>
            <w:proofErr w:type="spellEnd"/>
          </w:p>
        </w:tc>
      </w:tr>
      <w:tr w:rsidR="00536AE8" w:rsidRPr="002F1B52" w14:paraId="0E35EB9A" w14:textId="77777777" w:rsidTr="00CE7ACC">
        <w:trPr>
          <w:cnfStyle w:val="100000000000" w:firstRow="1" w:lastRow="0" w:firstColumn="0" w:lastColumn="0" w:oddVBand="0" w:evenVBand="0" w:oddHBand="0" w:evenHBand="0" w:firstRowFirstColumn="0" w:firstRowLastColumn="0" w:lastRowFirstColumn="0" w:lastRowLastColumn="0"/>
          <w:trHeight w:val="312"/>
          <w:tblHeader/>
        </w:trPr>
        <w:tc>
          <w:tcPr>
            <w:cnfStyle w:val="001000000000" w:firstRow="0" w:lastRow="0" w:firstColumn="1" w:lastColumn="0" w:oddVBand="0" w:evenVBand="0" w:oddHBand="0" w:evenHBand="0" w:firstRowFirstColumn="0" w:firstRowLastColumn="0" w:lastRowFirstColumn="0" w:lastRowLastColumn="0"/>
            <w:tcW w:w="4820" w:type="dxa"/>
            <w:noWrap/>
            <w:vAlign w:val="center"/>
            <w:hideMark/>
          </w:tcPr>
          <w:p w14:paraId="409369AB" w14:textId="77777777" w:rsidR="00536AE8" w:rsidRPr="002F1B52" w:rsidRDefault="00536AE8" w:rsidP="008A5E68">
            <w:pPr>
              <w:widowControl/>
              <w:autoSpaceDE/>
              <w:autoSpaceDN/>
              <w:adjustRightInd/>
              <w:rPr>
                <w:rFonts w:ascii="Arial" w:hAnsi="Arial" w:cs="Arial"/>
                <w:b w:val="0"/>
                <w:bCs w:val="0"/>
                <w:i/>
                <w:iCs/>
                <w:color w:val="000000"/>
                <w:szCs w:val="20"/>
              </w:rPr>
            </w:pPr>
            <w:r w:rsidRPr="002F1B52">
              <w:rPr>
                <w:rFonts w:ascii="Arial" w:hAnsi="Arial" w:cs="Arial"/>
                <w:b w:val="0"/>
                <w:bCs w:val="0"/>
                <w:i/>
                <w:iCs/>
                <w:color w:val="000000"/>
                <w:szCs w:val="20"/>
              </w:rPr>
              <w:t xml:space="preserve">Sphyrna </w:t>
            </w:r>
            <w:proofErr w:type="spellStart"/>
            <w:r w:rsidRPr="002F1B52">
              <w:rPr>
                <w:rFonts w:ascii="Arial" w:hAnsi="Arial" w:cs="Arial"/>
                <w:b w:val="0"/>
                <w:bCs w:val="0"/>
                <w:i/>
                <w:iCs/>
                <w:color w:val="000000"/>
                <w:szCs w:val="20"/>
              </w:rPr>
              <w:t>mokarran</w:t>
            </w:r>
            <w:proofErr w:type="spellEnd"/>
          </w:p>
        </w:tc>
        <w:tc>
          <w:tcPr>
            <w:tcW w:w="3968" w:type="dxa"/>
            <w:noWrap/>
            <w:vAlign w:val="center"/>
            <w:hideMark/>
          </w:tcPr>
          <w:p w14:paraId="7249A46D" w14:textId="77777777" w:rsidR="00536AE8" w:rsidRPr="002F1B52" w:rsidRDefault="00536AE8" w:rsidP="008A5E68">
            <w:pPr>
              <w:widowControl/>
              <w:autoSpaceDE/>
              <w:autoSpaceDN/>
              <w:adjustRightInd/>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szCs w:val="20"/>
                <w:lang w:val="fr-FR"/>
              </w:rPr>
            </w:pPr>
            <w:r w:rsidRPr="002F1B52">
              <w:rPr>
                <w:rFonts w:ascii="Arial" w:hAnsi="Arial" w:cs="Arial"/>
                <w:b w:val="0"/>
                <w:bCs w:val="0"/>
                <w:color w:val="000000"/>
                <w:szCs w:val="20"/>
                <w:lang w:val="fr-FR"/>
              </w:rPr>
              <w:t>Grand Requin-marteau</w:t>
            </w:r>
          </w:p>
        </w:tc>
      </w:tr>
      <w:tr w:rsidR="00536AE8" w:rsidRPr="002F1B52" w14:paraId="4947E35C" w14:textId="77777777" w:rsidTr="00CE7ACC">
        <w:trPr>
          <w:cnfStyle w:val="100000000000" w:firstRow="1" w:lastRow="0" w:firstColumn="0" w:lastColumn="0" w:oddVBand="0" w:evenVBand="0" w:oddHBand="0" w:evenHBand="0" w:firstRowFirstColumn="0" w:firstRowLastColumn="0" w:lastRowFirstColumn="0" w:lastRowLastColumn="0"/>
          <w:trHeight w:val="312"/>
          <w:tblHeader/>
        </w:trPr>
        <w:tc>
          <w:tcPr>
            <w:cnfStyle w:val="001000000000" w:firstRow="0" w:lastRow="0" w:firstColumn="1" w:lastColumn="0" w:oddVBand="0" w:evenVBand="0" w:oddHBand="0" w:evenHBand="0" w:firstRowFirstColumn="0" w:firstRowLastColumn="0" w:lastRowFirstColumn="0" w:lastRowLastColumn="0"/>
            <w:tcW w:w="4820" w:type="dxa"/>
            <w:noWrap/>
            <w:vAlign w:val="center"/>
            <w:hideMark/>
          </w:tcPr>
          <w:p w14:paraId="459C2C1E" w14:textId="77777777" w:rsidR="00536AE8" w:rsidRPr="002F1B52" w:rsidRDefault="00536AE8" w:rsidP="008A5E68">
            <w:pPr>
              <w:widowControl/>
              <w:autoSpaceDE/>
              <w:autoSpaceDN/>
              <w:adjustRightInd/>
              <w:rPr>
                <w:rFonts w:ascii="Arial" w:hAnsi="Arial" w:cs="Arial"/>
                <w:b w:val="0"/>
                <w:bCs w:val="0"/>
                <w:i/>
                <w:iCs/>
                <w:color w:val="000000"/>
                <w:szCs w:val="20"/>
              </w:rPr>
            </w:pPr>
            <w:r w:rsidRPr="002F1B52">
              <w:rPr>
                <w:rFonts w:ascii="Arial" w:hAnsi="Arial" w:cs="Arial"/>
                <w:b w:val="0"/>
                <w:bCs w:val="0"/>
                <w:i/>
                <w:iCs/>
                <w:color w:val="000000"/>
                <w:szCs w:val="20"/>
              </w:rPr>
              <w:t xml:space="preserve">Sphyrna </w:t>
            </w:r>
            <w:proofErr w:type="spellStart"/>
            <w:r w:rsidRPr="002F1B52">
              <w:rPr>
                <w:rFonts w:ascii="Arial" w:hAnsi="Arial" w:cs="Arial"/>
                <w:b w:val="0"/>
                <w:bCs w:val="0"/>
                <w:i/>
                <w:iCs/>
                <w:color w:val="000000"/>
                <w:szCs w:val="20"/>
              </w:rPr>
              <w:t>zygaena</w:t>
            </w:r>
            <w:proofErr w:type="spellEnd"/>
          </w:p>
        </w:tc>
        <w:tc>
          <w:tcPr>
            <w:tcW w:w="3968" w:type="dxa"/>
            <w:noWrap/>
            <w:vAlign w:val="center"/>
            <w:hideMark/>
          </w:tcPr>
          <w:p w14:paraId="13554515" w14:textId="77777777" w:rsidR="00536AE8" w:rsidRPr="002F1B52" w:rsidRDefault="00536AE8" w:rsidP="008A5E68">
            <w:pPr>
              <w:widowControl/>
              <w:autoSpaceDE/>
              <w:autoSpaceDN/>
              <w:adjustRightInd/>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szCs w:val="20"/>
                <w:lang w:val="fr-FR"/>
              </w:rPr>
            </w:pPr>
            <w:r w:rsidRPr="002F1B52">
              <w:rPr>
                <w:rFonts w:ascii="Arial" w:hAnsi="Arial" w:cs="Arial"/>
                <w:b w:val="0"/>
                <w:bCs w:val="0"/>
                <w:color w:val="000000"/>
                <w:szCs w:val="20"/>
                <w:lang w:val="fr-FR"/>
              </w:rPr>
              <w:t>Requin-marteau commun</w:t>
            </w:r>
          </w:p>
        </w:tc>
      </w:tr>
    </w:tbl>
    <w:p w14:paraId="4DDB1A10" w14:textId="77777777" w:rsidR="00536AE8" w:rsidRPr="00536AE8" w:rsidRDefault="00536AE8" w:rsidP="00536AE8">
      <w:pPr>
        <w:jc w:val="both"/>
        <w:rPr>
          <w:rFonts w:ascii="Arial" w:hAnsi="Arial" w:cs="Arial"/>
          <w:bCs/>
          <w:sz w:val="22"/>
          <w:szCs w:val="22"/>
          <w:lang w:val="fr-FR"/>
        </w:rPr>
      </w:pPr>
    </w:p>
    <w:p w14:paraId="6F855B49" w14:textId="64F73679" w:rsidR="00536AE8" w:rsidRDefault="00536AE8" w:rsidP="002F1B52">
      <w:pPr>
        <w:ind w:left="567" w:hanging="567"/>
        <w:jc w:val="both"/>
        <w:rPr>
          <w:rFonts w:ascii="Arial" w:hAnsi="Arial" w:cs="Arial"/>
          <w:bCs/>
          <w:sz w:val="22"/>
          <w:szCs w:val="22"/>
          <w:lang w:val="fr-FR"/>
        </w:rPr>
      </w:pPr>
      <w:r w:rsidRPr="00536AE8">
        <w:rPr>
          <w:rFonts w:ascii="Arial" w:hAnsi="Arial" w:cs="Arial"/>
          <w:bCs/>
          <w:sz w:val="22"/>
          <w:szCs w:val="22"/>
          <w:lang w:val="fr-FR"/>
        </w:rPr>
        <w:t>7.</w:t>
      </w:r>
      <w:r w:rsidRPr="00536AE8">
        <w:rPr>
          <w:rFonts w:ascii="Arial" w:hAnsi="Arial" w:cs="Arial"/>
          <w:bCs/>
          <w:sz w:val="22"/>
          <w:szCs w:val="22"/>
          <w:lang w:val="fr-FR"/>
        </w:rPr>
        <w:tab/>
        <w:t>Hormis quelques règlements nationaux de reconstitution et de gestion des pêches applicables à certaines espèces, il n’existe aucun plan de conservation officiel pour la majorité des espèces de requins et de raies pélagiques en danger. Par conséquent, une stratégie de conservation</w:t>
      </w:r>
      <w:r w:rsidR="007D4F41" w:rsidRPr="00CE7ACC">
        <w:rPr>
          <w:lang w:val="fr-FR"/>
        </w:rPr>
        <w:t xml:space="preserve"> </w:t>
      </w:r>
      <w:r w:rsidR="007D4F41" w:rsidRPr="002F1B52">
        <w:rPr>
          <w:rFonts w:ascii="Arial" w:hAnsi="Arial" w:cs="Arial"/>
          <w:bCs/>
          <w:iCs/>
          <w:sz w:val="22"/>
          <w:szCs w:val="22"/>
          <w:lang w:val="fr-FR"/>
        </w:rPr>
        <w:t>mondiale</w:t>
      </w:r>
      <w:r w:rsidRPr="00536AE8">
        <w:rPr>
          <w:rFonts w:ascii="Arial" w:hAnsi="Arial" w:cs="Arial"/>
          <w:bCs/>
          <w:sz w:val="22"/>
          <w:szCs w:val="22"/>
          <w:lang w:val="fr-FR"/>
        </w:rPr>
        <w:t xml:space="preserve"> et des plans d’action régionaux pour ces espèces pourraient combler cette lacune et servir d’information et d’orientation essentielles aux </w:t>
      </w:r>
      <w:r w:rsidRPr="00536AE8">
        <w:rPr>
          <w:rFonts w:ascii="Arial" w:hAnsi="Arial" w:cs="Arial"/>
          <w:bCs/>
          <w:sz w:val="22"/>
          <w:szCs w:val="22"/>
          <w:lang w:val="fr-FR"/>
        </w:rPr>
        <w:lastRenderedPageBreak/>
        <w:t>organismes publics et aux ORGP.</w:t>
      </w:r>
    </w:p>
    <w:p w14:paraId="218685AA" w14:textId="77777777" w:rsidR="002F1B52" w:rsidRPr="002F1B52" w:rsidRDefault="002F1B52" w:rsidP="002F1B52">
      <w:pPr>
        <w:ind w:left="567" w:hanging="567"/>
        <w:rPr>
          <w:rFonts w:ascii="Arial" w:hAnsi="Arial" w:cs="Arial"/>
          <w:b/>
          <w:iCs/>
          <w:sz w:val="22"/>
          <w:szCs w:val="22"/>
          <w:lang w:val="fr-FR"/>
        </w:rPr>
      </w:pPr>
    </w:p>
    <w:p w14:paraId="1744C918" w14:textId="742A9AEE" w:rsidR="002F1B52" w:rsidRPr="002F1B52" w:rsidRDefault="002F1B52" w:rsidP="002F1B52">
      <w:pPr>
        <w:ind w:left="567" w:hanging="567"/>
        <w:rPr>
          <w:rFonts w:ascii="Arial" w:hAnsi="Arial" w:cs="Arial"/>
          <w:b/>
          <w:iCs/>
          <w:sz w:val="22"/>
          <w:szCs w:val="22"/>
          <w:lang w:val="fr-FR"/>
        </w:rPr>
      </w:pPr>
      <w:r w:rsidRPr="002F1B52">
        <w:rPr>
          <w:rFonts w:ascii="Arial" w:hAnsi="Arial" w:cs="Arial"/>
          <w:b/>
          <w:iCs/>
          <w:sz w:val="22"/>
          <w:szCs w:val="22"/>
          <w:lang w:val="fr-FR"/>
        </w:rPr>
        <w:t xml:space="preserve">Mandats du </w:t>
      </w:r>
      <w:proofErr w:type="spellStart"/>
      <w:r w:rsidRPr="002F1B52">
        <w:rPr>
          <w:rFonts w:ascii="Arial" w:hAnsi="Arial" w:cs="Arial"/>
          <w:b/>
          <w:iCs/>
          <w:sz w:val="22"/>
          <w:szCs w:val="22"/>
          <w:lang w:val="fr-FR"/>
        </w:rPr>
        <w:t>MdE</w:t>
      </w:r>
      <w:proofErr w:type="spellEnd"/>
    </w:p>
    <w:p w14:paraId="44E3523E" w14:textId="77777777" w:rsidR="002F1B52" w:rsidRPr="002F1B52" w:rsidRDefault="002F1B52" w:rsidP="002F1B52">
      <w:pPr>
        <w:ind w:left="567" w:hanging="567"/>
        <w:rPr>
          <w:rFonts w:ascii="Arial" w:hAnsi="Arial" w:cs="Arial"/>
          <w:bCs/>
          <w:iCs/>
          <w:sz w:val="22"/>
          <w:szCs w:val="22"/>
          <w:lang w:val="fr-FR"/>
        </w:rPr>
      </w:pPr>
    </w:p>
    <w:p w14:paraId="5569019A" w14:textId="6FBE2126" w:rsidR="002F1B52" w:rsidRPr="002F1B52" w:rsidRDefault="002F1B52" w:rsidP="002F1B52">
      <w:pPr>
        <w:pStyle w:val="ListParagraph"/>
        <w:numPr>
          <w:ilvl w:val="0"/>
          <w:numId w:val="4"/>
        </w:numPr>
        <w:spacing w:after="120"/>
        <w:contextualSpacing w:val="0"/>
        <w:jc w:val="both"/>
        <w:rPr>
          <w:rFonts w:ascii="Arial" w:hAnsi="Arial" w:cs="Arial"/>
          <w:bCs/>
          <w:iCs/>
          <w:sz w:val="22"/>
          <w:szCs w:val="22"/>
          <w:lang w:val="fr-FR"/>
        </w:rPr>
      </w:pPr>
      <w:r w:rsidRPr="002F1B52">
        <w:rPr>
          <w:rFonts w:ascii="Arial" w:hAnsi="Arial" w:cs="Arial"/>
          <w:bCs/>
          <w:iCs/>
          <w:sz w:val="22"/>
          <w:szCs w:val="22"/>
          <w:lang w:val="fr-FR"/>
        </w:rPr>
        <w:t xml:space="preserve">Le </w:t>
      </w:r>
      <w:proofErr w:type="spellStart"/>
      <w:r w:rsidRPr="002F1B52">
        <w:rPr>
          <w:rFonts w:ascii="Arial" w:hAnsi="Arial" w:cs="Arial"/>
          <w:bCs/>
          <w:iCs/>
          <w:sz w:val="22"/>
          <w:szCs w:val="22"/>
          <w:lang w:val="fr-FR"/>
        </w:rPr>
        <w:t>MdE</w:t>
      </w:r>
      <w:proofErr w:type="spellEnd"/>
      <w:r w:rsidRPr="002F1B52">
        <w:rPr>
          <w:rFonts w:ascii="Arial" w:hAnsi="Arial" w:cs="Arial"/>
          <w:bCs/>
          <w:iCs/>
          <w:sz w:val="22"/>
          <w:szCs w:val="22"/>
          <w:lang w:val="fr-FR"/>
        </w:rPr>
        <w:t xml:space="preserve"> requins comprend des mandats forts demandant l’amélioration de la collecte de données pour toutes les espèces énumérées en son Annexe 1 :</w:t>
      </w:r>
    </w:p>
    <w:p w14:paraId="1FA07DB0" w14:textId="71A5C51D" w:rsidR="002F1B52" w:rsidRPr="002F1B52" w:rsidRDefault="002F1B52" w:rsidP="002F1B52">
      <w:pPr>
        <w:pStyle w:val="ListParagraph"/>
        <w:numPr>
          <w:ilvl w:val="1"/>
          <w:numId w:val="4"/>
        </w:numPr>
        <w:spacing w:after="120"/>
        <w:ind w:left="993" w:hanging="426"/>
        <w:contextualSpacing w:val="0"/>
        <w:jc w:val="both"/>
        <w:rPr>
          <w:rFonts w:ascii="Arial" w:hAnsi="Arial" w:cs="Arial"/>
          <w:bCs/>
          <w:iCs/>
          <w:sz w:val="22"/>
          <w:szCs w:val="22"/>
          <w:lang w:val="fr-FR"/>
        </w:rPr>
      </w:pPr>
      <w:r w:rsidRPr="002F1B52">
        <w:rPr>
          <w:rFonts w:ascii="Arial" w:hAnsi="Arial" w:cs="Arial"/>
          <w:bCs/>
          <w:iCs/>
          <w:sz w:val="22"/>
          <w:szCs w:val="22"/>
          <w:lang w:val="fr-FR"/>
        </w:rPr>
        <w:t xml:space="preserve">Sur les 35 espèces valides qui figurent à l’Annexe 1 du </w:t>
      </w:r>
      <w:proofErr w:type="spellStart"/>
      <w:r w:rsidRPr="002F1B52">
        <w:rPr>
          <w:rFonts w:ascii="Arial" w:hAnsi="Arial" w:cs="Arial"/>
          <w:bCs/>
          <w:iCs/>
          <w:sz w:val="22"/>
          <w:szCs w:val="22"/>
          <w:lang w:val="fr-FR"/>
        </w:rPr>
        <w:t>MdE</w:t>
      </w:r>
      <w:proofErr w:type="spellEnd"/>
      <w:r w:rsidRPr="002F1B52">
        <w:rPr>
          <w:rFonts w:ascii="Arial" w:hAnsi="Arial" w:cs="Arial"/>
          <w:bCs/>
          <w:iCs/>
          <w:sz w:val="22"/>
          <w:szCs w:val="22"/>
          <w:lang w:val="fr-FR"/>
        </w:rPr>
        <w:t xml:space="preserve"> requins, 24 sont considérées comme des espèces pélagiques ou pélagiques côtières (voir tableau 1), et les 11 autres espèces valides sont considérées comme démersales.</w:t>
      </w:r>
    </w:p>
    <w:p w14:paraId="5A1B184A" w14:textId="46F71EB8" w:rsidR="002F1B52" w:rsidRPr="002F1B52" w:rsidRDefault="002F1B52" w:rsidP="002F1B52">
      <w:pPr>
        <w:pStyle w:val="ListParagraph"/>
        <w:numPr>
          <w:ilvl w:val="1"/>
          <w:numId w:val="4"/>
        </w:numPr>
        <w:spacing w:after="120"/>
        <w:ind w:left="993" w:hanging="426"/>
        <w:contextualSpacing w:val="0"/>
        <w:jc w:val="both"/>
        <w:rPr>
          <w:rFonts w:ascii="Arial" w:hAnsi="Arial" w:cs="Arial"/>
          <w:bCs/>
          <w:iCs/>
          <w:sz w:val="22"/>
          <w:szCs w:val="22"/>
          <w:lang w:val="fr-FR"/>
        </w:rPr>
      </w:pPr>
      <w:r w:rsidRPr="002F1B52">
        <w:rPr>
          <w:rFonts w:ascii="Arial" w:hAnsi="Arial" w:cs="Arial"/>
          <w:bCs/>
          <w:iCs/>
          <w:sz w:val="22"/>
          <w:szCs w:val="22"/>
          <w:lang w:val="fr-FR"/>
        </w:rPr>
        <w:t xml:space="preserve">L’activité 1.3 du Plan de conservation </w:t>
      </w:r>
      <w:hyperlink r:id="rId12" w:history="1">
        <w:r w:rsidRPr="002F1B52">
          <w:rPr>
            <w:rStyle w:val="Hyperlink"/>
            <w:rFonts w:ascii="Arial" w:hAnsi="Arial" w:cs="Arial"/>
            <w:bCs/>
            <w:iCs/>
            <w:sz w:val="22"/>
            <w:szCs w:val="22"/>
            <w:lang w:val="fr-FR"/>
          </w:rPr>
          <w:t xml:space="preserve">(Annexe 3 du </w:t>
        </w:r>
        <w:proofErr w:type="spellStart"/>
        <w:r w:rsidRPr="002F1B52">
          <w:rPr>
            <w:rStyle w:val="Hyperlink"/>
            <w:rFonts w:ascii="Arial" w:hAnsi="Arial" w:cs="Arial"/>
            <w:bCs/>
            <w:iCs/>
            <w:sz w:val="22"/>
            <w:szCs w:val="22"/>
            <w:lang w:val="fr-FR"/>
          </w:rPr>
          <w:t>MdE</w:t>
        </w:r>
        <w:proofErr w:type="spellEnd"/>
        <w:r w:rsidRPr="002F1B52">
          <w:rPr>
            <w:rStyle w:val="Hyperlink"/>
            <w:rFonts w:ascii="Arial" w:hAnsi="Arial" w:cs="Arial"/>
            <w:bCs/>
            <w:iCs/>
            <w:sz w:val="22"/>
            <w:szCs w:val="22"/>
            <w:lang w:val="fr-FR"/>
          </w:rPr>
          <w:t xml:space="preserve"> requins)</w:t>
        </w:r>
      </w:hyperlink>
      <w:r w:rsidRPr="002F1B52">
        <w:rPr>
          <w:rFonts w:ascii="Arial" w:hAnsi="Arial" w:cs="Arial"/>
          <w:bCs/>
          <w:iCs/>
          <w:sz w:val="22"/>
          <w:szCs w:val="22"/>
          <w:lang w:val="fr-FR"/>
        </w:rPr>
        <w:t xml:space="preserve"> demande aux signataires de « compiler les données pertinentes, améliorer les connaissances écologiques et mener des études initiales ».</w:t>
      </w:r>
    </w:p>
    <w:p w14:paraId="2AFC75E9" w14:textId="2B7A54E8" w:rsidR="002F1B52" w:rsidRPr="002F1B52" w:rsidRDefault="002F1B52" w:rsidP="002F1B52">
      <w:pPr>
        <w:pStyle w:val="ListParagraph"/>
        <w:numPr>
          <w:ilvl w:val="1"/>
          <w:numId w:val="4"/>
        </w:numPr>
        <w:spacing w:after="120"/>
        <w:ind w:left="993" w:hanging="426"/>
        <w:contextualSpacing w:val="0"/>
        <w:jc w:val="both"/>
        <w:rPr>
          <w:rFonts w:ascii="Arial" w:hAnsi="Arial" w:cs="Arial"/>
          <w:bCs/>
          <w:iCs/>
          <w:sz w:val="22"/>
          <w:szCs w:val="22"/>
          <w:lang w:val="fr-FR"/>
        </w:rPr>
      </w:pPr>
      <w:r w:rsidRPr="002F1B52">
        <w:rPr>
          <w:rFonts w:ascii="Arial" w:hAnsi="Arial" w:cs="Arial"/>
          <w:bCs/>
          <w:iCs/>
          <w:sz w:val="22"/>
          <w:szCs w:val="22"/>
          <w:lang w:val="fr-FR"/>
        </w:rPr>
        <w:t xml:space="preserve">L’activité 3.2 du </w:t>
      </w:r>
      <w:hyperlink r:id="rId13" w:history="1">
        <w:r w:rsidRPr="002F1B52">
          <w:rPr>
            <w:rStyle w:val="Hyperlink"/>
            <w:rFonts w:ascii="Arial" w:hAnsi="Arial" w:cs="Arial"/>
            <w:bCs/>
            <w:iCs/>
            <w:sz w:val="22"/>
            <w:szCs w:val="22"/>
            <w:lang w:val="fr-FR"/>
          </w:rPr>
          <w:t>plan de conservation</w:t>
        </w:r>
      </w:hyperlink>
      <w:r w:rsidRPr="002F1B52">
        <w:rPr>
          <w:rFonts w:ascii="Arial" w:hAnsi="Arial" w:cs="Arial"/>
          <w:bCs/>
          <w:iCs/>
          <w:sz w:val="22"/>
          <w:szCs w:val="22"/>
          <w:lang w:val="fr-FR"/>
        </w:rPr>
        <w:t xml:space="preserve"> demande aux signataires de « Mettre en place des programmes pour définir des données de référence et faciliter les rapports au niveau de chaque espèce sur : les taux de capture de requins, le volume des prises accidentelles et ciblées, le volume des déchets et rejets ».</w:t>
      </w:r>
    </w:p>
    <w:p w14:paraId="324442A3" w14:textId="77777777" w:rsidR="002F1B52" w:rsidRPr="002F1B52" w:rsidRDefault="002F1B52" w:rsidP="002F1B52">
      <w:pPr>
        <w:pStyle w:val="ListParagraph"/>
        <w:numPr>
          <w:ilvl w:val="1"/>
          <w:numId w:val="4"/>
        </w:numPr>
        <w:ind w:left="993" w:hanging="426"/>
        <w:jc w:val="both"/>
        <w:rPr>
          <w:rFonts w:ascii="Arial" w:hAnsi="Arial" w:cs="Arial"/>
          <w:bCs/>
          <w:iCs/>
          <w:sz w:val="22"/>
          <w:szCs w:val="22"/>
          <w:lang w:val="fr-FR"/>
        </w:rPr>
      </w:pPr>
      <w:r w:rsidRPr="002F1B52">
        <w:rPr>
          <w:rFonts w:ascii="Arial" w:hAnsi="Arial" w:cs="Arial"/>
          <w:bCs/>
          <w:iCs/>
          <w:sz w:val="22"/>
          <w:szCs w:val="22"/>
          <w:lang w:val="fr-FR"/>
        </w:rPr>
        <w:t xml:space="preserve">En outre, l’initiative répond au programme de travail </w:t>
      </w:r>
      <w:hyperlink r:id="rId14" w:history="1">
        <w:r w:rsidRPr="002F1B52">
          <w:rPr>
            <w:rStyle w:val="Hyperlink"/>
            <w:rFonts w:ascii="Arial" w:hAnsi="Arial" w:cs="Arial"/>
            <w:bCs/>
            <w:iCs/>
            <w:sz w:val="22"/>
            <w:szCs w:val="22"/>
            <w:lang w:val="fr-FR"/>
          </w:rPr>
          <w:t>(2019 – 2021)</w:t>
        </w:r>
      </w:hyperlink>
      <w:r w:rsidRPr="002F1B52">
        <w:rPr>
          <w:rFonts w:ascii="Arial" w:hAnsi="Arial" w:cs="Arial"/>
          <w:bCs/>
          <w:iCs/>
          <w:sz w:val="22"/>
          <w:szCs w:val="22"/>
          <w:lang w:val="fr-FR"/>
        </w:rPr>
        <w:t xml:space="preserve"> Nº16 qui vise à « assurer une liaison avec le Groupe des spécialistes des requins de l’UICN et participer aux ateliers d’évaluation et de planification de la conservation, le cas échéant ».</w:t>
      </w:r>
    </w:p>
    <w:p w14:paraId="7FBD3CA1" w14:textId="77777777" w:rsidR="002F1B52" w:rsidRPr="002F1B52" w:rsidRDefault="002F1B52" w:rsidP="002F1B52">
      <w:pPr>
        <w:pStyle w:val="ListParagraph"/>
        <w:ind w:left="567" w:hanging="567"/>
        <w:rPr>
          <w:rFonts w:ascii="Arial" w:hAnsi="Arial" w:cs="Arial"/>
          <w:bCs/>
          <w:iCs/>
          <w:sz w:val="22"/>
          <w:szCs w:val="22"/>
          <w:lang w:val="fr-FR"/>
        </w:rPr>
      </w:pPr>
    </w:p>
    <w:p w14:paraId="19CBEF64" w14:textId="0E24653F" w:rsidR="002F1B52" w:rsidRPr="002F1B52" w:rsidRDefault="002F1B52" w:rsidP="002F1B52">
      <w:pPr>
        <w:jc w:val="both"/>
        <w:rPr>
          <w:rFonts w:ascii="Arial" w:hAnsi="Arial" w:cs="Arial"/>
          <w:b/>
          <w:iCs/>
          <w:sz w:val="22"/>
          <w:szCs w:val="22"/>
          <w:lang w:val="fr-FR"/>
        </w:rPr>
      </w:pPr>
      <w:r w:rsidRPr="002F1B52">
        <w:rPr>
          <w:rFonts w:ascii="Arial" w:hAnsi="Arial" w:cs="Arial"/>
          <w:b/>
          <w:iCs/>
          <w:sz w:val="22"/>
          <w:szCs w:val="22"/>
          <w:lang w:val="fr-FR"/>
        </w:rPr>
        <w:t>Stratégie de conservation et plans d’action régionaux pour les requins et les raies</w:t>
      </w:r>
      <w:r>
        <w:rPr>
          <w:rFonts w:ascii="Arial" w:hAnsi="Arial" w:cs="Arial"/>
          <w:b/>
          <w:iCs/>
          <w:sz w:val="22"/>
          <w:szCs w:val="22"/>
          <w:lang w:val="fr-FR"/>
        </w:rPr>
        <w:t xml:space="preserve"> </w:t>
      </w:r>
      <w:r w:rsidRPr="002F1B52">
        <w:rPr>
          <w:rFonts w:ascii="Arial" w:hAnsi="Arial" w:cs="Arial"/>
          <w:b/>
          <w:iCs/>
          <w:sz w:val="22"/>
          <w:szCs w:val="22"/>
          <w:lang w:val="fr-FR"/>
        </w:rPr>
        <w:t>pélagiques</w:t>
      </w:r>
    </w:p>
    <w:p w14:paraId="3FAB8F64" w14:textId="77777777" w:rsidR="002F1B52" w:rsidRPr="002F1B52" w:rsidRDefault="002F1B52" w:rsidP="002F1B52">
      <w:pPr>
        <w:rPr>
          <w:rFonts w:ascii="Arial" w:hAnsi="Arial" w:cs="Arial"/>
          <w:bCs/>
          <w:iCs/>
          <w:sz w:val="22"/>
          <w:szCs w:val="22"/>
          <w:highlight w:val="yellow"/>
          <w:lang w:val="fr-FR"/>
        </w:rPr>
      </w:pPr>
    </w:p>
    <w:p w14:paraId="33A8D4C8" w14:textId="77777777" w:rsidR="002F1B52" w:rsidRPr="002F1B52" w:rsidRDefault="002F1B52" w:rsidP="002F1B52">
      <w:pPr>
        <w:pStyle w:val="ListParagraph"/>
        <w:numPr>
          <w:ilvl w:val="0"/>
          <w:numId w:val="4"/>
        </w:numPr>
        <w:ind w:left="567" w:hanging="567"/>
        <w:jc w:val="both"/>
        <w:rPr>
          <w:rFonts w:ascii="Arial" w:hAnsi="Arial" w:cs="Arial"/>
          <w:bCs/>
          <w:iCs/>
          <w:sz w:val="22"/>
          <w:szCs w:val="22"/>
          <w:lang w:val="fr-FR"/>
        </w:rPr>
      </w:pPr>
      <w:r w:rsidRPr="002F1B52">
        <w:rPr>
          <w:rFonts w:ascii="Arial" w:hAnsi="Arial" w:cs="Arial"/>
          <w:bCs/>
          <w:iCs/>
          <w:sz w:val="22"/>
          <w:szCs w:val="22"/>
          <w:lang w:val="fr-FR"/>
        </w:rPr>
        <w:t>L’objectif de la planification de la conservation des espèces est d’accroître l’efficacité des actions en veillant à ce qu’elles soient fondées sur une analyse approfondie des informations disponibles, sur des objectifs bien définis et réalisables, sur l’intégration de points de vue multiples et sur un accord entre les parties concernées sur ce qu’il convient de faire.</w:t>
      </w:r>
    </w:p>
    <w:p w14:paraId="6EF7D43F" w14:textId="77777777" w:rsidR="002F1B52" w:rsidRPr="002F1B52" w:rsidRDefault="002F1B52" w:rsidP="002F1B52">
      <w:pPr>
        <w:pStyle w:val="ListParagraph"/>
        <w:ind w:left="567" w:hanging="567"/>
        <w:jc w:val="both"/>
        <w:rPr>
          <w:rFonts w:ascii="Arial" w:hAnsi="Arial" w:cs="Arial"/>
          <w:bCs/>
          <w:iCs/>
          <w:sz w:val="22"/>
          <w:szCs w:val="22"/>
          <w:lang w:val="fr-FR"/>
        </w:rPr>
      </w:pPr>
    </w:p>
    <w:p w14:paraId="34965BB0" w14:textId="5B87DA1E" w:rsidR="002F1B52" w:rsidRPr="002F1B52" w:rsidRDefault="002F1B52" w:rsidP="002F1B52">
      <w:pPr>
        <w:pStyle w:val="ListParagraph"/>
        <w:numPr>
          <w:ilvl w:val="0"/>
          <w:numId w:val="4"/>
        </w:numPr>
        <w:ind w:left="567" w:hanging="567"/>
        <w:jc w:val="both"/>
        <w:rPr>
          <w:rFonts w:ascii="Arial" w:hAnsi="Arial" w:cs="Arial"/>
          <w:bCs/>
          <w:iCs/>
          <w:sz w:val="22"/>
          <w:szCs w:val="22"/>
          <w:lang w:val="fr-FR"/>
        </w:rPr>
      </w:pPr>
      <w:r w:rsidRPr="002F1B52">
        <w:rPr>
          <w:rFonts w:ascii="Arial" w:hAnsi="Arial" w:cs="Arial"/>
          <w:bCs/>
          <w:iCs/>
          <w:sz w:val="22"/>
          <w:szCs w:val="22"/>
          <w:lang w:val="fr-FR"/>
        </w:rPr>
        <w:t>L’élaboration d’une stratégie de conservation</w:t>
      </w:r>
      <w:r w:rsidR="007D4F41">
        <w:rPr>
          <w:rFonts w:ascii="Arial" w:hAnsi="Arial" w:cs="Arial"/>
          <w:bCs/>
          <w:iCs/>
          <w:sz w:val="22"/>
          <w:szCs w:val="22"/>
          <w:lang w:val="fr-FR"/>
        </w:rPr>
        <w:t xml:space="preserve"> </w:t>
      </w:r>
      <w:r w:rsidR="007D4F41" w:rsidRPr="002F1B52">
        <w:rPr>
          <w:rFonts w:ascii="Arial" w:hAnsi="Arial" w:cs="Arial"/>
          <w:bCs/>
          <w:iCs/>
          <w:sz w:val="22"/>
          <w:szCs w:val="22"/>
          <w:lang w:val="fr-FR"/>
        </w:rPr>
        <w:t>mondiale</w:t>
      </w:r>
      <w:r w:rsidRPr="002F1B52">
        <w:rPr>
          <w:rFonts w:ascii="Arial" w:hAnsi="Arial" w:cs="Arial"/>
          <w:bCs/>
          <w:iCs/>
          <w:sz w:val="22"/>
          <w:szCs w:val="22"/>
          <w:lang w:val="fr-FR"/>
        </w:rPr>
        <w:t xml:space="preserve"> et de plans d’action régionaux sera entreprise en coopération </w:t>
      </w:r>
      <w:r w:rsidRPr="005D72F1">
        <w:rPr>
          <w:rFonts w:ascii="Arial" w:hAnsi="Arial" w:cs="Arial"/>
          <w:bCs/>
          <w:iCs/>
          <w:sz w:val="22"/>
          <w:szCs w:val="22"/>
          <w:lang w:val="fr-FR"/>
        </w:rPr>
        <w:t>avec</w:t>
      </w:r>
      <w:r w:rsidRPr="005D72F1">
        <w:rPr>
          <w:rFonts w:ascii="Arial" w:hAnsi="Arial" w:cs="Arial"/>
          <w:bCs/>
          <w:iCs/>
          <w:sz w:val="22"/>
          <w:szCs w:val="22"/>
          <w:u w:val="single"/>
          <w:lang w:val="fr-FR"/>
        </w:rPr>
        <w:t xml:space="preserve"> </w:t>
      </w:r>
      <w:r w:rsidR="005D72F1" w:rsidRPr="005D72F1">
        <w:rPr>
          <w:rFonts w:ascii="Arial" w:hAnsi="Arial" w:cs="Arial"/>
          <w:bCs/>
          <w:iCs/>
          <w:sz w:val="22"/>
          <w:szCs w:val="22"/>
          <w:u w:val="single"/>
          <w:lang w:val="fr-FR"/>
        </w:rPr>
        <w:t>les partenaires pertinents, y compris les ORGP</w:t>
      </w:r>
      <w:r w:rsidR="005D72F1">
        <w:rPr>
          <w:rFonts w:ascii="Arial" w:hAnsi="Arial" w:cs="Arial"/>
          <w:bCs/>
          <w:iCs/>
          <w:sz w:val="22"/>
          <w:szCs w:val="22"/>
          <w:lang w:val="fr-FR"/>
        </w:rPr>
        <w:t xml:space="preserve">, </w:t>
      </w:r>
      <w:r w:rsidRPr="002F1B52">
        <w:rPr>
          <w:rFonts w:ascii="Arial" w:hAnsi="Arial" w:cs="Arial"/>
          <w:bCs/>
          <w:iCs/>
          <w:sz w:val="22"/>
          <w:szCs w:val="22"/>
          <w:lang w:val="fr-FR"/>
        </w:rPr>
        <w:t>le Groupe de spécialistes de la planification de la conservation de la CSE de l’UICN, qui dirige et soutient la planification de la conservation des espèces au sein de la CSE. Son approche de la planification est profondément ancrée dans un ensemble de principes qui mettent l’accent sur une science solide et la participation significative des principales parties prenantes. Ces principes servent de guide pour une série d’étapes de planification qui continuent à évoluer en réponse à la complexité croissante des défis actuels de la conservation de la vie sauvage. Pris ensemble, ces principes et étapes sont des éléments importants dans le développement et la mise en œuvre de plans de conservation des espèces efficaces.</w:t>
      </w:r>
      <w:r w:rsidRPr="002F1B52">
        <w:rPr>
          <w:rFonts w:ascii="Arial" w:hAnsi="Arial" w:cs="Arial"/>
          <w:sz w:val="22"/>
          <w:szCs w:val="22"/>
          <w:lang w:val="fr-FR"/>
        </w:rPr>
        <w:t xml:space="preserve"> </w:t>
      </w:r>
    </w:p>
    <w:p w14:paraId="074850DF" w14:textId="77777777" w:rsidR="002F1B52" w:rsidRPr="002F1B52" w:rsidRDefault="002F1B52" w:rsidP="002F1B52">
      <w:pPr>
        <w:pStyle w:val="ListParagraph"/>
        <w:ind w:left="567" w:hanging="567"/>
        <w:rPr>
          <w:rFonts w:ascii="Arial" w:hAnsi="Arial" w:cs="Arial"/>
          <w:bCs/>
          <w:iCs/>
          <w:sz w:val="22"/>
          <w:szCs w:val="22"/>
          <w:lang w:val="fr-FR"/>
        </w:rPr>
      </w:pPr>
    </w:p>
    <w:p w14:paraId="7C533DFF" w14:textId="77777777" w:rsidR="002F1B52" w:rsidRPr="002F1B52" w:rsidRDefault="002F1B52" w:rsidP="002F1B52">
      <w:pPr>
        <w:pStyle w:val="ListParagraph"/>
        <w:numPr>
          <w:ilvl w:val="0"/>
          <w:numId w:val="4"/>
        </w:numPr>
        <w:ind w:left="567" w:hanging="567"/>
        <w:jc w:val="both"/>
        <w:rPr>
          <w:rFonts w:ascii="Arial" w:hAnsi="Arial" w:cs="Arial"/>
          <w:bCs/>
          <w:iCs/>
          <w:sz w:val="22"/>
          <w:szCs w:val="22"/>
          <w:lang w:val="fr-FR"/>
        </w:rPr>
      </w:pPr>
      <w:r w:rsidRPr="002F1B52">
        <w:rPr>
          <w:rFonts w:ascii="Arial" w:hAnsi="Arial" w:cs="Arial"/>
          <w:bCs/>
          <w:iCs/>
          <w:sz w:val="22"/>
          <w:szCs w:val="22"/>
          <w:lang w:val="fr-FR"/>
        </w:rPr>
        <w:t>Comme la plupart des ORGP ont peu de règlements de gestion pour nombre des espèces inscrites à l’Annexe 1, les organismes publics se retrouvent souvent sans orientation pour gérer les pêcheries qui interagissent avec les espèces inscrites à l’Annexe 1 et pour conserver ces espèces. En outre, hormis quelques règlements nationaux de reconstitution et de gestion des pêches applicables à certaines espèces, il n’existe aucun plan de conservation officiel pour la majorité des espèces de requins et de raies pélagiques en danger.</w:t>
      </w:r>
    </w:p>
    <w:p w14:paraId="207E4850" w14:textId="77777777" w:rsidR="002F1B52" w:rsidRPr="002F1B52" w:rsidRDefault="002F1B52" w:rsidP="002F1B52">
      <w:pPr>
        <w:pStyle w:val="ListParagraph"/>
        <w:ind w:left="567" w:hanging="567"/>
        <w:rPr>
          <w:rFonts w:ascii="Arial" w:hAnsi="Arial" w:cs="Arial"/>
          <w:bCs/>
          <w:iCs/>
          <w:sz w:val="22"/>
          <w:szCs w:val="22"/>
          <w:lang w:val="fr-FR"/>
        </w:rPr>
      </w:pPr>
    </w:p>
    <w:p w14:paraId="27A8F576" w14:textId="77777777" w:rsidR="002F1B52" w:rsidRPr="002F1B52" w:rsidRDefault="002F1B52" w:rsidP="002F1B52">
      <w:pPr>
        <w:pStyle w:val="ListParagraph"/>
        <w:numPr>
          <w:ilvl w:val="0"/>
          <w:numId w:val="4"/>
        </w:numPr>
        <w:ind w:left="567" w:hanging="567"/>
        <w:jc w:val="both"/>
        <w:rPr>
          <w:rFonts w:ascii="Arial" w:hAnsi="Arial" w:cs="Arial"/>
          <w:bCs/>
          <w:iCs/>
          <w:sz w:val="22"/>
          <w:szCs w:val="22"/>
          <w:lang w:val="fr-FR"/>
        </w:rPr>
      </w:pPr>
      <w:r w:rsidRPr="002F1B52">
        <w:rPr>
          <w:rFonts w:ascii="Arial" w:hAnsi="Arial" w:cs="Arial"/>
          <w:bCs/>
          <w:iCs/>
          <w:sz w:val="22"/>
          <w:szCs w:val="22"/>
          <w:lang w:val="fr-FR"/>
        </w:rPr>
        <w:lastRenderedPageBreak/>
        <w:t>Par conséquent, une stratégie mondiale de conservation et un plan d’action régional pour les espèces pélagiques pourraient combler cette lacune et servir d’informations et d’orientations essentielles aux organismes publics et à la communauté internationale des pêcheurs.</w:t>
      </w:r>
    </w:p>
    <w:p w14:paraId="17DD85E3" w14:textId="77777777" w:rsidR="002F1B52" w:rsidRPr="002F1B52" w:rsidRDefault="002F1B52" w:rsidP="002F1B52">
      <w:pPr>
        <w:pStyle w:val="ListParagraph"/>
        <w:ind w:left="567" w:hanging="567"/>
        <w:rPr>
          <w:rFonts w:ascii="Arial" w:hAnsi="Arial" w:cs="Arial"/>
          <w:bCs/>
          <w:iCs/>
          <w:sz w:val="22"/>
          <w:szCs w:val="22"/>
          <w:lang w:val="fr-FR"/>
        </w:rPr>
      </w:pPr>
    </w:p>
    <w:p w14:paraId="28661D06" w14:textId="4BAAB708" w:rsidR="002F1B52" w:rsidRPr="002F1B52" w:rsidRDefault="002F1B52" w:rsidP="002F1B52">
      <w:pPr>
        <w:pStyle w:val="ListParagraph"/>
        <w:numPr>
          <w:ilvl w:val="0"/>
          <w:numId w:val="4"/>
        </w:numPr>
        <w:ind w:left="567" w:hanging="567"/>
        <w:jc w:val="both"/>
        <w:rPr>
          <w:rFonts w:ascii="Arial" w:hAnsi="Arial" w:cs="Arial"/>
          <w:bCs/>
          <w:iCs/>
          <w:sz w:val="22"/>
          <w:szCs w:val="22"/>
          <w:lang w:val="fr-FR"/>
        </w:rPr>
      </w:pPr>
      <w:r w:rsidRPr="002F1B52">
        <w:rPr>
          <w:rFonts w:ascii="Arial" w:hAnsi="Arial" w:cs="Arial"/>
          <w:bCs/>
          <w:iCs/>
          <w:sz w:val="22"/>
          <w:szCs w:val="22"/>
          <w:lang w:val="fr-FR"/>
        </w:rPr>
        <w:t>Avec le soutien financier du Ministère fédéral allemand de l’environnement, de la conservation de la nature, de la sécurité nucléaire et de la protection des consommateurs</w:t>
      </w:r>
      <w:r w:rsidR="007D4F41">
        <w:rPr>
          <w:rFonts w:ascii="Arial" w:hAnsi="Arial" w:cs="Arial"/>
          <w:bCs/>
          <w:iCs/>
          <w:sz w:val="22"/>
          <w:szCs w:val="22"/>
          <w:lang w:val="fr-FR"/>
        </w:rPr>
        <w:t xml:space="preserve"> </w:t>
      </w:r>
      <w:r w:rsidR="007D4F41" w:rsidRPr="007D4F41">
        <w:rPr>
          <w:rFonts w:ascii="Arial" w:hAnsi="Arial" w:cs="Arial"/>
          <w:bCs/>
          <w:iCs/>
          <w:sz w:val="22"/>
          <w:szCs w:val="22"/>
          <w:lang w:val="fr-FR"/>
        </w:rPr>
        <w:t xml:space="preserve">et la Principauté de Monaco, </w:t>
      </w:r>
      <w:r w:rsidRPr="002F1B52">
        <w:rPr>
          <w:rFonts w:ascii="Arial" w:hAnsi="Arial" w:cs="Arial"/>
          <w:bCs/>
          <w:iCs/>
          <w:sz w:val="22"/>
          <w:szCs w:val="22"/>
          <w:lang w:val="fr-FR"/>
        </w:rPr>
        <w:t>le Groupe de spécialistes des requins de la CSE de l’UICN, en collaboration avec le Groupe de spécialistes de la planification de la conservation de la CSE, a déjà entrepris les premières étapes de l’élaboration d</w:t>
      </w:r>
      <w:r w:rsidR="007D4F41">
        <w:rPr>
          <w:rFonts w:ascii="Arial" w:hAnsi="Arial" w:cs="Arial"/>
          <w:bCs/>
          <w:iCs/>
          <w:sz w:val="22"/>
          <w:szCs w:val="22"/>
          <w:lang w:val="fr-FR"/>
        </w:rPr>
        <w:t xml:space="preserve">e la </w:t>
      </w:r>
      <w:r w:rsidR="007D4F41" w:rsidRPr="002F1B52">
        <w:rPr>
          <w:rFonts w:ascii="Arial" w:hAnsi="Arial" w:cs="Arial"/>
          <w:bCs/>
          <w:iCs/>
          <w:sz w:val="22"/>
          <w:szCs w:val="22"/>
          <w:lang w:val="fr-FR"/>
        </w:rPr>
        <w:t>stratégie</w:t>
      </w:r>
      <w:r w:rsidR="007D4F41" w:rsidRPr="002F1B52" w:rsidDel="007D4F41">
        <w:rPr>
          <w:rFonts w:ascii="Arial" w:hAnsi="Arial" w:cs="Arial"/>
          <w:bCs/>
          <w:iCs/>
          <w:sz w:val="22"/>
          <w:szCs w:val="22"/>
          <w:lang w:val="fr-FR"/>
        </w:rPr>
        <w:t xml:space="preserve"> </w:t>
      </w:r>
      <w:r w:rsidRPr="002F1B52">
        <w:rPr>
          <w:rFonts w:ascii="Arial" w:hAnsi="Arial" w:cs="Arial"/>
          <w:bCs/>
          <w:iCs/>
          <w:sz w:val="22"/>
          <w:szCs w:val="22"/>
          <w:lang w:val="fr-FR"/>
        </w:rPr>
        <w:t>de conservation</w:t>
      </w:r>
      <w:r w:rsidR="007D4F41">
        <w:rPr>
          <w:rFonts w:ascii="Arial" w:hAnsi="Arial" w:cs="Arial"/>
          <w:bCs/>
          <w:iCs/>
          <w:sz w:val="22"/>
          <w:szCs w:val="22"/>
          <w:lang w:val="fr-FR"/>
        </w:rPr>
        <w:t xml:space="preserve"> </w:t>
      </w:r>
      <w:r w:rsidR="007D4F41" w:rsidRPr="002F1B52">
        <w:rPr>
          <w:rFonts w:ascii="Arial" w:hAnsi="Arial" w:cs="Arial"/>
          <w:bCs/>
          <w:iCs/>
          <w:sz w:val="22"/>
          <w:szCs w:val="22"/>
          <w:lang w:val="fr-FR"/>
        </w:rPr>
        <w:t>mondiale</w:t>
      </w:r>
      <w:r w:rsidRPr="002F1B52">
        <w:rPr>
          <w:rFonts w:ascii="Arial" w:hAnsi="Arial" w:cs="Arial"/>
          <w:bCs/>
          <w:iCs/>
          <w:sz w:val="22"/>
          <w:szCs w:val="22"/>
          <w:lang w:val="fr-FR"/>
        </w:rPr>
        <w:t>.  Une réunion virtuelle d’experts a eu lieu en octobre 2022. Une deuxième réunion virtuelle est prévue en janvier 2023.  Ces réunions impliquent des scientifiques, des décideurs et des parties prenantes afin de recueillir des commentaires préliminaires sur la portée et l’échelle d</w:t>
      </w:r>
      <w:r w:rsidR="00F604E3">
        <w:rPr>
          <w:rFonts w:ascii="Arial" w:hAnsi="Arial" w:cs="Arial"/>
          <w:bCs/>
          <w:iCs/>
          <w:sz w:val="22"/>
          <w:szCs w:val="22"/>
          <w:lang w:val="fr-FR"/>
        </w:rPr>
        <w:t xml:space="preserve">e la </w:t>
      </w:r>
      <w:r w:rsidR="00F604E3" w:rsidRPr="002F1B52">
        <w:rPr>
          <w:rFonts w:ascii="Arial" w:hAnsi="Arial" w:cs="Arial"/>
          <w:bCs/>
          <w:iCs/>
          <w:sz w:val="22"/>
          <w:szCs w:val="22"/>
          <w:lang w:val="fr-FR"/>
        </w:rPr>
        <w:t>stratégie</w:t>
      </w:r>
      <w:r w:rsidR="00F604E3" w:rsidRPr="002F1B52" w:rsidDel="00F604E3">
        <w:rPr>
          <w:rFonts w:ascii="Arial" w:hAnsi="Arial" w:cs="Arial"/>
          <w:bCs/>
          <w:iCs/>
          <w:sz w:val="22"/>
          <w:szCs w:val="22"/>
          <w:lang w:val="fr-FR"/>
        </w:rPr>
        <w:t xml:space="preserve"> </w:t>
      </w:r>
      <w:r w:rsidRPr="002F1B52">
        <w:rPr>
          <w:rFonts w:ascii="Arial" w:hAnsi="Arial" w:cs="Arial"/>
          <w:bCs/>
          <w:iCs/>
          <w:sz w:val="22"/>
          <w:szCs w:val="22"/>
          <w:lang w:val="fr-FR"/>
        </w:rPr>
        <w:t xml:space="preserve"> de conservation.</w:t>
      </w:r>
    </w:p>
    <w:p w14:paraId="70743490" w14:textId="77777777" w:rsidR="002F1B52" w:rsidRPr="002F1B52" w:rsidRDefault="002F1B52" w:rsidP="002F1B52">
      <w:pPr>
        <w:ind w:left="567" w:hanging="567"/>
        <w:rPr>
          <w:rFonts w:ascii="Arial" w:hAnsi="Arial" w:cs="Arial"/>
          <w:bCs/>
          <w:iCs/>
          <w:sz w:val="22"/>
          <w:szCs w:val="22"/>
          <w:highlight w:val="yellow"/>
          <w:lang w:val="fr-FR"/>
        </w:rPr>
      </w:pPr>
    </w:p>
    <w:p w14:paraId="351159CC" w14:textId="77777777" w:rsidR="002F1B52" w:rsidRPr="002F1B52" w:rsidRDefault="002F1B52" w:rsidP="002F1B52">
      <w:pPr>
        <w:jc w:val="both"/>
        <w:rPr>
          <w:rFonts w:ascii="Arial" w:hAnsi="Arial" w:cs="Arial"/>
          <w:b/>
          <w:iCs/>
          <w:sz w:val="22"/>
          <w:szCs w:val="22"/>
          <w:lang w:val="fr-FR"/>
        </w:rPr>
      </w:pPr>
      <w:r w:rsidRPr="002F1B52">
        <w:rPr>
          <w:rFonts w:ascii="Arial" w:hAnsi="Arial" w:cs="Arial"/>
          <w:b/>
          <w:iCs/>
          <w:sz w:val="22"/>
          <w:szCs w:val="22"/>
          <w:lang w:val="fr-FR"/>
        </w:rPr>
        <w:t xml:space="preserve">Améliorer la disponibilité des données pour les Signataires du </w:t>
      </w:r>
      <w:proofErr w:type="spellStart"/>
      <w:r w:rsidRPr="002F1B52">
        <w:rPr>
          <w:rFonts w:ascii="Arial" w:hAnsi="Arial" w:cs="Arial"/>
          <w:b/>
          <w:iCs/>
          <w:sz w:val="22"/>
          <w:szCs w:val="22"/>
          <w:lang w:val="fr-FR"/>
        </w:rPr>
        <w:t>MdE</w:t>
      </w:r>
      <w:proofErr w:type="spellEnd"/>
      <w:r w:rsidRPr="002F1B52">
        <w:rPr>
          <w:rFonts w:ascii="Arial" w:hAnsi="Arial" w:cs="Arial"/>
          <w:b/>
          <w:iCs/>
          <w:sz w:val="22"/>
          <w:szCs w:val="22"/>
          <w:lang w:val="fr-FR"/>
        </w:rPr>
        <w:t xml:space="preserve"> requins de la CMS et les Parties contractantes de la Commission des thons de l’océan Indien (CTOI) dans la région de l’océan Indien</w:t>
      </w:r>
    </w:p>
    <w:p w14:paraId="75AEA6B8" w14:textId="77777777" w:rsidR="002F1B52" w:rsidRPr="002F1B52" w:rsidRDefault="002F1B52" w:rsidP="002F1B52">
      <w:pPr>
        <w:pStyle w:val="ListParagraph"/>
        <w:ind w:left="567" w:hanging="567"/>
        <w:rPr>
          <w:rFonts w:ascii="Arial" w:hAnsi="Arial" w:cs="Arial"/>
          <w:bCs/>
          <w:iCs/>
          <w:sz w:val="22"/>
          <w:szCs w:val="22"/>
          <w:lang w:val="fr-FR"/>
        </w:rPr>
      </w:pPr>
    </w:p>
    <w:p w14:paraId="483EE937" w14:textId="07291E29" w:rsidR="002F1B52" w:rsidRPr="002F1B52" w:rsidRDefault="002F1B52" w:rsidP="002F1B52">
      <w:pPr>
        <w:pStyle w:val="ListParagraph"/>
        <w:numPr>
          <w:ilvl w:val="0"/>
          <w:numId w:val="4"/>
        </w:numPr>
        <w:ind w:left="567" w:hanging="567"/>
        <w:jc w:val="both"/>
        <w:rPr>
          <w:rFonts w:ascii="Arial" w:hAnsi="Arial" w:cs="Arial"/>
          <w:bCs/>
          <w:iCs/>
          <w:sz w:val="22"/>
          <w:szCs w:val="22"/>
          <w:lang w:val="fr-FR"/>
        </w:rPr>
      </w:pPr>
      <w:r w:rsidRPr="002F1B52">
        <w:rPr>
          <w:rFonts w:ascii="Arial" w:hAnsi="Arial" w:cs="Arial"/>
          <w:bCs/>
          <w:iCs/>
          <w:sz w:val="22"/>
          <w:szCs w:val="22"/>
          <w:lang w:val="fr-FR"/>
        </w:rPr>
        <w:t xml:space="preserve">La phase initiale de </w:t>
      </w:r>
      <w:r w:rsidR="00F604E3" w:rsidRPr="00F604E3">
        <w:rPr>
          <w:rFonts w:ascii="Arial" w:hAnsi="Arial" w:cs="Arial"/>
          <w:bCs/>
          <w:iCs/>
          <w:sz w:val="22"/>
          <w:szCs w:val="22"/>
          <w:lang w:val="fr-FR"/>
        </w:rPr>
        <w:t xml:space="preserve">l'initiative sera axée sur l'élaboration d'un plan d'action régional pour la région de l'océan Indien, </w:t>
      </w:r>
      <w:r w:rsidRPr="00F604E3">
        <w:rPr>
          <w:rFonts w:ascii="Arial" w:hAnsi="Arial" w:cs="Arial"/>
          <w:bCs/>
          <w:iCs/>
          <w:sz w:val="22"/>
          <w:szCs w:val="22"/>
          <w:lang w:val="fr-FR"/>
        </w:rPr>
        <w:t xml:space="preserve"> </w:t>
      </w:r>
      <w:r w:rsidRPr="002F1B52">
        <w:rPr>
          <w:rFonts w:ascii="Arial" w:hAnsi="Arial" w:cs="Arial"/>
          <w:bCs/>
          <w:iCs/>
          <w:sz w:val="22"/>
          <w:szCs w:val="22"/>
          <w:lang w:val="fr-FR"/>
        </w:rPr>
        <w:t>sera axée sur</w:t>
      </w:r>
      <w:r w:rsidR="00F604E3" w:rsidRPr="00F604E3">
        <w:rPr>
          <w:rFonts w:ascii="Arial" w:hAnsi="Arial" w:cs="Arial"/>
          <w:bCs/>
          <w:iCs/>
          <w:sz w:val="22"/>
          <w:szCs w:val="22"/>
          <w:lang w:val="fr-FR"/>
        </w:rPr>
        <w:t xml:space="preserve"> l'élaboration d'un plan d'action régional pour la région de </w:t>
      </w:r>
      <w:r w:rsidRPr="002F1B52">
        <w:rPr>
          <w:rFonts w:ascii="Arial" w:hAnsi="Arial" w:cs="Arial"/>
          <w:bCs/>
          <w:iCs/>
          <w:sz w:val="22"/>
          <w:szCs w:val="22"/>
          <w:lang w:val="fr-FR"/>
        </w:rPr>
        <w:t xml:space="preserve">l’océan Indien, car le statut de la liste rouge </w:t>
      </w:r>
      <w:r w:rsidR="00FA0DF5" w:rsidRPr="00FA0DF5">
        <w:rPr>
          <w:rFonts w:ascii="Arial" w:hAnsi="Arial" w:cs="Arial"/>
          <w:bCs/>
          <w:iCs/>
          <w:sz w:val="22"/>
          <w:szCs w:val="22"/>
          <w:lang w:val="fr-FR"/>
        </w:rPr>
        <w:t xml:space="preserve">de l'UICN </w:t>
      </w:r>
      <w:r w:rsidRPr="002F1B52">
        <w:rPr>
          <w:rFonts w:ascii="Arial" w:hAnsi="Arial" w:cs="Arial"/>
          <w:bCs/>
          <w:iCs/>
          <w:sz w:val="22"/>
          <w:szCs w:val="22"/>
          <w:lang w:val="fr-FR"/>
        </w:rPr>
        <w:t xml:space="preserve">et la disponibilité des données pour de nombreuses espèces de requins et de raies sont pires dans ce bassin océanique que partout ailleurs dans le monde. En outre, dans cette région, les déclins observés de requins et de raies pélagiques peuvent atteindre 85 %. Cet épuisement a aggravé le risque d’extinction </w:t>
      </w:r>
      <w:r w:rsidR="00FA0DF5" w:rsidRPr="00FA0DF5">
        <w:rPr>
          <w:rFonts w:ascii="Arial" w:hAnsi="Arial" w:cs="Arial"/>
          <w:bCs/>
          <w:iCs/>
          <w:sz w:val="22"/>
          <w:szCs w:val="22"/>
          <w:lang w:val="fr-FR"/>
        </w:rPr>
        <w:t xml:space="preserve">des espèces </w:t>
      </w:r>
      <w:r w:rsidRPr="002F1B52">
        <w:rPr>
          <w:rFonts w:ascii="Arial" w:hAnsi="Arial" w:cs="Arial"/>
          <w:bCs/>
          <w:iCs/>
          <w:sz w:val="22"/>
          <w:szCs w:val="22"/>
          <w:lang w:val="fr-FR"/>
        </w:rPr>
        <w:t xml:space="preserve">de cette région au point que les trois quarts </w:t>
      </w:r>
      <w:r w:rsidR="00FA0DF5" w:rsidRPr="00FA0DF5">
        <w:rPr>
          <w:rFonts w:ascii="Arial" w:hAnsi="Arial" w:cs="Arial"/>
          <w:bCs/>
          <w:iCs/>
          <w:sz w:val="22"/>
          <w:szCs w:val="22"/>
          <w:lang w:val="fr-FR"/>
        </w:rPr>
        <w:t>d'entre elles</w:t>
      </w:r>
      <w:r w:rsidR="00FA0DF5" w:rsidRPr="002F1B52" w:rsidDel="00FA0DF5">
        <w:rPr>
          <w:rFonts w:ascii="Arial" w:hAnsi="Arial" w:cs="Arial"/>
          <w:bCs/>
          <w:iCs/>
          <w:sz w:val="22"/>
          <w:szCs w:val="22"/>
          <w:lang w:val="fr-FR"/>
        </w:rPr>
        <w:t xml:space="preserve"> </w:t>
      </w:r>
      <w:r w:rsidRPr="002F1B52">
        <w:rPr>
          <w:rFonts w:ascii="Arial" w:hAnsi="Arial" w:cs="Arial"/>
          <w:bCs/>
          <w:iCs/>
          <w:sz w:val="22"/>
          <w:szCs w:val="22"/>
          <w:lang w:val="fr-FR"/>
        </w:rPr>
        <w:t>sont menacées d’extinction (</w:t>
      </w:r>
      <w:proofErr w:type="spellStart"/>
      <w:r w:rsidR="00842233">
        <w:fldChar w:fldCharType="begin"/>
      </w:r>
      <w:r w:rsidR="00842233" w:rsidRPr="00842233">
        <w:rPr>
          <w:lang w:val="fr-FR"/>
        </w:rPr>
        <w:instrText>HYPERLINK "https://www.cms.int/sharks/fr/node/23702"</w:instrText>
      </w:r>
      <w:r w:rsidR="00842233">
        <w:fldChar w:fldCharType="separate"/>
      </w:r>
      <w:r w:rsidRPr="002F1B52">
        <w:rPr>
          <w:rStyle w:val="Hyperlink"/>
          <w:rFonts w:ascii="Arial" w:hAnsi="Arial" w:cs="Arial"/>
          <w:bCs/>
          <w:iCs/>
          <w:sz w:val="22"/>
          <w:szCs w:val="22"/>
          <w:lang w:val="fr-FR"/>
        </w:rPr>
        <w:t>Pacoureau</w:t>
      </w:r>
      <w:proofErr w:type="spellEnd"/>
      <w:r w:rsidRPr="002F1B52">
        <w:rPr>
          <w:rStyle w:val="Hyperlink"/>
          <w:rFonts w:ascii="Arial" w:hAnsi="Arial" w:cs="Arial"/>
          <w:bCs/>
          <w:iCs/>
          <w:sz w:val="22"/>
          <w:szCs w:val="22"/>
          <w:lang w:val="fr-FR"/>
        </w:rPr>
        <w:t xml:space="preserve"> </w:t>
      </w:r>
      <w:r w:rsidRPr="002F1B52">
        <w:rPr>
          <w:rStyle w:val="Hyperlink"/>
          <w:rFonts w:ascii="Arial" w:hAnsi="Arial" w:cs="Arial"/>
          <w:bCs/>
          <w:i/>
          <w:sz w:val="22"/>
          <w:szCs w:val="22"/>
          <w:lang w:val="fr-FR"/>
        </w:rPr>
        <w:t>et al.</w:t>
      </w:r>
      <w:r w:rsidRPr="002F1B52">
        <w:rPr>
          <w:rStyle w:val="Hyperlink"/>
          <w:rFonts w:ascii="Arial" w:hAnsi="Arial" w:cs="Arial"/>
          <w:bCs/>
          <w:iCs/>
          <w:sz w:val="22"/>
          <w:szCs w:val="22"/>
          <w:lang w:val="fr-FR"/>
        </w:rPr>
        <w:t xml:space="preserve"> 2021</w:t>
      </w:r>
      <w:r w:rsidRPr="002F1B52">
        <w:rPr>
          <w:rStyle w:val="Hyperlink"/>
          <w:rFonts w:ascii="Arial" w:hAnsi="Arial" w:cs="Arial"/>
          <w:bCs/>
          <w:iCs/>
          <w:sz w:val="22"/>
          <w:szCs w:val="22"/>
          <w:vertAlign w:val="superscript"/>
          <w:lang w:val="fr-FR"/>
        </w:rPr>
        <w:t>1</w:t>
      </w:r>
      <w:r w:rsidRPr="002F1B52">
        <w:rPr>
          <w:rStyle w:val="Hyperlink"/>
          <w:rFonts w:ascii="Arial" w:hAnsi="Arial" w:cs="Arial"/>
          <w:bCs/>
          <w:iCs/>
          <w:sz w:val="22"/>
          <w:szCs w:val="22"/>
          <w:lang w:val="fr-FR"/>
        </w:rPr>
        <w:t xml:space="preserve"> ; présenté dans le document CMS/Sharks/MOS4/Inf.6</w:t>
      </w:r>
      <w:r w:rsidR="00842233">
        <w:rPr>
          <w:rStyle w:val="Hyperlink"/>
          <w:rFonts w:ascii="Arial" w:hAnsi="Arial" w:cs="Arial"/>
          <w:bCs/>
          <w:iCs/>
          <w:sz w:val="22"/>
          <w:szCs w:val="22"/>
          <w:lang w:val="fr-FR"/>
        </w:rPr>
        <w:fldChar w:fldCharType="end"/>
      </w:r>
      <w:r w:rsidRPr="002F1B52">
        <w:rPr>
          <w:rFonts w:ascii="Arial" w:hAnsi="Arial" w:cs="Arial"/>
          <w:bCs/>
          <w:iCs/>
          <w:sz w:val="22"/>
          <w:szCs w:val="22"/>
          <w:lang w:val="fr-FR"/>
        </w:rPr>
        <w:t>).</w:t>
      </w:r>
    </w:p>
    <w:p w14:paraId="3085ACF0" w14:textId="77777777" w:rsidR="002F1B52" w:rsidRPr="002F1B52" w:rsidRDefault="002F1B52" w:rsidP="002F1B52">
      <w:pPr>
        <w:pStyle w:val="ListParagraph"/>
        <w:ind w:left="567" w:hanging="567"/>
        <w:jc w:val="both"/>
        <w:rPr>
          <w:rFonts w:ascii="Arial" w:hAnsi="Arial" w:cs="Arial"/>
          <w:bCs/>
          <w:iCs/>
          <w:sz w:val="22"/>
          <w:szCs w:val="22"/>
          <w:lang w:val="fr-FR"/>
        </w:rPr>
      </w:pPr>
    </w:p>
    <w:p w14:paraId="13483162" w14:textId="77777777" w:rsidR="002F1B52" w:rsidRPr="002F1B52" w:rsidRDefault="002F1B52" w:rsidP="002F1B52">
      <w:pPr>
        <w:pStyle w:val="ListParagraph"/>
        <w:numPr>
          <w:ilvl w:val="0"/>
          <w:numId w:val="4"/>
        </w:numPr>
        <w:ind w:left="567" w:hanging="567"/>
        <w:jc w:val="both"/>
        <w:rPr>
          <w:rFonts w:ascii="Arial" w:hAnsi="Arial" w:cs="Arial"/>
          <w:bCs/>
          <w:iCs/>
          <w:sz w:val="22"/>
          <w:szCs w:val="22"/>
          <w:lang w:val="fr-FR"/>
        </w:rPr>
      </w:pPr>
      <w:r w:rsidRPr="002F1B52">
        <w:rPr>
          <w:rFonts w:ascii="Arial" w:hAnsi="Arial" w:cs="Arial"/>
          <w:bCs/>
          <w:iCs/>
          <w:sz w:val="22"/>
          <w:szCs w:val="22"/>
          <w:lang w:val="fr-FR"/>
        </w:rPr>
        <w:t>L’état actuel des connaissances sur les populations de requins et de raies pélagiques dans l’océan Indien est faible, la plupart des espèces étant considérées comme des sujets dont les données sont limitées. La CTOI classe actuellement le statut de tous les requins comme « Non évalué/Incertain ». Étant donné le manque de données disponibles pour ces espèces, des exercices d’exploration de données sont nécessaires non seulement pour fournir des informations afin de guider le plan de conservation, mais aussi pour mettre à jour les bases de données actuelles de la CTOI et pour aider les travaux du Groupe de travail de la CTOI sur les écosystèmes et les prises accessoires.</w:t>
      </w:r>
    </w:p>
    <w:p w14:paraId="539B26EF" w14:textId="77777777" w:rsidR="002F1B52" w:rsidRPr="002F1B52" w:rsidRDefault="002F1B52" w:rsidP="002F1B52">
      <w:pPr>
        <w:pStyle w:val="ListParagraph"/>
        <w:ind w:left="567" w:hanging="567"/>
        <w:rPr>
          <w:rFonts w:ascii="Arial" w:hAnsi="Arial" w:cs="Arial"/>
          <w:bCs/>
          <w:iCs/>
          <w:sz w:val="22"/>
          <w:szCs w:val="22"/>
          <w:lang w:val="fr-FR"/>
        </w:rPr>
      </w:pPr>
    </w:p>
    <w:p w14:paraId="023190B8" w14:textId="4F76B964" w:rsidR="002F1B52" w:rsidRPr="002F1B52" w:rsidRDefault="002F1B52" w:rsidP="002F1B52">
      <w:pPr>
        <w:pStyle w:val="ListParagraph"/>
        <w:numPr>
          <w:ilvl w:val="0"/>
          <w:numId w:val="4"/>
        </w:numPr>
        <w:ind w:left="567" w:hanging="567"/>
        <w:jc w:val="both"/>
        <w:rPr>
          <w:rFonts w:ascii="Arial" w:hAnsi="Arial" w:cs="Arial"/>
          <w:bCs/>
          <w:iCs/>
          <w:sz w:val="22"/>
          <w:szCs w:val="22"/>
          <w:lang w:val="fr-FR"/>
        </w:rPr>
      </w:pPr>
      <w:r w:rsidRPr="002F1B52">
        <w:rPr>
          <w:rFonts w:ascii="Arial" w:hAnsi="Arial" w:cs="Arial"/>
          <w:bCs/>
          <w:iCs/>
          <w:sz w:val="22"/>
          <w:szCs w:val="22"/>
          <w:lang w:val="fr-FR"/>
        </w:rPr>
        <w:t>L’objectif général de l’initiative pour la région de l’océan Indien est de collecter des données sur les captures de 19 espèces</w:t>
      </w:r>
      <w:r w:rsidRPr="002F1B52">
        <w:rPr>
          <w:rStyle w:val="FootnoteReference"/>
          <w:rFonts w:ascii="Arial" w:hAnsi="Arial" w:cs="Arial"/>
          <w:bCs/>
          <w:iCs/>
          <w:sz w:val="22"/>
          <w:szCs w:val="22"/>
          <w:lang w:val="fr-FR"/>
        </w:rPr>
        <w:footnoteReference w:id="5"/>
      </w:r>
      <w:r w:rsidRPr="002F1B52">
        <w:rPr>
          <w:rFonts w:ascii="Arial" w:hAnsi="Arial" w:cs="Arial"/>
          <w:bCs/>
          <w:iCs/>
          <w:sz w:val="22"/>
          <w:szCs w:val="22"/>
          <w:lang w:val="fr-FR"/>
        </w:rPr>
        <w:t xml:space="preserve"> de requins et de raies, d’élaborer un plan d’action régional pour les requins et les raies pélagiques, et de fournir les données rassemblées et le plan d’action régional aux Signataires du </w:t>
      </w:r>
      <w:proofErr w:type="spellStart"/>
      <w:r w:rsidRPr="002F1B52">
        <w:rPr>
          <w:rFonts w:ascii="Arial" w:hAnsi="Arial" w:cs="Arial"/>
          <w:bCs/>
          <w:iCs/>
          <w:sz w:val="22"/>
          <w:szCs w:val="22"/>
          <w:lang w:val="fr-FR"/>
        </w:rPr>
        <w:t>MdE</w:t>
      </w:r>
      <w:proofErr w:type="spellEnd"/>
      <w:r w:rsidRPr="002F1B52">
        <w:rPr>
          <w:rFonts w:ascii="Arial" w:hAnsi="Arial" w:cs="Arial"/>
          <w:bCs/>
          <w:iCs/>
          <w:sz w:val="22"/>
          <w:szCs w:val="22"/>
          <w:lang w:val="fr-FR"/>
        </w:rPr>
        <w:t xml:space="preserve"> requins dans la région de l’océan Indien et au Comité scientifique de la CTOI.</w:t>
      </w:r>
    </w:p>
    <w:p w14:paraId="428999EB" w14:textId="77777777" w:rsidR="002F1B52" w:rsidRPr="002F1B52" w:rsidRDefault="002F1B52" w:rsidP="002F1B52">
      <w:pPr>
        <w:ind w:left="567" w:hanging="567"/>
        <w:rPr>
          <w:rFonts w:ascii="Arial" w:hAnsi="Arial" w:cs="Arial"/>
          <w:bCs/>
          <w:iCs/>
          <w:sz w:val="22"/>
          <w:szCs w:val="22"/>
          <w:lang w:val="fr-FR"/>
        </w:rPr>
      </w:pPr>
    </w:p>
    <w:p w14:paraId="33E29342" w14:textId="77777777" w:rsidR="002F1B52" w:rsidRPr="002F1B52" w:rsidRDefault="002F1B52" w:rsidP="002F1B52">
      <w:pPr>
        <w:pStyle w:val="ListParagraph"/>
        <w:numPr>
          <w:ilvl w:val="0"/>
          <w:numId w:val="4"/>
        </w:numPr>
        <w:ind w:left="567" w:hanging="567"/>
        <w:jc w:val="both"/>
        <w:rPr>
          <w:rFonts w:ascii="Arial" w:hAnsi="Arial" w:cs="Arial"/>
          <w:bCs/>
          <w:iCs/>
          <w:sz w:val="22"/>
          <w:szCs w:val="22"/>
          <w:lang w:val="fr-FR"/>
        </w:rPr>
      </w:pPr>
      <w:r w:rsidRPr="002F1B52">
        <w:rPr>
          <w:rFonts w:ascii="Arial" w:hAnsi="Arial" w:cs="Arial"/>
          <w:bCs/>
          <w:iCs/>
          <w:sz w:val="22"/>
          <w:szCs w:val="22"/>
          <w:lang w:val="fr-FR"/>
        </w:rPr>
        <w:t xml:space="preserve">Parallèlement à la collecte de données, il est indispensable d’élaborer une mesure du niveau de risque (par exemple, des points de référence de risque) pour ces espèces pélagiques afin d’informer les décideurs et les planificateurs de la conservation. En l’absence d’une évaluation formelle des stocks permettant de mesurer un indice d’abondance relative, on peut calculer des points de référence basés sur la mortalité par </w:t>
      </w:r>
      <w:r w:rsidRPr="002F1B52">
        <w:rPr>
          <w:rFonts w:ascii="Arial" w:hAnsi="Arial" w:cs="Arial"/>
          <w:bCs/>
          <w:iCs/>
          <w:sz w:val="22"/>
          <w:szCs w:val="22"/>
          <w:lang w:val="fr-FR"/>
        </w:rPr>
        <w:lastRenderedPageBreak/>
        <w:t>pêche, afin d’attribuer un niveau de risque pour chaque espèce dans l’océan Indien.</w:t>
      </w:r>
    </w:p>
    <w:p w14:paraId="16380F04" w14:textId="77777777" w:rsidR="002F1B52" w:rsidRPr="002F1B52" w:rsidRDefault="002F1B52" w:rsidP="002F1B52">
      <w:pPr>
        <w:pStyle w:val="ListParagraph"/>
        <w:ind w:left="567" w:hanging="567"/>
        <w:rPr>
          <w:rFonts w:ascii="Arial" w:hAnsi="Arial" w:cs="Arial"/>
          <w:bCs/>
          <w:iCs/>
          <w:sz w:val="22"/>
          <w:szCs w:val="22"/>
          <w:lang w:val="fr-FR"/>
        </w:rPr>
      </w:pPr>
    </w:p>
    <w:p w14:paraId="7FA4BD3A" w14:textId="18B303C8" w:rsidR="002F1B52" w:rsidRPr="002F1B52" w:rsidRDefault="002F1B52" w:rsidP="002F1B52">
      <w:pPr>
        <w:pStyle w:val="ListParagraph"/>
        <w:numPr>
          <w:ilvl w:val="0"/>
          <w:numId w:val="4"/>
        </w:numPr>
        <w:ind w:left="567" w:hanging="567"/>
        <w:jc w:val="both"/>
        <w:rPr>
          <w:rFonts w:ascii="Arial" w:hAnsi="Arial" w:cs="Arial"/>
          <w:bCs/>
          <w:iCs/>
          <w:sz w:val="22"/>
          <w:szCs w:val="22"/>
          <w:lang w:val="fr-FR"/>
        </w:rPr>
      </w:pPr>
      <w:r w:rsidRPr="002F1B52">
        <w:rPr>
          <w:rFonts w:ascii="Arial" w:hAnsi="Arial" w:cs="Arial"/>
          <w:bCs/>
          <w:iCs/>
          <w:sz w:val="22"/>
          <w:szCs w:val="22"/>
          <w:lang w:val="fr-FR"/>
        </w:rPr>
        <w:t>Une fois ces points de référence établis pour chaque espèce, il est possible de déterminer un niveau de risque et d’affecter l’espèce à une catégorie de risque (par exemple, en voie de rétablissement, à risque moyen, à risque élevé). Il s’agit d’une méthode de remplacement pour calculer le risque de déclin d’une espèce lorsque les données sont lacunaires concernant les caractéristiques du cycle de vie, la taille de la population et la capture par des pratiques de pêche ciblées et non ciblées. Ces évaluations des risques seront essentielles pour contribuer au plan d’action régional pour les requins et les raies</w:t>
      </w:r>
      <w:r w:rsidR="00FA0DF5">
        <w:rPr>
          <w:rFonts w:ascii="Arial" w:hAnsi="Arial" w:cs="Arial"/>
          <w:bCs/>
          <w:iCs/>
          <w:sz w:val="22"/>
          <w:szCs w:val="22"/>
          <w:lang w:val="fr-FR"/>
        </w:rPr>
        <w:t xml:space="preserve"> </w:t>
      </w:r>
      <w:r w:rsidR="00FA0DF5" w:rsidRPr="002F1B52">
        <w:rPr>
          <w:rFonts w:ascii="Arial" w:hAnsi="Arial" w:cs="Arial"/>
          <w:bCs/>
          <w:iCs/>
          <w:sz w:val="22"/>
          <w:szCs w:val="22"/>
          <w:lang w:val="fr-FR"/>
        </w:rPr>
        <w:t>pélagiques</w:t>
      </w:r>
      <w:r w:rsidRPr="002F1B52">
        <w:rPr>
          <w:rFonts w:ascii="Arial" w:hAnsi="Arial" w:cs="Arial"/>
          <w:bCs/>
          <w:iCs/>
          <w:sz w:val="22"/>
          <w:szCs w:val="22"/>
          <w:lang w:val="fr-FR"/>
        </w:rPr>
        <w:t>.</w:t>
      </w:r>
    </w:p>
    <w:p w14:paraId="6DFC63C9" w14:textId="77777777" w:rsidR="002F1B52" w:rsidRPr="002F1B52" w:rsidRDefault="002F1B52" w:rsidP="002F1B52">
      <w:pPr>
        <w:pStyle w:val="ListParagraph"/>
        <w:ind w:left="567" w:hanging="567"/>
        <w:jc w:val="both"/>
        <w:rPr>
          <w:rFonts w:ascii="Arial" w:hAnsi="Arial" w:cs="Arial"/>
          <w:bCs/>
          <w:iCs/>
          <w:sz w:val="22"/>
          <w:szCs w:val="22"/>
          <w:lang w:val="fr-FR"/>
        </w:rPr>
      </w:pPr>
    </w:p>
    <w:p w14:paraId="068D10D5" w14:textId="77777777" w:rsidR="002F1B52" w:rsidRPr="002F1B52" w:rsidRDefault="002F1B52" w:rsidP="002F1B52">
      <w:pPr>
        <w:pStyle w:val="ListParagraph"/>
        <w:numPr>
          <w:ilvl w:val="0"/>
          <w:numId w:val="4"/>
        </w:numPr>
        <w:ind w:left="567" w:hanging="567"/>
        <w:contextualSpacing w:val="0"/>
        <w:jc w:val="both"/>
        <w:rPr>
          <w:rFonts w:ascii="Arial" w:hAnsi="Arial" w:cs="Arial"/>
          <w:sz w:val="22"/>
          <w:szCs w:val="22"/>
          <w:u w:val="single"/>
          <w:lang w:val="fr-FR"/>
        </w:rPr>
      </w:pPr>
      <w:r w:rsidRPr="002F1B52">
        <w:rPr>
          <w:rFonts w:ascii="Arial" w:hAnsi="Arial" w:cs="Arial"/>
          <w:bCs/>
          <w:iCs/>
          <w:sz w:val="22"/>
          <w:szCs w:val="22"/>
          <w:lang w:val="fr-FR"/>
        </w:rPr>
        <w:t xml:space="preserve">Cette initiative fournira, pour ces espèces pélagiques inscrites à l’Annexe 1 du </w:t>
      </w:r>
      <w:proofErr w:type="spellStart"/>
      <w:r w:rsidRPr="002F1B52">
        <w:rPr>
          <w:rFonts w:ascii="Arial" w:hAnsi="Arial" w:cs="Arial"/>
          <w:bCs/>
          <w:iCs/>
          <w:sz w:val="22"/>
          <w:szCs w:val="22"/>
          <w:lang w:val="fr-FR"/>
        </w:rPr>
        <w:t>MdE</w:t>
      </w:r>
      <w:proofErr w:type="spellEnd"/>
      <w:r w:rsidRPr="002F1B52">
        <w:rPr>
          <w:rFonts w:ascii="Arial" w:hAnsi="Arial" w:cs="Arial"/>
          <w:bCs/>
          <w:iCs/>
          <w:sz w:val="22"/>
          <w:szCs w:val="22"/>
          <w:lang w:val="fr-FR"/>
        </w:rPr>
        <w:t xml:space="preserve"> requins, des informations qui aideront les signataires du </w:t>
      </w:r>
      <w:proofErr w:type="spellStart"/>
      <w:r w:rsidRPr="002F1B52">
        <w:rPr>
          <w:rFonts w:ascii="Arial" w:hAnsi="Arial" w:cs="Arial"/>
          <w:bCs/>
          <w:iCs/>
          <w:sz w:val="22"/>
          <w:szCs w:val="22"/>
          <w:lang w:val="fr-FR"/>
        </w:rPr>
        <w:t>MdE</w:t>
      </w:r>
      <w:proofErr w:type="spellEnd"/>
      <w:r w:rsidRPr="002F1B52">
        <w:rPr>
          <w:rFonts w:ascii="Arial" w:hAnsi="Arial" w:cs="Arial"/>
          <w:bCs/>
          <w:iCs/>
          <w:sz w:val="22"/>
          <w:szCs w:val="22"/>
          <w:lang w:val="fr-FR"/>
        </w:rPr>
        <w:t xml:space="preserve"> requins et les Parties contractantes de la CTOI à prendre des décisions éclairées, à formuler des stratégies appropriées pour chaque espèce, à mettre les politiques nationales et régionales en adéquation avec la gestion durable des pêches, à préparer des évaluations de stocks, ainsi qu’à fournir une orientation sur les priorités de la coopération internationale dans la région pour atteindre des objectifs communs. En outre, le projet contribuerait à fournir un autre outil permettant de hiérarchiser les espèces figurant sur le </w:t>
      </w:r>
      <w:proofErr w:type="spellStart"/>
      <w:r w:rsidRPr="002F1B52">
        <w:rPr>
          <w:rFonts w:ascii="Arial" w:hAnsi="Arial" w:cs="Arial"/>
          <w:bCs/>
          <w:iCs/>
          <w:sz w:val="22"/>
          <w:szCs w:val="22"/>
          <w:lang w:val="fr-FR"/>
        </w:rPr>
        <w:t>MdE</w:t>
      </w:r>
      <w:proofErr w:type="spellEnd"/>
      <w:r w:rsidRPr="002F1B52">
        <w:rPr>
          <w:rFonts w:ascii="Arial" w:hAnsi="Arial" w:cs="Arial"/>
          <w:bCs/>
          <w:iCs/>
          <w:sz w:val="22"/>
          <w:szCs w:val="22"/>
          <w:lang w:val="fr-FR"/>
        </w:rPr>
        <w:t xml:space="preserve"> requins en fonction du niveau de risque.</w:t>
      </w:r>
    </w:p>
    <w:p w14:paraId="5DC7691F" w14:textId="77777777" w:rsidR="002F1B52" w:rsidRDefault="002F1B52" w:rsidP="002F1B52">
      <w:pPr>
        <w:widowControl/>
        <w:autoSpaceDE/>
        <w:adjustRightInd/>
        <w:ind w:left="567" w:hanging="567"/>
        <w:jc w:val="both"/>
        <w:rPr>
          <w:rFonts w:ascii="Arial" w:hAnsi="Arial" w:cs="Arial"/>
          <w:sz w:val="22"/>
          <w:szCs w:val="22"/>
          <w:u w:val="single"/>
          <w:lang w:val="fr-FR"/>
        </w:rPr>
      </w:pPr>
    </w:p>
    <w:p w14:paraId="6CCB63C3" w14:textId="01DEDCC0" w:rsidR="002F1B52" w:rsidRPr="005D72F1" w:rsidRDefault="002F1B52" w:rsidP="002F1B52">
      <w:pPr>
        <w:widowControl/>
        <w:autoSpaceDE/>
        <w:adjustRightInd/>
        <w:ind w:left="567" w:hanging="567"/>
        <w:jc w:val="both"/>
        <w:rPr>
          <w:rFonts w:ascii="Arial" w:hAnsi="Arial" w:cs="Arial"/>
          <w:strike/>
          <w:sz w:val="22"/>
          <w:szCs w:val="22"/>
          <w:u w:val="single"/>
          <w:lang w:val="fr-FR"/>
        </w:rPr>
      </w:pPr>
      <w:r w:rsidRPr="005D72F1">
        <w:rPr>
          <w:rFonts w:ascii="Arial" w:hAnsi="Arial" w:cs="Arial"/>
          <w:strike/>
          <w:sz w:val="22"/>
          <w:szCs w:val="22"/>
          <w:u w:val="single"/>
          <w:lang w:val="fr-FR"/>
        </w:rPr>
        <w:t>Action requise :</w:t>
      </w:r>
    </w:p>
    <w:p w14:paraId="51BF2C5F" w14:textId="47E84893" w:rsidR="002F1B52" w:rsidRPr="005D72F1" w:rsidRDefault="002F1B52" w:rsidP="002F1B52">
      <w:pPr>
        <w:ind w:left="567" w:hanging="567"/>
        <w:jc w:val="both"/>
        <w:rPr>
          <w:rFonts w:ascii="Arial" w:hAnsi="Arial" w:cs="Arial"/>
          <w:strike/>
          <w:sz w:val="22"/>
          <w:szCs w:val="22"/>
          <w:lang w:val="fr-FR"/>
        </w:rPr>
      </w:pPr>
    </w:p>
    <w:p w14:paraId="2E160E28" w14:textId="4A938DC1" w:rsidR="002F1B52" w:rsidRPr="005D72F1" w:rsidRDefault="002F1B52" w:rsidP="00842233">
      <w:pPr>
        <w:pStyle w:val="ListParagraph"/>
        <w:numPr>
          <w:ilvl w:val="0"/>
          <w:numId w:val="4"/>
        </w:numPr>
        <w:ind w:left="567" w:hanging="567"/>
        <w:contextualSpacing w:val="0"/>
        <w:jc w:val="both"/>
        <w:rPr>
          <w:rFonts w:ascii="Arial" w:hAnsi="Arial" w:cs="Arial"/>
          <w:strike/>
          <w:sz w:val="22"/>
          <w:szCs w:val="22"/>
          <w:lang w:val="fr-FR"/>
        </w:rPr>
      </w:pPr>
      <w:r w:rsidRPr="005D72F1">
        <w:rPr>
          <w:rFonts w:ascii="Arial" w:hAnsi="Arial" w:cs="Arial"/>
          <w:bCs/>
          <w:iCs/>
          <w:strike/>
          <w:sz w:val="22"/>
          <w:szCs w:val="22"/>
          <w:lang w:val="fr-FR"/>
        </w:rPr>
        <w:t>Il</w:t>
      </w:r>
      <w:r w:rsidRPr="005D72F1">
        <w:rPr>
          <w:rFonts w:ascii="Arial" w:hAnsi="Arial" w:cs="Arial"/>
          <w:strike/>
          <w:sz w:val="22"/>
          <w:szCs w:val="22"/>
          <w:lang w:val="fr-FR"/>
        </w:rPr>
        <w:t xml:space="preserve"> est demandé à la Réunion :</w:t>
      </w:r>
    </w:p>
    <w:p w14:paraId="1F29DF9D" w14:textId="77777777" w:rsidR="002F1B52" w:rsidRPr="005D72F1" w:rsidRDefault="002F1B52" w:rsidP="002F1B52">
      <w:pPr>
        <w:pStyle w:val="ListParagraph"/>
        <w:ind w:left="567" w:right="252" w:hanging="567"/>
        <w:contextualSpacing w:val="0"/>
        <w:jc w:val="both"/>
        <w:rPr>
          <w:rFonts w:ascii="Arial" w:hAnsi="Arial" w:cs="Arial"/>
          <w:strike/>
          <w:sz w:val="22"/>
          <w:szCs w:val="22"/>
          <w:lang w:val="fr-FR"/>
        </w:rPr>
      </w:pPr>
    </w:p>
    <w:p w14:paraId="24743DAA" w14:textId="34A7D689" w:rsidR="002F1B52" w:rsidRPr="005D72F1" w:rsidRDefault="002F1B52" w:rsidP="002F1B52">
      <w:pPr>
        <w:pStyle w:val="ListParagraph"/>
        <w:numPr>
          <w:ilvl w:val="0"/>
          <w:numId w:val="5"/>
        </w:numPr>
        <w:ind w:left="993" w:right="252" w:hanging="426"/>
        <w:contextualSpacing w:val="0"/>
        <w:jc w:val="both"/>
        <w:rPr>
          <w:rFonts w:ascii="Arial" w:hAnsi="Arial" w:cs="Arial"/>
          <w:strike/>
          <w:sz w:val="22"/>
          <w:szCs w:val="22"/>
          <w:lang w:val="fr-FR"/>
        </w:rPr>
      </w:pPr>
      <w:r w:rsidRPr="005D72F1">
        <w:rPr>
          <w:rFonts w:ascii="Arial" w:hAnsi="Arial" w:cs="Arial"/>
          <w:strike/>
          <w:sz w:val="22"/>
          <w:szCs w:val="22"/>
          <w:lang w:val="fr-FR"/>
        </w:rPr>
        <w:t>d’examiner le projet de décision tel que présenté à l’Annexe 1 du présent document et convenir d’une version finale ;</w:t>
      </w:r>
    </w:p>
    <w:p w14:paraId="1A6E5C01" w14:textId="77777777" w:rsidR="002F1B52" w:rsidRPr="005D72F1" w:rsidRDefault="002F1B52" w:rsidP="002F1B52">
      <w:pPr>
        <w:pStyle w:val="ListParagraph"/>
        <w:ind w:left="993" w:hanging="426"/>
        <w:contextualSpacing w:val="0"/>
        <w:jc w:val="both"/>
        <w:rPr>
          <w:rFonts w:ascii="Arial" w:hAnsi="Arial" w:cs="Arial"/>
          <w:strike/>
          <w:sz w:val="22"/>
          <w:szCs w:val="22"/>
          <w:lang w:val="fr-FR"/>
        </w:rPr>
      </w:pPr>
    </w:p>
    <w:p w14:paraId="16CC6383" w14:textId="7F637AA7" w:rsidR="002F1B52" w:rsidRPr="005D72F1" w:rsidRDefault="002F1B52" w:rsidP="002F1B52">
      <w:pPr>
        <w:pStyle w:val="ListParagraph"/>
        <w:numPr>
          <w:ilvl w:val="0"/>
          <w:numId w:val="5"/>
        </w:numPr>
        <w:ind w:left="993" w:right="252" w:hanging="426"/>
        <w:contextualSpacing w:val="0"/>
        <w:jc w:val="both"/>
        <w:rPr>
          <w:rFonts w:ascii="Arial" w:hAnsi="Arial" w:cs="Arial"/>
          <w:strike/>
          <w:sz w:val="22"/>
          <w:szCs w:val="22"/>
          <w:lang w:val="fr-FR"/>
        </w:rPr>
        <w:sectPr w:rsidR="002F1B52" w:rsidRPr="005D72F1" w:rsidSect="002F1B52">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06" w:footer="468" w:gutter="0"/>
          <w:cols w:space="720"/>
          <w:titlePg/>
          <w:docGrid w:linePitch="245"/>
        </w:sectPr>
      </w:pPr>
      <w:r w:rsidRPr="005D72F1">
        <w:rPr>
          <w:rFonts w:ascii="Arial" w:hAnsi="Arial" w:cs="Arial"/>
          <w:strike/>
          <w:sz w:val="22"/>
          <w:szCs w:val="22"/>
          <w:lang w:val="fr-FR"/>
        </w:rPr>
        <w:t>d’examiner les projets d’activités présentés à l’Annexe 2 du présent document et envisager de les inclure dans le Programme de travail 2023-2025.</w:t>
      </w:r>
    </w:p>
    <w:p w14:paraId="00F37176" w14:textId="77777777" w:rsidR="002F1B52" w:rsidRPr="005D72F1" w:rsidRDefault="002F1B52" w:rsidP="002F1B52">
      <w:pPr>
        <w:widowControl/>
        <w:autoSpaceDE/>
        <w:autoSpaceDN/>
        <w:adjustRightInd/>
        <w:spacing w:after="160" w:line="259" w:lineRule="auto"/>
        <w:jc w:val="right"/>
        <w:rPr>
          <w:rFonts w:ascii="Arial" w:hAnsi="Arial" w:cs="Arial"/>
          <w:b/>
          <w:iCs/>
          <w:strike/>
          <w:sz w:val="22"/>
          <w:szCs w:val="22"/>
          <w:lang w:val="fr-FR"/>
        </w:rPr>
      </w:pPr>
      <w:r w:rsidRPr="005D72F1">
        <w:rPr>
          <w:rFonts w:ascii="Arial" w:hAnsi="Arial" w:cs="Arial"/>
          <w:b/>
          <w:iCs/>
          <w:strike/>
          <w:sz w:val="22"/>
          <w:szCs w:val="22"/>
          <w:lang w:val="fr-FR"/>
        </w:rPr>
        <w:lastRenderedPageBreak/>
        <w:t>ANNEXE 1</w:t>
      </w:r>
    </w:p>
    <w:p w14:paraId="165471AB" w14:textId="77777777" w:rsidR="002F1B52" w:rsidRPr="005D72F1" w:rsidRDefault="002F1B52" w:rsidP="002F1B52">
      <w:pPr>
        <w:widowControl/>
        <w:autoSpaceDE/>
        <w:autoSpaceDN/>
        <w:adjustRightInd/>
        <w:spacing w:after="160" w:line="259" w:lineRule="auto"/>
        <w:jc w:val="center"/>
        <w:rPr>
          <w:rFonts w:ascii="Arial" w:hAnsi="Arial" w:cs="Arial"/>
          <w:b/>
          <w:iCs/>
          <w:strike/>
          <w:sz w:val="22"/>
          <w:szCs w:val="22"/>
          <w:lang w:val="fr-FR"/>
        </w:rPr>
      </w:pPr>
    </w:p>
    <w:p w14:paraId="409970A2" w14:textId="29C40DCC" w:rsidR="002F1B52" w:rsidRPr="005D72F1" w:rsidRDefault="002F1B52" w:rsidP="002F1B52">
      <w:pPr>
        <w:widowControl/>
        <w:autoSpaceDE/>
        <w:autoSpaceDN/>
        <w:adjustRightInd/>
        <w:spacing w:after="160" w:line="259" w:lineRule="auto"/>
        <w:jc w:val="center"/>
        <w:rPr>
          <w:rFonts w:ascii="Arial" w:hAnsi="Arial" w:cs="Arial"/>
          <w:b/>
          <w:iCs/>
          <w:strike/>
          <w:sz w:val="22"/>
          <w:szCs w:val="22"/>
          <w:lang w:val="fr-FR"/>
        </w:rPr>
      </w:pPr>
      <w:r w:rsidRPr="005D72F1">
        <w:rPr>
          <w:rFonts w:ascii="Arial" w:hAnsi="Arial" w:cs="Arial"/>
          <w:b/>
          <w:iCs/>
          <w:strike/>
          <w:sz w:val="22"/>
          <w:szCs w:val="22"/>
          <w:lang w:val="fr-FR"/>
        </w:rPr>
        <w:t xml:space="preserve">PROJET </w:t>
      </w:r>
      <w:r w:rsidR="00FA0DF5" w:rsidRPr="005D72F1">
        <w:rPr>
          <w:rFonts w:ascii="Arial" w:hAnsi="Arial" w:cs="Arial"/>
          <w:b/>
          <w:iCs/>
          <w:strike/>
          <w:sz w:val="22"/>
          <w:szCs w:val="22"/>
          <w:lang w:val="fr-FR"/>
        </w:rPr>
        <w:t>DE DECISIONS DE LA REUNION</w:t>
      </w:r>
    </w:p>
    <w:p w14:paraId="5AF69C59" w14:textId="77777777" w:rsidR="00A94048" w:rsidRPr="005D72F1" w:rsidRDefault="00A94048" w:rsidP="002F1B52">
      <w:pPr>
        <w:widowControl/>
        <w:autoSpaceDE/>
        <w:autoSpaceDN/>
        <w:adjustRightInd/>
        <w:rPr>
          <w:rFonts w:ascii="Arial" w:hAnsi="Arial" w:cs="Arial"/>
          <w:bCs/>
          <w:iCs/>
          <w:strike/>
          <w:sz w:val="22"/>
          <w:szCs w:val="22"/>
          <w:lang w:val="fr-FR"/>
        </w:rPr>
      </w:pPr>
    </w:p>
    <w:p w14:paraId="5982CF14" w14:textId="483601FA" w:rsidR="002F1B52" w:rsidRPr="005D72F1" w:rsidRDefault="002F1B52" w:rsidP="002F1B52">
      <w:pPr>
        <w:widowControl/>
        <w:autoSpaceDE/>
        <w:autoSpaceDN/>
        <w:adjustRightInd/>
        <w:rPr>
          <w:rFonts w:ascii="Arial" w:hAnsi="Arial" w:cs="Arial"/>
          <w:bCs/>
          <w:iCs/>
          <w:strike/>
          <w:sz w:val="22"/>
          <w:szCs w:val="22"/>
          <w:lang w:val="fr-FR"/>
        </w:rPr>
      </w:pPr>
      <w:r w:rsidRPr="005D72F1">
        <w:rPr>
          <w:rFonts w:ascii="Arial" w:hAnsi="Arial" w:cs="Arial"/>
          <w:bCs/>
          <w:iCs/>
          <w:strike/>
          <w:sz w:val="22"/>
          <w:szCs w:val="22"/>
          <w:lang w:val="fr-FR"/>
        </w:rPr>
        <w:t>Les Signataires</w:t>
      </w:r>
    </w:p>
    <w:p w14:paraId="0A4F1AB8" w14:textId="77777777" w:rsidR="002F1B52" w:rsidRPr="005D72F1" w:rsidRDefault="002F1B52" w:rsidP="002F1B52">
      <w:pPr>
        <w:widowControl/>
        <w:autoSpaceDE/>
        <w:autoSpaceDN/>
        <w:adjustRightInd/>
        <w:jc w:val="both"/>
        <w:rPr>
          <w:rFonts w:ascii="Arial" w:hAnsi="Arial" w:cs="Arial"/>
          <w:bCs/>
          <w:iCs/>
          <w:strike/>
          <w:sz w:val="22"/>
          <w:szCs w:val="22"/>
          <w:lang w:val="fr-FR"/>
        </w:rPr>
      </w:pPr>
    </w:p>
    <w:p w14:paraId="17C0C044" w14:textId="19DBE128" w:rsidR="002F1B52" w:rsidRPr="005D72F1" w:rsidRDefault="002F1B52" w:rsidP="002F1B52">
      <w:pPr>
        <w:pStyle w:val="ListParagraph"/>
        <w:widowControl/>
        <w:numPr>
          <w:ilvl w:val="0"/>
          <w:numId w:val="6"/>
        </w:numPr>
        <w:autoSpaceDE/>
        <w:autoSpaceDN/>
        <w:adjustRightInd/>
        <w:spacing w:after="160" w:line="259" w:lineRule="auto"/>
        <w:ind w:left="567" w:hanging="567"/>
        <w:jc w:val="both"/>
        <w:rPr>
          <w:rFonts w:ascii="Arial" w:hAnsi="Arial" w:cs="Arial"/>
          <w:bCs/>
          <w:iCs/>
          <w:strike/>
          <w:sz w:val="22"/>
          <w:szCs w:val="22"/>
          <w:lang w:val="fr-FR"/>
        </w:rPr>
      </w:pPr>
      <w:r w:rsidRPr="005D72F1">
        <w:rPr>
          <w:rFonts w:ascii="Arial" w:hAnsi="Arial" w:cs="Arial"/>
          <w:bCs/>
          <w:iCs/>
          <w:strike/>
          <w:sz w:val="22"/>
          <w:szCs w:val="22"/>
          <w:lang w:val="fr-FR"/>
        </w:rPr>
        <w:t xml:space="preserve">Se félicitent de l’initiative et des progrès réalisés par le Groupe de spécialistes des requins de la CSE de l’UICN dans l’élaboration </w:t>
      </w:r>
      <w:r w:rsidR="00FA0DF5" w:rsidRPr="005D72F1">
        <w:rPr>
          <w:rFonts w:ascii="Arial" w:hAnsi="Arial" w:cs="Arial"/>
          <w:bCs/>
          <w:iCs/>
          <w:strike/>
          <w:sz w:val="22"/>
          <w:szCs w:val="22"/>
          <w:lang w:val="fr-FR"/>
        </w:rPr>
        <w:t xml:space="preserve">d'une stratégie mondiale de conservation et de plans d'action régionaux </w:t>
      </w:r>
      <w:r w:rsidRPr="005D72F1">
        <w:rPr>
          <w:rFonts w:ascii="Arial" w:hAnsi="Arial" w:cs="Arial"/>
          <w:bCs/>
          <w:iCs/>
          <w:strike/>
          <w:sz w:val="22"/>
          <w:szCs w:val="22"/>
          <w:lang w:val="fr-FR"/>
        </w:rPr>
        <w:t xml:space="preserve">pour les requins et les raies pélagiques et conviennent de soutenir l’approche décrite dans le document </w:t>
      </w:r>
      <w:hyperlink r:id="rId21" w:history="1">
        <w:r w:rsidRPr="005D72F1">
          <w:rPr>
            <w:rStyle w:val="Hyperlink"/>
            <w:rFonts w:ascii="Arial" w:hAnsi="Arial" w:cs="Arial"/>
            <w:bCs/>
            <w:iCs/>
            <w:strike/>
            <w:sz w:val="22"/>
            <w:szCs w:val="22"/>
            <w:lang w:val="fr-FR"/>
          </w:rPr>
          <w:t>CMS/Sharks/MOS4/Doc 10.2</w:t>
        </w:r>
      </w:hyperlink>
      <w:r w:rsidRPr="005D72F1">
        <w:rPr>
          <w:rFonts w:ascii="Arial" w:hAnsi="Arial" w:cs="Arial"/>
          <w:bCs/>
          <w:iCs/>
          <w:strike/>
          <w:sz w:val="22"/>
          <w:szCs w:val="22"/>
          <w:lang w:val="fr-FR"/>
        </w:rPr>
        <w:t>.</w:t>
      </w:r>
    </w:p>
    <w:p w14:paraId="58DA7713" w14:textId="77777777" w:rsidR="00A94048" w:rsidRPr="005D72F1" w:rsidRDefault="00A94048" w:rsidP="002F1B52">
      <w:pPr>
        <w:ind w:left="567" w:hanging="567"/>
        <w:jc w:val="both"/>
        <w:rPr>
          <w:rFonts w:ascii="Arial" w:hAnsi="Arial" w:cs="Arial"/>
          <w:bCs/>
          <w:strike/>
          <w:sz w:val="22"/>
          <w:szCs w:val="22"/>
          <w:lang w:val="fr-FR"/>
        </w:rPr>
        <w:sectPr w:rsidR="00A94048" w:rsidRPr="005D72F1" w:rsidSect="00CC76F2">
          <w:headerReference w:type="even" r:id="rId22"/>
          <w:headerReference w:type="default" r:id="rId23"/>
          <w:footerReference w:type="even" r:id="rId24"/>
          <w:footerReference w:type="default" r:id="rId25"/>
          <w:headerReference w:type="first" r:id="rId26"/>
          <w:pgSz w:w="12240" w:h="15840"/>
          <w:pgMar w:top="1440" w:right="1440" w:bottom="1440" w:left="1440" w:header="720" w:footer="720" w:gutter="0"/>
          <w:cols w:space="720"/>
          <w:titlePg/>
          <w:docGrid w:linePitch="360"/>
        </w:sectPr>
      </w:pPr>
    </w:p>
    <w:p w14:paraId="33D05967" w14:textId="2B5379D3" w:rsidR="00A94048" w:rsidRPr="005D72F1" w:rsidRDefault="00A94048" w:rsidP="00A94048">
      <w:pPr>
        <w:ind w:right="-648"/>
        <w:jc w:val="right"/>
        <w:rPr>
          <w:rFonts w:ascii="Arial" w:hAnsi="Arial" w:cs="Arial"/>
          <w:b/>
          <w:iCs/>
          <w:strike/>
          <w:szCs w:val="20"/>
          <w:lang w:val="fr-FR"/>
        </w:rPr>
      </w:pPr>
      <w:r w:rsidRPr="005D72F1">
        <w:rPr>
          <w:rFonts w:ascii="Arial" w:hAnsi="Arial" w:cs="Arial"/>
          <w:b/>
          <w:iCs/>
          <w:strike/>
          <w:szCs w:val="20"/>
          <w:lang w:val="fr-FR"/>
        </w:rPr>
        <w:lastRenderedPageBreak/>
        <w:t>ANNEXE 2</w:t>
      </w:r>
    </w:p>
    <w:p w14:paraId="5B028F58" w14:textId="77777777" w:rsidR="00A94048" w:rsidRPr="005D72F1" w:rsidRDefault="00A94048" w:rsidP="00A94048">
      <w:pPr>
        <w:ind w:right="252"/>
        <w:jc w:val="center"/>
        <w:rPr>
          <w:rFonts w:ascii="Arial" w:hAnsi="Arial" w:cs="Arial"/>
          <w:bCs/>
          <w:iCs/>
          <w:strike/>
          <w:szCs w:val="20"/>
          <w:lang w:val="fr-FR"/>
        </w:rPr>
      </w:pPr>
      <w:r w:rsidRPr="005D72F1">
        <w:rPr>
          <w:rStyle w:val="normaltextrun"/>
          <w:rFonts w:ascii="Arial" w:hAnsi="Arial" w:cs="Arial"/>
          <w:b/>
          <w:bCs/>
          <w:strike/>
          <w:color w:val="000000"/>
          <w:szCs w:val="20"/>
          <w:shd w:val="clear" w:color="auto" w:fill="FFFFFF"/>
          <w:lang w:val="fr-FR"/>
        </w:rPr>
        <w:t>PROJET D’ACTIVITÉS POUR INCLUSION DANS LE PROGRAMME DE TRAVAIL 2023-2025</w:t>
      </w:r>
    </w:p>
    <w:p w14:paraId="0C421563" w14:textId="77777777" w:rsidR="00A94048" w:rsidRPr="005D72F1" w:rsidRDefault="00A94048" w:rsidP="00A94048">
      <w:pPr>
        <w:ind w:right="252"/>
        <w:rPr>
          <w:rFonts w:ascii="Arial" w:hAnsi="Arial" w:cs="Arial"/>
          <w:bCs/>
          <w:iCs/>
          <w:strike/>
          <w:szCs w:val="20"/>
          <w:lang w:val="fr-FR"/>
        </w:rPr>
      </w:pPr>
    </w:p>
    <w:tbl>
      <w:tblPr>
        <w:tblStyle w:val="PlainTable2"/>
        <w:tblW w:w="13542" w:type="dxa"/>
        <w:tblLayout w:type="fixed"/>
        <w:tblLook w:val="04A0" w:firstRow="1" w:lastRow="0" w:firstColumn="1" w:lastColumn="0" w:noHBand="0" w:noVBand="1"/>
      </w:tblPr>
      <w:tblGrid>
        <w:gridCol w:w="567"/>
        <w:gridCol w:w="4395"/>
        <w:gridCol w:w="1134"/>
        <w:gridCol w:w="1417"/>
        <w:gridCol w:w="1418"/>
        <w:gridCol w:w="1417"/>
        <w:gridCol w:w="1418"/>
        <w:gridCol w:w="1776"/>
      </w:tblGrid>
      <w:tr w:rsidR="00FE6528" w:rsidRPr="005D72F1" w14:paraId="0B0B2F8E" w14:textId="77777777" w:rsidTr="00A53DB8">
        <w:trPr>
          <w:cnfStyle w:val="100000000000" w:firstRow="1" w:lastRow="0" w:firstColumn="0" w:lastColumn="0" w:oddVBand="0" w:evenVBand="0" w:oddHBand="0" w:evenHBand="0" w:firstRowFirstColumn="0" w:firstRowLastColumn="0" w:lastRowFirstColumn="0" w:lastRowLastColumn="0"/>
          <w:trHeight w:val="705"/>
        </w:trPr>
        <w:tc>
          <w:tcPr>
            <w:cnfStyle w:val="001000000000" w:firstRow="0" w:lastRow="0" w:firstColumn="1" w:lastColumn="0" w:oddVBand="0" w:evenVBand="0" w:oddHBand="0" w:evenHBand="0" w:firstRowFirstColumn="0" w:firstRowLastColumn="0" w:lastRowFirstColumn="0" w:lastRowLastColumn="0"/>
            <w:tcW w:w="567" w:type="dxa"/>
            <w:vAlign w:val="center"/>
            <w:hideMark/>
          </w:tcPr>
          <w:p w14:paraId="5E3B3873" w14:textId="77777777" w:rsidR="00A94048" w:rsidRPr="005D72F1" w:rsidRDefault="00A94048" w:rsidP="008A5E68">
            <w:pPr>
              <w:widowControl/>
              <w:autoSpaceDE/>
              <w:autoSpaceDN/>
              <w:adjustRightInd/>
              <w:textAlignment w:val="baseline"/>
              <w:rPr>
                <w:rFonts w:ascii="Arial" w:hAnsi="Arial" w:cs="Arial"/>
                <w:strike/>
                <w:szCs w:val="20"/>
                <w:lang w:val="fr-FR" w:eastAsia="en-GB"/>
              </w:rPr>
            </w:pPr>
            <w:r w:rsidRPr="005D72F1">
              <w:rPr>
                <w:rFonts w:ascii="Arial" w:hAnsi="Arial" w:cs="Arial"/>
                <w:strike/>
                <w:szCs w:val="20"/>
                <w:lang w:val="fr-FR" w:eastAsia="en-GB"/>
              </w:rPr>
              <w:t>Nº</w:t>
            </w:r>
          </w:p>
        </w:tc>
        <w:tc>
          <w:tcPr>
            <w:tcW w:w="4395" w:type="dxa"/>
            <w:vAlign w:val="center"/>
            <w:hideMark/>
          </w:tcPr>
          <w:p w14:paraId="20F18A8A" w14:textId="77777777" w:rsidR="00A94048" w:rsidRPr="005D72F1" w:rsidRDefault="00A94048" w:rsidP="008A5E68">
            <w:pPr>
              <w:widowControl/>
              <w:autoSpaceDE/>
              <w:autoSpaceDN/>
              <w:adjustRightInd/>
              <w:textAlignment w:val="baseline"/>
              <w:cnfStyle w:val="100000000000" w:firstRow="1" w:lastRow="0" w:firstColumn="0" w:lastColumn="0" w:oddVBand="0" w:evenVBand="0" w:oddHBand="0" w:evenHBand="0" w:firstRowFirstColumn="0" w:firstRowLastColumn="0" w:lastRowFirstColumn="0" w:lastRowLastColumn="0"/>
              <w:rPr>
                <w:rFonts w:ascii="Arial" w:hAnsi="Arial" w:cs="Arial"/>
                <w:strike/>
                <w:szCs w:val="20"/>
                <w:lang w:val="fr-FR" w:eastAsia="en-GB"/>
              </w:rPr>
            </w:pPr>
            <w:r w:rsidRPr="005D72F1">
              <w:rPr>
                <w:rFonts w:ascii="Arial" w:hAnsi="Arial" w:cs="Arial"/>
                <w:strike/>
                <w:color w:val="000000"/>
                <w:szCs w:val="20"/>
                <w:lang w:val="fr-FR" w:eastAsia="en-GB"/>
              </w:rPr>
              <w:t>Activité</w:t>
            </w:r>
          </w:p>
        </w:tc>
        <w:tc>
          <w:tcPr>
            <w:tcW w:w="1134" w:type="dxa"/>
            <w:vAlign w:val="center"/>
            <w:hideMark/>
          </w:tcPr>
          <w:p w14:paraId="6D5CA626" w14:textId="77777777" w:rsidR="00A94048" w:rsidRPr="005D72F1" w:rsidRDefault="00A94048" w:rsidP="008A5E68">
            <w:pPr>
              <w:widowControl/>
              <w:autoSpaceDE/>
              <w:autoSpaceDN/>
              <w:adjustRightInd/>
              <w:textAlignment w:val="baseline"/>
              <w:cnfStyle w:val="100000000000" w:firstRow="1" w:lastRow="0" w:firstColumn="0" w:lastColumn="0" w:oddVBand="0" w:evenVBand="0" w:oddHBand="0" w:evenHBand="0" w:firstRowFirstColumn="0" w:firstRowLastColumn="0" w:lastRowFirstColumn="0" w:lastRowLastColumn="0"/>
              <w:rPr>
                <w:rFonts w:ascii="Arial" w:hAnsi="Arial" w:cs="Arial"/>
                <w:strike/>
                <w:szCs w:val="20"/>
                <w:lang w:val="fr-FR" w:eastAsia="en-GB"/>
              </w:rPr>
            </w:pPr>
            <w:r w:rsidRPr="005D72F1">
              <w:rPr>
                <w:rFonts w:ascii="Arial" w:hAnsi="Arial" w:cs="Arial"/>
                <w:strike/>
                <w:szCs w:val="20"/>
                <w:lang w:val="fr-FR" w:eastAsia="en-GB"/>
              </w:rPr>
              <w:t>Mandat</w:t>
            </w:r>
            <w:r w:rsidRPr="005D72F1">
              <w:rPr>
                <w:rStyle w:val="FootnoteReference"/>
                <w:rFonts w:ascii="Arial" w:eastAsia="Calibri" w:hAnsi="Arial" w:cs="Arial"/>
                <w:strike/>
                <w:szCs w:val="20"/>
                <w:lang w:val="fr-FR"/>
              </w:rPr>
              <w:footnoteReference w:id="6"/>
            </w:r>
          </w:p>
        </w:tc>
        <w:tc>
          <w:tcPr>
            <w:tcW w:w="1417" w:type="dxa"/>
            <w:vAlign w:val="center"/>
            <w:hideMark/>
          </w:tcPr>
          <w:p w14:paraId="165EEDBA" w14:textId="77777777" w:rsidR="00A94048" w:rsidRPr="005D72F1" w:rsidRDefault="00A94048" w:rsidP="008A5E68">
            <w:pPr>
              <w:widowControl/>
              <w:autoSpaceDE/>
              <w:autoSpaceDN/>
              <w:adjustRightInd/>
              <w:textAlignment w:val="baseline"/>
              <w:cnfStyle w:val="100000000000" w:firstRow="1" w:lastRow="0" w:firstColumn="0" w:lastColumn="0" w:oddVBand="0" w:evenVBand="0" w:oddHBand="0" w:evenHBand="0" w:firstRowFirstColumn="0" w:firstRowLastColumn="0" w:lastRowFirstColumn="0" w:lastRowLastColumn="0"/>
              <w:rPr>
                <w:rFonts w:ascii="Arial" w:hAnsi="Arial" w:cs="Arial"/>
                <w:strike/>
                <w:szCs w:val="20"/>
                <w:lang w:val="fr-FR" w:eastAsia="en-GB"/>
              </w:rPr>
            </w:pPr>
            <w:r w:rsidRPr="005D72F1">
              <w:rPr>
                <w:rFonts w:ascii="Arial" w:hAnsi="Arial" w:cs="Arial"/>
                <w:strike/>
                <w:szCs w:val="20"/>
                <w:lang w:val="fr-FR" w:eastAsia="en-GB"/>
              </w:rPr>
              <w:t>Priorité </w:t>
            </w:r>
          </w:p>
          <w:p w14:paraId="52D2BE07" w14:textId="77777777" w:rsidR="00A94048" w:rsidRPr="005D72F1" w:rsidRDefault="00A94048" w:rsidP="008A5E68">
            <w:pPr>
              <w:widowControl/>
              <w:autoSpaceDE/>
              <w:autoSpaceDN/>
              <w:adjustRightInd/>
              <w:textAlignment w:val="baseline"/>
              <w:cnfStyle w:val="100000000000" w:firstRow="1" w:lastRow="0" w:firstColumn="0" w:lastColumn="0" w:oddVBand="0" w:evenVBand="0" w:oddHBand="0" w:evenHBand="0" w:firstRowFirstColumn="0" w:firstRowLastColumn="0" w:lastRowFirstColumn="0" w:lastRowLastColumn="0"/>
              <w:rPr>
                <w:rFonts w:ascii="Arial" w:hAnsi="Arial" w:cs="Arial"/>
                <w:strike/>
                <w:szCs w:val="20"/>
                <w:lang w:val="fr-FR" w:eastAsia="en-GB"/>
              </w:rPr>
            </w:pPr>
            <w:r w:rsidRPr="005D72F1">
              <w:rPr>
                <w:rFonts w:ascii="Arial" w:hAnsi="Arial" w:cs="Arial"/>
                <w:strike/>
                <w:szCs w:val="20"/>
                <w:lang w:val="fr-FR" w:eastAsia="en-GB"/>
              </w:rPr>
              <w:t>classement</w:t>
            </w:r>
            <w:r w:rsidRPr="005D72F1">
              <w:rPr>
                <w:rStyle w:val="FootnoteReference"/>
                <w:rFonts w:ascii="Arial" w:eastAsia="Calibri" w:hAnsi="Arial" w:cs="Arial"/>
                <w:strike/>
                <w:szCs w:val="20"/>
                <w:lang w:val="fr-FR"/>
              </w:rPr>
              <w:footnoteReference w:id="7"/>
            </w:r>
          </w:p>
        </w:tc>
        <w:tc>
          <w:tcPr>
            <w:tcW w:w="1418" w:type="dxa"/>
            <w:vAlign w:val="center"/>
            <w:hideMark/>
          </w:tcPr>
          <w:p w14:paraId="79D0FAFD" w14:textId="77777777" w:rsidR="00A94048" w:rsidRPr="005D72F1" w:rsidRDefault="00A94048" w:rsidP="008A5E68">
            <w:pPr>
              <w:widowControl/>
              <w:autoSpaceDE/>
              <w:autoSpaceDN/>
              <w:adjustRightInd/>
              <w:textAlignment w:val="baseline"/>
              <w:cnfStyle w:val="100000000000" w:firstRow="1" w:lastRow="0" w:firstColumn="0" w:lastColumn="0" w:oddVBand="0" w:evenVBand="0" w:oddHBand="0" w:evenHBand="0" w:firstRowFirstColumn="0" w:firstRowLastColumn="0" w:lastRowFirstColumn="0" w:lastRowLastColumn="0"/>
              <w:rPr>
                <w:rFonts w:ascii="Arial" w:hAnsi="Arial" w:cs="Arial"/>
                <w:strike/>
                <w:szCs w:val="20"/>
                <w:lang w:val="fr-FR" w:eastAsia="en-GB"/>
              </w:rPr>
            </w:pPr>
            <w:r w:rsidRPr="005D72F1">
              <w:rPr>
                <w:rFonts w:ascii="Arial" w:hAnsi="Arial" w:cs="Arial"/>
                <w:strike/>
                <w:szCs w:val="20"/>
                <w:lang w:val="fr-FR" w:eastAsia="en-GB"/>
              </w:rPr>
              <w:t>Calendrier</w:t>
            </w:r>
            <w:r w:rsidRPr="005D72F1">
              <w:rPr>
                <w:rStyle w:val="FootnoteReference"/>
                <w:rFonts w:ascii="Arial" w:eastAsia="Calibri" w:hAnsi="Arial" w:cs="Arial"/>
                <w:strike/>
                <w:szCs w:val="20"/>
                <w:lang w:val="fr-FR"/>
              </w:rPr>
              <w:footnoteReference w:id="8"/>
            </w:r>
          </w:p>
        </w:tc>
        <w:tc>
          <w:tcPr>
            <w:tcW w:w="1417" w:type="dxa"/>
            <w:vAlign w:val="center"/>
            <w:hideMark/>
          </w:tcPr>
          <w:p w14:paraId="6139C40E" w14:textId="77777777" w:rsidR="00A94048" w:rsidRPr="005D72F1" w:rsidRDefault="00A94048" w:rsidP="008A5E68">
            <w:pPr>
              <w:widowControl/>
              <w:autoSpaceDE/>
              <w:autoSpaceDN/>
              <w:adjustRightInd/>
              <w:textAlignment w:val="baseline"/>
              <w:cnfStyle w:val="100000000000" w:firstRow="1" w:lastRow="0" w:firstColumn="0" w:lastColumn="0" w:oddVBand="0" w:evenVBand="0" w:oddHBand="0" w:evenHBand="0" w:firstRowFirstColumn="0" w:firstRowLastColumn="0" w:lastRowFirstColumn="0" w:lastRowLastColumn="0"/>
              <w:rPr>
                <w:rFonts w:ascii="Arial" w:hAnsi="Arial" w:cs="Arial"/>
                <w:strike/>
                <w:szCs w:val="20"/>
                <w:lang w:val="fr-FR" w:eastAsia="en-GB"/>
              </w:rPr>
            </w:pPr>
            <w:r w:rsidRPr="005D72F1">
              <w:rPr>
                <w:rFonts w:ascii="Arial" w:hAnsi="Arial" w:cs="Arial"/>
                <w:strike/>
                <w:szCs w:val="20"/>
                <w:lang w:val="fr-FR" w:eastAsia="en-GB"/>
              </w:rPr>
              <w:t>Entité responsable</w:t>
            </w:r>
            <w:r w:rsidRPr="005D72F1">
              <w:rPr>
                <w:rStyle w:val="FootnoteReference"/>
                <w:rFonts w:ascii="Arial" w:eastAsia="Calibri" w:hAnsi="Arial" w:cs="Arial"/>
                <w:strike/>
                <w:szCs w:val="20"/>
                <w:lang w:val="fr-FR"/>
              </w:rPr>
              <w:footnoteReference w:id="9"/>
            </w:r>
          </w:p>
        </w:tc>
        <w:tc>
          <w:tcPr>
            <w:tcW w:w="1418" w:type="dxa"/>
            <w:vAlign w:val="center"/>
            <w:hideMark/>
          </w:tcPr>
          <w:p w14:paraId="00232894" w14:textId="77777777" w:rsidR="00A94048" w:rsidRPr="005D72F1" w:rsidRDefault="00A94048" w:rsidP="008A5E68">
            <w:pPr>
              <w:widowControl/>
              <w:autoSpaceDE/>
              <w:autoSpaceDN/>
              <w:adjustRightInd/>
              <w:textAlignment w:val="baseline"/>
              <w:cnfStyle w:val="100000000000" w:firstRow="1" w:lastRow="0" w:firstColumn="0" w:lastColumn="0" w:oddVBand="0" w:evenVBand="0" w:oddHBand="0" w:evenHBand="0" w:firstRowFirstColumn="0" w:firstRowLastColumn="0" w:lastRowFirstColumn="0" w:lastRowLastColumn="0"/>
              <w:rPr>
                <w:rFonts w:ascii="Arial" w:hAnsi="Arial" w:cs="Arial"/>
                <w:strike/>
                <w:szCs w:val="20"/>
                <w:lang w:val="fr-FR" w:eastAsia="en-GB"/>
              </w:rPr>
            </w:pPr>
            <w:r w:rsidRPr="005D72F1">
              <w:rPr>
                <w:rFonts w:ascii="Arial" w:hAnsi="Arial" w:cs="Arial"/>
                <w:strike/>
                <w:szCs w:val="20"/>
                <w:lang w:val="fr-FR" w:eastAsia="en-GB"/>
              </w:rPr>
              <w:t>Besoins de financement pour la mise en œuvre</w:t>
            </w:r>
          </w:p>
        </w:tc>
        <w:tc>
          <w:tcPr>
            <w:tcW w:w="1776" w:type="dxa"/>
            <w:vAlign w:val="center"/>
            <w:hideMark/>
          </w:tcPr>
          <w:p w14:paraId="5FD860EC" w14:textId="77777777" w:rsidR="00A94048" w:rsidRPr="005D72F1" w:rsidRDefault="00A94048" w:rsidP="008A5E68">
            <w:pPr>
              <w:widowControl/>
              <w:autoSpaceDE/>
              <w:autoSpaceDN/>
              <w:adjustRightInd/>
              <w:textAlignment w:val="baseline"/>
              <w:cnfStyle w:val="100000000000" w:firstRow="1" w:lastRow="0" w:firstColumn="0" w:lastColumn="0" w:oddVBand="0" w:evenVBand="0" w:oddHBand="0" w:evenHBand="0" w:firstRowFirstColumn="0" w:firstRowLastColumn="0" w:lastRowFirstColumn="0" w:lastRowLastColumn="0"/>
              <w:rPr>
                <w:rFonts w:ascii="Arial" w:hAnsi="Arial" w:cs="Arial"/>
                <w:strike/>
                <w:szCs w:val="20"/>
                <w:lang w:val="fr-FR" w:eastAsia="en-GB"/>
              </w:rPr>
            </w:pPr>
            <w:r w:rsidRPr="005D72F1">
              <w:rPr>
                <w:rFonts w:ascii="Arial" w:hAnsi="Arial" w:cs="Arial"/>
                <w:strike/>
                <w:szCs w:val="20"/>
                <w:lang w:val="fr-FR" w:eastAsia="en-GB"/>
              </w:rPr>
              <w:t>Personnel du Secrétariat requis pour la mise en œuvre (jours ouvrables)</w:t>
            </w:r>
          </w:p>
        </w:tc>
      </w:tr>
      <w:tr w:rsidR="00A94048" w:rsidRPr="005D72F1" w14:paraId="01CADA7A" w14:textId="77777777" w:rsidTr="00A94048">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3542" w:type="dxa"/>
            <w:gridSpan w:val="8"/>
            <w:hideMark/>
          </w:tcPr>
          <w:p w14:paraId="472C1913" w14:textId="77777777" w:rsidR="00A94048" w:rsidRPr="005D72F1" w:rsidRDefault="00A94048" w:rsidP="008A5E68">
            <w:pPr>
              <w:widowControl/>
              <w:autoSpaceDE/>
              <w:autoSpaceDN/>
              <w:adjustRightInd/>
              <w:textAlignment w:val="baseline"/>
              <w:rPr>
                <w:rFonts w:ascii="Arial" w:hAnsi="Arial" w:cs="Arial"/>
                <w:strike/>
                <w:szCs w:val="20"/>
                <w:lang w:val="fr-FR" w:eastAsia="en-GB"/>
              </w:rPr>
            </w:pPr>
            <w:r w:rsidRPr="005D72F1">
              <w:rPr>
                <w:rFonts w:ascii="Arial" w:hAnsi="Arial" w:cs="Arial"/>
                <w:strike/>
                <w:szCs w:val="20"/>
                <w:lang w:val="fr-FR" w:eastAsia="en-GB"/>
              </w:rPr>
              <w:t>Conservation de l’espèce /Conservation de l’habitat </w:t>
            </w:r>
          </w:p>
        </w:tc>
      </w:tr>
      <w:tr w:rsidR="00A94048" w:rsidRPr="005D72F1" w14:paraId="61080FB8" w14:textId="77777777" w:rsidTr="00A94048">
        <w:trPr>
          <w:trHeight w:val="270"/>
        </w:trPr>
        <w:tc>
          <w:tcPr>
            <w:cnfStyle w:val="001000000000" w:firstRow="0" w:lastRow="0" w:firstColumn="1" w:lastColumn="0" w:oddVBand="0" w:evenVBand="0" w:oddHBand="0" w:evenHBand="0" w:firstRowFirstColumn="0" w:firstRowLastColumn="0" w:lastRowFirstColumn="0" w:lastRowLastColumn="0"/>
            <w:tcW w:w="13542" w:type="dxa"/>
            <w:gridSpan w:val="8"/>
            <w:hideMark/>
          </w:tcPr>
          <w:p w14:paraId="5E2C355D" w14:textId="77777777" w:rsidR="00A94048" w:rsidRPr="005D72F1" w:rsidRDefault="00A94048" w:rsidP="008A5E68">
            <w:pPr>
              <w:ind w:right="252"/>
              <w:rPr>
                <w:rFonts w:ascii="Arial" w:hAnsi="Arial" w:cs="Arial"/>
                <w:b w:val="0"/>
                <w:bCs w:val="0"/>
                <w:strike/>
                <w:szCs w:val="20"/>
                <w:lang w:val="fr-FR"/>
              </w:rPr>
            </w:pPr>
            <w:r w:rsidRPr="005D72F1">
              <w:rPr>
                <w:rFonts w:ascii="Arial" w:hAnsi="Arial" w:cs="Arial"/>
                <w:strike/>
                <w:szCs w:val="20"/>
                <w:lang w:val="fr-FR" w:eastAsia="en-GB"/>
              </w:rPr>
              <w:t xml:space="preserve">X. </w:t>
            </w:r>
            <w:r w:rsidRPr="005D72F1">
              <w:rPr>
                <w:rFonts w:ascii="Arial" w:hAnsi="Arial" w:cs="Arial"/>
                <w:strike/>
                <w:szCs w:val="20"/>
                <w:lang w:val="fr-FR"/>
              </w:rPr>
              <w:t>Élaboration d’une stratégie de conservation et de plans d’action régionaux pour les requins et les raies pélagiques</w:t>
            </w:r>
          </w:p>
        </w:tc>
      </w:tr>
      <w:tr w:rsidR="00FE6528" w:rsidRPr="005D72F1" w14:paraId="36D8D5D8" w14:textId="77777777" w:rsidTr="00A53DB8">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567" w:type="dxa"/>
          </w:tcPr>
          <w:p w14:paraId="0D4FFC02" w14:textId="77777777" w:rsidR="00A94048" w:rsidRPr="005D72F1" w:rsidRDefault="00A94048" w:rsidP="008A5E68">
            <w:pPr>
              <w:widowControl/>
              <w:autoSpaceDE/>
              <w:autoSpaceDN/>
              <w:adjustRightInd/>
              <w:textAlignment w:val="baseline"/>
              <w:rPr>
                <w:rFonts w:ascii="Arial" w:hAnsi="Arial" w:cs="Arial"/>
                <w:strike/>
                <w:szCs w:val="20"/>
                <w:lang w:val="en-GB" w:eastAsia="en-GB"/>
              </w:rPr>
            </w:pPr>
            <w:r w:rsidRPr="005D72F1">
              <w:rPr>
                <w:rFonts w:ascii="Arial" w:hAnsi="Arial" w:cs="Arial"/>
                <w:strike/>
                <w:szCs w:val="20"/>
                <w:lang w:val="en-GB" w:eastAsia="en-GB"/>
              </w:rPr>
              <w:t>x.1</w:t>
            </w:r>
          </w:p>
        </w:tc>
        <w:tc>
          <w:tcPr>
            <w:tcW w:w="4395" w:type="dxa"/>
          </w:tcPr>
          <w:p w14:paraId="50839D5C" w14:textId="77777777" w:rsidR="00A94048" w:rsidRPr="005D72F1" w:rsidRDefault="00A94048" w:rsidP="008A5E68">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trike/>
                <w:szCs w:val="20"/>
                <w:lang w:val="fr-FR"/>
              </w:rPr>
            </w:pPr>
            <w:r w:rsidRPr="005D72F1">
              <w:rPr>
                <w:rFonts w:ascii="Arial" w:hAnsi="Arial" w:cs="Arial"/>
                <w:strike/>
                <w:szCs w:val="20"/>
                <w:lang w:val="fr-FR"/>
              </w:rPr>
              <w:t>Fournir un appui technique au Groupe de spécialistes des requins de la CSE de l’UICN, notamment en partageant les informations et l’expertise pertinentes et en participant aux ateliers d’experts et aux réunions et processus de planification de la conservation.</w:t>
            </w:r>
          </w:p>
        </w:tc>
        <w:tc>
          <w:tcPr>
            <w:tcW w:w="1134" w:type="dxa"/>
          </w:tcPr>
          <w:p w14:paraId="6438BAF2" w14:textId="77777777" w:rsidR="00A94048" w:rsidRPr="005D72F1" w:rsidRDefault="00A94048" w:rsidP="008A5E68">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trike/>
                <w:szCs w:val="20"/>
                <w:lang w:val="fr-FR" w:eastAsia="en-GB"/>
              </w:rPr>
            </w:pPr>
            <w:r w:rsidRPr="005D72F1">
              <w:rPr>
                <w:rFonts w:ascii="Arial" w:hAnsi="Arial" w:cs="Arial"/>
                <w:strike/>
                <w:szCs w:val="20"/>
                <w:lang w:val="fr-FR" w:eastAsia="en-GB"/>
              </w:rPr>
              <w:t>Décisions MOS4 (CP 1.3 &amp; 3.2)</w:t>
            </w:r>
          </w:p>
        </w:tc>
        <w:tc>
          <w:tcPr>
            <w:tcW w:w="1417" w:type="dxa"/>
          </w:tcPr>
          <w:p w14:paraId="6F68BEA9" w14:textId="77777777" w:rsidR="00A94048" w:rsidRPr="005D72F1" w:rsidRDefault="00A94048" w:rsidP="008A5E68">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trike/>
                <w:szCs w:val="20"/>
                <w:lang w:val="fr-FR" w:eastAsia="en-GB"/>
              </w:rPr>
            </w:pPr>
            <w:r w:rsidRPr="005D72F1">
              <w:rPr>
                <w:rFonts w:ascii="Arial" w:hAnsi="Arial" w:cs="Arial"/>
                <w:strike/>
                <w:szCs w:val="20"/>
                <w:lang w:val="fr-FR" w:eastAsia="en-GB"/>
              </w:rPr>
              <w:t>à déterminer </w:t>
            </w:r>
          </w:p>
        </w:tc>
        <w:tc>
          <w:tcPr>
            <w:tcW w:w="1418" w:type="dxa"/>
          </w:tcPr>
          <w:p w14:paraId="2067570D" w14:textId="77777777" w:rsidR="00A94048" w:rsidRPr="005D72F1" w:rsidRDefault="00A94048" w:rsidP="008A5E68">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trike/>
                <w:szCs w:val="20"/>
                <w:lang w:val="fr-FR" w:eastAsia="en-GB"/>
              </w:rPr>
            </w:pPr>
            <w:r w:rsidRPr="005D72F1">
              <w:rPr>
                <w:rFonts w:ascii="Arial" w:hAnsi="Arial" w:cs="Arial"/>
                <w:strike/>
                <w:szCs w:val="20"/>
                <w:lang w:val="fr-FR" w:eastAsia="en-GB"/>
              </w:rPr>
              <w:t>à déterminer </w:t>
            </w:r>
          </w:p>
        </w:tc>
        <w:tc>
          <w:tcPr>
            <w:tcW w:w="1417" w:type="dxa"/>
          </w:tcPr>
          <w:p w14:paraId="378358BA" w14:textId="77777777" w:rsidR="00A94048" w:rsidRPr="005D72F1" w:rsidRDefault="00A94048" w:rsidP="008A5E68">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trike/>
                <w:szCs w:val="20"/>
                <w:lang w:val="fr-FR" w:eastAsia="en-GB"/>
              </w:rPr>
            </w:pPr>
            <w:r w:rsidRPr="005D72F1">
              <w:rPr>
                <w:rFonts w:ascii="Arial" w:hAnsi="Arial" w:cs="Arial"/>
                <w:strike/>
                <w:szCs w:val="20"/>
                <w:lang w:val="fr-FR" w:eastAsia="en-GB"/>
              </w:rPr>
              <w:t>CC, SIG, (SEC : si les fonds ont été fournis par le Secrétariat)</w:t>
            </w:r>
          </w:p>
        </w:tc>
        <w:tc>
          <w:tcPr>
            <w:tcW w:w="1418" w:type="dxa"/>
            <w:shd w:val="clear" w:color="auto" w:fill="auto"/>
          </w:tcPr>
          <w:p w14:paraId="44EFAA97" w14:textId="26587571" w:rsidR="00A94048" w:rsidRPr="005D72F1" w:rsidRDefault="00FE6528" w:rsidP="008A5E68">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trike/>
                <w:szCs w:val="20"/>
                <w:shd w:val="clear" w:color="auto" w:fill="FFFF00"/>
                <w:lang w:val="fr-FR" w:eastAsia="en-GB"/>
              </w:rPr>
            </w:pPr>
            <w:r w:rsidRPr="005D72F1">
              <w:rPr>
                <w:rFonts w:ascii="Arial" w:hAnsi="Arial" w:cs="Arial"/>
                <w:strike/>
                <w:szCs w:val="20"/>
                <w:lang w:val="fr-FR" w:eastAsia="en-GB"/>
              </w:rPr>
              <w:t>10 000 euros par réunion pour les déplacements du Comité consultatif</w:t>
            </w:r>
          </w:p>
        </w:tc>
        <w:tc>
          <w:tcPr>
            <w:tcW w:w="1776" w:type="dxa"/>
          </w:tcPr>
          <w:p w14:paraId="39704696" w14:textId="3E4D26A9" w:rsidR="00A94048" w:rsidRPr="005D72F1" w:rsidRDefault="00F604E3" w:rsidP="008A5E68">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trike/>
                <w:szCs w:val="20"/>
                <w:lang w:val="fr-FR" w:eastAsia="en-GB"/>
              </w:rPr>
            </w:pPr>
            <w:r w:rsidRPr="005D72F1">
              <w:rPr>
                <w:rFonts w:ascii="Arial" w:hAnsi="Arial" w:cs="Arial"/>
                <w:strike/>
                <w:szCs w:val="20"/>
                <w:lang w:val="fr-FR" w:eastAsia="en-GB"/>
              </w:rPr>
              <w:t xml:space="preserve">Personnel </w:t>
            </w:r>
            <w:r w:rsidR="00A94048" w:rsidRPr="005D72F1">
              <w:rPr>
                <w:rFonts w:ascii="Arial" w:hAnsi="Arial" w:cs="Arial"/>
                <w:strike/>
                <w:szCs w:val="20"/>
                <w:lang w:val="fr-FR" w:eastAsia="en-GB"/>
              </w:rPr>
              <w:t>P : 0.5</w:t>
            </w:r>
          </w:p>
          <w:p w14:paraId="2350B944" w14:textId="588BFDB5" w:rsidR="00A94048" w:rsidRPr="005D72F1" w:rsidRDefault="00F604E3" w:rsidP="008A5E68">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trike/>
                <w:szCs w:val="20"/>
                <w:lang w:val="fr-FR" w:eastAsia="en-GB"/>
              </w:rPr>
            </w:pPr>
            <w:r w:rsidRPr="005D72F1">
              <w:rPr>
                <w:rFonts w:ascii="Arial" w:hAnsi="Arial" w:cs="Arial"/>
                <w:strike/>
                <w:szCs w:val="20"/>
                <w:lang w:val="fr-FR" w:eastAsia="en-GB"/>
              </w:rPr>
              <w:t xml:space="preserve">Personnel </w:t>
            </w:r>
            <w:r w:rsidR="00A94048" w:rsidRPr="005D72F1">
              <w:rPr>
                <w:rFonts w:ascii="Arial" w:hAnsi="Arial" w:cs="Arial"/>
                <w:strike/>
                <w:szCs w:val="20"/>
                <w:lang w:val="fr-FR" w:eastAsia="en-GB"/>
              </w:rPr>
              <w:t>G : 0.5</w:t>
            </w:r>
          </w:p>
          <w:p w14:paraId="6AE03832" w14:textId="77777777" w:rsidR="00A94048" w:rsidRPr="005D72F1" w:rsidRDefault="00A94048" w:rsidP="008A5E68">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trike/>
                <w:szCs w:val="20"/>
                <w:lang w:val="fr-FR" w:eastAsia="en-GB"/>
              </w:rPr>
            </w:pPr>
            <w:r w:rsidRPr="005D72F1">
              <w:rPr>
                <w:rFonts w:ascii="Arial" w:hAnsi="Arial" w:cs="Arial"/>
                <w:strike/>
                <w:szCs w:val="20"/>
                <w:lang w:val="fr-FR" w:eastAsia="en-GB"/>
              </w:rPr>
              <w:t>(gestion des voyages)</w:t>
            </w:r>
          </w:p>
        </w:tc>
      </w:tr>
      <w:tr w:rsidR="00FE6528" w:rsidRPr="005D72F1" w14:paraId="1D15627F" w14:textId="77777777" w:rsidTr="00A53DB8">
        <w:trPr>
          <w:trHeight w:val="420"/>
        </w:trPr>
        <w:tc>
          <w:tcPr>
            <w:cnfStyle w:val="001000000000" w:firstRow="0" w:lastRow="0" w:firstColumn="1" w:lastColumn="0" w:oddVBand="0" w:evenVBand="0" w:oddHBand="0" w:evenHBand="0" w:firstRowFirstColumn="0" w:firstRowLastColumn="0" w:lastRowFirstColumn="0" w:lastRowLastColumn="0"/>
            <w:tcW w:w="567" w:type="dxa"/>
          </w:tcPr>
          <w:p w14:paraId="379086BA" w14:textId="77777777" w:rsidR="00A94048" w:rsidRPr="005D72F1" w:rsidRDefault="00A94048" w:rsidP="008A5E68">
            <w:pPr>
              <w:widowControl/>
              <w:autoSpaceDE/>
              <w:autoSpaceDN/>
              <w:adjustRightInd/>
              <w:textAlignment w:val="baseline"/>
              <w:rPr>
                <w:rFonts w:ascii="Arial" w:hAnsi="Arial" w:cs="Arial"/>
                <w:strike/>
                <w:szCs w:val="20"/>
                <w:lang w:val="en-GB" w:eastAsia="en-GB"/>
              </w:rPr>
            </w:pPr>
            <w:r w:rsidRPr="005D72F1">
              <w:rPr>
                <w:rFonts w:ascii="Arial" w:hAnsi="Arial" w:cs="Arial"/>
                <w:strike/>
                <w:szCs w:val="20"/>
                <w:lang w:val="en-GB" w:eastAsia="en-GB"/>
              </w:rPr>
              <w:t>x.2</w:t>
            </w:r>
          </w:p>
        </w:tc>
        <w:tc>
          <w:tcPr>
            <w:tcW w:w="4395" w:type="dxa"/>
          </w:tcPr>
          <w:p w14:paraId="3E8D5D72" w14:textId="4BF614C7" w:rsidR="00A94048" w:rsidRPr="005D72F1" w:rsidRDefault="00A94048" w:rsidP="008A5E68">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trike/>
                <w:szCs w:val="20"/>
                <w:lang w:val="fr-FR"/>
              </w:rPr>
            </w:pPr>
            <w:r w:rsidRPr="005D72F1">
              <w:rPr>
                <w:rStyle w:val="normaltextrun"/>
                <w:rFonts w:ascii="Arial" w:hAnsi="Arial" w:cs="Arial"/>
                <w:strike/>
                <w:color w:val="000000"/>
                <w:szCs w:val="20"/>
                <w:shd w:val="clear" w:color="auto" w:fill="FFFFFF"/>
                <w:lang w:val="fr-FR"/>
              </w:rPr>
              <w:t xml:space="preserve">Fournir un financement pour soutenir l’élaboration d’une </w:t>
            </w:r>
            <w:r w:rsidR="00FE6528" w:rsidRPr="005D72F1">
              <w:rPr>
                <w:rFonts w:ascii="Arial" w:hAnsi="Arial" w:cs="Arial"/>
                <w:strike/>
                <w:szCs w:val="20"/>
                <w:lang w:val="fr-FR"/>
              </w:rPr>
              <w:t xml:space="preserve">stratégie de conservation globale </w:t>
            </w:r>
            <w:r w:rsidRPr="005D72F1">
              <w:rPr>
                <w:rStyle w:val="normaltextrun"/>
                <w:rFonts w:ascii="Arial" w:hAnsi="Arial" w:cs="Arial"/>
                <w:strike/>
                <w:color w:val="000000"/>
                <w:szCs w:val="20"/>
                <w:shd w:val="clear" w:color="auto" w:fill="FFFFFF"/>
                <w:lang w:val="fr-FR"/>
              </w:rPr>
              <w:t xml:space="preserve">et plan d’action </w:t>
            </w:r>
            <w:r w:rsidR="00FE6528" w:rsidRPr="005D72F1">
              <w:rPr>
                <w:rStyle w:val="normaltextrun"/>
                <w:rFonts w:ascii="Arial" w:hAnsi="Arial" w:cs="Arial"/>
                <w:strike/>
                <w:color w:val="000000"/>
                <w:szCs w:val="20"/>
                <w:shd w:val="clear" w:color="auto" w:fill="FFFFFF"/>
                <w:lang w:val="fr-FR"/>
              </w:rPr>
              <w:t xml:space="preserve">régional </w:t>
            </w:r>
            <w:r w:rsidRPr="005D72F1">
              <w:rPr>
                <w:rStyle w:val="normaltextrun"/>
                <w:rFonts w:ascii="Arial" w:hAnsi="Arial" w:cs="Arial"/>
                <w:strike/>
                <w:color w:val="000000"/>
                <w:szCs w:val="20"/>
                <w:shd w:val="clear" w:color="auto" w:fill="FFFFFF"/>
                <w:lang w:val="fr-FR"/>
              </w:rPr>
              <w:t>pour la conservation des requins</w:t>
            </w:r>
            <w:r w:rsidR="00FE6528" w:rsidRPr="005D72F1">
              <w:rPr>
                <w:strike/>
                <w:lang w:val="fr-FR"/>
              </w:rPr>
              <w:t xml:space="preserve"> </w:t>
            </w:r>
            <w:r w:rsidR="00FE6528" w:rsidRPr="005D72F1">
              <w:rPr>
                <w:rStyle w:val="normaltextrun"/>
                <w:rFonts w:ascii="Arial" w:hAnsi="Arial" w:cs="Arial"/>
                <w:strike/>
                <w:color w:val="000000"/>
                <w:szCs w:val="20"/>
                <w:shd w:val="clear" w:color="auto" w:fill="FFFFFF"/>
                <w:lang w:val="fr-FR"/>
              </w:rPr>
              <w:t>et raies</w:t>
            </w:r>
            <w:r w:rsidRPr="005D72F1">
              <w:rPr>
                <w:rStyle w:val="normaltextrun"/>
                <w:rFonts w:ascii="Arial" w:hAnsi="Arial" w:cs="Arial"/>
                <w:strike/>
                <w:color w:val="000000"/>
                <w:szCs w:val="20"/>
                <w:shd w:val="clear" w:color="auto" w:fill="FFFFFF"/>
                <w:lang w:val="fr-FR"/>
              </w:rPr>
              <w:t xml:space="preserve"> pélagiques, en se concentrant initialement sur la région de l’océan Indien.</w:t>
            </w:r>
          </w:p>
        </w:tc>
        <w:tc>
          <w:tcPr>
            <w:tcW w:w="1134" w:type="dxa"/>
          </w:tcPr>
          <w:p w14:paraId="5046AA04" w14:textId="77777777" w:rsidR="00A94048" w:rsidRPr="005D72F1" w:rsidRDefault="00A94048" w:rsidP="008A5E68">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trike/>
                <w:szCs w:val="20"/>
                <w:lang w:val="fr-FR" w:eastAsia="en-GB"/>
              </w:rPr>
            </w:pPr>
            <w:r w:rsidRPr="005D72F1">
              <w:rPr>
                <w:rFonts w:ascii="Arial" w:hAnsi="Arial" w:cs="Arial"/>
                <w:strike/>
                <w:szCs w:val="20"/>
                <w:lang w:val="fr-FR" w:eastAsia="en-GB"/>
              </w:rPr>
              <w:t>Décisions MOS4 (CP 1.3 &amp; 3.2)</w:t>
            </w:r>
          </w:p>
        </w:tc>
        <w:tc>
          <w:tcPr>
            <w:tcW w:w="1417" w:type="dxa"/>
          </w:tcPr>
          <w:p w14:paraId="41F53FDB" w14:textId="77777777" w:rsidR="00A94048" w:rsidRPr="005D72F1" w:rsidRDefault="00A94048" w:rsidP="008A5E68">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trike/>
                <w:szCs w:val="20"/>
                <w:lang w:val="fr-FR" w:eastAsia="en-GB"/>
              </w:rPr>
            </w:pPr>
            <w:r w:rsidRPr="005D72F1">
              <w:rPr>
                <w:rFonts w:ascii="Arial" w:hAnsi="Arial" w:cs="Arial"/>
                <w:strike/>
                <w:szCs w:val="20"/>
                <w:lang w:val="fr-FR" w:eastAsia="en-GB"/>
              </w:rPr>
              <w:t>à déterminer </w:t>
            </w:r>
          </w:p>
        </w:tc>
        <w:tc>
          <w:tcPr>
            <w:tcW w:w="1418" w:type="dxa"/>
          </w:tcPr>
          <w:p w14:paraId="789F9DAE" w14:textId="77777777" w:rsidR="00A94048" w:rsidRPr="005D72F1" w:rsidRDefault="00A94048" w:rsidP="008A5E68">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trike/>
                <w:szCs w:val="20"/>
                <w:lang w:val="fr-FR" w:eastAsia="en-GB"/>
              </w:rPr>
            </w:pPr>
            <w:r w:rsidRPr="005D72F1">
              <w:rPr>
                <w:rFonts w:ascii="Arial" w:hAnsi="Arial" w:cs="Arial"/>
                <w:strike/>
                <w:szCs w:val="20"/>
                <w:lang w:val="fr-FR" w:eastAsia="en-GB"/>
              </w:rPr>
              <w:t>à déterminer </w:t>
            </w:r>
          </w:p>
        </w:tc>
        <w:tc>
          <w:tcPr>
            <w:tcW w:w="1417" w:type="dxa"/>
          </w:tcPr>
          <w:p w14:paraId="1E711659" w14:textId="77777777" w:rsidR="00A94048" w:rsidRPr="005D72F1" w:rsidRDefault="00A94048" w:rsidP="008A5E68">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trike/>
                <w:szCs w:val="20"/>
                <w:lang w:val="fr-FR" w:eastAsia="en-GB"/>
              </w:rPr>
            </w:pPr>
            <w:r w:rsidRPr="005D72F1">
              <w:rPr>
                <w:rFonts w:ascii="Arial" w:hAnsi="Arial" w:cs="Arial"/>
                <w:strike/>
                <w:szCs w:val="20"/>
                <w:lang w:val="fr-FR" w:eastAsia="en-GB"/>
              </w:rPr>
              <w:t>CC, SIG, (SEC : si les fonds ont été fournis par le Secrétariat)</w:t>
            </w:r>
          </w:p>
        </w:tc>
        <w:tc>
          <w:tcPr>
            <w:tcW w:w="1418" w:type="dxa"/>
          </w:tcPr>
          <w:p w14:paraId="73730ACD" w14:textId="353392A4" w:rsidR="00A94048" w:rsidRPr="005D72F1" w:rsidRDefault="00A94048" w:rsidP="008A5E68">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trike/>
                <w:szCs w:val="20"/>
                <w:shd w:val="clear" w:color="auto" w:fill="FFFF00"/>
                <w:lang w:val="fr-FR" w:eastAsia="en-GB"/>
              </w:rPr>
            </w:pPr>
            <w:r w:rsidRPr="005D72F1">
              <w:rPr>
                <w:rFonts w:ascii="Arial" w:hAnsi="Arial" w:cs="Arial"/>
                <w:strike/>
                <w:szCs w:val="20"/>
                <w:lang w:val="fr-FR" w:eastAsia="en-GB"/>
              </w:rPr>
              <w:t>250 000 euros (fonds du projet</w:t>
            </w:r>
            <w:r w:rsidR="004F1E31" w:rsidRPr="005D72F1">
              <w:rPr>
                <w:rFonts w:ascii="Arial" w:hAnsi="Arial" w:cs="Arial"/>
                <w:strike/>
                <w:szCs w:val="20"/>
                <w:lang w:val="fr-FR" w:eastAsia="en-GB"/>
              </w:rPr>
              <w:t xml:space="preserve"> pour </w:t>
            </w:r>
            <w:r w:rsidR="004F1E31" w:rsidRPr="005D72F1">
              <w:rPr>
                <w:rStyle w:val="normaltextrun"/>
                <w:rFonts w:ascii="Arial" w:hAnsi="Arial" w:cs="Arial"/>
                <w:strike/>
                <w:color w:val="000000"/>
                <w:szCs w:val="20"/>
                <w:shd w:val="clear" w:color="auto" w:fill="FFFFFF"/>
                <w:lang w:val="fr-FR"/>
              </w:rPr>
              <w:t>la région de l’océan Indien</w:t>
            </w:r>
            <w:r w:rsidRPr="005D72F1">
              <w:rPr>
                <w:rFonts w:ascii="Arial" w:hAnsi="Arial" w:cs="Arial"/>
                <w:strike/>
                <w:szCs w:val="20"/>
                <w:lang w:val="fr-FR" w:eastAsia="en-GB"/>
              </w:rPr>
              <w:t>)</w:t>
            </w:r>
          </w:p>
        </w:tc>
        <w:tc>
          <w:tcPr>
            <w:tcW w:w="1776" w:type="dxa"/>
          </w:tcPr>
          <w:p w14:paraId="1F725CB3" w14:textId="77777777" w:rsidR="00A94048" w:rsidRPr="005D72F1" w:rsidRDefault="00A94048" w:rsidP="008A5E68">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trike/>
                <w:szCs w:val="20"/>
                <w:lang w:val="fr-FR" w:eastAsia="en-GB"/>
              </w:rPr>
            </w:pPr>
            <w:r w:rsidRPr="005D72F1">
              <w:rPr>
                <w:rFonts w:ascii="Arial" w:hAnsi="Arial" w:cs="Arial"/>
                <w:strike/>
                <w:szCs w:val="20"/>
                <w:lang w:val="fr-FR" w:eastAsia="en-GB"/>
              </w:rPr>
              <w:t>Personnel P : 5</w:t>
            </w:r>
          </w:p>
          <w:p w14:paraId="015B0D2F" w14:textId="77777777" w:rsidR="00A94048" w:rsidRPr="005D72F1" w:rsidRDefault="00A94048" w:rsidP="008A5E68">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trike/>
                <w:szCs w:val="20"/>
                <w:lang w:val="fr-FR" w:eastAsia="en-GB"/>
              </w:rPr>
            </w:pPr>
            <w:r w:rsidRPr="005D72F1">
              <w:rPr>
                <w:rFonts w:ascii="Arial" w:hAnsi="Arial" w:cs="Arial"/>
                <w:strike/>
                <w:szCs w:val="20"/>
                <w:lang w:val="fr-FR" w:eastAsia="en-GB"/>
              </w:rPr>
              <w:t>(collecte de fonds, gestion des accords avec les donateurs)</w:t>
            </w:r>
          </w:p>
        </w:tc>
      </w:tr>
      <w:tr w:rsidR="00FE6528" w:rsidRPr="005D72F1" w14:paraId="0B49505E" w14:textId="77777777" w:rsidTr="00A53DB8">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567" w:type="dxa"/>
          </w:tcPr>
          <w:p w14:paraId="5870723C" w14:textId="77777777" w:rsidR="00A94048" w:rsidRPr="005D72F1" w:rsidRDefault="00A94048" w:rsidP="008A5E68">
            <w:pPr>
              <w:widowControl/>
              <w:autoSpaceDE/>
              <w:autoSpaceDN/>
              <w:adjustRightInd/>
              <w:textAlignment w:val="baseline"/>
              <w:rPr>
                <w:rFonts w:ascii="Arial" w:hAnsi="Arial" w:cs="Arial"/>
                <w:strike/>
                <w:szCs w:val="20"/>
                <w:lang w:val="en-GB" w:eastAsia="en-GB"/>
              </w:rPr>
            </w:pPr>
            <w:r w:rsidRPr="005D72F1">
              <w:rPr>
                <w:rFonts w:ascii="Arial" w:hAnsi="Arial" w:cs="Arial"/>
                <w:strike/>
                <w:szCs w:val="20"/>
                <w:lang w:val="en-GB" w:eastAsia="en-GB"/>
              </w:rPr>
              <w:t>x.3</w:t>
            </w:r>
          </w:p>
        </w:tc>
        <w:tc>
          <w:tcPr>
            <w:tcW w:w="4395" w:type="dxa"/>
          </w:tcPr>
          <w:p w14:paraId="6CDB53CE" w14:textId="77777777" w:rsidR="00A94048" w:rsidRPr="005D72F1" w:rsidRDefault="00A94048" w:rsidP="008A5E68">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Style w:val="normaltextrun"/>
                <w:rFonts w:ascii="Arial" w:hAnsi="Arial" w:cs="Arial"/>
                <w:strike/>
                <w:color w:val="000000"/>
                <w:szCs w:val="20"/>
                <w:shd w:val="clear" w:color="auto" w:fill="FFFFFF"/>
                <w:lang w:val="fr-FR"/>
              </w:rPr>
            </w:pPr>
            <w:r w:rsidRPr="005D72F1">
              <w:rPr>
                <w:rFonts w:ascii="Arial" w:hAnsi="Arial" w:cs="Arial"/>
                <w:strike/>
                <w:szCs w:val="20"/>
                <w:lang w:val="fr-FR"/>
              </w:rPr>
              <w:t>Assurer la liaison avec le Groupe de spécialistes des requins de la CSE de l’UICN au sujet de l’élaboration d’une stratégie de conservation globale et de plans d’action régionaux pour les requins et les raies pélagiques.</w:t>
            </w:r>
          </w:p>
        </w:tc>
        <w:tc>
          <w:tcPr>
            <w:tcW w:w="1134" w:type="dxa"/>
          </w:tcPr>
          <w:p w14:paraId="352AEC7D" w14:textId="77777777" w:rsidR="00A94048" w:rsidRPr="005D72F1" w:rsidRDefault="00A94048" w:rsidP="008A5E68">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trike/>
                <w:szCs w:val="20"/>
                <w:lang w:val="fr-FR" w:eastAsia="en-GB"/>
              </w:rPr>
            </w:pPr>
            <w:r w:rsidRPr="005D72F1">
              <w:rPr>
                <w:rFonts w:ascii="Arial" w:hAnsi="Arial" w:cs="Arial"/>
                <w:strike/>
                <w:szCs w:val="20"/>
                <w:lang w:val="fr-FR" w:eastAsia="en-GB"/>
              </w:rPr>
              <w:t>Décisions MOS4 (CP 1.3 &amp; 3.2)</w:t>
            </w:r>
          </w:p>
        </w:tc>
        <w:tc>
          <w:tcPr>
            <w:tcW w:w="1417" w:type="dxa"/>
          </w:tcPr>
          <w:p w14:paraId="4ABF4B8E" w14:textId="77777777" w:rsidR="00A94048" w:rsidRPr="005D72F1" w:rsidRDefault="00A94048" w:rsidP="008A5E68">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trike/>
                <w:szCs w:val="20"/>
                <w:lang w:val="fr-FR" w:eastAsia="en-GB"/>
              </w:rPr>
            </w:pPr>
            <w:r w:rsidRPr="005D72F1">
              <w:rPr>
                <w:rFonts w:ascii="Arial" w:hAnsi="Arial" w:cs="Arial"/>
                <w:strike/>
                <w:szCs w:val="20"/>
                <w:lang w:val="fr-FR" w:eastAsia="en-GB"/>
              </w:rPr>
              <w:t>à déterminer </w:t>
            </w:r>
          </w:p>
        </w:tc>
        <w:tc>
          <w:tcPr>
            <w:tcW w:w="1418" w:type="dxa"/>
          </w:tcPr>
          <w:p w14:paraId="27C25FC1" w14:textId="77777777" w:rsidR="00A94048" w:rsidRPr="005D72F1" w:rsidRDefault="00A94048" w:rsidP="008A5E68">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trike/>
                <w:szCs w:val="20"/>
                <w:lang w:val="fr-FR" w:eastAsia="en-GB"/>
              </w:rPr>
            </w:pPr>
            <w:r w:rsidRPr="005D72F1">
              <w:rPr>
                <w:rFonts w:ascii="Arial" w:hAnsi="Arial" w:cs="Arial"/>
                <w:strike/>
                <w:szCs w:val="20"/>
                <w:lang w:val="fr-FR" w:eastAsia="en-GB"/>
              </w:rPr>
              <w:t>à déterminer </w:t>
            </w:r>
          </w:p>
        </w:tc>
        <w:tc>
          <w:tcPr>
            <w:tcW w:w="1417" w:type="dxa"/>
          </w:tcPr>
          <w:p w14:paraId="66E0286E" w14:textId="77777777" w:rsidR="00A94048" w:rsidRPr="005D72F1" w:rsidRDefault="00A94048" w:rsidP="008A5E68">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trike/>
                <w:szCs w:val="20"/>
                <w:lang w:val="en-GB" w:eastAsia="en-GB"/>
              </w:rPr>
            </w:pPr>
            <w:r w:rsidRPr="005D72F1">
              <w:rPr>
                <w:rFonts w:ascii="Arial" w:hAnsi="Arial" w:cs="Arial"/>
                <w:strike/>
                <w:szCs w:val="20"/>
                <w:lang w:val="en-GB" w:eastAsia="en-GB"/>
              </w:rPr>
              <w:t>SEC</w:t>
            </w:r>
          </w:p>
        </w:tc>
        <w:tc>
          <w:tcPr>
            <w:tcW w:w="1418" w:type="dxa"/>
          </w:tcPr>
          <w:p w14:paraId="407C0271" w14:textId="77777777" w:rsidR="00A94048" w:rsidRPr="005D72F1" w:rsidRDefault="00A94048" w:rsidP="008A5E68">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trike/>
                <w:szCs w:val="20"/>
                <w:shd w:val="clear" w:color="auto" w:fill="FFFF00"/>
                <w:lang w:val="fr-FR" w:eastAsia="en-GB"/>
              </w:rPr>
            </w:pPr>
          </w:p>
        </w:tc>
        <w:tc>
          <w:tcPr>
            <w:tcW w:w="1776" w:type="dxa"/>
          </w:tcPr>
          <w:p w14:paraId="707673E7" w14:textId="4E0AF669" w:rsidR="00A94048" w:rsidRPr="005D72F1" w:rsidRDefault="00A94048" w:rsidP="008A5E68">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trike/>
                <w:szCs w:val="20"/>
                <w:lang w:val="fr-FR" w:eastAsia="en-GB"/>
              </w:rPr>
            </w:pPr>
            <w:r w:rsidRPr="005D72F1">
              <w:rPr>
                <w:rFonts w:ascii="Arial" w:hAnsi="Arial" w:cs="Arial"/>
                <w:strike/>
                <w:szCs w:val="20"/>
                <w:lang w:val="fr-FR" w:eastAsia="en-GB"/>
              </w:rPr>
              <w:t xml:space="preserve">Personnel P : </w:t>
            </w:r>
            <w:r w:rsidR="004F1E31" w:rsidRPr="005D72F1">
              <w:rPr>
                <w:rFonts w:ascii="Arial" w:hAnsi="Arial" w:cs="Arial"/>
                <w:strike/>
                <w:szCs w:val="20"/>
                <w:lang w:val="fr-FR" w:eastAsia="en-GB"/>
              </w:rPr>
              <w:t>5</w:t>
            </w:r>
          </w:p>
        </w:tc>
      </w:tr>
      <w:tr w:rsidR="00FE6528" w:rsidRPr="005D72F1" w14:paraId="394A7BCD" w14:textId="77777777" w:rsidTr="00A53DB8">
        <w:trPr>
          <w:trHeight w:val="1070"/>
        </w:trPr>
        <w:tc>
          <w:tcPr>
            <w:cnfStyle w:val="001000000000" w:firstRow="0" w:lastRow="0" w:firstColumn="1" w:lastColumn="0" w:oddVBand="0" w:evenVBand="0" w:oddHBand="0" w:evenHBand="0" w:firstRowFirstColumn="0" w:firstRowLastColumn="0" w:lastRowFirstColumn="0" w:lastRowLastColumn="0"/>
            <w:tcW w:w="567" w:type="dxa"/>
          </w:tcPr>
          <w:p w14:paraId="169CEBE9" w14:textId="77777777" w:rsidR="00A94048" w:rsidRPr="005D72F1" w:rsidRDefault="00A94048" w:rsidP="008A5E68">
            <w:pPr>
              <w:widowControl/>
              <w:autoSpaceDE/>
              <w:autoSpaceDN/>
              <w:adjustRightInd/>
              <w:textAlignment w:val="baseline"/>
              <w:rPr>
                <w:rFonts w:ascii="Arial" w:hAnsi="Arial" w:cs="Arial"/>
                <w:strike/>
                <w:szCs w:val="20"/>
                <w:lang w:val="en-GB" w:eastAsia="en-GB"/>
              </w:rPr>
            </w:pPr>
            <w:r w:rsidRPr="005D72F1">
              <w:rPr>
                <w:rFonts w:ascii="Arial" w:hAnsi="Arial" w:cs="Arial"/>
                <w:strike/>
                <w:szCs w:val="20"/>
                <w:lang w:val="en-GB" w:eastAsia="en-GB"/>
              </w:rPr>
              <w:t>x.4</w:t>
            </w:r>
          </w:p>
        </w:tc>
        <w:tc>
          <w:tcPr>
            <w:tcW w:w="4395" w:type="dxa"/>
          </w:tcPr>
          <w:p w14:paraId="1D13013E" w14:textId="77777777" w:rsidR="00A94048" w:rsidRPr="005D72F1" w:rsidRDefault="00A94048" w:rsidP="008A5E68">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trike/>
                <w:szCs w:val="20"/>
                <w:lang w:val="fr-FR"/>
              </w:rPr>
            </w:pPr>
            <w:r w:rsidRPr="005D72F1">
              <w:rPr>
                <w:rFonts w:ascii="Arial" w:hAnsi="Arial" w:cs="Arial"/>
                <w:strike/>
                <w:szCs w:val="20"/>
                <w:lang w:val="fr-FR"/>
              </w:rPr>
              <w:t>Fournir un soutien au Groupe de spécialistes des requins de la CSE de l’UICN pour la mise en œuvre de l’initiative dans l’océan Indien (et d’autres régions sous réserve de la disponibilité des fonds).</w:t>
            </w:r>
          </w:p>
        </w:tc>
        <w:tc>
          <w:tcPr>
            <w:tcW w:w="1134" w:type="dxa"/>
          </w:tcPr>
          <w:p w14:paraId="7D2378D1" w14:textId="77777777" w:rsidR="00A94048" w:rsidRPr="005D72F1" w:rsidRDefault="00A94048" w:rsidP="008A5E68">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trike/>
                <w:szCs w:val="20"/>
                <w:lang w:val="fr-FR" w:eastAsia="en-GB"/>
              </w:rPr>
            </w:pPr>
            <w:r w:rsidRPr="005D72F1">
              <w:rPr>
                <w:rFonts w:ascii="Arial" w:hAnsi="Arial" w:cs="Arial"/>
                <w:strike/>
                <w:szCs w:val="20"/>
                <w:lang w:val="fr-FR" w:eastAsia="en-GB"/>
              </w:rPr>
              <w:t>Décisions MOS4 (CP 1.3 &amp; 3.2)</w:t>
            </w:r>
          </w:p>
        </w:tc>
        <w:tc>
          <w:tcPr>
            <w:tcW w:w="1417" w:type="dxa"/>
          </w:tcPr>
          <w:p w14:paraId="54DEED33" w14:textId="77777777" w:rsidR="00A94048" w:rsidRPr="005D72F1" w:rsidRDefault="00A94048" w:rsidP="008A5E68">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trike/>
                <w:szCs w:val="20"/>
                <w:lang w:val="fr-FR" w:eastAsia="en-GB"/>
              </w:rPr>
            </w:pPr>
            <w:r w:rsidRPr="005D72F1">
              <w:rPr>
                <w:rFonts w:ascii="Arial" w:hAnsi="Arial" w:cs="Arial"/>
                <w:strike/>
                <w:szCs w:val="20"/>
                <w:lang w:val="fr-FR" w:eastAsia="en-GB"/>
              </w:rPr>
              <w:t>à déterminer </w:t>
            </w:r>
          </w:p>
        </w:tc>
        <w:tc>
          <w:tcPr>
            <w:tcW w:w="1418" w:type="dxa"/>
          </w:tcPr>
          <w:p w14:paraId="073EA05D" w14:textId="77777777" w:rsidR="00A94048" w:rsidRPr="005D72F1" w:rsidRDefault="00A94048" w:rsidP="008A5E68">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trike/>
                <w:szCs w:val="20"/>
                <w:lang w:val="fr-FR" w:eastAsia="en-GB"/>
              </w:rPr>
            </w:pPr>
            <w:r w:rsidRPr="005D72F1">
              <w:rPr>
                <w:rFonts w:ascii="Arial" w:hAnsi="Arial" w:cs="Arial"/>
                <w:strike/>
                <w:szCs w:val="20"/>
                <w:lang w:val="fr-FR" w:eastAsia="en-GB"/>
              </w:rPr>
              <w:t>à déterminer </w:t>
            </w:r>
          </w:p>
        </w:tc>
        <w:tc>
          <w:tcPr>
            <w:tcW w:w="1417" w:type="dxa"/>
          </w:tcPr>
          <w:p w14:paraId="089AB34E" w14:textId="77777777" w:rsidR="00A94048" w:rsidRPr="005D72F1" w:rsidRDefault="00A94048" w:rsidP="008A5E68">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trike/>
                <w:szCs w:val="20"/>
                <w:lang w:val="en-GB" w:eastAsia="en-GB"/>
              </w:rPr>
            </w:pPr>
            <w:r w:rsidRPr="005D72F1">
              <w:rPr>
                <w:rFonts w:ascii="Arial" w:hAnsi="Arial" w:cs="Arial"/>
                <w:strike/>
                <w:szCs w:val="20"/>
                <w:lang w:val="en-GB" w:eastAsia="en-GB"/>
              </w:rPr>
              <w:t>SEC</w:t>
            </w:r>
          </w:p>
        </w:tc>
        <w:tc>
          <w:tcPr>
            <w:tcW w:w="1418" w:type="dxa"/>
            <w:shd w:val="clear" w:color="auto" w:fill="auto"/>
          </w:tcPr>
          <w:p w14:paraId="31DD6E8F" w14:textId="77777777" w:rsidR="00A94048" w:rsidRPr="005D72F1" w:rsidRDefault="00A94048" w:rsidP="008A5E68">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trike/>
                <w:szCs w:val="20"/>
                <w:shd w:val="clear" w:color="auto" w:fill="FFFF00"/>
                <w:lang w:val="fr-FR" w:eastAsia="en-GB"/>
              </w:rPr>
            </w:pPr>
            <w:r w:rsidRPr="005D72F1">
              <w:rPr>
                <w:rFonts w:ascii="Arial" w:hAnsi="Arial" w:cs="Arial"/>
                <w:strike/>
                <w:szCs w:val="20"/>
                <w:lang w:val="fr-FR" w:eastAsia="en-GB"/>
              </w:rPr>
              <w:t>(voir x.2)</w:t>
            </w:r>
          </w:p>
        </w:tc>
        <w:tc>
          <w:tcPr>
            <w:tcW w:w="1776" w:type="dxa"/>
          </w:tcPr>
          <w:p w14:paraId="16E738C5" w14:textId="77777777" w:rsidR="00A94048" w:rsidRPr="005D72F1" w:rsidRDefault="00A94048" w:rsidP="008A5E68">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trike/>
                <w:szCs w:val="20"/>
                <w:lang w:val="fr-FR" w:eastAsia="en-GB"/>
              </w:rPr>
            </w:pPr>
            <w:r w:rsidRPr="005D72F1">
              <w:rPr>
                <w:rFonts w:ascii="Arial" w:hAnsi="Arial" w:cs="Arial"/>
                <w:strike/>
                <w:szCs w:val="20"/>
                <w:lang w:val="fr-FR" w:eastAsia="en-GB"/>
              </w:rPr>
              <w:t>Personnel P : 20</w:t>
            </w:r>
          </w:p>
          <w:p w14:paraId="3F79A8B8" w14:textId="77777777" w:rsidR="00A94048" w:rsidRPr="005D72F1" w:rsidRDefault="00A94048" w:rsidP="008A5E68">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trike/>
                <w:szCs w:val="20"/>
                <w:lang w:val="fr-FR" w:eastAsia="en-GB"/>
              </w:rPr>
            </w:pPr>
            <w:r w:rsidRPr="005D72F1">
              <w:rPr>
                <w:rFonts w:ascii="Arial" w:hAnsi="Arial" w:cs="Arial"/>
                <w:strike/>
                <w:szCs w:val="20"/>
                <w:lang w:val="fr-FR" w:eastAsia="en-GB"/>
              </w:rPr>
              <w:t>Personnel G : 5</w:t>
            </w:r>
            <w:r w:rsidRPr="005D72F1">
              <w:rPr>
                <w:rFonts w:ascii="Arial" w:hAnsi="Arial" w:cs="Arial"/>
                <w:strike/>
                <w:szCs w:val="20"/>
                <w:lang w:val="fr-FR" w:eastAsia="en-GB"/>
              </w:rPr>
              <w:br/>
              <w:t>(gestion du projet et du ou des accords de financement)</w:t>
            </w:r>
          </w:p>
        </w:tc>
      </w:tr>
    </w:tbl>
    <w:p w14:paraId="744F0A23" w14:textId="77777777" w:rsidR="002F1B52" w:rsidRPr="00A94048" w:rsidRDefault="002F1B52" w:rsidP="00A53DB8">
      <w:pPr>
        <w:jc w:val="both"/>
        <w:rPr>
          <w:rFonts w:ascii="Arial" w:hAnsi="Arial" w:cs="Arial"/>
          <w:bCs/>
          <w:szCs w:val="20"/>
          <w:lang w:val="fr-FR"/>
        </w:rPr>
      </w:pPr>
    </w:p>
    <w:sectPr w:rsidR="002F1B52" w:rsidRPr="00A94048" w:rsidSect="00A94048">
      <w:headerReference w:type="even" r:id="rId27"/>
      <w:headerReference w:type="first" r:id="rId28"/>
      <w:pgSz w:w="15840" w:h="12240" w:orient="landscape"/>
      <w:pgMar w:top="1134" w:right="1440" w:bottom="1440" w:left="1440" w:header="706" w:footer="706" w:gutter="0"/>
      <w:cols w:space="720"/>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AF7E7B" w14:textId="77777777" w:rsidR="00964545" w:rsidRDefault="00DA06A7">
      <w:r>
        <w:separator/>
      </w:r>
    </w:p>
  </w:endnote>
  <w:endnote w:type="continuationSeparator" w:id="0">
    <w:p w14:paraId="19BBB3D2" w14:textId="77777777" w:rsidR="00964545" w:rsidRDefault="00DA06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8"/>
        <w:szCs w:val="18"/>
      </w:rPr>
      <w:id w:val="121736977"/>
      <w:docPartObj>
        <w:docPartGallery w:val="Page Numbers (Bottom of Page)"/>
        <w:docPartUnique/>
      </w:docPartObj>
    </w:sdtPr>
    <w:sdtEndPr>
      <w:rPr>
        <w:noProof/>
      </w:rPr>
    </w:sdtEndPr>
    <w:sdtContent>
      <w:p w14:paraId="586A0353" w14:textId="77777777" w:rsidR="002F1B52" w:rsidRPr="002F1B52" w:rsidRDefault="002F1B52" w:rsidP="009E2F56">
        <w:pPr>
          <w:pStyle w:val="Footer"/>
          <w:jc w:val="center"/>
          <w:rPr>
            <w:rFonts w:ascii="Arial" w:hAnsi="Arial" w:cs="Arial"/>
            <w:sz w:val="18"/>
            <w:szCs w:val="18"/>
            <w:lang w:val="fr-FR"/>
          </w:rPr>
        </w:pPr>
        <w:r w:rsidRPr="002F1B52">
          <w:rPr>
            <w:rFonts w:ascii="Arial" w:hAnsi="Arial" w:cs="Arial"/>
            <w:sz w:val="18"/>
            <w:szCs w:val="18"/>
            <w:lang w:val="fr-FR"/>
          </w:rPr>
          <w:fldChar w:fldCharType="begin"/>
        </w:r>
        <w:r w:rsidRPr="002F1B52">
          <w:rPr>
            <w:rFonts w:ascii="Arial" w:hAnsi="Arial" w:cs="Arial"/>
            <w:sz w:val="18"/>
            <w:szCs w:val="18"/>
            <w:lang w:val="fr-FR"/>
          </w:rPr>
          <w:instrText xml:space="preserve"> PAGE   \* MERGEFORMAT </w:instrText>
        </w:r>
        <w:r w:rsidRPr="002F1B52">
          <w:rPr>
            <w:rFonts w:ascii="Arial" w:hAnsi="Arial" w:cs="Arial"/>
            <w:sz w:val="18"/>
            <w:szCs w:val="18"/>
            <w:lang w:val="fr-FR"/>
          </w:rPr>
          <w:fldChar w:fldCharType="separate"/>
        </w:r>
        <w:r w:rsidRPr="002F1B52">
          <w:rPr>
            <w:rFonts w:ascii="Arial" w:hAnsi="Arial" w:cs="Arial"/>
            <w:sz w:val="18"/>
            <w:szCs w:val="18"/>
            <w:lang w:val="fr-FR"/>
          </w:rPr>
          <w:t>2</w:t>
        </w:r>
        <w:r w:rsidRPr="002F1B52">
          <w:rPr>
            <w:rFonts w:ascii="Arial" w:hAnsi="Arial" w:cs="Arial"/>
            <w:sz w:val="18"/>
            <w:szCs w:val="18"/>
            <w:lang w:val="fr-FR"/>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8"/>
        <w:szCs w:val="18"/>
      </w:rPr>
      <w:id w:val="492369203"/>
      <w:docPartObj>
        <w:docPartGallery w:val="Page Numbers (Bottom of Page)"/>
        <w:docPartUnique/>
      </w:docPartObj>
    </w:sdtPr>
    <w:sdtEndPr>
      <w:rPr>
        <w:noProof/>
      </w:rPr>
    </w:sdtEndPr>
    <w:sdtContent>
      <w:p w14:paraId="20D9BFE1" w14:textId="77777777" w:rsidR="002F1B52" w:rsidRPr="005D72F1" w:rsidRDefault="002F1B52" w:rsidP="009E2F56">
        <w:pPr>
          <w:pStyle w:val="Footer"/>
          <w:jc w:val="center"/>
          <w:rPr>
            <w:rFonts w:ascii="Arial" w:hAnsi="Arial" w:cs="Arial"/>
            <w:sz w:val="18"/>
            <w:szCs w:val="18"/>
            <w:lang w:val="fr-FR"/>
          </w:rPr>
        </w:pPr>
        <w:r w:rsidRPr="005D72F1">
          <w:rPr>
            <w:rFonts w:ascii="Arial" w:hAnsi="Arial" w:cs="Arial"/>
            <w:sz w:val="18"/>
            <w:szCs w:val="18"/>
            <w:lang w:val="fr-FR"/>
          </w:rPr>
          <w:fldChar w:fldCharType="begin"/>
        </w:r>
        <w:r w:rsidRPr="005D72F1">
          <w:rPr>
            <w:rFonts w:ascii="Arial" w:hAnsi="Arial" w:cs="Arial"/>
            <w:sz w:val="18"/>
            <w:szCs w:val="18"/>
            <w:lang w:val="fr-FR"/>
          </w:rPr>
          <w:instrText xml:space="preserve"> PAGE   \* MERGEFORMAT </w:instrText>
        </w:r>
        <w:r w:rsidRPr="005D72F1">
          <w:rPr>
            <w:rFonts w:ascii="Arial" w:hAnsi="Arial" w:cs="Arial"/>
            <w:sz w:val="18"/>
            <w:szCs w:val="18"/>
            <w:lang w:val="fr-FR"/>
          </w:rPr>
          <w:fldChar w:fldCharType="separate"/>
        </w:r>
        <w:r w:rsidRPr="005D72F1">
          <w:rPr>
            <w:rFonts w:ascii="Arial" w:hAnsi="Arial" w:cs="Arial"/>
            <w:sz w:val="18"/>
            <w:szCs w:val="18"/>
            <w:lang w:val="fr-FR"/>
          </w:rPr>
          <w:t>3</w:t>
        </w:r>
        <w:r w:rsidRPr="005D72F1">
          <w:rPr>
            <w:rFonts w:ascii="Arial" w:hAnsi="Arial" w:cs="Arial"/>
            <w:sz w:val="18"/>
            <w:szCs w:val="18"/>
            <w:lang w:val="fr-FR"/>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8"/>
        <w:szCs w:val="18"/>
      </w:rPr>
      <w:id w:val="769815583"/>
      <w:docPartObj>
        <w:docPartGallery w:val="Page Numbers (Bottom of Page)"/>
        <w:docPartUnique/>
      </w:docPartObj>
    </w:sdtPr>
    <w:sdtEndPr>
      <w:rPr>
        <w:noProof/>
      </w:rPr>
    </w:sdtEndPr>
    <w:sdtContent>
      <w:p w14:paraId="2F871723" w14:textId="77777777" w:rsidR="002F1B52" w:rsidRPr="00A94048" w:rsidRDefault="002F1B52">
        <w:pPr>
          <w:pStyle w:val="Footer"/>
          <w:jc w:val="center"/>
          <w:rPr>
            <w:rFonts w:ascii="Arial" w:hAnsi="Arial" w:cs="Arial"/>
            <w:sz w:val="18"/>
            <w:szCs w:val="18"/>
            <w:lang w:val="fr-FR"/>
          </w:rPr>
        </w:pPr>
        <w:r w:rsidRPr="00A94048">
          <w:rPr>
            <w:rFonts w:ascii="Arial" w:hAnsi="Arial" w:cs="Arial"/>
            <w:sz w:val="18"/>
            <w:szCs w:val="18"/>
            <w:lang w:val="fr-FR"/>
          </w:rPr>
          <w:fldChar w:fldCharType="begin"/>
        </w:r>
        <w:r w:rsidRPr="00A94048">
          <w:rPr>
            <w:rFonts w:ascii="Arial" w:hAnsi="Arial" w:cs="Arial"/>
            <w:sz w:val="18"/>
            <w:szCs w:val="18"/>
            <w:lang w:val="fr-FR"/>
          </w:rPr>
          <w:instrText xml:space="preserve"> PAGE   \* MERGEFORMAT </w:instrText>
        </w:r>
        <w:r w:rsidRPr="00A94048">
          <w:rPr>
            <w:rFonts w:ascii="Arial" w:hAnsi="Arial" w:cs="Arial"/>
            <w:sz w:val="18"/>
            <w:szCs w:val="18"/>
            <w:lang w:val="fr-FR"/>
          </w:rPr>
          <w:fldChar w:fldCharType="separate"/>
        </w:r>
        <w:r w:rsidRPr="00A94048">
          <w:rPr>
            <w:rFonts w:ascii="Arial" w:hAnsi="Arial" w:cs="Arial"/>
            <w:sz w:val="18"/>
            <w:szCs w:val="18"/>
            <w:lang w:val="fr-FR"/>
          </w:rPr>
          <w:t>2</w:t>
        </w:r>
        <w:r w:rsidRPr="00A94048">
          <w:rPr>
            <w:rFonts w:ascii="Arial" w:hAnsi="Arial" w:cs="Arial"/>
            <w:sz w:val="18"/>
            <w:szCs w:val="18"/>
            <w:lang w:val="fr-FR"/>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8"/>
        <w:szCs w:val="18"/>
      </w:rPr>
      <w:id w:val="-1773013181"/>
      <w:docPartObj>
        <w:docPartGallery w:val="Page Numbers (Bottom of Page)"/>
        <w:docPartUnique/>
      </w:docPartObj>
    </w:sdtPr>
    <w:sdtEndPr>
      <w:rPr>
        <w:noProof/>
      </w:rPr>
    </w:sdtEndPr>
    <w:sdtContent>
      <w:p w14:paraId="05F5B37D" w14:textId="77777777" w:rsidR="00E42B63" w:rsidRPr="00627A42" w:rsidRDefault="00627A42" w:rsidP="00627A42">
        <w:pPr>
          <w:pStyle w:val="Footer"/>
          <w:jc w:val="center"/>
          <w:rPr>
            <w:rFonts w:ascii="Arial" w:hAnsi="Arial" w:cs="Arial"/>
            <w:sz w:val="18"/>
            <w:szCs w:val="18"/>
          </w:rPr>
        </w:pPr>
        <w:r w:rsidRPr="00627A42">
          <w:rPr>
            <w:rFonts w:ascii="Arial" w:hAnsi="Arial" w:cs="Arial"/>
            <w:sz w:val="18"/>
            <w:szCs w:val="18"/>
          </w:rPr>
          <w:fldChar w:fldCharType="begin"/>
        </w:r>
        <w:r w:rsidRPr="00627A42">
          <w:rPr>
            <w:rFonts w:ascii="Arial" w:hAnsi="Arial" w:cs="Arial"/>
            <w:sz w:val="18"/>
            <w:szCs w:val="18"/>
          </w:rPr>
          <w:instrText xml:space="preserve"> PAGE   \* MERGEFORMAT </w:instrText>
        </w:r>
        <w:r w:rsidRPr="00627A42">
          <w:rPr>
            <w:rFonts w:ascii="Arial" w:hAnsi="Arial" w:cs="Arial"/>
            <w:sz w:val="18"/>
            <w:szCs w:val="18"/>
          </w:rPr>
          <w:fldChar w:fldCharType="separate"/>
        </w:r>
        <w:r>
          <w:rPr>
            <w:rFonts w:ascii="Arial" w:hAnsi="Arial" w:cs="Arial"/>
            <w:noProof/>
            <w:sz w:val="18"/>
            <w:szCs w:val="18"/>
          </w:rPr>
          <w:t>2</w:t>
        </w:r>
        <w:r w:rsidRPr="00627A42">
          <w:rPr>
            <w:rFonts w:ascii="Arial" w:hAnsi="Arial" w:cs="Arial"/>
            <w:noProof/>
            <w:sz w:val="18"/>
            <w:szCs w:val="18"/>
          </w:rPr>
          <w:fldChar w:fldCharType="end"/>
        </w:r>
      </w:p>
    </w:sdtContent>
  </w:sdt>
  <w:p w14:paraId="43EBF49A" w14:textId="77777777" w:rsidR="00A36A98" w:rsidRDefault="00A36A98"/>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8"/>
        <w:szCs w:val="18"/>
      </w:rPr>
      <w:id w:val="-1227908763"/>
      <w:docPartObj>
        <w:docPartGallery w:val="Page Numbers (Bottom of Page)"/>
        <w:docPartUnique/>
      </w:docPartObj>
    </w:sdtPr>
    <w:sdtEndPr>
      <w:rPr>
        <w:noProof/>
      </w:rPr>
    </w:sdtEndPr>
    <w:sdtContent>
      <w:p w14:paraId="3D57F5A8" w14:textId="77777777" w:rsidR="00627A42" w:rsidRPr="00627A42" w:rsidRDefault="00627A42" w:rsidP="00627A42">
        <w:pPr>
          <w:pStyle w:val="Footer"/>
          <w:jc w:val="center"/>
          <w:rPr>
            <w:rFonts w:ascii="Arial" w:hAnsi="Arial" w:cs="Arial"/>
            <w:sz w:val="18"/>
            <w:szCs w:val="18"/>
          </w:rPr>
        </w:pPr>
        <w:r w:rsidRPr="00627A42">
          <w:rPr>
            <w:rFonts w:ascii="Arial" w:hAnsi="Arial" w:cs="Arial"/>
            <w:sz w:val="18"/>
            <w:szCs w:val="18"/>
          </w:rPr>
          <w:fldChar w:fldCharType="begin"/>
        </w:r>
        <w:r w:rsidRPr="00627A42">
          <w:rPr>
            <w:rFonts w:ascii="Arial" w:hAnsi="Arial" w:cs="Arial"/>
            <w:sz w:val="18"/>
            <w:szCs w:val="18"/>
          </w:rPr>
          <w:instrText xml:space="preserve"> PAGE   \* MERGEFORMAT </w:instrText>
        </w:r>
        <w:r w:rsidRPr="00627A42">
          <w:rPr>
            <w:rFonts w:ascii="Arial" w:hAnsi="Arial" w:cs="Arial"/>
            <w:sz w:val="18"/>
            <w:szCs w:val="18"/>
          </w:rPr>
          <w:fldChar w:fldCharType="separate"/>
        </w:r>
        <w:r>
          <w:rPr>
            <w:rFonts w:ascii="Arial" w:hAnsi="Arial" w:cs="Arial"/>
            <w:noProof/>
            <w:sz w:val="18"/>
            <w:szCs w:val="18"/>
          </w:rPr>
          <w:t>3</w:t>
        </w:r>
        <w:r w:rsidRPr="00627A42">
          <w:rPr>
            <w:rFonts w:ascii="Arial" w:hAnsi="Arial" w:cs="Arial"/>
            <w:noProof/>
            <w:sz w:val="18"/>
            <w:szCs w:val="18"/>
          </w:rPr>
          <w:fldChar w:fldCharType="end"/>
        </w:r>
      </w:p>
    </w:sdtContent>
  </w:sdt>
  <w:p w14:paraId="07D6DA60" w14:textId="77777777" w:rsidR="00A36A98" w:rsidRDefault="00A36A9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86001F" w14:textId="77777777" w:rsidR="00964545" w:rsidRDefault="00DA06A7">
      <w:r>
        <w:separator/>
      </w:r>
    </w:p>
  </w:footnote>
  <w:footnote w:type="continuationSeparator" w:id="0">
    <w:p w14:paraId="1FE63556" w14:textId="77777777" w:rsidR="00964545" w:rsidRDefault="00DA06A7">
      <w:r>
        <w:continuationSeparator/>
      </w:r>
    </w:p>
  </w:footnote>
  <w:footnote w:id="1">
    <w:p w14:paraId="7B5DAF98" w14:textId="77777777" w:rsidR="002F1B52" w:rsidRPr="002F1B52" w:rsidRDefault="002F1B52" w:rsidP="002F1B52">
      <w:pPr>
        <w:pStyle w:val="FootnoteText"/>
        <w:jc w:val="both"/>
        <w:rPr>
          <w:rFonts w:ascii="Arial" w:hAnsi="Arial" w:cs="Arial"/>
          <w:sz w:val="16"/>
          <w:szCs w:val="16"/>
          <w:lang w:val="en-GB"/>
        </w:rPr>
      </w:pPr>
      <w:r w:rsidRPr="002F1B52">
        <w:rPr>
          <w:rStyle w:val="FootnoteReference"/>
          <w:rFonts w:ascii="Arial" w:hAnsi="Arial" w:cs="Arial"/>
          <w:sz w:val="16"/>
          <w:szCs w:val="16"/>
          <w:lang w:val="fr-FR"/>
        </w:rPr>
        <w:footnoteRef/>
      </w:r>
      <w:r w:rsidRPr="002F1B52">
        <w:rPr>
          <w:rFonts w:ascii="Arial" w:hAnsi="Arial" w:cs="Arial"/>
          <w:sz w:val="16"/>
          <w:szCs w:val="16"/>
          <w:lang w:val="fr-FR"/>
        </w:rPr>
        <w:t xml:space="preserve"> </w:t>
      </w:r>
      <w:proofErr w:type="spellStart"/>
      <w:r w:rsidRPr="002F1B52">
        <w:rPr>
          <w:rFonts w:ascii="Arial" w:hAnsi="Arial" w:cs="Arial"/>
          <w:sz w:val="16"/>
          <w:szCs w:val="16"/>
          <w:lang w:val="fr-FR"/>
        </w:rPr>
        <w:t>Pacoureau</w:t>
      </w:r>
      <w:proofErr w:type="spellEnd"/>
      <w:r w:rsidRPr="002F1B52">
        <w:rPr>
          <w:rFonts w:ascii="Arial" w:hAnsi="Arial" w:cs="Arial"/>
          <w:sz w:val="16"/>
          <w:szCs w:val="16"/>
          <w:lang w:val="fr-FR"/>
        </w:rPr>
        <w:t>, N., Rigby, C.L., Kyne, P.M</w:t>
      </w:r>
      <w:r w:rsidRPr="002F1B52">
        <w:rPr>
          <w:rFonts w:ascii="Arial" w:hAnsi="Arial" w:cs="Arial"/>
          <w:i/>
          <w:iCs/>
          <w:sz w:val="16"/>
          <w:szCs w:val="16"/>
          <w:lang w:val="fr-FR"/>
        </w:rPr>
        <w:t>. et al.</w:t>
      </w:r>
      <w:r w:rsidRPr="002F1B52">
        <w:rPr>
          <w:rFonts w:ascii="Arial" w:hAnsi="Arial" w:cs="Arial"/>
          <w:sz w:val="16"/>
          <w:szCs w:val="16"/>
          <w:lang w:val="fr-FR"/>
        </w:rPr>
        <w:t xml:space="preserve"> </w:t>
      </w:r>
      <w:r w:rsidRPr="002F1B52">
        <w:rPr>
          <w:rFonts w:ascii="Arial" w:hAnsi="Arial" w:cs="Arial"/>
          <w:sz w:val="16"/>
          <w:szCs w:val="16"/>
          <w:lang w:val="en-GB"/>
        </w:rPr>
        <w:t xml:space="preserve">(2021) Half a century of global decline in oceanic sharks and </w:t>
      </w:r>
      <w:proofErr w:type="spellStart"/>
      <w:r w:rsidRPr="002F1B52">
        <w:rPr>
          <w:rFonts w:ascii="Arial" w:hAnsi="Arial" w:cs="Arial"/>
          <w:sz w:val="16"/>
          <w:szCs w:val="16"/>
          <w:lang w:val="en-GB"/>
        </w:rPr>
        <w:t>rays.</w:t>
      </w:r>
      <w:r w:rsidRPr="002F1B52">
        <w:rPr>
          <w:rFonts w:ascii="Arial" w:hAnsi="Arial" w:cs="Arial"/>
          <w:i/>
          <w:iCs/>
          <w:sz w:val="16"/>
          <w:szCs w:val="16"/>
          <w:lang w:val="en-GB"/>
        </w:rPr>
        <w:t>Nature</w:t>
      </w:r>
      <w:proofErr w:type="spellEnd"/>
      <w:r w:rsidRPr="002F1B52">
        <w:rPr>
          <w:rFonts w:ascii="Arial" w:hAnsi="Arial" w:cs="Arial"/>
          <w:sz w:val="16"/>
          <w:szCs w:val="16"/>
          <w:lang w:val="en-GB"/>
        </w:rPr>
        <w:t xml:space="preserve">, </w:t>
      </w:r>
      <w:r w:rsidRPr="002F1B52">
        <w:rPr>
          <w:rFonts w:ascii="Arial" w:hAnsi="Arial" w:cs="Arial"/>
          <w:b/>
          <w:bCs/>
          <w:sz w:val="16"/>
          <w:szCs w:val="16"/>
          <w:lang w:val="en-GB"/>
        </w:rPr>
        <w:t>589 (</w:t>
      </w:r>
      <w:hyperlink r:id="rId1" w:history="1">
        <w:r w:rsidRPr="002F1B52">
          <w:rPr>
            <w:rStyle w:val="Hyperlink"/>
            <w:rFonts w:ascii="Arial" w:hAnsi="Arial" w:cs="Arial"/>
            <w:sz w:val="16"/>
            <w:szCs w:val="16"/>
            <w:lang w:val="en-GB"/>
          </w:rPr>
          <w:t>https://doi.org/10.1038/s41586-020-03173-9</w:t>
        </w:r>
      </w:hyperlink>
      <w:r w:rsidRPr="002F1B52">
        <w:rPr>
          <w:rFonts w:ascii="Arial" w:hAnsi="Arial" w:cs="Arial"/>
          <w:sz w:val="16"/>
          <w:szCs w:val="16"/>
          <w:lang w:val="en-GB"/>
        </w:rPr>
        <w:t>).</w:t>
      </w:r>
    </w:p>
  </w:footnote>
  <w:footnote w:id="2">
    <w:p w14:paraId="70B5800F" w14:textId="77777777" w:rsidR="002F1B52" w:rsidRPr="002F1B52" w:rsidRDefault="002F1B52" w:rsidP="002F1B52">
      <w:pPr>
        <w:pStyle w:val="FootnoteText"/>
        <w:rPr>
          <w:rFonts w:ascii="Arial" w:hAnsi="Arial" w:cs="Arial"/>
          <w:sz w:val="16"/>
          <w:szCs w:val="16"/>
          <w:lang w:val="fr-FR"/>
        </w:rPr>
      </w:pPr>
      <w:r w:rsidRPr="002F1B52">
        <w:rPr>
          <w:rStyle w:val="FootnoteReference"/>
          <w:rFonts w:ascii="Arial" w:hAnsi="Arial" w:cs="Arial"/>
          <w:sz w:val="16"/>
          <w:szCs w:val="16"/>
          <w:lang w:val="fr-FR"/>
        </w:rPr>
        <w:footnoteRef/>
      </w:r>
      <w:r w:rsidRPr="002F1B52">
        <w:rPr>
          <w:rFonts w:ascii="Arial" w:hAnsi="Arial" w:cs="Arial"/>
          <w:sz w:val="16"/>
          <w:szCs w:val="16"/>
          <w:lang w:val="fr-FR"/>
        </w:rPr>
        <w:t xml:space="preserve"> Commission pour la conservation du thon rouge du Sud (CCSBT), Commission des thons de l’Océan Indien (CTOI), Commission interaméricaine du thon tropical (CITT), Commission internationale pour la conservation des thonidés de l’Atlantique (CICTA), Commission des pêches du Pacifique occidental et central (WCPFC).</w:t>
      </w:r>
    </w:p>
  </w:footnote>
  <w:footnote w:id="3">
    <w:p w14:paraId="65EA2B1E" w14:textId="77777777" w:rsidR="00536AE8" w:rsidRPr="002F1B52" w:rsidRDefault="00536AE8" w:rsidP="00536AE8">
      <w:pPr>
        <w:pStyle w:val="FootnoteText"/>
        <w:rPr>
          <w:rFonts w:ascii="Arial" w:hAnsi="Arial" w:cs="Arial"/>
          <w:sz w:val="16"/>
          <w:szCs w:val="16"/>
          <w:lang w:val="fr-FR"/>
        </w:rPr>
      </w:pPr>
      <w:r w:rsidRPr="002F1B52">
        <w:rPr>
          <w:rStyle w:val="FootnoteReference"/>
          <w:rFonts w:ascii="Arial" w:hAnsi="Arial" w:cs="Arial"/>
          <w:sz w:val="16"/>
          <w:szCs w:val="16"/>
          <w:lang w:val="fr-FR"/>
        </w:rPr>
        <w:footnoteRef/>
      </w:r>
      <w:r w:rsidRPr="002F1B52">
        <w:rPr>
          <w:rFonts w:ascii="Arial" w:hAnsi="Arial" w:cs="Arial"/>
          <w:sz w:val="16"/>
          <w:szCs w:val="16"/>
          <w:lang w:val="fr-FR"/>
        </w:rPr>
        <w:t xml:space="preserve"> Désormais, </w:t>
      </w:r>
      <w:proofErr w:type="spellStart"/>
      <w:r w:rsidRPr="002F1B52">
        <w:rPr>
          <w:rFonts w:ascii="Arial" w:hAnsi="Arial" w:cs="Arial"/>
          <w:i/>
          <w:iCs/>
          <w:sz w:val="16"/>
          <w:szCs w:val="16"/>
          <w:lang w:val="fr-FR"/>
        </w:rPr>
        <w:t>Mobula</w:t>
      </w:r>
      <w:proofErr w:type="spellEnd"/>
      <w:r w:rsidRPr="002F1B52">
        <w:rPr>
          <w:rFonts w:ascii="Arial" w:hAnsi="Arial" w:cs="Arial"/>
          <w:i/>
          <w:iCs/>
          <w:sz w:val="16"/>
          <w:szCs w:val="16"/>
          <w:lang w:val="fr-FR"/>
        </w:rPr>
        <w:t xml:space="preserve"> </w:t>
      </w:r>
      <w:proofErr w:type="spellStart"/>
      <w:r w:rsidRPr="002F1B52">
        <w:rPr>
          <w:rFonts w:ascii="Arial" w:hAnsi="Arial" w:cs="Arial"/>
          <w:i/>
          <w:iCs/>
          <w:sz w:val="16"/>
          <w:szCs w:val="16"/>
          <w:lang w:val="fr-FR"/>
        </w:rPr>
        <w:t>rochebrunei</w:t>
      </w:r>
      <w:proofErr w:type="spellEnd"/>
      <w:r w:rsidRPr="002F1B52">
        <w:rPr>
          <w:rFonts w:ascii="Arial" w:hAnsi="Arial" w:cs="Arial"/>
          <w:sz w:val="16"/>
          <w:szCs w:val="16"/>
          <w:lang w:val="fr-FR"/>
        </w:rPr>
        <w:t xml:space="preserve"> est aussi considéré comme étant la même espèce que </w:t>
      </w:r>
      <w:proofErr w:type="spellStart"/>
      <w:r w:rsidRPr="002F1B52">
        <w:rPr>
          <w:rFonts w:ascii="Arial" w:hAnsi="Arial" w:cs="Arial"/>
          <w:i/>
          <w:iCs/>
          <w:sz w:val="16"/>
          <w:szCs w:val="16"/>
          <w:lang w:val="fr-FR"/>
        </w:rPr>
        <w:t>Mobula</w:t>
      </w:r>
      <w:proofErr w:type="spellEnd"/>
      <w:r w:rsidRPr="002F1B52">
        <w:rPr>
          <w:rFonts w:ascii="Arial" w:hAnsi="Arial" w:cs="Arial"/>
          <w:i/>
          <w:iCs/>
          <w:sz w:val="16"/>
          <w:szCs w:val="16"/>
          <w:lang w:val="fr-FR"/>
        </w:rPr>
        <w:t xml:space="preserve"> </w:t>
      </w:r>
      <w:proofErr w:type="spellStart"/>
      <w:r w:rsidRPr="002F1B52">
        <w:rPr>
          <w:rFonts w:ascii="Arial" w:hAnsi="Arial" w:cs="Arial"/>
          <w:i/>
          <w:iCs/>
          <w:sz w:val="16"/>
          <w:szCs w:val="16"/>
          <w:lang w:val="fr-FR"/>
        </w:rPr>
        <w:t>hypostoma</w:t>
      </w:r>
      <w:proofErr w:type="spellEnd"/>
      <w:r w:rsidRPr="002F1B52">
        <w:rPr>
          <w:rFonts w:ascii="Arial" w:hAnsi="Arial" w:cs="Arial"/>
          <w:sz w:val="16"/>
          <w:szCs w:val="16"/>
          <w:lang w:val="fr-FR"/>
        </w:rPr>
        <w:t>.</w:t>
      </w:r>
    </w:p>
  </w:footnote>
  <w:footnote w:id="4">
    <w:p w14:paraId="638510E9" w14:textId="77777777" w:rsidR="00536AE8" w:rsidRPr="002F1B52" w:rsidRDefault="00536AE8" w:rsidP="00536AE8">
      <w:pPr>
        <w:pStyle w:val="FootnoteText"/>
        <w:rPr>
          <w:rFonts w:ascii="Arial" w:hAnsi="Arial" w:cs="Arial"/>
          <w:sz w:val="16"/>
          <w:szCs w:val="16"/>
          <w:lang w:val="fr-FR"/>
        </w:rPr>
      </w:pPr>
      <w:r w:rsidRPr="002F1B52">
        <w:rPr>
          <w:rStyle w:val="FootnoteReference"/>
          <w:rFonts w:ascii="Arial" w:hAnsi="Arial" w:cs="Arial"/>
          <w:sz w:val="16"/>
          <w:szCs w:val="16"/>
          <w:lang w:val="fr-FR"/>
        </w:rPr>
        <w:footnoteRef/>
      </w:r>
      <w:r w:rsidRPr="002F1B52">
        <w:rPr>
          <w:rFonts w:ascii="Arial" w:hAnsi="Arial" w:cs="Arial"/>
          <w:sz w:val="16"/>
          <w:szCs w:val="16"/>
          <w:lang w:val="fr-FR"/>
        </w:rPr>
        <w:t xml:space="preserve"> Désormais, </w:t>
      </w:r>
      <w:proofErr w:type="spellStart"/>
      <w:r w:rsidRPr="002F1B52">
        <w:rPr>
          <w:rFonts w:ascii="Arial" w:hAnsi="Arial" w:cs="Arial"/>
          <w:i/>
          <w:iCs/>
          <w:sz w:val="16"/>
          <w:szCs w:val="16"/>
          <w:lang w:val="fr-FR"/>
        </w:rPr>
        <w:t>Mobula</w:t>
      </w:r>
      <w:proofErr w:type="spellEnd"/>
      <w:r w:rsidRPr="002F1B52">
        <w:rPr>
          <w:rFonts w:ascii="Arial" w:hAnsi="Arial" w:cs="Arial"/>
          <w:i/>
          <w:iCs/>
          <w:sz w:val="16"/>
          <w:szCs w:val="16"/>
          <w:lang w:val="fr-FR"/>
        </w:rPr>
        <w:t xml:space="preserve"> </w:t>
      </w:r>
      <w:proofErr w:type="spellStart"/>
      <w:r w:rsidRPr="002F1B52">
        <w:rPr>
          <w:rFonts w:ascii="Arial" w:hAnsi="Arial" w:cs="Arial"/>
          <w:i/>
          <w:iCs/>
          <w:sz w:val="16"/>
          <w:szCs w:val="16"/>
          <w:lang w:val="fr-FR"/>
        </w:rPr>
        <w:t>japanica</w:t>
      </w:r>
      <w:proofErr w:type="spellEnd"/>
      <w:r w:rsidRPr="002F1B52">
        <w:rPr>
          <w:rFonts w:ascii="Arial" w:hAnsi="Arial" w:cs="Arial"/>
          <w:i/>
          <w:iCs/>
          <w:sz w:val="16"/>
          <w:szCs w:val="16"/>
          <w:lang w:val="fr-FR"/>
        </w:rPr>
        <w:t xml:space="preserve"> </w:t>
      </w:r>
      <w:r w:rsidRPr="002F1B52">
        <w:rPr>
          <w:rFonts w:ascii="Arial" w:hAnsi="Arial" w:cs="Arial"/>
          <w:sz w:val="16"/>
          <w:szCs w:val="16"/>
          <w:lang w:val="fr-FR"/>
        </w:rPr>
        <w:t xml:space="preserve">est aussi considéré comme étant la même espèce que </w:t>
      </w:r>
      <w:proofErr w:type="spellStart"/>
      <w:r w:rsidRPr="002F1B52">
        <w:rPr>
          <w:rFonts w:ascii="Arial" w:hAnsi="Arial" w:cs="Arial"/>
          <w:i/>
          <w:iCs/>
          <w:sz w:val="16"/>
          <w:szCs w:val="16"/>
          <w:lang w:val="fr-FR"/>
        </w:rPr>
        <w:t>Mobula</w:t>
      </w:r>
      <w:proofErr w:type="spellEnd"/>
      <w:r w:rsidRPr="002F1B52">
        <w:rPr>
          <w:rFonts w:ascii="Arial" w:hAnsi="Arial" w:cs="Arial"/>
          <w:i/>
          <w:iCs/>
          <w:sz w:val="16"/>
          <w:szCs w:val="16"/>
          <w:lang w:val="fr-FR"/>
        </w:rPr>
        <w:t xml:space="preserve"> mobular</w:t>
      </w:r>
      <w:r w:rsidRPr="002F1B52">
        <w:rPr>
          <w:rFonts w:ascii="Arial" w:hAnsi="Arial" w:cs="Arial"/>
          <w:sz w:val="16"/>
          <w:szCs w:val="16"/>
          <w:lang w:val="fr-FR"/>
        </w:rPr>
        <w:t>.</w:t>
      </w:r>
    </w:p>
  </w:footnote>
  <w:footnote w:id="5">
    <w:p w14:paraId="3A126791" w14:textId="77777777" w:rsidR="002F1B52" w:rsidRPr="00D15376" w:rsidRDefault="002F1B52" w:rsidP="002F1B52">
      <w:pPr>
        <w:pStyle w:val="FootnoteText"/>
        <w:rPr>
          <w:rFonts w:ascii="Arial" w:hAnsi="Arial" w:cs="Arial"/>
          <w:sz w:val="16"/>
          <w:szCs w:val="16"/>
          <w:lang w:val="fr-FR"/>
        </w:rPr>
      </w:pPr>
      <w:r>
        <w:rPr>
          <w:rStyle w:val="FootnoteReference"/>
          <w:rFonts w:ascii="Arial" w:hAnsi="Arial" w:cs="Arial"/>
          <w:sz w:val="16"/>
          <w:szCs w:val="16"/>
          <w:lang w:val="fr-FR"/>
        </w:rPr>
        <w:footnoteRef/>
      </w:r>
      <w:r>
        <w:rPr>
          <w:rFonts w:ascii="Arial" w:hAnsi="Arial" w:cs="Arial"/>
          <w:sz w:val="16"/>
          <w:szCs w:val="16"/>
          <w:lang w:val="fr-FR"/>
        </w:rPr>
        <w:t xml:space="preserve"> Les espèces sont en cours d’identification par des experts </w:t>
      </w:r>
    </w:p>
  </w:footnote>
  <w:footnote w:id="6">
    <w:p w14:paraId="2F21A8E4" w14:textId="77777777" w:rsidR="00A94048" w:rsidRPr="005D72F1" w:rsidRDefault="00A94048" w:rsidP="00A94048">
      <w:pPr>
        <w:pStyle w:val="FootnoteText"/>
        <w:jc w:val="both"/>
        <w:rPr>
          <w:rFonts w:ascii="Arial" w:hAnsi="Arial" w:cs="Arial"/>
          <w:strike/>
          <w:sz w:val="16"/>
          <w:szCs w:val="16"/>
          <w:lang w:val="fr-FR"/>
        </w:rPr>
      </w:pPr>
      <w:r w:rsidRPr="005D72F1">
        <w:rPr>
          <w:rFonts w:ascii="Arial" w:hAnsi="Arial" w:cs="Arial"/>
          <w:strike/>
          <w:sz w:val="16"/>
          <w:szCs w:val="16"/>
          <w:lang w:val="fr-FR"/>
        </w:rPr>
        <w:footnoteRef/>
      </w:r>
      <w:r w:rsidRPr="005D72F1">
        <w:rPr>
          <w:rFonts w:ascii="Arial" w:hAnsi="Arial" w:cs="Arial"/>
          <w:strike/>
          <w:sz w:val="16"/>
          <w:szCs w:val="16"/>
          <w:lang w:val="fr-FR"/>
        </w:rPr>
        <w:t xml:space="preserve"> Plan de Conservation (PC), Termes de référence du Comité consultatif (TDR CC), Termes de référence du Secrétariat (TDR SEC)</w:t>
      </w:r>
    </w:p>
  </w:footnote>
  <w:footnote w:id="7">
    <w:p w14:paraId="3958FE48" w14:textId="77777777" w:rsidR="00A94048" w:rsidRPr="005D72F1" w:rsidRDefault="00A94048" w:rsidP="00A94048">
      <w:pPr>
        <w:pStyle w:val="FootnoteText"/>
        <w:jc w:val="both"/>
        <w:rPr>
          <w:rFonts w:ascii="Arial" w:hAnsi="Arial" w:cs="Arial"/>
          <w:strike/>
          <w:sz w:val="16"/>
          <w:szCs w:val="16"/>
          <w:lang w:val="fr-FR"/>
        </w:rPr>
      </w:pPr>
      <w:r w:rsidRPr="005D72F1">
        <w:rPr>
          <w:rFonts w:ascii="Arial" w:hAnsi="Arial" w:cs="Arial"/>
          <w:strike/>
          <w:sz w:val="16"/>
          <w:szCs w:val="16"/>
          <w:lang w:val="fr-FR"/>
        </w:rPr>
        <w:footnoteRef/>
      </w:r>
      <w:r w:rsidRPr="005D72F1">
        <w:rPr>
          <w:rFonts w:ascii="Arial" w:hAnsi="Arial" w:cs="Arial"/>
          <w:strike/>
          <w:sz w:val="16"/>
          <w:szCs w:val="16"/>
          <w:lang w:val="fr-FR"/>
        </w:rPr>
        <w:t xml:space="preserve"> Activités principales du Secrétariat et priorités suggérées (élevée, moyenne)</w:t>
      </w:r>
    </w:p>
  </w:footnote>
  <w:footnote w:id="8">
    <w:p w14:paraId="261FE6A0" w14:textId="77777777" w:rsidR="00A94048" w:rsidRPr="005D72F1" w:rsidRDefault="00A94048" w:rsidP="00A94048">
      <w:pPr>
        <w:pStyle w:val="FootnoteText"/>
        <w:jc w:val="both"/>
        <w:rPr>
          <w:rFonts w:ascii="Arial" w:hAnsi="Arial" w:cs="Arial"/>
          <w:strike/>
          <w:sz w:val="16"/>
          <w:szCs w:val="16"/>
          <w:lang w:val="fr-FR"/>
        </w:rPr>
      </w:pPr>
      <w:r w:rsidRPr="005D72F1">
        <w:rPr>
          <w:rFonts w:ascii="Arial" w:hAnsi="Arial" w:cs="Arial"/>
          <w:strike/>
          <w:sz w:val="16"/>
          <w:szCs w:val="16"/>
          <w:lang w:val="fr-FR"/>
        </w:rPr>
        <w:footnoteRef/>
      </w:r>
      <w:r w:rsidRPr="005D72F1">
        <w:rPr>
          <w:rFonts w:ascii="Arial" w:hAnsi="Arial" w:cs="Arial"/>
          <w:strike/>
          <w:sz w:val="16"/>
          <w:szCs w:val="16"/>
          <w:lang w:val="fr-FR"/>
        </w:rPr>
        <w:t xml:space="preserve"> Année(s) au cours de laquelle/desquelles l’activité devrait être mise en œuvre</w:t>
      </w:r>
    </w:p>
  </w:footnote>
  <w:footnote w:id="9">
    <w:p w14:paraId="30DF5321" w14:textId="77777777" w:rsidR="00A94048" w:rsidRPr="005D72F1" w:rsidRDefault="00A94048" w:rsidP="00A94048">
      <w:pPr>
        <w:pStyle w:val="FootnoteText"/>
        <w:jc w:val="both"/>
        <w:rPr>
          <w:strike/>
          <w:sz w:val="18"/>
          <w:szCs w:val="18"/>
          <w:lang w:val="fr-FR"/>
        </w:rPr>
      </w:pPr>
      <w:r w:rsidRPr="005D72F1">
        <w:rPr>
          <w:rFonts w:ascii="Arial" w:hAnsi="Arial" w:cs="Arial"/>
          <w:strike/>
          <w:sz w:val="16"/>
          <w:szCs w:val="16"/>
          <w:lang w:val="fr-FR"/>
        </w:rPr>
        <w:footnoteRef/>
      </w:r>
      <w:r w:rsidRPr="005D72F1">
        <w:rPr>
          <w:rFonts w:ascii="Arial" w:hAnsi="Arial" w:cs="Arial"/>
          <w:strike/>
          <w:sz w:val="16"/>
          <w:szCs w:val="16"/>
          <w:lang w:val="fr-FR"/>
        </w:rPr>
        <w:t xml:space="preserve"> Signataires (SIG), Comité consultatif (CC), Secrétariat (SEC), Groupe de travail sur la conservation (CWS), Consultants, Partenaires coopérants (</w:t>
      </w:r>
      <w:proofErr w:type="spellStart"/>
      <w:r w:rsidRPr="005D72F1">
        <w:rPr>
          <w:rFonts w:ascii="Arial" w:hAnsi="Arial" w:cs="Arial"/>
          <w:strike/>
          <w:sz w:val="16"/>
          <w:szCs w:val="16"/>
          <w:lang w:val="fr-FR"/>
        </w:rPr>
        <w:t>CooP</w:t>
      </w:r>
      <w:proofErr w:type="spellEnd"/>
      <w:r w:rsidRPr="005D72F1">
        <w:rPr>
          <w:rFonts w:ascii="Arial" w:hAnsi="Arial" w:cs="Arial"/>
          <w:strike/>
          <w:sz w:val="16"/>
          <w:szCs w:val="16"/>
          <w:lang w:val="fr-FR"/>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BEA62" w14:textId="2061A463" w:rsidR="002F1B52" w:rsidRPr="009E2F56" w:rsidRDefault="002F1B52" w:rsidP="009E2F56">
    <w:pPr>
      <w:pStyle w:val="Heading1"/>
      <w:keepNext w:val="0"/>
      <w:pBdr>
        <w:bottom w:val="single" w:sz="4" w:space="1" w:color="auto"/>
      </w:pBdr>
      <w:spacing w:before="0"/>
      <w:rPr>
        <w:rFonts w:ascii="Arial" w:hAnsi="Arial" w:cs="Arial"/>
        <w:b/>
        <w:i/>
        <w:color w:val="auto"/>
        <w:sz w:val="18"/>
        <w:szCs w:val="18"/>
      </w:rPr>
    </w:pPr>
    <w:r>
      <w:rPr>
        <w:rFonts w:ascii="Arial" w:hAnsi="Arial" w:cs="Arial"/>
        <w:i/>
        <w:color w:val="auto"/>
        <w:sz w:val="18"/>
        <w:szCs w:val="18"/>
      </w:rPr>
      <w:t>CMS/Sharks/MOS4/Doc.10.2</w:t>
    </w:r>
    <w:r w:rsidR="005D72F1">
      <w:rPr>
        <w:rFonts w:ascii="Arial" w:hAnsi="Arial" w:cs="Arial"/>
        <w:i/>
        <w:color w:val="auto"/>
        <w:sz w:val="18"/>
        <w:szCs w:val="18"/>
      </w:rPr>
      <w:t>/</w:t>
    </w:r>
    <w:r w:rsidR="005D72F1" w:rsidRPr="005D72F1">
      <w:rPr>
        <w:rFonts w:ascii="Arial" w:hAnsi="Arial" w:cs="Arial"/>
        <w:i/>
        <w:color w:val="auto"/>
        <w:sz w:val="18"/>
        <w:szCs w:val="18"/>
        <w:u w:val="single"/>
      </w:rPr>
      <w:t>Rev.1</w:t>
    </w:r>
  </w:p>
  <w:p w14:paraId="1CFBA119" w14:textId="77777777" w:rsidR="002F1B52" w:rsidRPr="005D72F1" w:rsidRDefault="002F1B52">
    <w:pPr>
      <w:pStyle w:val="Header"/>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40000" w14:textId="77777777" w:rsidR="002F1B52" w:rsidRPr="009E2F56" w:rsidRDefault="002F1B52" w:rsidP="00D87D1E">
    <w:pPr>
      <w:pStyle w:val="Heading1"/>
      <w:keepNext w:val="0"/>
      <w:pBdr>
        <w:bottom w:val="single" w:sz="4" w:space="1" w:color="auto"/>
      </w:pBdr>
      <w:spacing w:before="0"/>
      <w:jc w:val="right"/>
      <w:rPr>
        <w:rFonts w:ascii="Arial" w:hAnsi="Arial" w:cs="Arial"/>
        <w:b/>
        <w:i/>
        <w:color w:val="auto"/>
        <w:sz w:val="18"/>
        <w:szCs w:val="18"/>
      </w:rPr>
    </w:pPr>
    <w:r>
      <w:rPr>
        <w:rFonts w:ascii="Arial" w:hAnsi="Arial" w:cs="Arial"/>
        <w:i/>
        <w:color w:val="auto"/>
        <w:sz w:val="18"/>
        <w:szCs w:val="18"/>
      </w:rPr>
      <w:t>CMS/Sharks/MOS4/Doc.10.2</w:t>
    </w:r>
  </w:p>
  <w:p w14:paraId="5F50C78E" w14:textId="77777777" w:rsidR="002F1B52" w:rsidRDefault="002F1B52" w:rsidP="00D87D1E">
    <w:pPr>
      <w:pStyle w:val="Header"/>
      <w:rPr>
        <w:lang w:val="fr-FR"/>
      </w:rPr>
    </w:pPr>
  </w:p>
  <w:p w14:paraId="39047E55" w14:textId="77777777" w:rsidR="002F1B52" w:rsidRDefault="002F1B52" w:rsidP="00F9613E">
    <w:pPr>
      <w:pStyle w:val="Header"/>
      <w:tabs>
        <w:tab w:val="left" w:pos="2712"/>
      </w:tabs>
      <w:rPr>
        <w:lang w:val="fr-F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0538B" w14:textId="77777777" w:rsidR="002F1B52" w:rsidRDefault="002F1B52" w:rsidP="00F9613E">
    <w:pPr>
      <w:pStyle w:val="Header"/>
      <w:ind w:firstLine="720"/>
      <w:rPr>
        <w:lang w:val="fr-FR"/>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8E199" w14:textId="4F782DE2" w:rsidR="00E42B63" w:rsidRPr="00627A42" w:rsidRDefault="00627A42" w:rsidP="00F71199">
    <w:pPr>
      <w:pBdr>
        <w:bottom w:val="single" w:sz="4" w:space="1" w:color="auto"/>
      </w:pBdr>
      <w:ind w:left="-36" w:right="-108"/>
      <w:jc w:val="both"/>
      <w:rPr>
        <w:rFonts w:ascii="Arial" w:hAnsi="Arial" w:cs="Arial"/>
        <w:i/>
        <w:sz w:val="18"/>
        <w:szCs w:val="18"/>
      </w:rPr>
    </w:pPr>
    <w:r>
      <w:rPr>
        <w:rFonts w:ascii="Arial" w:hAnsi="Arial" w:cs="Arial"/>
        <w:i/>
        <w:sz w:val="18"/>
        <w:szCs w:val="18"/>
      </w:rPr>
      <w:t>CMS/Sharks/MOS</w:t>
    </w:r>
    <w:r w:rsidR="00CE7534">
      <w:rPr>
        <w:rFonts w:ascii="Arial" w:hAnsi="Arial" w:cs="Arial"/>
        <w:i/>
        <w:sz w:val="18"/>
        <w:szCs w:val="18"/>
      </w:rPr>
      <w:t>4</w:t>
    </w:r>
    <w:r>
      <w:rPr>
        <w:rFonts w:ascii="Arial" w:hAnsi="Arial" w:cs="Arial"/>
        <w:i/>
        <w:sz w:val="18"/>
        <w:szCs w:val="18"/>
      </w:rPr>
      <w:t>/Doc.</w:t>
    </w:r>
    <w:r w:rsidR="00536AE8">
      <w:rPr>
        <w:rFonts w:ascii="Arial" w:hAnsi="Arial" w:cs="Arial"/>
        <w:i/>
        <w:sz w:val="18"/>
        <w:szCs w:val="18"/>
      </w:rPr>
      <w:t>10.2</w:t>
    </w:r>
  </w:p>
  <w:p w14:paraId="0A439A74" w14:textId="77777777" w:rsidR="00E42B63" w:rsidRDefault="002746C2">
    <w:pPr>
      <w:pStyle w:val="Header"/>
    </w:pPr>
  </w:p>
  <w:p w14:paraId="07B2793B" w14:textId="77777777" w:rsidR="00A36A98" w:rsidRDefault="00A36A98"/>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CDD86" w14:textId="32D2E7C1" w:rsidR="00627A42" w:rsidRPr="00627A42" w:rsidRDefault="00627A42" w:rsidP="00CC76F2">
    <w:pPr>
      <w:pBdr>
        <w:bottom w:val="single" w:sz="4" w:space="1" w:color="auto"/>
      </w:pBdr>
      <w:ind w:left="-36" w:right="-33"/>
      <w:jc w:val="right"/>
      <w:rPr>
        <w:rFonts w:ascii="Arial" w:hAnsi="Arial" w:cs="Arial"/>
        <w:i/>
        <w:sz w:val="18"/>
        <w:szCs w:val="18"/>
      </w:rPr>
    </w:pPr>
    <w:r>
      <w:rPr>
        <w:rFonts w:ascii="Arial" w:hAnsi="Arial" w:cs="Arial"/>
        <w:i/>
        <w:sz w:val="18"/>
        <w:szCs w:val="18"/>
      </w:rPr>
      <w:t>CMS/Sharks/MOS</w:t>
    </w:r>
    <w:r w:rsidR="00CE7534">
      <w:rPr>
        <w:rFonts w:ascii="Arial" w:hAnsi="Arial" w:cs="Arial"/>
        <w:i/>
        <w:sz w:val="18"/>
        <w:szCs w:val="18"/>
      </w:rPr>
      <w:t>4</w:t>
    </w:r>
    <w:r>
      <w:rPr>
        <w:rFonts w:ascii="Arial" w:hAnsi="Arial" w:cs="Arial"/>
        <w:i/>
        <w:sz w:val="18"/>
        <w:szCs w:val="18"/>
      </w:rPr>
      <w:t>/</w:t>
    </w:r>
    <w:proofErr w:type="spellStart"/>
    <w:r>
      <w:rPr>
        <w:rFonts w:ascii="Arial" w:hAnsi="Arial" w:cs="Arial"/>
        <w:i/>
        <w:sz w:val="18"/>
        <w:szCs w:val="18"/>
      </w:rPr>
      <w:t>Doc.XX</w:t>
    </w:r>
    <w:proofErr w:type="spellEnd"/>
  </w:p>
  <w:p w14:paraId="479B4D53" w14:textId="77777777" w:rsidR="00627A42" w:rsidRDefault="00627A42">
    <w:pPr>
      <w:pStyle w:val="Header"/>
    </w:pPr>
  </w:p>
  <w:p w14:paraId="576245DF" w14:textId="77777777" w:rsidR="00A36A98" w:rsidRDefault="00A36A98"/>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CFFA5" w14:textId="08BC71B9" w:rsidR="002F1B52" w:rsidRPr="002F1B52" w:rsidRDefault="002F1B52" w:rsidP="002F1B52">
    <w:pPr>
      <w:pStyle w:val="Heading1"/>
      <w:keepNext w:val="0"/>
      <w:pBdr>
        <w:bottom w:val="single" w:sz="4" w:space="1" w:color="auto"/>
      </w:pBdr>
      <w:spacing w:before="0"/>
      <w:rPr>
        <w:rFonts w:ascii="Arial" w:hAnsi="Arial" w:cs="Arial"/>
        <w:b/>
        <w:i/>
        <w:color w:val="auto"/>
        <w:sz w:val="18"/>
        <w:szCs w:val="18"/>
      </w:rPr>
    </w:pPr>
    <w:r>
      <w:rPr>
        <w:rFonts w:ascii="Arial" w:hAnsi="Arial" w:cs="Arial"/>
        <w:i/>
        <w:color w:val="auto"/>
        <w:sz w:val="18"/>
        <w:szCs w:val="18"/>
      </w:rPr>
      <w:t>CMS/Sharks/MOS4/Doc.10.2/</w:t>
    </w:r>
    <w:proofErr w:type="spellStart"/>
    <w:r>
      <w:rPr>
        <w:rFonts w:ascii="Arial" w:hAnsi="Arial" w:cs="Arial"/>
        <w:i/>
        <w:color w:val="auto"/>
        <w:sz w:val="18"/>
        <w:szCs w:val="18"/>
      </w:rPr>
      <w:t>Annexe</w:t>
    </w:r>
    <w:proofErr w:type="spellEnd"/>
    <w:r>
      <w:rPr>
        <w:rFonts w:ascii="Arial" w:hAnsi="Arial" w:cs="Arial"/>
        <w:i/>
        <w:color w:val="auto"/>
        <w:sz w:val="18"/>
        <w:szCs w:val="18"/>
      </w:rPr>
      <w:t xml:space="preserve"> 1</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4EC03" w14:textId="77777777" w:rsidR="00093A40" w:rsidRPr="009E2F56" w:rsidRDefault="00A94048" w:rsidP="009E2F56">
    <w:pPr>
      <w:pStyle w:val="Heading1"/>
      <w:keepNext w:val="0"/>
      <w:pBdr>
        <w:bottom w:val="single" w:sz="4" w:space="1" w:color="auto"/>
      </w:pBdr>
      <w:spacing w:before="0"/>
      <w:rPr>
        <w:rFonts w:ascii="Arial" w:hAnsi="Arial" w:cs="Arial"/>
        <w:b/>
        <w:i/>
        <w:color w:val="auto"/>
        <w:sz w:val="18"/>
        <w:szCs w:val="18"/>
      </w:rPr>
    </w:pPr>
    <w:r>
      <w:rPr>
        <w:rFonts w:ascii="Arial" w:hAnsi="Arial" w:cs="Arial"/>
        <w:i/>
        <w:color w:val="auto"/>
        <w:sz w:val="18"/>
        <w:szCs w:val="18"/>
      </w:rPr>
      <w:t>CMS/Sharks/MOS4/Doc.10.2/Annex 2</w:t>
    </w:r>
  </w:p>
  <w:p w14:paraId="405EEC75" w14:textId="77777777" w:rsidR="00093A40" w:rsidRPr="00EB05D3" w:rsidRDefault="002746C2">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72E4B" w14:textId="0C01800C" w:rsidR="001D6F2C" w:rsidRPr="009E2F56" w:rsidRDefault="00A94048" w:rsidP="00A94048">
    <w:pPr>
      <w:pStyle w:val="Heading1"/>
      <w:keepNext w:val="0"/>
      <w:pBdr>
        <w:bottom w:val="single" w:sz="4" w:space="1" w:color="auto"/>
      </w:pBdr>
      <w:spacing w:before="0"/>
      <w:ind w:right="-648"/>
      <w:jc w:val="right"/>
      <w:rPr>
        <w:rFonts w:ascii="Arial" w:hAnsi="Arial" w:cs="Arial"/>
        <w:b/>
        <w:i/>
        <w:color w:val="auto"/>
        <w:sz w:val="18"/>
        <w:szCs w:val="18"/>
      </w:rPr>
    </w:pPr>
    <w:r>
      <w:rPr>
        <w:rFonts w:ascii="Arial" w:hAnsi="Arial" w:cs="Arial"/>
        <w:i/>
        <w:color w:val="auto"/>
        <w:sz w:val="18"/>
        <w:szCs w:val="18"/>
      </w:rPr>
      <w:t>CMS/Sharks/MOS4/Doc.10.2/</w:t>
    </w:r>
    <w:proofErr w:type="spellStart"/>
    <w:r>
      <w:rPr>
        <w:rFonts w:ascii="Arial" w:hAnsi="Arial" w:cs="Arial"/>
        <w:i/>
        <w:color w:val="auto"/>
        <w:sz w:val="18"/>
        <w:szCs w:val="18"/>
      </w:rPr>
      <w:t>Annexe</w:t>
    </w:r>
    <w:proofErr w:type="spellEnd"/>
    <w:r>
      <w:rPr>
        <w:rFonts w:ascii="Arial" w:hAnsi="Arial" w:cs="Arial"/>
        <w:i/>
        <w:color w:val="auto"/>
        <w:sz w:val="18"/>
        <w:szCs w:val="18"/>
      </w:rPr>
      <w:t xml:space="preserve">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306AF1"/>
    <w:multiLevelType w:val="hybridMultilevel"/>
    <w:tmpl w:val="BCD01C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CE70FA"/>
    <w:multiLevelType w:val="hybridMultilevel"/>
    <w:tmpl w:val="E68665B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6D4304FF"/>
    <w:multiLevelType w:val="hybridMultilevel"/>
    <w:tmpl w:val="53C4ECDC"/>
    <w:lvl w:ilvl="0" w:tplc="4E8000EC">
      <w:start w:val="1"/>
      <w:numFmt w:val="lowerLetter"/>
      <w:lvlText w:val="%1)"/>
      <w:lvlJc w:val="left"/>
      <w:pPr>
        <w:ind w:left="780" w:hanging="360"/>
      </w:pPr>
      <w:rPr>
        <w:rFonts w:hint="default"/>
        <w:lang w:val="fr-FR"/>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6F876DE2"/>
    <w:multiLevelType w:val="hybridMultilevel"/>
    <w:tmpl w:val="1556C95A"/>
    <w:lvl w:ilvl="0" w:tplc="CB4CC0EA">
      <w:start w:val="8"/>
      <w:numFmt w:val="decimal"/>
      <w:lvlText w:val="%1."/>
      <w:lvlJc w:val="left"/>
      <w:pPr>
        <w:ind w:left="360" w:hanging="360"/>
      </w:pPr>
      <w:rPr>
        <w:rFonts w:hint="default"/>
        <w:b w:val="0"/>
        <w:bCs/>
      </w:rPr>
    </w:lvl>
    <w:lvl w:ilvl="1" w:tplc="08090017">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7D1C653E"/>
    <w:multiLevelType w:val="hybridMultilevel"/>
    <w:tmpl w:val="093230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FA117A6"/>
    <w:multiLevelType w:val="hybridMultilevel"/>
    <w:tmpl w:val="E1D8D72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81217683">
    <w:abstractNumId w:val="0"/>
  </w:num>
  <w:num w:numId="2" w16cid:durableId="694425000">
    <w:abstractNumId w:val="2"/>
  </w:num>
  <w:num w:numId="3" w16cid:durableId="22684329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81978187">
    <w:abstractNumId w:val="3"/>
  </w:num>
  <w:num w:numId="5" w16cid:durableId="1877161087">
    <w:abstractNumId w:val="5"/>
  </w:num>
  <w:num w:numId="6" w16cid:durableId="3491829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LC0NDQxMjM0sTQxNzdX0lEKTi0uzszPAykwqwUA8qG5UCwAAAA="/>
  </w:docVars>
  <w:rsids>
    <w:rsidRoot w:val="00B25614"/>
    <w:rsid w:val="000E249B"/>
    <w:rsid w:val="000F4E00"/>
    <w:rsid w:val="001050B4"/>
    <w:rsid w:val="001B6B92"/>
    <w:rsid w:val="001C7504"/>
    <w:rsid w:val="002700F6"/>
    <w:rsid w:val="002746C2"/>
    <w:rsid w:val="002F1B52"/>
    <w:rsid w:val="003403BD"/>
    <w:rsid w:val="003853A2"/>
    <w:rsid w:val="003C6B55"/>
    <w:rsid w:val="00451B4C"/>
    <w:rsid w:val="0048633E"/>
    <w:rsid w:val="00490565"/>
    <w:rsid w:val="0049063C"/>
    <w:rsid w:val="004F1E31"/>
    <w:rsid w:val="004F27E0"/>
    <w:rsid w:val="00536AE8"/>
    <w:rsid w:val="00536C33"/>
    <w:rsid w:val="00540C05"/>
    <w:rsid w:val="005D72F1"/>
    <w:rsid w:val="0061372A"/>
    <w:rsid w:val="00627A42"/>
    <w:rsid w:val="00633185"/>
    <w:rsid w:val="007B4024"/>
    <w:rsid w:val="007D4F41"/>
    <w:rsid w:val="007E577C"/>
    <w:rsid w:val="00842233"/>
    <w:rsid w:val="00901D65"/>
    <w:rsid w:val="00964545"/>
    <w:rsid w:val="009A4757"/>
    <w:rsid w:val="009B083A"/>
    <w:rsid w:val="00A36A98"/>
    <w:rsid w:val="00A53DB8"/>
    <w:rsid w:val="00A94048"/>
    <w:rsid w:val="00B134E7"/>
    <w:rsid w:val="00B25614"/>
    <w:rsid w:val="00CC6F9A"/>
    <w:rsid w:val="00CC76F2"/>
    <w:rsid w:val="00CE7534"/>
    <w:rsid w:val="00CE7ACC"/>
    <w:rsid w:val="00DA06A7"/>
    <w:rsid w:val="00DD3534"/>
    <w:rsid w:val="00E72512"/>
    <w:rsid w:val="00F604E3"/>
    <w:rsid w:val="00FA0DF5"/>
    <w:rsid w:val="00FD4F0F"/>
    <w:rsid w:val="00FE65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07571E3E"/>
  <w15:chartTrackingRefBased/>
  <w15:docId w15:val="{1103D5E8-93CE-40A8-B852-C13B19C16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5614"/>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uiPriority w:val="9"/>
    <w:qFormat/>
    <w:rsid w:val="002F1B5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9">
    <w:name w:val="heading 9"/>
    <w:basedOn w:val="Normal"/>
    <w:next w:val="Normal"/>
    <w:link w:val="Heading9Char"/>
    <w:uiPriority w:val="9"/>
    <w:qFormat/>
    <w:rsid w:val="00B25614"/>
    <w:pPr>
      <w:keepNext/>
      <w:framePr w:hSpace="180" w:wrap="notBeside" w:hAnchor="margin" w:y="-401"/>
      <w:tabs>
        <w:tab w:val="left" w:pos="-1057"/>
        <w:tab w:val="left" w:pos="-720"/>
        <w:tab w:val="left" w:pos="0"/>
        <w:tab w:val="left" w:pos="141"/>
        <w:tab w:val="left" w:pos="720"/>
        <w:tab w:val="left" w:pos="1440"/>
        <w:tab w:val="left" w:pos="2160"/>
        <w:tab w:val="left" w:pos="2880"/>
        <w:tab w:val="right" w:pos="5426"/>
      </w:tabs>
      <w:spacing w:line="300" w:lineRule="atLeast"/>
      <w:outlineLvl w:val="8"/>
    </w:pPr>
    <w:rPr>
      <w:rFonts w:ascii="Cambria" w:hAnsi="Cambria"/>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B25614"/>
    <w:rPr>
      <w:color w:val="0000FF"/>
      <w:u w:val="single"/>
    </w:rPr>
  </w:style>
  <w:style w:type="character" w:styleId="CommentReference">
    <w:name w:val="annotation reference"/>
    <w:uiPriority w:val="99"/>
    <w:semiHidden/>
    <w:unhideWhenUsed/>
    <w:rsid w:val="00B25614"/>
    <w:rPr>
      <w:sz w:val="16"/>
      <w:szCs w:val="16"/>
    </w:rPr>
  </w:style>
  <w:style w:type="paragraph" w:styleId="CommentText">
    <w:name w:val="annotation text"/>
    <w:basedOn w:val="Normal"/>
    <w:link w:val="CommentTextChar"/>
    <w:uiPriority w:val="99"/>
    <w:semiHidden/>
    <w:unhideWhenUsed/>
    <w:rsid w:val="00B25614"/>
    <w:rPr>
      <w:szCs w:val="20"/>
    </w:rPr>
  </w:style>
  <w:style w:type="character" w:customStyle="1" w:styleId="CommentTextChar">
    <w:name w:val="Comment Text Char"/>
    <w:basedOn w:val="DefaultParagraphFont"/>
    <w:link w:val="CommentText"/>
    <w:uiPriority w:val="99"/>
    <w:semiHidden/>
    <w:rsid w:val="00B25614"/>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B2561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5614"/>
    <w:rPr>
      <w:rFonts w:ascii="Segoe UI" w:eastAsia="Times New Roman" w:hAnsi="Segoe UI" w:cs="Segoe UI"/>
      <w:sz w:val="18"/>
      <w:szCs w:val="18"/>
    </w:rPr>
  </w:style>
  <w:style w:type="paragraph" w:styleId="ListParagraph">
    <w:name w:val="List Paragraph"/>
    <w:basedOn w:val="Normal"/>
    <w:link w:val="ListParagraphChar"/>
    <w:uiPriority w:val="34"/>
    <w:qFormat/>
    <w:rsid w:val="00B25614"/>
    <w:pPr>
      <w:ind w:left="720"/>
      <w:contextualSpacing/>
    </w:pPr>
  </w:style>
  <w:style w:type="character" w:customStyle="1" w:styleId="Heading9Char">
    <w:name w:val="Heading 9 Char"/>
    <w:basedOn w:val="DefaultParagraphFont"/>
    <w:link w:val="Heading9"/>
    <w:uiPriority w:val="9"/>
    <w:rsid w:val="00B25614"/>
    <w:rPr>
      <w:rFonts w:ascii="Cambria" w:eastAsia="Times New Roman" w:hAnsi="Cambria" w:cs="Times New Roman"/>
      <w:sz w:val="20"/>
      <w:szCs w:val="20"/>
    </w:rPr>
  </w:style>
  <w:style w:type="character" w:styleId="PageNumber">
    <w:name w:val="page number"/>
    <w:basedOn w:val="DefaultParagraphFont"/>
    <w:rsid w:val="007E577C"/>
  </w:style>
  <w:style w:type="paragraph" w:styleId="Header">
    <w:name w:val="header"/>
    <w:basedOn w:val="Normal"/>
    <w:link w:val="HeaderChar"/>
    <w:uiPriority w:val="99"/>
    <w:rsid w:val="007E577C"/>
    <w:pPr>
      <w:tabs>
        <w:tab w:val="center" w:pos="4153"/>
        <w:tab w:val="right" w:pos="8306"/>
      </w:tabs>
    </w:pPr>
    <w:rPr>
      <w:szCs w:val="20"/>
      <w:lang w:val="en-GB"/>
    </w:rPr>
  </w:style>
  <w:style w:type="character" w:customStyle="1" w:styleId="HeaderChar">
    <w:name w:val="Header Char"/>
    <w:basedOn w:val="DefaultParagraphFont"/>
    <w:link w:val="Header"/>
    <w:uiPriority w:val="99"/>
    <w:rsid w:val="007E577C"/>
    <w:rPr>
      <w:rFonts w:ascii="Times New Roman" w:eastAsia="Times New Roman" w:hAnsi="Times New Roman" w:cs="Times New Roman"/>
      <w:sz w:val="20"/>
      <w:szCs w:val="20"/>
      <w:lang w:val="en-GB"/>
    </w:rPr>
  </w:style>
  <w:style w:type="paragraph" w:styleId="Footer">
    <w:name w:val="footer"/>
    <w:basedOn w:val="Normal"/>
    <w:link w:val="FooterChar"/>
    <w:uiPriority w:val="99"/>
    <w:rsid w:val="007E577C"/>
    <w:pPr>
      <w:tabs>
        <w:tab w:val="center" w:pos="4320"/>
        <w:tab w:val="right" w:pos="8640"/>
      </w:tabs>
    </w:pPr>
  </w:style>
  <w:style w:type="character" w:customStyle="1" w:styleId="FooterChar">
    <w:name w:val="Footer Char"/>
    <w:basedOn w:val="DefaultParagraphFont"/>
    <w:link w:val="Footer"/>
    <w:uiPriority w:val="99"/>
    <w:rsid w:val="007E577C"/>
    <w:rPr>
      <w:rFonts w:ascii="Times New Roman" w:eastAsia="Times New Roman" w:hAnsi="Times New Roman" w:cs="Times New Roman"/>
      <w:sz w:val="20"/>
      <w:szCs w:val="24"/>
    </w:rPr>
  </w:style>
  <w:style w:type="paragraph" w:styleId="FootnoteText">
    <w:name w:val="footnote text"/>
    <w:link w:val="FootnoteTextChar"/>
    <w:uiPriority w:val="99"/>
    <w:rsid w:val="00536AE8"/>
    <w:pPr>
      <w:pBdr>
        <w:top w:val="nil"/>
        <w:left w:val="nil"/>
        <w:bottom w:val="nil"/>
        <w:right w:val="nil"/>
        <w:between w:val="nil"/>
        <w:bar w:val="nil"/>
      </w:pBdr>
      <w:spacing w:after="0" w:line="240" w:lineRule="auto"/>
    </w:pPr>
    <w:rPr>
      <w:rFonts w:ascii="Times New Roman" w:eastAsia="Times New Roman" w:hAnsi="Times New Roman" w:cs="Times New Roman"/>
      <w:color w:val="000000"/>
      <w:sz w:val="20"/>
      <w:szCs w:val="20"/>
      <w:u w:color="000000"/>
      <w:bdr w:val="nil"/>
      <w:lang w:eastAsia="en-GB"/>
    </w:rPr>
  </w:style>
  <w:style w:type="character" w:customStyle="1" w:styleId="FootnoteTextChar">
    <w:name w:val="Footnote Text Char"/>
    <w:basedOn w:val="DefaultParagraphFont"/>
    <w:link w:val="FootnoteText"/>
    <w:uiPriority w:val="99"/>
    <w:rsid w:val="00536AE8"/>
    <w:rPr>
      <w:rFonts w:ascii="Times New Roman" w:eastAsia="Times New Roman" w:hAnsi="Times New Roman" w:cs="Times New Roman"/>
      <w:color w:val="000000"/>
      <w:sz w:val="20"/>
      <w:szCs w:val="20"/>
      <w:u w:color="000000"/>
      <w:bdr w:val="nil"/>
      <w:lang w:eastAsia="en-GB"/>
    </w:rPr>
  </w:style>
  <w:style w:type="character" w:styleId="FootnoteReference">
    <w:name w:val="footnote reference"/>
    <w:basedOn w:val="DefaultParagraphFont"/>
    <w:uiPriority w:val="99"/>
    <w:semiHidden/>
    <w:unhideWhenUsed/>
    <w:rsid w:val="00536AE8"/>
    <w:rPr>
      <w:vertAlign w:val="superscript"/>
    </w:rPr>
  </w:style>
  <w:style w:type="table" w:styleId="PlainTable2">
    <w:name w:val="Plain Table 2"/>
    <w:basedOn w:val="TableNormal"/>
    <w:uiPriority w:val="42"/>
    <w:rsid w:val="00536AE8"/>
    <w:pPr>
      <w:spacing w:after="0" w:line="240" w:lineRule="auto"/>
    </w:pPr>
    <w:rPr>
      <w:rFonts w:ascii="Trebuchet MS" w:hAnsi="Trebuchet MS" w:cs="Times New Roman"/>
      <w:sz w:val="28"/>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1Char">
    <w:name w:val="Heading 1 Char"/>
    <w:basedOn w:val="DefaultParagraphFont"/>
    <w:link w:val="Heading1"/>
    <w:uiPriority w:val="9"/>
    <w:rsid w:val="002F1B52"/>
    <w:rPr>
      <w:rFonts w:asciiTheme="majorHAnsi" w:eastAsiaTheme="majorEastAsia" w:hAnsiTheme="majorHAnsi" w:cstheme="majorBidi"/>
      <w:color w:val="2E74B5" w:themeColor="accent1" w:themeShade="BF"/>
      <w:sz w:val="32"/>
      <w:szCs w:val="32"/>
    </w:rPr>
  </w:style>
  <w:style w:type="character" w:customStyle="1" w:styleId="ListParagraphChar">
    <w:name w:val="List Paragraph Char"/>
    <w:basedOn w:val="DefaultParagraphFont"/>
    <w:link w:val="ListParagraph"/>
    <w:uiPriority w:val="34"/>
    <w:locked/>
    <w:rsid w:val="002F1B52"/>
    <w:rPr>
      <w:rFonts w:ascii="Times New Roman" w:eastAsia="Times New Roman" w:hAnsi="Times New Roman" w:cs="Times New Roman"/>
      <w:sz w:val="20"/>
      <w:szCs w:val="24"/>
    </w:rPr>
  </w:style>
  <w:style w:type="character" w:customStyle="1" w:styleId="normaltextrun">
    <w:name w:val="normaltextrun"/>
    <w:basedOn w:val="DefaultParagraphFont"/>
    <w:rsid w:val="00A94048"/>
  </w:style>
  <w:style w:type="paragraph" w:styleId="Revision">
    <w:name w:val="Revision"/>
    <w:hidden/>
    <w:uiPriority w:val="99"/>
    <w:semiHidden/>
    <w:rsid w:val="007D4F41"/>
    <w:pPr>
      <w:spacing w:after="0" w:line="240" w:lineRule="auto"/>
    </w:pPr>
    <w:rPr>
      <w:rFonts w:ascii="Times New Roman" w:eastAsia="Times New Roman" w:hAnsi="Times New Roman"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830635">
      <w:bodyDiv w:val="1"/>
      <w:marLeft w:val="0"/>
      <w:marRight w:val="0"/>
      <w:marTop w:val="0"/>
      <w:marBottom w:val="0"/>
      <w:divBdr>
        <w:top w:val="none" w:sz="0" w:space="0" w:color="auto"/>
        <w:left w:val="none" w:sz="0" w:space="0" w:color="auto"/>
        <w:bottom w:val="none" w:sz="0" w:space="0" w:color="auto"/>
        <w:right w:val="none" w:sz="0" w:space="0" w:color="auto"/>
      </w:divBdr>
    </w:div>
    <w:div w:id="1758595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ms.int/sharks/fr/node/23628" TargetMode="External"/><Relationship Id="rId18" Type="http://schemas.openxmlformats.org/officeDocument/2006/relationships/footer" Target="footer2.xml"/><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hyperlink" Target="https://www.cms.int/sharks/fr/search404" TargetMode="External"/><Relationship Id="rId7" Type="http://schemas.openxmlformats.org/officeDocument/2006/relationships/endnotes" Target="endnotes.xml"/><Relationship Id="rId12" Type="http://schemas.openxmlformats.org/officeDocument/2006/relationships/hyperlink" Target="https://www.cms.int/sharks/fr/node/23628" TargetMode="External"/><Relationship Id="rId17" Type="http://schemas.openxmlformats.org/officeDocument/2006/relationships/footer" Target="footer1.xml"/><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ms.int/sharks/en/document/half-century-global-decline-oceanic-sharks-and-rays" TargetMode="Externa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28" Type="http://schemas.openxmlformats.org/officeDocument/2006/relationships/header" Target="header8.xml"/><Relationship Id="rId10" Type="http://schemas.openxmlformats.org/officeDocument/2006/relationships/image" Target="media/image3.jpe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cms.int/sharks/fr/apropos/programme-travail-2019-20212" TargetMode="External"/><Relationship Id="rId22" Type="http://schemas.openxmlformats.org/officeDocument/2006/relationships/header" Target="header4.xml"/><Relationship Id="rId27" Type="http://schemas.openxmlformats.org/officeDocument/2006/relationships/header" Target="header7.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doi.org/10.1038/s41586-020-0317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6B0AF8-C381-42BA-B563-D106F48354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2320</Words>
  <Characters>13227</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Meyers</dc:creator>
  <cp:keywords/>
  <dc:description/>
  <cp:lastModifiedBy>Catherine Brueckner</cp:lastModifiedBy>
  <cp:revision>2</cp:revision>
  <cp:lastPrinted>2022-12-14T13:47:00Z</cp:lastPrinted>
  <dcterms:created xsi:type="dcterms:W3CDTF">2023-03-01T20:44:00Z</dcterms:created>
  <dcterms:modified xsi:type="dcterms:W3CDTF">2023-03-01T20:44:00Z</dcterms:modified>
</cp:coreProperties>
</file>