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09EB5E" w14:textId="77777777" w:rsidR="00591706" w:rsidRPr="00604452" w:rsidRDefault="00591706">
      <w:pPr>
        <w:rPr>
          <w:rFonts w:cs="Arial"/>
          <w:lang w:val="fr-FR"/>
        </w:rPr>
      </w:pPr>
    </w:p>
    <w:p w14:paraId="29974D1E" w14:textId="77777777" w:rsidR="00591706" w:rsidRPr="00604452" w:rsidRDefault="00591706">
      <w:pPr>
        <w:rPr>
          <w:rFonts w:cs="Arial"/>
          <w:lang w:val="fr-FR"/>
        </w:rPr>
      </w:pPr>
    </w:p>
    <w:p w14:paraId="55592109" w14:textId="77777777" w:rsidR="00FC5511" w:rsidRPr="00D46533" w:rsidRDefault="00FC5511" w:rsidP="00FC5511">
      <w:pPr>
        <w:tabs>
          <w:tab w:val="left" w:pos="-1057"/>
          <w:tab w:val="left" w:pos="-720"/>
        </w:tabs>
        <w:jc w:val="center"/>
        <w:rPr>
          <w:rFonts w:cs="Arial"/>
          <w:b/>
          <w:sz w:val="28"/>
          <w:szCs w:val="28"/>
          <w:lang w:val="fr-FR"/>
        </w:rPr>
      </w:pPr>
      <w:r>
        <w:rPr>
          <w:rFonts w:cs="Arial"/>
          <w:b/>
          <w:sz w:val="28"/>
          <w:szCs w:val="28"/>
          <w:lang w:val="fr-FR"/>
        </w:rPr>
        <w:t>7</w:t>
      </w:r>
      <w:r w:rsidRPr="00D46533">
        <w:rPr>
          <w:rFonts w:cs="Arial"/>
          <w:b/>
          <w:sz w:val="28"/>
          <w:szCs w:val="28"/>
          <w:vertAlign w:val="superscript"/>
          <w:lang w:val="fr-FR"/>
        </w:rPr>
        <w:t>ème</w:t>
      </w:r>
      <w:r w:rsidRPr="00D46533">
        <w:rPr>
          <w:rFonts w:cs="Arial"/>
          <w:b/>
          <w:sz w:val="28"/>
          <w:szCs w:val="28"/>
          <w:lang w:val="fr-FR"/>
        </w:rPr>
        <w:t xml:space="preserve"> Réunion du Comité de session du </w:t>
      </w:r>
    </w:p>
    <w:p w14:paraId="5755429D" w14:textId="77777777" w:rsidR="00FC5511" w:rsidRPr="00D46533" w:rsidRDefault="00FC5511" w:rsidP="00FC5511">
      <w:pPr>
        <w:tabs>
          <w:tab w:val="left" w:pos="-1057"/>
          <w:tab w:val="left" w:pos="-720"/>
        </w:tabs>
        <w:spacing w:after="120"/>
        <w:jc w:val="center"/>
        <w:rPr>
          <w:rFonts w:cs="Arial"/>
          <w:b/>
          <w:sz w:val="28"/>
          <w:szCs w:val="28"/>
          <w:lang w:val="fr-FR"/>
        </w:rPr>
      </w:pPr>
      <w:r w:rsidRPr="00D46533">
        <w:rPr>
          <w:rFonts w:cs="Arial"/>
          <w:b/>
          <w:sz w:val="28"/>
          <w:szCs w:val="28"/>
          <w:lang w:val="fr-FR"/>
        </w:rPr>
        <w:t>Conseil scientifique de la CMS (ScC-SC</w:t>
      </w:r>
      <w:r>
        <w:rPr>
          <w:rFonts w:cs="Arial"/>
          <w:b/>
          <w:sz w:val="28"/>
          <w:szCs w:val="28"/>
          <w:lang w:val="fr-FR"/>
        </w:rPr>
        <w:t>7</w:t>
      </w:r>
      <w:r w:rsidRPr="00D46533">
        <w:rPr>
          <w:rFonts w:cs="Arial"/>
          <w:b/>
          <w:sz w:val="28"/>
          <w:szCs w:val="28"/>
          <w:lang w:val="fr-FR"/>
        </w:rPr>
        <w:t>)</w:t>
      </w:r>
    </w:p>
    <w:p w14:paraId="7CE973E6" w14:textId="77777777" w:rsidR="00FC5511" w:rsidRPr="00D46533" w:rsidRDefault="00FC5511" w:rsidP="00FC5511">
      <w:pPr>
        <w:pBdr>
          <w:bottom w:val="single" w:sz="4" w:space="1" w:color="auto"/>
        </w:pBdr>
        <w:kinsoku w:val="0"/>
        <w:overflowPunct w:val="0"/>
        <w:jc w:val="center"/>
        <w:outlineLvl w:val="0"/>
        <w:rPr>
          <w:rFonts w:cs="Arial"/>
          <w:bCs/>
          <w:i/>
          <w:spacing w:val="-4"/>
          <w:lang w:val="fr-FR"/>
        </w:rPr>
      </w:pPr>
      <w:r>
        <w:rPr>
          <w:rFonts w:cs="Arial"/>
          <w:bCs/>
          <w:i/>
          <w:spacing w:val="-4"/>
          <w:lang w:val="fr-FR"/>
        </w:rPr>
        <w:t>Bonn, Allemagne, 17 – 20 septembre 2024</w:t>
      </w:r>
    </w:p>
    <w:p w14:paraId="231029DB" w14:textId="629B6741" w:rsidR="00FC5511" w:rsidRPr="00D46533" w:rsidRDefault="00FC5511" w:rsidP="00FC5511">
      <w:pPr>
        <w:spacing w:before="120"/>
        <w:jc w:val="right"/>
        <w:rPr>
          <w:rFonts w:cs="Arial"/>
          <w:lang w:val="fr-FR"/>
        </w:rPr>
      </w:pPr>
      <w:r w:rsidRPr="00D46533">
        <w:rPr>
          <w:rFonts w:cs="Arial"/>
          <w:lang w:val="fr-FR"/>
        </w:rPr>
        <w:t>UNEP/CMS/ScC-SC</w:t>
      </w:r>
      <w:r>
        <w:rPr>
          <w:rFonts w:cs="Arial"/>
          <w:lang w:val="fr-FR"/>
        </w:rPr>
        <w:t>7</w:t>
      </w:r>
      <w:r w:rsidRPr="00D46533">
        <w:rPr>
          <w:rFonts w:cs="Arial"/>
          <w:lang w:val="fr-FR"/>
        </w:rPr>
        <w:t>/Doc.</w:t>
      </w:r>
      <w:r>
        <w:rPr>
          <w:rFonts w:cs="Arial"/>
          <w:lang w:val="fr-FR"/>
        </w:rPr>
        <w:t>6.2.1</w:t>
      </w:r>
    </w:p>
    <w:p w14:paraId="3E226E3B" w14:textId="77777777" w:rsidR="00FC5511" w:rsidRDefault="00FC5511" w:rsidP="00FC5511">
      <w:pPr>
        <w:jc w:val="both"/>
        <w:rPr>
          <w:rFonts w:cs="Arial"/>
          <w:lang w:val="fr-FR"/>
        </w:rPr>
      </w:pPr>
    </w:p>
    <w:p w14:paraId="2C7634D1" w14:textId="77777777" w:rsidR="00591706" w:rsidRPr="00604452" w:rsidRDefault="00591706">
      <w:pPr>
        <w:tabs>
          <w:tab w:val="left" w:pos="6285"/>
        </w:tabs>
        <w:jc w:val="both"/>
        <w:rPr>
          <w:rFonts w:cs="Arial"/>
          <w:lang w:val="fr-FR"/>
        </w:rPr>
      </w:pPr>
    </w:p>
    <w:p w14:paraId="4DD50340" w14:textId="77777777" w:rsidR="00591706" w:rsidRPr="00604452" w:rsidRDefault="00604452">
      <w:pPr>
        <w:pStyle w:val="Heading2"/>
        <w:keepNext w:val="0"/>
        <w:spacing w:after="120"/>
        <w:ind w:left="-86" w:right="-360"/>
        <w:rPr>
          <w:rFonts w:ascii="Arial" w:hAnsi="Arial" w:cs="Arial"/>
          <w:szCs w:val="22"/>
          <w:lang w:val="fr-FR"/>
        </w:rPr>
      </w:pPr>
      <w:r w:rsidRPr="00604452">
        <w:rPr>
          <w:rFonts w:ascii="Arial" w:hAnsi="Arial" w:cs="Arial"/>
          <w:szCs w:val="22"/>
          <w:lang w:val="fr-FR"/>
        </w:rPr>
        <w:t>RÔLE DES CÉTACÉS DANS LE FONCTIONNEMENT DES ÉCOSYSTÈMES</w:t>
      </w:r>
    </w:p>
    <w:p w14:paraId="7FEA9978" w14:textId="77777777" w:rsidR="00591706" w:rsidRPr="00604452" w:rsidRDefault="00604452">
      <w:pPr>
        <w:jc w:val="center"/>
        <w:rPr>
          <w:rFonts w:cs="Arial"/>
          <w:i/>
          <w:lang w:val="fr-FR"/>
        </w:rPr>
      </w:pPr>
      <w:r w:rsidRPr="00604452">
        <w:rPr>
          <w:rFonts w:cs="Arial"/>
          <w:i/>
          <w:lang w:val="fr-FR"/>
        </w:rPr>
        <w:t>(Préparé par le Secrétariat)</w:t>
      </w:r>
    </w:p>
    <w:p w14:paraId="660E8E06" w14:textId="77777777" w:rsidR="00591706" w:rsidRPr="00604452" w:rsidRDefault="00591706">
      <w:pPr>
        <w:jc w:val="both"/>
        <w:rPr>
          <w:rFonts w:cs="Arial"/>
          <w:lang w:val="fr-FR"/>
        </w:rPr>
      </w:pPr>
    </w:p>
    <w:p w14:paraId="576B58B7" w14:textId="77777777" w:rsidR="00591706" w:rsidRPr="00604452" w:rsidRDefault="00604452">
      <w:pPr>
        <w:jc w:val="both"/>
        <w:rPr>
          <w:rFonts w:cs="Arial"/>
          <w:lang w:val="fr-FR"/>
        </w:rPr>
      </w:pPr>
      <w:r w:rsidRPr="00604452">
        <w:rPr>
          <w:rFonts w:cs="Arial"/>
          <w:noProof/>
          <w:lang w:val="fr-FR"/>
        </w:rPr>
        <mc:AlternateContent>
          <mc:Choice Requires="wps">
            <w:drawing>
              <wp:anchor distT="0" distB="0" distL="114300" distR="114300" simplePos="0" relativeHeight="251658240" behindDoc="1" locked="0" layoutInCell="1" allowOverlap="1" wp14:anchorId="7AB68522" wp14:editId="471E7432">
                <wp:simplePos x="0" y="0"/>
                <wp:positionH relativeFrom="margin">
                  <wp:posOffset>1051560</wp:posOffset>
                </wp:positionH>
                <wp:positionV relativeFrom="margin">
                  <wp:posOffset>2421890</wp:posOffset>
                </wp:positionV>
                <wp:extent cx="4152900" cy="1847850"/>
                <wp:effectExtent l="0" t="0" r="19050" b="1905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1847850"/>
                        </a:xfrm>
                        <a:prstGeom prst="rect">
                          <a:avLst/>
                        </a:prstGeom>
                        <a:solidFill>
                          <a:srgbClr val="FFFFFF"/>
                        </a:solidFill>
                        <a:ln w="3175">
                          <a:solidFill>
                            <a:srgbClr val="000000"/>
                          </a:solidFill>
                          <a:miter lim="800000"/>
                          <a:headEnd/>
                          <a:tailEnd/>
                        </a:ln>
                      </wps:spPr>
                      <wps:txbx>
                        <w:txbxContent>
                          <w:p w14:paraId="2EF34023" w14:textId="77777777" w:rsidR="00591706" w:rsidRDefault="00604452">
                            <w:pPr>
                              <w:rPr>
                                <w:rFonts w:cs="Arial"/>
                                <w:lang w:val="fr-FR"/>
                              </w:rPr>
                            </w:pPr>
                            <w:r>
                              <w:rPr>
                                <w:rFonts w:cs="Arial"/>
                                <w:lang w:val="fr-FR"/>
                              </w:rPr>
                              <w:t>Résumé :</w:t>
                            </w:r>
                          </w:p>
                          <w:p w14:paraId="44F03A95" w14:textId="77777777" w:rsidR="00591706" w:rsidRDefault="00591706">
                            <w:pPr>
                              <w:rPr>
                                <w:rFonts w:cs="Arial"/>
                                <w:lang w:val="fr-FR"/>
                              </w:rPr>
                            </w:pPr>
                          </w:p>
                          <w:p w14:paraId="4F0444FD" w14:textId="315E89B5" w:rsidR="00591706" w:rsidRDefault="00604452">
                            <w:pPr>
                              <w:jc w:val="both"/>
                              <w:rPr>
                                <w:rFonts w:cs="Arial"/>
                                <w:lang w:val="fr-FR"/>
                              </w:rPr>
                            </w:pPr>
                            <w:r>
                              <w:rPr>
                                <w:rFonts w:cs="Arial"/>
                                <w:lang w:val="fr-FR"/>
                              </w:rPr>
                              <w:t xml:space="preserve">Ce document répond à la </w:t>
                            </w:r>
                            <w:r w:rsidR="00FC5511">
                              <w:rPr>
                                <w:rFonts w:cs="Arial"/>
                                <w:lang w:val="fr-FR"/>
                              </w:rPr>
                              <w:t>D</w:t>
                            </w:r>
                            <w:r>
                              <w:rPr>
                                <w:rFonts w:cs="Arial"/>
                                <w:lang w:val="fr-FR"/>
                              </w:rPr>
                              <w:t xml:space="preserve">écision 14.75 </w:t>
                            </w:r>
                            <w:r w:rsidRPr="00FC5511">
                              <w:rPr>
                                <w:rFonts w:cs="Arial"/>
                                <w:lang w:val="fr-FR"/>
                              </w:rPr>
                              <w:t>de la CMS</w:t>
                            </w:r>
                            <w:r>
                              <w:rPr>
                                <w:rFonts w:cs="Arial"/>
                                <w:i/>
                                <w:iCs/>
                                <w:lang w:val="fr-FR"/>
                              </w:rPr>
                              <w:t xml:space="preserve"> </w:t>
                            </w:r>
                            <w:r w:rsidR="00FC5511">
                              <w:rPr>
                                <w:rFonts w:cs="Arial"/>
                                <w:i/>
                                <w:iCs/>
                                <w:lang w:val="fr-FR"/>
                              </w:rPr>
                              <w:t>R</w:t>
                            </w:r>
                            <w:r>
                              <w:rPr>
                                <w:rFonts w:cs="Arial"/>
                                <w:i/>
                                <w:iCs/>
                                <w:lang w:val="fr-FR"/>
                              </w:rPr>
                              <w:t xml:space="preserve">ôle des cétacés dans le fonctionnement des écosystèmes. </w:t>
                            </w:r>
                            <w:r>
                              <w:rPr>
                                <w:rFonts w:cs="Arial"/>
                                <w:lang w:val="fr-FR"/>
                              </w:rPr>
                              <w:t>Le rapport de la Commission Baleinière Internationale (CBI) sur le 2</w:t>
                            </w:r>
                            <w:r>
                              <w:rPr>
                                <w:rFonts w:cs="Arial"/>
                                <w:vertAlign w:val="superscript"/>
                                <w:lang w:val="fr-FR"/>
                              </w:rPr>
                              <w:t>e</w:t>
                            </w:r>
                            <w:r>
                              <w:rPr>
                                <w:rFonts w:cs="Arial"/>
                                <w:lang w:val="fr-FR"/>
                              </w:rPr>
                              <w:t xml:space="preserve"> atelier de la CBI et de la CMS sur le fonctionnement des écosystèmes de cétacés, qui s'est déroulé du 14 au 16 novembre 2023, est disponible dans le document UNEP/CMS/ScC-SC7/Inf.6.2.1.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68522" id="_x0000_t202" coordsize="21600,21600" o:spt="202" path="m,l,21600r21600,l21600,xe">
                <v:stroke joinstyle="miter"/>
                <v:path gradientshapeok="t" o:connecttype="rect"/>
              </v:shapetype>
              <v:shape id="Text Box 4" o:spid="_x0000_s1026" type="#_x0000_t202" style="position:absolute;left:0;text-align:left;margin-left:82.8pt;margin-top:190.7pt;width:327pt;height:14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" strokeweight=".25pt">
                <v:textbox>
                  <w:txbxContent>
                    <w:p w14:paraId="2EF34023" w14:textId="77777777" w:rsidR="00591706" w:rsidRDefault="00604452">
                      <w:pPr>
                        <w:rPr>
                          <w:rFonts w:cs="Arial"/>
                          <w:lang w:val="fr-FR"/>
                        </w:rPr>
                      </w:pPr>
                      <w:r>
                        <w:rPr>
                          <w:rFonts w:cs="Arial"/>
                          <w:lang w:val="fr-FR"/>
                        </w:rPr>
                        <w:t>Résumé :</w:t>
                      </w:r>
                    </w:p>
                    <w:p w14:paraId="44F03A95" w14:textId="77777777" w:rsidR="00591706" w:rsidRDefault="00591706">
                      <w:pPr>
                        <w:rPr>
                          <w:rFonts w:cs="Arial"/>
                          <w:lang w:val="fr-FR"/>
                        </w:rPr>
                      </w:pPr>
                    </w:p>
                    <w:p w14:paraId="4F0444FD" w14:textId="315E89B5" w:rsidR="00591706" w:rsidRDefault="00604452">
                      <w:pPr>
                        <w:jc w:val="both"/>
                        <w:rPr>
                          <w:rFonts w:cs="Arial"/>
                          <w:lang w:val="fr-FR"/>
                        </w:rPr>
                      </w:pPr>
                      <w:r>
                        <w:rPr>
                          <w:rFonts w:cs="Arial"/>
                          <w:lang w:val="fr-FR"/>
                        </w:rPr>
                        <w:t xml:space="preserve">Ce document répond à la </w:t>
                      </w:r>
                      <w:r w:rsidR="00FC5511">
                        <w:rPr>
                          <w:rFonts w:cs="Arial"/>
                          <w:lang w:val="fr-FR"/>
                        </w:rPr>
                        <w:t>D</w:t>
                      </w:r>
                      <w:r>
                        <w:rPr>
                          <w:rFonts w:cs="Arial"/>
                          <w:lang w:val="fr-FR"/>
                        </w:rPr>
                        <w:t xml:space="preserve">écision 14.75 </w:t>
                      </w:r>
                      <w:r w:rsidRPr="00FC5511">
                        <w:rPr>
                          <w:rFonts w:cs="Arial"/>
                          <w:lang w:val="fr-FR"/>
                        </w:rPr>
                        <w:t>de la CMS</w:t>
                      </w:r>
                      <w:r>
                        <w:rPr>
                          <w:rFonts w:cs="Arial"/>
                          <w:i/>
                          <w:iCs/>
                          <w:lang w:val="fr-FR"/>
                        </w:rPr>
                        <w:t xml:space="preserve"> </w:t>
                      </w:r>
                      <w:r w:rsidR="00FC5511">
                        <w:rPr>
                          <w:rFonts w:cs="Arial"/>
                          <w:i/>
                          <w:iCs/>
                          <w:lang w:val="fr-FR"/>
                        </w:rPr>
                        <w:t>R</w:t>
                      </w:r>
                      <w:r>
                        <w:rPr>
                          <w:rFonts w:cs="Arial"/>
                          <w:i/>
                          <w:iCs/>
                          <w:lang w:val="fr-FR"/>
                        </w:rPr>
                        <w:t xml:space="preserve">ôle des cétacés dans le fonctionnement des écosystèmes. </w:t>
                      </w:r>
                      <w:r>
                        <w:rPr>
                          <w:rFonts w:cs="Arial"/>
                          <w:lang w:val="fr-FR"/>
                        </w:rPr>
                        <w:t>Le rapport de la Commission Baleinière Internationale (CBI) sur le 2</w:t>
                      </w:r>
                      <w:r>
                        <w:rPr>
                          <w:rFonts w:cs="Arial"/>
                          <w:vertAlign w:val="superscript"/>
                          <w:lang w:val="fr-FR"/>
                        </w:rPr>
                        <w:t>e</w:t>
                      </w:r>
                      <w:r>
                        <w:rPr>
                          <w:rFonts w:cs="Arial"/>
                          <w:lang w:val="fr-FR"/>
                        </w:rPr>
                        <w:t xml:space="preserve"> atelier de la CBI et de la CMS sur le fonctionnement des écosystèmes de cétacés, qui s'est déroulé du 14 au 16 novembre 2023, est disponible dans le document UNEP/CMS/ScC-SC7/Inf.6.2.1.</w:t>
                      </w:r>
                    </w:p>
                  </w:txbxContent>
                </v:textbox>
                <w10:wrap type="square" anchorx="margin" anchory="margin"/>
              </v:shape>
            </w:pict>
          </mc:Fallback>
        </mc:AlternateContent>
      </w:r>
    </w:p>
    <w:p w14:paraId="4C374AD5" w14:textId="77777777" w:rsidR="00591706" w:rsidRPr="00604452" w:rsidRDefault="00591706">
      <w:pPr>
        <w:jc w:val="both"/>
        <w:rPr>
          <w:rFonts w:cs="Arial"/>
          <w:lang w:val="fr-FR"/>
        </w:rPr>
      </w:pPr>
    </w:p>
    <w:p w14:paraId="003EABDE" w14:textId="77777777" w:rsidR="00591706" w:rsidRPr="00604452" w:rsidRDefault="00591706">
      <w:pPr>
        <w:suppressAutoHyphens/>
        <w:rPr>
          <w:rFonts w:cs="Arial"/>
          <w:lang w:val="fr-FR"/>
        </w:rPr>
      </w:pPr>
    </w:p>
    <w:p w14:paraId="7F5418FE" w14:textId="77777777" w:rsidR="00591706" w:rsidRPr="00604452" w:rsidRDefault="00591706">
      <w:pPr>
        <w:suppressAutoHyphens/>
        <w:rPr>
          <w:rFonts w:eastAsia="Times New Roman" w:cs="Arial"/>
          <w:color w:val="000000"/>
          <w:kern w:val="2"/>
          <w:lang w:val="fr-FR"/>
        </w:rPr>
        <w:sectPr w:rsidR="00591706" w:rsidRPr="00604452">
          <w:headerReference w:type="even" r:id="rId11"/>
          <w:headerReference w:type="default" r:id="rId12"/>
          <w:footerReference w:type="even" r:id="rId13"/>
          <w:footerReference w:type="default" r:id="rId14"/>
          <w:headerReference w:type="first" r:id="rId15"/>
          <w:pgSz w:w="11906" w:h="16838" w:code="9"/>
          <w:pgMar w:top="1134" w:right="1134" w:bottom="1134" w:left="1134" w:header="720" w:footer="580" w:gutter="0"/>
          <w:cols w:space="720"/>
          <w:titlePg/>
          <w:docGrid w:linePitch="360"/>
        </w:sectPr>
      </w:pPr>
    </w:p>
    <w:p w14:paraId="584FD510" w14:textId="77777777" w:rsidR="00591706" w:rsidRPr="00604452" w:rsidRDefault="00604452">
      <w:pPr>
        <w:pStyle w:val="Heading2"/>
        <w:keepNext w:val="0"/>
        <w:ind w:left="-86" w:right="-360"/>
        <w:rPr>
          <w:rFonts w:ascii="Arial" w:hAnsi="Arial" w:cs="Arial"/>
          <w:szCs w:val="22"/>
          <w:lang w:val="fr-FR"/>
        </w:rPr>
      </w:pPr>
      <w:r w:rsidRPr="00604452">
        <w:rPr>
          <w:rFonts w:ascii="Arial" w:hAnsi="Arial" w:cs="Arial"/>
          <w:szCs w:val="22"/>
          <w:lang w:val="fr-FR"/>
        </w:rPr>
        <w:lastRenderedPageBreak/>
        <w:t>RÔLE DES CÉTACÉS DANS LE FONCTIONNEMENT DES ÉCOSYSTÈMES</w:t>
      </w:r>
    </w:p>
    <w:p w14:paraId="09ADBABB" w14:textId="77777777" w:rsidR="00591706" w:rsidRPr="00604452" w:rsidRDefault="00591706">
      <w:pPr>
        <w:tabs>
          <w:tab w:val="left" w:pos="3435"/>
        </w:tabs>
        <w:jc w:val="center"/>
        <w:rPr>
          <w:rFonts w:eastAsia="Times New Roman" w:cs="Arial"/>
          <w:lang w:val="fr-FR"/>
        </w:rPr>
      </w:pPr>
    </w:p>
    <w:p w14:paraId="68E14B55" w14:textId="77777777" w:rsidR="00591706" w:rsidRPr="00604452" w:rsidRDefault="00591706">
      <w:pPr>
        <w:tabs>
          <w:tab w:val="left" w:pos="3435"/>
        </w:tabs>
        <w:jc w:val="center"/>
        <w:rPr>
          <w:rFonts w:eastAsia="Times New Roman" w:cs="Arial"/>
          <w:lang w:val="fr-FR"/>
        </w:rPr>
      </w:pPr>
    </w:p>
    <w:p w14:paraId="2613ECF3" w14:textId="77777777" w:rsidR="00591706" w:rsidRPr="00604452" w:rsidRDefault="00604452">
      <w:pPr>
        <w:tabs>
          <w:tab w:val="left" w:pos="3435"/>
        </w:tabs>
        <w:rPr>
          <w:rFonts w:eastAsia="Times New Roman" w:cs="Arial"/>
          <w:u w:val="single"/>
          <w:lang w:val="fr-FR"/>
        </w:rPr>
      </w:pPr>
      <w:r w:rsidRPr="00604452">
        <w:rPr>
          <w:rFonts w:eastAsia="Times New Roman" w:cs="Arial"/>
          <w:u w:val="single"/>
          <w:lang w:val="fr-FR"/>
        </w:rPr>
        <w:t>Contexte général</w:t>
      </w:r>
    </w:p>
    <w:p w14:paraId="6575DD6C" w14:textId="77777777" w:rsidR="00591706" w:rsidRPr="00604452" w:rsidRDefault="00591706">
      <w:pPr>
        <w:tabs>
          <w:tab w:val="left" w:pos="3435"/>
        </w:tabs>
        <w:rPr>
          <w:rFonts w:eastAsia="Times New Roman" w:cs="Arial"/>
          <w:lang w:val="fr-FR"/>
        </w:rPr>
      </w:pPr>
    </w:p>
    <w:p w14:paraId="75BC6C72" w14:textId="77777777" w:rsidR="00591706" w:rsidRPr="00604452" w:rsidRDefault="00604452">
      <w:pPr>
        <w:pStyle w:val="ListParagraph"/>
        <w:numPr>
          <w:ilvl w:val="0"/>
          <w:numId w:val="18"/>
        </w:numPr>
        <w:tabs>
          <w:tab w:val="left" w:pos="3435"/>
        </w:tabs>
        <w:ind w:left="567" w:hanging="567"/>
        <w:contextualSpacing w:val="0"/>
        <w:jc w:val="both"/>
        <w:rPr>
          <w:rFonts w:ascii="Arial" w:hAnsi="Arial" w:cs="Arial"/>
          <w:sz w:val="22"/>
          <w:szCs w:val="22"/>
          <w:lang w:val="fr-FR"/>
        </w:rPr>
      </w:pPr>
      <w:r w:rsidRPr="00604452">
        <w:rPr>
          <w:rFonts w:ascii="Arial" w:hAnsi="Arial" w:cs="Arial"/>
          <w:sz w:val="22"/>
          <w:szCs w:val="22"/>
          <w:lang w:val="fr-FR"/>
        </w:rPr>
        <w:t>Les baleines, les dauphins et les marsouins contribuent de manière significative aux écosystèmes, au bénéfice de l'environnement naturel et de l'homme. La Commission Baleinière Internationale (CBI) a adopté deux résolutions pertinentes : les cétacés et leurs contributions au fonctionnement des écosystèmes (2016-3) et la résolution 2018-2, encourageant la collaboration avec la Convention sur la conservation des espèces migratrices appartenant à la faune sauvage (CMS) et d'autres organisations internationales pour faire avancer conjointement ces travaux.</w:t>
      </w:r>
    </w:p>
    <w:p w14:paraId="5899470D" w14:textId="77777777" w:rsidR="00591706" w:rsidRPr="00604452" w:rsidRDefault="00591706">
      <w:pPr>
        <w:pStyle w:val="ListParagraph"/>
        <w:tabs>
          <w:tab w:val="left" w:pos="3435"/>
        </w:tabs>
        <w:ind w:left="567"/>
        <w:contextualSpacing w:val="0"/>
        <w:rPr>
          <w:rFonts w:ascii="Arial" w:hAnsi="Arial" w:cs="Arial"/>
          <w:sz w:val="22"/>
          <w:szCs w:val="22"/>
          <w:lang w:val="fr-FR"/>
        </w:rPr>
      </w:pPr>
    </w:p>
    <w:p w14:paraId="0B479E75" w14:textId="77777777" w:rsidR="00591706" w:rsidRPr="00604452" w:rsidRDefault="00604452">
      <w:pPr>
        <w:pStyle w:val="ListParagraph"/>
        <w:numPr>
          <w:ilvl w:val="0"/>
          <w:numId w:val="18"/>
        </w:numPr>
        <w:tabs>
          <w:tab w:val="left" w:pos="3435"/>
        </w:tabs>
        <w:ind w:left="567" w:hanging="567"/>
        <w:contextualSpacing w:val="0"/>
        <w:jc w:val="both"/>
        <w:rPr>
          <w:rFonts w:ascii="Arial" w:hAnsi="Arial" w:cs="Arial"/>
          <w:sz w:val="22"/>
          <w:szCs w:val="22"/>
          <w:lang w:val="fr-FR"/>
        </w:rPr>
      </w:pPr>
      <w:r w:rsidRPr="00604452">
        <w:rPr>
          <w:rFonts w:ascii="Arial" w:hAnsi="Arial" w:cs="Arial"/>
          <w:sz w:val="22"/>
          <w:szCs w:val="22"/>
          <w:lang w:val="fr-FR"/>
        </w:rPr>
        <w:t>En réponse à la résolution 2018-2 de la CBI et à la décision 13.83 d) de la CMS, la CBI et la CMS ont organisé conjointement un atelier en 2021 sur le fonctionnement des écosystèmes de cétacés afin d'examiner les recherches existantes et d'identifier les lacunes en matière de connaissances. Une analyse rapide de la littérature a permis d'identifier de nombreuses études publiées ces dernières années qui contribuent à notre compréhension du fonctionnement de l'écosystème des cétacés. Un grand nombre des besoins de recherche identifiés lors de l'atelier de la CBI et de la CMS ont progressé, mais d'importantes lacunes subsistent.</w:t>
      </w:r>
      <w:r w:rsidRPr="00604452">
        <w:rPr>
          <w:rStyle w:val="FootnoteReference"/>
          <w:rFonts w:ascii="Arial" w:hAnsi="Arial" w:cs="Arial"/>
          <w:sz w:val="22"/>
          <w:szCs w:val="22"/>
          <w:lang w:val="fr-FR"/>
        </w:rPr>
        <w:footnoteReference w:id="2"/>
      </w:r>
    </w:p>
    <w:p w14:paraId="5596B516" w14:textId="77777777" w:rsidR="00591706" w:rsidRPr="00604452" w:rsidRDefault="00591706">
      <w:pPr>
        <w:pStyle w:val="ListParagraph"/>
        <w:tabs>
          <w:tab w:val="left" w:pos="3435"/>
        </w:tabs>
        <w:ind w:left="567"/>
        <w:contextualSpacing w:val="0"/>
        <w:jc w:val="both"/>
        <w:rPr>
          <w:rFonts w:ascii="Arial" w:hAnsi="Arial" w:cs="Arial"/>
          <w:sz w:val="22"/>
          <w:szCs w:val="22"/>
          <w:lang w:val="fr-FR"/>
        </w:rPr>
      </w:pPr>
    </w:p>
    <w:p w14:paraId="11ADEAE1" w14:textId="77777777" w:rsidR="00591706" w:rsidRPr="00604452" w:rsidRDefault="00604452">
      <w:pPr>
        <w:pStyle w:val="ListParagraph"/>
        <w:numPr>
          <w:ilvl w:val="0"/>
          <w:numId w:val="18"/>
        </w:numPr>
        <w:tabs>
          <w:tab w:val="left" w:pos="3435"/>
        </w:tabs>
        <w:ind w:left="567" w:hanging="567"/>
        <w:contextualSpacing w:val="0"/>
        <w:jc w:val="both"/>
        <w:rPr>
          <w:rFonts w:ascii="Arial" w:hAnsi="Arial" w:cs="Arial"/>
          <w:sz w:val="22"/>
          <w:szCs w:val="22"/>
          <w:lang w:val="fr-FR"/>
        </w:rPr>
      </w:pPr>
      <w:r w:rsidRPr="00604452">
        <w:rPr>
          <w:rFonts w:ascii="Arial" w:hAnsi="Arial" w:cs="Arial"/>
          <w:sz w:val="22"/>
          <w:szCs w:val="22"/>
          <w:lang w:val="fr-FR"/>
        </w:rPr>
        <w:t>En 2022, l'atelier du comité de conservation de la CBI sur les valeurs socio-économiques de la contribution des cétacés au fonctionnement des écosystèmes</w:t>
      </w:r>
      <w:r w:rsidRPr="00604452">
        <w:rPr>
          <w:rStyle w:val="FootnoteReference"/>
          <w:rFonts w:ascii="Arial" w:hAnsi="Arial" w:cs="Arial"/>
          <w:sz w:val="22"/>
          <w:szCs w:val="22"/>
          <w:lang w:val="fr-FR"/>
        </w:rPr>
        <w:footnoteReference w:id="3"/>
      </w:r>
      <w:r w:rsidRPr="00604452">
        <w:rPr>
          <w:rFonts w:ascii="Arial" w:hAnsi="Arial" w:cs="Arial"/>
          <w:sz w:val="22"/>
          <w:szCs w:val="22"/>
          <w:lang w:val="fr-FR"/>
        </w:rPr>
        <w:t xml:space="preserve"> a examiné les méthodes d'évaluation analytiques et évalué leur application possible dans le cadre des cétacés et du fonctionnement des écosystèmes.</w:t>
      </w:r>
    </w:p>
    <w:p w14:paraId="58188411" w14:textId="77777777" w:rsidR="00591706" w:rsidRPr="00604452" w:rsidRDefault="00591706">
      <w:pPr>
        <w:tabs>
          <w:tab w:val="left" w:pos="3435"/>
        </w:tabs>
        <w:jc w:val="both"/>
        <w:rPr>
          <w:rFonts w:eastAsia="Times New Roman" w:cs="Arial"/>
          <w:lang w:val="fr-FR"/>
        </w:rPr>
      </w:pPr>
    </w:p>
    <w:p w14:paraId="3F8F6135" w14:textId="77777777" w:rsidR="00591706" w:rsidRPr="00604452" w:rsidRDefault="00604452">
      <w:pPr>
        <w:pStyle w:val="ListParagraph"/>
        <w:numPr>
          <w:ilvl w:val="0"/>
          <w:numId w:val="18"/>
        </w:numPr>
        <w:tabs>
          <w:tab w:val="left" w:pos="3435"/>
        </w:tabs>
        <w:ind w:left="567" w:hanging="567"/>
        <w:contextualSpacing w:val="0"/>
        <w:jc w:val="both"/>
        <w:rPr>
          <w:rFonts w:ascii="Arial" w:hAnsi="Arial" w:cs="Arial"/>
          <w:sz w:val="22"/>
          <w:szCs w:val="22"/>
          <w:lang w:val="fr-FR"/>
        </w:rPr>
      </w:pPr>
      <w:r w:rsidRPr="00604452">
        <w:rPr>
          <w:rFonts w:ascii="Arial" w:hAnsi="Arial" w:cs="Arial"/>
          <w:sz w:val="22"/>
          <w:szCs w:val="22"/>
          <w:lang w:val="fr-FR"/>
        </w:rPr>
        <w:t>Le deuxième atelier conjoint de la CBI et de la CMS s'est tenu du 14 au 16 novembre 2023 dans les locaux du Secrétariat de la CMS à Bonn, en Allemagne. L'atelier s'est concentré sur les domaines suivants : (1) la quantification des différences spatiales dans le fonctionnement de l'écosystème des cétacés, en se concentrant sur les environnements présentant des caractéristiques écosystémiques régionales ; et (2) la quantification des changements temporels dans le fonctionnement de l'écosystème des cétacés, en comparant les populations antérieures à la chasse à la baleine et les populations actuelles, et en identifiant les lacunes en matière d'informations et de connaissances. Les participants à l'atelier étaient des écologistes, des scientifiques spécialistes des cétacés, des modélisateurs d'écosystèmes et des économistes, compte tenu de l'analyse socio-économique des fonctions écosystémiques des cétacés que le comité de conservation de la CBI doit achever</w:t>
      </w:r>
      <w:r w:rsidRPr="00604452">
        <w:rPr>
          <w:rFonts w:cs="Arial"/>
          <w:lang w:val="fr-FR"/>
        </w:rPr>
        <w:t xml:space="preserve">. </w:t>
      </w:r>
    </w:p>
    <w:p w14:paraId="7A9110B5" w14:textId="77777777" w:rsidR="00591706" w:rsidRPr="00604452" w:rsidRDefault="00591706">
      <w:pPr>
        <w:tabs>
          <w:tab w:val="left" w:pos="3435"/>
        </w:tabs>
        <w:rPr>
          <w:rFonts w:eastAsia="Times New Roman" w:cs="Arial"/>
          <w:lang w:val="fr-FR"/>
        </w:rPr>
      </w:pPr>
    </w:p>
    <w:p w14:paraId="2A3AE385" w14:textId="77777777" w:rsidR="00591706" w:rsidRPr="00604452" w:rsidRDefault="00604452">
      <w:pPr>
        <w:pStyle w:val="ListParagraph"/>
        <w:numPr>
          <w:ilvl w:val="0"/>
          <w:numId w:val="18"/>
        </w:numPr>
        <w:tabs>
          <w:tab w:val="left" w:pos="3435"/>
        </w:tabs>
        <w:ind w:left="567" w:hanging="567"/>
        <w:contextualSpacing w:val="0"/>
        <w:jc w:val="both"/>
        <w:rPr>
          <w:rFonts w:ascii="Arial" w:hAnsi="Arial" w:cs="Arial"/>
          <w:sz w:val="22"/>
          <w:szCs w:val="22"/>
          <w:lang w:val="fr-FR"/>
        </w:rPr>
      </w:pPr>
      <w:r w:rsidRPr="00604452">
        <w:rPr>
          <w:rFonts w:ascii="Arial" w:hAnsi="Arial" w:cs="Arial"/>
          <w:sz w:val="22"/>
          <w:szCs w:val="22"/>
          <w:lang w:val="fr-FR"/>
        </w:rPr>
        <w:t>Les décisions suivantes ont été adoptées par la COP14 de la CMS sur cette question :</w:t>
      </w:r>
    </w:p>
    <w:p w14:paraId="30373138" w14:textId="77777777" w:rsidR="00591706" w:rsidRPr="00604452" w:rsidRDefault="00591706">
      <w:pPr>
        <w:pStyle w:val="ListParagraph"/>
        <w:ind w:left="1590" w:hanging="870"/>
        <w:jc w:val="both"/>
        <w:rPr>
          <w:rFonts w:ascii="Arial" w:hAnsi="Arial" w:cs="Arial"/>
          <w:b/>
          <w:bCs/>
          <w:i/>
          <w:iCs/>
          <w:sz w:val="22"/>
          <w:szCs w:val="22"/>
          <w:lang w:val="fr-FR"/>
        </w:rPr>
      </w:pPr>
    </w:p>
    <w:p w14:paraId="50680B42" w14:textId="4C8BA1A7" w:rsidR="00591706" w:rsidRPr="00FC5511" w:rsidRDefault="00604452">
      <w:pPr>
        <w:pStyle w:val="ListParagraph"/>
        <w:ind w:left="1590" w:hanging="870"/>
        <w:jc w:val="both"/>
        <w:rPr>
          <w:rFonts w:ascii="Arial" w:hAnsi="Arial" w:cs="Arial"/>
          <w:b/>
          <w:bCs/>
          <w:i/>
          <w:iCs/>
          <w:sz w:val="22"/>
          <w:szCs w:val="22"/>
          <w:lang w:val="fr-FR"/>
        </w:rPr>
      </w:pPr>
      <w:r w:rsidRPr="00FC5511">
        <w:rPr>
          <w:rFonts w:ascii="Arial" w:hAnsi="Arial" w:cs="Arial"/>
          <w:b/>
          <w:bCs/>
          <w:i/>
          <w:iCs/>
          <w:sz w:val="22"/>
          <w:szCs w:val="22"/>
          <w:lang w:val="fr-FR"/>
        </w:rPr>
        <w:t xml:space="preserve">14.74 </w:t>
      </w:r>
      <w:r w:rsidR="00FC5511" w:rsidRPr="00FC5511">
        <w:rPr>
          <w:rFonts w:ascii="Arial" w:hAnsi="Arial" w:cs="Arial"/>
          <w:b/>
          <w:bCs/>
          <w:i/>
          <w:iCs/>
          <w:sz w:val="22"/>
          <w:szCs w:val="22"/>
          <w:lang w:val="fr-FR"/>
        </w:rPr>
        <w:t>Adressée au Conseil scientifique</w:t>
      </w:r>
    </w:p>
    <w:p w14:paraId="4284BB9E" w14:textId="77777777" w:rsidR="00591706" w:rsidRPr="00FC5511" w:rsidRDefault="00591706">
      <w:pPr>
        <w:pStyle w:val="ListParagraph"/>
        <w:ind w:left="1590" w:hanging="870"/>
        <w:jc w:val="both"/>
        <w:rPr>
          <w:rFonts w:ascii="Arial" w:hAnsi="Arial" w:cs="Arial"/>
          <w:i/>
          <w:iCs/>
          <w:sz w:val="22"/>
          <w:szCs w:val="22"/>
          <w:lang w:val="fr-FR"/>
        </w:rPr>
      </w:pPr>
    </w:p>
    <w:p w14:paraId="791E71AA" w14:textId="551F52B1" w:rsidR="00591706" w:rsidRPr="00FC5511" w:rsidRDefault="00FC5511" w:rsidP="00FC5511">
      <w:pPr>
        <w:pStyle w:val="ListParagraph"/>
        <w:jc w:val="both"/>
        <w:rPr>
          <w:rFonts w:ascii="Arial" w:hAnsi="Arial" w:cs="Arial"/>
          <w:i/>
          <w:iCs/>
          <w:sz w:val="22"/>
          <w:szCs w:val="22"/>
          <w:lang w:val="fr-FR"/>
        </w:rPr>
      </w:pPr>
      <w:r w:rsidRPr="00FC5511">
        <w:rPr>
          <w:rFonts w:ascii="Arial" w:hAnsi="Arial" w:cs="Arial"/>
          <w:i/>
          <w:iCs/>
          <w:sz w:val="22"/>
          <w:szCs w:val="22"/>
          <w:lang w:val="fr-FR"/>
        </w:rPr>
        <w:t>Le Conseil scientifique, par l’intermédiaire de son Groupe de travail sur les mammifères aquatiques, est prié de fournir des conseils et des contributions en ce qui concerne l'extension des travaux sur le rôle des cétacés dans le fonctionnement des écosystèmes, en étroite collaboration avec la CBI</w:t>
      </w:r>
      <w:r w:rsidR="00604452" w:rsidRPr="00FC5511">
        <w:rPr>
          <w:rFonts w:ascii="Arial" w:hAnsi="Arial" w:cs="Arial"/>
          <w:i/>
          <w:iCs/>
          <w:sz w:val="22"/>
          <w:szCs w:val="22"/>
          <w:lang w:val="fr-FR"/>
        </w:rPr>
        <w:t>.</w:t>
      </w:r>
    </w:p>
    <w:p w14:paraId="74990F0C" w14:textId="77777777" w:rsidR="00FC5511" w:rsidRPr="00FC5511" w:rsidRDefault="00FC5511" w:rsidP="00FC5511">
      <w:pPr>
        <w:pStyle w:val="ListParagraph"/>
        <w:jc w:val="both"/>
        <w:rPr>
          <w:rFonts w:ascii="Arial" w:hAnsi="Arial" w:cs="Arial"/>
          <w:i/>
          <w:iCs/>
          <w:sz w:val="22"/>
          <w:szCs w:val="22"/>
          <w:lang w:val="fr-FR"/>
        </w:rPr>
      </w:pPr>
    </w:p>
    <w:p w14:paraId="1FFB7BB9" w14:textId="2EE33CF1" w:rsidR="00591706" w:rsidRPr="00FC5511" w:rsidRDefault="00604452">
      <w:pPr>
        <w:pStyle w:val="ListParagraph"/>
        <w:jc w:val="both"/>
        <w:rPr>
          <w:rFonts w:ascii="Arial" w:hAnsi="Arial" w:cs="Arial"/>
          <w:b/>
          <w:bCs/>
          <w:i/>
          <w:iCs/>
          <w:sz w:val="22"/>
          <w:szCs w:val="22"/>
          <w:lang w:val="fr-FR"/>
        </w:rPr>
      </w:pPr>
      <w:r w:rsidRPr="00FC5511">
        <w:rPr>
          <w:rFonts w:ascii="Arial" w:hAnsi="Arial" w:cs="Arial"/>
          <w:b/>
          <w:bCs/>
          <w:i/>
          <w:iCs/>
          <w:sz w:val="22"/>
          <w:szCs w:val="22"/>
          <w:lang w:val="fr-FR"/>
        </w:rPr>
        <w:t xml:space="preserve">14.75 </w:t>
      </w:r>
      <w:r w:rsidR="00FC5511" w:rsidRPr="00FC5511">
        <w:rPr>
          <w:rFonts w:ascii="Arial" w:hAnsi="Arial" w:cs="Arial"/>
          <w:b/>
          <w:bCs/>
          <w:i/>
          <w:iCs/>
          <w:sz w:val="22"/>
          <w:szCs w:val="22"/>
          <w:lang w:val="fr-FR"/>
        </w:rPr>
        <w:t>À l’adresse du Secrétariat</w:t>
      </w:r>
    </w:p>
    <w:p w14:paraId="0DC63084" w14:textId="77777777" w:rsidR="00591706" w:rsidRPr="00FC5511" w:rsidRDefault="00591706">
      <w:pPr>
        <w:pStyle w:val="ListParagraph"/>
        <w:jc w:val="both"/>
        <w:rPr>
          <w:rFonts w:ascii="Arial" w:hAnsi="Arial" w:cs="Arial"/>
          <w:i/>
          <w:iCs/>
          <w:sz w:val="22"/>
          <w:szCs w:val="22"/>
          <w:lang w:val="fr-FR"/>
        </w:rPr>
      </w:pPr>
    </w:p>
    <w:p w14:paraId="3BD879E2" w14:textId="7FA962F2" w:rsidR="00591706" w:rsidRPr="00FC5511" w:rsidRDefault="00FC5511" w:rsidP="00FC5511">
      <w:pPr>
        <w:pStyle w:val="ListParagraph"/>
        <w:spacing w:after="80"/>
        <w:contextualSpacing w:val="0"/>
        <w:jc w:val="both"/>
        <w:rPr>
          <w:rFonts w:ascii="Arial" w:hAnsi="Arial" w:cs="Arial"/>
          <w:i/>
          <w:iCs/>
          <w:sz w:val="22"/>
          <w:szCs w:val="22"/>
          <w:lang w:val="fr-FR"/>
        </w:rPr>
      </w:pPr>
      <w:r w:rsidRPr="00FC5511">
        <w:rPr>
          <w:rFonts w:ascii="Arial" w:hAnsi="Arial" w:cs="Arial"/>
          <w:i/>
          <w:iCs/>
          <w:sz w:val="22"/>
          <w:szCs w:val="22"/>
          <w:lang w:val="fr-FR"/>
        </w:rPr>
        <w:t>Le Secrétariat est invité à :</w:t>
      </w:r>
      <w:r w:rsidR="00604452" w:rsidRPr="00FC5511">
        <w:rPr>
          <w:rFonts w:ascii="Arial" w:hAnsi="Arial" w:cs="Arial"/>
          <w:i/>
          <w:iCs/>
          <w:sz w:val="22"/>
          <w:szCs w:val="22"/>
          <w:lang w:val="fr-FR"/>
        </w:rPr>
        <w:t xml:space="preserve"> </w:t>
      </w:r>
    </w:p>
    <w:p w14:paraId="7C3E3225" w14:textId="753A597A" w:rsidR="00591706" w:rsidRPr="00FC5511" w:rsidRDefault="00FC5511" w:rsidP="00FC5511">
      <w:pPr>
        <w:pStyle w:val="ListParagraph"/>
        <w:numPr>
          <w:ilvl w:val="0"/>
          <w:numId w:val="23"/>
        </w:numPr>
        <w:tabs>
          <w:tab w:val="left" w:pos="3435"/>
        </w:tabs>
        <w:spacing w:after="80"/>
        <w:ind w:left="1134" w:hanging="425"/>
        <w:contextualSpacing w:val="0"/>
        <w:jc w:val="both"/>
        <w:rPr>
          <w:rFonts w:ascii="Arial" w:hAnsi="Arial" w:cs="Arial"/>
          <w:i/>
          <w:iCs/>
          <w:sz w:val="22"/>
          <w:szCs w:val="22"/>
          <w:lang w:val="fr-FR"/>
        </w:rPr>
      </w:pPr>
      <w:r w:rsidRPr="00FC5511">
        <w:rPr>
          <w:rFonts w:ascii="Arial" w:hAnsi="Arial" w:cs="Arial"/>
          <w:i/>
          <w:iCs/>
          <w:sz w:val="22"/>
          <w:szCs w:val="22"/>
          <w:lang w:val="fr-FR"/>
        </w:rPr>
        <w:t>continuer à assurer la liaison avec le Secrétariat de la CBI en ce qui concerne les travaux sur le rôle des cétacés dans le fonctionnement des écosystèmes ; et</w:t>
      </w:r>
      <w:r w:rsidR="00604452" w:rsidRPr="00FC5511">
        <w:rPr>
          <w:rFonts w:ascii="Arial" w:hAnsi="Arial" w:cs="Arial"/>
          <w:i/>
          <w:iCs/>
          <w:sz w:val="22"/>
          <w:szCs w:val="22"/>
          <w:lang w:val="fr-FR"/>
        </w:rPr>
        <w:t xml:space="preserve"> </w:t>
      </w:r>
    </w:p>
    <w:p w14:paraId="7916C214" w14:textId="5A879162" w:rsidR="00591706" w:rsidRPr="00FC5511" w:rsidRDefault="00FC5511" w:rsidP="00FC5511">
      <w:pPr>
        <w:pStyle w:val="ListParagraph"/>
        <w:numPr>
          <w:ilvl w:val="0"/>
          <w:numId w:val="23"/>
        </w:numPr>
        <w:tabs>
          <w:tab w:val="left" w:pos="3435"/>
        </w:tabs>
        <w:ind w:left="1134"/>
        <w:jc w:val="both"/>
        <w:rPr>
          <w:rFonts w:ascii="Arial" w:hAnsi="Arial" w:cs="Arial"/>
          <w:i/>
          <w:iCs/>
          <w:sz w:val="22"/>
          <w:szCs w:val="22"/>
          <w:lang w:val="fr-FR"/>
        </w:rPr>
      </w:pPr>
      <w:r w:rsidRPr="00FC5511">
        <w:rPr>
          <w:rFonts w:ascii="Arial" w:hAnsi="Arial" w:cs="Arial"/>
          <w:i/>
          <w:iCs/>
          <w:sz w:val="22"/>
          <w:szCs w:val="22"/>
          <w:lang w:val="fr-FR"/>
        </w:rPr>
        <w:lastRenderedPageBreak/>
        <w:t>rendre compte des résultats du deuxième atelier conjoint CBI-CMS sur le fonctionnement des écosystèmes de cétacés à la prochaine réunion du Comité de session du Conseil scientifique.</w:t>
      </w:r>
    </w:p>
    <w:p w14:paraId="79207738" w14:textId="77777777" w:rsidR="00591706" w:rsidRPr="00FC5511" w:rsidRDefault="00591706">
      <w:pPr>
        <w:pStyle w:val="ListParagraph"/>
        <w:rPr>
          <w:rFonts w:ascii="Arial" w:hAnsi="Arial" w:cs="Arial"/>
          <w:sz w:val="22"/>
          <w:szCs w:val="22"/>
          <w:lang w:val="fr-FR"/>
        </w:rPr>
      </w:pPr>
    </w:p>
    <w:p w14:paraId="764BFB51" w14:textId="77777777" w:rsidR="00591706" w:rsidRPr="00604452" w:rsidRDefault="00604452">
      <w:pPr>
        <w:tabs>
          <w:tab w:val="left" w:pos="3435"/>
        </w:tabs>
        <w:rPr>
          <w:rFonts w:eastAsia="Times New Roman" w:cs="Arial"/>
          <w:u w:val="single"/>
          <w:lang w:val="fr-FR"/>
        </w:rPr>
      </w:pPr>
      <w:r w:rsidRPr="00604452">
        <w:rPr>
          <w:rFonts w:eastAsia="Times New Roman" w:cs="Arial"/>
          <w:u w:val="single"/>
          <w:lang w:val="fr-FR"/>
        </w:rPr>
        <w:t>Résultats du deuxième atelier</w:t>
      </w:r>
    </w:p>
    <w:p w14:paraId="5BF53EB2" w14:textId="77777777" w:rsidR="00591706" w:rsidRPr="00604452" w:rsidRDefault="00591706">
      <w:pPr>
        <w:pStyle w:val="ListParagraph"/>
        <w:tabs>
          <w:tab w:val="left" w:pos="3435"/>
        </w:tabs>
        <w:ind w:left="567"/>
        <w:contextualSpacing w:val="0"/>
        <w:jc w:val="both"/>
        <w:rPr>
          <w:rFonts w:ascii="Arial" w:hAnsi="Arial" w:cs="Arial"/>
          <w:sz w:val="22"/>
          <w:szCs w:val="22"/>
          <w:lang w:val="fr-FR"/>
        </w:rPr>
      </w:pPr>
    </w:p>
    <w:p w14:paraId="6A731EA2" w14:textId="77777777" w:rsidR="00591706" w:rsidRPr="00604452" w:rsidRDefault="00604452">
      <w:pPr>
        <w:pStyle w:val="ListParagraph"/>
        <w:numPr>
          <w:ilvl w:val="0"/>
          <w:numId w:val="18"/>
        </w:numPr>
        <w:tabs>
          <w:tab w:val="left" w:pos="3435"/>
        </w:tabs>
        <w:ind w:left="567" w:hanging="567"/>
        <w:contextualSpacing w:val="0"/>
        <w:jc w:val="both"/>
        <w:rPr>
          <w:rFonts w:ascii="Arial" w:hAnsi="Arial" w:cs="Arial"/>
          <w:sz w:val="22"/>
          <w:szCs w:val="22"/>
          <w:lang w:val="fr-FR"/>
        </w:rPr>
      </w:pPr>
      <w:r w:rsidRPr="00604452">
        <w:rPr>
          <w:rFonts w:ascii="Arial" w:hAnsi="Arial" w:cs="Arial"/>
          <w:sz w:val="22"/>
          <w:szCs w:val="22"/>
          <w:lang w:val="fr-FR"/>
        </w:rPr>
        <w:t>Les résultats du deuxième atelier comprenaient des contributions sur la modélisation écologique et sur la socio-économie provenant de petits groupes de travail ainsi que des questions plus générales (voir le rapport dans UNEP/CMS/ScC-SC7/Inf.6.2.1). Les recommandations générales sont les suivantes :</w:t>
      </w:r>
    </w:p>
    <w:p w14:paraId="5D6B233D" w14:textId="77777777" w:rsidR="00591706" w:rsidRPr="00604452" w:rsidRDefault="00591706">
      <w:pPr>
        <w:pStyle w:val="ListParagraph"/>
        <w:tabs>
          <w:tab w:val="left" w:pos="3435"/>
        </w:tabs>
        <w:ind w:left="567"/>
        <w:contextualSpacing w:val="0"/>
        <w:jc w:val="both"/>
        <w:rPr>
          <w:rFonts w:ascii="Arial" w:hAnsi="Arial" w:cs="Arial"/>
          <w:sz w:val="22"/>
          <w:szCs w:val="22"/>
          <w:lang w:val="fr-FR"/>
        </w:rPr>
      </w:pPr>
    </w:p>
    <w:p w14:paraId="7233B4B2" w14:textId="77777777" w:rsidR="00591706" w:rsidRPr="00604452" w:rsidRDefault="00604452">
      <w:pPr>
        <w:pStyle w:val="ListParagraph"/>
        <w:numPr>
          <w:ilvl w:val="1"/>
          <w:numId w:val="19"/>
        </w:numPr>
        <w:tabs>
          <w:tab w:val="left" w:pos="3435"/>
        </w:tabs>
        <w:ind w:left="1134" w:hanging="567"/>
        <w:contextualSpacing w:val="0"/>
        <w:jc w:val="both"/>
        <w:rPr>
          <w:rFonts w:ascii="Arial" w:hAnsi="Arial" w:cs="Arial"/>
          <w:sz w:val="22"/>
          <w:szCs w:val="22"/>
          <w:lang w:val="fr-FR"/>
        </w:rPr>
      </w:pPr>
      <w:r w:rsidRPr="00604452">
        <w:rPr>
          <w:rFonts w:ascii="Arial" w:hAnsi="Arial" w:cs="Arial"/>
          <w:sz w:val="22"/>
          <w:szCs w:val="22"/>
          <w:lang w:val="fr-FR"/>
        </w:rPr>
        <w:t>La question du fonctionnement des voies indirectes du carbone chez les baleines à travers les échelles spatiales verticales et horizontales doit être abordée, à la fois pour savoir si les mécanismes associés fonctionnent (cycle des nutriments ; fixation, exportation et séquestration du carbone), et si tel est le cas, quelle est la contribution des baleines par rapport à d'autres composants de l'écosystème.</w:t>
      </w:r>
    </w:p>
    <w:p w14:paraId="44A81330" w14:textId="77777777" w:rsidR="00591706" w:rsidRPr="00604452" w:rsidRDefault="00591706">
      <w:pPr>
        <w:pStyle w:val="ListParagraph"/>
        <w:tabs>
          <w:tab w:val="left" w:pos="3435"/>
        </w:tabs>
        <w:ind w:left="1134"/>
        <w:contextualSpacing w:val="0"/>
        <w:jc w:val="both"/>
        <w:rPr>
          <w:rFonts w:ascii="Arial" w:hAnsi="Arial" w:cs="Arial"/>
          <w:sz w:val="22"/>
          <w:szCs w:val="22"/>
          <w:lang w:val="fr-FR"/>
        </w:rPr>
      </w:pPr>
    </w:p>
    <w:p w14:paraId="7EF50275" w14:textId="77777777" w:rsidR="00591706" w:rsidRPr="00604452" w:rsidRDefault="00604452">
      <w:pPr>
        <w:pStyle w:val="ListParagraph"/>
        <w:numPr>
          <w:ilvl w:val="1"/>
          <w:numId w:val="19"/>
        </w:numPr>
        <w:tabs>
          <w:tab w:val="left" w:pos="3435"/>
        </w:tabs>
        <w:ind w:left="1134" w:hanging="567"/>
        <w:contextualSpacing w:val="0"/>
        <w:jc w:val="both"/>
        <w:rPr>
          <w:rFonts w:ascii="Arial" w:hAnsi="Arial" w:cs="Arial"/>
          <w:sz w:val="22"/>
          <w:szCs w:val="22"/>
          <w:lang w:val="fr-FR"/>
        </w:rPr>
      </w:pPr>
      <w:r w:rsidRPr="00604452">
        <w:rPr>
          <w:rFonts w:ascii="Arial" w:hAnsi="Arial" w:cs="Arial"/>
          <w:sz w:val="22"/>
          <w:szCs w:val="22"/>
          <w:lang w:val="fr-FR"/>
        </w:rPr>
        <w:t>Développer un cadre illustrant les liens de causalité entre les services écosystémiques auxquels les cétacés contribuent (par exemple, la régulation du climat, le cycle des nutriments contribuant à la productivité primaire, la fourniture d'habitats), les fonctions des cétacés dans l'écosystème et les valeurs potentielles pour les bénéficiaires.</w:t>
      </w:r>
      <w:r w:rsidRPr="00604452">
        <w:rPr>
          <w:rStyle w:val="FootnoteReference"/>
          <w:rFonts w:ascii="Arial" w:hAnsi="Arial" w:cs="Arial"/>
          <w:sz w:val="22"/>
          <w:szCs w:val="22"/>
          <w:lang w:val="fr-FR"/>
        </w:rPr>
        <w:footnoteReference w:id="4"/>
      </w:r>
    </w:p>
    <w:p w14:paraId="186C4388" w14:textId="77777777" w:rsidR="00591706" w:rsidRPr="00604452" w:rsidRDefault="00591706">
      <w:pPr>
        <w:pStyle w:val="ListParagraph"/>
        <w:tabs>
          <w:tab w:val="left" w:pos="3435"/>
        </w:tabs>
        <w:jc w:val="both"/>
        <w:rPr>
          <w:rFonts w:ascii="Arial" w:hAnsi="Arial" w:cs="Arial"/>
          <w:sz w:val="22"/>
          <w:szCs w:val="22"/>
          <w:lang w:val="fr-FR"/>
        </w:rPr>
      </w:pPr>
    </w:p>
    <w:p w14:paraId="0C678A28" w14:textId="77777777" w:rsidR="00591706" w:rsidRPr="00604452" w:rsidRDefault="00604452">
      <w:pPr>
        <w:pStyle w:val="ListParagraph"/>
        <w:numPr>
          <w:ilvl w:val="0"/>
          <w:numId w:val="18"/>
        </w:numPr>
        <w:tabs>
          <w:tab w:val="left" w:pos="3435"/>
        </w:tabs>
        <w:ind w:left="567" w:hanging="567"/>
        <w:contextualSpacing w:val="0"/>
        <w:jc w:val="both"/>
        <w:rPr>
          <w:rFonts w:ascii="Arial" w:hAnsi="Arial" w:cs="Arial"/>
          <w:sz w:val="22"/>
          <w:szCs w:val="22"/>
          <w:lang w:val="fr-FR"/>
        </w:rPr>
      </w:pPr>
      <w:r w:rsidRPr="00604452">
        <w:rPr>
          <w:rFonts w:ascii="Arial" w:hAnsi="Arial" w:cs="Arial"/>
          <w:sz w:val="22"/>
          <w:szCs w:val="22"/>
          <w:lang w:val="fr-FR"/>
        </w:rPr>
        <w:t>L'atelier a examiné les termes de référence d'un projet pilote et a convenu que la consultance devrait se concentrer sur trois tâches principales : (1) créer un cadre de recherche pour évaluer le rôle économique des cétacés dans les services écosystémiques marins ; (2) appliquer des modèles pertinents avec des données écologiques et économiques à des populations ou des zones spécifiques en tant qu'étude de cas ; et (3) fournir des lignes directrices sur l'utilisation des évaluations économiques pour influencer la conservation et la gestion des baleines par le biais du marché ou de l'évolution des politiques.</w:t>
      </w:r>
    </w:p>
    <w:p w14:paraId="7B2BDA86" w14:textId="77777777" w:rsidR="00591706" w:rsidRPr="00604452" w:rsidRDefault="00591706">
      <w:pPr>
        <w:pStyle w:val="ListParagraph"/>
        <w:tabs>
          <w:tab w:val="left" w:pos="3435"/>
        </w:tabs>
        <w:jc w:val="both"/>
        <w:rPr>
          <w:rFonts w:ascii="Arial" w:hAnsi="Arial" w:cs="Arial"/>
          <w:sz w:val="22"/>
          <w:szCs w:val="22"/>
          <w:lang w:val="fr-FR"/>
        </w:rPr>
      </w:pPr>
    </w:p>
    <w:p w14:paraId="5C6B3725" w14:textId="77777777" w:rsidR="00591706" w:rsidRPr="00604452" w:rsidRDefault="00604452">
      <w:pPr>
        <w:pStyle w:val="ListParagraph"/>
        <w:numPr>
          <w:ilvl w:val="0"/>
          <w:numId w:val="18"/>
        </w:numPr>
        <w:tabs>
          <w:tab w:val="left" w:pos="3435"/>
        </w:tabs>
        <w:ind w:left="567" w:hanging="567"/>
        <w:contextualSpacing w:val="0"/>
        <w:jc w:val="both"/>
        <w:rPr>
          <w:rFonts w:ascii="Arial" w:hAnsi="Arial" w:cs="Arial"/>
          <w:sz w:val="22"/>
          <w:szCs w:val="22"/>
          <w:lang w:val="fr-FR"/>
        </w:rPr>
      </w:pPr>
      <w:r w:rsidRPr="00604452">
        <w:rPr>
          <w:rFonts w:ascii="Arial" w:hAnsi="Arial" w:cs="Arial"/>
          <w:sz w:val="22"/>
          <w:szCs w:val="22"/>
          <w:lang w:val="fr-FR"/>
        </w:rPr>
        <w:t xml:space="preserve">Il a également été précisé que les économistes, sélectionnés dans le cadre d'un appel d'offres, choisiraient la population ou la zone spécifique disposant des meilleures données sur l'abondance des baleines et les estimations de la biomasse. Ils peuvent choisir de se concentrer sur plusieurs populations ou zones et de collaborer avec des écologistes connaissant bien les populations ou zones sélectionnées pour l'analyse. </w:t>
      </w:r>
    </w:p>
    <w:p w14:paraId="182F7902" w14:textId="77777777" w:rsidR="00591706" w:rsidRPr="00604452" w:rsidRDefault="00591706">
      <w:pPr>
        <w:pStyle w:val="ListParagraph"/>
        <w:rPr>
          <w:rFonts w:ascii="Arial" w:hAnsi="Arial" w:cs="Arial"/>
          <w:sz w:val="22"/>
          <w:szCs w:val="22"/>
          <w:lang w:val="fr-FR"/>
        </w:rPr>
      </w:pPr>
    </w:p>
    <w:p w14:paraId="70421126" w14:textId="77777777" w:rsidR="00591706" w:rsidRPr="00604452" w:rsidRDefault="00604452">
      <w:pPr>
        <w:pStyle w:val="ListParagraph"/>
        <w:numPr>
          <w:ilvl w:val="0"/>
          <w:numId w:val="18"/>
        </w:numPr>
        <w:tabs>
          <w:tab w:val="left" w:pos="3435"/>
        </w:tabs>
        <w:ind w:left="567" w:hanging="567"/>
        <w:contextualSpacing w:val="0"/>
        <w:jc w:val="both"/>
        <w:rPr>
          <w:rFonts w:ascii="Arial" w:hAnsi="Arial" w:cs="Arial"/>
          <w:sz w:val="22"/>
          <w:szCs w:val="22"/>
          <w:lang w:val="fr-FR"/>
        </w:rPr>
      </w:pPr>
      <w:r w:rsidRPr="00604452">
        <w:rPr>
          <w:rFonts w:ascii="Arial" w:hAnsi="Arial" w:cs="Arial"/>
          <w:sz w:val="22"/>
          <w:szCs w:val="22"/>
          <w:lang w:val="fr-FR"/>
        </w:rPr>
        <w:t>Lors de sa récente réunion (SC69B, 22 avril - 3 mai 2024), le Comité scientifique de la CBI a émis des avis divergents sur la nécessité, avant de lancer le projet pilote, de déterminer les contributions relatives des cétacés par rapport aux autres espèces marines aux fonctions de l'écosystème dans les zones sélectionnées. Cette réunion a convenu d'établir un groupe de correspondance intersessions (ICG) pour développer une liste prioritaire de besoins de recherche qui sera ensuite discutée lors de la prochaine réunion du Comité scientifique de la CBI (SC70). La liste tiendrait compte de la mesure dans laquelle les lacunes en matière de connaissances sont comblées et de l'importance potentielle des différents processus pour le fonctionnement de l'écosystème des cétacés.</w:t>
      </w:r>
    </w:p>
    <w:p w14:paraId="3198CD53" w14:textId="1B7FF947" w:rsidR="00FC5511" w:rsidRDefault="00FC5511">
      <w:pPr>
        <w:pStyle w:val="ListParagraph"/>
        <w:rPr>
          <w:rFonts w:ascii="Arial" w:hAnsi="Arial" w:cs="Arial"/>
          <w:sz w:val="22"/>
          <w:szCs w:val="22"/>
          <w:lang w:val="fr-FR"/>
        </w:rPr>
      </w:pPr>
      <w:r>
        <w:rPr>
          <w:rFonts w:ascii="Arial" w:hAnsi="Arial" w:cs="Arial"/>
          <w:sz w:val="22"/>
          <w:szCs w:val="22"/>
          <w:lang w:val="fr-FR"/>
        </w:rPr>
        <w:br w:type="page"/>
      </w:r>
    </w:p>
    <w:p w14:paraId="4E09BFFE" w14:textId="77777777" w:rsidR="00591706" w:rsidRPr="00604452" w:rsidRDefault="00604452">
      <w:pPr>
        <w:pStyle w:val="ListParagraph"/>
        <w:numPr>
          <w:ilvl w:val="0"/>
          <w:numId w:val="18"/>
        </w:numPr>
        <w:tabs>
          <w:tab w:val="left" w:pos="3435"/>
        </w:tabs>
        <w:ind w:left="567" w:hanging="567"/>
        <w:contextualSpacing w:val="0"/>
        <w:jc w:val="both"/>
        <w:rPr>
          <w:rFonts w:ascii="Arial" w:hAnsi="Arial" w:cs="Arial"/>
          <w:sz w:val="22"/>
          <w:szCs w:val="22"/>
          <w:lang w:val="fr-FR"/>
        </w:rPr>
      </w:pPr>
      <w:r w:rsidRPr="00604452">
        <w:rPr>
          <w:rFonts w:ascii="Arial" w:hAnsi="Arial" w:cs="Arial"/>
          <w:sz w:val="22"/>
          <w:szCs w:val="22"/>
          <w:lang w:val="fr-FR"/>
        </w:rPr>
        <w:lastRenderedPageBreak/>
        <w:t xml:space="preserve">Sur la base des résultats des deux ateliers conjoints de la CBI et de la CMS sur les cétacés et les fonctions des écosystèmes, le SC69B de la CBI a approuvé les recommandations suivantes : </w:t>
      </w:r>
    </w:p>
    <w:p w14:paraId="6717611E" w14:textId="77777777" w:rsidR="00591706" w:rsidRPr="00604452" w:rsidRDefault="00591706">
      <w:pPr>
        <w:pStyle w:val="ListParagraph"/>
        <w:tabs>
          <w:tab w:val="left" w:pos="3435"/>
        </w:tabs>
        <w:jc w:val="both"/>
        <w:rPr>
          <w:rFonts w:ascii="Arial" w:hAnsi="Arial" w:cs="Arial"/>
          <w:sz w:val="22"/>
          <w:szCs w:val="22"/>
          <w:lang w:val="fr-FR"/>
        </w:rPr>
      </w:pPr>
    </w:p>
    <w:p w14:paraId="06F5A0AE" w14:textId="77777777" w:rsidR="00591706" w:rsidRPr="00604452" w:rsidRDefault="00604452">
      <w:pPr>
        <w:pStyle w:val="ListParagraph"/>
        <w:tabs>
          <w:tab w:val="left" w:pos="3435"/>
        </w:tabs>
        <w:ind w:left="1287"/>
        <w:jc w:val="both"/>
        <w:rPr>
          <w:rFonts w:ascii="Arial" w:hAnsi="Arial" w:cs="Arial"/>
          <w:i/>
          <w:iCs/>
          <w:sz w:val="22"/>
          <w:szCs w:val="22"/>
          <w:lang w:val="fr-FR"/>
        </w:rPr>
      </w:pPr>
      <w:r w:rsidRPr="00604452">
        <w:rPr>
          <w:rFonts w:ascii="Arial" w:hAnsi="Arial" w:cs="Arial"/>
          <w:i/>
          <w:iCs/>
          <w:sz w:val="22"/>
          <w:szCs w:val="22"/>
          <w:lang w:val="fr-FR"/>
        </w:rPr>
        <w:t>Attention : SC, R</w:t>
      </w:r>
    </w:p>
    <w:p w14:paraId="1821F274" w14:textId="77777777" w:rsidR="00591706" w:rsidRPr="00604452" w:rsidRDefault="00604452">
      <w:pPr>
        <w:pStyle w:val="ListParagraph"/>
        <w:numPr>
          <w:ilvl w:val="0"/>
          <w:numId w:val="20"/>
        </w:numPr>
        <w:tabs>
          <w:tab w:val="left" w:pos="3435"/>
        </w:tabs>
        <w:jc w:val="both"/>
        <w:rPr>
          <w:rFonts w:ascii="Arial" w:hAnsi="Arial" w:cs="Arial"/>
          <w:i/>
          <w:iCs/>
          <w:sz w:val="22"/>
          <w:szCs w:val="22"/>
          <w:lang w:val="fr-FR"/>
        </w:rPr>
      </w:pPr>
      <w:r w:rsidRPr="00604452">
        <w:rPr>
          <w:rFonts w:ascii="Arial" w:hAnsi="Arial" w:cs="Arial"/>
          <w:i/>
          <w:iCs/>
          <w:sz w:val="22"/>
          <w:szCs w:val="22"/>
          <w:lang w:val="fr-FR"/>
        </w:rPr>
        <w:t xml:space="preserve">Le Comité </w:t>
      </w:r>
      <w:r w:rsidRPr="00604452">
        <w:rPr>
          <w:rFonts w:ascii="Arial" w:hAnsi="Arial" w:cs="Arial"/>
          <w:b/>
          <w:bCs/>
          <w:i/>
          <w:iCs/>
          <w:sz w:val="22"/>
          <w:szCs w:val="22"/>
          <w:lang w:val="fr-FR"/>
        </w:rPr>
        <w:t>recommande</w:t>
      </w:r>
      <w:r w:rsidRPr="00604452">
        <w:rPr>
          <w:rFonts w:ascii="Arial" w:hAnsi="Arial" w:cs="Arial"/>
          <w:i/>
          <w:iCs/>
          <w:sz w:val="22"/>
          <w:szCs w:val="22"/>
          <w:lang w:val="fr-FR"/>
        </w:rPr>
        <w:t xml:space="preserve"> que les modèles existants, notamment les modèles multi-espèces, et tout nouveau modèle développé continuent à être utilisés par les chercheurs pour développer des estimations plus robustes de l'abondance des baleines avant et après la chasse commerciale dans toutes les régions océanographiques et, en particulier, dans les régions où les estimations sont inexistantes ou basées sur des données incomplètes ou inadéquates.</w:t>
      </w:r>
    </w:p>
    <w:p w14:paraId="695F0B4E" w14:textId="77777777" w:rsidR="00591706" w:rsidRPr="00604452" w:rsidRDefault="00591706">
      <w:pPr>
        <w:pStyle w:val="ListParagraph"/>
        <w:tabs>
          <w:tab w:val="left" w:pos="3435"/>
        </w:tabs>
        <w:ind w:left="567"/>
        <w:contextualSpacing w:val="0"/>
        <w:jc w:val="both"/>
        <w:rPr>
          <w:rFonts w:ascii="Arial" w:hAnsi="Arial" w:cs="Arial"/>
          <w:i/>
          <w:iCs/>
          <w:sz w:val="22"/>
          <w:szCs w:val="22"/>
          <w:lang w:val="fr-FR"/>
        </w:rPr>
      </w:pPr>
    </w:p>
    <w:p w14:paraId="7E418DE4" w14:textId="77777777" w:rsidR="00591706" w:rsidRPr="00604452" w:rsidRDefault="00604452">
      <w:pPr>
        <w:pStyle w:val="ListParagraph"/>
        <w:numPr>
          <w:ilvl w:val="0"/>
          <w:numId w:val="20"/>
        </w:numPr>
        <w:tabs>
          <w:tab w:val="left" w:pos="3435"/>
        </w:tabs>
        <w:contextualSpacing w:val="0"/>
        <w:jc w:val="both"/>
        <w:rPr>
          <w:rFonts w:ascii="Arial" w:hAnsi="Arial" w:cs="Arial"/>
          <w:i/>
          <w:iCs/>
          <w:sz w:val="22"/>
          <w:szCs w:val="22"/>
          <w:lang w:val="fr-FR"/>
        </w:rPr>
      </w:pPr>
      <w:r w:rsidRPr="00604452">
        <w:rPr>
          <w:rFonts w:ascii="Arial" w:hAnsi="Arial" w:cs="Arial"/>
          <w:i/>
          <w:iCs/>
          <w:sz w:val="22"/>
          <w:szCs w:val="22"/>
          <w:lang w:val="fr-FR"/>
        </w:rPr>
        <w:t xml:space="preserve">Le Comité </w:t>
      </w:r>
      <w:r w:rsidRPr="00604452">
        <w:rPr>
          <w:rFonts w:ascii="Arial" w:hAnsi="Arial" w:cs="Arial"/>
          <w:b/>
          <w:bCs/>
          <w:i/>
          <w:iCs/>
          <w:sz w:val="22"/>
          <w:szCs w:val="22"/>
          <w:lang w:val="fr-FR"/>
        </w:rPr>
        <w:t>reconnaît</w:t>
      </w:r>
      <w:r w:rsidRPr="00604452">
        <w:rPr>
          <w:rFonts w:ascii="Arial" w:hAnsi="Arial" w:cs="Arial"/>
          <w:i/>
          <w:iCs/>
          <w:sz w:val="22"/>
          <w:szCs w:val="22"/>
          <w:lang w:val="fr-FR"/>
        </w:rPr>
        <w:t xml:space="preserve"> qu'il reste nécessaire d'utiliser les résultats des deux ateliers et initiatives organisés conjointement par la CBI et la CMS et, en collaboration avec des scientifiques et d'autres parties prenantes possédant une expertise pertinente, d'élaborer entre les sessions une liste de besoins de recherche classés par ordre de priorité, qui sera examinée par le SC70. </w:t>
      </w:r>
    </w:p>
    <w:p w14:paraId="0DB05963" w14:textId="77777777" w:rsidR="00FC5511" w:rsidRDefault="00FC5511">
      <w:pPr>
        <w:pStyle w:val="ListParagraph"/>
        <w:tabs>
          <w:tab w:val="left" w:pos="3435"/>
        </w:tabs>
        <w:ind w:left="1287"/>
        <w:jc w:val="both"/>
        <w:rPr>
          <w:rFonts w:ascii="Arial" w:hAnsi="Arial" w:cs="Arial"/>
          <w:i/>
          <w:iCs/>
          <w:sz w:val="22"/>
          <w:szCs w:val="22"/>
          <w:lang w:val="fr-FR"/>
        </w:rPr>
      </w:pPr>
    </w:p>
    <w:p w14:paraId="36768965" w14:textId="2BCDB548" w:rsidR="00591706" w:rsidRPr="00604452" w:rsidRDefault="00604452">
      <w:pPr>
        <w:pStyle w:val="ListParagraph"/>
        <w:tabs>
          <w:tab w:val="left" w:pos="3435"/>
        </w:tabs>
        <w:ind w:left="1287"/>
        <w:jc w:val="both"/>
        <w:rPr>
          <w:rFonts w:ascii="Arial" w:hAnsi="Arial" w:cs="Arial"/>
          <w:i/>
          <w:iCs/>
          <w:sz w:val="22"/>
          <w:szCs w:val="22"/>
          <w:lang w:val="fr-FR"/>
        </w:rPr>
      </w:pPr>
      <w:r w:rsidRPr="00604452">
        <w:rPr>
          <w:rFonts w:ascii="Arial" w:hAnsi="Arial" w:cs="Arial"/>
          <w:i/>
          <w:iCs/>
          <w:sz w:val="22"/>
          <w:szCs w:val="22"/>
          <w:lang w:val="fr-FR"/>
        </w:rPr>
        <w:t>Attention : SC, CC, R</w:t>
      </w:r>
    </w:p>
    <w:p w14:paraId="7C81AE1F" w14:textId="77777777" w:rsidR="00591706" w:rsidRPr="00604452" w:rsidRDefault="00604452">
      <w:pPr>
        <w:pStyle w:val="ListParagraph"/>
        <w:numPr>
          <w:ilvl w:val="0"/>
          <w:numId w:val="20"/>
        </w:numPr>
        <w:tabs>
          <w:tab w:val="left" w:pos="3435"/>
        </w:tabs>
        <w:contextualSpacing w:val="0"/>
        <w:jc w:val="both"/>
        <w:rPr>
          <w:rFonts w:ascii="Arial" w:hAnsi="Arial" w:cs="Arial"/>
          <w:i/>
          <w:iCs/>
          <w:sz w:val="22"/>
          <w:szCs w:val="22"/>
          <w:lang w:val="fr-FR"/>
        </w:rPr>
      </w:pPr>
      <w:r w:rsidRPr="00604452">
        <w:rPr>
          <w:rFonts w:ascii="Arial" w:hAnsi="Arial" w:cs="Arial"/>
          <w:i/>
          <w:iCs/>
          <w:sz w:val="22"/>
          <w:szCs w:val="22"/>
          <w:lang w:val="fr-FR"/>
        </w:rPr>
        <w:t xml:space="preserve">Le Comité </w:t>
      </w:r>
      <w:r w:rsidRPr="00604452">
        <w:rPr>
          <w:rFonts w:ascii="Arial" w:hAnsi="Arial" w:cs="Arial"/>
          <w:b/>
          <w:bCs/>
          <w:i/>
          <w:iCs/>
          <w:sz w:val="22"/>
          <w:szCs w:val="22"/>
          <w:lang w:val="fr-FR"/>
        </w:rPr>
        <w:t>recommande</w:t>
      </w:r>
      <w:r w:rsidRPr="00604452">
        <w:rPr>
          <w:rFonts w:ascii="Arial" w:hAnsi="Arial" w:cs="Arial"/>
          <w:i/>
          <w:iCs/>
          <w:sz w:val="22"/>
          <w:szCs w:val="22"/>
          <w:lang w:val="fr-FR"/>
        </w:rPr>
        <w:t xml:space="preserve"> que la communauté scientifique utilise les modèles écosystémiques existants et nouvellement développés pour améliorer la compréhension de l'ensemble des fonctions écosystémiques (par exemple, le cycle des nutriments, la séquestration du carbone, la biodiversité [associée aux chutes de baleines], la dynamique prédateur/proie et la fourniture d'habitat) des cétacés (grands et petits) ainsi que des organismes de niveau trophique inférieur pour explorer les contributions relatives d'une variété d'organismes marins aux fonctions écosystémiques à la fois temporellement (à travers le temps) et spatialement (à travers les régions océanographiques).</w:t>
      </w:r>
    </w:p>
    <w:p w14:paraId="1601D194" w14:textId="77777777" w:rsidR="00591706" w:rsidRPr="00604452" w:rsidRDefault="00591706">
      <w:pPr>
        <w:pStyle w:val="ListParagraph"/>
        <w:tabs>
          <w:tab w:val="left" w:pos="3435"/>
        </w:tabs>
        <w:ind w:left="567"/>
        <w:contextualSpacing w:val="0"/>
        <w:jc w:val="both"/>
        <w:rPr>
          <w:rFonts w:ascii="Arial" w:hAnsi="Arial" w:cs="Arial"/>
          <w:i/>
          <w:iCs/>
          <w:sz w:val="22"/>
          <w:szCs w:val="22"/>
          <w:lang w:val="fr-FR"/>
        </w:rPr>
      </w:pPr>
    </w:p>
    <w:p w14:paraId="5ED1C70C" w14:textId="77777777" w:rsidR="00591706" w:rsidRPr="00604452" w:rsidRDefault="00604452">
      <w:pPr>
        <w:pStyle w:val="ListParagraph"/>
        <w:tabs>
          <w:tab w:val="left" w:pos="3435"/>
        </w:tabs>
        <w:ind w:left="1287"/>
        <w:jc w:val="both"/>
        <w:rPr>
          <w:rFonts w:ascii="Arial" w:hAnsi="Arial" w:cs="Arial"/>
          <w:i/>
          <w:iCs/>
          <w:sz w:val="22"/>
          <w:szCs w:val="22"/>
          <w:lang w:val="fr-FR"/>
        </w:rPr>
      </w:pPr>
      <w:r w:rsidRPr="00604452">
        <w:rPr>
          <w:rFonts w:ascii="Arial" w:hAnsi="Arial" w:cs="Arial"/>
          <w:i/>
          <w:iCs/>
          <w:sz w:val="22"/>
          <w:szCs w:val="22"/>
          <w:lang w:val="fr-FR"/>
        </w:rPr>
        <w:t>Attention : S, SC, R</w:t>
      </w:r>
    </w:p>
    <w:p w14:paraId="30CDFE9D" w14:textId="77777777" w:rsidR="00591706" w:rsidRPr="00604452" w:rsidRDefault="00604452">
      <w:pPr>
        <w:pStyle w:val="ListParagraph"/>
        <w:numPr>
          <w:ilvl w:val="0"/>
          <w:numId w:val="20"/>
        </w:numPr>
        <w:tabs>
          <w:tab w:val="left" w:pos="3435"/>
        </w:tabs>
        <w:contextualSpacing w:val="0"/>
        <w:jc w:val="both"/>
        <w:rPr>
          <w:rFonts w:ascii="Arial" w:hAnsi="Arial" w:cs="Arial"/>
          <w:i/>
          <w:iCs/>
          <w:sz w:val="22"/>
          <w:szCs w:val="22"/>
          <w:lang w:val="fr-FR"/>
        </w:rPr>
      </w:pPr>
      <w:r w:rsidRPr="00604452">
        <w:rPr>
          <w:rFonts w:ascii="Arial" w:hAnsi="Arial" w:cs="Arial"/>
          <w:i/>
          <w:iCs/>
          <w:sz w:val="22"/>
          <w:szCs w:val="22"/>
          <w:lang w:val="fr-FR"/>
        </w:rPr>
        <w:t xml:space="preserve">Le Comité </w:t>
      </w:r>
      <w:r w:rsidRPr="00604452">
        <w:rPr>
          <w:rFonts w:ascii="Arial" w:hAnsi="Arial" w:cs="Arial"/>
          <w:b/>
          <w:bCs/>
          <w:i/>
          <w:iCs/>
          <w:sz w:val="22"/>
          <w:szCs w:val="22"/>
          <w:lang w:val="fr-FR"/>
        </w:rPr>
        <w:t>recommande</w:t>
      </w:r>
      <w:r w:rsidRPr="00604452">
        <w:rPr>
          <w:rFonts w:ascii="Arial" w:hAnsi="Arial" w:cs="Arial"/>
          <w:i/>
          <w:iCs/>
          <w:sz w:val="22"/>
          <w:szCs w:val="22"/>
          <w:lang w:val="fr-FR"/>
        </w:rPr>
        <w:t xml:space="preserve"> que les scientifiques, les coalitions de recherche et les consortiums engagés dans l'étude du fonctionnement de l'écosystème des cétacés, s'ils recherchent un financement auprès d'institutions internationales/nationales ou d'institutions philanthropiques, envisagent de demander une lettre d'approbation au secrétariat de la CBI pour faire avancer la recherche conformément aux axes de travail du Comité et pour combler les lacunes en matière de connaissances/données précédemment identifiées par le Comité.</w:t>
      </w:r>
    </w:p>
    <w:p w14:paraId="69AD8C0C" w14:textId="77777777" w:rsidR="00591706" w:rsidRPr="00604452" w:rsidRDefault="00591706">
      <w:pPr>
        <w:pStyle w:val="ListParagraph"/>
        <w:tabs>
          <w:tab w:val="left" w:pos="3435"/>
        </w:tabs>
        <w:ind w:left="567"/>
        <w:contextualSpacing w:val="0"/>
        <w:jc w:val="both"/>
        <w:rPr>
          <w:rFonts w:ascii="Arial" w:hAnsi="Arial" w:cs="Arial"/>
          <w:i/>
          <w:iCs/>
          <w:sz w:val="22"/>
          <w:szCs w:val="22"/>
          <w:lang w:val="fr-FR"/>
        </w:rPr>
      </w:pPr>
    </w:p>
    <w:p w14:paraId="41E29F59" w14:textId="77777777" w:rsidR="00591706" w:rsidRPr="00604452" w:rsidRDefault="00604452">
      <w:pPr>
        <w:pStyle w:val="ListParagraph"/>
        <w:tabs>
          <w:tab w:val="left" w:pos="3435"/>
        </w:tabs>
        <w:ind w:left="1287"/>
        <w:contextualSpacing w:val="0"/>
        <w:jc w:val="both"/>
        <w:rPr>
          <w:rFonts w:ascii="Arial" w:hAnsi="Arial" w:cs="Arial"/>
          <w:i/>
          <w:iCs/>
          <w:sz w:val="22"/>
          <w:szCs w:val="22"/>
          <w:lang w:val="fr-FR"/>
        </w:rPr>
      </w:pPr>
      <w:r w:rsidRPr="00604452">
        <w:rPr>
          <w:rFonts w:ascii="Arial" w:hAnsi="Arial" w:cs="Arial"/>
          <w:i/>
          <w:iCs/>
          <w:sz w:val="22"/>
          <w:szCs w:val="22"/>
          <w:lang w:val="fr-FR"/>
        </w:rPr>
        <w:t>Attention : S, CMS</w:t>
      </w:r>
    </w:p>
    <w:p w14:paraId="2E07DDE5" w14:textId="77777777" w:rsidR="00591706" w:rsidRPr="00604452" w:rsidRDefault="00604452">
      <w:pPr>
        <w:pStyle w:val="ListParagraph"/>
        <w:numPr>
          <w:ilvl w:val="0"/>
          <w:numId w:val="20"/>
        </w:numPr>
        <w:tabs>
          <w:tab w:val="left" w:pos="3435"/>
        </w:tabs>
        <w:contextualSpacing w:val="0"/>
        <w:jc w:val="both"/>
        <w:rPr>
          <w:rFonts w:ascii="Arial" w:hAnsi="Arial" w:cs="Arial"/>
          <w:i/>
          <w:iCs/>
          <w:sz w:val="22"/>
          <w:szCs w:val="22"/>
          <w:lang w:val="fr-FR"/>
        </w:rPr>
      </w:pPr>
      <w:r w:rsidRPr="00604452">
        <w:rPr>
          <w:rFonts w:ascii="Arial" w:hAnsi="Arial" w:cs="Arial"/>
          <w:i/>
          <w:iCs/>
          <w:sz w:val="22"/>
          <w:szCs w:val="22"/>
          <w:lang w:val="fr-FR"/>
        </w:rPr>
        <w:t xml:space="preserve">Le Comité </w:t>
      </w:r>
      <w:r w:rsidRPr="00604452">
        <w:rPr>
          <w:rFonts w:ascii="Arial" w:hAnsi="Arial" w:cs="Arial"/>
          <w:b/>
          <w:bCs/>
          <w:i/>
          <w:iCs/>
          <w:sz w:val="22"/>
          <w:szCs w:val="22"/>
          <w:lang w:val="fr-FR"/>
        </w:rPr>
        <w:t>reconnaît</w:t>
      </w:r>
      <w:r w:rsidRPr="00604452">
        <w:rPr>
          <w:rFonts w:ascii="Arial" w:hAnsi="Arial" w:cs="Arial"/>
          <w:i/>
          <w:iCs/>
          <w:sz w:val="22"/>
          <w:szCs w:val="22"/>
          <w:lang w:val="fr-FR"/>
        </w:rPr>
        <w:t xml:space="preserve"> les progrès réalisés au cours des ateliers précédents sur le fonctionnement de l'écosystème des cétacés et </w:t>
      </w:r>
      <w:r w:rsidRPr="00604452">
        <w:rPr>
          <w:rFonts w:ascii="Arial" w:hAnsi="Arial" w:cs="Arial"/>
          <w:b/>
          <w:bCs/>
          <w:i/>
          <w:iCs/>
          <w:sz w:val="22"/>
          <w:szCs w:val="22"/>
          <w:lang w:val="fr-FR"/>
        </w:rPr>
        <w:t>recommande</w:t>
      </w:r>
      <w:r w:rsidRPr="00604452">
        <w:rPr>
          <w:rFonts w:ascii="Arial" w:hAnsi="Arial" w:cs="Arial"/>
          <w:i/>
          <w:iCs/>
          <w:sz w:val="22"/>
          <w:szCs w:val="22"/>
          <w:lang w:val="fr-FR"/>
        </w:rPr>
        <w:t xml:space="preserve"> que le Secrétariat continue à assurer la liaison avec le Secrétariat de la CMS pour partager des informations qui comblent les lacunes de connaissances/données identifiées et, s'il organise de futurs ateliers/symposiums sur ce sujet, d'envisager d'inviter la collaboration du Secrétariat de la CMS et d'autres organisations internationales (par exemple, la CCAMLR).</w:t>
      </w:r>
    </w:p>
    <w:p w14:paraId="7ED85562" w14:textId="77777777" w:rsidR="00591706" w:rsidRPr="00604452" w:rsidRDefault="00591706">
      <w:pPr>
        <w:pStyle w:val="ListParagraph"/>
        <w:tabs>
          <w:tab w:val="left" w:pos="3435"/>
        </w:tabs>
        <w:ind w:left="567"/>
        <w:contextualSpacing w:val="0"/>
        <w:jc w:val="both"/>
        <w:rPr>
          <w:rFonts w:ascii="Arial" w:hAnsi="Arial" w:cs="Arial"/>
          <w:i/>
          <w:iCs/>
          <w:sz w:val="22"/>
          <w:szCs w:val="22"/>
          <w:lang w:val="fr-FR"/>
        </w:rPr>
      </w:pPr>
    </w:p>
    <w:p w14:paraId="4C507D79" w14:textId="77777777" w:rsidR="00591706" w:rsidRPr="00604452" w:rsidRDefault="00604452">
      <w:pPr>
        <w:pStyle w:val="ListParagraph"/>
        <w:tabs>
          <w:tab w:val="left" w:pos="3435"/>
        </w:tabs>
        <w:ind w:left="1287"/>
        <w:jc w:val="both"/>
        <w:rPr>
          <w:rFonts w:ascii="Arial" w:hAnsi="Arial" w:cs="Arial"/>
          <w:i/>
          <w:iCs/>
          <w:sz w:val="22"/>
          <w:szCs w:val="22"/>
          <w:lang w:val="fr-FR"/>
        </w:rPr>
      </w:pPr>
      <w:r w:rsidRPr="00604452">
        <w:rPr>
          <w:rFonts w:ascii="Arial" w:hAnsi="Arial" w:cs="Arial"/>
          <w:i/>
          <w:iCs/>
          <w:sz w:val="22"/>
          <w:szCs w:val="22"/>
          <w:lang w:val="fr-FR"/>
        </w:rPr>
        <w:t>Attention : SM</w:t>
      </w:r>
    </w:p>
    <w:p w14:paraId="46EA61F3" w14:textId="77777777" w:rsidR="00591706" w:rsidRPr="00604452" w:rsidRDefault="00604452">
      <w:pPr>
        <w:pStyle w:val="ListParagraph"/>
        <w:numPr>
          <w:ilvl w:val="0"/>
          <w:numId w:val="20"/>
        </w:numPr>
        <w:tabs>
          <w:tab w:val="left" w:pos="3435"/>
        </w:tabs>
        <w:contextualSpacing w:val="0"/>
        <w:jc w:val="both"/>
        <w:rPr>
          <w:rFonts w:ascii="Arial" w:hAnsi="Arial" w:cs="Arial"/>
          <w:i/>
          <w:iCs/>
          <w:sz w:val="22"/>
          <w:szCs w:val="22"/>
          <w:lang w:val="fr-FR"/>
        </w:rPr>
      </w:pPr>
      <w:r w:rsidRPr="00604452">
        <w:rPr>
          <w:rFonts w:ascii="Arial" w:hAnsi="Arial" w:cs="Arial"/>
          <w:i/>
          <w:iCs/>
          <w:sz w:val="22"/>
          <w:szCs w:val="22"/>
          <w:lang w:val="fr-FR"/>
        </w:rPr>
        <w:t xml:space="preserve">Le Comité </w:t>
      </w:r>
      <w:r w:rsidRPr="00604452">
        <w:rPr>
          <w:rFonts w:ascii="Arial" w:hAnsi="Arial" w:cs="Arial"/>
          <w:b/>
          <w:bCs/>
          <w:i/>
          <w:iCs/>
          <w:sz w:val="22"/>
          <w:szCs w:val="22"/>
          <w:lang w:val="fr-FR"/>
        </w:rPr>
        <w:t>reconnaît</w:t>
      </w:r>
      <w:r w:rsidRPr="00604452">
        <w:rPr>
          <w:rFonts w:ascii="Arial" w:hAnsi="Arial" w:cs="Arial"/>
          <w:i/>
          <w:iCs/>
          <w:sz w:val="22"/>
          <w:szCs w:val="22"/>
          <w:lang w:val="fr-FR"/>
        </w:rPr>
        <w:t xml:space="preserve"> les preuves de plus en plus nombreuses du rôle des petits cétacés dans le fonctionnement des écosystèmes, note que davantage de recherches/données sont nécessaires pour quantifier pleinement le rôle des petits cétacés dans le fonctionnement des écosystèmes et encourage les membres du sous-comité sur les petits cétacés à rejoindre le sous-comité sur la modélisation des écosystèmes afin de faire progresser les intérêts communs dans ce domaine.</w:t>
      </w:r>
    </w:p>
    <w:p w14:paraId="28BC7CB3" w14:textId="49F6F5B0" w:rsidR="00FC5511" w:rsidRDefault="00FC5511">
      <w:pPr>
        <w:pStyle w:val="ListParagraph"/>
        <w:tabs>
          <w:tab w:val="left" w:pos="3435"/>
        </w:tabs>
        <w:ind w:left="567"/>
        <w:contextualSpacing w:val="0"/>
        <w:jc w:val="both"/>
        <w:rPr>
          <w:rFonts w:ascii="Arial" w:hAnsi="Arial" w:cs="Arial"/>
          <w:i/>
          <w:iCs/>
          <w:sz w:val="22"/>
          <w:szCs w:val="22"/>
          <w:lang w:val="fr-FR"/>
        </w:rPr>
      </w:pPr>
      <w:r>
        <w:rPr>
          <w:rFonts w:ascii="Arial" w:hAnsi="Arial" w:cs="Arial"/>
          <w:i/>
          <w:iCs/>
          <w:sz w:val="22"/>
          <w:szCs w:val="22"/>
          <w:lang w:val="fr-FR"/>
        </w:rPr>
        <w:br w:type="page"/>
      </w:r>
    </w:p>
    <w:p w14:paraId="62089533" w14:textId="77777777" w:rsidR="00591706" w:rsidRPr="00604452" w:rsidRDefault="00604452">
      <w:pPr>
        <w:pStyle w:val="ListParagraph"/>
        <w:tabs>
          <w:tab w:val="left" w:pos="3435"/>
        </w:tabs>
        <w:ind w:left="1287"/>
        <w:jc w:val="both"/>
        <w:rPr>
          <w:rFonts w:ascii="Arial" w:hAnsi="Arial" w:cs="Arial"/>
          <w:i/>
          <w:iCs/>
          <w:sz w:val="22"/>
          <w:szCs w:val="22"/>
          <w:lang w:val="fr-FR"/>
        </w:rPr>
      </w:pPr>
      <w:r w:rsidRPr="00604452">
        <w:rPr>
          <w:rFonts w:ascii="Arial" w:hAnsi="Arial" w:cs="Arial"/>
          <w:i/>
          <w:iCs/>
          <w:sz w:val="22"/>
          <w:szCs w:val="22"/>
          <w:lang w:val="fr-FR"/>
        </w:rPr>
        <w:lastRenderedPageBreak/>
        <w:t>Attention : CC, SC-CC, CG</w:t>
      </w:r>
    </w:p>
    <w:p w14:paraId="7E50ABE0" w14:textId="77777777" w:rsidR="00591706" w:rsidRPr="00604452" w:rsidRDefault="00604452">
      <w:pPr>
        <w:pStyle w:val="ListParagraph"/>
        <w:numPr>
          <w:ilvl w:val="0"/>
          <w:numId w:val="20"/>
        </w:numPr>
        <w:tabs>
          <w:tab w:val="left" w:pos="3435"/>
        </w:tabs>
        <w:contextualSpacing w:val="0"/>
        <w:jc w:val="both"/>
        <w:rPr>
          <w:rFonts w:ascii="Arial" w:hAnsi="Arial" w:cs="Arial"/>
          <w:i/>
          <w:iCs/>
          <w:sz w:val="22"/>
          <w:szCs w:val="22"/>
          <w:lang w:val="fr-FR"/>
        </w:rPr>
      </w:pPr>
      <w:r w:rsidRPr="00604452">
        <w:rPr>
          <w:rFonts w:ascii="Arial" w:hAnsi="Arial" w:cs="Arial"/>
          <w:i/>
          <w:iCs/>
          <w:sz w:val="22"/>
          <w:szCs w:val="22"/>
          <w:lang w:val="fr-FR"/>
        </w:rPr>
        <w:t xml:space="preserve">Le Comité </w:t>
      </w:r>
      <w:r w:rsidRPr="00604452">
        <w:rPr>
          <w:rFonts w:ascii="Arial" w:hAnsi="Arial" w:cs="Arial"/>
          <w:b/>
          <w:bCs/>
          <w:i/>
          <w:iCs/>
          <w:sz w:val="22"/>
          <w:szCs w:val="22"/>
          <w:lang w:val="fr-FR"/>
        </w:rPr>
        <w:t>note</w:t>
      </w:r>
      <w:r w:rsidRPr="00604452">
        <w:rPr>
          <w:rFonts w:ascii="Arial" w:hAnsi="Arial" w:cs="Arial"/>
          <w:i/>
          <w:iCs/>
          <w:sz w:val="22"/>
          <w:szCs w:val="22"/>
          <w:lang w:val="fr-FR"/>
        </w:rPr>
        <w:t xml:space="preserve"> l'information du CC de l'IGC sur les cétacés et le fonctionnement des écosystèmes sur le statut du projet pilote visant à évaluer la valeur socio-économique des fonctions écosystémiques des cétacés, conformément au cahier des charges et à l'appel d'offres élaboré pour ce projet. Le Comité </w:t>
      </w:r>
      <w:r w:rsidRPr="00604452">
        <w:rPr>
          <w:rFonts w:ascii="Arial" w:hAnsi="Arial" w:cs="Arial"/>
          <w:b/>
          <w:bCs/>
          <w:i/>
          <w:iCs/>
          <w:sz w:val="22"/>
          <w:szCs w:val="22"/>
          <w:lang w:val="fr-FR"/>
        </w:rPr>
        <w:t>encourage</w:t>
      </w:r>
      <w:r w:rsidRPr="00604452">
        <w:rPr>
          <w:rFonts w:ascii="Arial" w:hAnsi="Arial" w:cs="Arial"/>
          <w:i/>
          <w:iCs/>
          <w:sz w:val="22"/>
          <w:szCs w:val="22"/>
          <w:lang w:val="fr-FR"/>
        </w:rPr>
        <w:t xml:space="preserve"> vivement la participation d'experts en cétacés à ce travail.</w:t>
      </w:r>
    </w:p>
    <w:p w14:paraId="77DEB538" w14:textId="77777777" w:rsidR="00591706" w:rsidRPr="00604452" w:rsidRDefault="00591706">
      <w:pPr>
        <w:tabs>
          <w:tab w:val="left" w:pos="3435"/>
        </w:tabs>
        <w:rPr>
          <w:rFonts w:eastAsia="Times New Roman" w:cs="Arial"/>
          <w:lang w:val="fr-FR"/>
        </w:rPr>
      </w:pPr>
    </w:p>
    <w:p w14:paraId="35DB277F" w14:textId="77777777" w:rsidR="00591706" w:rsidRPr="00604452" w:rsidRDefault="00604452">
      <w:pPr>
        <w:tabs>
          <w:tab w:val="left" w:pos="3435"/>
        </w:tabs>
        <w:rPr>
          <w:rFonts w:eastAsia="Times New Roman" w:cs="Arial"/>
          <w:u w:val="single"/>
          <w:lang w:val="fr-FR"/>
        </w:rPr>
      </w:pPr>
      <w:r w:rsidRPr="00604452">
        <w:rPr>
          <w:rFonts w:eastAsia="Times New Roman" w:cs="Arial"/>
          <w:u w:val="single"/>
          <w:lang w:val="fr-FR"/>
        </w:rPr>
        <w:t>Actions recommandées</w:t>
      </w:r>
    </w:p>
    <w:p w14:paraId="3386FA3F" w14:textId="77777777" w:rsidR="00591706" w:rsidRPr="00604452" w:rsidRDefault="00591706">
      <w:pPr>
        <w:tabs>
          <w:tab w:val="left" w:pos="3435"/>
        </w:tabs>
        <w:rPr>
          <w:rFonts w:eastAsia="Times New Roman" w:cs="Arial"/>
          <w:sz w:val="20"/>
          <w:szCs w:val="20"/>
          <w:lang w:val="fr-FR"/>
        </w:rPr>
      </w:pPr>
    </w:p>
    <w:p w14:paraId="5C3B04D2" w14:textId="77777777" w:rsidR="00591706" w:rsidRPr="00604452" w:rsidRDefault="00604452">
      <w:pPr>
        <w:pStyle w:val="ListParagraph"/>
        <w:numPr>
          <w:ilvl w:val="0"/>
          <w:numId w:val="18"/>
        </w:numPr>
        <w:tabs>
          <w:tab w:val="left" w:pos="3435"/>
        </w:tabs>
        <w:ind w:left="567" w:hanging="567"/>
        <w:contextualSpacing w:val="0"/>
        <w:jc w:val="both"/>
        <w:rPr>
          <w:rFonts w:ascii="Arial" w:hAnsi="Arial" w:cs="Arial"/>
          <w:sz w:val="22"/>
          <w:szCs w:val="18"/>
          <w:lang w:val="fr-FR"/>
        </w:rPr>
      </w:pPr>
      <w:r w:rsidRPr="00604452">
        <w:rPr>
          <w:rFonts w:ascii="Arial" w:hAnsi="Arial" w:cs="Arial"/>
          <w:sz w:val="22"/>
          <w:szCs w:val="18"/>
          <w:lang w:val="fr-FR"/>
        </w:rPr>
        <w:t xml:space="preserve">Il est recommandé au Comité de session de : </w:t>
      </w:r>
    </w:p>
    <w:p w14:paraId="5F34E67F" w14:textId="77777777" w:rsidR="00591706" w:rsidRPr="00604452" w:rsidRDefault="00591706">
      <w:pPr>
        <w:tabs>
          <w:tab w:val="left" w:pos="3435"/>
        </w:tabs>
        <w:jc w:val="both"/>
        <w:rPr>
          <w:rFonts w:eastAsia="Times New Roman" w:cs="Arial"/>
          <w:lang w:val="fr-FR"/>
        </w:rPr>
      </w:pPr>
    </w:p>
    <w:p w14:paraId="0B7B79CB" w14:textId="77777777" w:rsidR="00591706" w:rsidRPr="00604452" w:rsidRDefault="00604452">
      <w:pPr>
        <w:pStyle w:val="ListParagraph"/>
        <w:numPr>
          <w:ilvl w:val="0"/>
          <w:numId w:val="24"/>
        </w:numPr>
        <w:tabs>
          <w:tab w:val="left" w:pos="3435"/>
        </w:tabs>
        <w:ind w:left="1134" w:hanging="567"/>
        <w:contextualSpacing w:val="0"/>
        <w:jc w:val="both"/>
        <w:rPr>
          <w:rFonts w:ascii="Arial" w:hAnsi="Arial" w:cs="Arial"/>
          <w:sz w:val="22"/>
          <w:szCs w:val="22"/>
          <w:lang w:val="fr-FR"/>
        </w:rPr>
      </w:pPr>
      <w:r w:rsidRPr="00604452">
        <w:rPr>
          <w:rFonts w:ascii="Arial" w:hAnsi="Arial" w:cs="Arial"/>
          <w:sz w:val="22"/>
          <w:szCs w:val="22"/>
          <w:lang w:val="fr-FR"/>
        </w:rPr>
        <w:t>Noter les résultats présentés ci-dessus et le rapport du 2</w:t>
      </w:r>
      <w:r w:rsidRPr="00604452">
        <w:rPr>
          <w:rFonts w:ascii="Arial" w:hAnsi="Arial" w:cs="Arial"/>
          <w:sz w:val="22"/>
          <w:szCs w:val="22"/>
          <w:vertAlign w:val="superscript"/>
          <w:lang w:val="fr-FR"/>
        </w:rPr>
        <w:t>e</w:t>
      </w:r>
      <w:r w:rsidRPr="00604452">
        <w:rPr>
          <w:rFonts w:ascii="Arial" w:hAnsi="Arial" w:cs="Arial"/>
          <w:sz w:val="22"/>
          <w:szCs w:val="22"/>
          <w:lang w:val="fr-FR"/>
        </w:rPr>
        <w:t xml:space="preserve"> atelier de la CBI et de la CMS sur le fonctionnement des écosystèmes de cétacés, contenu dans le document UNEP/CMS/ScC-SC7/Inf.6.2.1 ; et</w:t>
      </w:r>
    </w:p>
    <w:p w14:paraId="1AFC2A8E" w14:textId="77777777" w:rsidR="00591706" w:rsidRPr="00604452" w:rsidRDefault="00591706">
      <w:pPr>
        <w:pStyle w:val="ListParagraph"/>
        <w:tabs>
          <w:tab w:val="left" w:pos="3435"/>
        </w:tabs>
        <w:ind w:left="1134" w:hanging="567"/>
        <w:contextualSpacing w:val="0"/>
        <w:jc w:val="both"/>
        <w:rPr>
          <w:rFonts w:ascii="Arial" w:hAnsi="Arial" w:cs="Arial"/>
          <w:sz w:val="22"/>
          <w:szCs w:val="22"/>
          <w:lang w:val="fr-FR"/>
        </w:rPr>
      </w:pPr>
    </w:p>
    <w:p w14:paraId="56F939D7" w14:textId="77777777" w:rsidR="00591706" w:rsidRPr="00604452" w:rsidRDefault="00604452">
      <w:pPr>
        <w:pStyle w:val="ListParagraph"/>
        <w:numPr>
          <w:ilvl w:val="0"/>
          <w:numId w:val="24"/>
        </w:numPr>
        <w:tabs>
          <w:tab w:val="left" w:pos="3435"/>
        </w:tabs>
        <w:ind w:left="1134" w:hanging="567"/>
        <w:contextualSpacing w:val="0"/>
        <w:jc w:val="both"/>
        <w:rPr>
          <w:rFonts w:ascii="Arial" w:hAnsi="Arial" w:cs="Arial"/>
          <w:sz w:val="22"/>
          <w:szCs w:val="22"/>
          <w:lang w:val="fr-FR"/>
        </w:rPr>
      </w:pPr>
      <w:r w:rsidRPr="00604452">
        <w:rPr>
          <w:rFonts w:ascii="Arial" w:hAnsi="Arial" w:cs="Arial"/>
          <w:sz w:val="22"/>
          <w:szCs w:val="22"/>
          <w:lang w:val="fr-FR"/>
        </w:rPr>
        <w:t>Par l'intermédiaire du groupe de travail sur les mammifères aquatiques, fournir des conseils et des contributions concernant l'extension des travaux sur le rôle des cétacés dans le fonctionnement des écosystèmes, en étroite collaboration avec la CBI.</w:t>
      </w:r>
    </w:p>
    <w:p w14:paraId="322CC60C" w14:textId="77777777" w:rsidR="00591706" w:rsidRDefault="00591706">
      <w:pPr>
        <w:rPr>
          <w:rFonts w:eastAsia="Times New Roman" w:cs="Arial"/>
          <w:lang w:val="fr-FR"/>
        </w:rPr>
      </w:pPr>
    </w:p>
    <w:sectPr w:rsidR="00591706">
      <w:headerReference w:type="first" r:id="rId16"/>
      <w:footerReference w:type="first" r:id="rId17"/>
      <w:pgSz w:w="11906" w:h="16838" w:code="9"/>
      <w:pgMar w:top="1134" w:right="1134" w:bottom="1134" w:left="1134"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01AF3" w14:textId="77777777" w:rsidR="00591706" w:rsidRDefault="00604452">
      <w:r>
        <w:rPr>
          <w:lang w:val="fr-FR"/>
        </w:rPr>
        <w:separator/>
      </w:r>
    </w:p>
  </w:endnote>
  <w:endnote w:type="continuationSeparator" w:id="0">
    <w:p w14:paraId="76F58B6C" w14:textId="77777777" w:rsidR="00591706" w:rsidRDefault="00604452">
      <w:r>
        <w:rPr>
          <w:lang w:val="fr-FR"/>
        </w:rPr>
        <w:continuationSeparator/>
      </w:r>
    </w:p>
  </w:endnote>
  <w:endnote w:type="continuationNotice" w:id="1">
    <w:p w14:paraId="2DC748AD" w14:textId="77777777" w:rsidR="00591706" w:rsidRDefault="005917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01848836"/>
      <w:docPartObj>
        <w:docPartGallery w:val="Page Numbers (Bottom of Page)"/>
        <w:docPartUnique/>
      </w:docPartObj>
    </w:sdtPr>
    <w:sdtEndPr>
      <w:rPr>
        <w:noProof/>
      </w:rPr>
    </w:sdtEndPr>
    <w:sdtContent>
      <w:p w14:paraId="763D14DC"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2</w:t>
        </w:r>
        <w:r w:rsidRPr="004641A5">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2089192853"/>
      <w:docPartObj>
        <w:docPartGallery w:val="Page Numbers (Bottom of Page)"/>
        <w:docPartUnique/>
      </w:docPartObj>
    </w:sdtPr>
    <w:sdtEndPr>
      <w:rPr>
        <w:noProof/>
      </w:rPr>
    </w:sdtEndPr>
    <w:sdtContent>
      <w:p w14:paraId="2384B508"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3</w:t>
        </w:r>
        <w:r w:rsidRPr="004641A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350448602"/>
      <w:docPartObj>
        <w:docPartGallery w:val="Page Numbers (Bottom of Page)"/>
        <w:docPartUnique/>
      </w:docPartObj>
    </w:sdtPr>
    <w:sdtEndPr>
      <w:rPr>
        <w:noProof/>
      </w:rPr>
    </w:sdtEndPr>
    <w:sdtContent>
      <w:p w14:paraId="7417D940" w14:textId="77777777" w:rsidR="00A77F9A" w:rsidRPr="00A77F9A" w:rsidRDefault="00A77F9A" w:rsidP="00A77F9A">
        <w:pPr>
          <w:pStyle w:val="Footer"/>
          <w:jc w:val="center"/>
          <w:rPr>
            <w:sz w:val="18"/>
            <w:szCs w:val="18"/>
          </w:rPr>
        </w:pPr>
        <w:r w:rsidRPr="00A77F9A">
          <w:rPr>
            <w:sz w:val="18"/>
            <w:szCs w:val="18"/>
          </w:rPr>
          <w:fldChar w:fldCharType="begin"/>
        </w:r>
        <w:r w:rsidRPr="00A77F9A">
          <w:rPr>
            <w:sz w:val="18"/>
            <w:szCs w:val="18"/>
          </w:rPr>
          <w:instrText xml:space="preserve"> PAGE   \* MERGEFORMAT </w:instrText>
        </w:r>
        <w:r w:rsidRPr="00A77F9A">
          <w:rPr>
            <w:sz w:val="18"/>
            <w:szCs w:val="18"/>
          </w:rPr>
          <w:fldChar w:fldCharType="separate"/>
        </w:r>
        <w:r w:rsidRPr="00A77F9A">
          <w:rPr>
            <w:noProof/>
            <w:sz w:val="18"/>
            <w:szCs w:val="18"/>
          </w:rPr>
          <w:t>2</w:t>
        </w:r>
        <w:r w:rsidRPr="00A77F9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6DFB6" w14:textId="77777777" w:rsidR="00591706" w:rsidRDefault="00604452">
      <w:r>
        <w:rPr>
          <w:lang w:val="fr-FR"/>
        </w:rPr>
        <w:separator/>
      </w:r>
    </w:p>
  </w:footnote>
  <w:footnote w:type="continuationSeparator" w:id="0">
    <w:p w14:paraId="65E4643A" w14:textId="77777777" w:rsidR="00591706" w:rsidRDefault="00604452">
      <w:r>
        <w:rPr>
          <w:lang w:val="fr-FR"/>
        </w:rPr>
        <w:continuationSeparator/>
      </w:r>
    </w:p>
  </w:footnote>
  <w:footnote w:type="continuationNotice" w:id="1">
    <w:p w14:paraId="603D8FF3" w14:textId="77777777" w:rsidR="00591706" w:rsidRDefault="00591706"/>
  </w:footnote>
  <w:footnote w:id="2">
    <w:p w14:paraId="3B33C1D8" w14:textId="77777777" w:rsidR="00591706" w:rsidRDefault="00604452">
      <w:pPr>
        <w:pStyle w:val="FootnoteText"/>
      </w:pPr>
      <w:r>
        <w:rPr>
          <w:rStyle w:val="FootnoteReference"/>
          <w:sz w:val="16"/>
          <w:szCs w:val="16"/>
        </w:rPr>
        <w:footnoteRef/>
      </w:r>
      <w:r>
        <w:rPr>
          <w:sz w:val="16"/>
          <w:szCs w:val="16"/>
        </w:rPr>
        <w:t xml:space="preserve"> IWC/SC/69B/EM/02</w:t>
      </w:r>
    </w:p>
  </w:footnote>
  <w:footnote w:id="3">
    <w:p w14:paraId="4BA04A38" w14:textId="77777777" w:rsidR="00591706" w:rsidRDefault="00604452">
      <w:pPr>
        <w:pStyle w:val="FootnoteText"/>
        <w:rPr>
          <w:sz w:val="16"/>
          <w:szCs w:val="16"/>
        </w:rPr>
      </w:pPr>
      <w:r>
        <w:rPr>
          <w:rStyle w:val="FootnoteReference"/>
          <w:sz w:val="16"/>
          <w:szCs w:val="16"/>
        </w:rPr>
        <w:footnoteRef/>
      </w:r>
      <w:r>
        <w:rPr>
          <w:sz w:val="16"/>
          <w:szCs w:val="16"/>
        </w:rPr>
        <w:t xml:space="preserve"> IWC/</w:t>
      </w:r>
      <w:r>
        <w:rPr>
          <w:rFonts w:cs="Arial"/>
          <w:sz w:val="16"/>
          <w:szCs w:val="16"/>
        </w:rPr>
        <w:t>CC/68/REP/SEVCEF/01</w:t>
      </w:r>
    </w:p>
  </w:footnote>
  <w:footnote w:id="4">
    <w:p w14:paraId="5F4C1C82" w14:textId="77777777" w:rsidR="00591706" w:rsidRDefault="00604452">
      <w:pPr>
        <w:pStyle w:val="FootnoteText"/>
        <w:rPr>
          <w:lang w:val="fr-FR"/>
        </w:rPr>
      </w:pPr>
      <w:r>
        <w:rPr>
          <w:rStyle w:val="FootnoteReference"/>
          <w:sz w:val="16"/>
          <w:szCs w:val="16"/>
          <w:lang w:val="fr-FR"/>
        </w:rPr>
        <w:footnoteRef/>
      </w:r>
      <w:r>
        <w:rPr>
          <w:sz w:val="16"/>
          <w:szCs w:val="16"/>
          <w:lang w:val="fr-FR"/>
        </w:rPr>
        <w:t xml:space="preserve"> Rapport de 2024 du Comité scientifique de la CBI (SC69B).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B59D9" w14:textId="77777777" w:rsidR="00591706" w:rsidRDefault="00604452">
    <w:pPr>
      <w:pBdr>
        <w:bottom w:val="single" w:sz="4" w:space="1" w:color="auto"/>
      </w:pBdr>
      <w:rPr>
        <w:rFonts w:cs="Arial"/>
        <w:i/>
        <w:iCs/>
        <w:sz w:val="18"/>
        <w:szCs w:val="18"/>
        <w:lang w:val="en-GB"/>
      </w:rPr>
    </w:pPr>
    <w:r>
      <w:rPr>
        <w:rFonts w:cs="Arial"/>
        <w:i/>
        <w:iCs/>
        <w:sz w:val="18"/>
        <w:szCs w:val="18"/>
        <w:lang w:val="en-GB"/>
      </w:rPr>
      <w:t>UNEP/CMS/ScC-SC7/Doc.6.2.1</w:t>
    </w:r>
  </w:p>
  <w:p w14:paraId="25A2927B" w14:textId="77777777" w:rsidR="00591706" w:rsidRDefault="00591706">
    <w:pPr>
      <w:pStyle w:val="Header"/>
      <w:rPr>
        <w:lang w:val="fr-FR"/>
      </w:rPr>
    </w:pPr>
  </w:p>
  <w:p w14:paraId="68DA3873" w14:textId="77777777" w:rsidR="00591706" w:rsidRDefault="00591706">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0CC6F" w14:textId="77777777" w:rsidR="00591706" w:rsidRDefault="00604452">
    <w:pPr>
      <w:pBdr>
        <w:bottom w:val="single" w:sz="4" w:space="1" w:color="auto"/>
      </w:pBdr>
      <w:jc w:val="right"/>
      <w:rPr>
        <w:rFonts w:cs="Arial"/>
        <w:i/>
        <w:iCs/>
        <w:sz w:val="18"/>
        <w:szCs w:val="18"/>
        <w:lang w:val="en-GB"/>
      </w:rPr>
    </w:pPr>
    <w:r>
      <w:rPr>
        <w:rFonts w:cs="Arial"/>
        <w:i/>
        <w:iCs/>
        <w:sz w:val="18"/>
        <w:szCs w:val="18"/>
        <w:lang w:val="en-GB"/>
      </w:rPr>
      <w:t>UNEP/CMS/ScC-SC7/Doc.6.2.1</w:t>
    </w:r>
  </w:p>
  <w:p w14:paraId="020F7E18" w14:textId="77777777" w:rsidR="00591706" w:rsidRDefault="00591706">
    <w:pPr>
      <w:pStyle w:val="Header"/>
      <w:rPr>
        <w:lang w:val="fr-FR"/>
      </w:rPr>
    </w:pPr>
  </w:p>
  <w:p w14:paraId="276501F0" w14:textId="77777777" w:rsidR="00591706" w:rsidRDefault="00591706">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E9C03" w14:textId="77777777" w:rsidR="00FC5511" w:rsidRDefault="00FC5511" w:rsidP="00FC5511">
    <w:pPr>
      <w:pStyle w:val="Header"/>
    </w:pPr>
    <w:r>
      <w:rPr>
        <w:noProof/>
      </w:rPr>
      <w:drawing>
        <wp:anchor distT="0" distB="0" distL="114300" distR="114300" simplePos="0" relativeHeight="251661312" behindDoc="0" locked="0" layoutInCell="1" allowOverlap="1" wp14:anchorId="7C93F986" wp14:editId="53D89319">
          <wp:simplePos x="0" y="0"/>
          <wp:positionH relativeFrom="column">
            <wp:posOffset>-548005</wp:posOffset>
          </wp:positionH>
          <wp:positionV relativeFrom="paragraph">
            <wp:posOffset>-542290</wp:posOffset>
          </wp:positionV>
          <wp:extent cx="1409700" cy="1409700"/>
          <wp:effectExtent l="0" t="0" r="0"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970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6900504" wp14:editId="4E1D499D">
          <wp:simplePos x="0" y="0"/>
          <wp:positionH relativeFrom="column">
            <wp:posOffset>5800725</wp:posOffset>
          </wp:positionH>
          <wp:positionV relativeFrom="paragraph">
            <wp:posOffset>-333375</wp:posOffset>
          </wp:positionV>
          <wp:extent cx="585470" cy="822325"/>
          <wp:effectExtent l="0" t="0" r="5080" b="0"/>
          <wp:wrapNone/>
          <wp:docPr id="6" name="Picture 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ms_logo-for_letterhead_black"/>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5470" cy="82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mc:AlternateContent>
        <mc:Choice Requires="wps">
          <w:drawing>
            <wp:anchor distT="0" distB="0" distL="114300" distR="114300" simplePos="0" relativeHeight="251660288" behindDoc="0" locked="0" layoutInCell="1" allowOverlap="1" wp14:anchorId="549DD9BC" wp14:editId="46B6E8FF">
              <wp:simplePos x="0" y="0"/>
              <wp:positionH relativeFrom="column">
                <wp:posOffset>1019175</wp:posOffset>
              </wp:positionH>
              <wp:positionV relativeFrom="paragraph">
                <wp:posOffset>-19050</wp:posOffset>
              </wp:positionV>
              <wp:extent cx="4583430" cy="558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2C2F05D" w14:textId="77777777" w:rsidR="00FC5511" w:rsidRPr="00C64B0F" w:rsidRDefault="00FC5511" w:rsidP="00FC5511">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wps:txbx>
                    <wps:bodyPr rot="0" vert="horz" wrap="square" lIns="91440" tIns="45720" rIns="91440" bIns="45720" anchor="t" anchorCtr="0" upright="1">
                      <a:spAutoFit/>
                    </wps:bodyPr>
                  </wps:wsp>
                </a:graphicData>
              </a:graphic>
            </wp:anchor>
          </w:drawing>
        </mc:Choice>
        <mc:Fallback>
          <w:pict>
            <v:shapetype w14:anchorId="549DD9BC" id="_x0000_t202" coordsize="21600,21600" o:spt="202" path="m,l,21600r21600,l21600,xe">
              <v:stroke joinstyle="miter"/>
              <v:path gradientshapeok="t" o:connecttype="rect"/>
            </v:shapetype>
            <v:shape id="Text Box 2" o:spid="_x0000_s1027" type="#_x0000_t202" style="position:absolute;margin-left:80.25pt;margin-top:-1.5pt;width:360.9pt;height:4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" filled="f" stroked="f" strokeweight="0">
              <v:textbox style="mso-fit-shape-to-text:t">
                <w:txbxContent>
                  <w:p w14:paraId="32C2F05D" w14:textId="77777777" w:rsidR="00FC5511" w:rsidRPr="00C64B0F" w:rsidRDefault="00FC5511" w:rsidP="00FC5511">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v:textbox>
            </v:shape>
          </w:pict>
        </mc:Fallback>
      </mc:AlternateContent>
    </w:r>
  </w:p>
  <w:p w14:paraId="37F43220" w14:textId="77777777" w:rsidR="00FC5511" w:rsidRDefault="00FC55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CA7AC" w14:textId="77777777" w:rsidR="00591706" w:rsidRDefault="00604452">
    <w:pPr>
      <w:pBdr>
        <w:bottom w:val="single" w:sz="4" w:space="1" w:color="auto"/>
      </w:pBdr>
      <w:spacing w:before="120"/>
      <w:rPr>
        <w:rFonts w:cs="Arial"/>
        <w:i/>
        <w:iCs/>
        <w:sz w:val="18"/>
        <w:szCs w:val="18"/>
        <w:lang w:val="en-GB"/>
      </w:rPr>
    </w:pPr>
    <w:r>
      <w:rPr>
        <w:rFonts w:cs="Arial"/>
        <w:i/>
        <w:iCs/>
        <w:sz w:val="18"/>
        <w:szCs w:val="18"/>
        <w:lang w:val="en-GB"/>
      </w:rPr>
      <w:t>UNEP/CMS/ScC-SC7/Doc.6.2.1</w:t>
    </w:r>
  </w:p>
  <w:p w14:paraId="19C961E1" w14:textId="77777777" w:rsidR="00591706" w:rsidRDefault="00591706">
    <w:pPr>
      <w:rPr>
        <w:rFonts w:cs="Arial"/>
        <w:lang w:val="fr-FR"/>
      </w:rPr>
    </w:pPr>
  </w:p>
  <w:p w14:paraId="5DBCB9E5" w14:textId="77777777" w:rsidR="00591706" w:rsidRDefault="00591706">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078C9"/>
    <w:multiLevelType w:val="hybridMultilevel"/>
    <w:tmpl w:val="8C52CCD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5C977B1"/>
    <w:multiLevelType w:val="hybridMultilevel"/>
    <w:tmpl w:val="48265E06"/>
    <w:lvl w:ilvl="0" w:tplc="20000017">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16CF3C9F"/>
    <w:multiLevelType w:val="hybridMultilevel"/>
    <w:tmpl w:val="6F967058"/>
    <w:lvl w:ilvl="0" w:tplc="FFFFFFFF">
      <w:start w:val="1"/>
      <w:numFmt w:val="decimal"/>
      <w:lvlText w:val="%1."/>
      <w:lvlJc w:val="left"/>
      <w:pPr>
        <w:ind w:left="720" w:hanging="360"/>
      </w:pPr>
      <w:rPr>
        <w:rFonts w:hint="default"/>
        <w:sz w:val="22"/>
        <w:szCs w:val="18"/>
      </w:rPr>
    </w:lvl>
    <w:lvl w:ilvl="1" w:tplc="200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367EE1"/>
    <w:multiLevelType w:val="hybridMultilevel"/>
    <w:tmpl w:val="897486F0"/>
    <w:lvl w:ilvl="0" w:tplc="20000017">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A719CD"/>
    <w:multiLevelType w:val="hybridMultilevel"/>
    <w:tmpl w:val="C5A26316"/>
    <w:lvl w:ilvl="0" w:tplc="C158DE7A">
      <w:start w:val="1"/>
      <w:numFmt w:val="lowerLetter"/>
      <w:lvlText w:val="%1)"/>
      <w:lvlJc w:val="left"/>
      <w:pPr>
        <w:ind w:left="1287" w:hanging="360"/>
      </w:pPr>
      <w:rPr>
        <w:i w:val="0"/>
        <w:iCs w:val="0"/>
      </w:rPr>
    </w:lvl>
    <w:lvl w:ilvl="1" w:tplc="0C000019" w:tentative="1">
      <w:start w:val="1"/>
      <w:numFmt w:val="lowerLetter"/>
      <w:lvlText w:val="%2."/>
      <w:lvlJc w:val="left"/>
      <w:pPr>
        <w:ind w:left="2007" w:hanging="360"/>
      </w:pPr>
    </w:lvl>
    <w:lvl w:ilvl="2" w:tplc="0C00001B" w:tentative="1">
      <w:start w:val="1"/>
      <w:numFmt w:val="lowerRoman"/>
      <w:lvlText w:val="%3."/>
      <w:lvlJc w:val="right"/>
      <w:pPr>
        <w:ind w:left="2727" w:hanging="180"/>
      </w:pPr>
    </w:lvl>
    <w:lvl w:ilvl="3" w:tplc="0C00000F" w:tentative="1">
      <w:start w:val="1"/>
      <w:numFmt w:val="decimal"/>
      <w:lvlText w:val="%4."/>
      <w:lvlJc w:val="left"/>
      <w:pPr>
        <w:ind w:left="3447" w:hanging="360"/>
      </w:pPr>
    </w:lvl>
    <w:lvl w:ilvl="4" w:tplc="0C000019" w:tentative="1">
      <w:start w:val="1"/>
      <w:numFmt w:val="lowerLetter"/>
      <w:lvlText w:val="%5."/>
      <w:lvlJc w:val="left"/>
      <w:pPr>
        <w:ind w:left="4167" w:hanging="360"/>
      </w:pPr>
    </w:lvl>
    <w:lvl w:ilvl="5" w:tplc="0C00001B" w:tentative="1">
      <w:start w:val="1"/>
      <w:numFmt w:val="lowerRoman"/>
      <w:lvlText w:val="%6."/>
      <w:lvlJc w:val="right"/>
      <w:pPr>
        <w:ind w:left="4887" w:hanging="180"/>
      </w:pPr>
    </w:lvl>
    <w:lvl w:ilvl="6" w:tplc="0C00000F" w:tentative="1">
      <w:start w:val="1"/>
      <w:numFmt w:val="decimal"/>
      <w:lvlText w:val="%7."/>
      <w:lvlJc w:val="left"/>
      <w:pPr>
        <w:ind w:left="5607" w:hanging="360"/>
      </w:pPr>
    </w:lvl>
    <w:lvl w:ilvl="7" w:tplc="0C000019" w:tentative="1">
      <w:start w:val="1"/>
      <w:numFmt w:val="lowerLetter"/>
      <w:lvlText w:val="%8."/>
      <w:lvlJc w:val="left"/>
      <w:pPr>
        <w:ind w:left="6327" w:hanging="360"/>
      </w:pPr>
    </w:lvl>
    <w:lvl w:ilvl="8" w:tplc="0C00001B" w:tentative="1">
      <w:start w:val="1"/>
      <w:numFmt w:val="lowerRoman"/>
      <w:lvlText w:val="%9."/>
      <w:lvlJc w:val="right"/>
      <w:pPr>
        <w:ind w:left="7047" w:hanging="180"/>
      </w:pPr>
    </w:lvl>
  </w:abstractNum>
  <w:abstractNum w:abstractNumId="11"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18"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FB5CED"/>
    <w:multiLevelType w:val="hybridMultilevel"/>
    <w:tmpl w:val="947276B2"/>
    <w:lvl w:ilvl="0" w:tplc="CDD05410">
      <w:start w:val="1"/>
      <w:numFmt w:val="decimal"/>
      <w:lvlText w:val="%1."/>
      <w:lvlJc w:val="left"/>
      <w:pPr>
        <w:ind w:left="720" w:hanging="360"/>
      </w:pPr>
      <w:rPr>
        <w:rFonts w:hint="default"/>
        <w:sz w:val="22"/>
        <w:szCs w:val="18"/>
      </w:rPr>
    </w:lvl>
    <w:lvl w:ilvl="1" w:tplc="0C000019">
      <w:start w:val="1"/>
      <w:numFmt w:val="lowerLetter"/>
      <w:lvlText w:val="%2."/>
      <w:lvlJc w:val="left"/>
      <w:pPr>
        <w:ind w:left="1440" w:hanging="360"/>
      </w:pPr>
    </w:lvl>
    <w:lvl w:ilvl="2" w:tplc="E8A8276E">
      <w:start w:val="1"/>
      <w:numFmt w:val="lowerLetter"/>
      <w:lvlText w:val="%3)"/>
      <w:lvlJc w:val="left"/>
      <w:pPr>
        <w:ind w:left="2340" w:hanging="360"/>
      </w:pPr>
      <w:rPr>
        <w:rFonts w:hint="default"/>
      </w:r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1"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2" w15:restartNumberingAfterBreak="0">
    <w:nsid w:val="72E336EB"/>
    <w:multiLevelType w:val="hybridMultilevel"/>
    <w:tmpl w:val="116E2440"/>
    <w:lvl w:ilvl="0" w:tplc="20000017">
      <w:start w:val="1"/>
      <w:numFmt w:val="lowerLetter"/>
      <w:lvlText w:val="%1)"/>
      <w:lvlJc w:val="left"/>
      <w:pPr>
        <w:ind w:left="1287" w:hanging="360"/>
      </w:pPr>
    </w:lvl>
    <w:lvl w:ilvl="1" w:tplc="0C000019" w:tentative="1">
      <w:start w:val="1"/>
      <w:numFmt w:val="lowerLetter"/>
      <w:lvlText w:val="%2."/>
      <w:lvlJc w:val="left"/>
      <w:pPr>
        <w:ind w:left="2007" w:hanging="360"/>
      </w:pPr>
    </w:lvl>
    <w:lvl w:ilvl="2" w:tplc="0C00001B">
      <w:start w:val="1"/>
      <w:numFmt w:val="lowerRoman"/>
      <w:lvlText w:val="%3."/>
      <w:lvlJc w:val="right"/>
      <w:pPr>
        <w:ind w:left="2727" w:hanging="180"/>
      </w:pPr>
    </w:lvl>
    <w:lvl w:ilvl="3" w:tplc="0C00000F" w:tentative="1">
      <w:start w:val="1"/>
      <w:numFmt w:val="decimal"/>
      <w:lvlText w:val="%4."/>
      <w:lvlJc w:val="left"/>
      <w:pPr>
        <w:ind w:left="3447" w:hanging="360"/>
      </w:pPr>
    </w:lvl>
    <w:lvl w:ilvl="4" w:tplc="0C000019" w:tentative="1">
      <w:start w:val="1"/>
      <w:numFmt w:val="lowerLetter"/>
      <w:lvlText w:val="%5."/>
      <w:lvlJc w:val="left"/>
      <w:pPr>
        <w:ind w:left="4167" w:hanging="360"/>
      </w:pPr>
    </w:lvl>
    <w:lvl w:ilvl="5" w:tplc="0C00001B" w:tentative="1">
      <w:start w:val="1"/>
      <w:numFmt w:val="lowerRoman"/>
      <w:lvlText w:val="%6."/>
      <w:lvlJc w:val="right"/>
      <w:pPr>
        <w:ind w:left="4887" w:hanging="180"/>
      </w:pPr>
    </w:lvl>
    <w:lvl w:ilvl="6" w:tplc="0C00000F" w:tentative="1">
      <w:start w:val="1"/>
      <w:numFmt w:val="decimal"/>
      <w:lvlText w:val="%7."/>
      <w:lvlJc w:val="left"/>
      <w:pPr>
        <w:ind w:left="5607" w:hanging="360"/>
      </w:pPr>
    </w:lvl>
    <w:lvl w:ilvl="7" w:tplc="0C000019" w:tentative="1">
      <w:start w:val="1"/>
      <w:numFmt w:val="lowerLetter"/>
      <w:lvlText w:val="%8."/>
      <w:lvlJc w:val="left"/>
      <w:pPr>
        <w:ind w:left="6327" w:hanging="360"/>
      </w:pPr>
    </w:lvl>
    <w:lvl w:ilvl="8" w:tplc="0C00001B" w:tentative="1">
      <w:start w:val="1"/>
      <w:numFmt w:val="lowerRoman"/>
      <w:lvlText w:val="%9."/>
      <w:lvlJc w:val="right"/>
      <w:pPr>
        <w:ind w:left="7047" w:hanging="180"/>
      </w:pPr>
    </w:lvl>
  </w:abstractNum>
  <w:abstractNum w:abstractNumId="23"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7921480">
    <w:abstractNumId w:val="17"/>
  </w:num>
  <w:num w:numId="2" w16cid:durableId="1330258007">
    <w:abstractNumId w:val="13"/>
  </w:num>
  <w:num w:numId="3" w16cid:durableId="216629081">
    <w:abstractNumId w:val="23"/>
  </w:num>
  <w:num w:numId="4" w16cid:durableId="2089496676">
    <w:abstractNumId w:val="12"/>
  </w:num>
  <w:num w:numId="5" w16cid:durableId="995305865">
    <w:abstractNumId w:val="9"/>
  </w:num>
  <w:num w:numId="6" w16cid:durableId="1591543126">
    <w:abstractNumId w:val="7"/>
  </w:num>
  <w:num w:numId="7" w16cid:durableId="1509979557">
    <w:abstractNumId w:val="19"/>
  </w:num>
  <w:num w:numId="8" w16cid:durableId="1284387885">
    <w:abstractNumId w:val="16"/>
  </w:num>
  <w:num w:numId="9" w16cid:durableId="1792672819">
    <w:abstractNumId w:val="11"/>
  </w:num>
  <w:num w:numId="10" w16cid:durableId="1602376025">
    <w:abstractNumId w:val="8"/>
  </w:num>
  <w:num w:numId="11" w16cid:durableId="583103219">
    <w:abstractNumId w:val="0"/>
  </w:num>
  <w:num w:numId="12" w16cid:durableId="764500067">
    <w:abstractNumId w:val="5"/>
  </w:num>
  <w:num w:numId="13" w16cid:durableId="241188056">
    <w:abstractNumId w:val="21"/>
  </w:num>
  <w:num w:numId="14" w16cid:durableId="1744138892">
    <w:abstractNumId w:val="14"/>
  </w:num>
  <w:num w:numId="15" w16cid:durableId="512185356">
    <w:abstractNumId w:val="15"/>
  </w:num>
  <w:num w:numId="16" w16cid:durableId="206646908">
    <w:abstractNumId w:val="6"/>
  </w:num>
  <w:num w:numId="17" w16cid:durableId="309864782">
    <w:abstractNumId w:val="18"/>
  </w:num>
  <w:num w:numId="18" w16cid:durableId="685324370">
    <w:abstractNumId w:val="20"/>
  </w:num>
  <w:num w:numId="19" w16cid:durableId="1835681140">
    <w:abstractNumId w:val="3"/>
  </w:num>
  <w:num w:numId="20" w16cid:durableId="1175918698">
    <w:abstractNumId w:val="10"/>
  </w:num>
  <w:num w:numId="21" w16cid:durableId="1168711717">
    <w:abstractNumId w:val="22"/>
  </w:num>
  <w:num w:numId="22" w16cid:durableId="1804731045">
    <w:abstractNumId w:val="4"/>
  </w:num>
  <w:num w:numId="23" w16cid:durableId="547257309">
    <w:abstractNumId w:val="2"/>
  </w:num>
  <w:num w:numId="24" w16cid:durableId="469326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00DA8"/>
    <w:rsid w:val="0000186A"/>
    <w:rsid w:val="000023E1"/>
    <w:rsid w:val="00003290"/>
    <w:rsid w:val="000048AE"/>
    <w:rsid w:val="00007C5C"/>
    <w:rsid w:val="00011DDD"/>
    <w:rsid w:val="00020020"/>
    <w:rsid w:val="00024721"/>
    <w:rsid w:val="00026BDF"/>
    <w:rsid w:val="000326FA"/>
    <w:rsid w:val="00034F7E"/>
    <w:rsid w:val="00051664"/>
    <w:rsid w:val="0006079D"/>
    <w:rsid w:val="00062598"/>
    <w:rsid w:val="00063003"/>
    <w:rsid w:val="000652C6"/>
    <w:rsid w:val="00072AD6"/>
    <w:rsid w:val="000826EA"/>
    <w:rsid w:val="00094A00"/>
    <w:rsid w:val="000A52F9"/>
    <w:rsid w:val="000C2262"/>
    <w:rsid w:val="000C5152"/>
    <w:rsid w:val="000C5481"/>
    <w:rsid w:val="000C7638"/>
    <w:rsid w:val="000E28AD"/>
    <w:rsid w:val="000E3DE5"/>
    <w:rsid w:val="000F4744"/>
    <w:rsid w:val="0010228E"/>
    <w:rsid w:val="00103E83"/>
    <w:rsid w:val="00111F59"/>
    <w:rsid w:val="0012589A"/>
    <w:rsid w:val="00137147"/>
    <w:rsid w:val="00143FC2"/>
    <w:rsid w:val="0016215A"/>
    <w:rsid w:val="0016692F"/>
    <w:rsid w:val="001674EB"/>
    <w:rsid w:val="001675D6"/>
    <w:rsid w:val="00180FA1"/>
    <w:rsid w:val="00184BAF"/>
    <w:rsid w:val="001B12B6"/>
    <w:rsid w:val="001B7C41"/>
    <w:rsid w:val="001D4071"/>
    <w:rsid w:val="001D45B8"/>
    <w:rsid w:val="001E7384"/>
    <w:rsid w:val="001F3996"/>
    <w:rsid w:val="001F56E8"/>
    <w:rsid w:val="00203736"/>
    <w:rsid w:val="002051E6"/>
    <w:rsid w:val="00221B89"/>
    <w:rsid w:val="00223206"/>
    <w:rsid w:val="00226270"/>
    <w:rsid w:val="002352B7"/>
    <w:rsid w:val="00235D3F"/>
    <w:rsid w:val="0023618C"/>
    <w:rsid w:val="00237384"/>
    <w:rsid w:val="002427D3"/>
    <w:rsid w:val="0024645D"/>
    <w:rsid w:val="002569E3"/>
    <w:rsid w:val="00263D7F"/>
    <w:rsid w:val="002705BE"/>
    <w:rsid w:val="002A5E19"/>
    <w:rsid w:val="002B66BE"/>
    <w:rsid w:val="002B79E2"/>
    <w:rsid w:val="002C0CB1"/>
    <w:rsid w:val="002C5158"/>
    <w:rsid w:val="002D5744"/>
    <w:rsid w:val="002E1615"/>
    <w:rsid w:val="002E505C"/>
    <w:rsid w:val="002E764F"/>
    <w:rsid w:val="002F0077"/>
    <w:rsid w:val="002F11B3"/>
    <w:rsid w:val="002F2584"/>
    <w:rsid w:val="00300230"/>
    <w:rsid w:val="003151DC"/>
    <w:rsid w:val="003322D6"/>
    <w:rsid w:val="003332BF"/>
    <w:rsid w:val="00337F33"/>
    <w:rsid w:val="0034654C"/>
    <w:rsid w:val="00355306"/>
    <w:rsid w:val="00355BB0"/>
    <w:rsid w:val="00363F6D"/>
    <w:rsid w:val="003743F6"/>
    <w:rsid w:val="00390F7F"/>
    <w:rsid w:val="003958C2"/>
    <w:rsid w:val="003A0156"/>
    <w:rsid w:val="003B1260"/>
    <w:rsid w:val="003C1A96"/>
    <w:rsid w:val="003C1CD2"/>
    <w:rsid w:val="003D199F"/>
    <w:rsid w:val="003D7753"/>
    <w:rsid w:val="003E03C5"/>
    <w:rsid w:val="0041040B"/>
    <w:rsid w:val="00420B67"/>
    <w:rsid w:val="00420EDA"/>
    <w:rsid w:val="004214C7"/>
    <w:rsid w:val="00422A8A"/>
    <w:rsid w:val="004450A9"/>
    <w:rsid w:val="00460C01"/>
    <w:rsid w:val="004641A5"/>
    <w:rsid w:val="004654BD"/>
    <w:rsid w:val="00490788"/>
    <w:rsid w:val="00490FF8"/>
    <w:rsid w:val="00492C21"/>
    <w:rsid w:val="004965F7"/>
    <w:rsid w:val="004B29B4"/>
    <w:rsid w:val="004D3091"/>
    <w:rsid w:val="004E2E29"/>
    <w:rsid w:val="004E49C3"/>
    <w:rsid w:val="004E6571"/>
    <w:rsid w:val="004F08DB"/>
    <w:rsid w:val="004F3050"/>
    <w:rsid w:val="004F602D"/>
    <w:rsid w:val="00510C34"/>
    <w:rsid w:val="00511000"/>
    <w:rsid w:val="00515FF0"/>
    <w:rsid w:val="00530026"/>
    <w:rsid w:val="00534C9F"/>
    <w:rsid w:val="0055260F"/>
    <w:rsid w:val="00552CE8"/>
    <w:rsid w:val="00553A82"/>
    <w:rsid w:val="005576EE"/>
    <w:rsid w:val="00561A7B"/>
    <w:rsid w:val="00565862"/>
    <w:rsid w:val="00573DEF"/>
    <w:rsid w:val="005872F6"/>
    <w:rsid w:val="00591706"/>
    <w:rsid w:val="00592C2C"/>
    <w:rsid w:val="005A0362"/>
    <w:rsid w:val="005B0E33"/>
    <w:rsid w:val="005B5A36"/>
    <w:rsid w:val="005C7928"/>
    <w:rsid w:val="005D00EE"/>
    <w:rsid w:val="005D1D24"/>
    <w:rsid w:val="005E1A0D"/>
    <w:rsid w:val="005E5896"/>
    <w:rsid w:val="005E5EBA"/>
    <w:rsid w:val="005F2061"/>
    <w:rsid w:val="005F3419"/>
    <w:rsid w:val="005F7B3E"/>
    <w:rsid w:val="00604452"/>
    <w:rsid w:val="00615818"/>
    <w:rsid w:val="00623CFD"/>
    <w:rsid w:val="006308A4"/>
    <w:rsid w:val="00654EC3"/>
    <w:rsid w:val="00680865"/>
    <w:rsid w:val="00682888"/>
    <w:rsid w:val="00697C47"/>
    <w:rsid w:val="006A0ABC"/>
    <w:rsid w:val="006A7000"/>
    <w:rsid w:val="006B0385"/>
    <w:rsid w:val="006B0CDF"/>
    <w:rsid w:val="006B2B05"/>
    <w:rsid w:val="006B3485"/>
    <w:rsid w:val="006B4910"/>
    <w:rsid w:val="006C366B"/>
    <w:rsid w:val="006D0C32"/>
    <w:rsid w:val="006E4E55"/>
    <w:rsid w:val="006F26E4"/>
    <w:rsid w:val="006F3616"/>
    <w:rsid w:val="00717487"/>
    <w:rsid w:val="0071781C"/>
    <w:rsid w:val="00733D62"/>
    <w:rsid w:val="00735BC9"/>
    <w:rsid w:val="00743020"/>
    <w:rsid w:val="007432E0"/>
    <w:rsid w:val="00744896"/>
    <w:rsid w:val="00754199"/>
    <w:rsid w:val="00763277"/>
    <w:rsid w:val="0076354D"/>
    <w:rsid w:val="00767F52"/>
    <w:rsid w:val="00777A8E"/>
    <w:rsid w:val="00791152"/>
    <w:rsid w:val="00794ACD"/>
    <w:rsid w:val="007956FC"/>
    <w:rsid w:val="007A6532"/>
    <w:rsid w:val="007B032E"/>
    <w:rsid w:val="007B0B3F"/>
    <w:rsid w:val="007C055D"/>
    <w:rsid w:val="007D1D23"/>
    <w:rsid w:val="007D1DA2"/>
    <w:rsid w:val="007D53B8"/>
    <w:rsid w:val="007E238D"/>
    <w:rsid w:val="007E28C0"/>
    <w:rsid w:val="007E483F"/>
    <w:rsid w:val="007E4CF4"/>
    <w:rsid w:val="007E522B"/>
    <w:rsid w:val="007F6EBD"/>
    <w:rsid w:val="00814D37"/>
    <w:rsid w:val="00815D49"/>
    <w:rsid w:val="00822E98"/>
    <w:rsid w:val="00825F54"/>
    <w:rsid w:val="00827848"/>
    <w:rsid w:val="00832E2E"/>
    <w:rsid w:val="00844F23"/>
    <w:rsid w:val="008526A2"/>
    <w:rsid w:val="008543F8"/>
    <w:rsid w:val="008562CA"/>
    <w:rsid w:val="00857DC4"/>
    <w:rsid w:val="00887360"/>
    <w:rsid w:val="00892250"/>
    <w:rsid w:val="008974E4"/>
    <w:rsid w:val="008A253C"/>
    <w:rsid w:val="008A4935"/>
    <w:rsid w:val="008A5B68"/>
    <w:rsid w:val="008B012A"/>
    <w:rsid w:val="008B3952"/>
    <w:rsid w:val="008C1BB4"/>
    <w:rsid w:val="008D0883"/>
    <w:rsid w:val="008D4204"/>
    <w:rsid w:val="008D7252"/>
    <w:rsid w:val="008E3E7E"/>
    <w:rsid w:val="008F544C"/>
    <w:rsid w:val="009014CE"/>
    <w:rsid w:val="009036B7"/>
    <w:rsid w:val="00912E46"/>
    <w:rsid w:val="00912EA3"/>
    <w:rsid w:val="00921F3A"/>
    <w:rsid w:val="00933EBB"/>
    <w:rsid w:val="0094005C"/>
    <w:rsid w:val="009407E0"/>
    <w:rsid w:val="00953973"/>
    <w:rsid w:val="00966666"/>
    <w:rsid w:val="00971AA1"/>
    <w:rsid w:val="00993A3E"/>
    <w:rsid w:val="00994129"/>
    <w:rsid w:val="00996250"/>
    <w:rsid w:val="009A012D"/>
    <w:rsid w:val="009A0DD0"/>
    <w:rsid w:val="009A40F8"/>
    <w:rsid w:val="009A742B"/>
    <w:rsid w:val="009C19C3"/>
    <w:rsid w:val="009C7B88"/>
    <w:rsid w:val="009D5362"/>
    <w:rsid w:val="009E4CD1"/>
    <w:rsid w:val="009F237F"/>
    <w:rsid w:val="009F415B"/>
    <w:rsid w:val="00A008BF"/>
    <w:rsid w:val="00A05ED1"/>
    <w:rsid w:val="00A21B78"/>
    <w:rsid w:val="00A21C0B"/>
    <w:rsid w:val="00A258AE"/>
    <w:rsid w:val="00A35530"/>
    <w:rsid w:val="00A40CC0"/>
    <w:rsid w:val="00A51B0B"/>
    <w:rsid w:val="00A61CEE"/>
    <w:rsid w:val="00A64151"/>
    <w:rsid w:val="00A66B19"/>
    <w:rsid w:val="00A770D0"/>
    <w:rsid w:val="00A77F9A"/>
    <w:rsid w:val="00A85DEC"/>
    <w:rsid w:val="00AA10FA"/>
    <w:rsid w:val="00AB5F80"/>
    <w:rsid w:val="00AB7979"/>
    <w:rsid w:val="00AC055D"/>
    <w:rsid w:val="00AC2E93"/>
    <w:rsid w:val="00AC45D3"/>
    <w:rsid w:val="00AD5B6B"/>
    <w:rsid w:val="00AE38E8"/>
    <w:rsid w:val="00B0659E"/>
    <w:rsid w:val="00B06C1D"/>
    <w:rsid w:val="00B13BAF"/>
    <w:rsid w:val="00B1530B"/>
    <w:rsid w:val="00B203DD"/>
    <w:rsid w:val="00B20854"/>
    <w:rsid w:val="00B215D7"/>
    <w:rsid w:val="00B3129E"/>
    <w:rsid w:val="00B43FA1"/>
    <w:rsid w:val="00B572AA"/>
    <w:rsid w:val="00B66044"/>
    <w:rsid w:val="00B7684C"/>
    <w:rsid w:val="00B84567"/>
    <w:rsid w:val="00B84ECC"/>
    <w:rsid w:val="00BA72B2"/>
    <w:rsid w:val="00BC6F5C"/>
    <w:rsid w:val="00BD1BB7"/>
    <w:rsid w:val="00BD45EE"/>
    <w:rsid w:val="00BD7A99"/>
    <w:rsid w:val="00BE69AF"/>
    <w:rsid w:val="00BE7C6B"/>
    <w:rsid w:val="00BF5D03"/>
    <w:rsid w:val="00C01943"/>
    <w:rsid w:val="00C10AFD"/>
    <w:rsid w:val="00C240FA"/>
    <w:rsid w:val="00C31AA1"/>
    <w:rsid w:val="00C37847"/>
    <w:rsid w:val="00C51531"/>
    <w:rsid w:val="00C515BD"/>
    <w:rsid w:val="00C61744"/>
    <w:rsid w:val="00C6402A"/>
    <w:rsid w:val="00C6659B"/>
    <w:rsid w:val="00C665B0"/>
    <w:rsid w:val="00C835B5"/>
    <w:rsid w:val="00C861F4"/>
    <w:rsid w:val="00CA0212"/>
    <w:rsid w:val="00CB655F"/>
    <w:rsid w:val="00CC0A6F"/>
    <w:rsid w:val="00CF36FC"/>
    <w:rsid w:val="00CF5F4D"/>
    <w:rsid w:val="00D14FCB"/>
    <w:rsid w:val="00D15371"/>
    <w:rsid w:val="00D20520"/>
    <w:rsid w:val="00D2235C"/>
    <w:rsid w:val="00D24E6F"/>
    <w:rsid w:val="00D25691"/>
    <w:rsid w:val="00D3197C"/>
    <w:rsid w:val="00D420DF"/>
    <w:rsid w:val="00D47DBC"/>
    <w:rsid w:val="00D51E73"/>
    <w:rsid w:val="00D5397B"/>
    <w:rsid w:val="00D6324F"/>
    <w:rsid w:val="00D66C7A"/>
    <w:rsid w:val="00D8093B"/>
    <w:rsid w:val="00D8705A"/>
    <w:rsid w:val="00D90C2A"/>
    <w:rsid w:val="00D94C6F"/>
    <w:rsid w:val="00D97427"/>
    <w:rsid w:val="00DA207A"/>
    <w:rsid w:val="00DA36BD"/>
    <w:rsid w:val="00DB4110"/>
    <w:rsid w:val="00DB5F96"/>
    <w:rsid w:val="00DB6DC7"/>
    <w:rsid w:val="00DC7969"/>
    <w:rsid w:val="00DD14FC"/>
    <w:rsid w:val="00DD5B36"/>
    <w:rsid w:val="00DE6035"/>
    <w:rsid w:val="00E43E69"/>
    <w:rsid w:val="00E46EB9"/>
    <w:rsid w:val="00E6078F"/>
    <w:rsid w:val="00E62F22"/>
    <w:rsid w:val="00E81F5E"/>
    <w:rsid w:val="00E82C60"/>
    <w:rsid w:val="00E83EEF"/>
    <w:rsid w:val="00E86349"/>
    <w:rsid w:val="00E87C62"/>
    <w:rsid w:val="00E97F7B"/>
    <w:rsid w:val="00EA17DF"/>
    <w:rsid w:val="00ED1A3F"/>
    <w:rsid w:val="00ED2CC0"/>
    <w:rsid w:val="00ED2EE1"/>
    <w:rsid w:val="00ED351D"/>
    <w:rsid w:val="00EE27B1"/>
    <w:rsid w:val="00EE328D"/>
    <w:rsid w:val="00EF6E8B"/>
    <w:rsid w:val="00F01E83"/>
    <w:rsid w:val="00F32211"/>
    <w:rsid w:val="00F4206A"/>
    <w:rsid w:val="00F46422"/>
    <w:rsid w:val="00F534D9"/>
    <w:rsid w:val="00F81DD4"/>
    <w:rsid w:val="00F84776"/>
    <w:rsid w:val="00FB35BA"/>
    <w:rsid w:val="00FB6B9A"/>
    <w:rsid w:val="00FC195D"/>
    <w:rsid w:val="00FC5511"/>
    <w:rsid w:val="00FC641D"/>
    <w:rsid w:val="00FD7824"/>
    <w:rsid w:val="00FE205A"/>
    <w:rsid w:val="00FE4883"/>
    <w:rsid w:val="00FF4A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1ADF7"/>
  <w15:chartTrackingRefBased/>
  <w15:docId w15:val="{8E415663-CB04-41E5-810B-E85C87F85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paragraph" w:styleId="Revision">
    <w:name w:val="Revision"/>
    <w:hidden/>
    <w:uiPriority w:val="99"/>
    <w:semiHidden/>
    <w:rsid w:val="00D8093B"/>
    <w:rPr>
      <w:rFonts w:ascii="Arial" w:hAnsi="Arial"/>
    </w:rPr>
  </w:style>
  <w:style w:type="paragraph" w:styleId="FootnoteText">
    <w:name w:val="footnote text"/>
    <w:basedOn w:val="Normal"/>
    <w:link w:val="FootnoteTextChar"/>
    <w:uiPriority w:val="99"/>
    <w:semiHidden/>
    <w:unhideWhenUsed/>
    <w:rsid w:val="00D8093B"/>
    <w:rPr>
      <w:sz w:val="20"/>
      <w:szCs w:val="20"/>
    </w:rPr>
  </w:style>
  <w:style w:type="character" w:customStyle="1" w:styleId="FootnoteTextChar">
    <w:name w:val="Footnote Text Char"/>
    <w:basedOn w:val="DefaultParagraphFont"/>
    <w:link w:val="FootnoteText"/>
    <w:uiPriority w:val="99"/>
    <w:semiHidden/>
    <w:rsid w:val="00D8093B"/>
    <w:rPr>
      <w:rFonts w:ascii="Arial" w:hAnsi="Arial"/>
      <w:sz w:val="20"/>
      <w:szCs w:val="20"/>
    </w:rPr>
  </w:style>
  <w:style w:type="character" w:styleId="FootnoteReference">
    <w:name w:val="footnote reference"/>
    <w:basedOn w:val="DefaultParagraphFont"/>
    <w:uiPriority w:val="99"/>
    <w:semiHidden/>
    <w:unhideWhenUsed/>
    <w:rsid w:val="00D8093B"/>
    <w:rPr>
      <w:vertAlign w:val="superscript"/>
    </w:rPr>
  </w:style>
  <w:style w:type="character" w:styleId="CommentReference">
    <w:name w:val="annotation reference"/>
    <w:basedOn w:val="DefaultParagraphFont"/>
    <w:uiPriority w:val="99"/>
    <w:semiHidden/>
    <w:unhideWhenUsed/>
    <w:rsid w:val="002705BE"/>
    <w:rPr>
      <w:sz w:val="16"/>
      <w:szCs w:val="16"/>
    </w:rPr>
  </w:style>
  <w:style w:type="paragraph" w:styleId="CommentText">
    <w:name w:val="annotation text"/>
    <w:basedOn w:val="Normal"/>
    <w:link w:val="CommentTextChar"/>
    <w:uiPriority w:val="99"/>
    <w:unhideWhenUsed/>
    <w:rsid w:val="002705BE"/>
    <w:rPr>
      <w:sz w:val="20"/>
      <w:szCs w:val="20"/>
    </w:rPr>
  </w:style>
  <w:style w:type="character" w:customStyle="1" w:styleId="CommentTextChar">
    <w:name w:val="Comment Text Char"/>
    <w:basedOn w:val="DefaultParagraphFont"/>
    <w:link w:val="CommentText"/>
    <w:uiPriority w:val="99"/>
    <w:rsid w:val="002705B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705BE"/>
    <w:rPr>
      <w:b/>
      <w:bCs/>
    </w:rPr>
  </w:style>
  <w:style w:type="character" w:customStyle="1" w:styleId="CommentSubjectChar">
    <w:name w:val="Comment Subject Char"/>
    <w:basedOn w:val="CommentTextChar"/>
    <w:link w:val="CommentSubject"/>
    <w:uiPriority w:val="99"/>
    <w:semiHidden/>
    <w:rsid w:val="002705BE"/>
    <w:rPr>
      <w:rFonts w:ascii="Arial" w:hAnsi="Arial"/>
      <w:b/>
      <w:bCs/>
      <w:sz w:val="20"/>
      <w:szCs w:val="20"/>
    </w:rPr>
  </w:style>
  <w:style w:type="character" w:styleId="Mention">
    <w:name w:val="Mention"/>
    <w:basedOn w:val="DefaultParagraphFont"/>
    <w:uiPriority w:val="99"/>
    <w:unhideWhenUsed/>
    <w:rsid w:val="00E87C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SharedWithUsers xmlns="c15478a5-0be8-4f5d-8383-b307d5ba8bf6">
      <UserInfo>
        <DisplayName>Catherine Brueckner</DisplayName>
        <AccountId>12</AccountId>
        <AccountType/>
      </UserInfo>
      <UserInfo>
        <DisplayName>System Account</DisplayName>
        <AccountId>1073741823</AccountId>
        <AccountType/>
      </UserInfo>
      <UserInfo>
        <DisplayName>Thilan Mannan(Affiliate)</DisplayName>
        <AccountId>78</AccountId>
        <AccountType/>
      </UserInfo>
    </SharedWithUsers>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Props1.xml><?xml version="1.0" encoding="utf-8"?>
<ds:datastoreItem xmlns:ds="http://schemas.openxmlformats.org/officeDocument/2006/customXml" ds:itemID="{2EA3983E-FD84-4B0A-996B-B192DA98887A}">
  <ds:schemaRefs>
    <ds:schemaRef ds:uri="http://schemas.openxmlformats.org/officeDocument/2006/bibliography"/>
  </ds:schemaRefs>
</ds:datastoreItem>
</file>

<file path=customXml/itemProps2.xml><?xml version="1.0" encoding="utf-8"?>
<ds:datastoreItem xmlns:ds="http://schemas.openxmlformats.org/officeDocument/2006/customXml" ds:itemID="{A88F1FED-9DA5-4C89-8020-E76659532CF4}"/>
</file>

<file path=customXml/itemProps3.xml><?xml version="1.0" encoding="utf-8"?>
<ds:datastoreItem xmlns:ds="http://schemas.openxmlformats.org/officeDocument/2006/customXml" ds:itemID="{D405066A-53E2-4B40-AB09-EFC4BAF8D3EF}">
  <ds:schemaRefs>
    <ds:schemaRef ds:uri="http://schemas.microsoft.com/sharepoint/v3/contenttype/forms"/>
  </ds:schemaRefs>
</ds:datastoreItem>
</file>

<file path=customXml/itemProps4.xml><?xml version="1.0" encoding="utf-8"?>
<ds:datastoreItem xmlns:ds="http://schemas.openxmlformats.org/officeDocument/2006/customXml" ds:itemID="{B9466929-160B-45B0-8DCA-4CE74A4326EB}">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1605</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Catherine Brueckner</cp:lastModifiedBy>
  <cp:revision>2</cp:revision>
  <cp:lastPrinted>2024-06-20T06:50:00Z</cp:lastPrinted>
  <dcterms:created xsi:type="dcterms:W3CDTF">2024-06-25T08:58:00Z</dcterms:created>
  <dcterms:modified xsi:type="dcterms:W3CDTF">2024-06-25T08:58:00Z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