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6F2DC" w14:textId="5406DEC2" w:rsidR="004D2917" w:rsidRPr="00C755CB" w:rsidRDefault="007D2D67" w:rsidP="004D2917">
      <w:pPr>
        <w:tabs>
          <w:tab w:val="left" w:pos="-1057"/>
          <w:tab w:val="left" w:pos="-720"/>
        </w:tabs>
        <w:jc w:val="center"/>
        <w:rPr>
          <w:rFonts w:cs="Arial"/>
          <w:b/>
          <w:sz w:val="28"/>
          <w:szCs w:val="28"/>
          <w:lang w:val="es-PE"/>
        </w:rPr>
      </w:pPr>
      <w:r>
        <w:rPr>
          <w:rFonts w:cs="Arial"/>
          <w:b/>
          <w:sz w:val="28"/>
          <w:szCs w:val="28"/>
          <w:lang w:val="es-PE"/>
        </w:rPr>
        <w:t>7</w:t>
      </w:r>
      <w:r w:rsidR="004D2917" w:rsidRPr="00C755CB">
        <w:rPr>
          <w:rFonts w:cs="Arial"/>
          <w:b/>
          <w:sz w:val="28"/>
          <w:szCs w:val="28"/>
          <w:lang w:val="es-PE"/>
        </w:rPr>
        <w:t xml:space="preserve">ª Reunión del Comité del Periodo de Sesiones del </w:t>
      </w:r>
    </w:p>
    <w:p w14:paraId="2B8FD9E2" w14:textId="297C5407" w:rsidR="004D2917" w:rsidRPr="00C755CB" w:rsidRDefault="004D2917" w:rsidP="004D2917">
      <w:pPr>
        <w:tabs>
          <w:tab w:val="left" w:pos="-1057"/>
          <w:tab w:val="left" w:pos="-720"/>
        </w:tabs>
        <w:spacing w:after="120"/>
        <w:jc w:val="center"/>
        <w:rPr>
          <w:rFonts w:cs="Arial"/>
          <w:b/>
          <w:sz w:val="28"/>
          <w:szCs w:val="28"/>
          <w:lang w:val="es-PE"/>
        </w:rPr>
      </w:pPr>
      <w:r w:rsidRPr="00C755CB">
        <w:rPr>
          <w:rFonts w:cs="Arial"/>
          <w:b/>
          <w:sz w:val="28"/>
          <w:szCs w:val="28"/>
          <w:lang w:val="es-PE"/>
        </w:rPr>
        <w:t>Consejo Científico de la CMS (ScC-SC</w:t>
      </w:r>
      <w:r w:rsidR="000D0247">
        <w:rPr>
          <w:rFonts w:cs="Arial"/>
          <w:b/>
          <w:sz w:val="28"/>
          <w:szCs w:val="28"/>
          <w:lang w:val="es-PE"/>
        </w:rPr>
        <w:t>7</w:t>
      </w:r>
      <w:r w:rsidRPr="00C755CB">
        <w:rPr>
          <w:rFonts w:cs="Arial"/>
          <w:b/>
          <w:sz w:val="28"/>
          <w:szCs w:val="28"/>
          <w:lang w:val="es-PE"/>
        </w:rPr>
        <w:t>)</w:t>
      </w:r>
    </w:p>
    <w:p w14:paraId="48A68586" w14:textId="0C3677D4" w:rsidR="004D2917" w:rsidRPr="00025092" w:rsidRDefault="005B1586" w:rsidP="004D2917">
      <w:pPr>
        <w:pBdr>
          <w:bottom w:val="single" w:sz="4" w:space="1" w:color="auto"/>
        </w:pBdr>
        <w:kinsoku w:val="0"/>
        <w:overflowPunct w:val="0"/>
        <w:jc w:val="center"/>
        <w:outlineLvl w:val="0"/>
        <w:rPr>
          <w:rFonts w:cs="Arial"/>
          <w:bCs/>
          <w:i/>
          <w:spacing w:val="-4"/>
          <w:lang w:val="es-ES"/>
        </w:rPr>
      </w:pPr>
      <w:r>
        <w:rPr>
          <w:rFonts w:cs="Arial"/>
          <w:bCs/>
          <w:i/>
          <w:spacing w:val="-4"/>
          <w:lang w:val="es-PE"/>
        </w:rPr>
        <w:t xml:space="preserve">Bonn, </w:t>
      </w:r>
      <w:r w:rsidR="00990DE6">
        <w:rPr>
          <w:rFonts w:cs="Arial"/>
          <w:bCs/>
          <w:i/>
          <w:spacing w:val="-4"/>
          <w:lang w:val="es-PE"/>
        </w:rPr>
        <w:t xml:space="preserve">Alemania, </w:t>
      </w:r>
      <w:r>
        <w:rPr>
          <w:rFonts w:cs="Arial"/>
          <w:bCs/>
          <w:i/>
          <w:spacing w:val="-4"/>
          <w:lang w:val="es-PE"/>
        </w:rPr>
        <w:t>1</w:t>
      </w:r>
      <w:r w:rsidR="0019487A">
        <w:rPr>
          <w:rFonts w:cs="Arial"/>
          <w:bCs/>
          <w:i/>
          <w:spacing w:val="-4"/>
          <w:lang w:val="es-PE"/>
        </w:rPr>
        <w:t>7 – 20 de septiembre</w:t>
      </w:r>
      <w:r w:rsidR="004D2917" w:rsidRPr="002506C2">
        <w:rPr>
          <w:rFonts w:cs="Arial"/>
          <w:bCs/>
          <w:i/>
          <w:spacing w:val="-4"/>
          <w:lang w:val="es-PE"/>
        </w:rPr>
        <w:t xml:space="preserve"> 202</w:t>
      </w:r>
      <w:r w:rsidR="000D0247">
        <w:rPr>
          <w:rFonts w:cs="Arial"/>
          <w:bCs/>
          <w:i/>
          <w:spacing w:val="-4"/>
          <w:lang w:val="es-PE"/>
        </w:rPr>
        <w:t>4</w:t>
      </w:r>
    </w:p>
    <w:p w14:paraId="0E3B2FED" w14:textId="0F9CFA6A" w:rsidR="004D2917" w:rsidRPr="005B1586" w:rsidRDefault="004D2917" w:rsidP="004D2917">
      <w:pPr>
        <w:spacing w:before="120"/>
        <w:jc w:val="right"/>
        <w:rPr>
          <w:rFonts w:cs="Arial"/>
          <w:lang w:val="es-ES"/>
        </w:rPr>
      </w:pPr>
      <w:r w:rsidRPr="005B1586">
        <w:rPr>
          <w:rFonts w:cs="Arial"/>
          <w:lang w:val="es-ES"/>
        </w:rPr>
        <w:t>UNEP/CMS/ScC-SC</w:t>
      </w:r>
      <w:r w:rsidR="0019487A">
        <w:rPr>
          <w:rFonts w:cs="Arial"/>
          <w:lang w:val="es-ES"/>
        </w:rPr>
        <w:t>7</w:t>
      </w:r>
      <w:r w:rsidRPr="005B1586">
        <w:rPr>
          <w:rFonts w:cs="Arial"/>
          <w:lang w:val="es-ES"/>
        </w:rPr>
        <w:t>/Doc.</w:t>
      </w:r>
      <w:r w:rsidR="00547E71">
        <w:rPr>
          <w:rFonts w:cs="Arial"/>
          <w:lang w:val="es-ES"/>
        </w:rPr>
        <w:t>6.</w:t>
      </w:r>
      <w:r w:rsidR="0019355D">
        <w:rPr>
          <w:rFonts w:cs="Arial"/>
          <w:lang w:val="es-ES"/>
        </w:rPr>
        <w:t>1.5</w:t>
      </w:r>
    </w:p>
    <w:p w14:paraId="0FAA403D" w14:textId="77777777" w:rsidR="004D2917" w:rsidRPr="005B1586" w:rsidRDefault="004D2917" w:rsidP="004D2917">
      <w:pPr>
        <w:rPr>
          <w:rFonts w:cs="Arial"/>
          <w:lang w:val="es-ES"/>
        </w:rPr>
      </w:pPr>
    </w:p>
    <w:p w14:paraId="116F0CED" w14:textId="77777777" w:rsidR="004D2917" w:rsidRDefault="004D2917" w:rsidP="004D2917">
      <w:pPr>
        <w:rPr>
          <w:rFonts w:cs="Arial"/>
          <w:lang w:val="es-ES"/>
        </w:rPr>
      </w:pPr>
    </w:p>
    <w:p w14:paraId="6762FB95" w14:textId="7816C4A2" w:rsidR="000A0BCF" w:rsidRPr="000A0BCF" w:rsidRDefault="000B5685" w:rsidP="000A0BCF">
      <w:pPr>
        <w:widowControl w:val="0"/>
        <w:tabs>
          <w:tab w:val="left" w:pos="-720"/>
          <w:tab w:val="left" w:pos="310"/>
          <w:tab w:val="left" w:pos="835"/>
        </w:tabs>
        <w:spacing w:after="120"/>
        <w:ind w:left="-86" w:right="-360"/>
        <w:jc w:val="center"/>
        <w:outlineLvl w:val="1"/>
        <w:rPr>
          <w:rFonts w:eastAsia="Times New Roman" w:cs="Arial"/>
          <w:b/>
          <w:bCs/>
          <w:snapToGrid w:val="0"/>
          <w:lang w:val="es-ES"/>
        </w:rPr>
      </w:pPr>
      <w:r>
        <w:rPr>
          <w:rFonts w:eastAsia="Times New Roman" w:cs="Arial"/>
          <w:b/>
          <w:bCs/>
          <w:snapToGrid w:val="0"/>
          <w:lang w:val="es-ES"/>
        </w:rPr>
        <w:t>IMPLEMENTACIÓN</w:t>
      </w:r>
      <w:r w:rsidRPr="000B5685">
        <w:rPr>
          <w:rFonts w:eastAsia="Times New Roman" w:cs="Arial"/>
          <w:b/>
          <w:bCs/>
          <w:snapToGrid w:val="0"/>
          <w:lang w:val="es-ES"/>
        </w:rPr>
        <w:t xml:space="preserve"> DE LA RESOLUCIÓN 13.5 (REV.COP14) CMS DIRECTRICES INTERNACIONALES SOBRE CONTAMINACIÓN LUMÍNICA PARA ESPECIES MIGRATORIAS</w:t>
      </w:r>
    </w:p>
    <w:p w14:paraId="6E6C1469" w14:textId="77777777" w:rsidR="006D4BC2" w:rsidRDefault="000A0BCF" w:rsidP="000A0BCF">
      <w:pPr>
        <w:jc w:val="center"/>
        <w:rPr>
          <w:rFonts w:cs="Arial"/>
          <w:i/>
          <w:lang w:val="es-ES"/>
        </w:rPr>
      </w:pPr>
      <w:r w:rsidRPr="000A0BCF">
        <w:rPr>
          <w:rFonts w:cs="Arial"/>
          <w:i/>
          <w:lang w:val="es-ES"/>
        </w:rPr>
        <w:t>(</w:t>
      </w:r>
      <w:r w:rsidR="00CB75B6" w:rsidRPr="00CB75B6">
        <w:rPr>
          <w:rFonts w:cs="Arial"/>
          <w:i/>
          <w:lang w:val="es-ES"/>
        </w:rPr>
        <w:t xml:space="preserve">Preparado por Mark P. Simmonds, Consejero designado por la COP para </w:t>
      </w:r>
    </w:p>
    <w:p w14:paraId="5B5A75FE" w14:textId="3D653341" w:rsidR="000A0BCF" w:rsidRPr="000A0BCF" w:rsidRDefault="00CB75B6" w:rsidP="000A0BCF">
      <w:pPr>
        <w:jc w:val="center"/>
        <w:rPr>
          <w:rFonts w:cs="Arial"/>
          <w:i/>
          <w:lang w:val="es-ES"/>
        </w:rPr>
      </w:pPr>
      <w:r w:rsidRPr="00CB75B6">
        <w:rPr>
          <w:rFonts w:cs="Arial"/>
          <w:i/>
          <w:lang w:val="es-ES"/>
        </w:rPr>
        <w:t>Contaminación Marina)</w:t>
      </w:r>
    </w:p>
    <w:p w14:paraId="386D7C92" w14:textId="000F2421" w:rsidR="000A0BCF" w:rsidRPr="000A0BCF" w:rsidRDefault="000A0BCF" w:rsidP="000A0BCF">
      <w:pPr>
        <w:jc w:val="both"/>
        <w:rPr>
          <w:rFonts w:cs="Arial"/>
          <w:lang w:val="es-ES"/>
        </w:rPr>
      </w:pPr>
    </w:p>
    <w:p w14:paraId="5B50CB13" w14:textId="6008E92C" w:rsidR="000A0BCF" w:rsidRPr="000A0BCF" w:rsidRDefault="000A0BCF" w:rsidP="000A0BCF">
      <w:pPr>
        <w:jc w:val="both"/>
        <w:rPr>
          <w:rFonts w:cs="Arial"/>
          <w:lang w:val="es-ES"/>
        </w:rPr>
      </w:pPr>
    </w:p>
    <w:p w14:paraId="60E5ABDC" w14:textId="5FE9C141" w:rsidR="000A0BCF" w:rsidRDefault="004F4A05">
      <w:pPr>
        <w:rPr>
          <w:rFonts w:cs="Arial"/>
          <w:lang w:val="es-ES"/>
        </w:rPr>
      </w:pPr>
      <w:r w:rsidRPr="000A0BC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457159" wp14:editId="1C59BF8A">
                <wp:simplePos x="0" y="0"/>
                <wp:positionH relativeFrom="margin">
                  <wp:posOffset>1076325</wp:posOffset>
                </wp:positionH>
                <wp:positionV relativeFrom="margin">
                  <wp:posOffset>2618740</wp:posOffset>
                </wp:positionV>
                <wp:extent cx="4152900" cy="1562100"/>
                <wp:effectExtent l="0" t="0" r="19050" b="1905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7610" w14:textId="3E99C724" w:rsidR="000A0BCF" w:rsidRPr="004F4A05" w:rsidRDefault="000A0BCF" w:rsidP="000A0BCF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  <w:r w:rsidRPr="004F4A05">
                              <w:rPr>
                                <w:rFonts w:cs="Arial"/>
                                <w:lang w:val="es-ES"/>
                              </w:rPr>
                              <w:t>Resumen:</w:t>
                            </w:r>
                          </w:p>
                          <w:p w14:paraId="2950F5A4" w14:textId="77777777" w:rsidR="000A0BCF" w:rsidRPr="004F4A05" w:rsidRDefault="000A0BCF" w:rsidP="000A0BCF">
                            <w:pPr>
                              <w:rPr>
                                <w:rFonts w:cs="Arial"/>
                                <w:lang w:val="es-ES"/>
                              </w:rPr>
                            </w:pPr>
                          </w:p>
                          <w:p w14:paraId="21EC6667" w14:textId="722503DD" w:rsidR="000A0BCF" w:rsidRPr="004F4A05" w:rsidRDefault="004F4A05" w:rsidP="004F4A05">
                            <w:pPr>
                              <w:jc w:val="both"/>
                              <w:rPr>
                                <w:rFonts w:cs="Arial"/>
                                <w:lang w:val="es-ES"/>
                              </w:rPr>
                            </w:pPr>
                            <w:r w:rsidRPr="004F4A05">
                              <w:rPr>
                                <w:rFonts w:cs="Arial"/>
                                <w:lang w:val="es-ES"/>
                              </w:rPr>
                              <w:t>A partir de la Resolución 13.5 y de las Decisiones 14.221 y 14.222, se solicita al Comité del período de sesiones que estudie las recomendaciones aquí consideradas relativas a la difusión de las nuevas directrices sobre contaminación lumínica y a la facilitación de una consulta de expertos relacionada con posibles directrices futuras.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5715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4.75pt;margin-top:206.2pt;width:327pt;height:123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" strokeweight=".25pt">
                <v:textbox>
                  <w:txbxContent>
                    <w:p w14:paraId="1FAF7610" w14:textId="3E99C724" w:rsidR="000A0BCF" w:rsidRPr="004F4A05" w:rsidRDefault="000A0BCF" w:rsidP="000A0BCF">
                      <w:pPr>
                        <w:rPr>
                          <w:rFonts w:cs="Arial"/>
                          <w:lang w:val="es-ES"/>
                        </w:rPr>
                      </w:pPr>
                      <w:r w:rsidRPr="004F4A05">
                        <w:rPr>
                          <w:rFonts w:cs="Arial"/>
                          <w:lang w:val="es-ES"/>
                        </w:rPr>
                        <w:t>Resumen:</w:t>
                      </w:r>
                    </w:p>
                    <w:p w14:paraId="2950F5A4" w14:textId="77777777" w:rsidR="000A0BCF" w:rsidRPr="004F4A05" w:rsidRDefault="000A0BCF" w:rsidP="000A0BCF">
                      <w:pPr>
                        <w:rPr>
                          <w:rFonts w:cs="Arial"/>
                          <w:lang w:val="es-ES"/>
                        </w:rPr>
                      </w:pPr>
                    </w:p>
                    <w:p w14:paraId="21EC6667" w14:textId="722503DD" w:rsidR="000A0BCF" w:rsidRPr="004F4A05" w:rsidRDefault="004F4A05" w:rsidP="004F4A05">
                      <w:pPr>
                        <w:jc w:val="both"/>
                        <w:rPr>
                          <w:rFonts w:cs="Arial"/>
                          <w:lang w:val="es-ES"/>
                        </w:rPr>
                      </w:pPr>
                      <w:r w:rsidRPr="004F4A05">
                        <w:rPr>
                          <w:rFonts w:cs="Arial"/>
                          <w:lang w:val="es-ES"/>
                        </w:rPr>
                        <w:t>A partir de la Resolución 13.5 y de las Decisiones 14.221 y 14.222, se solicita al Comité del período de sesiones que estudie las recomendaciones aquí consideradas relativas a la difusión de las nuevas directrices sobre contaminación lumínica y a la facilitación de una consulta de expertos relacionada con posibles directrices futuras.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A0BCF">
        <w:rPr>
          <w:rFonts w:cs="Arial"/>
          <w:lang w:val="es-ES"/>
        </w:rPr>
        <w:br w:type="page"/>
      </w:r>
    </w:p>
    <w:p w14:paraId="31979DDD" w14:textId="77777777" w:rsidR="002438DB" w:rsidRPr="000A0BCF" w:rsidRDefault="002438DB" w:rsidP="002438DB">
      <w:pPr>
        <w:widowControl w:val="0"/>
        <w:tabs>
          <w:tab w:val="left" w:pos="-720"/>
          <w:tab w:val="left" w:pos="310"/>
          <w:tab w:val="left" w:pos="835"/>
        </w:tabs>
        <w:spacing w:after="120"/>
        <w:ind w:left="-86" w:right="-360"/>
        <w:jc w:val="center"/>
        <w:outlineLvl w:val="1"/>
        <w:rPr>
          <w:rFonts w:eastAsia="Times New Roman" w:cs="Arial"/>
          <w:b/>
          <w:bCs/>
          <w:snapToGrid w:val="0"/>
          <w:lang w:val="es-ES"/>
        </w:rPr>
      </w:pPr>
      <w:r>
        <w:rPr>
          <w:rFonts w:eastAsia="Times New Roman" w:cs="Arial"/>
          <w:b/>
          <w:bCs/>
          <w:snapToGrid w:val="0"/>
          <w:lang w:val="es-ES"/>
        </w:rPr>
        <w:lastRenderedPageBreak/>
        <w:t>IMPLEMENTACIÓN</w:t>
      </w:r>
      <w:r w:rsidRPr="000B5685">
        <w:rPr>
          <w:rFonts w:eastAsia="Times New Roman" w:cs="Arial"/>
          <w:b/>
          <w:bCs/>
          <w:snapToGrid w:val="0"/>
          <w:lang w:val="es-ES"/>
        </w:rPr>
        <w:t xml:space="preserve"> DE LA RESOLUCIÓN 13.5 (REV.COP14) CMS DIRECTRICES INTERNACIONALES SOBRE CONTAMINACIÓN LUMÍNICA PARA ESPECIES MIGRATORIAS</w:t>
      </w:r>
    </w:p>
    <w:p w14:paraId="2B8C64C2" w14:textId="69D0EDCC" w:rsidR="00F63975" w:rsidRDefault="00F63975" w:rsidP="004D2917">
      <w:pPr>
        <w:rPr>
          <w:rFonts w:cs="Arial"/>
          <w:lang w:val="es-ES"/>
        </w:rPr>
      </w:pPr>
    </w:p>
    <w:p w14:paraId="264282D0" w14:textId="77777777" w:rsidR="008F39A1" w:rsidRDefault="008F39A1" w:rsidP="004D2917">
      <w:pPr>
        <w:rPr>
          <w:rFonts w:cs="Arial"/>
          <w:lang w:val="es-ES"/>
        </w:rPr>
      </w:pPr>
    </w:p>
    <w:p w14:paraId="1F8103DA" w14:textId="2BC13CA1" w:rsidR="008F39A1" w:rsidRPr="008F39A1" w:rsidRDefault="008F39A1" w:rsidP="004D2917">
      <w:pPr>
        <w:rPr>
          <w:rFonts w:cs="Arial"/>
          <w:u w:val="single"/>
          <w:lang w:val="es-ES"/>
        </w:rPr>
      </w:pPr>
      <w:r w:rsidRPr="008F39A1">
        <w:rPr>
          <w:rFonts w:cs="Arial"/>
          <w:u w:val="single"/>
          <w:lang w:val="es-ES"/>
        </w:rPr>
        <w:t>Antecedentes</w:t>
      </w:r>
    </w:p>
    <w:p w14:paraId="38DCC1E6" w14:textId="77777777" w:rsidR="008F39A1" w:rsidRDefault="008F39A1" w:rsidP="004D2917">
      <w:pPr>
        <w:rPr>
          <w:rFonts w:cs="Arial"/>
          <w:lang w:val="es-ES"/>
        </w:rPr>
      </w:pPr>
    </w:p>
    <w:p w14:paraId="21D7D6B5" w14:textId="4A3B4572" w:rsidR="008F39A1" w:rsidRDefault="002F7553" w:rsidP="002F7553">
      <w:pPr>
        <w:pStyle w:val="ListParagraph"/>
        <w:numPr>
          <w:ilvl w:val="0"/>
          <w:numId w:val="4"/>
        </w:numPr>
        <w:ind w:left="540" w:hanging="540"/>
        <w:jc w:val="both"/>
        <w:rPr>
          <w:rFonts w:cs="Arial"/>
          <w:lang w:val="es-ES"/>
        </w:rPr>
      </w:pPr>
      <w:r w:rsidRPr="002F7553">
        <w:rPr>
          <w:rFonts w:cs="Arial"/>
          <w:lang w:val="es-ES"/>
        </w:rPr>
        <w:t>En la COP 14 se adoptaron nuevas Directrices Internacionales de la CMS sobre Contaminación Lumínica para Especies Migratorias, incluyendo Apéndices Técnicos relativos a Tortugas Marinas, Aves Marinas, Aves Playeras Migratorias, Aves Terrestres Migratorias y Murciélagos.</w:t>
      </w:r>
    </w:p>
    <w:p w14:paraId="129B296D" w14:textId="77777777" w:rsidR="00001086" w:rsidRDefault="00001086" w:rsidP="00001086">
      <w:pPr>
        <w:pStyle w:val="ListParagraph"/>
        <w:ind w:left="540"/>
        <w:jc w:val="both"/>
        <w:rPr>
          <w:rFonts w:cs="Arial"/>
          <w:lang w:val="es-ES"/>
        </w:rPr>
      </w:pPr>
    </w:p>
    <w:p w14:paraId="6F4D3CAF" w14:textId="07850C61" w:rsidR="007B26F7" w:rsidRDefault="00001086" w:rsidP="002F7553">
      <w:pPr>
        <w:pStyle w:val="ListParagraph"/>
        <w:numPr>
          <w:ilvl w:val="0"/>
          <w:numId w:val="4"/>
        </w:numPr>
        <w:ind w:left="540" w:hanging="540"/>
        <w:jc w:val="both"/>
        <w:rPr>
          <w:rFonts w:cs="Arial"/>
          <w:lang w:val="es-ES"/>
        </w:rPr>
      </w:pPr>
      <w:r w:rsidRPr="00001086">
        <w:rPr>
          <w:rFonts w:cs="Arial"/>
          <w:lang w:val="es-ES"/>
        </w:rPr>
        <w:t>Además, se aprobaron las siguientes decisiones (14.221 y 14.222):</w:t>
      </w:r>
    </w:p>
    <w:p w14:paraId="7F1AE842" w14:textId="77777777" w:rsidR="00174484" w:rsidRPr="00174484" w:rsidRDefault="00174484" w:rsidP="00174484">
      <w:pPr>
        <w:pStyle w:val="ListParagraph"/>
        <w:rPr>
          <w:rFonts w:cs="Arial"/>
          <w:lang w:val="es-ES"/>
        </w:rPr>
      </w:pPr>
    </w:p>
    <w:p w14:paraId="3D937BED" w14:textId="66E61F37" w:rsidR="00174484" w:rsidRPr="00174484" w:rsidRDefault="00174484" w:rsidP="00174484">
      <w:pPr>
        <w:keepNext/>
        <w:suppressAutoHyphens/>
        <w:ind w:left="720"/>
        <w:jc w:val="both"/>
        <w:outlineLvl w:val="6"/>
        <w:rPr>
          <w:rFonts w:cs="Arial"/>
          <w:b/>
          <w:bCs/>
          <w:i/>
          <w:iCs/>
          <w:sz w:val="20"/>
          <w:szCs w:val="20"/>
          <w:lang w:val="es-ES"/>
        </w:rPr>
      </w:pPr>
      <w:r w:rsidRPr="00174484">
        <w:rPr>
          <w:rFonts w:cs="Arial"/>
          <w:b/>
          <w:bCs/>
          <w:i/>
          <w:iCs/>
          <w:sz w:val="20"/>
          <w:szCs w:val="20"/>
          <w:lang w:val="es-ES"/>
        </w:rPr>
        <w:t>Decisión 14.221: Dirigida al Consejo Científi</w:t>
      </w:r>
      <w:r>
        <w:rPr>
          <w:rFonts w:cs="Arial"/>
          <w:b/>
          <w:bCs/>
          <w:i/>
          <w:iCs/>
          <w:sz w:val="20"/>
          <w:szCs w:val="20"/>
          <w:lang w:val="es-ES"/>
        </w:rPr>
        <w:t>co</w:t>
      </w:r>
    </w:p>
    <w:p w14:paraId="5E0603CB" w14:textId="77777777" w:rsidR="00174484" w:rsidRPr="00174484" w:rsidRDefault="00174484" w:rsidP="00174484">
      <w:pPr>
        <w:suppressAutoHyphens/>
        <w:ind w:left="720"/>
        <w:jc w:val="both"/>
        <w:rPr>
          <w:rFonts w:cs="Arial"/>
          <w:b/>
          <w:bCs/>
          <w:sz w:val="20"/>
          <w:szCs w:val="20"/>
          <w:lang w:val="es-ES"/>
        </w:rPr>
      </w:pPr>
    </w:p>
    <w:p w14:paraId="27CC74A4" w14:textId="6E4B41C9" w:rsidR="00174484" w:rsidRPr="00174484" w:rsidRDefault="005F2E93" w:rsidP="005F2E93">
      <w:pPr>
        <w:tabs>
          <w:tab w:val="left" w:pos="3435"/>
        </w:tabs>
        <w:ind w:left="720"/>
        <w:jc w:val="both"/>
        <w:rPr>
          <w:rFonts w:eastAsia="Calibri" w:cs="Arial"/>
          <w:i/>
          <w:iCs/>
          <w:color w:val="000000"/>
          <w:sz w:val="20"/>
          <w:szCs w:val="20"/>
          <w:lang w:val="es-ES"/>
        </w:rPr>
      </w:pPr>
      <w:r w:rsidRPr="005F2E93">
        <w:rPr>
          <w:rFonts w:eastAsia="Calibri" w:cs="Arial"/>
          <w:i/>
          <w:iCs/>
          <w:sz w:val="20"/>
          <w:szCs w:val="20"/>
          <w:lang w:val="es-ES"/>
        </w:rPr>
        <w:t>Se solicita al Consejo Científico que, con sujeción a la</w:t>
      </w:r>
      <w:r>
        <w:rPr>
          <w:rFonts w:eastAsia="Calibri" w:cs="Arial"/>
          <w:i/>
          <w:iCs/>
          <w:sz w:val="20"/>
          <w:szCs w:val="20"/>
          <w:lang w:val="es-ES"/>
        </w:rPr>
        <w:t xml:space="preserve"> </w:t>
      </w:r>
      <w:r w:rsidRPr="005F2E93">
        <w:rPr>
          <w:rFonts w:eastAsia="Calibri" w:cs="Arial"/>
          <w:i/>
          <w:iCs/>
          <w:sz w:val="20"/>
          <w:szCs w:val="20"/>
          <w:lang w:val="es-ES"/>
        </w:rPr>
        <w:t>disponibilidad de recursos, examine los temas en la Decisión</w:t>
      </w:r>
      <w:r>
        <w:rPr>
          <w:rFonts w:eastAsia="Calibri" w:cs="Arial"/>
          <w:i/>
          <w:iCs/>
          <w:sz w:val="20"/>
          <w:szCs w:val="20"/>
          <w:lang w:val="es-ES"/>
        </w:rPr>
        <w:t xml:space="preserve"> </w:t>
      </w:r>
      <w:r w:rsidRPr="005F2E93">
        <w:rPr>
          <w:rFonts w:eastAsia="Calibri" w:cs="Arial"/>
          <w:i/>
          <w:iCs/>
          <w:sz w:val="20"/>
          <w:szCs w:val="20"/>
          <w:lang w:val="es-ES"/>
        </w:rPr>
        <w:t>14.222 en la 7.a u 8.a</w:t>
      </w:r>
      <w:r>
        <w:rPr>
          <w:rFonts w:eastAsia="Calibri" w:cs="Arial"/>
          <w:i/>
          <w:iCs/>
          <w:sz w:val="20"/>
          <w:szCs w:val="20"/>
          <w:lang w:val="es-ES"/>
        </w:rPr>
        <w:t xml:space="preserve"> </w:t>
      </w:r>
      <w:r w:rsidRPr="005F2E93">
        <w:rPr>
          <w:rFonts w:eastAsia="Calibri" w:cs="Arial"/>
          <w:i/>
          <w:iCs/>
          <w:sz w:val="20"/>
          <w:szCs w:val="20"/>
          <w:lang w:val="es-ES"/>
        </w:rPr>
        <w:t>reunión del Comité del Período de</w:t>
      </w:r>
      <w:r>
        <w:rPr>
          <w:rFonts w:eastAsia="Calibri" w:cs="Arial"/>
          <w:i/>
          <w:iCs/>
          <w:sz w:val="20"/>
          <w:szCs w:val="20"/>
          <w:lang w:val="es-ES"/>
        </w:rPr>
        <w:t xml:space="preserve"> </w:t>
      </w:r>
      <w:r w:rsidRPr="005F2E93">
        <w:rPr>
          <w:rFonts w:eastAsia="Calibri" w:cs="Arial"/>
          <w:i/>
          <w:iCs/>
          <w:sz w:val="20"/>
          <w:szCs w:val="20"/>
          <w:lang w:val="es-ES"/>
        </w:rPr>
        <w:t>Sesiones, en particular nuevas posibles pruebas de los</w:t>
      </w:r>
      <w:r>
        <w:rPr>
          <w:rFonts w:eastAsia="Calibri" w:cs="Arial"/>
          <w:i/>
          <w:iCs/>
          <w:sz w:val="20"/>
          <w:szCs w:val="20"/>
          <w:lang w:val="es-ES"/>
        </w:rPr>
        <w:t xml:space="preserve"> </w:t>
      </w:r>
      <w:r w:rsidRPr="005F2E93">
        <w:rPr>
          <w:rFonts w:eastAsia="Calibri" w:cs="Arial"/>
          <w:i/>
          <w:iCs/>
          <w:sz w:val="20"/>
          <w:szCs w:val="20"/>
          <w:lang w:val="es-ES"/>
        </w:rPr>
        <w:t>impactos y las novedades al respecto de los métodos de</w:t>
      </w:r>
      <w:r>
        <w:rPr>
          <w:rFonts w:eastAsia="Calibri" w:cs="Arial"/>
          <w:i/>
          <w:iCs/>
          <w:sz w:val="20"/>
          <w:szCs w:val="20"/>
          <w:lang w:val="es-ES"/>
        </w:rPr>
        <w:t xml:space="preserve"> </w:t>
      </w:r>
      <w:r w:rsidRPr="005F2E93">
        <w:rPr>
          <w:rFonts w:eastAsia="Calibri" w:cs="Arial"/>
          <w:i/>
          <w:iCs/>
          <w:sz w:val="20"/>
          <w:szCs w:val="20"/>
          <w:lang w:val="es-ES"/>
        </w:rPr>
        <w:t>mitigación, y que proporcione recomendaciones para la</w:t>
      </w:r>
      <w:r>
        <w:rPr>
          <w:rFonts w:eastAsia="Calibri" w:cs="Arial"/>
          <w:i/>
          <w:iCs/>
          <w:sz w:val="20"/>
          <w:szCs w:val="20"/>
          <w:lang w:val="es-ES"/>
        </w:rPr>
        <w:t xml:space="preserve"> </w:t>
      </w:r>
      <w:r w:rsidRPr="005F2E93">
        <w:rPr>
          <w:rFonts w:eastAsia="Calibri" w:cs="Arial"/>
          <w:i/>
          <w:iCs/>
          <w:sz w:val="20"/>
          <w:szCs w:val="20"/>
          <w:lang w:val="es-ES"/>
        </w:rPr>
        <w:t>COP15 y asesoramiento a la Secretaría en la implementación</w:t>
      </w:r>
      <w:r>
        <w:rPr>
          <w:rFonts w:eastAsia="Calibri" w:cs="Arial"/>
          <w:i/>
          <w:iCs/>
          <w:sz w:val="20"/>
          <w:szCs w:val="20"/>
          <w:lang w:val="es-ES"/>
        </w:rPr>
        <w:t xml:space="preserve"> </w:t>
      </w:r>
      <w:r w:rsidRPr="005F2E93">
        <w:rPr>
          <w:rFonts w:eastAsia="Calibri" w:cs="Arial"/>
          <w:i/>
          <w:iCs/>
          <w:sz w:val="20"/>
          <w:szCs w:val="20"/>
          <w:lang w:val="es-ES"/>
        </w:rPr>
        <w:t>de la Decisión 14.222.</w:t>
      </w:r>
    </w:p>
    <w:p w14:paraId="69A36EA6" w14:textId="77777777" w:rsidR="00174484" w:rsidRPr="00174484" w:rsidRDefault="00174484" w:rsidP="00174484">
      <w:pPr>
        <w:tabs>
          <w:tab w:val="left" w:pos="3435"/>
        </w:tabs>
        <w:jc w:val="both"/>
        <w:rPr>
          <w:rFonts w:eastAsia="Calibri" w:cs="Arial"/>
          <w:i/>
          <w:iCs/>
          <w:color w:val="000000"/>
          <w:sz w:val="20"/>
          <w:szCs w:val="20"/>
          <w:lang w:val="es-ES"/>
        </w:rPr>
      </w:pPr>
    </w:p>
    <w:p w14:paraId="3DD8C38D" w14:textId="58C0BF1F" w:rsidR="00174484" w:rsidRPr="00174484" w:rsidRDefault="00174484" w:rsidP="00174484">
      <w:pPr>
        <w:keepNext/>
        <w:suppressAutoHyphens/>
        <w:ind w:left="720"/>
        <w:outlineLvl w:val="5"/>
        <w:rPr>
          <w:rFonts w:cs="Arial"/>
          <w:b/>
          <w:bCs/>
          <w:i/>
          <w:iCs/>
          <w:sz w:val="20"/>
          <w:szCs w:val="20"/>
          <w:lang w:val="es-ES"/>
        </w:rPr>
      </w:pPr>
      <w:r w:rsidRPr="00174484">
        <w:rPr>
          <w:rFonts w:cs="Arial"/>
          <w:b/>
          <w:bCs/>
          <w:i/>
          <w:iCs/>
          <w:sz w:val="20"/>
          <w:szCs w:val="20"/>
          <w:lang w:val="es-ES"/>
        </w:rPr>
        <w:t>Decisi</w:t>
      </w:r>
      <w:r w:rsidR="005F2E93" w:rsidRPr="002457FB">
        <w:rPr>
          <w:rFonts w:cs="Arial"/>
          <w:b/>
          <w:bCs/>
          <w:i/>
          <w:iCs/>
          <w:sz w:val="20"/>
          <w:szCs w:val="20"/>
          <w:lang w:val="es-ES"/>
        </w:rPr>
        <w:t>ó</w:t>
      </w:r>
      <w:r w:rsidRPr="00174484">
        <w:rPr>
          <w:rFonts w:cs="Arial"/>
          <w:b/>
          <w:bCs/>
          <w:i/>
          <w:iCs/>
          <w:sz w:val="20"/>
          <w:szCs w:val="20"/>
          <w:lang w:val="es-ES"/>
        </w:rPr>
        <w:t xml:space="preserve">n 14.222: </w:t>
      </w:r>
      <w:r w:rsidR="005F2E93" w:rsidRPr="002457FB">
        <w:rPr>
          <w:rFonts w:cs="Arial"/>
          <w:b/>
          <w:bCs/>
          <w:i/>
          <w:iCs/>
          <w:sz w:val="20"/>
          <w:szCs w:val="20"/>
          <w:lang w:val="es-ES"/>
        </w:rPr>
        <w:t>Dirigida</w:t>
      </w:r>
      <w:r w:rsidR="002457FB" w:rsidRPr="002457FB">
        <w:rPr>
          <w:rFonts w:cs="Arial"/>
          <w:b/>
          <w:bCs/>
          <w:i/>
          <w:iCs/>
          <w:sz w:val="20"/>
          <w:szCs w:val="20"/>
          <w:lang w:val="es-ES"/>
        </w:rPr>
        <w:t xml:space="preserve"> a la Secretarí</w:t>
      </w:r>
      <w:r w:rsidR="002457FB">
        <w:rPr>
          <w:rFonts w:cs="Arial"/>
          <w:b/>
          <w:bCs/>
          <w:i/>
          <w:iCs/>
          <w:sz w:val="20"/>
          <w:szCs w:val="20"/>
          <w:lang w:val="es-ES"/>
        </w:rPr>
        <w:t>a</w:t>
      </w:r>
    </w:p>
    <w:p w14:paraId="3FD2CB9E" w14:textId="77777777" w:rsidR="00174484" w:rsidRPr="00174484" w:rsidRDefault="00174484" w:rsidP="00174484">
      <w:pPr>
        <w:suppressAutoHyphens/>
        <w:ind w:left="720"/>
        <w:rPr>
          <w:rFonts w:cs="Arial"/>
          <w:b/>
          <w:bCs/>
          <w:i/>
          <w:iCs/>
          <w:sz w:val="20"/>
          <w:szCs w:val="20"/>
          <w:lang w:val="es-ES"/>
        </w:rPr>
      </w:pPr>
    </w:p>
    <w:p w14:paraId="14DA4C9C" w14:textId="77777777" w:rsidR="00174484" w:rsidRPr="00FA560D" w:rsidRDefault="00174484" w:rsidP="00174484">
      <w:pPr>
        <w:suppressAutoHyphens/>
        <w:ind w:left="720"/>
        <w:rPr>
          <w:rFonts w:eastAsia="Calibri" w:cs="Arial"/>
          <w:b/>
          <w:bCs/>
          <w:i/>
          <w:iCs/>
          <w:sz w:val="20"/>
          <w:szCs w:val="20"/>
          <w:lang w:val="es-ES"/>
        </w:rPr>
      </w:pPr>
      <w:r w:rsidRPr="00FA560D">
        <w:rPr>
          <w:rFonts w:eastAsia="Calibri" w:cs="Arial"/>
          <w:i/>
          <w:iCs/>
          <w:sz w:val="20"/>
          <w:szCs w:val="20"/>
          <w:lang w:val="es-ES"/>
        </w:rPr>
        <w:t>The Secretariat shall:</w:t>
      </w:r>
    </w:p>
    <w:p w14:paraId="15B9B8D8" w14:textId="77777777" w:rsidR="00174484" w:rsidRPr="00FA560D" w:rsidRDefault="00174484" w:rsidP="00174484">
      <w:pPr>
        <w:suppressAutoHyphens/>
        <w:ind w:left="1170" w:hanging="450"/>
        <w:rPr>
          <w:rFonts w:eastAsia="Calibri" w:cs="Arial"/>
          <w:i/>
          <w:iCs/>
          <w:sz w:val="20"/>
          <w:szCs w:val="20"/>
          <w:lang w:val="es-ES"/>
        </w:rPr>
      </w:pPr>
    </w:p>
    <w:p w14:paraId="10F4E47A" w14:textId="6D77C08E" w:rsidR="00174484" w:rsidRDefault="002D14C2" w:rsidP="00A4258C">
      <w:pPr>
        <w:widowControl w:val="0"/>
        <w:numPr>
          <w:ilvl w:val="0"/>
          <w:numId w:val="5"/>
        </w:numPr>
        <w:suppressAutoHyphens/>
        <w:autoSpaceDE w:val="0"/>
        <w:ind w:left="1080"/>
        <w:jc w:val="both"/>
        <w:rPr>
          <w:rFonts w:eastAsia="Calibri" w:cs="Arial"/>
          <w:i/>
          <w:iCs/>
          <w:color w:val="000000"/>
          <w:sz w:val="20"/>
          <w:szCs w:val="20"/>
          <w:lang w:val="es-ES"/>
        </w:rPr>
      </w:pPr>
      <w:r w:rsidRPr="002D14C2">
        <w:rPr>
          <w:rFonts w:eastAsia="Calibri" w:cs="Arial"/>
          <w:i/>
          <w:iCs/>
          <w:color w:val="000000"/>
          <w:sz w:val="20"/>
          <w:szCs w:val="20"/>
          <w:lang w:val="es-ES"/>
        </w:rPr>
        <w:t>con sujeción a la disponibilidad de recursos, considerar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2D14C2">
        <w:rPr>
          <w:rFonts w:eastAsia="Calibri" w:cs="Arial"/>
          <w:i/>
          <w:iCs/>
          <w:color w:val="000000"/>
          <w:sz w:val="20"/>
          <w:szCs w:val="20"/>
          <w:lang w:val="es-ES"/>
        </w:rPr>
        <w:t>la preparación de anexos adicionales para las Directrices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2D14C2">
        <w:rPr>
          <w:rFonts w:eastAsia="Calibri" w:cs="Arial"/>
          <w:i/>
          <w:iCs/>
          <w:color w:val="000000"/>
          <w:sz w:val="20"/>
          <w:szCs w:val="20"/>
          <w:lang w:val="es-ES"/>
        </w:rPr>
        <w:t>internacionales de la CMS sobre contaminación lumínica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2D14C2">
        <w:rPr>
          <w:rFonts w:eastAsia="Calibri" w:cs="Arial"/>
          <w:i/>
          <w:iCs/>
          <w:color w:val="000000"/>
          <w:sz w:val="20"/>
          <w:szCs w:val="20"/>
          <w:lang w:val="es-ES"/>
        </w:rPr>
        <w:t>para las especies migratorias, para su adopción por la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2D14C2">
        <w:rPr>
          <w:rFonts w:eastAsia="Calibri" w:cs="Arial"/>
          <w:i/>
          <w:iCs/>
          <w:color w:val="000000"/>
          <w:sz w:val="20"/>
          <w:szCs w:val="20"/>
          <w:lang w:val="es-ES"/>
        </w:rPr>
        <w:t>COP15 al respecto de cómo evitar eficazmente y mitigar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2D14C2">
        <w:rPr>
          <w:rFonts w:eastAsia="Calibri" w:cs="Arial"/>
          <w:i/>
          <w:iCs/>
          <w:color w:val="000000"/>
          <w:sz w:val="20"/>
          <w:szCs w:val="20"/>
          <w:lang w:val="es-ES"/>
        </w:rPr>
        <w:t>los efectos indirectos y directos de la contaminación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2D14C2">
        <w:rPr>
          <w:rFonts w:eastAsia="Calibri" w:cs="Arial"/>
          <w:i/>
          <w:iCs/>
          <w:color w:val="000000"/>
          <w:sz w:val="20"/>
          <w:szCs w:val="20"/>
          <w:lang w:val="es-ES"/>
        </w:rPr>
        <w:t>lumínica para aquellos taxones que aún no está</w:t>
      </w:r>
      <w:r w:rsidR="00F812EC"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="00F812EC" w:rsidRPr="00F812EC">
        <w:rPr>
          <w:rFonts w:eastAsia="Calibri" w:cs="Arial"/>
          <w:i/>
          <w:iCs/>
          <w:color w:val="000000"/>
          <w:sz w:val="20"/>
          <w:szCs w:val="20"/>
          <w:lang w:val="es-ES"/>
        </w:rPr>
        <w:t>contemplados en las directrices, como los peces,</w:t>
      </w:r>
      <w:r w:rsidR="00F812EC"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="00F812EC" w:rsidRPr="00F812EC">
        <w:rPr>
          <w:rFonts w:eastAsia="Calibri" w:cs="Arial"/>
          <w:i/>
          <w:iCs/>
          <w:color w:val="000000"/>
          <w:sz w:val="20"/>
          <w:szCs w:val="20"/>
          <w:lang w:val="es-ES"/>
        </w:rPr>
        <w:t>considerando también otras orientaciones existentes</w:t>
      </w:r>
      <w:r w:rsidR="00F812EC"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="00F812EC" w:rsidRPr="00F812EC">
        <w:rPr>
          <w:rFonts w:eastAsia="Calibri" w:cs="Arial"/>
          <w:i/>
          <w:iCs/>
          <w:color w:val="000000"/>
          <w:sz w:val="20"/>
          <w:szCs w:val="20"/>
          <w:lang w:val="es-ES"/>
        </w:rPr>
        <w:t>como pertinentes</w:t>
      </w:r>
      <w:r w:rsidR="00C83847"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; </w:t>
      </w:r>
    </w:p>
    <w:p w14:paraId="050BF20C" w14:textId="77777777" w:rsidR="00A4258C" w:rsidRDefault="00A4258C" w:rsidP="00A4258C">
      <w:pPr>
        <w:widowControl w:val="0"/>
        <w:suppressAutoHyphens/>
        <w:autoSpaceDE w:val="0"/>
        <w:ind w:left="1080"/>
        <w:jc w:val="both"/>
        <w:rPr>
          <w:rFonts w:eastAsia="Calibri" w:cs="Arial"/>
          <w:i/>
          <w:iCs/>
          <w:color w:val="000000"/>
          <w:sz w:val="20"/>
          <w:szCs w:val="20"/>
          <w:lang w:val="es-ES"/>
        </w:rPr>
      </w:pPr>
    </w:p>
    <w:p w14:paraId="27E06E4A" w14:textId="780DD5DD" w:rsidR="00C83847" w:rsidRDefault="00C83847" w:rsidP="00A4258C">
      <w:pPr>
        <w:widowControl w:val="0"/>
        <w:numPr>
          <w:ilvl w:val="0"/>
          <w:numId w:val="5"/>
        </w:numPr>
        <w:suppressAutoHyphens/>
        <w:autoSpaceDE w:val="0"/>
        <w:ind w:left="1080"/>
        <w:jc w:val="both"/>
        <w:rPr>
          <w:rFonts w:eastAsia="Calibri" w:cs="Arial"/>
          <w:i/>
          <w:iCs/>
          <w:color w:val="000000"/>
          <w:sz w:val="20"/>
          <w:szCs w:val="20"/>
          <w:lang w:val="es-ES"/>
        </w:rPr>
      </w:pPr>
      <w:r w:rsidRPr="00C83847">
        <w:rPr>
          <w:rFonts w:eastAsia="Calibri" w:cs="Arial"/>
          <w:i/>
          <w:iCs/>
          <w:color w:val="000000"/>
          <w:sz w:val="20"/>
          <w:szCs w:val="20"/>
          <w:lang w:val="es-ES"/>
        </w:rPr>
        <w:t>difundir las Directrices internacionales de la CMS sobre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C83847">
        <w:rPr>
          <w:rFonts w:eastAsia="Calibri" w:cs="Arial"/>
          <w:i/>
          <w:iCs/>
          <w:color w:val="000000"/>
          <w:sz w:val="20"/>
          <w:szCs w:val="20"/>
          <w:lang w:val="es-ES"/>
        </w:rPr>
        <w:t>contaminación lumínica para las especies migratorias de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C83847">
        <w:rPr>
          <w:rFonts w:eastAsia="Calibri" w:cs="Arial"/>
          <w:i/>
          <w:iCs/>
          <w:color w:val="000000"/>
          <w:sz w:val="20"/>
          <w:szCs w:val="20"/>
          <w:lang w:val="es-ES"/>
        </w:rPr>
        <w:t>forma amplia, incluyendo el resto de acuerdos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C83847">
        <w:rPr>
          <w:rFonts w:eastAsia="Calibri" w:cs="Arial"/>
          <w:i/>
          <w:iCs/>
          <w:color w:val="000000"/>
          <w:sz w:val="20"/>
          <w:szCs w:val="20"/>
          <w:lang w:val="es-ES"/>
        </w:rPr>
        <w:t>medioambientales multilaterales, los acuerdos y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C83847">
        <w:rPr>
          <w:rFonts w:eastAsia="Calibri" w:cs="Arial"/>
          <w:i/>
          <w:iCs/>
          <w:color w:val="000000"/>
          <w:sz w:val="20"/>
          <w:szCs w:val="20"/>
          <w:lang w:val="es-ES"/>
        </w:rPr>
        <w:t>programas regionales, las organizaciones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C83847">
        <w:rPr>
          <w:rFonts w:eastAsia="Calibri" w:cs="Arial"/>
          <w:i/>
          <w:iCs/>
          <w:color w:val="000000"/>
          <w:sz w:val="20"/>
          <w:szCs w:val="20"/>
          <w:lang w:val="es-ES"/>
        </w:rPr>
        <w:t>intergubernamentales, las Partes y otras partes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C83847">
        <w:rPr>
          <w:rFonts w:eastAsia="Calibri" w:cs="Arial"/>
          <w:i/>
          <w:iCs/>
          <w:color w:val="000000"/>
          <w:sz w:val="20"/>
          <w:szCs w:val="20"/>
          <w:lang w:val="es-ES"/>
        </w:rPr>
        <w:t>interesadas; y</w:t>
      </w:r>
    </w:p>
    <w:p w14:paraId="42A2435F" w14:textId="77777777" w:rsidR="00A4258C" w:rsidRDefault="00A4258C" w:rsidP="00A4258C">
      <w:pPr>
        <w:widowControl w:val="0"/>
        <w:suppressAutoHyphens/>
        <w:autoSpaceDE w:val="0"/>
        <w:jc w:val="both"/>
        <w:rPr>
          <w:rFonts w:eastAsia="Calibri" w:cs="Arial"/>
          <w:i/>
          <w:iCs/>
          <w:color w:val="000000"/>
          <w:sz w:val="20"/>
          <w:szCs w:val="20"/>
          <w:lang w:val="es-ES"/>
        </w:rPr>
      </w:pPr>
    </w:p>
    <w:p w14:paraId="383AE71B" w14:textId="106436E9" w:rsidR="00C83847" w:rsidRPr="00174484" w:rsidRDefault="00A4258C" w:rsidP="00A4258C">
      <w:pPr>
        <w:widowControl w:val="0"/>
        <w:numPr>
          <w:ilvl w:val="0"/>
          <w:numId w:val="5"/>
        </w:numPr>
        <w:suppressAutoHyphens/>
        <w:autoSpaceDE w:val="0"/>
        <w:ind w:left="1080"/>
        <w:jc w:val="both"/>
        <w:rPr>
          <w:rFonts w:eastAsia="Calibri" w:cs="Arial"/>
          <w:i/>
          <w:iCs/>
          <w:color w:val="000000"/>
          <w:sz w:val="20"/>
          <w:szCs w:val="20"/>
          <w:lang w:val="es-ES"/>
        </w:rPr>
      </w:pPr>
      <w:r w:rsidRPr="00A4258C">
        <w:rPr>
          <w:rFonts w:eastAsia="Calibri" w:cs="Arial"/>
          <w:i/>
          <w:iCs/>
          <w:color w:val="000000"/>
          <w:sz w:val="20"/>
          <w:szCs w:val="20"/>
          <w:lang w:val="es-ES"/>
        </w:rPr>
        <w:t>con sujeción a la disponibilidad de recursos, apoyar a las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A4258C">
        <w:rPr>
          <w:rFonts w:eastAsia="Calibri" w:cs="Arial"/>
          <w:i/>
          <w:iCs/>
          <w:color w:val="000000"/>
          <w:sz w:val="20"/>
          <w:szCs w:val="20"/>
          <w:lang w:val="es-ES"/>
        </w:rPr>
        <w:t>Partes y partes interesadas en la implementación de las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A4258C">
        <w:rPr>
          <w:rFonts w:eastAsia="Calibri" w:cs="Arial"/>
          <w:i/>
          <w:iCs/>
          <w:color w:val="000000"/>
          <w:sz w:val="20"/>
          <w:szCs w:val="20"/>
          <w:lang w:val="es-ES"/>
        </w:rPr>
        <w:t>Directrices internacionales de la CMS sobre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A4258C">
        <w:rPr>
          <w:rFonts w:eastAsia="Calibri" w:cs="Arial"/>
          <w:i/>
          <w:iCs/>
          <w:color w:val="000000"/>
          <w:sz w:val="20"/>
          <w:szCs w:val="20"/>
          <w:lang w:val="es-ES"/>
        </w:rPr>
        <w:t>contaminación lumínica para las especies migratorias, a</w:t>
      </w:r>
      <w:r>
        <w:rPr>
          <w:rFonts w:eastAsia="Calibri" w:cs="Arial"/>
          <w:i/>
          <w:iCs/>
          <w:color w:val="000000"/>
          <w:sz w:val="20"/>
          <w:szCs w:val="20"/>
          <w:lang w:val="es-ES"/>
        </w:rPr>
        <w:t xml:space="preserve"> </w:t>
      </w:r>
      <w:r w:rsidRPr="00A4258C">
        <w:rPr>
          <w:rFonts w:eastAsia="Calibri" w:cs="Arial"/>
          <w:i/>
          <w:iCs/>
          <w:color w:val="000000"/>
          <w:sz w:val="20"/>
          <w:szCs w:val="20"/>
          <w:lang w:val="es-ES"/>
        </w:rPr>
        <w:t>través de seminarios web y otras actividades.</w:t>
      </w:r>
    </w:p>
    <w:p w14:paraId="1DEDE407" w14:textId="77777777" w:rsidR="00174484" w:rsidRPr="00174484" w:rsidRDefault="00174484" w:rsidP="00174484">
      <w:pPr>
        <w:suppressAutoHyphens/>
        <w:ind w:left="1170" w:hanging="450"/>
        <w:rPr>
          <w:rFonts w:eastAsia="Calibri" w:cs="Arial"/>
          <w:i/>
          <w:iCs/>
          <w:sz w:val="20"/>
          <w:szCs w:val="20"/>
          <w:lang w:val="es-ES"/>
        </w:rPr>
      </w:pPr>
    </w:p>
    <w:p w14:paraId="7C13E258" w14:textId="77777777" w:rsidR="00D710C3" w:rsidRPr="00D710C3" w:rsidRDefault="00D710C3" w:rsidP="00D710C3">
      <w:pPr>
        <w:pStyle w:val="ListParagraph"/>
        <w:ind w:left="0"/>
        <w:jc w:val="both"/>
        <w:rPr>
          <w:rFonts w:cs="Arial"/>
          <w:u w:val="single"/>
          <w:lang w:val="es-ES"/>
        </w:rPr>
      </w:pPr>
      <w:r w:rsidRPr="00D710C3">
        <w:rPr>
          <w:rFonts w:cs="Arial"/>
          <w:u w:val="single"/>
          <w:lang w:val="es-ES"/>
        </w:rPr>
        <w:t xml:space="preserve">Acciones posteriores </w:t>
      </w:r>
    </w:p>
    <w:p w14:paraId="21DF39D7" w14:textId="77777777" w:rsidR="00D710C3" w:rsidRPr="00D710C3" w:rsidRDefault="00D710C3" w:rsidP="00D710C3">
      <w:pPr>
        <w:pStyle w:val="ListParagraph"/>
        <w:ind w:left="540"/>
        <w:jc w:val="both"/>
        <w:rPr>
          <w:rFonts w:cs="Arial"/>
          <w:lang w:val="es-ES"/>
        </w:rPr>
      </w:pPr>
    </w:p>
    <w:p w14:paraId="37E59F3E" w14:textId="060857A9" w:rsidR="00174484" w:rsidRDefault="00D710C3" w:rsidP="00205A89">
      <w:pPr>
        <w:pStyle w:val="ListParagraph"/>
        <w:numPr>
          <w:ilvl w:val="0"/>
          <w:numId w:val="4"/>
        </w:numPr>
        <w:ind w:left="540" w:hanging="540"/>
        <w:jc w:val="both"/>
        <w:rPr>
          <w:rFonts w:cs="Arial"/>
          <w:lang w:val="es-ES"/>
        </w:rPr>
      </w:pPr>
      <w:r w:rsidRPr="00D710C3">
        <w:rPr>
          <w:rFonts w:cs="Arial"/>
          <w:lang w:val="es-ES"/>
        </w:rPr>
        <w:t>Ya se han terminado las traducciones de este extenso documento y se han añadido una portada y los agradecimientos correspondientes. Por lo tanto, las directrices ya están disponibles para su difusión.</w:t>
      </w:r>
    </w:p>
    <w:p w14:paraId="0E946CFD" w14:textId="77777777" w:rsidR="00CC3531" w:rsidRDefault="00CC3531" w:rsidP="00CC3531">
      <w:pPr>
        <w:pStyle w:val="ListParagraph"/>
        <w:ind w:left="540"/>
        <w:jc w:val="both"/>
        <w:rPr>
          <w:rFonts w:cs="Arial"/>
          <w:lang w:val="es-ES"/>
        </w:rPr>
      </w:pPr>
    </w:p>
    <w:p w14:paraId="3C34FD6A" w14:textId="77777777" w:rsidR="00CF7017" w:rsidRPr="007E60A8" w:rsidRDefault="00CF7017" w:rsidP="00CF7017">
      <w:pPr>
        <w:pStyle w:val="ListParagraph"/>
        <w:ind w:left="540" w:hanging="540"/>
        <w:jc w:val="both"/>
        <w:rPr>
          <w:rFonts w:cs="Arial"/>
          <w:b/>
          <w:bCs/>
          <w:i/>
          <w:iCs/>
          <w:lang w:val="es-ES"/>
        </w:rPr>
      </w:pPr>
      <w:r w:rsidRPr="007E60A8">
        <w:rPr>
          <w:rFonts w:cs="Arial"/>
          <w:b/>
          <w:bCs/>
          <w:i/>
          <w:iCs/>
          <w:lang w:val="es-ES"/>
        </w:rPr>
        <w:t xml:space="preserve">Recomendaciones al Consejo Científico </w:t>
      </w:r>
    </w:p>
    <w:p w14:paraId="5451CA3D" w14:textId="620C59B8" w:rsidR="00CF7017" w:rsidRPr="00CF7017" w:rsidRDefault="00CF7017" w:rsidP="00CF7017">
      <w:pPr>
        <w:jc w:val="both"/>
        <w:rPr>
          <w:rFonts w:cs="Arial"/>
          <w:lang w:val="es-ES"/>
        </w:rPr>
      </w:pPr>
    </w:p>
    <w:p w14:paraId="1ACC31AD" w14:textId="3401984A" w:rsidR="00CC3531" w:rsidRDefault="00CF7017" w:rsidP="00205A89">
      <w:pPr>
        <w:pStyle w:val="ListParagraph"/>
        <w:numPr>
          <w:ilvl w:val="0"/>
          <w:numId w:val="4"/>
        </w:numPr>
        <w:ind w:left="540" w:hanging="540"/>
        <w:jc w:val="both"/>
        <w:rPr>
          <w:rFonts w:cs="Arial"/>
          <w:lang w:val="es-ES"/>
        </w:rPr>
      </w:pPr>
      <w:r w:rsidRPr="00CF7017">
        <w:rPr>
          <w:rFonts w:cs="Arial"/>
          <w:lang w:val="es-ES"/>
        </w:rPr>
        <w:t>Teniendo en cuenta que se reunió un equipo internacional ad hoc de expertos para ayudar a desarrollar las Directrices y que durante ese proceso muchos indicaron su voluntad de seguir ayudando a la CMS con este tema, se sugiere que se celebre una reunión en línea para consultar con este equipo y buscar su apoyo para</w:t>
      </w:r>
    </w:p>
    <w:p w14:paraId="7AD5F290" w14:textId="77777777" w:rsidR="00205A89" w:rsidRDefault="00205A89" w:rsidP="006D5133">
      <w:pPr>
        <w:ind w:left="1080" w:hanging="540"/>
        <w:jc w:val="both"/>
        <w:rPr>
          <w:rFonts w:cs="Arial"/>
          <w:lang w:val="es-ES"/>
        </w:rPr>
      </w:pPr>
    </w:p>
    <w:p w14:paraId="3655E5AD" w14:textId="0AC546D7" w:rsidR="006D5133" w:rsidRPr="006D5133" w:rsidRDefault="006D5133" w:rsidP="006D5133">
      <w:pPr>
        <w:pStyle w:val="ListParagraph"/>
        <w:numPr>
          <w:ilvl w:val="0"/>
          <w:numId w:val="6"/>
        </w:numPr>
        <w:ind w:left="1080" w:hanging="540"/>
        <w:jc w:val="both"/>
        <w:rPr>
          <w:rFonts w:cs="Arial"/>
          <w:lang w:val="es-ES"/>
        </w:rPr>
      </w:pPr>
      <w:r w:rsidRPr="006D5133">
        <w:rPr>
          <w:rFonts w:cs="Arial"/>
          <w:lang w:val="es-ES"/>
        </w:rPr>
        <w:t xml:space="preserve">la difusión de las directrices; y </w:t>
      </w:r>
    </w:p>
    <w:p w14:paraId="1858DF56" w14:textId="77777777" w:rsidR="006D5133" w:rsidRPr="006D5133" w:rsidRDefault="006D5133" w:rsidP="006D5133">
      <w:pPr>
        <w:ind w:left="1080" w:hanging="540"/>
        <w:jc w:val="both"/>
        <w:rPr>
          <w:rFonts w:cs="Arial"/>
          <w:lang w:val="es-ES"/>
        </w:rPr>
      </w:pPr>
    </w:p>
    <w:p w14:paraId="5645BAD3" w14:textId="0E6E4E37" w:rsidR="00205A89" w:rsidRPr="006D5133" w:rsidRDefault="00A1208A" w:rsidP="006D5133">
      <w:pPr>
        <w:pStyle w:val="ListParagraph"/>
        <w:numPr>
          <w:ilvl w:val="0"/>
          <w:numId w:val="6"/>
        </w:numPr>
        <w:ind w:left="1080" w:hanging="540"/>
        <w:jc w:val="both"/>
        <w:rPr>
          <w:rFonts w:cs="Arial"/>
          <w:lang w:val="es-ES"/>
        </w:rPr>
      </w:pPr>
      <w:r>
        <w:rPr>
          <w:rFonts w:cs="Arial"/>
          <w:lang w:val="es-ES"/>
        </w:rPr>
        <w:lastRenderedPageBreak/>
        <w:t>e</w:t>
      </w:r>
      <w:r w:rsidRPr="00A1208A">
        <w:rPr>
          <w:rFonts w:cs="Arial"/>
          <w:lang w:val="es-ES"/>
        </w:rPr>
        <w:t>laborar una lista de organizaciones e instituciones que podrían estar interesadas en las Directrices para que éstas se pongan a su disposición de conformidad con la Decisión 14.222 b).</w:t>
      </w:r>
      <w:r w:rsidR="006D5133" w:rsidRPr="006D5133">
        <w:rPr>
          <w:rFonts w:cs="Arial"/>
          <w:lang w:val="es-ES"/>
        </w:rPr>
        <w:t>.</w:t>
      </w:r>
    </w:p>
    <w:p w14:paraId="14A92D19" w14:textId="77777777" w:rsidR="00205A89" w:rsidRPr="00205A89" w:rsidRDefault="00205A89" w:rsidP="00205A89">
      <w:pPr>
        <w:jc w:val="both"/>
        <w:rPr>
          <w:rFonts w:cs="Arial"/>
          <w:lang w:val="es-ES"/>
        </w:rPr>
      </w:pPr>
    </w:p>
    <w:p w14:paraId="6C975E44" w14:textId="2995C4E5" w:rsidR="00205A89" w:rsidRDefault="00E61BE4" w:rsidP="00264D39">
      <w:pPr>
        <w:pStyle w:val="ListParagraph"/>
        <w:numPr>
          <w:ilvl w:val="0"/>
          <w:numId w:val="4"/>
        </w:numPr>
        <w:ind w:left="540" w:hanging="540"/>
        <w:jc w:val="both"/>
        <w:rPr>
          <w:rFonts w:cs="Arial"/>
          <w:lang w:val="es-ES"/>
        </w:rPr>
      </w:pPr>
      <w:r w:rsidRPr="00E61BE4">
        <w:rPr>
          <w:rFonts w:cs="Arial"/>
          <w:lang w:val="es-ES"/>
        </w:rPr>
        <w:t>Debe elaborarse una lista de organizaciones e instituciones que podrían estar interesadas en las Directrices y, a continuación, entregarles las Directrices con una carta de presentación adecuada.</w:t>
      </w:r>
    </w:p>
    <w:p w14:paraId="43539F2F" w14:textId="77777777" w:rsidR="003E7EFB" w:rsidRDefault="003E7EFB" w:rsidP="00264D39">
      <w:pPr>
        <w:pStyle w:val="ListParagraph"/>
        <w:ind w:left="540" w:hanging="540"/>
        <w:jc w:val="both"/>
        <w:rPr>
          <w:rFonts w:cs="Arial"/>
          <w:lang w:val="es-ES"/>
        </w:rPr>
      </w:pPr>
    </w:p>
    <w:p w14:paraId="6DD81EDB" w14:textId="0F2E5C60" w:rsidR="00E61BE4" w:rsidRDefault="003E7EFB" w:rsidP="00264D39">
      <w:pPr>
        <w:pStyle w:val="ListParagraph"/>
        <w:numPr>
          <w:ilvl w:val="0"/>
          <w:numId w:val="4"/>
        </w:numPr>
        <w:ind w:left="540" w:hanging="540"/>
        <w:jc w:val="both"/>
        <w:rPr>
          <w:rFonts w:cs="Arial"/>
          <w:lang w:val="es-ES"/>
        </w:rPr>
      </w:pPr>
      <w:r w:rsidRPr="003E7EFB">
        <w:rPr>
          <w:rFonts w:cs="Arial"/>
          <w:lang w:val="es-ES"/>
        </w:rPr>
        <w:t>Debería nombrarse a uno o varios miembros del Consejo Científico con experiencia en la materia para ayudar a sacar adelante este tema.</w:t>
      </w:r>
    </w:p>
    <w:p w14:paraId="522600F2" w14:textId="77777777" w:rsidR="007E60A8" w:rsidRDefault="007E60A8" w:rsidP="003E7EFB">
      <w:pPr>
        <w:rPr>
          <w:rFonts w:cs="Arial"/>
          <w:lang w:val="es-ES"/>
        </w:rPr>
      </w:pPr>
    </w:p>
    <w:p w14:paraId="097E7797" w14:textId="3FC05FBF" w:rsidR="003E7EFB" w:rsidRDefault="007E60A8" w:rsidP="003E7EFB">
      <w:pPr>
        <w:rPr>
          <w:rFonts w:cs="Arial"/>
          <w:b/>
          <w:bCs/>
          <w:i/>
          <w:iCs/>
          <w:lang w:val="es-ES"/>
        </w:rPr>
      </w:pPr>
      <w:r w:rsidRPr="007E60A8">
        <w:rPr>
          <w:rFonts w:cs="Arial"/>
          <w:b/>
          <w:bCs/>
          <w:i/>
          <w:iCs/>
          <w:lang w:val="es-ES"/>
        </w:rPr>
        <w:t>Recomendaciones a la Secretaría</w:t>
      </w:r>
    </w:p>
    <w:p w14:paraId="55787786" w14:textId="77777777" w:rsidR="007E60A8" w:rsidRPr="007E60A8" w:rsidRDefault="007E60A8" w:rsidP="003E7EFB">
      <w:pPr>
        <w:rPr>
          <w:rFonts w:cs="Arial"/>
          <w:b/>
          <w:bCs/>
          <w:i/>
          <w:iCs/>
          <w:lang w:val="es-ES"/>
        </w:rPr>
      </w:pPr>
    </w:p>
    <w:p w14:paraId="21606138" w14:textId="2528A561" w:rsidR="003E7EFB" w:rsidRDefault="00051C8F" w:rsidP="00264D39">
      <w:pPr>
        <w:pStyle w:val="ListParagraph"/>
        <w:numPr>
          <w:ilvl w:val="0"/>
          <w:numId w:val="4"/>
        </w:numPr>
        <w:ind w:left="540" w:hanging="540"/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Se recomienda al Consejo Científico; </w:t>
      </w:r>
    </w:p>
    <w:p w14:paraId="2B74A634" w14:textId="77777777" w:rsidR="00264D39" w:rsidRDefault="00264D39" w:rsidP="00264D39">
      <w:pPr>
        <w:pStyle w:val="ListParagraph"/>
        <w:jc w:val="both"/>
        <w:rPr>
          <w:rFonts w:cs="Arial"/>
          <w:lang w:val="es-ES"/>
        </w:rPr>
      </w:pPr>
    </w:p>
    <w:p w14:paraId="213FAA8C" w14:textId="16E0F154" w:rsidR="00264D39" w:rsidRPr="00264D39" w:rsidRDefault="00264D39" w:rsidP="00264D39">
      <w:pPr>
        <w:pStyle w:val="ListParagraph"/>
        <w:numPr>
          <w:ilvl w:val="0"/>
          <w:numId w:val="7"/>
        </w:numPr>
        <w:ind w:left="1080" w:hanging="540"/>
        <w:jc w:val="both"/>
        <w:rPr>
          <w:rFonts w:cs="Arial"/>
          <w:lang w:val="es-ES"/>
        </w:rPr>
      </w:pPr>
      <w:r w:rsidRPr="00264D39">
        <w:rPr>
          <w:rFonts w:cs="Arial"/>
          <w:lang w:val="es-ES"/>
        </w:rPr>
        <w:t>Invitar a la Secretaría a considerar los párrafos 4-5 anteriores al aplicar la Decisión 14.222;</w:t>
      </w:r>
    </w:p>
    <w:p w14:paraId="227E786E" w14:textId="77777777" w:rsidR="00264D39" w:rsidRPr="00264D39" w:rsidRDefault="00264D39" w:rsidP="00264D39">
      <w:pPr>
        <w:pStyle w:val="ListParagraph"/>
        <w:ind w:left="1080" w:hanging="540"/>
        <w:jc w:val="both"/>
        <w:rPr>
          <w:rFonts w:cs="Arial"/>
          <w:lang w:val="es-ES"/>
        </w:rPr>
      </w:pPr>
    </w:p>
    <w:p w14:paraId="154DADD6" w14:textId="554EE169" w:rsidR="00264D39" w:rsidRPr="00264D39" w:rsidRDefault="00264D39" w:rsidP="00264D39">
      <w:pPr>
        <w:pStyle w:val="ListParagraph"/>
        <w:numPr>
          <w:ilvl w:val="0"/>
          <w:numId w:val="7"/>
        </w:numPr>
        <w:ind w:left="1080" w:hanging="540"/>
        <w:jc w:val="both"/>
        <w:rPr>
          <w:rFonts w:cs="Arial"/>
          <w:lang w:val="es-ES"/>
        </w:rPr>
      </w:pPr>
      <w:r w:rsidRPr="00264D39">
        <w:rPr>
          <w:rFonts w:cs="Arial"/>
          <w:lang w:val="es-ES"/>
        </w:rPr>
        <w:t>Identificar a su miembro o miembros con experiencia relevante para apoyar a la Secretaría en la aplicación de la Decisión 14.222.</w:t>
      </w:r>
    </w:p>
    <w:sectPr w:rsidR="00264D39" w:rsidRPr="00264D39" w:rsidSect="002475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450" w:footer="3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21116" w14:textId="77777777" w:rsidR="0051135B" w:rsidRDefault="0051135B" w:rsidP="008562CA">
      <w:r>
        <w:separator/>
      </w:r>
    </w:p>
  </w:endnote>
  <w:endnote w:type="continuationSeparator" w:id="0">
    <w:p w14:paraId="369D4C06" w14:textId="77777777" w:rsidR="0051135B" w:rsidRDefault="0051135B" w:rsidP="008562CA">
      <w:r>
        <w:continuationSeparator/>
      </w:r>
    </w:p>
  </w:endnote>
  <w:endnote w:type="continuationNotice" w:id="1">
    <w:p w14:paraId="2D7FBC24" w14:textId="77777777" w:rsidR="0051135B" w:rsidRDefault="005113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82577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684D9" w14:textId="77777777" w:rsidR="001F56E8" w:rsidRPr="001F56E8" w:rsidRDefault="001F56E8" w:rsidP="001F56E8">
        <w:pPr>
          <w:pStyle w:val="Footer"/>
          <w:jc w:val="center"/>
          <w:rPr>
            <w:sz w:val="18"/>
            <w:szCs w:val="18"/>
          </w:rPr>
        </w:pPr>
        <w:r w:rsidRPr="001F56E8">
          <w:rPr>
            <w:sz w:val="18"/>
            <w:szCs w:val="18"/>
          </w:rPr>
          <w:fldChar w:fldCharType="begin"/>
        </w:r>
        <w:r w:rsidRPr="001F56E8">
          <w:rPr>
            <w:sz w:val="18"/>
            <w:szCs w:val="18"/>
          </w:rPr>
          <w:instrText xml:space="preserve"> PAGE   \* MERGEFORMAT </w:instrText>
        </w:r>
        <w:r w:rsidRPr="001F56E8">
          <w:rPr>
            <w:sz w:val="18"/>
            <w:szCs w:val="18"/>
          </w:rPr>
          <w:fldChar w:fldCharType="separate"/>
        </w:r>
        <w:r w:rsidR="00A511CF">
          <w:rPr>
            <w:noProof/>
            <w:sz w:val="18"/>
            <w:szCs w:val="18"/>
          </w:rPr>
          <w:t>2</w:t>
        </w:r>
        <w:r w:rsidRPr="001F56E8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795497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5A6762" w14:textId="77777777" w:rsidR="001F56E8" w:rsidRPr="001F56E8" w:rsidRDefault="001F56E8" w:rsidP="001F56E8">
        <w:pPr>
          <w:pStyle w:val="Footer"/>
          <w:jc w:val="center"/>
          <w:rPr>
            <w:sz w:val="18"/>
            <w:szCs w:val="18"/>
          </w:rPr>
        </w:pPr>
        <w:r w:rsidRPr="001F56E8">
          <w:rPr>
            <w:sz w:val="18"/>
            <w:szCs w:val="18"/>
          </w:rPr>
          <w:fldChar w:fldCharType="begin"/>
        </w:r>
        <w:r w:rsidRPr="001F56E8">
          <w:rPr>
            <w:sz w:val="18"/>
            <w:szCs w:val="18"/>
          </w:rPr>
          <w:instrText xml:space="preserve"> PAGE   \* MERGEFORMAT </w:instrText>
        </w:r>
        <w:r w:rsidRPr="001F56E8">
          <w:rPr>
            <w:sz w:val="18"/>
            <w:szCs w:val="18"/>
          </w:rPr>
          <w:fldChar w:fldCharType="separate"/>
        </w:r>
        <w:r w:rsidR="00A511CF">
          <w:rPr>
            <w:noProof/>
            <w:sz w:val="18"/>
            <w:szCs w:val="18"/>
          </w:rPr>
          <w:t>3</w:t>
        </w:r>
        <w:r w:rsidRPr="001F56E8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5B909" w14:textId="77777777" w:rsidR="00264D39" w:rsidRDefault="00264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4FB15" w14:textId="77777777" w:rsidR="0051135B" w:rsidRDefault="0051135B" w:rsidP="008562CA">
      <w:r>
        <w:separator/>
      </w:r>
    </w:p>
  </w:footnote>
  <w:footnote w:type="continuationSeparator" w:id="0">
    <w:p w14:paraId="08C4156E" w14:textId="77777777" w:rsidR="0051135B" w:rsidRDefault="0051135B" w:rsidP="008562CA">
      <w:r>
        <w:continuationSeparator/>
      </w:r>
    </w:p>
  </w:footnote>
  <w:footnote w:type="continuationNotice" w:id="1">
    <w:p w14:paraId="1CFE69A4" w14:textId="77777777" w:rsidR="0051135B" w:rsidRDefault="005113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33E4C" w14:textId="616A330D" w:rsidR="004D2917" w:rsidRPr="00025092" w:rsidRDefault="004D2917" w:rsidP="004D2917">
    <w:pPr>
      <w:pBdr>
        <w:bottom w:val="single" w:sz="4" w:space="1" w:color="auto"/>
      </w:pBdr>
      <w:spacing w:before="120"/>
      <w:rPr>
        <w:rFonts w:cs="Arial"/>
        <w:i/>
        <w:iCs/>
        <w:sz w:val="18"/>
        <w:szCs w:val="18"/>
      </w:rPr>
    </w:pPr>
    <w:r w:rsidRPr="00025092">
      <w:rPr>
        <w:rFonts w:cs="Arial"/>
        <w:i/>
        <w:iCs/>
        <w:sz w:val="18"/>
        <w:szCs w:val="18"/>
      </w:rPr>
      <w:t>UNEP/CMS/ScC-SC</w:t>
    </w:r>
    <w:r w:rsidR="000A0BCF">
      <w:rPr>
        <w:rFonts w:cs="Arial"/>
        <w:i/>
        <w:iCs/>
        <w:sz w:val="18"/>
        <w:szCs w:val="18"/>
      </w:rPr>
      <w:t>7</w:t>
    </w:r>
    <w:r w:rsidRPr="00025092">
      <w:rPr>
        <w:rFonts w:cs="Arial"/>
        <w:i/>
        <w:iCs/>
        <w:sz w:val="18"/>
        <w:szCs w:val="18"/>
      </w:rPr>
      <w:t>/Doc.</w:t>
    </w:r>
    <w:r w:rsidR="002438DB">
      <w:rPr>
        <w:rFonts w:cs="Arial"/>
        <w:i/>
        <w:iCs/>
        <w:sz w:val="18"/>
        <w:szCs w:val="18"/>
      </w:rPr>
      <w:t>6.1.5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73ABF" w14:textId="65ECA632" w:rsidR="004D2917" w:rsidRDefault="004D2917" w:rsidP="004D2917">
    <w:pPr>
      <w:pBdr>
        <w:bottom w:val="single" w:sz="4" w:space="1" w:color="auto"/>
      </w:pBdr>
      <w:spacing w:before="120"/>
      <w:jc w:val="right"/>
      <w:rPr>
        <w:rFonts w:cs="Arial"/>
        <w:i/>
        <w:iCs/>
        <w:sz w:val="18"/>
        <w:szCs w:val="18"/>
      </w:rPr>
    </w:pPr>
    <w:r w:rsidRPr="00025092">
      <w:rPr>
        <w:rFonts w:cs="Arial"/>
        <w:i/>
        <w:iCs/>
        <w:sz w:val="18"/>
        <w:szCs w:val="18"/>
      </w:rPr>
      <w:t>UNEP/CMS/ScC-SC</w:t>
    </w:r>
    <w:r w:rsidR="000A0BCF">
      <w:rPr>
        <w:rFonts w:cs="Arial"/>
        <w:i/>
        <w:iCs/>
        <w:sz w:val="18"/>
        <w:szCs w:val="18"/>
      </w:rPr>
      <w:t>7</w:t>
    </w:r>
    <w:r w:rsidRPr="00025092">
      <w:rPr>
        <w:rFonts w:cs="Arial"/>
        <w:i/>
        <w:iCs/>
        <w:sz w:val="18"/>
        <w:szCs w:val="18"/>
      </w:rPr>
      <w:t>/Doc.</w:t>
    </w:r>
    <w:r w:rsidR="00264D39">
      <w:rPr>
        <w:rFonts w:cs="Arial"/>
        <w:i/>
        <w:iCs/>
        <w:sz w:val="18"/>
        <w:szCs w:val="18"/>
      </w:rPr>
      <w:t>6.1.5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D12EF" w14:textId="77777777" w:rsidR="0011146B" w:rsidRPr="008C639C" w:rsidRDefault="00F57561" w:rsidP="0011146B">
    <w:pPr>
      <w:tabs>
        <w:tab w:val="left" w:pos="-720"/>
        <w:tab w:val="left" w:pos="310"/>
        <w:tab w:val="left" w:pos="1080"/>
      </w:tabs>
      <w:ind w:right="1123"/>
      <w:jc w:val="both"/>
      <w:rPr>
        <w:rFonts w:cs="Arial"/>
        <w:b/>
        <w:spacing w:val="5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948DCB" wp14:editId="16106BB5">
              <wp:simplePos x="0" y="0"/>
              <wp:positionH relativeFrom="column">
                <wp:posOffset>895350</wp:posOffset>
              </wp:positionH>
              <wp:positionV relativeFrom="paragraph">
                <wp:posOffset>290830</wp:posOffset>
              </wp:positionV>
              <wp:extent cx="4583430" cy="5588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17173" w14:textId="77777777" w:rsidR="0011146B" w:rsidRPr="008C639C" w:rsidRDefault="0011146B" w:rsidP="0011146B">
                          <w:pPr>
                            <w:rPr>
                              <w:rFonts w:cs="Arial"/>
                              <w:b/>
                              <w:spacing w:val="9"/>
                              <w:sz w:val="32"/>
                              <w:szCs w:val="33"/>
                              <w:lang w:val="es-ES"/>
                            </w:rPr>
                          </w:pPr>
                          <w:r w:rsidRPr="008C639C">
                            <w:rPr>
                              <w:rFonts w:cs="Arial"/>
                              <w:b/>
                              <w:spacing w:val="9"/>
                              <w:sz w:val="32"/>
                              <w:szCs w:val="33"/>
                              <w:lang w:val="es-ES"/>
                            </w:rPr>
                            <w:t>Convención sobre la conservación de las</w:t>
                          </w:r>
                        </w:p>
                        <w:p w14:paraId="5DCA1E1F" w14:textId="77777777" w:rsidR="0011146B" w:rsidRPr="0037111C" w:rsidRDefault="0011146B" w:rsidP="0011146B">
                          <w:pPr>
                            <w:rPr>
                              <w:rFonts w:cs="Arial"/>
                              <w:b/>
                              <w:spacing w:val="6"/>
                              <w:sz w:val="32"/>
                              <w:szCs w:val="33"/>
                            </w:rPr>
                          </w:pPr>
                          <w:r w:rsidRPr="0037111C">
                            <w:rPr>
                              <w:rFonts w:cs="Arial"/>
                              <w:b/>
                              <w:sz w:val="32"/>
                              <w:szCs w:val="33"/>
                            </w:rPr>
                            <w:t>especies migratorias de animales silvestres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948D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70.5pt;margin-top:22.9pt;width:360.9pt;height:4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" filled="f" stroked="f" strokeweight="0">
              <v:textbox style="mso-fit-shape-to-text:t">
                <w:txbxContent>
                  <w:p w14:paraId="42E17173" w14:textId="77777777" w:rsidR="0011146B" w:rsidRPr="008C639C" w:rsidRDefault="0011146B" w:rsidP="0011146B">
                    <w:pPr>
                      <w:rPr>
                        <w:rFonts w:cs="Arial"/>
                        <w:b/>
                        <w:spacing w:val="9"/>
                        <w:sz w:val="32"/>
                        <w:szCs w:val="33"/>
                        <w:lang w:val="es-ES"/>
                      </w:rPr>
                    </w:pPr>
                    <w:r w:rsidRPr="008C639C">
                      <w:rPr>
                        <w:rFonts w:cs="Arial"/>
                        <w:b/>
                        <w:spacing w:val="9"/>
                        <w:sz w:val="32"/>
                        <w:szCs w:val="33"/>
                        <w:lang w:val="es-ES"/>
                      </w:rPr>
                      <w:t>Convención sobre la conservación de las</w:t>
                    </w:r>
                  </w:p>
                  <w:p w14:paraId="5DCA1E1F" w14:textId="77777777" w:rsidR="0011146B" w:rsidRPr="0037111C" w:rsidRDefault="0011146B" w:rsidP="0011146B">
                    <w:pPr>
                      <w:rPr>
                        <w:rFonts w:cs="Arial"/>
                        <w:b/>
                        <w:spacing w:val="6"/>
                        <w:sz w:val="32"/>
                        <w:szCs w:val="33"/>
                      </w:rPr>
                    </w:pPr>
                    <w:r w:rsidRPr="0037111C">
                      <w:rPr>
                        <w:rFonts w:cs="Arial"/>
                        <w:b/>
                        <w:sz w:val="32"/>
                        <w:szCs w:val="33"/>
                      </w:rPr>
                      <w:t>especies migratorias de animales silvestres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F00B2C2" wp14:editId="28D67234">
          <wp:simplePos x="0" y="0"/>
          <wp:positionH relativeFrom="column">
            <wp:posOffset>5587365</wp:posOffset>
          </wp:positionH>
          <wp:positionV relativeFrom="paragraph">
            <wp:posOffset>108585</wp:posOffset>
          </wp:positionV>
          <wp:extent cx="492125" cy="690880"/>
          <wp:effectExtent l="0" t="0" r="3175" b="0"/>
          <wp:wrapTight wrapText="bothSides">
            <wp:wrapPolygon edited="0">
              <wp:start x="0" y="0"/>
              <wp:lineTo x="0" y="20846"/>
              <wp:lineTo x="20903" y="20846"/>
              <wp:lineTo x="20903" y="0"/>
              <wp:lineTo x="0" y="0"/>
            </wp:wrapPolygon>
          </wp:wrapTight>
          <wp:docPr id="1424142626" name="Picture 1424142626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45E7F16F" wp14:editId="6E26002B">
          <wp:simplePos x="0" y="0"/>
          <wp:positionH relativeFrom="column">
            <wp:posOffset>-581660</wp:posOffset>
          </wp:positionH>
          <wp:positionV relativeFrom="paragraph">
            <wp:posOffset>-171450</wp:posOffset>
          </wp:positionV>
          <wp:extent cx="1266825" cy="1266825"/>
          <wp:effectExtent l="0" t="0" r="9525" b="9525"/>
          <wp:wrapTight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ight>
          <wp:docPr id="1156907683" name="Picture 1156907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Environment_Logo_Spanish_Full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146B" w:rsidRPr="00CF6706">
      <w:rPr>
        <w:rFonts w:cs="Arial"/>
        <w:b/>
        <w:spacing w:val="5"/>
        <w:sz w:val="34"/>
        <w:szCs w:val="34"/>
      </w:rPr>
      <w:t xml:space="preserve"> </w:t>
    </w:r>
  </w:p>
  <w:p w14:paraId="7E5C2680" w14:textId="77777777" w:rsidR="001F56E8" w:rsidRPr="00EB2EEE" w:rsidRDefault="001F56E8" w:rsidP="00EB2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C4EE9"/>
    <w:multiLevelType w:val="hybridMultilevel"/>
    <w:tmpl w:val="0CDA4DB8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7842"/>
    <w:multiLevelType w:val="hybridMultilevel"/>
    <w:tmpl w:val="ACD87C2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3092"/>
    <w:multiLevelType w:val="hybridMultilevel"/>
    <w:tmpl w:val="F8AEC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75B8D"/>
    <w:multiLevelType w:val="hybridMultilevel"/>
    <w:tmpl w:val="E1BEF242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C1B27"/>
    <w:multiLevelType w:val="hybridMultilevel"/>
    <w:tmpl w:val="A066E342"/>
    <w:lvl w:ilvl="0" w:tplc="041A0017">
      <w:start w:val="1"/>
      <w:numFmt w:val="lowerLetter"/>
      <w:lvlText w:val="%1)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90F52FB"/>
    <w:multiLevelType w:val="hybridMultilevel"/>
    <w:tmpl w:val="5C6041F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23F83"/>
    <w:multiLevelType w:val="hybridMultilevel"/>
    <w:tmpl w:val="1B40C1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57018937">
    <w:abstractNumId w:val="2"/>
  </w:num>
  <w:num w:numId="2" w16cid:durableId="156656548">
    <w:abstractNumId w:val="6"/>
  </w:num>
  <w:num w:numId="3" w16cid:durableId="1142117419">
    <w:abstractNumId w:val="3"/>
  </w:num>
  <w:num w:numId="4" w16cid:durableId="1945920655">
    <w:abstractNumId w:val="1"/>
  </w:num>
  <w:num w:numId="5" w16cid:durableId="838160664">
    <w:abstractNumId w:val="4"/>
  </w:num>
  <w:num w:numId="6" w16cid:durableId="730227431">
    <w:abstractNumId w:val="0"/>
  </w:num>
  <w:num w:numId="7" w16cid:durableId="1679770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01086"/>
    <w:rsid w:val="00025092"/>
    <w:rsid w:val="00033FAB"/>
    <w:rsid w:val="00034F7E"/>
    <w:rsid w:val="00051C8F"/>
    <w:rsid w:val="00084897"/>
    <w:rsid w:val="000A0BCF"/>
    <w:rsid w:val="000B5685"/>
    <w:rsid w:val="000C2262"/>
    <w:rsid w:val="000D0247"/>
    <w:rsid w:val="000D7587"/>
    <w:rsid w:val="0011146B"/>
    <w:rsid w:val="00174484"/>
    <w:rsid w:val="00187427"/>
    <w:rsid w:val="0019355D"/>
    <w:rsid w:val="0019487A"/>
    <w:rsid w:val="001F56E8"/>
    <w:rsid w:val="00200944"/>
    <w:rsid w:val="00205A89"/>
    <w:rsid w:val="002120D1"/>
    <w:rsid w:val="00236C6A"/>
    <w:rsid w:val="002438DB"/>
    <w:rsid w:val="002457FB"/>
    <w:rsid w:val="0024751F"/>
    <w:rsid w:val="002506C2"/>
    <w:rsid w:val="00255507"/>
    <w:rsid w:val="002604BA"/>
    <w:rsid w:val="00264D39"/>
    <w:rsid w:val="002D14C2"/>
    <w:rsid w:val="002F7553"/>
    <w:rsid w:val="00304D3A"/>
    <w:rsid w:val="003073BE"/>
    <w:rsid w:val="00307FD9"/>
    <w:rsid w:val="00394F73"/>
    <w:rsid w:val="003A11A8"/>
    <w:rsid w:val="003E17AD"/>
    <w:rsid w:val="003E56A4"/>
    <w:rsid w:val="003E7EFB"/>
    <w:rsid w:val="004305D9"/>
    <w:rsid w:val="00437C87"/>
    <w:rsid w:val="0045575B"/>
    <w:rsid w:val="004B16C3"/>
    <w:rsid w:val="004C765C"/>
    <w:rsid w:val="004D2917"/>
    <w:rsid w:val="004F4A05"/>
    <w:rsid w:val="0051135B"/>
    <w:rsid w:val="00523F9A"/>
    <w:rsid w:val="00547E71"/>
    <w:rsid w:val="00570E97"/>
    <w:rsid w:val="005872F9"/>
    <w:rsid w:val="005B1586"/>
    <w:rsid w:val="005E1A0D"/>
    <w:rsid w:val="005F2E93"/>
    <w:rsid w:val="006D4BC2"/>
    <w:rsid w:val="006D5133"/>
    <w:rsid w:val="00763277"/>
    <w:rsid w:val="007B26F7"/>
    <w:rsid w:val="007D2D67"/>
    <w:rsid w:val="007E238D"/>
    <w:rsid w:val="007E60A8"/>
    <w:rsid w:val="007F110A"/>
    <w:rsid w:val="00820839"/>
    <w:rsid w:val="0083031F"/>
    <w:rsid w:val="00844F23"/>
    <w:rsid w:val="008562CA"/>
    <w:rsid w:val="008A1A1D"/>
    <w:rsid w:val="008D7252"/>
    <w:rsid w:val="008F39A1"/>
    <w:rsid w:val="00990DE6"/>
    <w:rsid w:val="009A40F8"/>
    <w:rsid w:val="009F6644"/>
    <w:rsid w:val="00A1208A"/>
    <w:rsid w:val="00A4258C"/>
    <w:rsid w:val="00A511CF"/>
    <w:rsid w:val="00A61F83"/>
    <w:rsid w:val="00AE2990"/>
    <w:rsid w:val="00B13B9C"/>
    <w:rsid w:val="00B36BD9"/>
    <w:rsid w:val="00B36C20"/>
    <w:rsid w:val="00B70424"/>
    <w:rsid w:val="00BB3F80"/>
    <w:rsid w:val="00BE7C6B"/>
    <w:rsid w:val="00C62BAD"/>
    <w:rsid w:val="00C83847"/>
    <w:rsid w:val="00CB75B6"/>
    <w:rsid w:val="00CC10D2"/>
    <w:rsid w:val="00CC3531"/>
    <w:rsid w:val="00CF7017"/>
    <w:rsid w:val="00D01795"/>
    <w:rsid w:val="00D34857"/>
    <w:rsid w:val="00D65902"/>
    <w:rsid w:val="00D710C3"/>
    <w:rsid w:val="00E00E2B"/>
    <w:rsid w:val="00E10AC2"/>
    <w:rsid w:val="00E1103E"/>
    <w:rsid w:val="00E61BE4"/>
    <w:rsid w:val="00E976CE"/>
    <w:rsid w:val="00EB2EEE"/>
    <w:rsid w:val="00F01E83"/>
    <w:rsid w:val="00F4206A"/>
    <w:rsid w:val="00F52262"/>
    <w:rsid w:val="00F57561"/>
    <w:rsid w:val="00F60685"/>
    <w:rsid w:val="00F63975"/>
    <w:rsid w:val="00F812EC"/>
    <w:rsid w:val="00FA560D"/>
    <w:rsid w:val="00FA6DEF"/>
    <w:rsid w:val="00FD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5A98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4D2917"/>
    <w:pPr>
      <w:ind w:left="720"/>
      <w:contextualSpacing/>
    </w:pPr>
  </w:style>
  <w:style w:type="character" w:styleId="Hyperlink">
    <w:name w:val="Hyperlink"/>
    <w:rsid w:val="00304D3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D3A"/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D3A"/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04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36a3c140d5bd911b1a0006c1d985e21a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f5def544537b1b6d94c5bc30794cc40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B2A18-F5AC-4D63-9BE8-7C66EF6E4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B6CD3-8641-46F9-A934-B0B7C757CE3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8EB3F021-84E5-4921-86BB-12C9499A5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575A6-2B1A-4CC9-82D4-88FCE436B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Ximena Victoria Cancino Ordenes</cp:lastModifiedBy>
  <cp:revision>38</cp:revision>
  <dcterms:created xsi:type="dcterms:W3CDTF">2024-05-29T13:21:00Z</dcterms:created>
  <dcterms:modified xsi:type="dcterms:W3CDTF">2024-07-19T09:17:00Z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