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0C60E" w14:textId="77777777" w:rsidR="00143EB6" w:rsidRPr="00D515F5" w:rsidRDefault="00143EB6">
      <w:pPr>
        <w:rPr>
          <w:rFonts w:cs="Arial"/>
          <w:lang w:val="fr-FR"/>
        </w:rPr>
      </w:pPr>
    </w:p>
    <w:p w14:paraId="1E5AA08F" w14:textId="77777777" w:rsidR="00D26DD6" w:rsidRPr="00D515F5" w:rsidRDefault="00D26DD6" w:rsidP="00825333">
      <w:pPr>
        <w:tabs>
          <w:tab w:val="left" w:pos="-1057"/>
          <w:tab w:val="left" w:pos="-720"/>
        </w:tabs>
        <w:rPr>
          <w:rFonts w:cs="Arial"/>
          <w:b/>
          <w:sz w:val="28"/>
          <w:szCs w:val="28"/>
          <w:lang w:val="fr-FR"/>
        </w:rPr>
      </w:pPr>
    </w:p>
    <w:p w14:paraId="3E188CE7" w14:textId="36DCCC8C" w:rsidR="00143EB6" w:rsidRPr="00D515F5" w:rsidRDefault="00D515F5">
      <w:pPr>
        <w:tabs>
          <w:tab w:val="left" w:pos="-1057"/>
          <w:tab w:val="left" w:pos="-720"/>
        </w:tabs>
        <w:jc w:val="center"/>
        <w:rPr>
          <w:lang w:val="fr-FR"/>
        </w:rPr>
      </w:pPr>
      <w:r w:rsidRPr="00D515F5">
        <w:rPr>
          <w:rFonts w:cs="Arial"/>
          <w:b/>
          <w:sz w:val="28"/>
          <w:szCs w:val="28"/>
          <w:lang w:val="fr-FR"/>
        </w:rPr>
        <w:t>7</w:t>
      </w:r>
      <w:r w:rsidRPr="00D515F5">
        <w:rPr>
          <w:rFonts w:cs="Arial"/>
          <w:b/>
          <w:sz w:val="28"/>
          <w:szCs w:val="28"/>
          <w:vertAlign w:val="superscript"/>
          <w:lang w:val="fr-FR"/>
        </w:rPr>
        <w:t>e</w:t>
      </w:r>
      <w:r w:rsidRPr="00D515F5">
        <w:rPr>
          <w:rFonts w:cs="Arial"/>
          <w:b/>
          <w:sz w:val="28"/>
          <w:szCs w:val="28"/>
          <w:lang w:val="fr-FR"/>
        </w:rPr>
        <w:t xml:space="preserve"> réunion du Comité de session du </w:t>
      </w:r>
    </w:p>
    <w:p w14:paraId="4EE254CE" w14:textId="77777777" w:rsidR="00143EB6" w:rsidRPr="00D515F5" w:rsidRDefault="00D515F5">
      <w:pPr>
        <w:tabs>
          <w:tab w:val="left" w:pos="-1057"/>
          <w:tab w:val="left" w:pos="-720"/>
        </w:tabs>
        <w:spacing w:after="120"/>
        <w:ind w:left="-86"/>
        <w:jc w:val="center"/>
        <w:rPr>
          <w:rFonts w:cs="Arial"/>
          <w:b/>
          <w:sz w:val="28"/>
          <w:szCs w:val="28"/>
          <w:lang w:val="fr-FR"/>
        </w:rPr>
      </w:pPr>
      <w:r w:rsidRPr="00D515F5">
        <w:rPr>
          <w:rFonts w:cs="Arial"/>
          <w:b/>
          <w:sz w:val="28"/>
          <w:szCs w:val="28"/>
          <w:lang w:val="fr-FR"/>
        </w:rPr>
        <w:t>Conseil scientifique de la CMS (ScC-SC7)</w:t>
      </w:r>
    </w:p>
    <w:p w14:paraId="5BDC4956" w14:textId="77777777" w:rsidR="00143EB6" w:rsidRPr="00D515F5" w:rsidRDefault="00D515F5">
      <w:pPr>
        <w:pBdr>
          <w:bottom w:val="single" w:sz="4" w:space="1" w:color="000000"/>
        </w:pBdr>
        <w:overflowPunct w:val="0"/>
        <w:jc w:val="center"/>
        <w:outlineLvl w:val="0"/>
        <w:rPr>
          <w:rFonts w:cs="Arial"/>
          <w:bCs/>
          <w:i/>
          <w:spacing w:val="-4"/>
          <w:lang w:val="fr-FR"/>
        </w:rPr>
      </w:pPr>
      <w:r w:rsidRPr="00D515F5">
        <w:rPr>
          <w:rFonts w:cs="Arial"/>
          <w:bCs/>
          <w:i/>
          <w:spacing w:val="-4"/>
          <w:lang w:val="fr-FR"/>
        </w:rPr>
        <w:t>Bonn (Allemagne), 17 – 20 septembre 2024</w:t>
      </w:r>
    </w:p>
    <w:p w14:paraId="2CF654AA" w14:textId="77777777" w:rsidR="00143EB6" w:rsidRPr="00D515F5" w:rsidRDefault="00D515F5">
      <w:pPr>
        <w:spacing w:before="120"/>
        <w:jc w:val="right"/>
        <w:rPr>
          <w:rFonts w:cs="Arial"/>
          <w:lang w:val="fr-BE"/>
        </w:rPr>
      </w:pPr>
      <w:r w:rsidRPr="00D515F5">
        <w:rPr>
          <w:rFonts w:cs="Arial"/>
          <w:lang w:val="fr-BE"/>
        </w:rPr>
        <w:t>UNEP/CMS/ScC-SC7/Doc.5</w:t>
      </w:r>
    </w:p>
    <w:p w14:paraId="011AD13B" w14:textId="77777777" w:rsidR="00143EB6" w:rsidRPr="00D515F5" w:rsidRDefault="00143EB6">
      <w:pPr>
        <w:rPr>
          <w:rFonts w:cs="Arial"/>
          <w:lang w:val="fr-FR"/>
        </w:rPr>
      </w:pPr>
    </w:p>
    <w:p w14:paraId="7CD9853E" w14:textId="77777777" w:rsidR="00143EB6" w:rsidRPr="00D515F5" w:rsidRDefault="00143EB6">
      <w:pPr>
        <w:tabs>
          <w:tab w:val="left" w:pos="6285"/>
        </w:tabs>
        <w:jc w:val="both"/>
        <w:rPr>
          <w:rFonts w:cs="Arial"/>
          <w:lang w:val="fr-FR"/>
        </w:rPr>
      </w:pPr>
    </w:p>
    <w:p w14:paraId="3FD9A04C" w14:textId="77777777" w:rsidR="00143EB6" w:rsidRPr="00D515F5" w:rsidRDefault="00D515F5" w:rsidP="00825333">
      <w:pPr>
        <w:pStyle w:val="Heading2"/>
        <w:keepNext w:val="0"/>
        <w:spacing w:after="120"/>
        <w:ind w:left="-85" w:right="-357"/>
        <w:rPr>
          <w:rFonts w:ascii="Arial" w:hAnsi="Arial" w:cs="Arial"/>
          <w:szCs w:val="22"/>
          <w:lang w:val="fr-FR"/>
        </w:rPr>
      </w:pPr>
      <w:bookmarkStart w:id="0" w:name="_Hlk171011404"/>
      <w:r w:rsidRPr="00D515F5">
        <w:rPr>
          <w:rFonts w:ascii="Arial" w:hAnsi="Arial" w:cs="Arial"/>
          <w:szCs w:val="22"/>
          <w:lang w:val="fr-FR"/>
        </w:rPr>
        <w:t>ÉTAT DES ESPÈCES MIGRATRICES DANS LE MONDE</w:t>
      </w:r>
      <w:bookmarkEnd w:id="0"/>
    </w:p>
    <w:p w14:paraId="1AE763E5" w14:textId="77777777" w:rsidR="00143EB6" w:rsidRPr="00D515F5" w:rsidRDefault="00D515F5">
      <w:pPr>
        <w:jc w:val="center"/>
        <w:rPr>
          <w:rFonts w:cs="Arial"/>
          <w:i/>
          <w:lang w:val="fr-FR"/>
        </w:rPr>
      </w:pPr>
      <w:r w:rsidRPr="00D515F5">
        <w:rPr>
          <w:rFonts w:cs="Arial"/>
          <w:i/>
          <w:lang w:val="fr-FR"/>
        </w:rPr>
        <w:t>(Préparé par le Secrétariat)</w:t>
      </w:r>
    </w:p>
    <w:p w14:paraId="39F00B54" w14:textId="7305E473" w:rsidR="00143EB6" w:rsidRPr="00D515F5" w:rsidRDefault="00143EB6">
      <w:pPr>
        <w:jc w:val="both"/>
        <w:rPr>
          <w:rFonts w:cs="Arial"/>
          <w:lang w:val="fr-FR"/>
        </w:rPr>
      </w:pPr>
    </w:p>
    <w:p w14:paraId="48EF65C3" w14:textId="0B205913" w:rsidR="00143EB6" w:rsidRPr="00D515F5" w:rsidRDefault="00D515F5">
      <w:pPr>
        <w:jc w:val="both"/>
        <w:rPr>
          <w:rFonts w:cs="Arial"/>
          <w:lang w:val="fr-FR"/>
        </w:rPr>
      </w:pPr>
      <w:r w:rsidRPr="00D515F5">
        <w:rPr>
          <w:rFonts w:cs="Arial"/>
          <w:noProof/>
          <w:lang w:val="fr-FR"/>
        </w:rPr>
        <mc:AlternateContent>
          <mc:Choice Requires="wps">
            <w:drawing>
              <wp:anchor distT="0" distB="0" distL="114300" distR="114300" simplePos="0" relativeHeight="251658240" behindDoc="1" locked="0" layoutInCell="1" allowOverlap="1" wp14:anchorId="2722EB67" wp14:editId="58783DE8">
                <wp:simplePos x="0" y="0"/>
                <wp:positionH relativeFrom="margin">
                  <wp:posOffset>1060450</wp:posOffset>
                </wp:positionH>
                <wp:positionV relativeFrom="margin">
                  <wp:posOffset>2274570</wp:posOffset>
                </wp:positionV>
                <wp:extent cx="4166235" cy="3696970"/>
                <wp:effectExtent l="0" t="0" r="24765" b="1778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6235" cy="3696970"/>
                        </a:xfrm>
                        <a:prstGeom prst="rect">
                          <a:avLst/>
                        </a:prstGeom>
                        <a:solidFill>
                          <a:srgbClr val="FFFFFF"/>
                        </a:solidFill>
                        <a:ln w="3175">
                          <a:solidFill>
                            <a:srgbClr val="000000"/>
                          </a:solidFill>
                          <a:miter lim="800000"/>
                          <a:headEnd/>
                          <a:tailEnd/>
                        </a:ln>
                      </wps:spPr>
                      <wps:txbx>
                        <w:txbxContent>
                          <w:p w14:paraId="31FA2767" w14:textId="77777777" w:rsidR="00143EB6" w:rsidRDefault="00D515F5">
                            <w:pPr>
                              <w:rPr>
                                <w:rFonts w:cs="Arial"/>
                                <w:lang w:val="fr-FR"/>
                              </w:rPr>
                            </w:pPr>
                            <w:r>
                              <w:rPr>
                                <w:rFonts w:cs="Arial"/>
                                <w:lang w:val="fr-FR"/>
                              </w:rPr>
                              <w:t>Résumé :</w:t>
                            </w:r>
                          </w:p>
                          <w:p w14:paraId="64C67741" w14:textId="77777777" w:rsidR="00143EB6" w:rsidRDefault="00143EB6">
                            <w:pPr>
                              <w:rPr>
                                <w:rFonts w:cs="Arial"/>
                                <w:lang w:val="fr-FR"/>
                              </w:rPr>
                            </w:pPr>
                          </w:p>
                          <w:p w14:paraId="2CD9D47A" w14:textId="77777777" w:rsidR="00143EB6" w:rsidRDefault="00D515F5">
                            <w:pPr>
                              <w:jc w:val="both"/>
                              <w:rPr>
                                <w:b/>
                                <w:bCs/>
                                <w:lang w:val="fr-FR"/>
                              </w:rPr>
                            </w:pPr>
                            <w:r>
                              <w:rPr>
                                <w:lang w:val="fr-FR"/>
                              </w:rPr>
                              <w:t xml:space="preserve">La Résolution 14.4 a demandé au Secrétariat de la CMS d'élaborer un rapport dur l'état des espèces migratrices dans le monde pour une session de la Conférence des Parties sur deux, la deuxième édition devant être préparée pour la COP16.  La Résolution demande en outre au Conseil scientifique de fournir des orientations au Secrétariat sur le champ d'application et toute section supplémentaire du rapport, ainsi que sur le développement du tableau de bord des données de la CMS en ligne. </w:t>
                            </w:r>
                          </w:p>
                          <w:p w14:paraId="3BB91A52" w14:textId="77777777" w:rsidR="00143EB6" w:rsidRDefault="00143EB6">
                            <w:pPr>
                              <w:jc w:val="both"/>
                              <w:rPr>
                                <w:lang w:val="fr-FR"/>
                              </w:rPr>
                            </w:pPr>
                          </w:p>
                          <w:p w14:paraId="47339900" w14:textId="77777777" w:rsidR="00143EB6" w:rsidRDefault="00D515F5">
                            <w:pPr>
                              <w:jc w:val="both"/>
                              <w:rPr>
                                <w:lang w:val="fr-FR"/>
                              </w:rPr>
                            </w:pPr>
                            <w:r>
                              <w:rPr>
                                <w:lang w:val="fr-FR"/>
                              </w:rPr>
                              <w:t>Les Décisions 14.23 et 14.24 définissent des mandats connexes pour le Secrétariat et le Conseil scientifique pendant la période intersessions jusqu'à la COP15, y compris l'identification de tout développement majeur concernant l'état de conservation des espèces migratrices.</w:t>
                            </w:r>
                          </w:p>
                          <w:p w14:paraId="21816D58" w14:textId="77777777" w:rsidR="00143EB6" w:rsidRDefault="00143EB6">
                            <w:pPr>
                              <w:jc w:val="both"/>
                              <w:rPr>
                                <w:lang w:val="fr-FR"/>
                              </w:rPr>
                            </w:pPr>
                          </w:p>
                          <w:p w14:paraId="7D4C825C" w14:textId="77777777" w:rsidR="00143EB6" w:rsidRDefault="00D515F5">
                            <w:pPr>
                              <w:jc w:val="both"/>
                              <w:rPr>
                                <w:rFonts w:cs="Arial"/>
                                <w:lang w:val="fr-FR"/>
                              </w:rPr>
                            </w:pPr>
                            <w:r>
                              <w:rPr>
                                <w:lang w:val="fr-FR"/>
                              </w:rPr>
                              <w:t>Ce document décrit les orientations requises de la part du Conseil scientifique afin de remplir les mandats de la Résolution 14.4 et des décisions pertinentes sur l'état de conservation des espèces migratrices.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2EB67" id="_x0000_t202" coordsize="21600,21600" o:spt="202" path="m,l,21600r21600,l21600,xe">
                <v:stroke joinstyle="miter"/>
                <v:path gradientshapeok="t" o:connecttype="rect"/>
              </v:shapetype>
              <v:shape id="Text Box 4" o:spid="_x0000_s1026" type="#_x0000_t202" style="position:absolute;left:0;text-align:left;margin-left:83.5pt;margin-top:179.1pt;width:328.05pt;height:291.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" strokeweight=".25pt">
                <v:textbox>
                  <w:txbxContent>
                    <w:p w14:paraId="31FA2767" w14:textId="77777777" w:rsidR="00143EB6" w:rsidRDefault="00D515F5">
                      <w:pPr>
                        <w:rPr>
                          <w:rFonts w:cs="Arial"/>
                          <w:lang w:val="fr-FR"/>
                        </w:rPr>
                      </w:pPr>
                      <w:r>
                        <w:rPr>
                          <w:rFonts w:cs="Arial"/>
                          <w:lang w:val="fr-FR"/>
                        </w:rPr>
                        <w:t>Résumé :</w:t>
                      </w:r>
                    </w:p>
                    <w:p w14:paraId="64C67741" w14:textId="77777777" w:rsidR="00143EB6" w:rsidRDefault="00143EB6">
                      <w:pPr>
                        <w:rPr>
                          <w:rFonts w:cs="Arial"/>
                          <w:lang w:val="fr-FR"/>
                        </w:rPr>
                      </w:pPr>
                    </w:p>
                    <w:p w14:paraId="2CD9D47A" w14:textId="77777777" w:rsidR="00143EB6" w:rsidRDefault="00D515F5">
                      <w:pPr>
                        <w:jc w:val="both"/>
                        <w:rPr>
                          <w:b/>
                          <w:bCs/>
                          <w:lang w:val="fr-FR"/>
                        </w:rPr>
                      </w:pPr>
                      <w:r>
                        <w:rPr>
                          <w:lang w:val="fr-FR"/>
                        </w:rPr>
                        <w:t xml:space="preserve">La Résolution 14.4 a demandé au Secrétariat de la CMS d'élaborer un rapport dur l'état des espèces migratrices dans le monde pour une session de la Conférence des Parties sur deux, la deuxième édition devant être préparée pour la COP16.  La Résolution demande en outre au Conseil scientifique de fournir des orientations au Secrétariat sur le champ d'application et toute section supplémentaire du rapport, ainsi que sur le développement du tableau de bord des données de la CMS en ligne. </w:t>
                      </w:r>
                    </w:p>
                    <w:p w14:paraId="3BB91A52" w14:textId="77777777" w:rsidR="00143EB6" w:rsidRDefault="00143EB6">
                      <w:pPr>
                        <w:jc w:val="both"/>
                        <w:rPr>
                          <w:lang w:val="fr-FR"/>
                        </w:rPr>
                      </w:pPr>
                    </w:p>
                    <w:p w14:paraId="47339900" w14:textId="77777777" w:rsidR="00143EB6" w:rsidRDefault="00D515F5">
                      <w:pPr>
                        <w:jc w:val="both"/>
                        <w:rPr>
                          <w:lang w:val="fr-FR"/>
                        </w:rPr>
                      </w:pPr>
                      <w:r>
                        <w:rPr>
                          <w:lang w:val="fr-FR"/>
                        </w:rPr>
                        <w:t>Les Décisions 14.23 et 14.24 définissent des mandats connexes pour le Secrétariat et le Conseil scientifique pendant la période intersessions jusqu'à la COP15, y compris l'identification de tout développement majeur concernant l'état de conservation des espèces migratrices.</w:t>
                      </w:r>
                    </w:p>
                    <w:p w14:paraId="21816D58" w14:textId="77777777" w:rsidR="00143EB6" w:rsidRDefault="00143EB6">
                      <w:pPr>
                        <w:jc w:val="both"/>
                        <w:rPr>
                          <w:lang w:val="fr-FR"/>
                        </w:rPr>
                      </w:pPr>
                    </w:p>
                    <w:p w14:paraId="7D4C825C" w14:textId="77777777" w:rsidR="00143EB6" w:rsidRDefault="00D515F5">
                      <w:pPr>
                        <w:jc w:val="both"/>
                        <w:rPr>
                          <w:rFonts w:cs="Arial"/>
                          <w:lang w:val="fr-FR"/>
                        </w:rPr>
                      </w:pPr>
                      <w:r>
                        <w:rPr>
                          <w:lang w:val="fr-FR"/>
                        </w:rPr>
                        <w:t>Ce document décrit les orientations requises de la part du Conseil scientifique afin de remplir les mandats de la Résolution 14.4 et des décisions pertinentes sur l'état de conservation des espèces migratrices.</w:t>
                      </w:r>
                    </w:p>
                  </w:txbxContent>
                </v:textbox>
                <w10:wrap type="square" anchorx="margin" anchory="margin"/>
              </v:shape>
            </w:pict>
          </mc:Fallback>
        </mc:AlternateContent>
      </w:r>
    </w:p>
    <w:p w14:paraId="231FD849" w14:textId="77777777" w:rsidR="00143EB6" w:rsidRPr="00D515F5" w:rsidRDefault="00143EB6">
      <w:pPr>
        <w:jc w:val="both"/>
        <w:rPr>
          <w:rFonts w:cs="Arial"/>
          <w:lang w:val="fr-FR"/>
        </w:rPr>
      </w:pPr>
    </w:p>
    <w:p w14:paraId="17B93852" w14:textId="77777777" w:rsidR="00143EB6" w:rsidRPr="00D515F5" w:rsidRDefault="00143EB6">
      <w:pPr>
        <w:suppressAutoHyphens/>
        <w:rPr>
          <w:rFonts w:cs="Arial"/>
          <w:lang w:val="fr-FR"/>
        </w:rPr>
      </w:pPr>
    </w:p>
    <w:p w14:paraId="37B2666D" w14:textId="77777777" w:rsidR="00143EB6" w:rsidRPr="00D515F5" w:rsidRDefault="00143EB6">
      <w:pPr>
        <w:suppressAutoHyphens/>
        <w:rPr>
          <w:rFonts w:eastAsia="Times New Roman" w:cs="Arial"/>
          <w:color w:val="000000"/>
          <w:kern w:val="2"/>
          <w:lang w:val="fr-FR"/>
        </w:rPr>
        <w:sectPr w:rsidR="00143EB6" w:rsidRPr="00D515F5">
          <w:headerReference w:type="even" r:id="rId11"/>
          <w:headerReference w:type="default" r:id="rId12"/>
          <w:footerReference w:type="even" r:id="rId13"/>
          <w:footerReference w:type="default" r:id="rId14"/>
          <w:headerReference w:type="first" r:id="rId15"/>
          <w:pgSz w:w="11906" w:h="16838" w:code="9"/>
          <w:pgMar w:top="1134" w:right="1134" w:bottom="1134" w:left="1134" w:header="720" w:footer="580" w:gutter="0"/>
          <w:cols w:space="720"/>
          <w:titlePg/>
          <w:docGrid w:linePitch="360"/>
        </w:sectPr>
      </w:pPr>
    </w:p>
    <w:p w14:paraId="521025C2" w14:textId="77777777" w:rsidR="00143EB6" w:rsidRPr="00D515F5" w:rsidRDefault="00D515F5">
      <w:pPr>
        <w:widowControl w:val="0"/>
        <w:pBdr>
          <w:top w:val="single" w:sz="6" w:space="0" w:color="FFFFFF"/>
          <w:left w:val="single" w:sz="6" w:space="0" w:color="FFFFFF"/>
          <w:bottom w:val="single" w:sz="6" w:space="0" w:color="FFFFFF"/>
          <w:right w:val="single" w:sz="6" w:space="0" w:color="FFFFFF"/>
        </w:pBdr>
        <w:autoSpaceDE w:val="0"/>
        <w:autoSpaceDN w:val="0"/>
        <w:adjustRightInd w:val="0"/>
        <w:ind w:left="-90" w:right="-367"/>
        <w:jc w:val="center"/>
        <w:outlineLvl w:val="1"/>
        <w:rPr>
          <w:rFonts w:eastAsia="Times New Roman" w:cs="Arial"/>
          <w:b/>
          <w:bCs/>
          <w:caps/>
          <w:lang w:val="fr-FR"/>
        </w:rPr>
      </w:pPr>
      <w:r w:rsidRPr="00D515F5">
        <w:rPr>
          <w:rFonts w:eastAsia="Times New Roman" w:cs="Arial"/>
          <w:b/>
          <w:bCs/>
          <w:caps/>
          <w:lang w:val="fr-FR"/>
        </w:rPr>
        <w:lastRenderedPageBreak/>
        <w:t>ÉTAT DES ESPÈCES MIGRATRICES DANS LE MONDE</w:t>
      </w:r>
    </w:p>
    <w:p w14:paraId="50856C3A" w14:textId="77777777" w:rsidR="00143EB6" w:rsidRPr="00D515F5" w:rsidRDefault="00143EB6">
      <w:pPr>
        <w:jc w:val="both"/>
        <w:rPr>
          <w:rFonts w:cs="Arial"/>
          <w:lang w:val="fr-FR"/>
        </w:rPr>
      </w:pPr>
    </w:p>
    <w:p w14:paraId="2995C45D" w14:textId="77777777" w:rsidR="00143EB6" w:rsidRPr="00D515F5" w:rsidRDefault="00143EB6">
      <w:pPr>
        <w:widowControl w:val="0"/>
        <w:suppressAutoHyphens/>
        <w:autoSpaceDE w:val="0"/>
        <w:autoSpaceDN w:val="0"/>
        <w:textAlignment w:val="baseline"/>
        <w:rPr>
          <w:rFonts w:cs="Arial"/>
          <w:u w:val="single"/>
          <w:lang w:val="fr-FR"/>
        </w:rPr>
      </w:pPr>
    </w:p>
    <w:p w14:paraId="719AEEB6" w14:textId="77777777" w:rsidR="00143EB6" w:rsidRPr="00D515F5" w:rsidRDefault="00D515F5">
      <w:pPr>
        <w:widowControl w:val="0"/>
        <w:suppressAutoHyphens/>
        <w:autoSpaceDE w:val="0"/>
        <w:autoSpaceDN w:val="0"/>
        <w:textAlignment w:val="baseline"/>
        <w:rPr>
          <w:rFonts w:cs="Arial"/>
          <w:u w:val="single"/>
          <w:lang w:val="fr-FR"/>
        </w:rPr>
      </w:pPr>
      <w:r w:rsidRPr="00D515F5">
        <w:rPr>
          <w:rFonts w:cs="Arial"/>
          <w:u w:val="single"/>
          <w:lang w:val="fr-FR"/>
        </w:rPr>
        <w:t>Contexte général</w:t>
      </w:r>
    </w:p>
    <w:p w14:paraId="5FC4AE88" w14:textId="77777777" w:rsidR="00143EB6" w:rsidRPr="00D515F5" w:rsidRDefault="00143EB6">
      <w:pPr>
        <w:widowControl w:val="0"/>
        <w:suppressAutoHyphens/>
        <w:autoSpaceDE w:val="0"/>
        <w:autoSpaceDN w:val="0"/>
        <w:textAlignment w:val="baseline"/>
        <w:rPr>
          <w:rFonts w:cs="Arial"/>
          <w:u w:val="single"/>
          <w:lang w:val="fr-FR"/>
        </w:rPr>
      </w:pPr>
    </w:p>
    <w:p w14:paraId="17687F56" w14:textId="5ECC8D23" w:rsidR="00143EB6" w:rsidRPr="00D515F5" w:rsidRDefault="00D515F5">
      <w:pPr>
        <w:widowControl w:val="0"/>
        <w:numPr>
          <w:ilvl w:val="0"/>
          <w:numId w:val="18"/>
        </w:numPr>
        <w:suppressAutoHyphens/>
        <w:autoSpaceDE w:val="0"/>
        <w:autoSpaceDN w:val="0"/>
        <w:jc w:val="both"/>
        <w:textAlignment w:val="baseline"/>
        <w:rPr>
          <w:rFonts w:cs="Arial"/>
          <w:lang w:val="fr-FR"/>
        </w:rPr>
      </w:pPr>
      <w:r w:rsidRPr="00D515F5">
        <w:rPr>
          <w:rFonts w:cs="Arial"/>
          <w:lang w:val="fr-FR"/>
        </w:rPr>
        <w:t>Le premier rapport sur l'état des espèces migratrices dans le monde, lancé lors de la quatorzième réunion de la Conférence des Parties à la Convention sur les espèces migratrices (CMS COP14), a fourni une base de référence complète sur l'état de conservation des espèces migratrices. Le rapport traduit les résultats scientifiques sur les pressions qui pèsent sur les espèces migratrices et leurs habitats en un ensemble clair de recommandations pour les Parties à la CMS et la communauté mondiale au sens large. Il a également mis en évidence des exemples marquants de cas où la conservation fait déjà la différence, tout en relevant les lacunes en matière de connaissances et de mise en œuvre. Le rapport a joué un rôle important dans l'orientation des discussions de la COP14 et a contribué à donner une visibilité mondiale sans précédent aux espèces migratrices et aux problèmes auxquels elles sont confrontées dans un monde en mutation rapide. Dans le cadre de ses travaux sur l'état de conservation des espèces migratrices, le Secrétariat a préparé des études de cas approfondies sur un certain nombre d'espèces inscrites sur la liste de la CMS, ainsi qu'une analyse relative à l'utilisation directe d'espèces inscrites sur la liste de la CMS, comme l'a demandé la COP13 de la CMS dans la Décision 13.24 b) et c).</w:t>
      </w:r>
    </w:p>
    <w:p w14:paraId="1EE9B73F" w14:textId="77777777" w:rsidR="00143EB6" w:rsidRPr="00D515F5" w:rsidRDefault="00143EB6">
      <w:pPr>
        <w:widowControl w:val="0"/>
        <w:suppressAutoHyphens/>
        <w:autoSpaceDE w:val="0"/>
        <w:autoSpaceDN w:val="0"/>
        <w:ind w:left="567"/>
        <w:jc w:val="both"/>
        <w:textAlignment w:val="baseline"/>
        <w:rPr>
          <w:rFonts w:cs="Arial"/>
          <w:lang w:val="fr-FR"/>
        </w:rPr>
      </w:pPr>
    </w:p>
    <w:p w14:paraId="0727BDCA" w14:textId="1F2914DF" w:rsidR="00143EB6" w:rsidRPr="00D515F5" w:rsidRDefault="00D515F5">
      <w:pPr>
        <w:widowControl w:val="0"/>
        <w:numPr>
          <w:ilvl w:val="0"/>
          <w:numId w:val="18"/>
        </w:numPr>
        <w:suppressAutoHyphens/>
        <w:autoSpaceDE w:val="0"/>
        <w:autoSpaceDN w:val="0"/>
        <w:jc w:val="both"/>
        <w:textAlignment w:val="baseline"/>
        <w:rPr>
          <w:rFonts w:cs="Arial"/>
          <w:lang w:val="fr-FR"/>
        </w:rPr>
      </w:pPr>
      <w:r w:rsidRPr="00D515F5">
        <w:rPr>
          <w:rFonts w:cs="Arial"/>
          <w:lang w:val="fr-FR"/>
        </w:rPr>
        <w:t xml:space="preserve">La COP14 a adopté la </w:t>
      </w:r>
      <w:hyperlink r:id="rId16" w:history="1">
        <w:r w:rsidRPr="00D515F5">
          <w:rPr>
            <w:rStyle w:val="Hyperlink"/>
            <w:rFonts w:cs="Arial"/>
            <w:lang w:val="fr-FR"/>
          </w:rPr>
          <w:t>Résolution 14.4</w:t>
        </w:r>
      </w:hyperlink>
      <w:r w:rsidRPr="00D515F5">
        <w:rPr>
          <w:rFonts w:cs="Arial"/>
          <w:lang w:val="fr-FR"/>
        </w:rPr>
        <w:t xml:space="preserve"> </w:t>
      </w:r>
      <w:r w:rsidR="00825333" w:rsidRPr="00825333">
        <w:rPr>
          <w:rFonts w:cs="Arial"/>
          <w:i/>
          <w:iCs/>
          <w:lang w:val="fr-FR"/>
        </w:rPr>
        <w:t xml:space="preserve">Rapport sur l’état </w:t>
      </w:r>
      <w:r w:rsidRPr="00D515F5">
        <w:rPr>
          <w:rFonts w:cs="Arial"/>
          <w:i/>
          <w:lang w:val="fr-FR"/>
        </w:rPr>
        <w:t>des espèces migratrices dans le monde</w:t>
      </w:r>
      <w:r w:rsidRPr="00D515F5">
        <w:rPr>
          <w:rFonts w:cs="Arial"/>
          <w:lang w:val="fr-FR"/>
        </w:rPr>
        <w:t xml:space="preserve"> et les Décisions 14.20-14.24 </w:t>
      </w:r>
      <w:r w:rsidRPr="00D515F5">
        <w:rPr>
          <w:rFonts w:cs="Arial"/>
          <w:i/>
          <w:lang w:val="fr-FR"/>
        </w:rPr>
        <w:t>État de conservation des espèces migratrices</w:t>
      </w:r>
      <w:r w:rsidRPr="00D515F5">
        <w:rPr>
          <w:rStyle w:val="CommentReference"/>
          <w:rFonts w:cs="Arial"/>
          <w:sz w:val="22"/>
          <w:szCs w:val="22"/>
          <w:lang w:val="fr-FR"/>
        </w:rPr>
        <w:t>.</w:t>
      </w:r>
      <w:r w:rsidRPr="00D515F5">
        <w:rPr>
          <w:rFonts w:cs="Arial"/>
          <w:lang w:val="fr-FR"/>
        </w:rPr>
        <w:t xml:space="preserve"> </w:t>
      </w:r>
    </w:p>
    <w:p w14:paraId="1AA88FF4" w14:textId="77777777" w:rsidR="00143EB6" w:rsidRPr="00D515F5" w:rsidRDefault="00143EB6">
      <w:pPr>
        <w:pStyle w:val="ListParagraph"/>
        <w:contextualSpacing w:val="0"/>
        <w:jc w:val="both"/>
        <w:rPr>
          <w:rFonts w:ascii="Arial" w:hAnsi="Arial" w:cs="Arial"/>
          <w:sz w:val="22"/>
          <w:szCs w:val="22"/>
          <w:lang w:val="fr-FR"/>
        </w:rPr>
      </w:pPr>
    </w:p>
    <w:p w14:paraId="4FA74581" w14:textId="77777777" w:rsidR="00143EB6" w:rsidRPr="00D515F5" w:rsidRDefault="00D515F5">
      <w:pPr>
        <w:widowControl w:val="0"/>
        <w:numPr>
          <w:ilvl w:val="0"/>
          <w:numId w:val="18"/>
        </w:numPr>
        <w:suppressAutoHyphens/>
        <w:autoSpaceDE w:val="0"/>
        <w:autoSpaceDN w:val="0"/>
        <w:jc w:val="both"/>
        <w:textAlignment w:val="baseline"/>
        <w:rPr>
          <w:rFonts w:cs="Arial"/>
          <w:lang w:val="fr-FR"/>
        </w:rPr>
      </w:pPr>
      <w:r w:rsidRPr="00D515F5">
        <w:rPr>
          <w:rFonts w:cs="Arial"/>
          <w:lang w:val="fr-FR"/>
        </w:rPr>
        <w:t>La Résolution 14.4 demande au Secrétariat de la CMS d'élaborer un état des espèces migratrices du monde pour une session de la Conférence des Parties sur deux, la deuxième édition devant être préparée pour la COP16. Elle inclut au paragraphe 3 des éléments pour l'approche et le contenu des futurs rapports. Il s'agit notamment de domaines qui pourraient déjà être lancés pendant l'intersession entre la COP14 et la COP15, tels que l'identification de sections « coup de projecteur » supplémentaires sur des sujets spécifiques ou des questions importantes pour les rapports, ainsi que des études de cas approfondies.</w:t>
      </w:r>
    </w:p>
    <w:p w14:paraId="5F2232BD" w14:textId="77777777" w:rsidR="00143EB6" w:rsidRPr="00D515F5" w:rsidRDefault="00143EB6">
      <w:pPr>
        <w:widowControl w:val="0"/>
        <w:suppressAutoHyphens/>
        <w:autoSpaceDE w:val="0"/>
        <w:autoSpaceDN w:val="0"/>
        <w:jc w:val="both"/>
        <w:textAlignment w:val="baseline"/>
        <w:rPr>
          <w:rFonts w:cs="Arial"/>
          <w:lang w:val="fr-FR"/>
        </w:rPr>
      </w:pPr>
    </w:p>
    <w:p w14:paraId="3E016470" w14:textId="77777777" w:rsidR="00143EB6" w:rsidRPr="00D515F5" w:rsidRDefault="00D515F5">
      <w:pPr>
        <w:widowControl w:val="0"/>
        <w:numPr>
          <w:ilvl w:val="0"/>
          <w:numId w:val="18"/>
        </w:numPr>
        <w:suppressAutoHyphens/>
        <w:autoSpaceDE w:val="0"/>
        <w:autoSpaceDN w:val="0"/>
        <w:jc w:val="both"/>
        <w:textAlignment w:val="baseline"/>
        <w:rPr>
          <w:rFonts w:cs="Arial"/>
          <w:lang w:val="fr-FR"/>
        </w:rPr>
      </w:pPr>
      <w:r w:rsidRPr="00D515F5">
        <w:rPr>
          <w:rFonts w:cs="Arial"/>
          <w:lang w:val="fr-FR"/>
        </w:rPr>
        <w:t>La Résolution 14.4 demande aussi au Secrétariat de la CMS de concevoir et de gérer un tableau de bord de données en ligne pour compiler des statistiques clés de haut niveau sur les espèces inscrites aux Annexes de la CMS et d'autres espèces migratrices et leurs habitats afin d'étayer l'examen de l'état de conservation des espèces migratrices et de soutenir le suivi de la mise en œuvre de la Convention.</w:t>
      </w:r>
    </w:p>
    <w:p w14:paraId="5676E61E" w14:textId="77777777" w:rsidR="00143EB6" w:rsidRPr="00D515F5" w:rsidRDefault="00143EB6">
      <w:pPr>
        <w:widowControl w:val="0"/>
        <w:suppressAutoHyphens/>
        <w:autoSpaceDE w:val="0"/>
        <w:autoSpaceDN w:val="0"/>
        <w:jc w:val="both"/>
        <w:textAlignment w:val="baseline"/>
        <w:rPr>
          <w:rFonts w:cs="Arial"/>
          <w:lang w:val="fr-FR"/>
        </w:rPr>
      </w:pPr>
    </w:p>
    <w:p w14:paraId="2A66E70A" w14:textId="77777777" w:rsidR="00143EB6" w:rsidRPr="00D515F5" w:rsidRDefault="00D515F5">
      <w:pPr>
        <w:widowControl w:val="0"/>
        <w:numPr>
          <w:ilvl w:val="0"/>
          <w:numId w:val="18"/>
        </w:numPr>
        <w:suppressAutoHyphens/>
        <w:autoSpaceDE w:val="0"/>
        <w:autoSpaceDN w:val="0"/>
        <w:jc w:val="both"/>
        <w:textAlignment w:val="baseline"/>
        <w:rPr>
          <w:rFonts w:cs="Arial"/>
          <w:lang w:val="fr-FR"/>
        </w:rPr>
      </w:pPr>
      <w:r w:rsidRPr="00D515F5">
        <w:rPr>
          <w:rFonts w:cs="Arial"/>
          <w:lang w:val="fr-FR"/>
        </w:rPr>
        <w:t>La Résolution 14.4 demande au Conseil scientifique de fournir des orientations au Secrétariat sur le champ d'application et toute section « coup de projecteur » supplémentaire portant sur des sujets particuliers ou des questions importantes pour les rapports, ainsi que sur l'élaboration du tableau de bord des données de la CMS en ligne.</w:t>
      </w:r>
    </w:p>
    <w:p w14:paraId="48BA31D1" w14:textId="77777777" w:rsidR="00143EB6" w:rsidRPr="00D515F5" w:rsidRDefault="00143EB6">
      <w:pPr>
        <w:widowControl w:val="0"/>
        <w:suppressAutoHyphens/>
        <w:autoSpaceDE w:val="0"/>
        <w:autoSpaceDN w:val="0"/>
        <w:jc w:val="both"/>
        <w:textAlignment w:val="baseline"/>
        <w:rPr>
          <w:rFonts w:cs="Arial"/>
          <w:lang w:val="fr-FR"/>
        </w:rPr>
      </w:pPr>
    </w:p>
    <w:p w14:paraId="2A15E7D5" w14:textId="77777777" w:rsidR="00143EB6" w:rsidRPr="00D515F5" w:rsidRDefault="00D515F5">
      <w:pPr>
        <w:widowControl w:val="0"/>
        <w:numPr>
          <w:ilvl w:val="0"/>
          <w:numId w:val="18"/>
        </w:numPr>
        <w:suppressAutoHyphens/>
        <w:autoSpaceDE w:val="0"/>
        <w:autoSpaceDN w:val="0"/>
        <w:jc w:val="both"/>
        <w:textAlignment w:val="baseline"/>
        <w:rPr>
          <w:rFonts w:cs="Arial"/>
          <w:lang w:val="fr-FR"/>
        </w:rPr>
      </w:pPr>
      <w:r w:rsidRPr="00D515F5">
        <w:rPr>
          <w:rFonts w:cs="Arial"/>
          <w:lang w:val="fr-FR"/>
        </w:rPr>
        <w:t>Les Décisions 14.23 et 14.24 décrivent les actions à entreprendre pour mettre en œuvre la Résolution 14.4 pendant la période intersessions jusqu'à COP15, et confient des tâches spécifiques au Conseil scientifique et au Secrétariat, comme suit :</w:t>
      </w:r>
    </w:p>
    <w:p w14:paraId="256BA61B" w14:textId="77777777" w:rsidR="00143EB6" w:rsidRPr="00D515F5" w:rsidRDefault="00143EB6">
      <w:pPr>
        <w:widowControl w:val="0"/>
        <w:suppressAutoHyphens/>
        <w:autoSpaceDE w:val="0"/>
        <w:autoSpaceDN w:val="0"/>
        <w:ind w:left="567"/>
        <w:jc w:val="both"/>
        <w:textAlignment w:val="baseline"/>
        <w:rPr>
          <w:rFonts w:cs="Arial"/>
          <w:lang w:val="fr-FR"/>
        </w:rPr>
      </w:pPr>
    </w:p>
    <w:p w14:paraId="2DD0177A" w14:textId="5177F9E6" w:rsidR="00143EB6" w:rsidRPr="00825333" w:rsidRDefault="00D515F5">
      <w:pPr>
        <w:widowControl w:val="0"/>
        <w:suppressAutoHyphens/>
        <w:autoSpaceDE w:val="0"/>
        <w:autoSpaceDN w:val="0"/>
        <w:ind w:left="851"/>
        <w:jc w:val="both"/>
        <w:textAlignment w:val="baseline"/>
        <w:rPr>
          <w:rFonts w:cs="Arial"/>
          <w:b/>
          <w:sz w:val="20"/>
          <w:szCs w:val="20"/>
          <w:lang w:val="fr-FR"/>
        </w:rPr>
      </w:pPr>
      <w:bookmarkStart w:id="1" w:name="_Hlk171072274"/>
      <w:r w:rsidRPr="00825333">
        <w:rPr>
          <w:rFonts w:cs="Arial"/>
          <w:b/>
          <w:sz w:val="20"/>
          <w:szCs w:val="20"/>
          <w:lang w:val="fr-FR"/>
        </w:rPr>
        <w:t>D</w:t>
      </w:r>
      <w:r w:rsidR="00825333" w:rsidRPr="00825333">
        <w:rPr>
          <w:rFonts w:cs="Arial"/>
          <w:b/>
          <w:sz w:val="20"/>
          <w:szCs w:val="20"/>
          <w:lang w:val="fr-FR"/>
        </w:rPr>
        <w:t>é</w:t>
      </w:r>
      <w:r w:rsidRPr="00825333">
        <w:rPr>
          <w:rFonts w:cs="Arial"/>
          <w:b/>
          <w:sz w:val="20"/>
          <w:szCs w:val="20"/>
          <w:lang w:val="fr-FR"/>
        </w:rPr>
        <w:t xml:space="preserve">cisions 14.23 – 14.24 </w:t>
      </w:r>
      <w:r w:rsidR="00825333" w:rsidRPr="00825333">
        <w:rPr>
          <w:rFonts w:cs="Arial"/>
          <w:b/>
          <w:i/>
          <w:sz w:val="20"/>
          <w:szCs w:val="20"/>
          <w:lang w:val="fr-FR"/>
        </w:rPr>
        <w:t>État de conservation des espèces migratrices</w:t>
      </w:r>
    </w:p>
    <w:p w14:paraId="2321699B" w14:textId="77777777" w:rsidR="00143EB6" w:rsidRPr="00825333" w:rsidRDefault="00143EB6">
      <w:pPr>
        <w:widowControl w:val="0"/>
        <w:suppressAutoHyphens/>
        <w:autoSpaceDE w:val="0"/>
        <w:autoSpaceDN w:val="0"/>
        <w:ind w:left="851"/>
        <w:jc w:val="both"/>
        <w:textAlignment w:val="baseline"/>
        <w:rPr>
          <w:rFonts w:cs="Arial"/>
          <w:i/>
          <w:sz w:val="20"/>
          <w:szCs w:val="20"/>
          <w:lang w:val="fr-FR"/>
        </w:rPr>
      </w:pPr>
    </w:p>
    <w:p w14:paraId="53DD2152" w14:textId="6D6442E8" w:rsidR="00143EB6" w:rsidRPr="00825333" w:rsidRDefault="00D515F5">
      <w:pPr>
        <w:widowControl w:val="0"/>
        <w:suppressAutoHyphens/>
        <w:autoSpaceDE w:val="0"/>
        <w:autoSpaceDN w:val="0"/>
        <w:ind w:left="851"/>
        <w:jc w:val="both"/>
        <w:textAlignment w:val="baseline"/>
        <w:rPr>
          <w:rFonts w:cs="Arial"/>
          <w:b/>
          <w:sz w:val="20"/>
          <w:szCs w:val="20"/>
          <w:lang w:val="fr-FR"/>
        </w:rPr>
      </w:pPr>
      <w:r w:rsidRPr="00825333">
        <w:rPr>
          <w:rFonts w:cs="Arial"/>
          <w:b/>
          <w:sz w:val="20"/>
          <w:szCs w:val="20"/>
          <w:lang w:val="fr-FR"/>
        </w:rPr>
        <w:t>14.23</w:t>
      </w:r>
      <w:r w:rsidRPr="00825333">
        <w:rPr>
          <w:rFonts w:cs="Arial"/>
          <w:b/>
          <w:sz w:val="20"/>
          <w:szCs w:val="20"/>
          <w:lang w:val="fr-FR"/>
        </w:rPr>
        <w:tab/>
      </w:r>
      <w:r w:rsidR="00825333" w:rsidRPr="00825333">
        <w:rPr>
          <w:rFonts w:cs="Arial"/>
          <w:b/>
          <w:sz w:val="20"/>
          <w:szCs w:val="20"/>
          <w:lang w:val="fr-FR"/>
        </w:rPr>
        <w:t>À l’adresse du Conseil scientifique</w:t>
      </w:r>
    </w:p>
    <w:bookmarkEnd w:id="1"/>
    <w:p w14:paraId="6554219A" w14:textId="77777777" w:rsidR="00143EB6" w:rsidRPr="00825333" w:rsidRDefault="00143EB6">
      <w:pPr>
        <w:widowControl w:val="0"/>
        <w:suppressAutoHyphens/>
        <w:autoSpaceDE w:val="0"/>
        <w:autoSpaceDN w:val="0"/>
        <w:ind w:left="851"/>
        <w:jc w:val="both"/>
        <w:textAlignment w:val="baseline"/>
        <w:rPr>
          <w:rFonts w:cs="Arial"/>
          <w:sz w:val="20"/>
          <w:szCs w:val="20"/>
          <w:lang w:val="fr-FR"/>
        </w:rPr>
      </w:pPr>
    </w:p>
    <w:p w14:paraId="6799F07A" w14:textId="1367E5CE" w:rsidR="00143EB6" w:rsidRPr="00825333" w:rsidRDefault="00825333">
      <w:pPr>
        <w:widowControl w:val="0"/>
        <w:suppressAutoHyphens/>
        <w:autoSpaceDE w:val="0"/>
        <w:autoSpaceDN w:val="0"/>
        <w:ind w:left="1260" w:hanging="360"/>
        <w:jc w:val="both"/>
        <w:textAlignment w:val="baseline"/>
        <w:rPr>
          <w:rFonts w:cs="Arial"/>
          <w:i/>
          <w:sz w:val="20"/>
          <w:szCs w:val="20"/>
          <w:lang w:val="fr-FR"/>
        </w:rPr>
      </w:pPr>
      <w:r w:rsidRPr="00825333">
        <w:rPr>
          <w:rFonts w:cs="Arial"/>
          <w:i/>
          <w:sz w:val="20"/>
          <w:szCs w:val="20"/>
          <w:lang w:val="fr-FR"/>
        </w:rPr>
        <w:t>Le Conseil scientifique, soutenu par le Secrétariat, est prié</w:t>
      </w:r>
      <w:r w:rsidR="00D515F5" w:rsidRPr="00825333">
        <w:rPr>
          <w:rFonts w:cs="Arial"/>
          <w:i/>
          <w:sz w:val="20"/>
          <w:szCs w:val="20"/>
          <w:lang w:val="fr-FR"/>
        </w:rPr>
        <w:t>:</w:t>
      </w:r>
    </w:p>
    <w:p w14:paraId="17AB68DE" w14:textId="77777777" w:rsidR="00143EB6" w:rsidRPr="00825333" w:rsidRDefault="00143EB6">
      <w:pPr>
        <w:widowControl w:val="0"/>
        <w:suppressAutoHyphens/>
        <w:autoSpaceDE w:val="0"/>
        <w:autoSpaceDN w:val="0"/>
        <w:ind w:left="1260" w:hanging="360"/>
        <w:jc w:val="both"/>
        <w:textAlignment w:val="baseline"/>
        <w:rPr>
          <w:rFonts w:cs="Arial"/>
          <w:i/>
          <w:sz w:val="20"/>
          <w:szCs w:val="20"/>
          <w:lang w:val="fr-FR"/>
        </w:rPr>
      </w:pPr>
    </w:p>
    <w:p w14:paraId="25E2B962" w14:textId="706619F9" w:rsidR="00143EB6" w:rsidRPr="00A556FD" w:rsidRDefault="00D515F5">
      <w:pPr>
        <w:widowControl w:val="0"/>
        <w:suppressAutoHyphens/>
        <w:autoSpaceDE w:val="0"/>
        <w:autoSpaceDN w:val="0"/>
        <w:ind w:left="1260" w:hanging="360"/>
        <w:jc w:val="both"/>
        <w:textAlignment w:val="baseline"/>
        <w:rPr>
          <w:rFonts w:cs="Arial"/>
          <w:i/>
          <w:sz w:val="20"/>
          <w:szCs w:val="20"/>
          <w:lang w:val="fr-FR"/>
        </w:rPr>
      </w:pPr>
      <w:r w:rsidRPr="00A556FD">
        <w:rPr>
          <w:rFonts w:cs="Arial"/>
          <w:i/>
          <w:sz w:val="20"/>
          <w:szCs w:val="20"/>
          <w:lang w:val="fr-FR"/>
        </w:rPr>
        <w:t xml:space="preserve">a) </w:t>
      </w:r>
      <w:r w:rsidRPr="00A556FD">
        <w:rPr>
          <w:rFonts w:cs="Arial"/>
          <w:i/>
          <w:sz w:val="20"/>
          <w:szCs w:val="20"/>
          <w:lang w:val="fr-FR"/>
        </w:rPr>
        <w:tab/>
      </w:r>
      <w:r w:rsidR="00A556FD" w:rsidRPr="00A556FD">
        <w:rPr>
          <w:rFonts w:cs="Arial"/>
          <w:i/>
          <w:sz w:val="20"/>
          <w:szCs w:val="20"/>
          <w:lang w:val="fr-FR"/>
        </w:rPr>
        <w:t>de fournir des conseils au Secrétariat sur le format, le contenu et toute section « coup de projecteur » supplémentaire sur des sujets spécifiques ou des questions d'importance pour la deuxième édition du rapport sur l'état des espèces migratrices dans le monde ; et</w:t>
      </w:r>
    </w:p>
    <w:p w14:paraId="2FD3CBD7" w14:textId="48E97280" w:rsidR="00143EB6" w:rsidRPr="00A556FD" w:rsidRDefault="00D515F5">
      <w:pPr>
        <w:widowControl w:val="0"/>
        <w:suppressAutoHyphens/>
        <w:autoSpaceDE w:val="0"/>
        <w:autoSpaceDN w:val="0"/>
        <w:ind w:left="1260" w:hanging="360"/>
        <w:jc w:val="both"/>
        <w:textAlignment w:val="baseline"/>
        <w:rPr>
          <w:rFonts w:cs="Arial"/>
          <w:i/>
          <w:sz w:val="20"/>
          <w:szCs w:val="20"/>
          <w:lang w:val="fr-FR"/>
        </w:rPr>
      </w:pPr>
      <w:r w:rsidRPr="00A556FD">
        <w:rPr>
          <w:rFonts w:cs="Arial"/>
          <w:i/>
          <w:sz w:val="20"/>
          <w:szCs w:val="20"/>
          <w:lang w:val="fr-FR"/>
        </w:rPr>
        <w:lastRenderedPageBreak/>
        <w:t>b)</w:t>
      </w:r>
      <w:r w:rsidRPr="00A556FD">
        <w:rPr>
          <w:rFonts w:cs="Arial"/>
          <w:i/>
          <w:sz w:val="20"/>
          <w:szCs w:val="20"/>
          <w:lang w:val="fr-FR"/>
        </w:rPr>
        <w:tab/>
      </w:r>
      <w:r w:rsidR="00A556FD" w:rsidRPr="00A556FD">
        <w:rPr>
          <w:rFonts w:cs="Arial"/>
          <w:i/>
          <w:sz w:val="20"/>
          <w:szCs w:val="20"/>
          <w:lang w:val="fr-FR"/>
        </w:rPr>
        <w:t>de fournir des conseils au Secrétariat sur le développement du tableau de bord des données de la CMS en ligne</w:t>
      </w:r>
      <w:r w:rsidRPr="00A556FD">
        <w:rPr>
          <w:rFonts w:cs="Arial"/>
          <w:i/>
          <w:sz w:val="20"/>
          <w:szCs w:val="20"/>
          <w:lang w:val="fr-FR"/>
        </w:rPr>
        <w:t>.</w:t>
      </w:r>
    </w:p>
    <w:p w14:paraId="6B3FC9F9" w14:textId="77777777" w:rsidR="00143EB6" w:rsidRPr="00A556FD" w:rsidRDefault="00143EB6">
      <w:pPr>
        <w:widowControl w:val="0"/>
        <w:suppressAutoHyphens/>
        <w:autoSpaceDE w:val="0"/>
        <w:autoSpaceDN w:val="0"/>
        <w:ind w:left="1260" w:hanging="360"/>
        <w:jc w:val="both"/>
        <w:textAlignment w:val="baseline"/>
        <w:rPr>
          <w:rFonts w:cs="Arial"/>
          <w:i/>
          <w:sz w:val="20"/>
          <w:szCs w:val="20"/>
          <w:lang w:val="fr-FR"/>
        </w:rPr>
      </w:pPr>
    </w:p>
    <w:p w14:paraId="0934519E" w14:textId="3C4495C9" w:rsidR="00143EB6" w:rsidRPr="00A556FD" w:rsidRDefault="00D515F5">
      <w:pPr>
        <w:ind w:left="900"/>
        <w:jc w:val="both"/>
        <w:rPr>
          <w:rFonts w:cs="Arial"/>
          <w:b/>
          <w:i/>
          <w:sz w:val="20"/>
          <w:szCs w:val="20"/>
          <w:lang w:val="fr-FR"/>
        </w:rPr>
      </w:pPr>
      <w:r w:rsidRPr="00A556FD">
        <w:rPr>
          <w:rFonts w:cs="Arial"/>
          <w:b/>
          <w:sz w:val="20"/>
          <w:szCs w:val="20"/>
          <w:lang w:val="fr-FR"/>
        </w:rPr>
        <w:t xml:space="preserve">14.24 </w:t>
      </w:r>
      <w:r w:rsidR="00A556FD" w:rsidRPr="00A556FD">
        <w:rPr>
          <w:rFonts w:cs="Arial"/>
          <w:b/>
          <w:i/>
          <w:sz w:val="20"/>
          <w:szCs w:val="20"/>
          <w:lang w:val="fr-FR"/>
        </w:rPr>
        <w:t>À l’adresse du Secrétariat</w:t>
      </w:r>
    </w:p>
    <w:p w14:paraId="372BCD20" w14:textId="77777777" w:rsidR="00143EB6" w:rsidRPr="00A556FD" w:rsidRDefault="00143EB6">
      <w:pPr>
        <w:ind w:left="900"/>
        <w:jc w:val="both"/>
        <w:rPr>
          <w:rFonts w:cs="Arial"/>
          <w:b/>
          <w:sz w:val="20"/>
          <w:szCs w:val="20"/>
          <w:lang w:val="fr-FR"/>
        </w:rPr>
      </w:pPr>
    </w:p>
    <w:p w14:paraId="26691D58" w14:textId="431AE785" w:rsidR="00143EB6" w:rsidRPr="00A556FD" w:rsidRDefault="00A556FD">
      <w:pPr>
        <w:ind w:left="900"/>
        <w:jc w:val="both"/>
        <w:rPr>
          <w:rFonts w:cs="Arial"/>
          <w:i/>
          <w:sz w:val="20"/>
          <w:szCs w:val="20"/>
          <w:lang w:val="fr-FR"/>
        </w:rPr>
      </w:pPr>
      <w:r w:rsidRPr="00A556FD">
        <w:rPr>
          <w:rFonts w:cs="Arial"/>
          <w:i/>
          <w:sz w:val="20"/>
          <w:szCs w:val="20"/>
          <w:lang w:val="fr-FR"/>
        </w:rPr>
        <w:t>Le Conseil scientifique, sous réserve de la disponibilité des ressources, est prié</w:t>
      </w:r>
      <w:r w:rsidR="00D515F5" w:rsidRPr="00A556FD">
        <w:rPr>
          <w:rFonts w:cs="Arial"/>
          <w:i/>
          <w:sz w:val="20"/>
          <w:szCs w:val="20"/>
          <w:lang w:val="fr-FR"/>
        </w:rPr>
        <w:t>:</w:t>
      </w:r>
    </w:p>
    <w:p w14:paraId="29976ED8" w14:textId="77777777" w:rsidR="00143EB6" w:rsidRPr="00A556FD" w:rsidRDefault="00143EB6">
      <w:pPr>
        <w:jc w:val="both"/>
        <w:rPr>
          <w:rFonts w:cs="Arial"/>
          <w:i/>
          <w:sz w:val="20"/>
          <w:szCs w:val="20"/>
          <w:lang w:val="fr-FR"/>
        </w:rPr>
      </w:pPr>
    </w:p>
    <w:p w14:paraId="31841EF3" w14:textId="5211CACC" w:rsidR="00143EB6" w:rsidRPr="00A556FD" w:rsidRDefault="00D515F5">
      <w:pPr>
        <w:ind w:left="1276" w:hanging="425"/>
        <w:jc w:val="both"/>
        <w:rPr>
          <w:rFonts w:cs="Arial"/>
          <w:i/>
          <w:sz w:val="20"/>
          <w:szCs w:val="20"/>
          <w:lang w:val="fr-FR"/>
        </w:rPr>
      </w:pPr>
      <w:r w:rsidRPr="00A556FD">
        <w:rPr>
          <w:rFonts w:cs="Arial"/>
          <w:i/>
          <w:sz w:val="20"/>
          <w:szCs w:val="20"/>
          <w:lang w:val="fr-FR"/>
        </w:rPr>
        <w:t>d)</w:t>
      </w:r>
      <w:r w:rsidRPr="00A556FD">
        <w:rPr>
          <w:rFonts w:cs="Arial"/>
          <w:i/>
          <w:sz w:val="20"/>
          <w:szCs w:val="20"/>
          <w:lang w:val="fr-FR"/>
        </w:rPr>
        <w:tab/>
        <w:t xml:space="preserve"> </w:t>
      </w:r>
      <w:r w:rsidR="00A556FD" w:rsidRPr="00A556FD">
        <w:rPr>
          <w:rFonts w:cs="Arial"/>
          <w:i/>
          <w:sz w:val="20"/>
          <w:szCs w:val="20"/>
          <w:lang w:val="fr-FR"/>
        </w:rPr>
        <w:t>pendant la période intersessions avant la COP15, d’identifier tout développement majeur concernant l'état de conservation des espèces migratrices, y compris les tendances émergentes ou les menaces, et de préparer un résumé pour la 8e Réunion du Comité de session et à l'attention de la COP15 ; et</w:t>
      </w:r>
    </w:p>
    <w:p w14:paraId="34A418E2" w14:textId="77777777" w:rsidR="00143EB6" w:rsidRPr="00A556FD" w:rsidRDefault="00143EB6">
      <w:pPr>
        <w:ind w:left="1276" w:hanging="425"/>
        <w:jc w:val="both"/>
        <w:rPr>
          <w:rFonts w:cs="Arial"/>
          <w:i/>
          <w:sz w:val="20"/>
          <w:szCs w:val="20"/>
          <w:lang w:val="fr-FR"/>
        </w:rPr>
      </w:pPr>
    </w:p>
    <w:p w14:paraId="165B7051" w14:textId="38864F30" w:rsidR="00143EB6" w:rsidRPr="00A556FD" w:rsidRDefault="00D515F5">
      <w:pPr>
        <w:ind w:left="1276" w:hanging="425"/>
        <w:jc w:val="both"/>
        <w:rPr>
          <w:rFonts w:cs="Arial"/>
          <w:i/>
          <w:sz w:val="20"/>
          <w:szCs w:val="20"/>
          <w:lang w:val="fr-FR"/>
        </w:rPr>
      </w:pPr>
      <w:r w:rsidRPr="00A556FD">
        <w:rPr>
          <w:rFonts w:cs="Arial"/>
          <w:i/>
          <w:sz w:val="20"/>
          <w:szCs w:val="20"/>
          <w:lang w:val="fr-FR"/>
        </w:rPr>
        <w:t xml:space="preserve">e) </w:t>
      </w:r>
      <w:r w:rsidRPr="00A556FD">
        <w:rPr>
          <w:rFonts w:cs="Arial"/>
          <w:i/>
          <w:sz w:val="20"/>
          <w:szCs w:val="20"/>
          <w:lang w:val="fr-FR"/>
        </w:rPr>
        <w:tab/>
      </w:r>
      <w:r w:rsidR="00A556FD" w:rsidRPr="00A556FD">
        <w:rPr>
          <w:rFonts w:cs="Arial"/>
          <w:i/>
          <w:sz w:val="20"/>
          <w:szCs w:val="20"/>
          <w:lang w:val="fr-FR"/>
        </w:rPr>
        <w:t>d’identifier les questions qui pourraient faire l'objet de sections « coup de projecteur » dans les prochains rapports sur l’État des espèces migratrices dans le monde</w:t>
      </w:r>
      <w:r w:rsidRPr="00A556FD">
        <w:rPr>
          <w:rFonts w:cs="Arial"/>
          <w:i/>
          <w:sz w:val="20"/>
          <w:szCs w:val="20"/>
          <w:lang w:val="fr-FR"/>
        </w:rPr>
        <w:t>.</w:t>
      </w:r>
    </w:p>
    <w:p w14:paraId="4CF0A193" w14:textId="77777777" w:rsidR="00143EB6" w:rsidRPr="00A556FD" w:rsidRDefault="00143EB6">
      <w:pPr>
        <w:widowControl w:val="0"/>
        <w:suppressAutoHyphens/>
        <w:autoSpaceDE w:val="0"/>
        <w:autoSpaceDN w:val="0"/>
        <w:ind w:left="567"/>
        <w:jc w:val="both"/>
        <w:textAlignment w:val="baseline"/>
        <w:rPr>
          <w:rFonts w:cs="Arial"/>
          <w:lang w:val="fr-FR"/>
        </w:rPr>
      </w:pPr>
    </w:p>
    <w:p w14:paraId="46736F8D" w14:textId="77777777" w:rsidR="00143EB6" w:rsidRPr="00D515F5" w:rsidRDefault="00D515F5">
      <w:pPr>
        <w:widowControl w:val="0"/>
        <w:numPr>
          <w:ilvl w:val="0"/>
          <w:numId w:val="18"/>
        </w:numPr>
        <w:suppressAutoHyphens/>
        <w:autoSpaceDE w:val="0"/>
        <w:autoSpaceDN w:val="0"/>
        <w:jc w:val="both"/>
        <w:textAlignment w:val="baseline"/>
        <w:rPr>
          <w:rFonts w:cs="Arial"/>
          <w:lang w:val="fr-FR"/>
        </w:rPr>
      </w:pPr>
      <w:r w:rsidRPr="00D515F5">
        <w:rPr>
          <w:rFonts w:cs="Arial"/>
          <w:lang w:val="fr-FR"/>
        </w:rPr>
        <w:t>Ce document présente les prochaines étapes proposées pour donner suite aux mandats de la Résolution 14.4 et des décisions pertinentes sur l'état de conservation des espèces migratrices.</w:t>
      </w:r>
    </w:p>
    <w:p w14:paraId="558B4452" w14:textId="77777777" w:rsidR="00143EB6" w:rsidRPr="00D515F5" w:rsidRDefault="00143EB6">
      <w:pPr>
        <w:widowControl w:val="0"/>
        <w:suppressAutoHyphens/>
        <w:autoSpaceDE w:val="0"/>
        <w:autoSpaceDN w:val="0"/>
        <w:ind w:left="1440"/>
        <w:jc w:val="both"/>
        <w:textAlignment w:val="baseline"/>
        <w:rPr>
          <w:rFonts w:cs="Arial"/>
          <w:lang w:val="fr-FR"/>
        </w:rPr>
      </w:pPr>
    </w:p>
    <w:p w14:paraId="5AC8DE4C" w14:textId="77777777" w:rsidR="00143EB6" w:rsidRPr="00D515F5" w:rsidRDefault="00D515F5">
      <w:pPr>
        <w:keepNext/>
        <w:widowControl w:val="0"/>
        <w:suppressAutoHyphens/>
        <w:autoSpaceDE w:val="0"/>
        <w:autoSpaceDN w:val="0"/>
        <w:jc w:val="both"/>
        <w:textAlignment w:val="baseline"/>
        <w:outlineLvl w:val="0"/>
        <w:rPr>
          <w:rFonts w:cs="Arial"/>
          <w:u w:val="single"/>
          <w:lang w:val="en-GB"/>
        </w:rPr>
      </w:pPr>
      <w:r w:rsidRPr="00D515F5">
        <w:rPr>
          <w:rFonts w:cs="Arial"/>
          <w:u w:val="single"/>
          <w:lang w:val="en-GB"/>
        </w:rPr>
        <w:t>Discussion</w:t>
      </w:r>
    </w:p>
    <w:p w14:paraId="6704E1A6" w14:textId="77777777" w:rsidR="00143EB6" w:rsidRPr="00D515F5" w:rsidRDefault="00143EB6">
      <w:pPr>
        <w:pStyle w:val="ListParagraph"/>
        <w:contextualSpacing w:val="0"/>
        <w:jc w:val="both"/>
        <w:rPr>
          <w:rFonts w:ascii="Arial" w:hAnsi="Arial" w:cs="Arial"/>
          <w:sz w:val="22"/>
          <w:szCs w:val="22"/>
          <w:lang w:val="fr-FR"/>
        </w:rPr>
      </w:pPr>
    </w:p>
    <w:p w14:paraId="4151878E" w14:textId="77777777" w:rsidR="00143EB6" w:rsidRPr="00D515F5" w:rsidRDefault="00D515F5">
      <w:pPr>
        <w:widowControl w:val="0"/>
        <w:numPr>
          <w:ilvl w:val="0"/>
          <w:numId w:val="18"/>
        </w:numPr>
        <w:suppressAutoHyphens/>
        <w:autoSpaceDE w:val="0"/>
        <w:autoSpaceDN w:val="0"/>
        <w:jc w:val="both"/>
        <w:textAlignment w:val="baseline"/>
        <w:rPr>
          <w:rFonts w:cs="Arial"/>
          <w:lang w:val="fr-FR"/>
        </w:rPr>
      </w:pPr>
      <w:r w:rsidRPr="00D515F5">
        <w:rPr>
          <w:rFonts w:cs="Arial"/>
          <w:lang w:val="fr-FR"/>
        </w:rPr>
        <w:t>Conformément à la Résolution 14.4 et aux Décisions 14.23 et 14.24, l'objectif de ce document est de fournir une base de discussion au ScC-SC7 sur :</w:t>
      </w:r>
    </w:p>
    <w:p w14:paraId="6FCA1BCA" w14:textId="77777777" w:rsidR="00143EB6" w:rsidRPr="00D515F5" w:rsidRDefault="00143EB6">
      <w:pPr>
        <w:pStyle w:val="ListParagraph"/>
        <w:contextualSpacing w:val="0"/>
        <w:jc w:val="both"/>
        <w:rPr>
          <w:rFonts w:ascii="Arial" w:hAnsi="Arial" w:cs="Arial"/>
          <w:sz w:val="22"/>
          <w:szCs w:val="22"/>
          <w:lang w:val="fr-FR"/>
        </w:rPr>
      </w:pPr>
    </w:p>
    <w:p w14:paraId="3798FFFB" w14:textId="77777777" w:rsidR="00143EB6" w:rsidRPr="00D515F5" w:rsidRDefault="00D515F5">
      <w:pPr>
        <w:pStyle w:val="ListParagraph"/>
        <w:numPr>
          <w:ilvl w:val="1"/>
          <w:numId w:val="32"/>
        </w:numPr>
        <w:suppressAutoHyphens/>
        <w:autoSpaceDE w:val="0"/>
        <w:autoSpaceDN w:val="0"/>
        <w:ind w:left="1134" w:hanging="567"/>
        <w:contextualSpacing w:val="0"/>
        <w:jc w:val="both"/>
        <w:textAlignment w:val="baseline"/>
        <w:rPr>
          <w:rFonts w:ascii="Arial" w:hAnsi="Arial" w:cs="Arial"/>
          <w:sz w:val="22"/>
          <w:szCs w:val="22"/>
          <w:lang w:val="fr-FR"/>
        </w:rPr>
      </w:pPr>
      <w:r w:rsidRPr="00D515F5">
        <w:rPr>
          <w:rFonts w:ascii="Arial" w:hAnsi="Arial" w:cs="Arial"/>
          <w:sz w:val="22"/>
          <w:szCs w:val="22"/>
          <w:lang w:val="fr-FR"/>
        </w:rPr>
        <w:t>le champ d'application et toute autre section « coup de projecteur » supplémentaire sur des sujets particuliers ou des questions importantes pour la deuxième édition du rapport sur l'état des espèces migratrices dans le monde ;</w:t>
      </w:r>
    </w:p>
    <w:p w14:paraId="03A113BC" w14:textId="77777777" w:rsidR="00143EB6" w:rsidRPr="00D515F5" w:rsidRDefault="00143EB6">
      <w:pPr>
        <w:pStyle w:val="ListParagraph"/>
        <w:suppressAutoHyphens/>
        <w:autoSpaceDE w:val="0"/>
        <w:autoSpaceDN w:val="0"/>
        <w:ind w:left="1134" w:hanging="567"/>
        <w:contextualSpacing w:val="0"/>
        <w:jc w:val="both"/>
        <w:textAlignment w:val="baseline"/>
        <w:rPr>
          <w:rFonts w:ascii="Arial" w:hAnsi="Arial" w:cs="Arial"/>
          <w:sz w:val="22"/>
          <w:szCs w:val="22"/>
          <w:lang w:val="fr-FR"/>
        </w:rPr>
      </w:pPr>
    </w:p>
    <w:p w14:paraId="557EB4B7" w14:textId="77777777" w:rsidR="00143EB6" w:rsidRPr="00D515F5" w:rsidRDefault="00D515F5">
      <w:pPr>
        <w:pStyle w:val="ListParagraph"/>
        <w:numPr>
          <w:ilvl w:val="1"/>
          <w:numId w:val="32"/>
        </w:numPr>
        <w:suppressAutoHyphens/>
        <w:autoSpaceDE w:val="0"/>
        <w:autoSpaceDN w:val="0"/>
        <w:ind w:left="1134" w:hanging="567"/>
        <w:contextualSpacing w:val="0"/>
        <w:jc w:val="both"/>
        <w:textAlignment w:val="baseline"/>
        <w:rPr>
          <w:rFonts w:ascii="Arial" w:hAnsi="Arial" w:cs="Arial"/>
          <w:sz w:val="22"/>
          <w:szCs w:val="22"/>
          <w:lang w:val="fr-FR"/>
        </w:rPr>
      </w:pPr>
      <w:r w:rsidRPr="00D515F5">
        <w:rPr>
          <w:rFonts w:ascii="Arial" w:hAnsi="Arial" w:cs="Arial"/>
          <w:sz w:val="22"/>
          <w:szCs w:val="22"/>
          <w:lang w:val="fr-FR"/>
        </w:rPr>
        <w:t>le développement d'études de cas supplémentaires sur des espèces individuelles inscrites aux Annexes de la CMS ;</w:t>
      </w:r>
    </w:p>
    <w:p w14:paraId="78E7AAC4" w14:textId="77777777" w:rsidR="00143EB6" w:rsidRPr="00D515F5" w:rsidRDefault="00143EB6">
      <w:pPr>
        <w:pStyle w:val="ListParagraph"/>
        <w:suppressAutoHyphens/>
        <w:autoSpaceDE w:val="0"/>
        <w:autoSpaceDN w:val="0"/>
        <w:ind w:left="1134" w:hanging="567"/>
        <w:contextualSpacing w:val="0"/>
        <w:jc w:val="both"/>
        <w:textAlignment w:val="baseline"/>
        <w:rPr>
          <w:rFonts w:ascii="Arial" w:hAnsi="Arial" w:cs="Arial"/>
          <w:sz w:val="22"/>
          <w:szCs w:val="22"/>
          <w:lang w:val="fr-FR"/>
        </w:rPr>
      </w:pPr>
    </w:p>
    <w:p w14:paraId="6A8F1CAF" w14:textId="77777777" w:rsidR="00143EB6" w:rsidRPr="00D515F5" w:rsidRDefault="00D515F5">
      <w:pPr>
        <w:pStyle w:val="ListParagraph"/>
        <w:numPr>
          <w:ilvl w:val="1"/>
          <w:numId w:val="32"/>
        </w:numPr>
        <w:suppressAutoHyphens/>
        <w:autoSpaceDE w:val="0"/>
        <w:autoSpaceDN w:val="0"/>
        <w:ind w:left="1134" w:hanging="567"/>
        <w:contextualSpacing w:val="0"/>
        <w:jc w:val="both"/>
        <w:textAlignment w:val="baseline"/>
        <w:rPr>
          <w:rFonts w:ascii="Arial" w:hAnsi="Arial" w:cs="Arial"/>
          <w:sz w:val="22"/>
          <w:szCs w:val="22"/>
          <w:lang w:val="fr-FR"/>
        </w:rPr>
      </w:pPr>
      <w:r w:rsidRPr="00D515F5">
        <w:rPr>
          <w:rFonts w:ascii="Arial" w:hAnsi="Arial" w:cs="Arial"/>
          <w:sz w:val="22"/>
          <w:szCs w:val="22"/>
          <w:lang w:val="fr-FR"/>
        </w:rPr>
        <w:t>les éléments d'un éventuel tableau de bord des données de la CMS en ligne ; et</w:t>
      </w:r>
    </w:p>
    <w:p w14:paraId="0F4C4C9B" w14:textId="77777777" w:rsidR="00143EB6" w:rsidRPr="00D515F5" w:rsidRDefault="00143EB6">
      <w:pPr>
        <w:pStyle w:val="ListParagraph"/>
        <w:suppressAutoHyphens/>
        <w:autoSpaceDE w:val="0"/>
        <w:autoSpaceDN w:val="0"/>
        <w:ind w:left="1134" w:hanging="567"/>
        <w:contextualSpacing w:val="0"/>
        <w:jc w:val="both"/>
        <w:textAlignment w:val="baseline"/>
        <w:rPr>
          <w:rFonts w:ascii="Arial" w:hAnsi="Arial" w:cs="Arial"/>
          <w:sz w:val="22"/>
          <w:szCs w:val="22"/>
          <w:lang w:val="fr-FR"/>
        </w:rPr>
      </w:pPr>
    </w:p>
    <w:p w14:paraId="7D23806A" w14:textId="77777777" w:rsidR="00143EB6" w:rsidRPr="00D515F5" w:rsidRDefault="00D515F5">
      <w:pPr>
        <w:pStyle w:val="ListParagraph"/>
        <w:numPr>
          <w:ilvl w:val="1"/>
          <w:numId w:val="32"/>
        </w:numPr>
        <w:suppressAutoHyphens/>
        <w:autoSpaceDE w:val="0"/>
        <w:autoSpaceDN w:val="0"/>
        <w:ind w:left="1134" w:hanging="567"/>
        <w:contextualSpacing w:val="0"/>
        <w:jc w:val="both"/>
        <w:textAlignment w:val="baseline"/>
        <w:rPr>
          <w:rFonts w:ascii="Arial" w:hAnsi="Arial" w:cs="Arial"/>
          <w:sz w:val="22"/>
          <w:szCs w:val="22"/>
          <w:lang w:val="fr-FR"/>
        </w:rPr>
      </w:pPr>
      <w:r w:rsidRPr="00D515F5">
        <w:rPr>
          <w:rFonts w:ascii="Arial" w:hAnsi="Arial" w:cs="Arial"/>
          <w:sz w:val="22"/>
          <w:szCs w:val="22"/>
          <w:lang w:val="fr-FR"/>
        </w:rPr>
        <w:t>les éléments et une approche pour identifier tout développement majeur concernant l'état de conservation des espèces migratrices, y compris les tendances émergentes ou les menaces, qui pourraient être présentés à la COP15.</w:t>
      </w:r>
    </w:p>
    <w:p w14:paraId="560265DB" w14:textId="77777777" w:rsidR="00143EB6" w:rsidRPr="00D515F5" w:rsidRDefault="00143EB6">
      <w:pPr>
        <w:jc w:val="both"/>
        <w:rPr>
          <w:rFonts w:cs="Arial"/>
          <w:lang w:val="fr-FR"/>
        </w:rPr>
      </w:pPr>
    </w:p>
    <w:p w14:paraId="350A6C6F" w14:textId="77777777" w:rsidR="00143EB6" w:rsidRPr="00D515F5" w:rsidRDefault="00D515F5">
      <w:pPr>
        <w:pStyle w:val="ListParagraph"/>
        <w:numPr>
          <w:ilvl w:val="0"/>
          <w:numId w:val="33"/>
        </w:numPr>
        <w:suppressAutoHyphens/>
        <w:autoSpaceDE w:val="0"/>
        <w:autoSpaceDN w:val="0"/>
        <w:ind w:left="567" w:hanging="567"/>
        <w:contextualSpacing w:val="0"/>
        <w:jc w:val="both"/>
        <w:textAlignment w:val="baseline"/>
        <w:rPr>
          <w:rFonts w:ascii="Arial" w:hAnsi="Arial" w:cs="Arial"/>
          <w:b/>
          <w:sz w:val="22"/>
          <w:szCs w:val="22"/>
          <w:lang w:val="fr-FR"/>
        </w:rPr>
      </w:pPr>
      <w:bookmarkStart w:id="2" w:name="_Hlk173337312"/>
      <w:r w:rsidRPr="00D515F5">
        <w:rPr>
          <w:rFonts w:ascii="Arial" w:hAnsi="Arial" w:cs="Arial"/>
          <w:b/>
          <w:sz w:val="22"/>
          <w:szCs w:val="22"/>
          <w:lang w:val="fr-FR"/>
        </w:rPr>
        <w:t>le champ d'application et toute autre section « coup de projecteur » supplémentaire sur des sujets particuliers ou des questions importantes pour la deuxième édition du rapport sur l'état des espèces migratrices dans le monde</w:t>
      </w:r>
      <w:bookmarkEnd w:id="2"/>
    </w:p>
    <w:p w14:paraId="6BEEAB0C" w14:textId="77777777" w:rsidR="00143EB6" w:rsidRPr="00D515F5" w:rsidRDefault="00143EB6">
      <w:pPr>
        <w:pStyle w:val="ListParagraph"/>
        <w:suppressAutoHyphens/>
        <w:autoSpaceDE w:val="0"/>
        <w:autoSpaceDN w:val="0"/>
        <w:ind w:left="567"/>
        <w:contextualSpacing w:val="0"/>
        <w:jc w:val="both"/>
        <w:textAlignment w:val="baseline"/>
        <w:rPr>
          <w:rFonts w:ascii="Arial" w:hAnsi="Arial" w:cs="Arial"/>
          <w:b/>
          <w:sz w:val="22"/>
          <w:szCs w:val="22"/>
          <w:lang w:val="fr-FR"/>
        </w:rPr>
      </w:pPr>
    </w:p>
    <w:p w14:paraId="3E24EB90" w14:textId="77777777" w:rsidR="00143EB6" w:rsidRPr="00D515F5" w:rsidRDefault="00D515F5">
      <w:pPr>
        <w:widowControl w:val="0"/>
        <w:numPr>
          <w:ilvl w:val="0"/>
          <w:numId w:val="18"/>
        </w:numPr>
        <w:suppressAutoHyphens/>
        <w:autoSpaceDE w:val="0"/>
        <w:autoSpaceDN w:val="0"/>
        <w:jc w:val="both"/>
        <w:textAlignment w:val="baseline"/>
        <w:rPr>
          <w:rFonts w:cs="Arial"/>
          <w:lang w:val="fr-FR"/>
        </w:rPr>
      </w:pPr>
      <w:r w:rsidRPr="00D515F5">
        <w:rPr>
          <w:rFonts w:cs="Arial"/>
          <w:lang w:val="fr-FR"/>
        </w:rPr>
        <w:t>Le paragraphe 3 de la résolution 14.4 fournit des orientations sur les éléments nécessaires à l'élaboration des futurs rapports sur l'état des espèces migratrices dans le monde. Les premières discussions du ScC-SC7 sur le champ d'application du deuxième rapport pourraient se concentrer sur la définition des domaines qui pourraient mériter une analyse plus approfondie, y compris les lacunes qui ont été recensées dans le premier rapport publié lors de la COP14.</w:t>
      </w:r>
    </w:p>
    <w:p w14:paraId="296DC510" w14:textId="77777777" w:rsidR="00143EB6" w:rsidRPr="00D515F5" w:rsidRDefault="00143EB6">
      <w:pPr>
        <w:widowControl w:val="0"/>
        <w:suppressAutoHyphens/>
        <w:autoSpaceDE w:val="0"/>
        <w:autoSpaceDN w:val="0"/>
        <w:ind w:left="567"/>
        <w:jc w:val="both"/>
        <w:textAlignment w:val="baseline"/>
        <w:rPr>
          <w:rFonts w:cs="Arial"/>
          <w:lang w:val="fr-FR"/>
        </w:rPr>
      </w:pPr>
    </w:p>
    <w:p w14:paraId="732DB0CE" w14:textId="77777777" w:rsidR="00143EB6" w:rsidRPr="00D515F5" w:rsidRDefault="00D515F5">
      <w:pPr>
        <w:widowControl w:val="0"/>
        <w:numPr>
          <w:ilvl w:val="0"/>
          <w:numId w:val="18"/>
        </w:numPr>
        <w:suppressAutoHyphens/>
        <w:autoSpaceDE w:val="0"/>
        <w:autoSpaceDN w:val="0"/>
        <w:jc w:val="both"/>
        <w:textAlignment w:val="baseline"/>
        <w:rPr>
          <w:rFonts w:cs="Arial"/>
          <w:lang w:val="fr-FR"/>
        </w:rPr>
      </w:pPr>
      <w:r w:rsidRPr="00D515F5">
        <w:rPr>
          <w:rFonts w:cs="Arial"/>
          <w:lang w:val="fr-FR"/>
        </w:rPr>
        <w:t>Comme le recommande le point c) du paragraphe 3 de la Résolution 14.4, il est prévu que le rapport comprenne des sections « coup de projecteur » sur des sujets particuliers ou des questions émergentes d'importance.</w:t>
      </w:r>
    </w:p>
    <w:p w14:paraId="3AE4BF4E" w14:textId="77777777" w:rsidR="00143EB6" w:rsidRPr="00D515F5" w:rsidRDefault="00143EB6">
      <w:pPr>
        <w:widowControl w:val="0"/>
        <w:suppressAutoHyphens/>
        <w:autoSpaceDE w:val="0"/>
        <w:autoSpaceDN w:val="0"/>
        <w:jc w:val="both"/>
        <w:textAlignment w:val="baseline"/>
        <w:rPr>
          <w:rFonts w:cs="Arial"/>
          <w:lang w:val="fr-FR"/>
        </w:rPr>
      </w:pPr>
    </w:p>
    <w:p w14:paraId="748BDF89" w14:textId="77777777" w:rsidR="00143EB6" w:rsidRPr="00D515F5" w:rsidRDefault="00D515F5">
      <w:pPr>
        <w:widowControl w:val="0"/>
        <w:numPr>
          <w:ilvl w:val="0"/>
          <w:numId w:val="18"/>
        </w:numPr>
        <w:suppressAutoHyphens/>
        <w:autoSpaceDE w:val="0"/>
        <w:autoSpaceDN w:val="0"/>
        <w:jc w:val="both"/>
        <w:textAlignment w:val="baseline"/>
        <w:rPr>
          <w:rFonts w:cs="Arial"/>
          <w:lang w:val="fr-FR"/>
        </w:rPr>
      </w:pPr>
      <w:r w:rsidRPr="00D515F5">
        <w:rPr>
          <w:rFonts w:cs="Arial"/>
          <w:lang w:val="fr-FR"/>
        </w:rPr>
        <w:t>Le Conseil scientifique est invité à fournir des orientations au Secrétariat sur les sujets qui pourraient être couverts dans les sections « coup de projecteur », ainsi que sur un processus permettant de recenser ces questions.</w:t>
      </w:r>
    </w:p>
    <w:p w14:paraId="350B808F" w14:textId="15136640" w:rsidR="00F842EE" w:rsidRDefault="00F842EE">
      <w:pPr>
        <w:widowControl w:val="0"/>
        <w:suppressAutoHyphens/>
        <w:autoSpaceDE w:val="0"/>
        <w:autoSpaceDN w:val="0"/>
        <w:jc w:val="both"/>
        <w:textAlignment w:val="baseline"/>
        <w:rPr>
          <w:rFonts w:cs="Arial"/>
          <w:lang w:val="fr-FR"/>
        </w:rPr>
      </w:pPr>
      <w:r>
        <w:rPr>
          <w:rFonts w:cs="Arial"/>
          <w:lang w:val="fr-FR"/>
        </w:rPr>
        <w:br w:type="page"/>
      </w:r>
    </w:p>
    <w:p w14:paraId="154FB61C" w14:textId="77777777" w:rsidR="00143EB6" w:rsidRPr="00D515F5" w:rsidRDefault="00D515F5">
      <w:pPr>
        <w:pStyle w:val="ListParagraph"/>
        <w:numPr>
          <w:ilvl w:val="0"/>
          <w:numId w:val="33"/>
        </w:numPr>
        <w:suppressAutoHyphens/>
        <w:autoSpaceDE w:val="0"/>
        <w:autoSpaceDN w:val="0"/>
        <w:ind w:left="567" w:hanging="567"/>
        <w:contextualSpacing w:val="0"/>
        <w:jc w:val="both"/>
        <w:textAlignment w:val="baseline"/>
        <w:rPr>
          <w:rFonts w:ascii="Arial" w:hAnsi="Arial" w:cs="Arial"/>
          <w:b/>
          <w:sz w:val="22"/>
          <w:szCs w:val="22"/>
          <w:lang w:val="fr-FR"/>
        </w:rPr>
      </w:pPr>
      <w:r w:rsidRPr="00D515F5">
        <w:rPr>
          <w:rFonts w:ascii="Arial" w:hAnsi="Arial" w:cs="Arial"/>
          <w:b/>
          <w:sz w:val="22"/>
          <w:szCs w:val="22"/>
          <w:lang w:val="fr-FR"/>
        </w:rPr>
        <w:lastRenderedPageBreak/>
        <w:t>L'élaboration d'études de cas supplémentaires sur des espèces individuelles inscrites aux Annexes de la CMS</w:t>
      </w:r>
    </w:p>
    <w:p w14:paraId="2E0A0094" w14:textId="77777777" w:rsidR="00143EB6" w:rsidRPr="00D515F5" w:rsidRDefault="00143EB6">
      <w:pPr>
        <w:pStyle w:val="ListParagraph"/>
        <w:suppressAutoHyphens/>
        <w:autoSpaceDE w:val="0"/>
        <w:autoSpaceDN w:val="0"/>
        <w:ind w:left="567" w:hanging="567"/>
        <w:contextualSpacing w:val="0"/>
        <w:jc w:val="both"/>
        <w:textAlignment w:val="baseline"/>
        <w:rPr>
          <w:rFonts w:ascii="Arial" w:hAnsi="Arial" w:cs="Arial"/>
          <w:b/>
          <w:sz w:val="22"/>
          <w:szCs w:val="22"/>
          <w:lang w:val="fr-FR"/>
        </w:rPr>
      </w:pPr>
    </w:p>
    <w:p w14:paraId="50C4EE47" w14:textId="77777777" w:rsidR="00143EB6" w:rsidRPr="00D515F5" w:rsidRDefault="00D515F5">
      <w:pPr>
        <w:widowControl w:val="0"/>
        <w:numPr>
          <w:ilvl w:val="0"/>
          <w:numId w:val="18"/>
        </w:numPr>
        <w:suppressAutoHyphens/>
        <w:autoSpaceDE w:val="0"/>
        <w:autoSpaceDN w:val="0"/>
        <w:jc w:val="both"/>
        <w:textAlignment w:val="baseline"/>
        <w:rPr>
          <w:rFonts w:cs="Arial"/>
          <w:lang w:val="fr-FR"/>
        </w:rPr>
      </w:pPr>
      <w:r w:rsidRPr="00D515F5">
        <w:rPr>
          <w:rFonts w:cs="Arial"/>
          <w:lang w:val="fr-FR"/>
        </w:rPr>
        <w:t>Au point c) du paragraphe 3 de la Résolution 14.4, il est demandé au Secrétariat, lors de l'élaboration du futur rapport sur l'état des espèces migratrices dans le monde, d'« inclure, le cas échéant et dans la mesure du possible, [...] des études de cas approfondies ».</w:t>
      </w:r>
    </w:p>
    <w:p w14:paraId="2DF602B2" w14:textId="77777777" w:rsidR="00143EB6" w:rsidRPr="00D515F5" w:rsidRDefault="00143EB6">
      <w:pPr>
        <w:widowControl w:val="0"/>
        <w:suppressAutoHyphens/>
        <w:autoSpaceDE w:val="0"/>
        <w:autoSpaceDN w:val="0"/>
        <w:ind w:left="567" w:hanging="567"/>
        <w:jc w:val="both"/>
        <w:textAlignment w:val="baseline"/>
        <w:rPr>
          <w:rFonts w:cs="Arial"/>
          <w:lang w:val="fr-FR"/>
        </w:rPr>
      </w:pPr>
    </w:p>
    <w:p w14:paraId="51D22587" w14:textId="77777777" w:rsidR="00143EB6" w:rsidRPr="00D515F5" w:rsidRDefault="00D515F5">
      <w:pPr>
        <w:widowControl w:val="0"/>
        <w:numPr>
          <w:ilvl w:val="0"/>
          <w:numId w:val="18"/>
        </w:numPr>
        <w:suppressAutoHyphens/>
        <w:autoSpaceDE w:val="0"/>
        <w:autoSpaceDN w:val="0"/>
        <w:jc w:val="both"/>
        <w:textAlignment w:val="baseline"/>
        <w:rPr>
          <w:rFonts w:cs="Arial"/>
          <w:lang w:val="fr-FR"/>
        </w:rPr>
      </w:pPr>
      <w:r w:rsidRPr="00D515F5">
        <w:rPr>
          <w:rFonts w:cs="Arial"/>
          <w:lang w:val="fr-FR"/>
        </w:rPr>
        <w:t>Ces travaux pourraient, sous réserve de la disponibilité des ressources, commencer dès l'actuelle période intersessions. Ils pourraient s'appuyer sur les dix études de cas déjà préparées par le Secrétariat et présentées à la COP13.</w:t>
      </w:r>
    </w:p>
    <w:p w14:paraId="05F69519" w14:textId="77777777" w:rsidR="00143EB6" w:rsidRPr="00D515F5" w:rsidRDefault="00143EB6">
      <w:pPr>
        <w:widowControl w:val="0"/>
        <w:suppressAutoHyphens/>
        <w:autoSpaceDE w:val="0"/>
        <w:autoSpaceDN w:val="0"/>
        <w:ind w:hanging="567"/>
        <w:jc w:val="both"/>
        <w:textAlignment w:val="baseline"/>
        <w:rPr>
          <w:rFonts w:cs="Arial"/>
          <w:lang w:val="fr-FR"/>
        </w:rPr>
      </w:pPr>
    </w:p>
    <w:p w14:paraId="5FC28685" w14:textId="77777777" w:rsidR="00143EB6" w:rsidRPr="00D515F5" w:rsidRDefault="00D515F5">
      <w:pPr>
        <w:pStyle w:val="ListParagraph"/>
        <w:numPr>
          <w:ilvl w:val="0"/>
          <w:numId w:val="18"/>
        </w:numPr>
        <w:contextualSpacing w:val="0"/>
        <w:jc w:val="both"/>
        <w:rPr>
          <w:rFonts w:ascii="Arial" w:eastAsiaTheme="minorHAnsi" w:hAnsi="Arial" w:cs="Arial"/>
          <w:snapToGrid/>
          <w:sz w:val="22"/>
          <w:szCs w:val="22"/>
          <w:lang w:val="fr-FR"/>
        </w:rPr>
      </w:pPr>
      <w:r w:rsidRPr="00D515F5">
        <w:rPr>
          <w:rFonts w:ascii="Arial" w:eastAsiaTheme="minorHAnsi" w:hAnsi="Arial" w:cs="Arial"/>
          <w:snapToGrid/>
          <w:sz w:val="22"/>
          <w:szCs w:val="22"/>
          <w:lang w:val="fr-FR"/>
        </w:rPr>
        <w:t>Le Conseil scientifique est invité à fournir des orientations au Secrétariat concernant un processus d'identification des espèces prioritaires pour les études de cas approfondies.</w:t>
      </w:r>
    </w:p>
    <w:p w14:paraId="44AF7D20" w14:textId="77777777" w:rsidR="00143EB6" w:rsidRPr="00D515F5" w:rsidRDefault="00143EB6">
      <w:pPr>
        <w:pStyle w:val="ListParagraph"/>
        <w:suppressAutoHyphens/>
        <w:autoSpaceDE w:val="0"/>
        <w:autoSpaceDN w:val="0"/>
        <w:ind w:left="0"/>
        <w:contextualSpacing w:val="0"/>
        <w:jc w:val="both"/>
        <w:textAlignment w:val="baseline"/>
        <w:rPr>
          <w:rFonts w:ascii="Arial" w:hAnsi="Arial" w:cs="Arial"/>
          <w:b/>
          <w:sz w:val="22"/>
          <w:szCs w:val="22"/>
          <w:lang w:val="fr-FR"/>
        </w:rPr>
      </w:pPr>
    </w:p>
    <w:p w14:paraId="1B60022E" w14:textId="77777777" w:rsidR="00143EB6" w:rsidRPr="00D515F5" w:rsidRDefault="00D515F5">
      <w:pPr>
        <w:pStyle w:val="ListParagraph"/>
        <w:numPr>
          <w:ilvl w:val="0"/>
          <w:numId w:val="33"/>
        </w:numPr>
        <w:suppressAutoHyphens/>
        <w:autoSpaceDE w:val="0"/>
        <w:autoSpaceDN w:val="0"/>
        <w:ind w:left="567" w:hanging="567"/>
        <w:contextualSpacing w:val="0"/>
        <w:jc w:val="both"/>
        <w:textAlignment w:val="baseline"/>
        <w:rPr>
          <w:rFonts w:ascii="Arial" w:hAnsi="Arial" w:cs="Arial"/>
          <w:b/>
          <w:sz w:val="22"/>
          <w:szCs w:val="22"/>
          <w:lang w:val="fr-FR"/>
        </w:rPr>
      </w:pPr>
      <w:r w:rsidRPr="00D515F5">
        <w:rPr>
          <w:rFonts w:ascii="Arial" w:hAnsi="Arial" w:cs="Arial"/>
          <w:b/>
          <w:sz w:val="22"/>
          <w:szCs w:val="22"/>
          <w:lang w:val="fr-FR"/>
        </w:rPr>
        <w:t>Éléments d'un éventuel tableau de bord des données de la CMS en ligne</w:t>
      </w:r>
    </w:p>
    <w:p w14:paraId="4D40521C" w14:textId="77777777" w:rsidR="00143EB6" w:rsidRPr="00D515F5" w:rsidRDefault="00143EB6">
      <w:pPr>
        <w:ind w:left="720"/>
        <w:jc w:val="both"/>
        <w:rPr>
          <w:rFonts w:cs="Arial"/>
          <w:lang w:val="fr-FR"/>
        </w:rPr>
      </w:pPr>
    </w:p>
    <w:p w14:paraId="379AED3D" w14:textId="77777777" w:rsidR="00143EB6" w:rsidRPr="00D515F5" w:rsidRDefault="00D515F5">
      <w:pPr>
        <w:widowControl w:val="0"/>
        <w:numPr>
          <w:ilvl w:val="0"/>
          <w:numId w:val="18"/>
        </w:numPr>
        <w:suppressAutoHyphens/>
        <w:autoSpaceDE w:val="0"/>
        <w:autoSpaceDN w:val="0"/>
        <w:jc w:val="both"/>
        <w:textAlignment w:val="baseline"/>
        <w:rPr>
          <w:rFonts w:cs="Arial"/>
          <w:lang w:val="fr-FR"/>
        </w:rPr>
      </w:pPr>
      <w:r w:rsidRPr="00D515F5">
        <w:rPr>
          <w:rFonts w:cs="Arial"/>
          <w:lang w:val="fr-FR"/>
        </w:rPr>
        <w:t xml:space="preserve">Le paragraphe 4 de la Résolution 14.4 « demande au Secrétariat, </w:t>
      </w:r>
      <w:r w:rsidRPr="00D515F5">
        <w:rPr>
          <w:rFonts w:cs="Arial"/>
          <w:i/>
          <w:lang w:val="fr-FR"/>
        </w:rPr>
        <w:t>sous réserve de la disponibilité des ressources</w:t>
      </w:r>
      <w:r w:rsidRPr="00D515F5">
        <w:rPr>
          <w:rFonts w:cs="Arial"/>
          <w:lang w:val="fr-FR"/>
        </w:rPr>
        <w:t>, de concevoir et de gérer un tableau de bord de données en ligne pour compiler des statistiques clés de haut niveau sur les espèces inscrites aux Annexes de la CMS et d'autres espèces migratrices et leurs habitats afin d'étayer l'examen de l'état de conservation des espèces migratrices et de soutenir le suivi de la mise en œuvre de la Convention ».</w:t>
      </w:r>
    </w:p>
    <w:p w14:paraId="4D8C1AAC" w14:textId="77777777" w:rsidR="00143EB6" w:rsidRPr="00D515F5" w:rsidRDefault="00143EB6">
      <w:pPr>
        <w:widowControl w:val="0"/>
        <w:suppressAutoHyphens/>
        <w:autoSpaceDE w:val="0"/>
        <w:autoSpaceDN w:val="0"/>
        <w:ind w:left="567"/>
        <w:jc w:val="both"/>
        <w:textAlignment w:val="baseline"/>
        <w:rPr>
          <w:rFonts w:cs="Arial"/>
          <w:lang w:val="fr-FR"/>
        </w:rPr>
      </w:pPr>
    </w:p>
    <w:p w14:paraId="12E80657" w14:textId="77777777" w:rsidR="00143EB6" w:rsidRPr="00D515F5" w:rsidRDefault="00D515F5">
      <w:pPr>
        <w:widowControl w:val="0"/>
        <w:numPr>
          <w:ilvl w:val="0"/>
          <w:numId w:val="18"/>
        </w:numPr>
        <w:suppressAutoHyphens/>
        <w:autoSpaceDE w:val="0"/>
        <w:autoSpaceDN w:val="0"/>
        <w:jc w:val="both"/>
        <w:textAlignment w:val="baseline"/>
        <w:rPr>
          <w:rFonts w:cs="Arial"/>
          <w:lang w:val="fr-FR"/>
        </w:rPr>
      </w:pPr>
      <w:r w:rsidRPr="00D515F5">
        <w:rPr>
          <w:rFonts w:cs="Arial"/>
          <w:lang w:val="fr-FR"/>
        </w:rPr>
        <w:t>Le tableau de bord pourrait rassembler des informations actualisées sur l'importance des espèces migratrices, leur état de conservation actuel et les menaces auxquelles elles sont confrontées, en un seul endroit facilement accessible. Le tableau de bord améliorerait l'accès des Parties à la CMS à des données actualisées pertinentes pour la conservation des espèces migratrices. En rationalisant l'analyse et la présentation de ces informations, l'outil renforcerait la capacité des Parties à mettre en œuvre la Convention.</w:t>
      </w:r>
    </w:p>
    <w:p w14:paraId="6A47E084" w14:textId="77777777" w:rsidR="00143EB6" w:rsidRPr="00D515F5" w:rsidRDefault="00143EB6">
      <w:pPr>
        <w:widowControl w:val="0"/>
        <w:suppressAutoHyphens/>
        <w:autoSpaceDE w:val="0"/>
        <w:autoSpaceDN w:val="0"/>
        <w:ind w:left="567"/>
        <w:jc w:val="both"/>
        <w:textAlignment w:val="baseline"/>
        <w:rPr>
          <w:rFonts w:cs="Arial"/>
          <w:lang w:val="fr-FR"/>
        </w:rPr>
      </w:pPr>
    </w:p>
    <w:p w14:paraId="627D0889" w14:textId="77777777" w:rsidR="00143EB6" w:rsidRPr="00D515F5" w:rsidRDefault="00D515F5">
      <w:pPr>
        <w:widowControl w:val="0"/>
        <w:numPr>
          <w:ilvl w:val="0"/>
          <w:numId w:val="18"/>
        </w:numPr>
        <w:suppressAutoHyphens/>
        <w:autoSpaceDE w:val="0"/>
        <w:autoSpaceDN w:val="0"/>
        <w:jc w:val="both"/>
        <w:textAlignment w:val="baseline"/>
        <w:rPr>
          <w:rFonts w:cs="Arial"/>
          <w:lang w:val="fr-FR"/>
        </w:rPr>
      </w:pPr>
      <w:r w:rsidRPr="00D515F5">
        <w:rPr>
          <w:rFonts w:cs="Arial"/>
          <w:lang w:val="fr-FR"/>
        </w:rPr>
        <w:t>Le tableau de bord devrait utiliser des ensembles de données sur la biodiversité mondiale gérés par plusieurs organisations différentes, telles que la liste rouge de l'UICN et la base de données mondiale des zones clés pour la biodiversité (ZCB).</w:t>
      </w:r>
    </w:p>
    <w:p w14:paraId="71BD4EC7" w14:textId="77777777" w:rsidR="00143EB6" w:rsidRPr="00D515F5" w:rsidRDefault="00143EB6">
      <w:pPr>
        <w:widowControl w:val="0"/>
        <w:suppressAutoHyphens/>
        <w:autoSpaceDE w:val="0"/>
        <w:autoSpaceDN w:val="0"/>
        <w:ind w:left="567"/>
        <w:jc w:val="both"/>
        <w:textAlignment w:val="baseline"/>
        <w:rPr>
          <w:rFonts w:cs="Arial"/>
          <w:lang w:val="fr-FR"/>
        </w:rPr>
      </w:pPr>
    </w:p>
    <w:p w14:paraId="06840E6D" w14:textId="77777777" w:rsidR="00143EB6" w:rsidRPr="00D515F5" w:rsidRDefault="00D515F5">
      <w:pPr>
        <w:widowControl w:val="0"/>
        <w:numPr>
          <w:ilvl w:val="0"/>
          <w:numId w:val="18"/>
        </w:numPr>
        <w:suppressAutoHyphens/>
        <w:autoSpaceDE w:val="0"/>
        <w:autoSpaceDN w:val="0"/>
        <w:jc w:val="both"/>
        <w:textAlignment w:val="baseline"/>
        <w:rPr>
          <w:rFonts w:cs="Arial"/>
          <w:lang w:val="fr-FR"/>
        </w:rPr>
      </w:pPr>
      <w:r w:rsidRPr="00D515F5">
        <w:rPr>
          <w:rFonts w:cs="Arial"/>
          <w:lang w:val="fr-FR"/>
        </w:rPr>
        <w:t>Le premier public cible du tableau de bord en ligne serait les Parties à la CMS, mais d'autres parties prenantes de la CMS, telles que les ONG de conservation, devraient être considérées comme un public secondaire. Le tableau de bord serait un outil de communication publique visuellement attrayant, fournissant une introduction aux questions clés de la conservation des espèces migratrices.</w:t>
      </w:r>
    </w:p>
    <w:p w14:paraId="132A0EE4" w14:textId="77777777" w:rsidR="00143EB6" w:rsidRPr="00D515F5" w:rsidRDefault="00143EB6">
      <w:pPr>
        <w:widowControl w:val="0"/>
        <w:suppressAutoHyphens/>
        <w:autoSpaceDE w:val="0"/>
        <w:autoSpaceDN w:val="0"/>
        <w:ind w:left="567"/>
        <w:jc w:val="both"/>
        <w:textAlignment w:val="baseline"/>
        <w:rPr>
          <w:rFonts w:cs="Arial"/>
          <w:lang w:val="fr-FR"/>
        </w:rPr>
      </w:pPr>
    </w:p>
    <w:p w14:paraId="4F8A0982" w14:textId="77777777" w:rsidR="00143EB6" w:rsidRPr="00D515F5" w:rsidRDefault="00D515F5">
      <w:pPr>
        <w:widowControl w:val="0"/>
        <w:numPr>
          <w:ilvl w:val="0"/>
          <w:numId w:val="18"/>
        </w:numPr>
        <w:suppressAutoHyphens/>
        <w:autoSpaceDE w:val="0"/>
        <w:autoSpaceDN w:val="0"/>
        <w:jc w:val="both"/>
        <w:textAlignment w:val="baseline"/>
        <w:rPr>
          <w:rFonts w:cs="Arial"/>
          <w:lang w:val="fr-FR"/>
        </w:rPr>
      </w:pPr>
      <w:r w:rsidRPr="00D515F5">
        <w:rPr>
          <w:rFonts w:cs="Arial"/>
          <w:lang w:val="fr-FR"/>
        </w:rPr>
        <w:t>Une phase initiale de définition du champ d'application, comprenant un chiffrage des options, serait une condition préalable essentielle à l'élaboration du tableau de bord et serait nécessaire pour bien comprendre les exigences et les contraintes techniques concernant la manière dont l'outil pourrait être construit, entretenu et mis à jour à l'aide de sources de données externes. La phase de définition du champ d'application impliquerait la consultation d'un sous-ensemble de Parties à la CMS afin d'établir leurs priorités clés, ce qui permettrait de s'assurer que l'outil répond aux besoins du monde réel de la manière la plus efficace possible.</w:t>
      </w:r>
    </w:p>
    <w:p w14:paraId="7D9BA168" w14:textId="77777777" w:rsidR="00143EB6" w:rsidRPr="00D515F5" w:rsidRDefault="00143EB6">
      <w:pPr>
        <w:widowControl w:val="0"/>
        <w:suppressAutoHyphens/>
        <w:autoSpaceDE w:val="0"/>
        <w:autoSpaceDN w:val="0"/>
        <w:ind w:left="567"/>
        <w:jc w:val="both"/>
        <w:textAlignment w:val="baseline"/>
        <w:rPr>
          <w:rFonts w:cs="Arial"/>
          <w:lang w:val="fr-FR"/>
        </w:rPr>
      </w:pPr>
    </w:p>
    <w:p w14:paraId="568C032C" w14:textId="77777777" w:rsidR="00143EB6" w:rsidRPr="00D515F5" w:rsidRDefault="00D515F5">
      <w:pPr>
        <w:widowControl w:val="0"/>
        <w:numPr>
          <w:ilvl w:val="0"/>
          <w:numId w:val="18"/>
        </w:numPr>
        <w:suppressAutoHyphens/>
        <w:autoSpaceDE w:val="0"/>
        <w:autoSpaceDN w:val="0"/>
        <w:jc w:val="both"/>
        <w:textAlignment w:val="baseline"/>
        <w:rPr>
          <w:rFonts w:cs="Arial"/>
          <w:lang w:val="fr-FR"/>
        </w:rPr>
      </w:pPr>
      <w:r w:rsidRPr="00D515F5">
        <w:rPr>
          <w:rFonts w:cs="Arial"/>
          <w:lang w:val="fr-FR"/>
        </w:rPr>
        <w:t xml:space="preserve">Les caractéristiques exactes du tableau de bord seront déterminées au cours de la phase initiale de définition du champ d'application, mais le contenu qui pourrait être inclus est présenté dans le tableau ci-dessous afin de fournir un point de départ pour la réflexion. Le contenu proposé dans le tableau représente un ensemble de données et d'indicateurs de base, sélectionnés sur la base des visualisations de données clés incluses dans l'État des espèces migratrices dans le monde, des indicateurs prioritaires existants de la CMS et de la présence de liens clairs avec le Plan stratégique de Samarcande pour les espèces migratrices 2024-2032. </w:t>
      </w:r>
    </w:p>
    <w:p w14:paraId="54629A81" w14:textId="77777777" w:rsidR="00143EB6" w:rsidRPr="00D515F5" w:rsidRDefault="00143EB6">
      <w:pPr>
        <w:pStyle w:val="ListParagraph"/>
        <w:contextualSpacing w:val="0"/>
        <w:jc w:val="both"/>
        <w:rPr>
          <w:rFonts w:ascii="Arial" w:hAnsi="Arial" w:cs="Arial"/>
          <w:sz w:val="22"/>
          <w:szCs w:val="22"/>
          <w:lang w:val="fr-FR"/>
        </w:rPr>
      </w:pPr>
    </w:p>
    <w:p w14:paraId="65CE39CD" w14:textId="77777777" w:rsidR="00143EB6" w:rsidRPr="00D515F5" w:rsidRDefault="00D515F5">
      <w:pPr>
        <w:widowControl w:val="0"/>
        <w:numPr>
          <w:ilvl w:val="0"/>
          <w:numId w:val="18"/>
        </w:numPr>
        <w:suppressAutoHyphens/>
        <w:autoSpaceDE w:val="0"/>
        <w:autoSpaceDN w:val="0"/>
        <w:jc w:val="both"/>
        <w:textAlignment w:val="baseline"/>
        <w:rPr>
          <w:rFonts w:cs="Arial"/>
          <w:lang w:val="fr-FR"/>
        </w:rPr>
      </w:pPr>
      <w:r w:rsidRPr="00D515F5">
        <w:rPr>
          <w:rFonts w:cs="Arial"/>
          <w:lang w:val="fr-FR"/>
        </w:rPr>
        <w:t xml:space="preserve">Le Conseil scientifique est invité à faire part de ses commentaires sur le contenu éventuel d'un tableau de bord.  </w:t>
      </w:r>
    </w:p>
    <w:p w14:paraId="338C5FBD" w14:textId="77777777" w:rsidR="00143EB6" w:rsidRPr="00D515F5" w:rsidRDefault="00143EB6">
      <w:pPr>
        <w:widowControl w:val="0"/>
        <w:suppressAutoHyphens/>
        <w:autoSpaceDE w:val="0"/>
        <w:autoSpaceDN w:val="0"/>
        <w:ind w:left="567"/>
        <w:jc w:val="both"/>
        <w:textAlignment w:val="baseline"/>
        <w:rPr>
          <w:lang w:val="fr-FR"/>
        </w:rPr>
      </w:pPr>
    </w:p>
    <w:p w14:paraId="11F9730C" w14:textId="77777777" w:rsidR="00143EB6" w:rsidRPr="00D515F5" w:rsidRDefault="00D515F5">
      <w:pPr>
        <w:spacing w:after="120"/>
        <w:jc w:val="both"/>
        <w:rPr>
          <w:rFonts w:cs="Arial"/>
          <w:b/>
          <w:bCs/>
          <w:color w:val="4C6B87"/>
          <w:sz w:val="20"/>
          <w:szCs w:val="20"/>
          <w:lang w:val="fr-FR"/>
        </w:rPr>
      </w:pPr>
      <w:r w:rsidRPr="00D515F5">
        <w:rPr>
          <w:rFonts w:cs="Arial"/>
          <w:b/>
          <w:bCs/>
          <w:color w:val="4C6B87"/>
          <w:sz w:val="20"/>
          <w:szCs w:val="20"/>
          <w:lang w:val="fr-FR"/>
        </w:rPr>
        <w:t>Tableau 1 : Liste indicative des éléments clés du tableau de bord (à affiner au cours de la phase 1)</w:t>
      </w:r>
    </w:p>
    <w:tbl>
      <w:tblPr>
        <w:tblStyle w:val="TableGrid"/>
        <w:tblW w:w="9634" w:type="dxa"/>
        <w:tblLook w:val="04A0" w:firstRow="1" w:lastRow="0" w:firstColumn="1" w:lastColumn="0" w:noHBand="0" w:noVBand="1"/>
      </w:tblPr>
      <w:tblGrid>
        <w:gridCol w:w="2263"/>
        <w:gridCol w:w="4395"/>
        <w:gridCol w:w="2976"/>
      </w:tblGrid>
      <w:tr w:rsidR="00143EB6" w:rsidRPr="009F5342" w14:paraId="3773B169" w14:textId="77777777" w:rsidTr="00FF7297">
        <w:trPr>
          <w:tblHeader/>
        </w:trPr>
        <w:tc>
          <w:tcPr>
            <w:tcW w:w="2263" w:type="dxa"/>
            <w:shd w:val="clear" w:color="auto" w:fill="4D6B89"/>
          </w:tcPr>
          <w:p w14:paraId="29BF4244" w14:textId="77777777" w:rsidR="00143EB6" w:rsidRPr="00D515F5" w:rsidRDefault="00D515F5">
            <w:pPr>
              <w:spacing w:before="40" w:after="40"/>
              <w:rPr>
                <w:rFonts w:cs="Arial"/>
                <w:b/>
                <w:bCs/>
                <w:color w:val="FFFFFF" w:themeColor="background1"/>
                <w:sz w:val="18"/>
                <w:szCs w:val="18"/>
                <w:lang w:val="fr-FR"/>
              </w:rPr>
            </w:pPr>
            <w:r w:rsidRPr="00D515F5">
              <w:rPr>
                <w:rFonts w:cs="Arial"/>
                <w:b/>
                <w:bCs/>
                <w:color w:val="FFFFFF" w:themeColor="background1"/>
                <w:sz w:val="18"/>
                <w:szCs w:val="18"/>
                <w:lang w:val="fr-FR"/>
              </w:rPr>
              <w:t>Section du tableau de bord</w:t>
            </w:r>
          </w:p>
        </w:tc>
        <w:tc>
          <w:tcPr>
            <w:tcW w:w="4395" w:type="dxa"/>
            <w:shd w:val="clear" w:color="auto" w:fill="4D6B89"/>
          </w:tcPr>
          <w:p w14:paraId="295DF94E" w14:textId="77777777" w:rsidR="00143EB6" w:rsidRPr="00D515F5" w:rsidRDefault="00D515F5">
            <w:pPr>
              <w:spacing w:before="40" w:after="40"/>
              <w:rPr>
                <w:rFonts w:cs="Arial"/>
                <w:b/>
                <w:bCs/>
                <w:color w:val="FFFFFF" w:themeColor="background1"/>
                <w:sz w:val="18"/>
                <w:szCs w:val="18"/>
                <w:lang w:val="fr-FR"/>
              </w:rPr>
            </w:pPr>
            <w:r w:rsidRPr="00D515F5">
              <w:rPr>
                <w:rFonts w:cs="Arial"/>
                <w:b/>
                <w:bCs/>
                <w:color w:val="FFFFFF" w:themeColor="background1"/>
                <w:sz w:val="18"/>
                <w:szCs w:val="18"/>
                <w:lang w:val="fr-FR"/>
              </w:rPr>
              <w:t>Objectif proposé pour le texte narratif / les données à inclure</w:t>
            </w:r>
          </w:p>
        </w:tc>
        <w:tc>
          <w:tcPr>
            <w:tcW w:w="2976" w:type="dxa"/>
            <w:shd w:val="clear" w:color="auto" w:fill="4D6B89"/>
          </w:tcPr>
          <w:p w14:paraId="1531ED92" w14:textId="77777777" w:rsidR="00143EB6" w:rsidRPr="00D515F5" w:rsidRDefault="00D515F5">
            <w:pPr>
              <w:spacing w:before="40" w:after="40"/>
              <w:rPr>
                <w:rFonts w:cs="Arial"/>
                <w:b/>
                <w:bCs/>
                <w:color w:val="FFFFFF" w:themeColor="background1"/>
                <w:sz w:val="18"/>
                <w:szCs w:val="18"/>
                <w:lang w:val="fr-FR"/>
              </w:rPr>
            </w:pPr>
            <w:r w:rsidRPr="00D515F5">
              <w:rPr>
                <w:rFonts w:cs="Arial"/>
                <w:b/>
                <w:bCs/>
                <w:color w:val="FFFFFF" w:themeColor="background1"/>
                <w:sz w:val="18"/>
                <w:szCs w:val="18"/>
                <w:lang w:val="fr-FR"/>
              </w:rPr>
              <w:t>Principale(s) source(s) de contenu/données (provisoire)</w:t>
            </w:r>
          </w:p>
        </w:tc>
      </w:tr>
      <w:tr w:rsidR="00143EB6" w:rsidRPr="009F5342" w14:paraId="1BC3B286" w14:textId="77777777" w:rsidTr="00FF7297">
        <w:tc>
          <w:tcPr>
            <w:tcW w:w="2263" w:type="dxa"/>
          </w:tcPr>
          <w:p w14:paraId="6C69EBE6" w14:textId="77777777" w:rsidR="00143EB6" w:rsidRPr="00D515F5" w:rsidRDefault="00D515F5">
            <w:pPr>
              <w:spacing w:before="40" w:after="40"/>
              <w:rPr>
                <w:rFonts w:cs="Arial"/>
                <w:b/>
                <w:bCs/>
                <w:sz w:val="18"/>
                <w:szCs w:val="18"/>
                <w:lang w:val="fr-FR"/>
              </w:rPr>
            </w:pPr>
            <w:r w:rsidRPr="00D515F5">
              <w:rPr>
                <w:rFonts w:cs="Arial"/>
                <w:b/>
                <w:bCs/>
                <w:sz w:val="18"/>
                <w:szCs w:val="18"/>
                <w:lang w:val="fr-FR"/>
              </w:rPr>
              <w:t>L'importance des espèces migratrices</w:t>
            </w:r>
          </w:p>
        </w:tc>
        <w:tc>
          <w:tcPr>
            <w:tcW w:w="4395" w:type="dxa"/>
          </w:tcPr>
          <w:p w14:paraId="368BBFD4" w14:textId="77777777" w:rsidR="00143EB6" w:rsidRPr="00D515F5" w:rsidRDefault="00D515F5" w:rsidP="004E4C54">
            <w:pPr>
              <w:spacing w:before="40" w:after="40"/>
              <w:jc w:val="both"/>
              <w:rPr>
                <w:rFonts w:cs="Arial"/>
                <w:sz w:val="18"/>
                <w:szCs w:val="18"/>
                <w:lang w:val="fr-FR"/>
              </w:rPr>
            </w:pPr>
            <w:r w:rsidRPr="00D515F5">
              <w:rPr>
                <w:rFonts w:cs="Arial"/>
                <w:sz w:val="18"/>
                <w:szCs w:val="18"/>
                <w:lang w:val="fr-FR"/>
              </w:rPr>
              <w:t>Résumé visuel présentant l'importance des espèces migratrices, y compris leurs voyages étonnants, leurs rôles au sein des écosystèmes et leur importance pour les sociétés humaines à travers le monde.</w:t>
            </w:r>
          </w:p>
        </w:tc>
        <w:tc>
          <w:tcPr>
            <w:tcW w:w="2976" w:type="dxa"/>
          </w:tcPr>
          <w:p w14:paraId="2A4B09CC" w14:textId="77777777" w:rsidR="00143EB6" w:rsidRPr="00D515F5" w:rsidRDefault="00D515F5">
            <w:pPr>
              <w:spacing w:before="40" w:after="40"/>
              <w:rPr>
                <w:rFonts w:cs="Arial"/>
                <w:sz w:val="18"/>
                <w:szCs w:val="18"/>
                <w:lang w:val="fr-FR"/>
              </w:rPr>
            </w:pPr>
            <w:r w:rsidRPr="00D515F5">
              <w:rPr>
                <w:rFonts w:cs="Arial"/>
                <w:sz w:val="18"/>
                <w:szCs w:val="18"/>
                <w:lang w:val="fr-FR"/>
              </w:rPr>
              <w:t>Le contenu doit être élaboré à partir des publications/rapports de la CMS et de la littérature scientifique au sens large.</w:t>
            </w:r>
          </w:p>
        </w:tc>
      </w:tr>
      <w:tr w:rsidR="00143EB6" w:rsidRPr="00D515F5" w14:paraId="7AEDED1B" w14:textId="77777777" w:rsidTr="00FF7297">
        <w:tc>
          <w:tcPr>
            <w:tcW w:w="2263" w:type="dxa"/>
          </w:tcPr>
          <w:p w14:paraId="3DA4893C" w14:textId="77777777" w:rsidR="00143EB6" w:rsidRPr="00D515F5" w:rsidRDefault="00D515F5">
            <w:pPr>
              <w:spacing w:before="40" w:after="40"/>
              <w:rPr>
                <w:rFonts w:cs="Arial"/>
                <w:b/>
                <w:bCs/>
                <w:sz w:val="18"/>
                <w:szCs w:val="18"/>
                <w:lang w:val="fr-FR"/>
              </w:rPr>
            </w:pPr>
            <w:r w:rsidRPr="00D515F5">
              <w:rPr>
                <w:rFonts w:cs="Arial"/>
                <w:b/>
                <w:bCs/>
                <w:sz w:val="18"/>
                <w:szCs w:val="18"/>
                <w:lang w:val="fr-FR"/>
              </w:rPr>
              <w:t>Introduction à la CMS - informations de base sur la Convention</w:t>
            </w:r>
          </w:p>
        </w:tc>
        <w:tc>
          <w:tcPr>
            <w:tcW w:w="4395" w:type="dxa"/>
          </w:tcPr>
          <w:p w14:paraId="6C31925E" w14:textId="77777777" w:rsidR="00143EB6" w:rsidRPr="00D515F5" w:rsidRDefault="00D515F5" w:rsidP="004E4C54">
            <w:pPr>
              <w:spacing w:before="40" w:after="40"/>
              <w:jc w:val="both"/>
              <w:rPr>
                <w:rFonts w:cs="Arial"/>
                <w:sz w:val="18"/>
                <w:szCs w:val="18"/>
                <w:lang w:val="fr-FR"/>
              </w:rPr>
            </w:pPr>
            <w:r w:rsidRPr="00D515F5">
              <w:rPr>
                <w:rFonts w:cs="Arial"/>
                <w:i/>
                <w:iCs/>
                <w:sz w:val="18"/>
                <w:szCs w:val="18"/>
                <w:lang w:val="fr-FR"/>
              </w:rPr>
              <w:t xml:space="preserve">Texte narratif </w:t>
            </w:r>
            <w:r w:rsidRPr="00D515F5">
              <w:rPr>
                <w:rFonts w:cs="Arial"/>
                <w:sz w:val="18"/>
                <w:szCs w:val="18"/>
                <w:lang w:val="fr-FR"/>
              </w:rPr>
              <w:t xml:space="preserve">: Souligner l'importance de la coopération mondiale comme solution aux défis spécifiques auxquels ces espèces sont confrontées. </w:t>
            </w:r>
          </w:p>
          <w:p w14:paraId="44C91C9B" w14:textId="77777777" w:rsidR="00143EB6" w:rsidRPr="00D515F5" w:rsidRDefault="00D515F5" w:rsidP="004E4C54">
            <w:pPr>
              <w:pStyle w:val="ListParagraph"/>
              <w:widowControl/>
              <w:numPr>
                <w:ilvl w:val="0"/>
                <w:numId w:val="22"/>
              </w:numPr>
              <w:spacing w:before="40" w:after="40"/>
              <w:ind w:left="319" w:hanging="284"/>
              <w:jc w:val="both"/>
              <w:rPr>
                <w:rFonts w:ascii="Arial" w:hAnsi="Arial" w:cs="Arial"/>
                <w:sz w:val="18"/>
                <w:szCs w:val="18"/>
                <w:lang w:val="fr-FR"/>
              </w:rPr>
            </w:pPr>
            <w:r w:rsidRPr="00D515F5">
              <w:rPr>
                <w:rFonts w:ascii="Arial" w:hAnsi="Arial" w:cs="Arial"/>
                <w:i/>
                <w:iCs/>
                <w:sz w:val="18"/>
                <w:szCs w:val="18"/>
                <w:lang w:val="fr-FR"/>
              </w:rPr>
              <w:t xml:space="preserve">Composante de données </w:t>
            </w:r>
            <w:r w:rsidRPr="00D515F5">
              <w:rPr>
                <w:rFonts w:ascii="Arial" w:hAnsi="Arial" w:cs="Arial"/>
                <w:sz w:val="18"/>
                <w:szCs w:val="18"/>
                <w:lang w:val="fr-FR"/>
              </w:rPr>
              <w:t>1 : graphique montrant le nombre de Parties à la CMS</w:t>
            </w:r>
          </w:p>
          <w:p w14:paraId="725B34E8" w14:textId="77777777" w:rsidR="00143EB6" w:rsidRPr="00D515F5" w:rsidRDefault="00D515F5" w:rsidP="004E4C54">
            <w:pPr>
              <w:pStyle w:val="ListParagraph"/>
              <w:widowControl/>
              <w:numPr>
                <w:ilvl w:val="0"/>
                <w:numId w:val="22"/>
              </w:numPr>
              <w:spacing w:before="40" w:after="40"/>
              <w:ind w:left="319" w:hanging="284"/>
              <w:jc w:val="both"/>
              <w:rPr>
                <w:rFonts w:ascii="Arial" w:hAnsi="Arial" w:cs="Arial"/>
                <w:sz w:val="18"/>
                <w:szCs w:val="18"/>
                <w:lang w:val="fr-FR"/>
              </w:rPr>
            </w:pPr>
            <w:r w:rsidRPr="00D515F5">
              <w:rPr>
                <w:rFonts w:ascii="Arial" w:hAnsi="Arial" w:cs="Arial"/>
                <w:i/>
                <w:iCs/>
                <w:sz w:val="18"/>
                <w:szCs w:val="18"/>
                <w:lang w:val="fr-FR"/>
              </w:rPr>
              <w:t xml:space="preserve">Composante de données </w:t>
            </w:r>
            <w:r w:rsidRPr="00D515F5">
              <w:rPr>
                <w:rFonts w:ascii="Arial" w:hAnsi="Arial" w:cs="Arial"/>
                <w:sz w:val="18"/>
                <w:szCs w:val="18"/>
                <w:lang w:val="fr-FR"/>
              </w:rPr>
              <w:t xml:space="preserve">2 : nombre d'espèces inscrites aux Annexes de la CMS. </w:t>
            </w:r>
          </w:p>
        </w:tc>
        <w:tc>
          <w:tcPr>
            <w:tcW w:w="2976" w:type="dxa"/>
          </w:tcPr>
          <w:p w14:paraId="300996E0" w14:textId="77777777" w:rsidR="00143EB6" w:rsidRPr="00D515F5" w:rsidRDefault="00D515F5">
            <w:pPr>
              <w:spacing w:before="40" w:after="40"/>
              <w:rPr>
                <w:rFonts w:cs="Arial"/>
                <w:sz w:val="18"/>
                <w:szCs w:val="18"/>
                <w:lang w:val="fr-FR"/>
              </w:rPr>
            </w:pPr>
            <w:proofErr w:type="spellStart"/>
            <w:r w:rsidRPr="00D515F5">
              <w:rPr>
                <w:rFonts w:cs="Arial"/>
                <w:sz w:val="18"/>
                <w:szCs w:val="18"/>
                <w:lang w:val="fr-FR"/>
              </w:rPr>
              <w:t>Species</w:t>
            </w:r>
            <w:proofErr w:type="spellEnd"/>
            <w:r w:rsidRPr="00D515F5">
              <w:rPr>
                <w:rFonts w:cs="Arial"/>
                <w:sz w:val="18"/>
                <w:szCs w:val="18"/>
                <w:lang w:val="fr-FR"/>
              </w:rPr>
              <w:t>+, site web de la CMS</w:t>
            </w:r>
          </w:p>
        </w:tc>
      </w:tr>
      <w:tr w:rsidR="00143EB6" w:rsidRPr="00D515F5" w14:paraId="6224092A" w14:textId="77777777" w:rsidTr="00FF7297">
        <w:tc>
          <w:tcPr>
            <w:tcW w:w="2263" w:type="dxa"/>
          </w:tcPr>
          <w:p w14:paraId="14AE2DEE" w14:textId="77777777" w:rsidR="00143EB6" w:rsidRPr="00D515F5" w:rsidRDefault="00D515F5">
            <w:pPr>
              <w:spacing w:before="40" w:after="40"/>
              <w:rPr>
                <w:rFonts w:cs="Arial"/>
                <w:b/>
                <w:bCs/>
                <w:sz w:val="18"/>
                <w:szCs w:val="18"/>
                <w:lang w:val="fr-FR"/>
              </w:rPr>
            </w:pPr>
            <w:r w:rsidRPr="00D515F5">
              <w:rPr>
                <w:rFonts w:cs="Arial"/>
                <w:b/>
                <w:bCs/>
                <w:sz w:val="18"/>
                <w:szCs w:val="18"/>
                <w:lang w:val="fr-FR"/>
              </w:rPr>
              <w:t>État de conservation des espèces migratrices</w:t>
            </w:r>
          </w:p>
        </w:tc>
        <w:tc>
          <w:tcPr>
            <w:tcW w:w="4395" w:type="dxa"/>
          </w:tcPr>
          <w:p w14:paraId="7924C685" w14:textId="77777777" w:rsidR="00143EB6" w:rsidRPr="00D515F5" w:rsidRDefault="00D515F5" w:rsidP="004E4C54">
            <w:pPr>
              <w:pStyle w:val="ListParagraph"/>
              <w:widowControl/>
              <w:numPr>
                <w:ilvl w:val="0"/>
                <w:numId w:val="22"/>
              </w:numPr>
              <w:spacing w:before="40" w:after="40"/>
              <w:ind w:left="319" w:hanging="284"/>
              <w:jc w:val="both"/>
              <w:rPr>
                <w:rFonts w:ascii="Arial" w:hAnsi="Arial" w:cs="Arial"/>
                <w:sz w:val="18"/>
                <w:szCs w:val="18"/>
                <w:lang w:val="fr-FR"/>
              </w:rPr>
            </w:pPr>
            <w:r w:rsidRPr="00D515F5">
              <w:rPr>
                <w:rFonts w:ascii="Arial" w:hAnsi="Arial" w:cs="Arial"/>
                <w:i/>
                <w:iCs/>
                <w:sz w:val="18"/>
                <w:szCs w:val="18"/>
                <w:lang w:val="fr-FR"/>
              </w:rPr>
              <w:t xml:space="preserve">Composante de données 1 : </w:t>
            </w:r>
            <w:r w:rsidRPr="00D515F5">
              <w:rPr>
                <w:rFonts w:ascii="Arial" w:hAnsi="Arial" w:cs="Arial"/>
                <w:sz w:val="18"/>
                <w:szCs w:val="18"/>
                <w:lang w:val="fr-FR"/>
              </w:rPr>
              <w:t>graphique interactif montrant le nombre d'espèces migratrices inscrites aux Annexes de la CMS et d'autres espèces migratrices globalement menacées, par annexe et par groupe taxonomique.</w:t>
            </w:r>
          </w:p>
          <w:p w14:paraId="12E0CBF6" w14:textId="77777777" w:rsidR="00143EB6" w:rsidRPr="00D515F5" w:rsidRDefault="00D515F5" w:rsidP="004E4C54">
            <w:pPr>
              <w:pStyle w:val="ListParagraph"/>
              <w:widowControl/>
              <w:numPr>
                <w:ilvl w:val="0"/>
                <w:numId w:val="22"/>
              </w:numPr>
              <w:spacing w:before="40" w:after="40"/>
              <w:ind w:left="319" w:hanging="284"/>
              <w:jc w:val="both"/>
              <w:rPr>
                <w:rFonts w:ascii="Arial" w:hAnsi="Arial" w:cs="Arial"/>
                <w:sz w:val="18"/>
                <w:szCs w:val="18"/>
                <w:lang w:val="fr-FR"/>
              </w:rPr>
            </w:pPr>
            <w:r w:rsidRPr="00D515F5">
              <w:rPr>
                <w:rFonts w:ascii="Arial" w:hAnsi="Arial" w:cs="Arial"/>
                <w:i/>
                <w:iCs/>
                <w:sz w:val="18"/>
                <w:szCs w:val="18"/>
                <w:lang w:val="fr-FR"/>
              </w:rPr>
              <w:t xml:space="preserve">Composante de données 2 : </w:t>
            </w:r>
            <w:r w:rsidRPr="00D515F5">
              <w:rPr>
                <w:rFonts w:ascii="Arial" w:hAnsi="Arial" w:cs="Arial"/>
                <w:sz w:val="18"/>
                <w:szCs w:val="18"/>
                <w:lang w:val="fr-FR"/>
              </w:rPr>
              <w:t>tendances de l'indice de la liste rouge (indiquant les niveaux de risque d'extinction) pour les espèces inscrites sur la liste de la CMS et les autres espèces migratrices, dans l'ensemble, et réparties par groupe taxonomique lorsque cela est possible (tous les sous-ensembles de données peuvent ne pas être disponibles).</w:t>
            </w:r>
          </w:p>
          <w:p w14:paraId="54FD68B8" w14:textId="77777777" w:rsidR="00143EB6" w:rsidRPr="00D515F5" w:rsidRDefault="00D515F5" w:rsidP="004E4C54">
            <w:pPr>
              <w:pStyle w:val="ListParagraph"/>
              <w:widowControl/>
              <w:numPr>
                <w:ilvl w:val="0"/>
                <w:numId w:val="22"/>
              </w:numPr>
              <w:spacing w:before="40" w:after="40"/>
              <w:ind w:left="319" w:hanging="284"/>
              <w:jc w:val="both"/>
              <w:rPr>
                <w:rFonts w:ascii="Arial" w:hAnsi="Arial" w:cs="Arial"/>
                <w:i/>
                <w:iCs/>
                <w:sz w:val="18"/>
                <w:szCs w:val="18"/>
                <w:lang w:val="fr-FR"/>
              </w:rPr>
            </w:pPr>
            <w:r w:rsidRPr="00D515F5">
              <w:rPr>
                <w:rFonts w:ascii="Arial" w:hAnsi="Arial" w:cs="Arial"/>
                <w:i/>
                <w:iCs/>
                <w:sz w:val="18"/>
                <w:szCs w:val="18"/>
                <w:lang w:val="fr-FR"/>
              </w:rPr>
              <w:t xml:space="preserve">Composante de données 3 : </w:t>
            </w:r>
            <w:r w:rsidRPr="00D515F5">
              <w:rPr>
                <w:rFonts w:ascii="Arial" w:hAnsi="Arial" w:cs="Arial"/>
                <w:sz w:val="18"/>
                <w:szCs w:val="18"/>
                <w:lang w:val="fr-FR"/>
              </w:rPr>
              <w:t>proportion d'espèces migratrices globalement menacées ou quasi menacées qui sont inscrites aux Annexes de la CMS, globalement et par groupe taxonomique.</w:t>
            </w:r>
          </w:p>
        </w:tc>
        <w:tc>
          <w:tcPr>
            <w:tcW w:w="2976" w:type="dxa"/>
          </w:tcPr>
          <w:p w14:paraId="18A73835" w14:textId="77777777" w:rsidR="00143EB6" w:rsidRPr="00D515F5" w:rsidRDefault="00D515F5">
            <w:pPr>
              <w:spacing w:before="40" w:after="40"/>
              <w:rPr>
                <w:rFonts w:cs="Arial"/>
                <w:sz w:val="18"/>
                <w:szCs w:val="18"/>
                <w:lang w:val="fr-FR"/>
              </w:rPr>
            </w:pPr>
            <w:r w:rsidRPr="00D515F5">
              <w:rPr>
                <w:rFonts w:cs="Arial"/>
                <w:sz w:val="18"/>
                <w:szCs w:val="18"/>
                <w:lang w:val="fr-FR"/>
              </w:rPr>
              <w:t>Liste rouge de l'UICN.</w:t>
            </w:r>
          </w:p>
        </w:tc>
      </w:tr>
      <w:tr w:rsidR="00143EB6" w:rsidRPr="009F5342" w14:paraId="7C9D2FEF" w14:textId="77777777" w:rsidTr="00FF7297">
        <w:tc>
          <w:tcPr>
            <w:tcW w:w="2263" w:type="dxa"/>
          </w:tcPr>
          <w:p w14:paraId="1B808E24" w14:textId="77777777" w:rsidR="00143EB6" w:rsidRPr="00D515F5" w:rsidRDefault="00D515F5">
            <w:pPr>
              <w:spacing w:before="40" w:after="40"/>
              <w:rPr>
                <w:rFonts w:cs="Arial"/>
                <w:b/>
                <w:bCs/>
                <w:i/>
                <w:iCs/>
                <w:sz w:val="18"/>
                <w:szCs w:val="18"/>
                <w:lang w:val="fr-FR"/>
              </w:rPr>
            </w:pPr>
            <w:r w:rsidRPr="00D515F5">
              <w:rPr>
                <w:rFonts w:cs="Arial"/>
                <w:b/>
                <w:bCs/>
                <w:sz w:val="18"/>
                <w:szCs w:val="18"/>
                <w:lang w:val="fr-FR"/>
              </w:rPr>
              <w:t>Conservation par zone des espèces migratrices</w:t>
            </w:r>
          </w:p>
        </w:tc>
        <w:tc>
          <w:tcPr>
            <w:tcW w:w="4395" w:type="dxa"/>
          </w:tcPr>
          <w:p w14:paraId="2DD9B48D" w14:textId="77777777" w:rsidR="00143EB6" w:rsidRPr="00D515F5" w:rsidRDefault="00D515F5" w:rsidP="004E4C54">
            <w:pPr>
              <w:pStyle w:val="ListParagraph"/>
              <w:widowControl/>
              <w:numPr>
                <w:ilvl w:val="0"/>
                <w:numId w:val="22"/>
              </w:numPr>
              <w:spacing w:before="40" w:after="40"/>
              <w:ind w:left="319" w:hanging="284"/>
              <w:jc w:val="both"/>
              <w:rPr>
                <w:rFonts w:ascii="Arial" w:hAnsi="Arial" w:cs="Arial"/>
                <w:sz w:val="18"/>
                <w:szCs w:val="18"/>
                <w:lang w:val="fr-FR"/>
              </w:rPr>
            </w:pPr>
            <w:r w:rsidRPr="00D515F5">
              <w:rPr>
                <w:rFonts w:ascii="Arial" w:hAnsi="Arial" w:cs="Arial"/>
                <w:sz w:val="18"/>
                <w:szCs w:val="18"/>
                <w:lang w:val="fr-FR"/>
              </w:rPr>
              <w:t xml:space="preserve">Composante de données 1 (identification des habitats clés pour les espèces migratrices) : statistiques de haut niveau sur le nombre de zones clés pour la biodiversité (ZCB) et d'autres mesures de conservation efficaces basées sur les zones (OECM) telles que les zones importantes pour les mammifères marins (AIMM) et les aires importantes pour les requins et les raies (AIRR) recensées pour les espèces inscrites aux Annexes de la CMS et/ou toutes les espèces migratrices, globalement et par environnement (marin vs. terrestre), annexe, région, pays et groupe taxonomique ; combiné avec un graphique interactif montrant la proportion d'espèces listées par la CMS et/ou toutes les espèces migratrices pour lesquelles au moins un site clé a été identifié. </w:t>
            </w:r>
          </w:p>
          <w:p w14:paraId="13F044EA" w14:textId="77777777" w:rsidR="00143EB6" w:rsidRPr="00D515F5" w:rsidRDefault="00D515F5" w:rsidP="004E4C54">
            <w:pPr>
              <w:pStyle w:val="ListParagraph"/>
              <w:widowControl/>
              <w:numPr>
                <w:ilvl w:val="0"/>
                <w:numId w:val="22"/>
              </w:numPr>
              <w:spacing w:before="40" w:after="40"/>
              <w:ind w:left="319" w:hanging="284"/>
              <w:jc w:val="both"/>
              <w:rPr>
                <w:rFonts w:ascii="Arial" w:hAnsi="Arial" w:cs="Arial"/>
                <w:sz w:val="18"/>
                <w:szCs w:val="18"/>
                <w:lang w:val="fr-FR"/>
              </w:rPr>
            </w:pPr>
            <w:r w:rsidRPr="00D515F5">
              <w:rPr>
                <w:rFonts w:ascii="Arial" w:hAnsi="Arial" w:cs="Arial"/>
                <w:sz w:val="18"/>
                <w:szCs w:val="18"/>
                <w:lang w:val="fr-FR"/>
              </w:rPr>
              <w:t>Composante de données 2 (statut de protection des habitats importants pour les espèces inscrites aux Annexes de la CMS) : tendances dans la proportion de la zone couverte par les ZCB (et d'autres approches basées sur des sites spécifiques aux taxons) qui a été incluse dans les zones protégées et conservées, globalement, et par environnement (marin vs. terrestre), annexe, région, pays et groupe taxonomique.</w:t>
            </w:r>
          </w:p>
        </w:tc>
        <w:tc>
          <w:tcPr>
            <w:tcW w:w="2976" w:type="dxa"/>
          </w:tcPr>
          <w:p w14:paraId="039087A0" w14:textId="77777777" w:rsidR="00143EB6" w:rsidRPr="00D515F5" w:rsidRDefault="00D515F5">
            <w:pPr>
              <w:spacing w:before="40" w:after="40"/>
              <w:rPr>
                <w:rFonts w:cs="Arial"/>
                <w:sz w:val="18"/>
                <w:szCs w:val="18"/>
                <w:lang w:val="fr-FR"/>
              </w:rPr>
            </w:pPr>
            <w:r w:rsidRPr="00D515F5">
              <w:rPr>
                <w:rFonts w:cs="Arial"/>
                <w:sz w:val="18"/>
                <w:szCs w:val="18"/>
                <w:lang w:val="fr-FR"/>
              </w:rPr>
              <w:t>Base de données mondiale des zones clés pour la biodiversité (ZCB)</w:t>
            </w:r>
          </w:p>
          <w:p w14:paraId="5AAFA498" w14:textId="77777777" w:rsidR="00143EB6" w:rsidRPr="00D515F5" w:rsidRDefault="00143EB6">
            <w:pPr>
              <w:spacing w:before="40" w:after="40"/>
              <w:rPr>
                <w:rFonts w:cs="Arial"/>
                <w:sz w:val="18"/>
                <w:szCs w:val="18"/>
                <w:lang w:val="fr-FR"/>
              </w:rPr>
            </w:pPr>
          </w:p>
          <w:p w14:paraId="1F4A4026" w14:textId="77777777" w:rsidR="00143EB6" w:rsidRPr="00D515F5" w:rsidRDefault="00D515F5">
            <w:pPr>
              <w:spacing w:before="40" w:after="40"/>
              <w:rPr>
                <w:rFonts w:cs="Arial"/>
                <w:sz w:val="18"/>
                <w:szCs w:val="18"/>
                <w:lang w:val="fr-FR"/>
              </w:rPr>
            </w:pPr>
            <w:r w:rsidRPr="00D515F5">
              <w:rPr>
                <w:rFonts w:cs="Arial"/>
                <w:sz w:val="18"/>
                <w:szCs w:val="18"/>
                <w:lang w:val="fr-FR"/>
              </w:rPr>
              <w:t>Base de données mondiale sur les zones protégées (WDPA)</w:t>
            </w:r>
          </w:p>
          <w:p w14:paraId="7E8BBEFA" w14:textId="77777777" w:rsidR="00143EB6" w:rsidRPr="00D515F5" w:rsidRDefault="00143EB6">
            <w:pPr>
              <w:spacing w:before="40" w:after="40"/>
              <w:rPr>
                <w:rFonts w:cs="Arial"/>
                <w:sz w:val="18"/>
                <w:szCs w:val="18"/>
                <w:lang w:val="fr-FR"/>
              </w:rPr>
            </w:pPr>
          </w:p>
          <w:p w14:paraId="522A8078" w14:textId="77777777" w:rsidR="00143EB6" w:rsidRPr="00D515F5" w:rsidRDefault="00D515F5">
            <w:pPr>
              <w:spacing w:before="40" w:after="40"/>
              <w:rPr>
                <w:rFonts w:cs="Arial"/>
                <w:sz w:val="18"/>
                <w:szCs w:val="18"/>
                <w:lang w:val="fr-FR"/>
              </w:rPr>
            </w:pPr>
            <w:r w:rsidRPr="00D515F5">
              <w:rPr>
                <w:rFonts w:cs="Arial"/>
                <w:sz w:val="18"/>
                <w:szCs w:val="18"/>
                <w:lang w:val="fr-FR"/>
              </w:rPr>
              <w:t xml:space="preserve">Aires importantes pour les mammifères marins (AIMM) </w:t>
            </w:r>
          </w:p>
          <w:p w14:paraId="438F5AFA" w14:textId="77777777" w:rsidR="00143EB6" w:rsidRPr="00D515F5" w:rsidRDefault="00143EB6">
            <w:pPr>
              <w:spacing w:before="40" w:after="40"/>
              <w:rPr>
                <w:rFonts w:cs="Arial"/>
                <w:sz w:val="18"/>
                <w:szCs w:val="18"/>
                <w:lang w:val="fr-FR"/>
              </w:rPr>
            </w:pPr>
          </w:p>
          <w:p w14:paraId="6DA20B6C" w14:textId="77777777" w:rsidR="00143EB6" w:rsidRPr="00D515F5" w:rsidRDefault="00D515F5">
            <w:pPr>
              <w:spacing w:before="40" w:after="40"/>
              <w:rPr>
                <w:rFonts w:cs="Arial"/>
                <w:sz w:val="18"/>
                <w:szCs w:val="18"/>
                <w:lang w:val="fr-FR"/>
              </w:rPr>
            </w:pPr>
            <w:r w:rsidRPr="00D515F5">
              <w:rPr>
                <w:rFonts w:cs="Arial"/>
                <w:sz w:val="18"/>
                <w:szCs w:val="18"/>
                <w:lang w:val="fr-FR"/>
              </w:rPr>
              <w:t xml:space="preserve">Aires importantes pour les requins et les raies (AIRR) </w:t>
            </w:r>
          </w:p>
        </w:tc>
      </w:tr>
      <w:tr w:rsidR="00143EB6" w:rsidRPr="00D515F5" w14:paraId="1679D59D" w14:textId="77777777" w:rsidTr="00FF7297">
        <w:tc>
          <w:tcPr>
            <w:tcW w:w="2263" w:type="dxa"/>
          </w:tcPr>
          <w:p w14:paraId="3544CDD9" w14:textId="77777777" w:rsidR="00143EB6" w:rsidRPr="00D515F5" w:rsidRDefault="00D515F5">
            <w:pPr>
              <w:spacing w:before="40" w:after="40"/>
              <w:rPr>
                <w:rFonts w:ascii="Roboto" w:hAnsi="Roboto"/>
                <w:b/>
                <w:bCs/>
                <w:sz w:val="18"/>
                <w:szCs w:val="18"/>
                <w:lang w:val="fr-FR"/>
              </w:rPr>
            </w:pPr>
            <w:r w:rsidRPr="00D515F5">
              <w:rPr>
                <w:rFonts w:ascii="Roboto" w:hAnsi="Roboto"/>
                <w:b/>
                <w:bCs/>
                <w:sz w:val="18"/>
                <w:szCs w:val="18"/>
                <w:lang w:val="fr-FR"/>
              </w:rPr>
              <w:lastRenderedPageBreak/>
              <w:t>Menaces pesant sur les espèces migratrices</w:t>
            </w:r>
          </w:p>
        </w:tc>
        <w:tc>
          <w:tcPr>
            <w:tcW w:w="4395" w:type="dxa"/>
          </w:tcPr>
          <w:p w14:paraId="2B99D892" w14:textId="77777777" w:rsidR="00143EB6" w:rsidRPr="00D515F5" w:rsidRDefault="00D515F5" w:rsidP="004E4C54">
            <w:pPr>
              <w:pStyle w:val="ListParagraph"/>
              <w:widowControl/>
              <w:numPr>
                <w:ilvl w:val="0"/>
                <w:numId w:val="22"/>
              </w:numPr>
              <w:spacing w:before="40" w:after="40"/>
              <w:ind w:left="319" w:hanging="284"/>
              <w:jc w:val="both"/>
              <w:rPr>
                <w:rFonts w:ascii="Roboto" w:hAnsi="Roboto"/>
                <w:sz w:val="18"/>
                <w:szCs w:val="18"/>
                <w:lang w:val="fr-FR"/>
              </w:rPr>
            </w:pPr>
            <w:r w:rsidRPr="00D515F5">
              <w:rPr>
                <w:rFonts w:ascii="Roboto" w:hAnsi="Roboto"/>
                <w:i/>
                <w:iCs/>
                <w:sz w:val="18"/>
                <w:szCs w:val="18"/>
                <w:lang w:val="fr-FR"/>
              </w:rPr>
              <w:t xml:space="preserve">Composante de données 1 </w:t>
            </w:r>
            <w:r w:rsidRPr="00D515F5">
              <w:rPr>
                <w:rFonts w:ascii="Roboto" w:hAnsi="Roboto"/>
                <w:sz w:val="18"/>
                <w:szCs w:val="18"/>
                <w:lang w:val="fr-FR"/>
              </w:rPr>
              <w:t>: graphique interactif montrant le nombre de menaces affectant les espèces inscrites sur la liste de la CMS et/ou toutes les espèces migratrices, par annexe, groupe taxonomique et statut de menace (globalement menacé vs. non globalement menacé)</w:t>
            </w:r>
          </w:p>
        </w:tc>
        <w:tc>
          <w:tcPr>
            <w:tcW w:w="2976" w:type="dxa"/>
          </w:tcPr>
          <w:p w14:paraId="4816319B" w14:textId="77777777" w:rsidR="00143EB6" w:rsidRPr="00D515F5" w:rsidRDefault="00D515F5">
            <w:pPr>
              <w:spacing w:before="40" w:after="40"/>
              <w:rPr>
                <w:rFonts w:ascii="Roboto" w:hAnsi="Roboto"/>
                <w:sz w:val="18"/>
                <w:szCs w:val="18"/>
                <w:lang w:val="fr-FR"/>
              </w:rPr>
            </w:pPr>
            <w:r w:rsidRPr="00D515F5">
              <w:rPr>
                <w:rFonts w:ascii="Roboto" w:hAnsi="Roboto"/>
                <w:sz w:val="18"/>
                <w:szCs w:val="18"/>
                <w:lang w:val="fr-FR"/>
              </w:rPr>
              <w:t>Liste rouge de l'UICN</w:t>
            </w:r>
          </w:p>
        </w:tc>
      </w:tr>
    </w:tbl>
    <w:p w14:paraId="5B049464" w14:textId="77777777" w:rsidR="00143EB6" w:rsidRPr="00D515F5" w:rsidRDefault="00143EB6">
      <w:pPr>
        <w:jc w:val="both"/>
        <w:rPr>
          <w:rFonts w:ascii="Roboto" w:hAnsi="Roboto"/>
          <w:b/>
          <w:bCs/>
          <w:i/>
          <w:iCs/>
          <w:sz w:val="20"/>
          <w:szCs w:val="20"/>
          <w:u w:val="single"/>
          <w:lang w:val="fr-FR"/>
        </w:rPr>
      </w:pPr>
    </w:p>
    <w:p w14:paraId="59BDAE8C" w14:textId="71972832" w:rsidR="00143EB6" w:rsidRDefault="00D515F5">
      <w:pPr>
        <w:jc w:val="both"/>
        <w:rPr>
          <w:rFonts w:ascii="Roboto" w:hAnsi="Roboto"/>
          <w:i/>
          <w:iCs/>
          <w:sz w:val="20"/>
          <w:szCs w:val="20"/>
          <w:lang w:val="fr-FR"/>
        </w:rPr>
      </w:pPr>
      <w:r w:rsidRPr="00D515F5">
        <w:rPr>
          <w:rFonts w:ascii="Roboto" w:hAnsi="Roboto"/>
          <w:b/>
          <w:bCs/>
          <w:i/>
          <w:iCs/>
          <w:sz w:val="20"/>
          <w:szCs w:val="20"/>
          <w:u w:val="single"/>
          <w:lang w:val="fr-FR"/>
        </w:rPr>
        <w:t>Note</w:t>
      </w:r>
      <w:r w:rsidRPr="00D515F5">
        <w:rPr>
          <w:rFonts w:ascii="Roboto" w:hAnsi="Roboto"/>
          <w:i/>
          <w:iCs/>
          <w:sz w:val="20"/>
          <w:szCs w:val="20"/>
          <w:lang w:val="fr-FR"/>
        </w:rPr>
        <w:t xml:space="preserve"> : Les ensembles de données et les indicateurs figurant dans le tableau représentent une liste indicative ; la faisabilité de leur inclusion dans le tableau de bord et de leur automatisation complète (pour permettre l'obtention de données en temps réel) devra être étudiée avec les fournisseurs de données concernés au cours de la phase de définition du champ d'application. </w:t>
      </w:r>
    </w:p>
    <w:p w14:paraId="189770D4" w14:textId="77777777" w:rsidR="00620034" w:rsidRPr="00620034" w:rsidRDefault="00620034">
      <w:pPr>
        <w:jc w:val="both"/>
        <w:rPr>
          <w:rFonts w:cs="Arial"/>
          <w:i/>
          <w:iCs/>
          <w:lang w:val="fr-FR"/>
        </w:rPr>
      </w:pPr>
    </w:p>
    <w:p w14:paraId="5CDE121D" w14:textId="77777777" w:rsidR="00143EB6" w:rsidRPr="00D515F5" w:rsidRDefault="00D515F5">
      <w:pPr>
        <w:widowControl w:val="0"/>
        <w:numPr>
          <w:ilvl w:val="0"/>
          <w:numId w:val="18"/>
        </w:numPr>
        <w:suppressAutoHyphens/>
        <w:autoSpaceDE w:val="0"/>
        <w:autoSpaceDN w:val="0"/>
        <w:jc w:val="both"/>
        <w:textAlignment w:val="baseline"/>
        <w:rPr>
          <w:rFonts w:cs="Arial"/>
          <w:lang w:val="fr-FR"/>
        </w:rPr>
      </w:pPr>
      <w:r w:rsidRPr="00D515F5">
        <w:rPr>
          <w:rFonts w:cs="Arial"/>
          <w:lang w:val="fr-FR"/>
        </w:rPr>
        <w:t>Une orientation préliminaire du Conseil scientifique sur les fonctionnalités possibles du tableau de bord, sa conception et ses fonctions interactives, constituerait une contribution utile à la phase de cadrage, au cours de laquelle les fonctionnalités et la conception générale du tableau de bord seront déterminées.</w:t>
      </w:r>
    </w:p>
    <w:p w14:paraId="4DD90D98" w14:textId="77777777" w:rsidR="00143EB6" w:rsidRPr="00D515F5" w:rsidRDefault="00143EB6">
      <w:pPr>
        <w:widowControl w:val="0"/>
        <w:suppressAutoHyphens/>
        <w:autoSpaceDE w:val="0"/>
        <w:autoSpaceDN w:val="0"/>
        <w:jc w:val="both"/>
        <w:textAlignment w:val="baseline"/>
        <w:rPr>
          <w:rFonts w:cs="Arial"/>
          <w:lang w:val="fr-FR"/>
        </w:rPr>
      </w:pPr>
    </w:p>
    <w:p w14:paraId="1AEB4D2C" w14:textId="77777777" w:rsidR="00143EB6" w:rsidRPr="00D515F5" w:rsidRDefault="00D515F5">
      <w:pPr>
        <w:pStyle w:val="ListParagraph"/>
        <w:numPr>
          <w:ilvl w:val="0"/>
          <w:numId w:val="33"/>
        </w:numPr>
        <w:suppressAutoHyphens/>
        <w:autoSpaceDE w:val="0"/>
        <w:autoSpaceDN w:val="0"/>
        <w:ind w:left="567" w:hanging="567"/>
        <w:contextualSpacing w:val="0"/>
        <w:jc w:val="both"/>
        <w:textAlignment w:val="baseline"/>
        <w:rPr>
          <w:rFonts w:ascii="Arial" w:hAnsi="Arial" w:cs="Arial"/>
          <w:b/>
          <w:sz w:val="22"/>
          <w:szCs w:val="22"/>
          <w:lang w:val="fr-FR"/>
        </w:rPr>
      </w:pPr>
      <w:r w:rsidRPr="00D515F5">
        <w:rPr>
          <w:rFonts w:ascii="Arial" w:hAnsi="Arial" w:cs="Arial"/>
          <w:b/>
          <w:sz w:val="22"/>
          <w:szCs w:val="22"/>
          <w:lang w:val="fr-FR"/>
        </w:rPr>
        <w:t>les éléments et une approche pour identifier tout développement majeur concernant l'état de conservation des espèces migratrices, y compris les tendances émergentes ou les menaces, qui pourraient être présentés à la COP15.</w:t>
      </w:r>
    </w:p>
    <w:p w14:paraId="4FFC595D" w14:textId="77777777" w:rsidR="00143EB6" w:rsidRPr="00D515F5" w:rsidRDefault="00143EB6">
      <w:pPr>
        <w:widowControl w:val="0"/>
        <w:suppressAutoHyphens/>
        <w:autoSpaceDE w:val="0"/>
        <w:autoSpaceDN w:val="0"/>
        <w:jc w:val="both"/>
        <w:textAlignment w:val="baseline"/>
        <w:rPr>
          <w:rFonts w:cs="Arial"/>
          <w:lang w:val="fr-FR"/>
        </w:rPr>
      </w:pPr>
    </w:p>
    <w:p w14:paraId="1EFD3076" w14:textId="77777777" w:rsidR="00143EB6" w:rsidRPr="00D515F5" w:rsidRDefault="00D515F5">
      <w:pPr>
        <w:widowControl w:val="0"/>
        <w:numPr>
          <w:ilvl w:val="0"/>
          <w:numId w:val="18"/>
        </w:numPr>
        <w:suppressAutoHyphens/>
        <w:autoSpaceDE w:val="0"/>
        <w:autoSpaceDN w:val="0"/>
        <w:jc w:val="both"/>
        <w:textAlignment w:val="baseline"/>
        <w:rPr>
          <w:rFonts w:cs="Arial"/>
          <w:lang w:val="fr-FR"/>
        </w:rPr>
      </w:pPr>
      <w:r w:rsidRPr="00D515F5">
        <w:rPr>
          <w:rFonts w:cs="Arial"/>
          <w:lang w:val="fr-FR"/>
        </w:rPr>
        <w:t>La Décision 14.24 d) demande au Secrétariat d'identifier tout développement majeur concernant l'état de conservation des espèces migratrices, y compris les tendances émergentes ou les menaces. Ces conclusions doivent être partagées avec le ScC-SC8 et portées à l'attention de la COP15 en 2026.</w:t>
      </w:r>
    </w:p>
    <w:p w14:paraId="7238D304" w14:textId="77777777" w:rsidR="00143EB6" w:rsidRPr="00D515F5" w:rsidRDefault="00143EB6">
      <w:pPr>
        <w:widowControl w:val="0"/>
        <w:suppressAutoHyphens/>
        <w:autoSpaceDE w:val="0"/>
        <w:autoSpaceDN w:val="0"/>
        <w:ind w:left="567"/>
        <w:jc w:val="both"/>
        <w:textAlignment w:val="baseline"/>
        <w:rPr>
          <w:rFonts w:cs="Arial"/>
          <w:lang w:val="fr-FR"/>
        </w:rPr>
      </w:pPr>
    </w:p>
    <w:p w14:paraId="09042A7B" w14:textId="77777777" w:rsidR="00143EB6" w:rsidRPr="00D515F5" w:rsidRDefault="00D515F5">
      <w:pPr>
        <w:widowControl w:val="0"/>
        <w:numPr>
          <w:ilvl w:val="0"/>
          <w:numId w:val="18"/>
        </w:numPr>
        <w:suppressAutoHyphens/>
        <w:autoSpaceDE w:val="0"/>
        <w:autoSpaceDN w:val="0"/>
        <w:jc w:val="both"/>
        <w:textAlignment w:val="baseline"/>
        <w:rPr>
          <w:rFonts w:cs="Arial"/>
          <w:lang w:val="fr-FR"/>
        </w:rPr>
      </w:pPr>
      <w:r w:rsidRPr="00D515F5">
        <w:rPr>
          <w:rFonts w:cs="Arial"/>
          <w:lang w:val="fr-FR"/>
        </w:rPr>
        <w:t>Le Conseil scientifique est invité à donner son avis sur une procédure permettant d'identifier ces développements majeurs.</w:t>
      </w:r>
    </w:p>
    <w:p w14:paraId="7FDE650E" w14:textId="77777777" w:rsidR="00143EB6" w:rsidRPr="00D515F5" w:rsidRDefault="00143EB6">
      <w:pPr>
        <w:pStyle w:val="ListParagraph"/>
        <w:contextualSpacing w:val="0"/>
        <w:jc w:val="both"/>
        <w:rPr>
          <w:rFonts w:ascii="Arial" w:hAnsi="Arial" w:cs="Arial"/>
          <w:sz w:val="22"/>
          <w:szCs w:val="22"/>
          <w:lang w:val="fr-FR"/>
        </w:rPr>
      </w:pPr>
    </w:p>
    <w:p w14:paraId="11D7C905" w14:textId="77777777" w:rsidR="00143EB6" w:rsidRPr="00D515F5" w:rsidRDefault="00D515F5">
      <w:pPr>
        <w:keepNext/>
        <w:widowControl w:val="0"/>
        <w:suppressAutoHyphens/>
        <w:autoSpaceDE w:val="0"/>
        <w:autoSpaceDN w:val="0"/>
        <w:jc w:val="both"/>
        <w:textAlignment w:val="baseline"/>
        <w:outlineLvl w:val="0"/>
        <w:rPr>
          <w:rFonts w:cs="Arial"/>
          <w:u w:val="single"/>
          <w:lang w:val="fr-FR"/>
        </w:rPr>
      </w:pPr>
      <w:r w:rsidRPr="00D515F5">
        <w:rPr>
          <w:rFonts w:cs="Arial"/>
          <w:u w:val="single"/>
          <w:lang w:val="fr-FR"/>
        </w:rPr>
        <w:t>Actions recommandées</w:t>
      </w:r>
    </w:p>
    <w:p w14:paraId="1E476CE8" w14:textId="77777777" w:rsidR="00143EB6" w:rsidRPr="00D515F5" w:rsidRDefault="00143EB6">
      <w:pPr>
        <w:keepNext/>
        <w:widowControl w:val="0"/>
        <w:suppressAutoHyphens/>
        <w:autoSpaceDE w:val="0"/>
        <w:autoSpaceDN w:val="0"/>
        <w:jc w:val="both"/>
        <w:textAlignment w:val="baseline"/>
        <w:outlineLvl w:val="0"/>
        <w:rPr>
          <w:rFonts w:cs="Arial"/>
          <w:u w:val="single"/>
          <w:lang w:val="fr-FR"/>
        </w:rPr>
      </w:pPr>
    </w:p>
    <w:p w14:paraId="3529BA94" w14:textId="77777777" w:rsidR="00143EB6" w:rsidRPr="00D515F5" w:rsidRDefault="00D515F5">
      <w:pPr>
        <w:numPr>
          <w:ilvl w:val="0"/>
          <w:numId w:val="18"/>
        </w:numPr>
        <w:jc w:val="both"/>
        <w:rPr>
          <w:rFonts w:cs="Arial"/>
          <w:lang w:val="fr-FR"/>
        </w:rPr>
      </w:pPr>
      <w:r w:rsidRPr="00D515F5">
        <w:rPr>
          <w:rFonts w:cs="Arial"/>
          <w:lang w:val="fr-FR"/>
        </w:rPr>
        <w:t>Il est recommandé au Conseil scientifique d'effectuer les tâches suivantes :</w:t>
      </w:r>
    </w:p>
    <w:p w14:paraId="1CE77F62" w14:textId="77777777" w:rsidR="00143EB6" w:rsidRPr="00D515F5" w:rsidRDefault="00143EB6">
      <w:pPr>
        <w:ind w:left="567"/>
        <w:jc w:val="both"/>
        <w:rPr>
          <w:rFonts w:cs="Arial"/>
          <w:lang w:val="fr-FR"/>
        </w:rPr>
      </w:pPr>
    </w:p>
    <w:p w14:paraId="6173D0D7" w14:textId="12179D18" w:rsidR="00143EB6" w:rsidRPr="000E49AE" w:rsidRDefault="00D515F5" w:rsidP="00F90FEF">
      <w:pPr>
        <w:numPr>
          <w:ilvl w:val="0"/>
          <w:numId w:val="19"/>
        </w:numPr>
        <w:spacing w:after="80"/>
        <w:ind w:hanging="579"/>
        <w:jc w:val="both"/>
        <w:rPr>
          <w:rFonts w:cs="Arial"/>
          <w:lang w:val="fr-FR"/>
        </w:rPr>
      </w:pPr>
      <w:r w:rsidRPr="00D515F5">
        <w:rPr>
          <w:rFonts w:cs="Arial"/>
          <w:lang w:val="fr-FR"/>
        </w:rPr>
        <w:t xml:space="preserve"> Fournir des conseils au Secrétariat sur :</w:t>
      </w:r>
    </w:p>
    <w:p w14:paraId="61327FF6" w14:textId="74FC1A2B" w:rsidR="00143EB6" w:rsidRPr="000E49AE" w:rsidRDefault="00D515F5" w:rsidP="00F90FEF">
      <w:pPr>
        <w:pStyle w:val="ListParagraph"/>
        <w:numPr>
          <w:ilvl w:val="2"/>
          <w:numId w:val="28"/>
        </w:numPr>
        <w:suppressAutoHyphens/>
        <w:autoSpaceDE w:val="0"/>
        <w:autoSpaceDN w:val="0"/>
        <w:spacing w:after="80"/>
        <w:ind w:left="1985" w:hanging="425"/>
        <w:contextualSpacing w:val="0"/>
        <w:jc w:val="both"/>
        <w:textAlignment w:val="baseline"/>
        <w:rPr>
          <w:rFonts w:ascii="Arial" w:hAnsi="Arial" w:cs="Arial"/>
          <w:sz w:val="22"/>
          <w:szCs w:val="22"/>
          <w:lang w:val="fr-FR"/>
        </w:rPr>
      </w:pPr>
      <w:r w:rsidRPr="00D515F5">
        <w:rPr>
          <w:rFonts w:ascii="Arial" w:hAnsi="Arial" w:cs="Arial"/>
          <w:sz w:val="22"/>
          <w:szCs w:val="22"/>
          <w:lang w:val="fr-FR"/>
        </w:rPr>
        <w:t>le champ d'application et toute autre section « coup de projecteur » supplémentaire sur des sujets particuliers ou des questions importantes pour la deuxième édition du rapport sur l'état des espèces migratrices dans le monde, ainsi qu'un processus d'identification de ces questions ;</w:t>
      </w:r>
    </w:p>
    <w:p w14:paraId="39B39287" w14:textId="188AF9F6" w:rsidR="00143EB6" w:rsidRPr="000E49AE" w:rsidRDefault="00D515F5" w:rsidP="00F90FEF">
      <w:pPr>
        <w:pStyle w:val="ListParagraph"/>
        <w:numPr>
          <w:ilvl w:val="2"/>
          <w:numId w:val="28"/>
        </w:numPr>
        <w:suppressAutoHyphens/>
        <w:autoSpaceDE w:val="0"/>
        <w:autoSpaceDN w:val="0"/>
        <w:spacing w:after="80"/>
        <w:ind w:left="1985" w:hanging="425"/>
        <w:contextualSpacing w:val="0"/>
        <w:jc w:val="both"/>
        <w:textAlignment w:val="baseline"/>
        <w:rPr>
          <w:rFonts w:ascii="Arial" w:hAnsi="Arial" w:cs="Arial"/>
          <w:sz w:val="22"/>
          <w:szCs w:val="22"/>
          <w:lang w:val="fr-FR"/>
        </w:rPr>
      </w:pPr>
      <w:r w:rsidRPr="00D515F5">
        <w:rPr>
          <w:rFonts w:ascii="Arial" w:hAnsi="Arial" w:cs="Arial"/>
          <w:sz w:val="22"/>
          <w:szCs w:val="22"/>
          <w:lang w:val="fr-FR"/>
        </w:rPr>
        <w:t>Un processus de sélection des espèces pour les études de cas à inclure dans le deuxième rapport sur l'état des espèces migratrices dans le monde</w:t>
      </w:r>
      <w:r w:rsidR="000E49AE">
        <w:rPr>
          <w:rFonts w:ascii="Arial" w:hAnsi="Arial" w:cs="Arial"/>
          <w:sz w:val="22"/>
          <w:szCs w:val="22"/>
          <w:lang w:val="fr-FR"/>
        </w:rPr>
        <w:t>.</w:t>
      </w:r>
    </w:p>
    <w:p w14:paraId="2A943C93" w14:textId="141A57E1" w:rsidR="00143EB6" w:rsidRPr="000E49AE" w:rsidRDefault="00D515F5" w:rsidP="00F90FEF">
      <w:pPr>
        <w:pStyle w:val="ListParagraph"/>
        <w:numPr>
          <w:ilvl w:val="2"/>
          <w:numId w:val="28"/>
        </w:numPr>
        <w:suppressAutoHyphens/>
        <w:autoSpaceDE w:val="0"/>
        <w:autoSpaceDN w:val="0"/>
        <w:spacing w:after="80"/>
        <w:ind w:left="1985" w:hanging="425"/>
        <w:contextualSpacing w:val="0"/>
        <w:jc w:val="both"/>
        <w:textAlignment w:val="baseline"/>
        <w:rPr>
          <w:rFonts w:ascii="Arial" w:hAnsi="Arial" w:cs="Arial"/>
          <w:sz w:val="22"/>
          <w:szCs w:val="22"/>
          <w:lang w:val="fr-FR"/>
        </w:rPr>
      </w:pPr>
      <w:r w:rsidRPr="00D515F5">
        <w:rPr>
          <w:rFonts w:ascii="Arial" w:hAnsi="Arial" w:cs="Arial"/>
          <w:sz w:val="22"/>
          <w:szCs w:val="22"/>
          <w:lang w:val="fr-FR"/>
        </w:rPr>
        <w:t>Contenu et fonctionnalités possibles d'un tableau de bord de données de la CMS en ligne ;</w:t>
      </w:r>
    </w:p>
    <w:p w14:paraId="13E48F20" w14:textId="77777777" w:rsidR="00143EB6" w:rsidRPr="00D515F5" w:rsidRDefault="00D515F5">
      <w:pPr>
        <w:pStyle w:val="ListParagraph"/>
        <w:numPr>
          <w:ilvl w:val="2"/>
          <w:numId w:val="28"/>
        </w:numPr>
        <w:suppressAutoHyphens/>
        <w:autoSpaceDE w:val="0"/>
        <w:autoSpaceDN w:val="0"/>
        <w:ind w:left="1985" w:hanging="425"/>
        <w:contextualSpacing w:val="0"/>
        <w:jc w:val="both"/>
        <w:textAlignment w:val="baseline"/>
        <w:rPr>
          <w:rFonts w:ascii="Arial" w:hAnsi="Arial" w:cs="Arial"/>
          <w:sz w:val="22"/>
          <w:szCs w:val="22"/>
          <w:lang w:val="fr-FR"/>
        </w:rPr>
      </w:pPr>
      <w:r w:rsidRPr="00D515F5">
        <w:rPr>
          <w:rFonts w:ascii="Arial" w:hAnsi="Arial" w:cs="Arial"/>
          <w:sz w:val="22"/>
          <w:szCs w:val="22"/>
          <w:lang w:val="fr-FR"/>
        </w:rPr>
        <w:t>Les éléments et une approche pour identifier tout développement majeur concernant l'état de conservation des espèces migratrices, y compris les tendances émergentes ou les menaces, qui pourraient être présentés à la COP15.</w:t>
      </w:r>
    </w:p>
    <w:p w14:paraId="14F71083" w14:textId="77777777" w:rsidR="00143EB6" w:rsidRPr="00D515F5" w:rsidRDefault="00143EB6" w:rsidP="000E49AE">
      <w:pPr>
        <w:jc w:val="both"/>
        <w:rPr>
          <w:rFonts w:cs="Arial"/>
          <w:highlight w:val="yellow"/>
          <w:lang w:val="fr-FR"/>
        </w:rPr>
      </w:pPr>
    </w:p>
    <w:p w14:paraId="06FED8D7" w14:textId="79D15CD6" w:rsidR="00F90FEF" w:rsidRDefault="00D515F5">
      <w:pPr>
        <w:numPr>
          <w:ilvl w:val="0"/>
          <w:numId w:val="19"/>
        </w:numPr>
        <w:ind w:hanging="579"/>
        <w:jc w:val="both"/>
        <w:rPr>
          <w:rFonts w:cs="Arial"/>
          <w:lang w:val="fr-FR"/>
        </w:rPr>
        <w:sectPr w:rsidR="00F90FEF">
          <w:headerReference w:type="even" r:id="rId17"/>
          <w:headerReference w:type="default" r:id="rId18"/>
          <w:headerReference w:type="first" r:id="rId19"/>
          <w:footerReference w:type="first" r:id="rId20"/>
          <w:pgSz w:w="11906" w:h="16838" w:code="9"/>
          <w:pgMar w:top="1134" w:right="1134" w:bottom="1134" w:left="1134" w:header="720" w:footer="580" w:gutter="0"/>
          <w:cols w:space="720"/>
          <w:titlePg/>
          <w:docGrid w:linePitch="360"/>
        </w:sectPr>
      </w:pPr>
      <w:r w:rsidRPr="00D515F5">
        <w:rPr>
          <w:rFonts w:cs="Arial"/>
          <w:lang w:val="fr-FR"/>
        </w:rPr>
        <w:t>Mettre en place un groupe de travail intersessions dont le mandat figure à l'Annexe du présent document.</w:t>
      </w:r>
    </w:p>
    <w:p w14:paraId="04D8CF05" w14:textId="77777777" w:rsidR="00143EB6" w:rsidRPr="00D515F5" w:rsidRDefault="00D515F5">
      <w:pPr>
        <w:autoSpaceDE w:val="0"/>
        <w:autoSpaceDN w:val="0"/>
        <w:adjustRightInd w:val="0"/>
        <w:jc w:val="right"/>
        <w:rPr>
          <w:rFonts w:cs="Arial"/>
          <w:b/>
          <w:bCs/>
          <w:lang w:val="fr-FR"/>
        </w:rPr>
      </w:pPr>
      <w:r w:rsidRPr="00D515F5">
        <w:rPr>
          <w:rFonts w:cs="Arial"/>
          <w:b/>
          <w:bCs/>
          <w:lang w:val="fr-FR"/>
        </w:rPr>
        <w:lastRenderedPageBreak/>
        <w:t>ANNEXE</w:t>
      </w:r>
    </w:p>
    <w:p w14:paraId="0C8A9536" w14:textId="77777777" w:rsidR="00143EB6" w:rsidRPr="00D515F5" w:rsidRDefault="00143EB6">
      <w:pPr>
        <w:pStyle w:val="Heading2"/>
        <w:keepNext w:val="0"/>
        <w:ind w:left="-86" w:right="-360"/>
        <w:jc w:val="both"/>
        <w:rPr>
          <w:rFonts w:ascii="Arial" w:hAnsi="Arial" w:cs="Arial"/>
          <w:szCs w:val="22"/>
          <w:lang w:val="fr-FR"/>
        </w:rPr>
      </w:pPr>
    </w:p>
    <w:p w14:paraId="3B8AFA68" w14:textId="77777777" w:rsidR="00143EB6" w:rsidRPr="00D515F5" w:rsidRDefault="00143EB6">
      <w:pPr>
        <w:jc w:val="both"/>
        <w:rPr>
          <w:rFonts w:cs="Arial"/>
          <w:lang w:val="fr-FR"/>
        </w:rPr>
      </w:pPr>
    </w:p>
    <w:p w14:paraId="5DB52DB0" w14:textId="77777777" w:rsidR="00143EB6" w:rsidRPr="00D515F5" w:rsidRDefault="00D515F5">
      <w:pPr>
        <w:pStyle w:val="Heading2"/>
        <w:keepNext w:val="0"/>
        <w:ind w:left="-86" w:right="-360"/>
        <w:rPr>
          <w:rFonts w:ascii="Arial" w:hAnsi="Arial" w:cs="Arial"/>
          <w:szCs w:val="22"/>
          <w:lang w:val="fr-FR"/>
        </w:rPr>
      </w:pPr>
      <w:r w:rsidRPr="00D515F5">
        <w:rPr>
          <w:rFonts w:ascii="Arial" w:hAnsi="Arial" w:cs="Arial"/>
          <w:szCs w:val="22"/>
          <w:lang w:val="fr-FR"/>
        </w:rPr>
        <w:t>MANDAT DU GROUPE DE TRAVAIL DU CONSEIL SCIENTIFIQUE DE LA CMS SUR LE RAPPORT SUR L'ÉTAT DES ESPÈCES MIGRATRICES DANS LE MONDE</w:t>
      </w:r>
    </w:p>
    <w:p w14:paraId="0AA6A4D6" w14:textId="77777777" w:rsidR="00143EB6" w:rsidRPr="00D515F5" w:rsidRDefault="00143EB6">
      <w:pPr>
        <w:jc w:val="both"/>
        <w:rPr>
          <w:rFonts w:cs="Arial"/>
          <w:lang w:val="fr-FR"/>
        </w:rPr>
      </w:pPr>
    </w:p>
    <w:p w14:paraId="360E6ECC" w14:textId="77777777" w:rsidR="00143EB6" w:rsidRPr="00D515F5" w:rsidRDefault="00143EB6">
      <w:pPr>
        <w:jc w:val="both"/>
        <w:rPr>
          <w:rFonts w:cs="Arial"/>
          <w:lang w:val="fr-FR"/>
        </w:rPr>
      </w:pPr>
    </w:p>
    <w:p w14:paraId="62BD65C5" w14:textId="77777777" w:rsidR="00143EB6" w:rsidRPr="00D515F5" w:rsidRDefault="00D515F5">
      <w:pPr>
        <w:jc w:val="both"/>
        <w:rPr>
          <w:rFonts w:cs="Arial"/>
          <w:lang w:val="fr-FR"/>
        </w:rPr>
      </w:pPr>
      <w:r w:rsidRPr="00D515F5">
        <w:rPr>
          <w:rFonts w:cs="Arial"/>
          <w:lang w:val="fr-FR"/>
        </w:rPr>
        <w:t xml:space="preserve">Les participants à la septième réunion du Comité de session du Conseil scientifique (ScC-SC7), qui s'est tenue du 17 au 20 septembre 2024, ont décidé d'établir un Groupe de travail sur la question abordée ci-dessus. </w:t>
      </w:r>
    </w:p>
    <w:p w14:paraId="16F6125B" w14:textId="77777777" w:rsidR="00143EB6" w:rsidRPr="00D515F5" w:rsidRDefault="00143EB6">
      <w:pPr>
        <w:jc w:val="both"/>
        <w:rPr>
          <w:rFonts w:cs="Arial"/>
          <w:lang w:val="fr-FR"/>
        </w:rPr>
      </w:pPr>
    </w:p>
    <w:p w14:paraId="792AF416" w14:textId="77777777" w:rsidR="00143EB6" w:rsidRPr="00D515F5" w:rsidRDefault="00D515F5">
      <w:pPr>
        <w:pStyle w:val="ListParagraph"/>
        <w:widowControl/>
        <w:numPr>
          <w:ilvl w:val="0"/>
          <w:numId w:val="34"/>
        </w:numPr>
        <w:ind w:left="567" w:hanging="567"/>
        <w:contextualSpacing w:val="0"/>
        <w:jc w:val="both"/>
        <w:rPr>
          <w:rFonts w:ascii="Arial" w:hAnsi="Arial" w:cs="Arial"/>
          <w:sz w:val="22"/>
          <w:szCs w:val="22"/>
          <w:lang w:val="fr-FR"/>
        </w:rPr>
      </w:pPr>
      <w:r w:rsidRPr="00D515F5">
        <w:rPr>
          <w:rFonts w:ascii="Arial" w:hAnsi="Arial" w:cs="Arial"/>
          <w:b/>
          <w:bCs/>
          <w:sz w:val="22"/>
          <w:szCs w:val="22"/>
          <w:lang w:val="fr-FR"/>
        </w:rPr>
        <w:t xml:space="preserve">Objet </w:t>
      </w:r>
    </w:p>
    <w:p w14:paraId="7FE2F7AF" w14:textId="77777777" w:rsidR="00143EB6" w:rsidRPr="00D515F5" w:rsidRDefault="00143EB6">
      <w:pPr>
        <w:jc w:val="both"/>
        <w:rPr>
          <w:rFonts w:cs="Arial"/>
          <w:lang w:val="fr-FR"/>
        </w:rPr>
      </w:pPr>
    </w:p>
    <w:p w14:paraId="4144F2FA" w14:textId="77777777" w:rsidR="00143EB6" w:rsidRPr="00D515F5" w:rsidRDefault="00D515F5">
      <w:pPr>
        <w:spacing w:after="120"/>
        <w:jc w:val="both"/>
        <w:rPr>
          <w:rFonts w:cs="Arial"/>
          <w:lang w:val="fr-FR"/>
        </w:rPr>
      </w:pPr>
      <w:r w:rsidRPr="00D515F5">
        <w:rPr>
          <w:rFonts w:cs="Arial"/>
          <w:lang w:val="fr-FR"/>
        </w:rPr>
        <w:t>Le groupe de travail a pour mandat de fournir des orientations au Secrétariat sur :</w:t>
      </w:r>
    </w:p>
    <w:p w14:paraId="0D2A4B26" w14:textId="77777777" w:rsidR="00143EB6" w:rsidRPr="00D515F5" w:rsidRDefault="00D515F5">
      <w:pPr>
        <w:pStyle w:val="ListParagraph"/>
        <w:numPr>
          <w:ilvl w:val="0"/>
          <w:numId w:val="42"/>
        </w:numPr>
        <w:suppressAutoHyphens/>
        <w:autoSpaceDE w:val="0"/>
        <w:autoSpaceDN w:val="0"/>
        <w:spacing w:after="120"/>
        <w:ind w:left="1134" w:hanging="567"/>
        <w:contextualSpacing w:val="0"/>
        <w:jc w:val="both"/>
        <w:textAlignment w:val="baseline"/>
        <w:rPr>
          <w:rFonts w:ascii="Arial" w:hAnsi="Arial" w:cs="Arial"/>
          <w:sz w:val="22"/>
          <w:szCs w:val="22"/>
          <w:lang w:val="fr-FR"/>
        </w:rPr>
      </w:pPr>
      <w:r w:rsidRPr="00D515F5">
        <w:rPr>
          <w:rFonts w:ascii="Arial" w:hAnsi="Arial" w:cs="Arial"/>
          <w:sz w:val="22"/>
          <w:szCs w:val="22"/>
          <w:lang w:val="fr-FR"/>
        </w:rPr>
        <w:t>le champ d'application et toute autre section « coup de projecteur » supplémentaire sur des sujets particuliers ou des questions importantes pour la deuxième édition du rapport sur l'état des espèces migratrices dans le monde, ainsi qu'un processus d'identification de ces questions ;</w:t>
      </w:r>
    </w:p>
    <w:p w14:paraId="2A919A9E" w14:textId="77777777" w:rsidR="00143EB6" w:rsidRPr="00D515F5" w:rsidRDefault="00D515F5">
      <w:pPr>
        <w:pStyle w:val="ListParagraph"/>
        <w:numPr>
          <w:ilvl w:val="0"/>
          <w:numId w:val="42"/>
        </w:numPr>
        <w:suppressAutoHyphens/>
        <w:autoSpaceDE w:val="0"/>
        <w:autoSpaceDN w:val="0"/>
        <w:spacing w:after="120"/>
        <w:ind w:left="1134" w:hanging="567"/>
        <w:contextualSpacing w:val="0"/>
        <w:jc w:val="both"/>
        <w:textAlignment w:val="baseline"/>
        <w:rPr>
          <w:rFonts w:ascii="Arial" w:hAnsi="Arial" w:cs="Arial"/>
          <w:sz w:val="22"/>
          <w:szCs w:val="22"/>
          <w:lang w:val="fr-FR"/>
        </w:rPr>
      </w:pPr>
      <w:r w:rsidRPr="00D515F5">
        <w:rPr>
          <w:rFonts w:ascii="Arial" w:hAnsi="Arial" w:cs="Arial"/>
          <w:sz w:val="22"/>
          <w:szCs w:val="22"/>
          <w:lang w:val="fr-FR"/>
        </w:rPr>
        <w:t>Un processus de sélection des espèces pour les études de cas à inclure dans le deuxième rapport sur l'état des espèces migratrices dans le monde.</w:t>
      </w:r>
    </w:p>
    <w:p w14:paraId="2EE56083" w14:textId="77777777" w:rsidR="00143EB6" w:rsidRPr="00D515F5" w:rsidRDefault="00D515F5">
      <w:pPr>
        <w:pStyle w:val="ListParagraph"/>
        <w:numPr>
          <w:ilvl w:val="0"/>
          <w:numId w:val="42"/>
        </w:numPr>
        <w:suppressAutoHyphens/>
        <w:autoSpaceDE w:val="0"/>
        <w:autoSpaceDN w:val="0"/>
        <w:spacing w:after="120"/>
        <w:ind w:left="1134" w:hanging="567"/>
        <w:contextualSpacing w:val="0"/>
        <w:jc w:val="both"/>
        <w:textAlignment w:val="baseline"/>
        <w:rPr>
          <w:rFonts w:ascii="Arial" w:hAnsi="Arial" w:cs="Arial"/>
          <w:sz w:val="22"/>
          <w:szCs w:val="22"/>
          <w:lang w:val="fr-FR"/>
        </w:rPr>
      </w:pPr>
      <w:r w:rsidRPr="00D515F5">
        <w:rPr>
          <w:rFonts w:ascii="Arial" w:hAnsi="Arial" w:cs="Arial"/>
          <w:sz w:val="22"/>
          <w:szCs w:val="22"/>
          <w:lang w:val="fr-FR"/>
        </w:rPr>
        <w:t>Contenu et fonctionnalités possibles d'un tableau de bord de données de la CMS en ligne ;</w:t>
      </w:r>
    </w:p>
    <w:p w14:paraId="30B45583" w14:textId="77777777" w:rsidR="00143EB6" w:rsidRPr="00D515F5" w:rsidRDefault="00D515F5">
      <w:pPr>
        <w:pStyle w:val="ListParagraph"/>
        <w:numPr>
          <w:ilvl w:val="0"/>
          <w:numId w:val="42"/>
        </w:numPr>
        <w:suppressAutoHyphens/>
        <w:autoSpaceDE w:val="0"/>
        <w:autoSpaceDN w:val="0"/>
        <w:ind w:left="1134" w:hanging="567"/>
        <w:contextualSpacing w:val="0"/>
        <w:jc w:val="both"/>
        <w:textAlignment w:val="baseline"/>
        <w:rPr>
          <w:rFonts w:ascii="Arial" w:hAnsi="Arial" w:cs="Arial"/>
          <w:sz w:val="22"/>
          <w:szCs w:val="22"/>
          <w:lang w:val="fr-FR"/>
        </w:rPr>
      </w:pPr>
      <w:r w:rsidRPr="00D515F5">
        <w:rPr>
          <w:rFonts w:ascii="Arial" w:hAnsi="Arial" w:cs="Arial"/>
          <w:sz w:val="22"/>
          <w:szCs w:val="22"/>
          <w:lang w:val="fr-FR"/>
        </w:rPr>
        <w:t>Les éléments et une approche pour identifier tout développement majeur concernant l'état de conservation des espèces migratrices, y compris les tendances émergentes ou les menaces, qui pourraient être présentés à la COP15.</w:t>
      </w:r>
    </w:p>
    <w:p w14:paraId="114146DA" w14:textId="77777777" w:rsidR="00143EB6" w:rsidRPr="00D515F5" w:rsidRDefault="00143EB6">
      <w:pPr>
        <w:jc w:val="both"/>
        <w:rPr>
          <w:rFonts w:cs="Arial"/>
          <w:lang w:val="fr-FR"/>
        </w:rPr>
      </w:pPr>
    </w:p>
    <w:p w14:paraId="1047DEE2" w14:textId="77777777" w:rsidR="00143EB6" w:rsidRPr="00D515F5" w:rsidRDefault="00D515F5">
      <w:pPr>
        <w:pStyle w:val="ListParagraph"/>
        <w:widowControl/>
        <w:numPr>
          <w:ilvl w:val="0"/>
          <w:numId w:val="34"/>
        </w:numPr>
        <w:ind w:left="567" w:hanging="567"/>
        <w:contextualSpacing w:val="0"/>
        <w:jc w:val="both"/>
        <w:rPr>
          <w:rFonts w:ascii="Arial" w:hAnsi="Arial" w:cs="Arial"/>
          <w:b/>
          <w:bCs/>
          <w:sz w:val="22"/>
          <w:szCs w:val="22"/>
          <w:lang w:val="fr-FR"/>
        </w:rPr>
      </w:pPr>
      <w:r w:rsidRPr="00D515F5">
        <w:rPr>
          <w:rFonts w:ascii="Arial" w:hAnsi="Arial" w:cs="Arial"/>
          <w:b/>
          <w:bCs/>
          <w:sz w:val="22"/>
          <w:szCs w:val="22"/>
          <w:lang w:val="fr-FR"/>
        </w:rPr>
        <w:t>Composition</w:t>
      </w:r>
    </w:p>
    <w:p w14:paraId="303E34BB" w14:textId="77777777" w:rsidR="00143EB6" w:rsidRPr="00D515F5" w:rsidRDefault="00143EB6">
      <w:pPr>
        <w:pStyle w:val="ListParagraph"/>
        <w:contextualSpacing w:val="0"/>
        <w:jc w:val="both"/>
        <w:rPr>
          <w:rFonts w:ascii="Arial" w:hAnsi="Arial" w:cs="Arial"/>
          <w:b/>
          <w:bCs/>
          <w:sz w:val="22"/>
          <w:szCs w:val="22"/>
          <w:lang w:val="fr-FR"/>
        </w:rPr>
      </w:pPr>
    </w:p>
    <w:p w14:paraId="5D79BF5A" w14:textId="77777777" w:rsidR="00143EB6" w:rsidRPr="00D515F5" w:rsidRDefault="00D515F5">
      <w:pPr>
        <w:pStyle w:val="ListParagraph"/>
        <w:widowControl/>
        <w:numPr>
          <w:ilvl w:val="0"/>
          <w:numId w:val="35"/>
        </w:numPr>
        <w:ind w:left="1134" w:hanging="567"/>
        <w:contextualSpacing w:val="0"/>
        <w:jc w:val="both"/>
        <w:rPr>
          <w:rFonts w:ascii="Arial" w:hAnsi="Arial" w:cs="Arial"/>
          <w:sz w:val="22"/>
          <w:szCs w:val="22"/>
          <w:lang w:val="fr-FR"/>
        </w:rPr>
      </w:pPr>
      <w:r w:rsidRPr="00D515F5">
        <w:rPr>
          <w:rFonts w:ascii="Arial" w:hAnsi="Arial" w:cs="Arial"/>
          <w:sz w:val="22"/>
          <w:szCs w:val="22"/>
          <w:lang w:val="fr-FR"/>
        </w:rPr>
        <w:t>Le Groupe de travail est composé des membres suivants :</w:t>
      </w:r>
    </w:p>
    <w:p w14:paraId="22AEBC3C" w14:textId="77777777" w:rsidR="00143EB6" w:rsidRPr="00D515F5" w:rsidRDefault="00D515F5">
      <w:pPr>
        <w:pStyle w:val="ListParagraph"/>
        <w:widowControl/>
        <w:numPr>
          <w:ilvl w:val="0"/>
          <w:numId w:val="38"/>
        </w:numPr>
        <w:ind w:hanging="567"/>
        <w:contextualSpacing w:val="0"/>
        <w:jc w:val="both"/>
        <w:rPr>
          <w:rFonts w:ascii="Arial" w:hAnsi="Arial" w:cs="Arial"/>
          <w:sz w:val="22"/>
          <w:szCs w:val="22"/>
          <w:lang w:val="fr-FR"/>
        </w:rPr>
      </w:pPr>
      <w:r w:rsidRPr="00D515F5">
        <w:rPr>
          <w:rFonts w:ascii="Arial" w:hAnsi="Arial" w:cs="Arial"/>
          <w:sz w:val="22"/>
          <w:szCs w:val="22"/>
          <w:lang w:val="fr-FR"/>
        </w:rPr>
        <w:t>membres du Comité de session ;</w:t>
      </w:r>
    </w:p>
    <w:p w14:paraId="247809CA" w14:textId="77777777" w:rsidR="00143EB6" w:rsidRPr="00D515F5" w:rsidRDefault="00D515F5">
      <w:pPr>
        <w:pStyle w:val="ListParagraph"/>
        <w:widowControl/>
        <w:numPr>
          <w:ilvl w:val="0"/>
          <w:numId w:val="38"/>
        </w:numPr>
        <w:spacing w:after="120"/>
        <w:ind w:hanging="567"/>
        <w:contextualSpacing w:val="0"/>
        <w:jc w:val="both"/>
        <w:rPr>
          <w:rFonts w:ascii="Arial" w:hAnsi="Arial" w:cs="Arial"/>
          <w:sz w:val="22"/>
          <w:szCs w:val="22"/>
          <w:lang w:val="fr-FR"/>
        </w:rPr>
      </w:pPr>
      <w:r w:rsidRPr="00D515F5">
        <w:rPr>
          <w:rFonts w:ascii="Arial" w:hAnsi="Arial" w:cs="Arial"/>
          <w:sz w:val="22"/>
          <w:szCs w:val="22"/>
          <w:lang w:val="fr-FR"/>
        </w:rPr>
        <w:t>experts des Parties et autres observateurs ;</w:t>
      </w:r>
    </w:p>
    <w:p w14:paraId="2C1C4281" w14:textId="77777777" w:rsidR="00143EB6" w:rsidRPr="00D515F5" w:rsidRDefault="00D515F5">
      <w:pPr>
        <w:pStyle w:val="ListParagraph"/>
        <w:widowControl/>
        <w:numPr>
          <w:ilvl w:val="0"/>
          <w:numId w:val="35"/>
        </w:numPr>
        <w:spacing w:after="120"/>
        <w:ind w:left="1134" w:hanging="567"/>
        <w:contextualSpacing w:val="0"/>
        <w:jc w:val="both"/>
        <w:rPr>
          <w:rFonts w:ascii="Arial" w:hAnsi="Arial" w:cs="Arial"/>
          <w:sz w:val="22"/>
          <w:szCs w:val="22"/>
          <w:lang w:val="fr-FR"/>
        </w:rPr>
      </w:pPr>
      <w:r w:rsidRPr="00D515F5">
        <w:rPr>
          <w:rFonts w:ascii="Arial" w:hAnsi="Arial" w:cs="Arial"/>
          <w:sz w:val="22"/>
          <w:szCs w:val="22"/>
          <w:lang w:val="fr-FR"/>
        </w:rPr>
        <w:t xml:space="preserve">Le Groupe de travail s'efforce de maintenir un équilibre entre les sexes, la représentation régionale et les catégories taxonomiques d'expertise. </w:t>
      </w:r>
    </w:p>
    <w:p w14:paraId="53302A93" w14:textId="77777777" w:rsidR="00143EB6" w:rsidRPr="00D515F5" w:rsidRDefault="00D515F5">
      <w:pPr>
        <w:pStyle w:val="ListParagraph"/>
        <w:widowControl/>
        <w:numPr>
          <w:ilvl w:val="0"/>
          <w:numId w:val="35"/>
        </w:numPr>
        <w:ind w:left="1134" w:hanging="567"/>
        <w:contextualSpacing w:val="0"/>
        <w:jc w:val="both"/>
        <w:rPr>
          <w:rFonts w:ascii="Arial" w:hAnsi="Arial" w:cs="Arial"/>
          <w:sz w:val="22"/>
          <w:szCs w:val="22"/>
          <w:lang w:val="fr-FR"/>
        </w:rPr>
      </w:pPr>
      <w:r w:rsidRPr="00D515F5">
        <w:rPr>
          <w:rFonts w:ascii="Arial" w:hAnsi="Arial" w:cs="Arial"/>
          <w:sz w:val="22"/>
          <w:szCs w:val="22"/>
          <w:lang w:val="fr-FR"/>
        </w:rPr>
        <w:t>En cas de besoin, des experts externes au Groupe de travail et désireux de contribuer aux objectifs de ce dernier peuvent être invités à participer aux réunions ou à soutenir des tâches spécifiques.</w:t>
      </w:r>
    </w:p>
    <w:p w14:paraId="79DE2FD3" w14:textId="77777777" w:rsidR="00143EB6" w:rsidRPr="00D515F5" w:rsidRDefault="00143EB6">
      <w:pPr>
        <w:jc w:val="both"/>
        <w:rPr>
          <w:rFonts w:cs="Arial"/>
          <w:lang w:val="fr-FR"/>
        </w:rPr>
      </w:pPr>
    </w:p>
    <w:p w14:paraId="5BDDBD78" w14:textId="77777777" w:rsidR="00143EB6" w:rsidRPr="00D515F5" w:rsidRDefault="00D515F5">
      <w:pPr>
        <w:pStyle w:val="ListParagraph"/>
        <w:widowControl/>
        <w:numPr>
          <w:ilvl w:val="0"/>
          <w:numId w:val="34"/>
        </w:numPr>
        <w:ind w:left="567" w:hanging="567"/>
        <w:contextualSpacing w:val="0"/>
        <w:jc w:val="both"/>
        <w:rPr>
          <w:rFonts w:ascii="Arial" w:hAnsi="Arial" w:cs="Arial"/>
          <w:b/>
          <w:bCs/>
          <w:sz w:val="22"/>
          <w:szCs w:val="22"/>
          <w:lang w:val="fr-FR"/>
        </w:rPr>
      </w:pPr>
      <w:r w:rsidRPr="00D515F5">
        <w:rPr>
          <w:rFonts w:ascii="Arial" w:hAnsi="Arial" w:cs="Arial"/>
          <w:b/>
          <w:bCs/>
          <w:sz w:val="22"/>
          <w:szCs w:val="22"/>
          <w:lang w:val="fr-FR"/>
        </w:rPr>
        <w:t>Organisation du travail</w:t>
      </w:r>
    </w:p>
    <w:p w14:paraId="64BA7C55" w14:textId="77777777" w:rsidR="00143EB6" w:rsidRPr="00D515F5" w:rsidRDefault="00143EB6">
      <w:pPr>
        <w:jc w:val="both"/>
        <w:rPr>
          <w:rFonts w:cs="Arial"/>
          <w:lang w:val="fr-FR"/>
        </w:rPr>
      </w:pPr>
    </w:p>
    <w:p w14:paraId="6140BD9E" w14:textId="77777777" w:rsidR="00143EB6" w:rsidRPr="00D515F5" w:rsidRDefault="00D515F5">
      <w:pPr>
        <w:pStyle w:val="ListParagraph"/>
        <w:widowControl/>
        <w:numPr>
          <w:ilvl w:val="0"/>
          <w:numId w:val="36"/>
        </w:numPr>
        <w:spacing w:after="120"/>
        <w:ind w:left="1134" w:hanging="567"/>
        <w:contextualSpacing w:val="0"/>
        <w:jc w:val="both"/>
        <w:rPr>
          <w:rFonts w:ascii="Arial" w:hAnsi="Arial" w:cs="Arial"/>
          <w:sz w:val="22"/>
          <w:szCs w:val="22"/>
          <w:lang w:val="fr-FR"/>
        </w:rPr>
      </w:pPr>
      <w:r w:rsidRPr="00D515F5">
        <w:rPr>
          <w:rFonts w:ascii="Arial" w:hAnsi="Arial" w:cs="Arial"/>
          <w:sz w:val="22"/>
          <w:szCs w:val="22"/>
          <w:lang w:val="fr-FR"/>
        </w:rPr>
        <w:t>Le groupe de travail sera p</w:t>
      </w:r>
      <w:bookmarkStart w:id="3" w:name="_Hlk75936251"/>
      <w:r w:rsidRPr="00D515F5">
        <w:rPr>
          <w:rFonts w:ascii="Arial" w:hAnsi="Arial" w:cs="Arial"/>
          <w:sz w:val="22"/>
          <w:szCs w:val="22"/>
          <w:lang w:val="fr-FR"/>
        </w:rPr>
        <w:t>résidé par</w:t>
      </w:r>
      <w:bookmarkEnd w:id="3"/>
      <w:r w:rsidRPr="00D515F5">
        <w:rPr>
          <w:rFonts w:ascii="Arial" w:hAnsi="Arial" w:cs="Arial"/>
          <w:sz w:val="22"/>
          <w:szCs w:val="22"/>
          <w:lang w:val="fr-FR"/>
        </w:rPr>
        <w:t xml:space="preserve"> [ </w:t>
      </w:r>
      <w:r w:rsidRPr="00D515F5">
        <w:rPr>
          <w:rFonts w:ascii="Arial" w:hAnsi="Arial" w:cs="Arial"/>
          <w:i/>
          <w:iCs/>
          <w:sz w:val="22"/>
          <w:szCs w:val="22"/>
          <w:lang w:val="fr-FR"/>
        </w:rPr>
        <w:t>président à déterminer par le ScC-SC7</w:t>
      </w:r>
      <w:r w:rsidRPr="00D515F5">
        <w:rPr>
          <w:rFonts w:ascii="Arial" w:hAnsi="Arial" w:cs="Arial"/>
          <w:sz w:val="22"/>
          <w:szCs w:val="22"/>
          <w:lang w:val="fr-FR"/>
        </w:rPr>
        <w:t xml:space="preserve"> ]. Si le président ou la présidente quitte son poste, un nouveau président ou une nouvelle présidente est nommé(e) parmi les autres membres du Comité de session du Conseil scientifique qui font partie du Groupe de travail.</w:t>
      </w:r>
    </w:p>
    <w:p w14:paraId="0BB73017" w14:textId="77777777" w:rsidR="00143EB6" w:rsidRPr="00D515F5" w:rsidRDefault="00D515F5">
      <w:pPr>
        <w:pStyle w:val="ListParagraph"/>
        <w:widowControl/>
        <w:numPr>
          <w:ilvl w:val="0"/>
          <w:numId w:val="36"/>
        </w:numPr>
        <w:shd w:val="clear" w:color="auto" w:fill="FFFFFF"/>
        <w:spacing w:after="120"/>
        <w:ind w:left="1134" w:hanging="567"/>
        <w:contextualSpacing w:val="0"/>
        <w:jc w:val="both"/>
        <w:rPr>
          <w:rFonts w:ascii="Arial" w:hAnsi="Arial" w:cs="Arial"/>
          <w:sz w:val="22"/>
          <w:szCs w:val="22"/>
          <w:lang w:val="fr-FR"/>
        </w:rPr>
      </w:pPr>
      <w:r w:rsidRPr="00D515F5">
        <w:rPr>
          <w:rFonts w:ascii="Arial" w:hAnsi="Arial" w:cs="Arial"/>
          <w:sz w:val="22"/>
          <w:szCs w:val="22"/>
          <w:lang w:val="fr-FR"/>
        </w:rPr>
        <w:t xml:space="preserve">Les membres du Groupe de travail travailleront principalement par voie électronique, en communiquant par courrier électronique et en recourant éventuellement à un espace de travail dédié ou à des réunions virtuelles. Des réunions en personne pourront être organisées en marge des réunions du Comité de session. </w:t>
      </w:r>
    </w:p>
    <w:p w14:paraId="0DBCA618" w14:textId="77777777" w:rsidR="00143EB6" w:rsidRPr="00D515F5" w:rsidRDefault="00D515F5">
      <w:pPr>
        <w:pStyle w:val="ListParagraph"/>
        <w:widowControl/>
        <w:numPr>
          <w:ilvl w:val="0"/>
          <w:numId w:val="36"/>
        </w:numPr>
        <w:ind w:left="1134" w:hanging="567"/>
        <w:contextualSpacing w:val="0"/>
        <w:jc w:val="both"/>
        <w:rPr>
          <w:rFonts w:ascii="Arial" w:hAnsi="Arial" w:cs="Arial"/>
          <w:sz w:val="22"/>
          <w:szCs w:val="22"/>
          <w:lang w:val="fr-FR"/>
        </w:rPr>
      </w:pPr>
      <w:r w:rsidRPr="00D515F5">
        <w:rPr>
          <w:rFonts w:ascii="Arial" w:hAnsi="Arial" w:cs="Arial"/>
          <w:sz w:val="22"/>
          <w:szCs w:val="22"/>
          <w:lang w:val="fr-FR"/>
        </w:rPr>
        <w:t xml:space="preserve">Le président ou la présidente du Groupe de travail rendra compte de l'avancement des travaux au Comité de session. </w:t>
      </w:r>
    </w:p>
    <w:p w14:paraId="193CA1FD" w14:textId="77777777" w:rsidR="00143EB6" w:rsidRPr="00D515F5" w:rsidRDefault="00143EB6">
      <w:pPr>
        <w:ind w:left="1134" w:hanging="567"/>
        <w:jc w:val="both"/>
        <w:rPr>
          <w:rFonts w:cs="Arial"/>
          <w:lang w:val="fr-FR"/>
        </w:rPr>
      </w:pPr>
    </w:p>
    <w:p w14:paraId="461F3463" w14:textId="77777777" w:rsidR="00143EB6" w:rsidRPr="00D515F5" w:rsidRDefault="00D515F5">
      <w:pPr>
        <w:pStyle w:val="ListParagraph"/>
        <w:widowControl/>
        <w:numPr>
          <w:ilvl w:val="0"/>
          <w:numId w:val="36"/>
        </w:numPr>
        <w:ind w:left="1134" w:hanging="567"/>
        <w:contextualSpacing w:val="0"/>
        <w:jc w:val="both"/>
        <w:rPr>
          <w:rFonts w:ascii="Arial" w:hAnsi="Arial" w:cs="Arial"/>
          <w:sz w:val="22"/>
          <w:szCs w:val="22"/>
          <w:lang w:val="fr-FR"/>
        </w:rPr>
      </w:pPr>
      <w:r w:rsidRPr="00D515F5">
        <w:rPr>
          <w:rFonts w:ascii="Arial" w:hAnsi="Arial" w:cs="Arial"/>
          <w:sz w:val="22"/>
          <w:szCs w:val="22"/>
          <w:lang w:val="fr-FR"/>
        </w:rPr>
        <w:lastRenderedPageBreak/>
        <w:t xml:space="preserve">Le Secrétariat de la CMS recensera les membres du Groupe de travail, tiendra la liste de ces membres et soutiendra et facilitera la coordination des activités du Groupe de travail ainsi que l'organisation de ses réunions. </w:t>
      </w:r>
    </w:p>
    <w:p w14:paraId="36298CC3" w14:textId="77777777" w:rsidR="00143EB6" w:rsidRPr="00D515F5" w:rsidRDefault="00143EB6">
      <w:pPr>
        <w:jc w:val="both"/>
        <w:rPr>
          <w:rFonts w:cs="Arial"/>
          <w:lang w:val="fr-FR"/>
        </w:rPr>
      </w:pPr>
    </w:p>
    <w:p w14:paraId="7309E3A9" w14:textId="77777777" w:rsidR="00143EB6" w:rsidRPr="00D515F5" w:rsidRDefault="00D515F5">
      <w:pPr>
        <w:pStyle w:val="ListParagraph"/>
        <w:widowControl/>
        <w:numPr>
          <w:ilvl w:val="0"/>
          <w:numId w:val="34"/>
        </w:numPr>
        <w:ind w:left="567" w:hanging="567"/>
        <w:contextualSpacing w:val="0"/>
        <w:jc w:val="both"/>
        <w:rPr>
          <w:rFonts w:ascii="Arial" w:hAnsi="Arial" w:cs="Arial"/>
          <w:b/>
          <w:bCs/>
          <w:sz w:val="22"/>
          <w:szCs w:val="22"/>
          <w:lang w:val="fr-FR"/>
        </w:rPr>
      </w:pPr>
      <w:r w:rsidRPr="00D515F5">
        <w:rPr>
          <w:rFonts w:ascii="Arial" w:hAnsi="Arial" w:cs="Arial"/>
          <w:b/>
          <w:bCs/>
          <w:sz w:val="22"/>
          <w:szCs w:val="22"/>
          <w:lang w:val="fr-FR"/>
        </w:rPr>
        <w:t>Durée du mandat</w:t>
      </w:r>
    </w:p>
    <w:p w14:paraId="5D6FCDE4" w14:textId="77777777" w:rsidR="00143EB6" w:rsidRPr="00D515F5" w:rsidRDefault="00143EB6">
      <w:pPr>
        <w:pStyle w:val="ListParagraph"/>
        <w:contextualSpacing w:val="0"/>
        <w:jc w:val="both"/>
        <w:rPr>
          <w:rFonts w:ascii="Arial" w:hAnsi="Arial" w:cs="Arial"/>
          <w:sz w:val="22"/>
          <w:szCs w:val="22"/>
          <w:lang w:val="fr-FR"/>
        </w:rPr>
      </w:pPr>
    </w:p>
    <w:p w14:paraId="253A9BA4" w14:textId="77777777" w:rsidR="00143EB6" w:rsidRPr="00D515F5" w:rsidRDefault="00D515F5">
      <w:pPr>
        <w:jc w:val="both"/>
        <w:rPr>
          <w:rFonts w:cs="Arial"/>
          <w:lang w:val="fr-FR"/>
        </w:rPr>
      </w:pPr>
      <w:r w:rsidRPr="00D515F5">
        <w:rPr>
          <w:rFonts w:cs="Arial"/>
          <w:lang w:val="fr-FR"/>
        </w:rPr>
        <w:t>Le Groupe de travail est établi pour la période intersessions précédant la COP15.</w:t>
      </w:r>
    </w:p>
    <w:p w14:paraId="5471A710" w14:textId="77777777" w:rsidR="00143EB6" w:rsidRDefault="00143EB6">
      <w:pPr>
        <w:jc w:val="both"/>
        <w:rPr>
          <w:rFonts w:cs="Arial"/>
          <w:highlight w:val="yellow"/>
          <w:lang w:val="fr-FR"/>
        </w:rPr>
      </w:pPr>
    </w:p>
    <w:sectPr w:rsidR="00143EB6">
      <w:headerReference w:type="even" r:id="rId21"/>
      <w:headerReference w:type="first" r:id="rId22"/>
      <w:pgSz w:w="11906" w:h="16838" w:code="9"/>
      <w:pgMar w:top="1134" w:right="1134" w:bottom="1134" w:left="1134"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B0B65" w14:textId="77777777" w:rsidR="00F13E42" w:rsidRDefault="00F13E42">
      <w:r>
        <w:rPr>
          <w:lang w:val="fr-FR"/>
        </w:rPr>
        <w:separator/>
      </w:r>
    </w:p>
  </w:endnote>
  <w:endnote w:type="continuationSeparator" w:id="0">
    <w:p w14:paraId="1A919D39" w14:textId="77777777" w:rsidR="00F13E42" w:rsidRDefault="00F13E42">
      <w:r>
        <w:rPr>
          <w:lang w:val="fr-FR"/>
        </w:rPr>
        <w:continuationSeparator/>
      </w:r>
    </w:p>
  </w:endnote>
  <w:endnote w:type="continuationNotice" w:id="1">
    <w:p w14:paraId="1B61AF0C" w14:textId="77777777" w:rsidR="00F13E42" w:rsidRDefault="00F13E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Roboto">
    <w:altName w:val="Arial"/>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01848836"/>
      <w:docPartObj>
        <w:docPartGallery w:val="Page Numbers (Bottom of Page)"/>
        <w:docPartUnique/>
      </w:docPartObj>
    </w:sdtPr>
    <w:sdtEndPr>
      <w:rPr>
        <w:noProof/>
      </w:rPr>
    </w:sdtEndPr>
    <w:sdtContent>
      <w:p w14:paraId="27581D8A" w14:textId="77777777" w:rsidR="001F56E8" w:rsidRPr="00BC2D68" w:rsidRDefault="001F56E8" w:rsidP="001F56E8">
        <w:pPr>
          <w:pStyle w:val="Footer"/>
          <w:jc w:val="center"/>
          <w:rPr>
            <w:sz w:val="18"/>
            <w:szCs w:val="18"/>
          </w:rPr>
        </w:pPr>
        <w:r w:rsidRPr="00BC2D68">
          <w:rPr>
            <w:sz w:val="18"/>
            <w:szCs w:val="18"/>
          </w:rPr>
          <w:fldChar w:fldCharType="begin"/>
        </w:r>
        <w:r w:rsidRPr="00BC2D68">
          <w:rPr>
            <w:sz w:val="18"/>
            <w:szCs w:val="18"/>
          </w:rPr>
          <w:instrText xml:space="preserve"> PAGE   \* MERGEFORMAT </w:instrText>
        </w:r>
        <w:r w:rsidRPr="00BC2D68">
          <w:rPr>
            <w:sz w:val="18"/>
            <w:szCs w:val="18"/>
          </w:rPr>
          <w:fldChar w:fldCharType="separate"/>
        </w:r>
        <w:r w:rsidR="00A40CC0" w:rsidRPr="00BC2D68">
          <w:rPr>
            <w:noProof/>
            <w:sz w:val="18"/>
            <w:szCs w:val="18"/>
          </w:rPr>
          <w:t>2</w:t>
        </w:r>
        <w:r w:rsidRPr="00BC2D6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2089192853"/>
      <w:docPartObj>
        <w:docPartGallery w:val="Page Numbers (Bottom of Page)"/>
        <w:docPartUnique/>
      </w:docPartObj>
    </w:sdtPr>
    <w:sdtEndPr>
      <w:rPr>
        <w:noProof/>
      </w:rPr>
    </w:sdtEndPr>
    <w:sdtContent>
      <w:p w14:paraId="01F6F52E" w14:textId="77777777" w:rsidR="001F56E8" w:rsidRPr="00BC2D68" w:rsidRDefault="001F56E8" w:rsidP="001F56E8">
        <w:pPr>
          <w:pStyle w:val="Footer"/>
          <w:jc w:val="center"/>
          <w:rPr>
            <w:sz w:val="18"/>
            <w:szCs w:val="18"/>
          </w:rPr>
        </w:pPr>
        <w:r w:rsidRPr="00BC2D68">
          <w:rPr>
            <w:sz w:val="18"/>
            <w:szCs w:val="18"/>
          </w:rPr>
          <w:fldChar w:fldCharType="begin"/>
        </w:r>
        <w:r w:rsidRPr="00BC2D68">
          <w:rPr>
            <w:sz w:val="18"/>
            <w:szCs w:val="18"/>
          </w:rPr>
          <w:instrText xml:space="preserve"> PAGE   \* MERGEFORMAT </w:instrText>
        </w:r>
        <w:r w:rsidRPr="00BC2D68">
          <w:rPr>
            <w:sz w:val="18"/>
            <w:szCs w:val="18"/>
          </w:rPr>
          <w:fldChar w:fldCharType="separate"/>
        </w:r>
        <w:r w:rsidR="00A40CC0" w:rsidRPr="00BC2D68">
          <w:rPr>
            <w:noProof/>
            <w:sz w:val="18"/>
            <w:szCs w:val="18"/>
          </w:rPr>
          <w:t>3</w:t>
        </w:r>
        <w:r w:rsidRPr="00BC2D6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350448602"/>
      <w:docPartObj>
        <w:docPartGallery w:val="Page Numbers (Bottom of Page)"/>
        <w:docPartUnique/>
      </w:docPartObj>
    </w:sdtPr>
    <w:sdtEndPr>
      <w:rPr>
        <w:noProof/>
      </w:rPr>
    </w:sdtEndPr>
    <w:sdtContent>
      <w:p w14:paraId="6C5703C9" w14:textId="77777777" w:rsidR="00A77F9A" w:rsidRPr="00BC2D68" w:rsidRDefault="00A77F9A" w:rsidP="00A77F9A">
        <w:pPr>
          <w:pStyle w:val="Footer"/>
          <w:jc w:val="center"/>
          <w:rPr>
            <w:sz w:val="18"/>
            <w:szCs w:val="18"/>
          </w:rPr>
        </w:pPr>
        <w:r w:rsidRPr="00BC2D68">
          <w:rPr>
            <w:sz w:val="18"/>
            <w:szCs w:val="18"/>
          </w:rPr>
          <w:fldChar w:fldCharType="begin"/>
        </w:r>
        <w:r w:rsidRPr="00BC2D68">
          <w:rPr>
            <w:sz w:val="18"/>
            <w:szCs w:val="18"/>
          </w:rPr>
          <w:instrText xml:space="preserve"> PAGE   \* MERGEFORMAT </w:instrText>
        </w:r>
        <w:r w:rsidRPr="00BC2D68">
          <w:rPr>
            <w:sz w:val="18"/>
            <w:szCs w:val="18"/>
          </w:rPr>
          <w:fldChar w:fldCharType="separate"/>
        </w:r>
        <w:r w:rsidRPr="00BC2D68">
          <w:rPr>
            <w:noProof/>
            <w:sz w:val="18"/>
            <w:szCs w:val="18"/>
          </w:rPr>
          <w:t>2</w:t>
        </w:r>
        <w:r w:rsidRPr="00BC2D6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BD328B" w14:textId="77777777" w:rsidR="00F13E42" w:rsidRDefault="00F13E42">
      <w:r>
        <w:rPr>
          <w:lang w:val="fr-FR"/>
        </w:rPr>
        <w:separator/>
      </w:r>
    </w:p>
  </w:footnote>
  <w:footnote w:type="continuationSeparator" w:id="0">
    <w:p w14:paraId="69927B99" w14:textId="77777777" w:rsidR="00F13E42" w:rsidRDefault="00F13E42">
      <w:r>
        <w:rPr>
          <w:lang w:val="fr-FR"/>
        </w:rPr>
        <w:continuationSeparator/>
      </w:r>
    </w:p>
  </w:footnote>
  <w:footnote w:type="continuationNotice" w:id="1">
    <w:p w14:paraId="18E18C15" w14:textId="77777777" w:rsidR="00F13E42" w:rsidRDefault="00F13E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E2643" w14:textId="77777777" w:rsidR="00143EB6" w:rsidRDefault="00D515F5">
    <w:pPr>
      <w:pBdr>
        <w:bottom w:val="single" w:sz="4" w:space="1" w:color="auto"/>
      </w:pBdr>
      <w:rPr>
        <w:rFonts w:cs="Arial"/>
        <w:i/>
        <w:iCs/>
        <w:sz w:val="18"/>
        <w:szCs w:val="18"/>
        <w:lang w:val="en-GB"/>
      </w:rPr>
    </w:pPr>
    <w:r>
      <w:rPr>
        <w:rFonts w:cs="Arial"/>
        <w:i/>
        <w:iCs/>
        <w:sz w:val="18"/>
        <w:szCs w:val="18"/>
        <w:lang w:val="en-GB"/>
      </w:rPr>
      <w:t>UNEP/CMS/ScC-SC6/</w:t>
    </w:r>
    <w:proofErr w:type="spellStart"/>
    <w:r>
      <w:rPr>
        <w:rFonts w:cs="Arial"/>
        <w:i/>
        <w:iCs/>
        <w:sz w:val="18"/>
        <w:szCs w:val="18"/>
        <w:lang w:val="en-GB"/>
      </w:rPr>
      <w:t>Doc.XX</w:t>
    </w:r>
    <w:proofErr w:type="spellEnd"/>
  </w:p>
  <w:p w14:paraId="5B0EA969" w14:textId="77777777" w:rsidR="00143EB6" w:rsidRDefault="00143EB6">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E03C9" w14:textId="77777777" w:rsidR="00143EB6" w:rsidRDefault="00D515F5">
    <w:pPr>
      <w:pBdr>
        <w:bottom w:val="single" w:sz="4" w:space="1" w:color="auto"/>
      </w:pBdr>
      <w:jc w:val="right"/>
      <w:rPr>
        <w:rFonts w:cs="Arial"/>
        <w:i/>
        <w:iCs/>
        <w:sz w:val="18"/>
        <w:szCs w:val="18"/>
        <w:lang w:val="en-GB"/>
      </w:rPr>
    </w:pPr>
    <w:r>
      <w:rPr>
        <w:rFonts w:cs="Arial"/>
        <w:i/>
        <w:iCs/>
        <w:sz w:val="18"/>
        <w:szCs w:val="18"/>
        <w:lang w:val="en-GB"/>
      </w:rPr>
      <w:t>UNEP/CMS/ScC-SC6/</w:t>
    </w:r>
    <w:proofErr w:type="spellStart"/>
    <w:r>
      <w:rPr>
        <w:rFonts w:cs="Arial"/>
        <w:i/>
        <w:iCs/>
        <w:sz w:val="18"/>
        <w:szCs w:val="18"/>
        <w:lang w:val="en-GB"/>
      </w:rPr>
      <w:t>Doc.XX</w:t>
    </w:r>
    <w:proofErr w:type="spellEnd"/>
  </w:p>
  <w:p w14:paraId="1AB3FEC7" w14:textId="77777777" w:rsidR="00143EB6" w:rsidRDefault="00143EB6">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ACE44" w14:textId="77777777" w:rsidR="00825333" w:rsidRDefault="00825333" w:rsidP="00825333">
    <w:pPr>
      <w:pStyle w:val="Header"/>
    </w:pPr>
    <w:r>
      <w:rPr>
        <w:noProof/>
      </w:rPr>
      <w:drawing>
        <wp:anchor distT="0" distB="0" distL="114300" distR="114300" simplePos="0" relativeHeight="251661312" behindDoc="0" locked="0" layoutInCell="1" allowOverlap="1" wp14:anchorId="7C17C929" wp14:editId="746E6377">
          <wp:simplePos x="0" y="0"/>
          <wp:positionH relativeFrom="column">
            <wp:posOffset>-548005</wp:posOffset>
          </wp:positionH>
          <wp:positionV relativeFrom="paragraph">
            <wp:posOffset>-542290</wp:posOffset>
          </wp:positionV>
          <wp:extent cx="1409700" cy="1409700"/>
          <wp:effectExtent l="0" t="0" r="0" b="0"/>
          <wp:wrapNone/>
          <wp:docPr id="8"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A black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970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E3E6B46" wp14:editId="7BA636CA">
          <wp:simplePos x="0" y="0"/>
          <wp:positionH relativeFrom="column">
            <wp:posOffset>5800725</wp:posOffset>
          </wp:positionH>
          <wp:positionV relativeFrom="paragraph">
            <wp:posOffset>-333375</wp:posOffset>
          </wp:positionV>
          <wp:extent cx="585470" cy="822325"/>
          <wp:effectExtent l="0" t="0" r="5080" b="0"/>
          <wp:wrapNone/>
          <wp:docPr id="6" name="Picture 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ms_logo-for_letterhead_black"/>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5470" cy="82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mc:AlternateContent>
        <mc:Choice Requires="wps">
          <w:drawing>
            <wp:anchor distT="0" distB="0" distL="114300" distR="114300" simplePos="0" relativeHeight="251660288" behindDoc="0" locked="0" layoutInCell="1" allowOverlap="1" wp14:anchorId="3290E5D6" wp14:editId="7BCDFF5B">
              <wp:simplePos x="0" y="0"/>
              <wp:positionH relativeFrom="column">
                <wp:posOffset>1019175</wp:posOffset>
              </wp:positionH>
              <wp:positionV relativeFrom="paragraph">
                <wp:posOffset>-19050</wp:posOffset>
              </wp:positionV>
              <wp:extent cx="4583430" cy="558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A17F7D1" w14:textId="77777777" w:rsidR="00825333" w:rsidRPr="00C64B0F" w:rsidRDefault="00825333" w:rsidP="00825333">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wps:txbx>
                    <wps:bodyPr rot="0" vert="horz" wrap="square" lIns="91440" tIns="45720" rIns="91440" bIns="45720" anchor="t" anchorCtr="0" upright="1">
                      <a:spAutoFit/>
                    </wps:bodyPr>
                  </wps:wsp>
                </a:graphicData>
              </a:graphic>
            </wp:anchor>
          </w:drawing>
        </mc:Choice>
        <mc:Fallback>
          <w:pict>
            <v:shapetype w14:anchorId="3290E5D6" id="_x0000_t202" coordsize="21600,21600" o:spt="202" path="m,l,21600r21600,l21600,xe">
              <v:stroke joinstyle="miter"/>
              <v:path gradientshapeok="t" o:connecttype="rect"/>
            </v:shapetype>
            <v:shape id="Text Box 2" o:spid="_x0000_s1027" type="#_x0000_t202" style="position:absolute;margin-left:80.25pt;margin-top:-1.5pt;width:360.9pt;height:4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" filled="f" stroked="f" strokeweight="0">
              <v:textbox style="mso-fit-shape-to-text:t">
                <w:txbxContent>
                  <w:p w14:paraId="1A17F7D1" w14:textId="77777777" w:rsidR="00825333" w:rsidRPr="00C64B0F" w:rsidRDefault="00825333" w:rsidP="00825333">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v:textbox>
            </v:shape>
          </w:pict>
        </mc:Fallback>
      </mc:AlternateContent>
    </w:r>
  </w:p>
  <w:p w14:paraId="59EADCF4" w14:textId="77777777" w:rsidR="00143EB6" w:rsidRDefault="00143EB6">
    <w:pPr>
      <w:pStyle w:val="Head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C2020" w14:textId="77777777" w:rsidR="00143EB6" w:rsidRDefault="00D515F5">
    <w:pPr>
      <w:pBdr>
        <w:bottom w:val="single" w:sz="4" w:space="1" w:color="auto"/>
      </w:pBdr>
      <w:rPr>
        <w:rFonts w:cs="Arial"/>
        <w:i/>
        <w:iCs/>
        <w:sz w:val="18"/>
        <w:szCs w:val="18"/>
        <w:lang w:val="en-GB"/>
      </w:rPr>
    </w:pPr>
    <w:r>
      <w:rPr>
        <w:rFonts w:cs="Arial"/>
        <w:i/>
        <w:iCs/>
        <w:sz w:val="18"/>
        <w:szCs w:val="18"/>
        <w:lang w:val="en-GB"/>
      </w:rPr>
      <w:t>UNEP/CMS/ScC-SC7/Doc.5</w:t>
    </w:r>
  </w:p>
  <w:p w14:paraId="7D493BA5" w14:textId="77777777" w:rsidR="00143EB6" w:rsidRDefault="00143EB6">
    <w:pPr>
      <w:pStyle w:val="Header"/>
      <w:rPr>
        <w:lang w:val="fr-FR"/>
      </w:rPr>
    </w:pPr>
  </w:p>
  <w:p w14:paraId="7D8228D7" w14:textId="77777777" w:rsidR="00143EB6" w:rsidRDefault="00143EB6">
    <w:pPr>
      <w:pStyle w:val="Header"/>
      <w:rPr>
        <w:lang w:val="fr-F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B644F" w14:textId="26619811" w:rsidR="00143EB6" w:rsidRDefault="00D515F5">
    <w:pPr>
      <w:pBdr>
        <w:bottom w:val="single" w:sz="4" w:space="1" w:color="auto"/>
      </w:pBdr>
      <w:jc w:val="right"/>
      <w:rPr>
        <w:rFonts w:cs="Arial"/>
        <w:i/>
        <w:iCs/>
        <w:sz w:val="18"/>
        <w:szCs w:val="18"/>
        <w:lang w:val="en-GB"/>
      </w:rPr>
    </w:pPr>
    <w:r>
      <w:rPr>
        <w:rFonts w:cs="Arial"/>
        <w:i/>
        <w:iCs/>
        <w:sz w:val="18"/>
        <w:szCs w:val="18"/>
        <w:lang w:val="en-GB"/>
      </w:rPr>
      <w:t>UNEP/CMS/ScC-SC7/Doc.</w:t>
    </w:r>
    <w:r w:rsidR="00A556FD">
      <w:rPr>
        <w:rFonts w:cs="Arial"/>
        <w:i/>
        <w:iCs/>
        <w:sz w:val="18"/>
        <w:szCs w:val="18"/>
        <w:lang w:val="en-GB"/>
      </w:rPr>
      <w:t>5</w:t>
    </w:r>
  </w:p>
  <w:p w14:paraId="0073FA47" w14:textId="77777777" w:rsidR="00143EB6" w:rsidRDefault="00143EB6">
    <w:pPr>
      <w:pStyle w:val="Header"/>
      <w:rPr>
        <w:lang w:val="fr-FR"/>
      </w:rPr>
    </w:pPr>
  </w:p>
  <w:p w14:paraId="239B9CD0" w14:textId="77777777" w:rsidR="00993E2A" w:rsidRDefault="00993E2A">
    <w:pPr>
      <w:pStyle w:val="Header"/>
      <w:rPr>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D5434" w14:textId="77777777" w:rsidR="00143EB6" w:rsidRDefault="00D515F5">
    <w:pPr>
      <w:pBdr>
        <w:bottom w:val="single" w:sz="4" w:space="1" w:color="auto"/>
      </w:pBdr>
      <w:spacing w:before="120"/>
      <w:rPr>
        <w:rFonts w:cs="Arial"/>
        <w:i/>
        <w:iCs/>
        <w:sz w:val="18"/>
        <w:szCs w:val="18"/>
        <w:lang w:val="en-GB"/>
      </w:rPr>
    </w:pPr>
    <w:r>
      <w:rPr>
        <w:rFonts w:cs="Arial"/>
        <w:i/>
        <w:iCs/>
        <w:sz w:val="18"/>
        <w:szCs w:val="18"/>
        <w:lang w:val="en-GB"/>
      </w:rPr>
      <w:t>UNEP/CMS/ScC-SC7/Doc.5</w:t>
    </w:r>
  </w:p>
  <w:p w14:paraId="6DE4420E" w14:textId="77777777" w:rsidR="00143EB6" w:rsidRDefault="00143EB6">
    <w:pPr>
      <w:rPr>
        <w:rFonts w:cs="Arial"/>
        <w:lang w:val="fr-FR"/>
      </w:rPr>
    </w:pPr>
  </w:p>
  <w:p w14:paraId="68C6F3E4" w14:textId="77777777" w:rsidR="00143EB6" w:rsidRDefault="00143EB6">
    <w:pPr>
      <w:pStyle w:val="Header"/>
      <w:rPr>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555B5" w14:textId="4419DE0A" w:rsidR="00607C7B" w:rsidRDefault="00607C7B">
    <w:pPr>
      <w:pBdr>
        <w:bottom w:val="single" w:sz="4" w:space="1" w:color="auto"/>
      </w:pBdr>
      <w:rPr>
        <w:rFonts w:cs="Arial"/>
        <w:i/>
        <w:iCs/>
        <w:sz w:val="18"/>
        <w:szCs w:val="18"/>
        <w:lang w:val="en-GB"/>
      </w:rPr>
    </w:pPr>
    <w:r>
      <w:rPr>
        <w:rFonts w:cs="Arial"/>
        <w:i/>
        <w:iCs/>
        <w:sz w:val="18"/>
        <w:szCs w:val="18"/>
        <w:lang w:val="en-GB"/>
      </w:rPr>
      <w:t>UNEP/CMS/ScC-SC7/Doc.5/Annexe</w:t>
    </w:r>
  </w:p>
  <w:p w14:paraId="5BE5B4E7" w14:textId="77777777" w:rsidR="00607C7B" w:rsidRDefault="00607C7B">
    <w:pPr>
      <w:pStyle w:val="Header"/>
      <w:rPr>
        <w:lang w:val="fr-FR"/>
      </w:rPr>
    </w:pPr>
  </w:p>
  <w:p w14:paraId="1659EBF2" w14:textId="77777777" w:rsidR="00607C7B" w:rsidRDefault="00607C7B">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D79B2" w14:textId="262DB6D0" w:rsidR="0042595F" w:rsidRDefault="0042595F" w:rsidP="0042595F">
    <w:pPr>
      <w:pBdr>
        <w:bottom w:val="single" w:sz="4" w:space="1" w:color="auto"/>
      </w:pBdr>
      <w:spacing w:before="120"/>
      <w:jc w:val="right"/>
      <w:rPr>
        <w:rFonts w:cs="Arial"/>
        <w:i/>
        <w:iCs/>
        <w:sz w:val="18"/>
        <w:szCs w:val="18"/>
        <w:lang w:val="en-GB"/>
      </w:rPr>
    </w:pPr>
    <w:r>
      <w:rPr>
        <w:rFonts w:cs="Arial"/>
        <w:i/>
        <w:iCs/>
        <w:sz w:val="18"/>
        <w:szCs w:val="18"/>
        <w:lang w:val="en-GB"/>
      </w:rPr>
      <w:t>UNEP/CMS/ScC-SC7/Doc.5/Annexe</w:t>
    </w:r>
  </w:p>
  <w:p w14:paraId="62C2767B" w14:textId="77777777" w:rsidR="0042595F" w:rsidRDefault="0042595F">
    <w:pPr>
      <w:rPr>
        <w:rFonts w:cs="Arial"/>
        <w:lang w:val="fr-FR"/>
      </w:rPr>
    </w:pPr>
  </w:p>
  <w:p w14:paraId="59483E33" w14:textId="77777777" w:rsidR="0042595F" w:rsidRDefault="0042595F">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170F7"/>
    <w:multiLevelType w:val="hybridMultilevel"/>
    <w:tmpl w:val="F3DE231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93F5C65"/>
    <w:multiLevelType w:val="hybridMultilevel"/>
    <w:tmpl w:val="D0722E90"/>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BA32F7F"/>
    <w:multiLevelType w:val="hybridMultilevel"/>
    <w:tmpl w:val="D0C8110C"/>
    <w:lvl w:ilvl="0" w:tplc="2000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04E3FFA"/>
    <w:multiLevelType w:val="hybridMultilevel"/>
    <w:tmpl w:val="573E4BAE"/>
    <w:lvl w:ilvl="0" w:tplc="041A0017">
      <w:start w:val="1"/>
      <w:numFmt w:val="lowerLetter"/>
      <w:lvlText w:val="%1)"/>
      <w:lvlJc w:val="left"/>
      <w:pPr>
        <w:ind w:left="1146" w:hanging="360"/>
      </w:pPr>
    </w:lvl>
    <w:lvl w:ilvl="1" w:tplc="041A0019">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5" w15:restartNumberingAfterBreak="0">
    <w:nsid w:val="129F219D"/>
    <w:multiLevelType w:val="hybridMultilevel"/>
    <w:tmpl w:val="6008710C"/>
    <w:lvl w:ilvl="0" w:tplc="20000017">
      <w:start w:val="1"/>
      <w:numFmt w:val="lowerLetter"/>
      <w:lvlText w:val="%1)"/>
      <w:lvlJc w:val="left"/>
      <w:pPr>
        <w:ind w:left="1854" w:hanging="72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6" w15:restartNumberingAfterBreak="0">
    <w:nsid w:val="175E1D1A"/>
    <w:multiLevelType w:val="hybridMultilevel"/>
    <w:tmpl w:val="91C262C4"/>
    <w:lvl w:ilvl="0" w:tplc="FFFFFFFF">
      <w:start w:val="1"/>
      <w:numFmt w:val="lowerLetter"/>
      <w:lvlText w:val="%1)"/>
      <w:lvlJc w:val="left"/>
      <w:pPr>
        <w:ind w:left="720" w:hanging="360"/>
      </w:pPr>
    </w:lvl>
    <w:lvl w:ilvl="1" w:tplc="CE4243BC">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F67D0D"/>
    <w:multiLevelType w:val="hybridMultilevel"/>
    <w:tmpl w:val="82965BE6"/>
    <w:lvl w:ilvl="0" w:tplc="2000001B">
      <w:start w:val="1"/>
      <w:numFmt w:val="lowerRoman"/>
      <w:lvlText w:val="%1."/>
      <w:lvlJc w:val="righ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741968"/>
    <w:multiLevelType w:val="hybridMultilevel"/>
    <w:tmpl w:val="0FCC48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4959B8"/>
    <w:multiLevelType w:val="hybridMultilevel"/>
    <w:tmpl w:val="4A3EA0B8"/>
    <w:lvl w:ilvl="0" w:tplc="20000017">
      <w:start w:val="1"/>
      <w:numFmt w:val="lowerLetter"/>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4" w15:restartNumberingAfterBreak="0">
    <w:nsid w:val="2E5D6D82"/>
    <w:multiLevelType w:val="hybridMultilevel"/>
    <w:tmpl w:val="A920D62E"/>
    <w:lvl w:ilvl="0" w:tplc="0409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10D69D3"/>
    <w:multiLevelType w:val="hybridMultilevel"/>
    <w:tmpl w:val="30AA3D66"/>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3FA304D"/>
    <w:multiLevelType w:val="multilevel"/>
    <w:tmpl w:val="8CB0BEAA"/>
    <w:lvl w:ilvl="0">
      <w:start w:val="14"/>
      <w:numFmt w:val="decimal"/>
      <w:lvlText w:val="%1"/>
      <w:lvlJc w:val="left"/>
      <w:pPr>
        <w:ind w:left="480" w:hanging="480"/>
      </w:pPr>
      <w:rPr>
        <w:rFonts w:hint="default"/>
        <w:i/>
      </w:rPr>
    </w:lvl>
    <w:lvl w:ilvl="1">
      <w:start w:val="23"/>
      <w:numFmt w:val="decimal"/>
      <w:lvlText w:val="%1.%2"/>
      <w:lvlJc w:val="left"/>
      <w:pPr>
        <w:ind w:left="906" w:hanging="480"/>
      </w:pPr>
      <w:rPr>
        <w:rFonts w:hint="default"/>
        <w:i/>
      </w:rPr>
    </w:lvl>
    <w:lvl w:ilvl="2">
      <w:start w:val="1"/>
      <w:numFmt w:val="decimal"/>
      <w:lvlText w:val="%1.%2.%3"/>
      <w:lvlJc w:val="left"/>
      <w:pPr>
        <w:ind w:left="1572" w:hanging="720"/>
      </w:pPr>
      <w:rPr>
        <w:rFonts w:hint="default"/>
        <w:i/>
      </w:rPr>
    </w:lvl>
    <w:lvl w:ilvl="3">
      <w:start w:val="1"/>
      <w:numFmt w:val="decimal"/>
      <w:lvlText w:val="%1.%2.%3.%4"/>
      <w:lvlJc w:val="left"/>
      <w:pPr>
        <w:ind w:left="1998" w:hanging="720"/>
      </w:pPr>
      <w:rPr>
        <w:rFonts w:hint="default"/>
        <w:i/>
      </w:rPr>
    </w:lvl>
    <w:lvl w:ilvl="4">
      <w:start w:val="1"/>
      <w:numFmt w:val="decimal"/>
      <w:lvlText w:val="%1.%2.%3.%4.%5"/>
      <w:lvlJc w:val="left"/>
      <w:pPr>
        <w:ind w:left="2784" w:hanging="1080"/>
      </w:pPr>
      <w:rPr>
        <w:rFonts w:hint="default"/>
        <w:i/>
      </w:rPr>
    </w:lvl>
    <w:lvl w:ilvl="5">
      <w:start w:val="1"/>
      <w:numFmt w:val="decimal"/>
      <w:lvlText w:val="%1.%2.%3.%4.%5.%6"/>
      <w:lvlJc w:val="left"/>
      <w:pPr>
        <w:ind w:left="3210" w:hanging="1080"/>
      </w:pPr>
      <w:rPr>
        <w:rFonts w:hint="default"/>
        <w:i/>
      </w:rPr>
    </w:lvl>
    <w:lvl w:ilvl="6">
      <w:start w:val="1"/>
      <w:numFmt w:val="decimal"/>
      <w:lvlText w:val="%1.%2.%3.%4.%5.%6.%7"/>
      <w:lvlJc w:val="left"/>
      <w:pPr>
        <w:ind w:left="3996" w:hanging="1440"/>
      </w:pPr>
      <w:rPr>
        <w:rFonts w:hint="default"/>
        <w:i/>
      </w:rPr>
    </w:lvl>
    <w:lvl w:ilvl="7">
      <w:start w:val="1"/>
      <w:numFmt w:val="decimal"/>
      <w:lvlText w:val="%1.%2.%3.%4.%5.%6.%7.%8"/>
      <w:lvlJc w:val="left"/>
      <w:pPr>
        <w:ind w:left="4422" w:hanging="1440"/>
      </w:pPr>
      <w:rPr>
        <w:rFonts w:hint="default"/>
        <w:i/>
      </w:rPr>
    </w:lvl>
    <w:lvl w:ilvl="8">
      <w:start w:val="1"/>
      <w:numFmt w:val="decimal"/>
      <w:lvlText w:val="%1.%2.%3.%4.%5.%6.%7.%8.%9"/>
      <w:lvlJc w:val="left"/>
      <w:pPr>
        <w:ind w:left="5208" w:hanging="1800"/>
      </w:pPr>
      <w:rPr>
        <w:rFonts w:hint="default"/>
        <w:i/>
      </w:rPr>
    </w:lvl>
  </w:abstractNum>
  <w:abstractNum w:abstractNumId="17"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2158A9"/>
    <w:multiLevelType w:val="hybridMultilevel"/>
    <w:tmpl w:val="2B523F12"/>
    <w:lvl w:ilvl="0" w:tplc="040A0017">
      <w:start w:val="1"/>
      <w:numFmt w:val="lowerLetter"/>
      <w:lvlText w:val="%1)"/>
      <w:lvlJc w:val="left"/>
      <w:pPr>
        <w:ind w:left="720" w:hanging="360"/>
      </w:p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D716153"/>
    <w:multiLevelType w:val="hybridMultilevel"/>
    <w:tmpl w:val="E06AFAEA"/>
    <w:lvl w:ilvl="0" w:tplc="FFFFFFFF">
      <w:start w:val="1"/>
      <w:numFmt w:val="lowerLetter"/>
      <w:lvlText w:val="%1)"/>
      <w:lvlJc w:val="left"/>
      <w:pPr>
        <w:ind w:left="1146" w:hanging="360"/>
      </w:p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0" w15:restartNumberingAfterBreak="0">
    <w:nsid w:val="45493E30"/>
    <w:multiLevelType w:val="hybridMultilevel"/>
    <w:tmpl w:val="E514F698"/>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A084C79"/>
    <w:multiLevelType w:val="hybridMultilevel"/>
    <w:tmpl w:val="FBAA6086"/>
    <w:lvl w:ilvl="0" w:tplc="04090015">
      <w:start w:val="1"/>
      <w:numFmt w:val="upp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076BAF"/>
    <w:multiLevelType w:val="hybridMultilevel"/>
    <w:tmpl w:val="CD5CD2BA"/>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06579A"/>
    <w:multiLevelType w:val="hybridMultilevel"/>
    <w:tmpl w:val="157ED0CE"/>
    <w:lvl w:ilvl="0" w:tplc="5EA6A2CA">
      <w:start w:val="1"/>
      <w:numFmt w:val="decimal"/>
      <w:lvlText w:val="%1."/>
      <w:lvlJc w:val="left"/>
      <w:pPr>
        <w:ind w:left="567" w:hanging="567"/>
      </w:pPr>
      <w:rPr>
        <w:b w:val="0"/>
        <w:bCs w:val="0"/>
      </w:rPr>
    </w:lvl>
    <w:lvl w:ilvl="1" w:tplc="2000001B">
      <w:start w:val="1"/>
      <w:numFmt w:val="lowerRoman"/>
      <w:lvlText w:val="%2."/>
      <w:lvlJc w:val="right"/>
      <w:pPr>
        <w:ind w:left="1440" w:hanging="360"/>
      </w:pPr>
    </w:lvl>
    <w:lvl w:ilvl="2" w:tplc="C7E6423A">
      <w:start w:val="1"/>
      <w:numFmt w:val="lowerLetter"/>
      <w:lvlText w:val="%3)"/>
      <w:lvlJc w:val="left"/>
      <w:pPr>
        <w:ind w:left="2700" w:hanging="72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31" w15:restartNumberingAfterBreak="0">
    <w:nsid w:val="54BB4267"/>
    <w:multiLevelType w:val="multilevel"/>
    <w:tmpl w:val="48289EBE"/>
    <w:lvl w:ilvl="0">
      <w:start w:val="13"/>
      <w:numFmt w:val="decimal"/>
      <w:lvlText w:val="%1"/>
      <w:lvlJc w:val="left"/>
      <w:pPr>
        <w:ind w:left="480" w:hanging="480"/>
      </w:pPr>
      <w:rPr>
        <w:rFonts w:hint="default"/>
        <w:i/>
      </w:rPr>
    </w:lvl>
    <w:lvl w:ilvl="1">
      <w:start w:val="17"/>
      <w:numFmt w:val="decimal"/>
      <w:lvlText w:val="%1.%2"/>
      <w:lvlJc w:val="left"/>
      <w:pPr>
        <w:ind w:left="906" w:hanging="48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2" w15:restartNumberingAfterBreak="0">
    <w:nsid w:val="563162BE"/>
    <w:multiLevelType w:val="hybridMultilevel"/>
    <w:tmpl w:val="A7829FD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B464A90"/>
    <w:multiLevelType w:val="hybridMultilevel"/>
    <w:tmpl w:val="6C5A51F6"/>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5C6E3772"/>
    <w:multiLevelType w:val="hybridMultilevel"/>
    <w:tmpl w:val="BE30B77C"/>
    <w:lvl w:ilvl="0" w:tplc="915CE61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CBF4A36"/>
    <w:multiLevelType w:val="hybridMultilevel"/>
    <w:tmpl w:val="82240AE2"/>
    <w:lvl w:ilvl="0" w:tplc="2000001B">
      <w:start w:val="1"/>
      <w:numFmt w:val="lowerRoman"/>
      <w:lvlText w:val="%1."/>
      <w:lvlJc w:val="righ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FB4A2E"/>
    <w:multiLevelType w:val="hybridMultilevel"/>
    <w:tmpl w:val="329E20D6"/>
    <w:lvl w:ilvl="0" w:tplc="08090013">
      <w:start w:val="1"/>
      <w:numFmt w:val="upperRoman"/>
      <w:lvlText w:val="%1."/>
      <w:lvlJc w:val="right"/>
      <w:pPr>
        <w:ind w:left="720" w:hanging="720"/>
      </w:pPr>
      <w:rPr>
        <w:rFonts w:hint="default"/>
      </w:rPr>
    </w:lvl>
    <w:lvl w:ilvl="1" w:tplc="08090019">
      <w:start w:val="1"/>
      <w:numFmt w:val="lowerLetter"/>
      <w:lvlText w:val="%2."/>
      <w:lvlJc w:val="left"/>
      <w:pPr>
        <w:ind w:left="117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7E75C1"/>
    <w:multiLevelType w:val="hybridMultilevel"/>
    <w:tmpl w:val="5B3C6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1"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57921480">
    <w:abstractNumId w:val="30"/>
  </w:num>
  <w:num w:numId="2" w16cid:durableId="1330258007">
    <w:abstractNumId w:val="23"/>
  </w:num>
  <w:num w:numId="3" w16cid:durableId="216629081">
    <w:abstractNumId w:val="41"/>
  </w:num>
  <w:num w:numId="4" w16cid:durableId="2089496676">
    <w:abstractNumId w:val="22"/>
  </w:num>
  <w:num w:numId="5" w16cid:durableId="995305865">
    <w:abstractNumId w:val="17"/>
  </w:num>
  <w:num w:numId="6" w16cid:durableId="1591543126">
    <w:abstractNumId w:val="11"/>
  </w:num>
  <w:num w:numId="7" w16cid:durableId="1509979557">
    <w:abstractNumId w:val="38"/>
  </w:num>
  <w:num w:numId="8" w16cid:durableId="1284387885">
    <w:abstractNumId w:val="28"/>
  </w:num>
  <w:num w:numId="9" w16cid:durableId="1792672819">
    <w:abstractNumId w:val="21"/>
  </w:num>
  <w:num w:numId="10" w16cid:durableId="1602376025">
    <w:abstractNumId w:val="12"/>
  </w:num>
  <w:num w:numId="11" w16cid:durableId="583103219">
    <w:abstractNumId w:val="0"/>
  </w:num>
  <w:num w:numId="12" w16cid:durableId="764500067">
    <w:abstractNumId w:val="8"/>
  </w:num>
  <w:num w:numId="13" w16cid:durableId="241188056">
    <w:abstractNumId w:val="40"/>
  </w:num>
  <w:num w:numId="14" w16cid:durableId="1744138892">
    <w:abstractNumId w:val="25"/>
  </w:num>
  <w:num w:numId="15" w16cid:durableId="512185356">
    <w:abstractNumId w:val="27"/>
  </w:num>
  <w:num w:numId="16" w16cid:durableId="206646908">
    <w:abstractNumId w:val="9"/>
  </w:num>
  <w:num w:numId="17" w16cid:durableId="309864782">
    <w:abstractNumId w:val="36"/>
  </w:num>
  <w:num w:numId="18" w16cid:durableId="883098549">
    <w:abstractNumId w:val="29"/>
  </w:num>
  <w:num w:numId="19" w16cid:durableId="2095660986">
    <w:abstractNumId w:val="4"/>
  </w:num>
  <w:num w:numId="20" w16cid:durableId="1805348466">
    <w:abstractNumId w:val="31"/>
  </w:num>
  <w:num w:numId="21" w16cid:durableId="486364554">
    <w:abstractNumId w:val="16"/>
  </w:num>
  <w:num w:numId="22" w16cid:durableId="134297909">
    <w:abstractNumId w:val="39"/>
  </w:num>
  <w:num w:numId="23" w16cid:durableId="1884361321">
    <w:abstractNumId w:val="10"/>
  </w:num>
  <w:num w:numId="24" w16cid:durableId="115568267">
    <w:abstractNumId w:val="37"/>
  </w:num>
  <w:num w:numId="25" w16cid:durableId="1783839953">
    <w:abstractNumId w:val="3"/>
  </w:num>
  <w:num w:numId="26" w16cid:durableId="1773745417">
    <w:abstractNumId w:val="35"/>
  </w:num>
  <w:num w:numId="27" w16cid:durableId="1881086450">
    <w:abstractNumId w:val="7"/>
  </w:num>
  <w:num w:numId="28" w16cid:durableId="1787120249">
    <w:abstractNumId w:val="32"/>
  </w:num>
  <w:num w:numId="29" w16cid:durableId="572356404">
    <w:abstractNumId w:val="26"/>
  </w:num>
  <w:num w:numId="30" w16cid:durableId="1459835817">
    <w:abstractNumId w:val="20"/>
  </w:num>
  <w:num w:numId="31" w16cid:durableId="119693128">
    <w:abstractNumId w:val="2"/>
  </w:num>
  <w:num w:numId="32" w16cid:durableId="1216115374">
    <w:abstractNumId w:val="33"/>
  </w:num>
  <w:num w:numId="33" w16cid:durableId="51731291">
    <w:abstractNumId w:val="1"/>
  </w:num>
  <w:num w:numId="34" w16cid:durableId="847061730">
    <w:abstractNumId w:val="34"/>
  </w:num>
  <w:num w:numId="35" w16cid:durableId="95488298">
    <w:abstractNumId w:val="14"/>
  </w:num>
  <w:num w:numId="36" w16cid:durableId="858934841">
    <w:abstractNumId w:val="24"/>
  </w:num>
  <w:num w:numId="37" w16cid:durableId="1347944655">
    <w:abstractNumId w:val="18"/>
  </w:num>
  <w:num w:numId="38" w16cid:durableId="1034237506">
    <w:abstractNumId w:val="5"/>
  </w:num>
  <w:num w:numId="39" w16cid:durableId="895630298">
    <w:abstractNumId w:val="6"/>
  </w:num>
  <w:num w:numId="40" w16cid:durableId="1885672248">
    <w:abstractNumId w:val="19"/>
  </w:num>
  <w:num w:numId="41" w16cid:durableId="580405527">
    <w:abstractNumId w:val="15"/>
  </w:num>
  <w:num w:numId="42" w16cid:durableId="3221227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004F6"/>
    <w:rsid w:val="00000CD9"/>
    <w:rsid w:val="00001B49"/>
    <w:rsid w:val="00007CF9"/>
    <w:rsid w:val="00010F3E"/>
    <w:rsid w:val="00014778"/>
    <w:rsid w:val="000155BD"/>
    <w:rsid w:val="00016FC2"/>
    <w:rsid w:val="00022220"/>
    <w:rsid w:val="000261A4"/>
    <w:rsid w:val="00027CF6"/>
    <w:rsid w:val="000304E8"/>
    <w:rsid w:val="00031A6C"/>
    <w:rsid w:val="00034F7E"/>
    <w:rsid w:val="0003691D"/>
    <w:rsid w:val="0004007A"/>
    <w:rsid w:val="000423F2"/>
    <w:rsid w:val="00043F2B"/>
    <w:rsid w:val="00045525"/>
    <w:rsid w:val="0004741F"/>
    <w:rsid w:val="000478E2"/>
    <w:rsid w:val="00051664"/>
    <w:rsid w:val="0005395E"/>
    <w:rsid w:val="00054B9D"/>
    <w:rsid w:val="0005708D"/>
    <w:rsid w:val="00060DFB"/>
    <w:rsid w:val="00062598"/>
    <w:rsid w:val="00063003"/>
    <w:rsid w:val="000652C6"/>
    <w:rsid w:val="00065CFB"/>
    <w:rsid w:val="00073055"/>
    <w:rsid w:val="000743EB"/>
    <w:rsid w:val="00074546"/>
    <w:rsid w:val="00074983"/>
    <w:rsid w:val="00081147"/>
    <w:rsid w:val="0008510A"/>
    <w:rsid w:val="00085947"/>
    <w:rsid w:val="00085DCF"/>
    <w:rsid w:val="00095818"/>
    <w:rsid w:val="00096032"/>
    <w:rsid w:val="00096E61"/>
    <w:rsid w:val="000A251B"/>
    <w:rsid w:val="000A3FD2"/>
    <w:rsid w:val="000A4833"/>
    <w:rsid w:val="000A52F9"/>
    <w:rsid w:val="000B0742"/>
    <w:rsid w:val="000C0A1F"/>
    <w:rsid w:val="000C2262"/>
    <w:rsid w:val="000D18F4"/>
    <w:rsid w:val="000D2B92"/>
    <w:rsid w:val="000D48DA"/>
    <w:rsid w:val="000D5565"/>
    <w:rsid w:val="000D5F7B"/>
    <w:rsid w:val="000D7A16"/>
    <w:rsid w:val="000E1C27"/>
    <w:rsid w:val="000E28AD"/>
    <w:rsid w:val="000E49AE"/>
    <w:rsid w:val="000F4744"/>
    <w:rsid w:val="000F6B17"/>
    <w:rsid w:val="000F6B3D"/>
    <w:rsid w:val="000F6C99"/>
    <w:rsid w:val="000F7C15"/>
    <w:rsid w:val="00103E83"/>
    <w:rsid w:val="0010425E"/>
    <w:rsid w:val="00104609"/>
    <w:rsid w:val="001067AB"/>
    <w:rsid w:val="00112579"/>
    <w:rsid w:val="00112C8A"/>
    <w:rsid w:val="00113D94"/>
    <w:rsid w:val="00115A91"/>
    <w:rsid w:val="0011629E"/>
    <w:rsid w:val="001169D9"/>
    <w:rsid w:val="00116C03"/>
    <w:rsid w:val="001207B3"/>
    <w:rsid w:val="0012212C"/>
    <w:rsid w:val="00135C20"/>
    <w:rsid w:val="00135D9E"/>
    <w:rsid w:val="00137443"/>
    <w:rsid w:val="00143EB6"/>
    <w:rsid w:val="00143FC2"/>
    <w:rsid w:val="0015231D"/>
    <w:rsid w:val="001625C5"/>
    <w:rsid w:val="001649D4"/>
    <w:rsid w:val="00165C55"/>
    <w:rsid w:val="00167458"/>
    <w:rsid w:val="00171FD7"/>
    <w:rsid w:val="00172D2A"/>
    <w:rsid w:val="00176393"/>
    <w:rsid w:val="00182BA7"/>
    <w:rsid w:val="00191BFA"/>
    <w:rsid w:val="001937DA"/>
    <w:rsid w:val="0019773E"/>
    <w:rsid w:val="001A1FD1"/>
    <w:rsid w:val="001A6A13"/>
    <w:rsid w:val="001B0BE4"/>
    <w:rsid w:val="001B12B6"/>
    <w:rsid w:val="001B2E15"/>
    <w:rsid w:val="001B63C6"/>
    <w:rsid w:val="001B7C41"/>
    <w:rsid w:val="001C1B9C"/>
    <w:rsid w:val="001C303B"/>
    <w:rsid w:val="001C323D"/>
    <w:rsid w:val="001C5C96"/>
    <w:rsid w:val="001C6852"/>
    <w:rsid w:val="001D1B47"/>
    <w:rsid w:val="001D45B8"/>
    <w:rsid w:val="001D533C"/>
    <w:rsid w:val="001E2D46"/>
    <w:rsid w:val="001E54CB"/>
    <w:rsid w:val="001E6DB5"/>
    <w:rsid w:val="001F0A34"/>
    <w:rsid w:val="001F1049"/>
    <w:rsid w:val="001F3996"/>
    <w:rsid w:val="001F4B5E"/>
    <w:rsid w:val="001F56E8"/>
    <w:rsid w:val="001F623A"/>
    <w:rsid w:val="002056C2"/>
    <w:rsid w:val="00205848"/>
    <w:rsid w:val="00206C47"/>
    <w:rsid w:val="00215C30"/>
    <w:rsid w:val="00215CA3"/>
    <w:rsid w:val="00221AE8"/>
    <w:rsid w:val="00222A2A"/>
    <w:rsid w:val="0022319D"/>
    <w:rsid w:val="00224232"/>
    <w:rsid w:val="00226E0B"/>
    <w:rsid w:val="00226FE9"/>
    <w:rsid w:val="00231B4A"/>
    <w:rsid w:val="0023412B"/>
    <w:rsid w:val="0023618C"/>
    <w:rsid w:val="00244FD9"/>
    <w:rsid w:val="00246C89"/>
    <w:rsid w:val="0024750D"/>
    <w:rsid w:val="002507FC"/>
    <w:rsid w:val="00250BB4"/>
    <w:rsid w:val="00250DD7"/>
    <w:rsid w:val="0025186E"/>
    <w:rsid w:val="00256185"/>
    <w:rsid w:val="00257A67"/>
    <w:rsid w:val="0026135E"/>
    <w:rsid w:val="0026187E"/>
    <w:rsid w:val="0026267B"/>
    <w:rsid w:val="00264935"/>
    <w:rsid w:val="00265C7F"/>
    <w:rsid w:val="00271C62"/>
    <w:rsid w:val="00274D35"/>
    <w:rsid w:val="00274F64"/>
    <w:rsid w:val="00281FC6"/>
    <w:rsid w:val="002828D7"/>
    <w:rsid w:val="002834DE"/>
    <w:rsid w:val="002843FE"/>
    <w:rsid w:val="00284E6A"/>
    <w:rsid w:val="00286144"/>
    <w:rsid w:val="00286AA4"/>
    <w:rsid w:val="002942EB"/>
    <w:rsid w:val="002A18E7"/>
    <w:rsid w:val="002A340C"/>
    <w:rsid w:val="002A50FC"/>
    <w:rsid w:val="002A5580"/>
    <w:rsid w:val="002A68AD"/>
    <w:rsid w:val="002A7F1B"/>
    <w:rsid w:val="002B33BE"/>
    <w:rsid w:val="002B602B"/>
    <w:rsid w:val="002B7F3F"/>
    <w:rsid w:val="002C01BA"/>
    <w:rsid w:val="002C236E"/>
    <w:rsid w:val="002C3F1F"/>
    <w:rsid w:val="002C4812"/>
    <w:rsid w:val="002C48CC"/>
    <w:rsid w:val="002D34F4"/>
    <w:rsid w:val="002D36E2"/>
    <w:rsid w:val="002D42D1"/>
    <w:rsid w:val="002D486A"/>
    <w:rsid w:val="002D5744"/>
    <w:rsid w:val="002D597D"/>
    <w:rsid w:val="002D6038"/>
    <w:rsid w:val="002D6297"/>
    <w:rsid w:val="002E0CBC"/>
    <w:rsid w:val="002E1615"/>
    <w:rsid w:val="002E1D4F"/>
    <w:rsid w:val="002E27DF"/>
    <w:rsid w:val="002E35F3"/>
    <w:rsid w:val="002E6C22"/>
    <w:rsid w:val="002F0077"/>
    <w:rsid w:val="002F2584"/>
    <w:rsid w:val="00304458"/>
    <w:rsid w:val="003046F4"/>
    <w:rsid w:val="003061DE"/>
    <w:rsid w:val="003108C6"/>
    <w:rsid w:val="00312C61"/>
    <w:rsid w:val="0031529E"/>
    <w:rsid w:val="0032264B"/>
    <w:rsid w:val="00322F06"/>
    <w:rsid w:val="00330208"/>
    <w:rsid w:val="0033316F"/>
    <w:rsid w:val="0033649D"/>
    <w:rsid w:val="00336E5E"/>
    <w:rsid w:val="00337738"/>
    <w:rsid w:val="00344265"/>
    <w:rsid w:val="00345C5A"/>
    <w:rsid w:val="00346584"/>
    <w:rsid w:val="00347242"/>
    <w:rsid w:val="00350422"/>
    <w:rsid w:val="00350D3C"/>
    <w:rsid w:val="00352BC3"/>
    <w:rsid w:val="00355F2F"/>
    <w:rsid w:val="00356517"/>
    <w:rsid w:val="00363A5F"/>
    <w:rsid w:val="0036523F"/>
    <w:rsid w:val="00371DE2"/>
    <w:rsid w:val="00372F2E"/>
    <w:rsid w:val="00380BB1"/>
    <w:rsid w:val="003838CE"/>
    <w:rsid w:val="00385D9B"/>
    <w:rsid w:val="00391416"/>
    <w:rsid w:val="0039383B"/>
    <w:rsid w:val="003956D0"/>
    <w:rsid w:val="00396FF8"/>
    <w:rsid w:val="003A0763"/>
    <w:rsid w:val="003A0874"/>
    <w:rsid w:val="003B1260"/>
    <w:rsid w:val="003B19E1"/>
    <w:rsid w:val="003B27CC"/>
    <w:rsid w:val="003B3895"/>
    <w:rsid w:val="003B5912"/>
    <w:rsid w:val="003B7FBE"/>
    <w:rsid w:val="003C121C"/>
    <w:rsid w:val="003C1A96"/>
    <w:rsid w:val="003C3D11"/>
    <w:rsid w:val="003C72BC"/>
    <w:rsid w:val="003D5546"/>
    <w:rsid w:val="003D7753"/>
    <w:rsid w:val="003E3742"/>
    <w:rsid w:val="003F3011"/>
    <w:rsid w:val="003F464D"/>
    <w:rsid w:val="003F4A29"/>
    <w:rsid w:val="00401A27"/>
    <w:rsid w:val="004048D6"/>
    <w:rsid w:val="00405B26"/>
    <w:rsid w:val="004063CA"/>
    <w:rsid w:val="00406C0B"/>
    <w:rsid w:val="00414F30"/>
    <w:rsid w:val="00417EAC"/>
    <w:rsid w:val="00422E11"/>
    <w:rsid w:val="00422E57"/>
    <w:rsid w:val="004248AA"/>
    <w:rsid w:val="00424AFD"/>
    <w:rsid w:val="0042595F"/>
    <w:rsid w:val="004269C3"/>
    <w:rsid w:val="0042742F"/>
    <w:rsid w:val="00430BF2"/>
    <w:rsid w:val="004338D2"/>
    <w:rsid w:val="00433F43"/>
    <w:rsid w:val="0043407B"/>
    <w:rsid w:val="004435D8"/>
    <w:rsid w:val="004467A8"/>
    <w:rsid w:val="00447722"/>
    <w:rsid w:val="00452268"/>
    <w:rsid w:val="004562F8"/>
    <w:rsid w:val="0045791B"/>
    <w:rsid w:val="0046001B"/>
    <w:rsid w:val="004623B7"/>
    <w:rsid w:val="004641A5"/>
    <w:rsid w:val="00464894"/>
    <w:rsid w:val="00467876"/>
    <w:rsid w:val="004679B9"/>
    <w:rsid w:val="00471D34"/>
    <w:rsid w:val="00472953"/>
    <w:rsid w:val="0047404E"/>
    <w:rsid w:val="0047696F"/>
    <w:rsid w:val="00477B70"/>
    <w:rsid w:val="0048654C"/>
    <w:rsid w:val="004868C0"/>
    <w:rsid w:val="00490FF8"/>
    <w:rsid w:val="004A2013"/>
    <w:rsid w:val="004A20AE"/>
    <w:rsid w:val="004A2554"/>
    <w:rsid w:val="004A29D1"/>
    <w:rsid w:val="004B016D"/>
    <w:rsid w:val="004B14A8"/>
    <w:rsid w:val="004B199E"/>
    <w:rsid w:val="004B29B4"/>
    <w:rsid w:val="004B68AE"/>
    <w:rsid w:val="004C1F29"/>
    <w:rsid w:val="004C1F2C"/>
    <w:rsid w:val="004C20FF"/>
    <w:rsid w:val="004C2B8F"/>
    <w:rsid w:val="004C3C5F"/>
    <w:rsid w:val="004C4CFF"/>
    <w:rsid w:val="004D030D"/>
    <w:rsid w:val="004D0433"/>
    <w:rsid w:val="004D5D4A"/>
    <w:rsid w:val="004D6800"/>
    <w:rsid w:val="004D6BA2"/>
    <w:rsid w:val="004E2516"/>
    <w:rsid w:val="004E4C54"/>
    <w:rsid w:val="004E54AC"/>
    <w:rsid w:val="004E7193"/>
    <w:rsid w:val="004F08DB"/>
    <w:rsid w:val="004F0AEE"/>
    <w:rsid w:val="004F0EAF"/>
    <w:rsid w:val="004F2AEE"/>
    <w:rsid w:val="004F37D9"/>
    <w:rsid w:val="004F3C00"/>
    <w:rsid w:val="004F7369"/>
    <w:rsid w:val="005046B5"/>
    <w:rsid w:val="005051B6"/>
    <w:rsid w:val="00507A59"/>
    <w:rsid w:val="00511000"/>
    <w:rsid w:val="0051106D"/>
    <w:rsid w:val="005121FC"/>
    <w:rsid w:val="00512D5A"/>
    <w:rsid w:val="00514513"/>
    <w:rsid w:val="00516587"/>
    <w:rsid w:val="005172A4"/>
    <w:rsid w:val="005213DA"/>
    <w:rsid w:val="0052437E"/>
    <w:rsid w:val="00524802"/>
    <w:rsid w:val="0052502A"/>
    <w:rsid w:val="00525B8A"/>
    <w:rsid w:val="00527772"/>
    <w:rsid w:val="00530856"/>
    <w:rsid w:val="00532785"/>
    <w:rsid w:val="00533C9D"/>
    <w:rsid w:val="00534C9F"/>
    <w:rsid w:val="00541E93"/>
    <w:rsid w:val="005457ED"/>
    <w:rsid w:val="0055447B"/>
    <w:rsid w:val="005576EE"/>
    <w:rsid w:val="00560607"/>
    <w:rsid w:val="00561A7B"/>
    <w:rsid w:val="00566780"/>
    <w:rsid w:val="0057101C"/>
    <w:rsid w:val="00572AC9"/>
    <w:rsid w:val="0057336D"/>
    <w:rsid w:val="0057578A"/>
    <w:rsid w:val="00576055"/>
    <w:rsid w:val="005835DC"/>
    <w:rsid w:val="00585016"/>
    <w:rsid w:val="005872F6"/>
    <w:rsid w:val="00590F37"/>
    <w:rsid w:val="005A0362"/>
    <w:rsid w:val="005A0903"/>
    <w:rsid w:val="005A0B04"/>
    <w:rsid w:val="005A12C9"/>
    <w:rsid w:val="005A2CBB"/>
    <w:rsid w:val="005A7ED0"/>
    <w:rsid w:val="005B48C5"/>
    <w:rsid w:val="005B76A2"/>
    <w:rsid w:val="005C166C"/>
    <w:rsid w:val="005C1FD5"/>
    <w:rsid w:val="005C425A"/>
    <w:rsid w:val="005C540A"/>
    <w:rsid w:val="005C648C"/>
    <w:rsid w:val="005C731F"/>
    <w:rsid w:val="005C77FC"/>
    <w:rsid w:val="005D00EE"/>
    <w:rsid w:val="005D4764"/>
    <w:rsid w:val="005E1A0D"/>
    <w:rsid w:val="005E5E85"/>
    <w:rsid w:val="005E5EBA"/>
    <w:rsid w:val="005E605F"/>
    <w:rsid w:val="005E62DB"/>
    <w:rsid w:val="005F2061"/>
    <w:rsid w:val="005F3523"/>
    <w:rsid w:val="005F354D"/>
    <w:rsid w:val="005F7B3E"/>
    <w:rsid w:val="0060059F"/>
    <w:rsid w:val="0060064F"/>
    <w:rsid w:val="0060394C"/>
    <w:rsid w:val="006044EE"/>
    <w:rsid w:val="00607C7B"/>
    <w:rsid w:val="00607E0C"/>
    <w:rsid w:val="00620034"/>
    <w:rsid w:val="006227BD"/>
    <w:rsid w:val="00623CFD"/>
    <w:rsid w:val="00626D8E"/>
    <w:rsid w:val="00627C6E"/>
    <w:rsid w:val="00627D70"/>
    <w:rsid w:val="006307C6"/>
    <w:rsid w:val="00630B8E"/>
    <w:rsid w:val="0063286D"/>
    <w:rsid w:val="00635CDE"/>
    <w:rsid w:val="00640FC4"/>
    <w:rsid w:val="00641BF8"/>
    <w:rsid w:val="00644131"/>
    <w:rsid w:val="00650FB0"/>
    <w:rsid w:val="00651F0C"/>
    <w:rsid w:val="00652C0B"/>
    <w:rsid w:val="00653FB2"/>
    <w:rsid w:val="006540A0"/>
    <w:rsid w:val="00655261"/>
    <w:rsid w:val="0066076D"/>
    <w:rsid w:val="006614FD"/>
    <w:rsid w:val="00661CB0"/>
    <w:rsid w:val="006625C3"/>
    <w:rsid w:val="006802F3"/>
    <w:rsid w:val="0069030D"/>
    <w:rsid w:val="006906A4"/>
    <w:rsid w:val="0069360A"/>
    <w:rsid w:val="006956A4"/>
    <w:rsid w:val="00695756"/>
    <w:rsid w:val="00697232"/>
    <w:rsid w:val="006A0193"/>
    <w:rsid w:val="006A26F2"/>
    <w:rsid w:val="006A7C36"/>
    <w:rsid w:val="006B0385"/>
    <w:rsid w:val="006B5679"/>
    <w:rsid w:val="006B5F4A"/>
    <w:rsid w:val="006B666A"/>
    <w:rsid w:val="006B6FA5"/>
    <w:rsid w:val="006C0C5F"/>
    <w:rsid w:val="006C23EB"/>
    <w:rsid w:val="006D19ED"/>
    <w:rsid w:val="006D5262"/>
    <w:rsid w:val="006D60FC"/>
    <w:rsid w:val="006E0C26"/>
    <w:rsid w:val="006F0927"/>
    <w:rsid w:val="006F26E4"/>
    <w:rsid w:val="00704DEF"/>
    <w:rsid w:val="00711910"/>
    <w:rsid w:val="00715835"/>
    <w:rsid w:val="0071781C"/>
    <w:rsid w:val="00722A3E"/>
    <w:rsid w:val="00722B96"/>
    <w:rsid w:val="00726697"/>
    <w:rsid w:val="00732DBC"/>
    <w:rsid w:val="00733878"/>
    <w:rsid w:val="00742049"/>
    <w:rsid w:val="00743D5C"/>
    <w:rsid w:val="00743F43"/>
    <w:rsid w:val="00744C85"/>
    <w:rsid w:val="00750916"/>
    <w:rsid w:val="00752A14"/>
    <w:rsid w:val="00754438"/>
    <w:rsid w:val="00755CE6"/>
    <w:rsid w:val="007626B8"/>
    <w:rsid w:val="00763135"/>
    <w:rsid w:val="00763277"/>
    <w:rsid w:val="007729EE"/>
    <w:rsid w:val="00777A8E"/>
    <w:rsid w:val="00781310"/>
    <w:rsid w:val="00784082"/>
    <w:rsid w:val="00790172"/>
    <w:rsid w:val="00791152"/>
    <w:rsid w:val="007919C9"/>
    <w:rsid w:val="0079548D"/>
    <w:rsid w:val="00797BF2"/>
    <w:rsid w:val="007A05BE"/>
    <w:rsid w:val="007A1F07"/>
    <w:rsid w:val="007A2AC8"/>
    <w:rsid w:val="007A54D4"/>
    <w:rsid w:val="007A7AC1"/>
    <w:rsid w:val="007B0003"/>
    <w:rsid w:val="007B0300"/>
    <w:rsid w:val="007B1173"/>
    <w:rsid w:val="007B2511"/>
    <w:rsid w:val="007B27EB"/>
    <w:rsid w:val="007B514A"/>
    <w:rsid w:val="007B6076"/>
    <w:rsid w:val="007B6D4C"/>
    <w:rsid w:val="007C0989"/>
    <w:rsid w:val="007C12AC"/>
    <w:rsid w:val="007C1DFC"/>
    <w:rsid w:val="007D1E3C"/>
    <w:rsid w:val="007D4448"/>
    <w:rsid w:val="007D61AA"/>
    <w:rsid w:val="007D6C26"/>
    <w:rsid w:val="007D77D0"/>
    <w:rsid w:val="007E238D"/>
    <w:rsid w:val="007E32B4"/>
    <w:rsid w:val="007E4275"/>
    <w:rsid w:val="007E4CF4"/>
    <w:rsid w:val="007F106F"/>
    <w:rsid w:val="007F1C27"/>
    <w:rsid w:val="007F45CB"/>
    <w:rsid w:val="007F4E51"/>
    <w:rsid w:val="007F6EBD"/>
    <w:rsid w:val="0080118E"/>
    <w:rsid w:val="00801EB1"/>
    <w:rsid w:val="008031FF"/>
    <w:rsid w:val="00803F88"/>
    <w:rsid w:val="00804FA2"/>
    <w:rsid w:val="00805D9C"/>
    <w:rsid w:val="00810DF5"/>
    <w:rsid w:val="0081400C"/>
    <w:rsid w:val="00814830"/>
    <w:rsid w:val="00814D37"/>
    <w:rsid w:val="00817A58"/>
    <w:rsid w:val="00817DBB"/>
    <w:rsid w:val="0082068B"/>
    <w:rsid w:val="00822E98"/>
    <w:rsid w:val="00824C25"/>
    <w:rsid w:val="00825333"/>
    <w:rsid w:val="008260B7"/>
    <w:rsid w:val="00832348"/>
    <w:rsid w:val="0083568A"/>
    <w:rsid w:val="00835D78"/>
    <w:rsid w:val="008360EF"/>
    <w:rsid w:val="008362DD"/>
    <w:rsid w:val="008429F3"/>
    <w:rsid w:val="00842E99"/>
    <w:rsid w:val="00844F23"/>
    <w:rsid w:val="008458EB"/>
    <w:rsid w:val="00845FF1"/>
    <w:rsid w:val="00850047"/>
    <w:rsid w:val="00852F01"/>
    <w:rsid w:val="00853B2C"/>
    <w:rsid w:val="00855CAE"/>
    <w:rsid w:val="008562CA"/>
    <w:rsid w:val="00857DC4"/>
    <w:rsid w:val="00861EAE"/>
    <w:rsid w:val="00863A0E"/>
    <w:rsid w:val="00864464"/>
    <w:rsid w:val="00865667"/>
    <w:rsid w:val="008720C0"/>
    <w:rsid w:val="0087376D"/>
    <w:rsid w:val="00875D5A"/>
    <w:rsid w:val="00875FEB"/>
    <w:rsid w:val="00877954"/>
    <w:rsid w:val="0088027A"/>
    <w:rsid w:val="00882817"/>
    <w:rsid w:val="00883776"/>
    <w:rsid w:val="0088572D"/>
    <w:rsid w:val="00887360"/>
    <w:rsid w:val="00887B81"/>
    <w:rsid w:val="00892403"/>
    <w:rsid w:val="00894AAD"/>
    <w:rsid w:val="00894F38"/>
    <w:rsid w:val="008A5B68"/>
    <w:rsid w:val="008A6844"/>
    <w:rsid w:val="008A6ED0"/>
    <w:rsid w:val="008B012A"/>
    <w:rsid w:val="008B3952"/>
    <w:rsid w:val="008B3CD8"/>
    <w:rsid w:val="008B3E91"/>
    <w:rsid w:val="008B4697"/>
    <w:rsid w:val="008B7AF7"/>
    <w:rsid w:val="008D15B5"/>
    <w:rsid w:val="008D2D66"/>
    <w:rsid w:val="008D2FCA"/>
    <w:rsid w:val="008D3119"/>
    <w:rsid w:val="008D4960"/>
    <w:rsid w:val="008D7252"/>
    <w:rsid w:val="008D758A"/>
    <w:rsid w:val="008D7FB8"/>
    <w:rsid w:val="008E1EA3"/>
    <w:rsid w:val="008E3E7E"/>
    <w:rsid w:val="008F2EF3"/>
    <w:rsid w:val="008F6E8B"/>
    <w:rsid w:val="0090072E"/>
    <w:rsid w:val="009007A2"/>
    <w:rsid w:val="00902EC4"/>
    <w:rsid w:val="00903BFF"/>
    <w:rsid w:val="009052ED"/>
    <w:rsid w:val="00905A1A"/>
    <w:rsid w:val="00905DFB"/>
    <w:rsid w:val="0090612B"/>
    <w:rsid w:val="009070A9"/>
    <w:rsid w:val="00912A09"/>
    <w:rsid w:val="00912FA3"/>
    <w:rsid w:val="0091604E"/>
    <w:rsid w:val="00932B07"/>
    <w:rsid w:val="009403BA"/>
    <w:rsid w:val="00943731"/>
    <w:rsid w:val="0094448C"/>
    <w:rsid w:val="009450A7"/>
    <w:rsid w:val="00947EE1"/>
    <w:rsid w:val="009504E3"/>
    <w:rsid w:val="00951E7F"/>
    <w:rsid w:val="00953A8E"/>
    <w:rsid w:val="00955751"/>
    <w:rsid w:val="00966666"/>
    <w:rsid w:val="00970E49"/>
    <w:rsid w:val="009726D7"/>
    <w:rsid w:val="0097334F"/>
    <w:rsid w:val="00984795"/>
    <w:rsid w:val="00987AF9"/>
    <w:rsid w:val="00987EE2"/>
    <w:rsid w:val="009927AE"/>
    <w:rsid w:val="0099334D"/>
    <w:rsid w:val="00993E2A"/>
    <w:rsid w:val="00995FAB"/>
    <w:rsid w:val="0099704F"/>
    <w:rsid w:val="00997A6D"/>
    <w:rsid w:val="009A012D"/>
    <w:rsid w:val="009A0DD0"/>
    <w:rsid w:val="009A38BA"/>
    <w:rsid w:val="009A40F8"/>
    <w:rsid w:val="009B3834"/>
    <w:rsid w:val="009C19C3"/>
    <w:rsid w:val="009C216A"/>
    <w:rsid w:val="009C2784"/>
    <w:rsid w:val="009C4500"/>
    <w:rsid w:val="009C5C8B"/>
    <w:rsid w:val="009C7B88"/>
    <w:rsid w:val="009C7D7A"/>
    <w:rsid w:val="009D2CA1"/>
    <w:rsid w:val="009E25B2"/>
    <w:rsid w:val="009E4A5B"/>
    <w:rsid w:val="009F185F"/>
    <w:rsid w:val="009F415B"/>
    <w:rsid w:val="009F531F"/>
    <w:rsid w:val="009F5342"/>
    <w:rsid w:val="009F71A9"/>
    <w:rsid w:val="009F7290"/>
    <w:rsid w:val="009F7A08"/>
    <w:rsid w:val="00A024AD"/>
    <w:rsid w:val="00A02624"/>
    <w:rsid w:val="00A06777"/>
    <w:rsid w:val="00A13A89"/>
    <w:rsid w:val="00A147B1"/>
    <w:rsid w:val="00A21B78"/>
    <w:rsid w:val="00A233A5"/>
    <w:rsid w:val="00A258AE"/>
    <w:rsid w:val="00A326CA"/>
    <w:rsid w:val="00A344CB"/>
    <w:rsid w:val="00A3468B"/>
    <w:rsid w:val="00A35530"/>
    <w:rsid w:val="00A40CC0"/>
    <w:rsid w:val="00A42677"/>
    <w:rsid w:val="00A42923"/>
    <w:rsid w:val="00A4525E"/>
    <w:rsid w:val="00A46E8A"/>
    <w:rsid w:val="00A47722"/>
    <w:rsid w:val="00A51B0B"/>
    <w:rsid w:val="00A556FD"/>
    <w:rsid w:val="00A565D4"/>
    <w:rsid w:val="00A57FE6"/>
    <w:rsid w:val="00A60AF9"/>
    <w:rsid w:val="00A6262B"/>
    <w:rsid w:val="00A63314"/>
    <w:rsid w:val="00A646F3"/>
    <w:rsid w:val="00A64734"/>
    <w:rsid w:val="00A64B32"/>
    <w:rsid w:val="00A70A9C"/>
    <w:rsid w:val="00A72A23"/>
    <w:rsid w:val="00A731E5"/>
    <w:rsid w:val="00A77F9A"/>
    <w:rsid w:val="00A80C54"/>
    <w:rsid w:val="00A81FB1"/>
    <w:rsid w:val="00A83834"/>
    <w:rsid w:val="00A867C2"/>
    <w:rsid w:val="00A879DC"/>
    <w:rsid w:val="00A9002B"/>
    <w:rsid w:val="00A92DE5"/>
    <w:rsid w:val="00A93712"/>
    <w:rsid w:val="00A941B6"/>
    <w:rsid w:val="00A954F8"/>
    <w:rsid w:val="00A958A3"/>
    <w:rsid w:val="00AA0CB1"/>
    <w:rsid w:val="00AA5638"/>
    <w:rsid w:val="00AB2B76"/>
    <w:rsid w:val="00AB7215"/>
    <w:rsid w:val="00AB7979"/>
    <w:rsid w:val="00AC3EC0"/>
    <w:rsid w:val="00AC4604"/>
    <w:rsid w:val="00AC59B3"/>
    <w:rsid w:val="00AD0C91"/>
    <w:rsid w:val="00AD1758"/>
    <w:rsid w:val="00AD1E96"/>
    <w:rsid w:val="00AD4F42"/>
    <w:rsid w:val="00AE16B7"/>
    <w:rsid w:val="00AE50D5"/>
    <w:rsid w:val="00AE5B44"/>
    <w:rsid w:val="00AF4821"/>
    <w:rsid w:val="00AF5D14"/>
    <w:rsid w:val="00B043B1"/>
    <w:rsid w:val="00B12BF4"/>
    <w:rsid w:val="00B132C7"/>
    <w:rsid w:val="00B139E0"/>
    <w:rsid w:val="00B13D87"/>
    <w:rsid w:val="00B152E8"/>
    <w:rsid w:val="00B15952"/>
    <w:rsid w:val="00B215D7"/>
    <w:rsid w:val="00B24382"/>
    <w:rsid w:val="00B26114"/>
    <w:rsid w:val="00B308DB"/>
    <w:rsid w:val="00B30D80"/>
    <w:rsid w:val="00B33169"/>
    <w:rsid w:val="00B3358E"/>
    <w:rsid w:val="00B4023C"/>
    <w:rsid w:val="00B4055F"/>
    <w:rsid w:val="00B43FA1"/>
    <w:rsid w:val="00B44D2D"/>
    <w:rsid w:val="00B46488"/>
    <w:rsid w:val="00B51A93"/>
    <w:rsid w:val="00B66044"/>
    <w:rsid w:val="00B7199A"/>
    <w:rsid w:val="00B72803"/>
    <w:rsid w:val="00B73DD0"/>
    <w:rsid w:val="00B749BE"/>
    <w:rsid w:val="00B84094"/>
    <w:rsid w:val="00B85E6D"/>
    <w:rsid w:val="00B9402D"/>
    <w:rsid w:val="00B97DB8"/>
    <w:rsid w:val="00BA0DC1"/>
    <w:rsid w:val="00BA4FE0"/>
    <w:rsid w:val="00BA628F"/>
    <w:rsid w:val="00BA6D33"/>
    <w:rsid w:val="00BA6DD1"/>
    <w:rsid w:val="00BB330D"/>
    <w:rsid w:val="00BB3AEF"/>
    <w:rsid w:val="00BB6CBC"/>
    <w:rsid w:val="00BB76D0"/>
    <w:rsid w:val="00BC1880"/>
    <w:rsid w:val="00BC2D68"/>
    <w:rsid w:val="00BC3364"/>
    <w:rsid w:val="00BC347A"/>
    <w:rsid w:val="00BC5E4A"/>
    <w:rsid w:val="00BD3025"/>
    <w:rsid w:val="00BD7A99"/>
    <w:rsid w:val="00BE0CA7"/>
    <w:rsid w:val="00BE345E"/>
    <w:rsid w:val="00BE7C6B"/>
    <w:rsid w:val="00BF0E93"/>
    <w:rsid w:val="00BF51F0"/>
    <w:rsid w:val="00BF5CBF"/>
    <w:rsid w:val="00BF72C2"/>
    <w:rsid w:val="00BF794F"/>
    <w:rsid w:val="00C01159"/>
    <w:rsid w:val="00C01943"/>
    <w:rsid w:val="00C12815"/>
    <w:rsid w:val="00C1444F"/>
    <w:rsid w:val="00C15C2A"/>
    <w:rsid w:val="00C2273D"/>
    <w:rsid w:val="00C23D2E"/>
    <w:rsid w:val="00C2592F"/>
    <w:rsid w:val="00C32BA8"/>
    <w:rsid w:val="00C3340D"/>
    <w:rsid w:val="00C37847"/>
    <w:rsid w:val="00C41B29"/>
    <w:rsid w:val="00C46AC7"/>
    <w:rsid w:val="00C51531"/>
    <w:rsid w:val="00C515BD"/>
    <w:rsid w:val="00C55311"/>
    <w:rsid w:val="00C57A28"/>
    <w:rsid w:val="00C6402A"/>
    <w:rsid w:val="00C64068"/>
    <w:rsid w:val="00C65A31"/>
    <w:rsid w:val="00C66370"/>
    <w:rsid w:val="00C75625"/>
    <w:rsid w:val="00C80535"/>
    <w:rsid w:val="00C81E59"/>
    <w:rsid w:val="00C82355"/>
    <w:rsid w:val="00C84580"/>
    <w:rsid w:val="00C935BA"/>
    <w:rsid w:val="00C936C1"/>
    <w:rsid w:val="00CA25B2"/>
    <w:rsid w:val="00CA4099"/>
    <w:rsid w:val="00CA5AAB"/>
    <w:rsid w:val="00CB0034"/>
    <w:rsid w:val="00CB1354"/>
    <w:rsid w:val="00CB1D0F"/>
    <w:rsid w:val="00CB1F80"/>
    <w:rsid w:val="00CB4E16"/>
    <w:rsid w:val="00CB4F26"/>
    <w:rsid w:val="00CB655F"/>
    <w:rsid w:val="00CC3ADA"/>
    <w:rsid w:val="00CC72EA"/>
    <w:rsid w:val="00CD09DE"/>
    <w:rsid w:val="00CD1333"/>
    <w:rsid w:val="00CD174B"/>
    <w:rsid w:val="00CD238F"/>
    <w:rsid w:val="00CD6D3A"/>
    <w:rsid w:val="00CE4132"/>
    <w:rsid w:val="00CF2553"/>
    <w:rsid w:val="00D025CB"/>
    <w:rsid w:val="00D04175"/>
    <w:rsid w:val="00D0479D"/>
    <w:rsid w:val="00D10D1D"/>
    <w:rsid w:val="00D151C6"/>
    <w:rsid w:val="00D15371"/>
    <w:rsid w:val="00D225F6"/>
    <w:rsid w:val="00D2265A"/>
    <w:rsid w:val="00D2300A"/>
    <w:rsid w:val="00D23DF9"/>
    <w:rsid w:val="00D2477E"/>
    <w:rsid w:val="00D24945"/>
    <w:rsid w:val="00D26DD6"/>
    <w:rsid w:val="00D27C81"/>
    <w:rsid w:val="00D3197C"/>
    <w:rsid w:val="00D352E2"/>
    <w:rsid w:val="00D420DF"/>
    <w:rsid w:val="00D42E54"/>
    <w:rsid w:val="00D515F5"/>
    <w:rsid w:val="00D5397B"/>
    <w:rsid w:val="00D5764B"/>
    <w:rsid w:val="00D57BB1"/>
    <w:rsid w:val="00D57D2B"/>
    <w:rsid w:val="00D57F42"/>
    <w:rsid w:val="00D60941"/>
    <w:rsid w:val="00D626F2"/>
    <w:rsid w:val="00D63198"/>
    <w:rsid w:val="00D6324F"/>
    <w:rsid w:val="00D660B3"/>
    <w:rsid w:val="00D74C7E"/>
    <w:rsid w:val="00D8026F"/>
    <w:rsid w:val="00D80375"/>
    <w:rsid w:val="00D854D2"/>
    <w:rsid w:val="00D8705A"/>
    <w:rsid w:val="00D90612"/>
    <w:rsid w:val="00D93775"/>
    <w:rsid w:val="00D93792"/>
    <w:rsid w:val="00D94C6F"/>
    <w:rsid w:val="00D96138"/>
    <w:rsid w:val="00DA0919"/>
    <w:rsid w:val="00DA097A"/>
    <w:rsid w:val="00DA207A"/>
    <w:rsid w:val="00DA23F3"/>
    <w:rsid w:val="00DA75DA"/>
    <w:rsid w:val="00DB0315"/>
    <w:rsid w:val="00DB3A37"/>
    <w:rsid w:val="00DB3D1A"/>
    <w:rsid w:val="00DB4110"/>
    <w:rsid w:val="00DB5F96"/>
    <w:rsid w:val="00DB7610"/>
    <w:rsid w:val="00DB7DF9"/>
    <w:rsid w:val="00DC2819"/>
    <w:rsid w:val="00DC3998"/>
    <w:rsid w:val="00DC66FD"/>
    <w:rsid w:val="00DC7969"/>
    <w:rsid w:val="00DD3428"/>
    <w:rsid w:val="00DD3C19"/>
    <w:rsid w:val="00DD54BF"/>
    <w:rsid w:val="00DD5B36"/>
    <w:rsid w:val="00DE06DD"/>
    <w:rsid w:val="00DE268B"/>
    <w:rsid w:val="00DE2C83"/>
    <w:rsid w:val="00DE4137"/>
    <w:rsid w:val="00DE4C24"/>
    <w:rsid w:val="00DF1FA4"/>
    <w:rsid w:val="00DF29F4"/>
    <w:rsid w:val="00DF3849"/>
    <w:rsid w:val="00DF535A"/>
    <w:rsid w:val="00DF590B"/>
    <w:rsid w:val="00E042B7"/>
    <w:rsid w:val="00E05BE7"/>
    <w:rsid w:val="00E0756D"/>
    <w:rsid w:val="00E1126E"/>
    <w:rsid w:val="00E134F3"/>
    <w:rsid w:val="00E14A38"/>
    <w:rsid w:val="00E16468"/>
    <w:rsid w:val="00E227EC"/>
    <w:rsid w:val="00E22FAE"/>
    <w:rsid w:val="00E27FEA"/>
    <w:rsid w:val="00E30FB8"/>
    <w:rsid w:val="00E33C20"/>
    <w:rsid w:val="00E36A7F"/>
    <w:rsid w:val="00E379AA"/>
    <w:rsid w:val="00E37BFA"/>
    <w:rsid w:val="00E40DD4"/>
    <w:rsid w:val="00E42FD5"/>
    <w:rsid w:val="00E4303D"/>
    <w:rsid w:val="00E43261"/>
    <w:rsid w:val="00E43750"/>
    <w:rsid w:val="00E515AC"/>
    <w:rsid w:val="00E51ABC"/>
    <w:rsid w:val="00E5551C"/>
    <w:rsid w:val="00E574E0"/>
    <w:rsid w:val="00E60269"/>
    <w:rsid w:val="00E61C79"/>
    <w:rsid w:val="00E62420"/>
    <w:rsid w:val="00E74650"/>
    <w:rsid w:val="00E74E7F"/>
    <w:rsid w:val="00E8053B"/>
    <w:rsid w:val="00E83670"/>
    <w:rsid w:val="00E847C4"/>
    <w:rsid w:val="00E8531F"/>
    <w:rsid w:val="00E86807"/>
    <w:rsid w:val="00E86AE1"/>
    <w:rsid w:val="00E87FE3"/>
    <w:rsid w:val="00E90496"/>
    <w:rsid w:val="00E96BF2"/>
    <w:rsid w:val="00EA2D4A"/>
    <w:rsid w:val="00EB03D2"/>
    <w:rsid w:val="00EB09D9"/>
    <w:rsid w:val="00EB2DEC"/>
    <w:rsid w:val="00EB4C5A"/>
    <w:rsid w:val="00EB4EB5"/>
    <w:rsid w:val="00EB6B4E"/>
    <w:rsid w:val="00EB6C28"/>
    <w:rsid w:val="00EC1932"/>
    <w:rsid w:val="00EC2468"/>
    <w:rsid w:val="00EC2B37"/>
    <w:rsid w:val="00EC6D70"/>
    <w:rsid w:val="00EC768E"/>
    <w:rsid w:val="00ED09AD"/>
    <w:rsid w:val="00ED111A"/>
    <w:rsid w:val="00ED2D29"/>
    <w:rsid w:val="00ED7E84"/>
    <w:rsid w:val="00EE0F97"/>
    <w:rsid w:val="00EE157C"/>
    <w:rsid w:val="00EE2001"/>
    <w:rsid w:val="00EE219E"/>
    <w:rsid w:val="00EE3023"/>
    <w:rsid w:val="00EE48E0"/>
    <w:rsid w:val="00EF2961"/>
    <w:rsid w:val="00EF62D0"/>
    <w:rsid w:val="00EF6743"/>
    <w:rsid w:val="00F01E83"/>
    <w:rsid w:val="00F042DB"/>
    <w:rsid w:val="00F10482"/>
    <w:rsid w:val="00F114CE"/>
    <w:rsid w:val="00F12483"/>
    <w:rsid w:val="00F13E42"/>
    <w:rsid w:val="00F15B0B"/>
    <w:rsid w:val="00F206E7"/>
    <w:rsid w:val="00F20CF8"/>
    <w:rsid w:val="00F21033"/>
    <w:rsid w:val="00F23312"/>
    <w:rsid w:val="00F244FD"/>
    <w:rsid w:val="00F2668B"/>
    <w:rsid w:val="00F27929"/>
    <w:rsid w:val="00F3084F"/>
    <w:rsid w:val="00F3393B"/>
    <w:rsid w:val="00F36A9F"/>
    <w:rsid w:val="00F372B5"/>
    <w:rsid w:val="00F407A5"/>
    <w:rsid w:val="00F4206A"/>
    <w:rsid w:val="00F511D5"/>
    <w:rsid w:val="00F54E90"/>
    <w:rsid w:val="00F55E29"/>
    <w:rsid w:val="00F65ACC"/>
    <w:rsid w:val="00F779CA"/>
    <w:rsid w:val="00F80AFC"/>
    <w:rsid w:val="00F80B4D"/>
    <w:rsid w:val="00F82174"/>
    <w:rsid w:val="00F83899"/>
    <w:rsid w:val="00F842EE"/>
    <w:rsid w:val="00F84B03"/>
    <w:rsid w:val="00F90FEF"/>
    <w:rsid w:val="00F93232"/>
    <w:rsid w:val="00FA1EF7"/>
    <w:rsid w:val="00FA4626"/>
    <w:rsid w:val="00FA4862"/>
    <w:rsid w:val="00FA690E"/>
    <w:rsid w:val="00FB3569"/>
    <w:rsid w:val="00FB35BA"/>
    <w:rsid w:val="00FB4F7A"/>
    <w:rsid w:val="00FB77E7"/>
    <w:rsid w:val="00FC0061"/>
    <w:rsid w:val="00FC4EC3"/>
    <w:rsid w:val="00FC4ECE"/>
    <w:rsid w:val="00FC58A0"/>
    <w:rsid w:val="00FC641D"/>
    <w:rsid w:val="00FC6FED"/>
    <w:rsid w:val="00FD24CB"/>
    <w:rsid w:val="00FD3471"/>
    <w:rsid w:val="00FE12E6"/>
    <w:rsid w:val="00FE2EF8"/>
    <w:rsid w:val="00FF7297"/>
    <w:rsid w:val="03AE1A0B"/>
    <w:rsid w:val="083BBFAC"/>
    <w:rsid w:val="086EB3E5"/>
    <w:rsid w:val="17D5B8DD"/>
    <w:rsid w:val="21427B07"/>
    <w:rsid w:val="34D37AFF"/>
    <w:rsid w:val="366F6D03"/>
    <w:rsid w:val="45058054"/>
    <w:rsid w:val="475ED1F6"/>
    <w:rsid w:val="4DF459D9"/>
    <w:rsid w:val="6E4B31ED"/>
    <w:rsid w:val="72054D54"/>
    <w:rsid w:val="7A1DD0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D2536"/>
  <w15:chartTrackingRefBased/>
  <w15:docId w15:val="{13700B91-3479-4687-8795-DA770906E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0F8"/>
    <w:rPr>
      <w:rFonts w:ascii="Arial" w:hAnsi="Arial"/>
    </w:rPr>
  </w:style>
  <w:style w:type="paragraph" w:styleId="Heading1">
    <w:name w:val="heading 1"/>
    <w:basedOn w:val="Normal"/>
    <w:next w:val="Normal"/>
    <w:link w:val="Heading1Char"/>
    <w:uiPriority w:val="9"/>
    <w:qFormat/>
    <w:rsid w:val="00E30FB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character" w:customStyle="1" w:styleId="Heading1Char">
    <w:name w:val="Heading 1 Char"/>
    <w:basedOn w:val="DefaultParagraphFont"/>
    <w:link w:val="Heading1"/>
    <w:uiPriority w:val="9"/>
    <w:rsid w:val="00E30FB8"/>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A46E8A"/>
    <w:rPr>
      <w:sz w:val="16"/>
      <w:szCs w:val="16"/>
    </w:rPr>
  </w:style>
  <w:style w:type="paragraph" w:styleId="CommentText">
    <w:name w:val="annotation text"/>
    <w:basedOn w:val="Normal"/>
    <w:link w:val="CommentTextChar"/>
    <w:uiPriority w:val="99"/>
    <w:unhideWhenUsed/>
    <w:rsid w:val="00A46E8A"/>
    <w:rPr>
      <w:sz w:val="20"/>
      <w:szCs w:val="20"/>
    </w:rPr>
  </w:style>
  <w:style w:type="character" w:customStyle="1" w:styleId="CommentTextChar">
    <w:name w:val="Comment Text Char"/>
    <w:basedOn w:val="DefaultParagraphFont"/>
    <w:link w:val="CommentText"/>
    <w:uiPriority w:val="99"/>
    <w:rsid w:val="00A46E8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46E8A"/>
    <w:rPr>
      <w:b/>
      <w:bCs/>
    </w:rPr>
  </w:style>
  <w:style w:type="character" w:customStyle="1" w:styleId="CommentSubjectChar">
    <w:name w:val="Comment Subject Char"/>
    <w:basedOn w:val="CommentTextChar"/>
    <w:link w:val="CommentSubject"/>
    <w:uiPriority w:val="99"/>
    <w:semiHidden/>
    <w:rsid w:val="00A46E8A"/>
    <w:rPr>
      <w:rFonts w:ascii="Arial" w:hAnsi="Arial"/>
      <w:b/>
      <w:bCs/>
      <w:sz w:val="20"/>
      <w:szCs w:val="20"/>
    </w:rPr>
  </w:style>
  <w:style w:type="table" w:styleId="TableGrid">
    <w:name w:val="Table Grid"/>
    <w:basedOn w:val="TableNormal"/>
    <w:uiPriority w:val="59"/>
    <w:rsid w:val="00B04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0300"/>
    <w:rPr>
      <w:rFonts w:ascii="Arial" w:hAnsi="Arial"/>
    </w:rPr>
  </w:style>
  <w:style w:type="character" w:styleId="Mention">
    <w:name w:val="Mention"/>
    <w:basedOn w:val="DefaultParagraphFont"/>
    <w:uiPriority w:val="99"/>
    <w:unhideWhenUsed/>
    <w:rsid w:val="0097334F"/>
    <w:rPr>
      <w:color w:val="2B579A"/>
      <w:shd w:val="clear" w:color="auto" w:fill="E1DFDD"/>
    </w:rPr>
  </w:style>
  <w:style w:type="character" w:styleId="FollowedHyperlink">
    <w:name w:val="FollowedHyperlink"/>
    <w:basedOn w:val="DefaultParagraphFont"/>
    <w:uiPriority w:val="99"/>
    <w:semiHidden/>
    <w:unhideWhenUsed/>
    <w:rsid w:val="00E36A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cms.int/fr/node/25345"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SharedWithUsers xmlns="c15478a5-0be8-4f5d-8383-b307d5ba8bf6">
      <UserInfo>
        <DisplayName>Catherine Brueckner</DisplayName>
        <AccountId>12</AccountId>
        <AccountType/>
      </UserInfo>
      <UserInfo>
        <DisplayName>System Account</DisplayName>
        <AccountId>1073741823</AccountId>
        <AccountType/>
      </UserInfo>
      <UserInfo>
        <DisplayName>Thilan Mannan(Affiliate)</DisplayName>
        <AccountId>78</AccountId>
        <AccountType/>
      </UserInfo>
    </SharedWithUsers>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66929-160B-45B0-8DCA-4CE74A4326EB}">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562BBDBA-BDBC-427E-B3C5-FB96061AE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05066A-53E2-4B40-AB09-EFC4BAF8D3EF}">
  <ds:schemaRefs>
    <ds:schemaRef ds:uri="http://schemas.microsoft.com/sharepoint/v3/contenttype/forms"/>
  </ds:schemaRefs>
</ds:datastoreItem>
</file>

<file path=customXml/itemProps4.xml><?xml version="1.0" encoding="utf-8"?>
<ds:datastoreItem xmlns:ds="http://schemas.openxmlformats.org/officeDocument/2006/customXml" ds:itemID="{C3EA238C-5968-4FCC-AFC1-1F345DC9B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2885</Words>
  <Characters>16447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UNEP/CMS Secretariat</dc:creator>
  <cp:keywords/>
  <dc:description/>
  <cp:lastModifiedBy>Catherine Brueckner</cp:lastModifiedBy>
  <cp:revision>11</cp:revision>
  <cp:lastPrinted>2019-12-07T23:21:00Z</cp:lastPrinted>
  <dcterms:created xsi:type="dcterms:W3CDTF">2024-08-08T07:34:00Z</dcterms:created>
  <dcterms:modified xsi:type="dcterms:W3CDTF">2024-08-08T07:39:00Z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TaxKeyword">
    <vt:lpwstr/>
  </property>
  <property fmtid="{D5CDD505-2E9C-101B-9397-08002B2CF9AE}" pid="5" name="MediaServiceImageTags">
    <vt:lpwstr/>
  </property>
</Properties>
</file>