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74A18943" w:rsidR="004D2917" w:rsidRPr="00A51E6E" w:rsidRDefault="004D2917" w:rsidP="004D2917">
      <w:pPr>
        <w:spacing w:before="120"/>
        <w:jc w:val="right"/>
        <w:rPr>
          <w:rFonts w:cs="Arial"/>
        </w:rPr>
      </w:pPr>
      <w:r w:rsidRPr="00A51E6E">
        <w:rPr>
          <w:rFonts w:cs="Arial"/>
        </w:rPr>
        <w:t>UNEP/CMS/ScC-SC</w:t>
      </w:r>
      <w:r w:rsidR="0019487A" w:rsidRPr="00A51E6E">
        <w:rPr>
          <w:rFonts w:cs="Arial"/>
        </w:rPr>
        <w:t>7</w:t>
      </w:r>
      <w:r w:rsidRPr="00A51E6E">
        <w:rPr>
          <w:rFonts w:cs="Arial"/>
        </w:rPr>
        <w:t>/Doc.</w:t>
      </w:r>
      <w:r w:rsidR="00686C3A" w:rsidRPr="00A51E6E">
        <w:rPr>
          <w:rFonts w:cs="Arial"/>
        </w:rPr>
        <w:t>4.1</w:t>
      </w:r>
      <w:r w:rsidR="00A51E6E" w:rsidRPr="00A51E6E">
        <w:rPr>
          <w:rFonts w:cs="Arial"/>
        </w:rPr>
        <w:t>/Rev</w:t>
      </w:r>
      <w:r w:rsidR="00A51E6E">
        <w:rPr>
          <w:rFonts w:cs="Arial"/>
        </w:rPr>
        <w:t>.1</w:t>
      </w:r>
    </w:p>
    <w:p w14:paraId="0FAA403D" w14:textId="77777777" w:rsidR="004D2917" w:rsidRPr="00A51E6E" w:rsidRDefault="004D2917" w:rsidP="004D2917">
      <w:pPr>
        <w:rPr>
          <w:rFonts w:cs="Arial"/>
        </w:rPr>
      </w:pPr>
    </w:p>
    <w:p w14:paraId="116F0CED" w14:textId="77777777" w:rsidR="004D2917" w:rsidRPr="00A51E6E" w:rsidRDefault="004D2917" w:rsidP="004D2917">
      <w:pPr>
        <w:rPr>
          <w:rFonts w:cs="Arial"/>
        </w:rPr>
      </w:pPr>
    </w:p>
    <w:p w14:paraId="4C81D7A3" w14:textId="77777777" w:rsidR="00686C3A" w:rsidRPr="008378E7" w:rsidRDefault="00686C3A" w:rsidP="00686C3A">
      <w:pPr>
        <w:pStyle w:val="Heading2"/>
        <w:keepNext w:val="0"/>
        <w:spacing w:after="120"/>
        <w:ind w:left="-86" w:right="-360"/>
        <w:rPr>
          <w:rFonts w:ascii="Arial" w:hAnsi="Arial" w:cs="Arial"/>
          <w:szCs w:val="22"/>
          <w:lang w:val="es-ES"/>
        </w:rPr>
      </w:pPr>
      <w:r w:rsidRPr="009A4A18">
        <w:rPr>
          <w:rFonts w:ascii="Arial" w:hAnsi="Arial" w:cs="Arial"/>
          <w:szCs w:val="22"/>
          <w:lang w:val="es-ES"/>
        </w:rPr>
        <w:t>ÁREAS TEMÁTICAS DE LOS CONSEJEROS DESIGNADOS POR LA COP</w:t>
      </w:r>
    </w:p>
    <w:p w14:paraId="386D7C92" w14:textId="3103EA6B" w:rsidR="000A0BCF" w:rsidRPr="000A0BCF" w:rsidRDefault="00686C3A" w:rsidP="00686C3A">
      <w:pPr>
        <w:jc w:val="center"/>
        <w:rPr>
          <w:rFonts w:cs="Arial"/>
          <w:lang w:val="es-ES"/>
        </w:rPr>
      </w:pPr>
      <w:r w:rsidRPr="008378E7">
        <w:rPr>
          <w:rFonts w:cs="Arial"/>
          <w:i/>
          <w:lang w:val="es-ES"/>
        </w:rPr>
        <w:t>(Preparado por la Secretaría)</w:t>
      </w:r>
    </w:p>
    <w:p w14:paraId="5B50CB13" w14:textId="66E65E73" w:rsidR="000A0BCF" w:rsidRPr="000A0BCF" w:rsidRDefault="000A0BCF" w:rsidP="000A0BCF">
      <w:pPr>
        <w:jc w:val="both"/>
        <w:rPr>
          <w:rFonts w:cs="Arial"/>
          <w:lang w:val="es-ES"/>
        </w:rPr>
      </w:pPr>
    </w:p>
    <w:p w14:paraId="60E5ABDC" w14:textId="2EC23C98" w:rsidR="000A0BCF" w:rsidRDefault="00FA6DEF">
      <w:pPr>
        <w:rPr>
          <w:rFonts w:cs="Arial"/>
          <w:lang w:val="es-ES"/>
        </w:rPr>
      </w:pPr>
      <w:r w:rsidRPr="000A0BCF">
        <w:rPr>
          <w:rFonts w:cs="Arial"/>
          <w:noProof/>
        </w:rPr>
        <mc:AlternateContent>
          <mc:Choice Requires="wps">
            <w:drawing>
              <wp:anchor distT="0" distB="0" distL="114300" distR="114300" simplePos="0" relativeHeight="251659264" behindDoc="1" locked="0" layoutInCell="1" allowOverlap="1" wp14:anchorId="6A457159" wp14:editId="5F1488B3">
                <wp:simplePos x="0" y="0"/>
                <wp:positionH relativeFrom="margin">
                  <wp:posOffset>1000125</wp:posOffset>
                </wp:positionH>
                <wp:positionV relativeFrom="margin">
                  <wp:posOffset>2008505</wp:posOffset>
                </wp:positionV>
                <wp:extent cx="4152900" cy="2867025"/>
                <wp:effectExtent l="0" t="0" r="19050"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867025"/>
                        </a:xfrm>
                        <a:prstGeom prst="rect">
                          <a:avLst/>
                        </a:prstGeom>
                        <a:solidFill>
                          <a:srgbClr val="FFFFFF"/>
                        </a:solidFill>
                        <a:ln w="3175">
                          <a:solidFill>
                            <a:srgbClr val="000000"/>
                          </a:solidFill>
                          <a:miter lim="800000"/>
                          <a:headEnd/>
                          <a:tailEnd/>
                        </a:ln>
                      </wps:spPr>
                      <wps:txbx>
                        <w:txbxContent>
                          <w:p w14:paraId="1FAF7610" w14:textId="3E99C724" w:rsidR="000A0BCF" w:rsidRPr="007B4E7D" w:rsidRDefault="000A0BCF" w:rsidP="000A0BCF">
                            <w:pPr>
                              <w:rPr>
                                <w:rFonts w:cs="Arial"/>
                                <w:lang w:val="es-ES"/>
                              </w:rPr>
                            </w:pPr>
                            <w:r w:rsidRPr="007B4E7D">
                              <w:rPr>
                                <w:rFonts w:cs="Arial"/>
                                <w:lang w:val="es-ES"/>
                              </w:rPr>
                              <w:t>Resumen:</w:t>
                            </w:r>
                          </w:p>
                          <w:p w14:paraId="2950F5A4" w14:textId="77777777" w:rsidR="000A0BCF" w:rsidRPr="007B4E7D" w:rsidRDefault="000A0BCF" w:rsidP="000A0BCF">
                            <w:pPr>
                              <w:rPr>
                                <w:rFonts w:cs="Arial"/>
                                <w:lang w:val="es-ES"/>
                              </w:rPr>
                            </w:pPr>
                          </w:p>
                          <w:p w14:paraId="59EF1AC1" w14:textId="77777777" w:rsidR="007B4E7D" w:rsidRPr="008378E7" w:rsidRDefault="007B4E7D" w:rsidP="007B4E7D">
                            <w:pPr>
                              <w:jc w:val="both"/>
                              <w:rPr>
                                <w:rFonts w:cs="Arial"/>
                                <w:lang w:val="es-ES"/>
                              </w:rPr>
                            </w:pPr>
                            <w:r w:rsidRPr="008378E7">
                              <w:rPr>
                                <w:rFonts w:cs="Arial"/>
                                <w:lang w:val="es-ES"/>
                              </w:rPr>
                              <w:t xml:space="preserve">La Decisión 14.5 solicita al Consejo Científico, con el apoyo de la Secretaría, revisar las áreas temáticas de los </w:t>
                            </w:r>
                            <w:proofErr w:type="gramStart"/>
                            <w:r w:rsidRPr="008378E7">
                              <w:rPr>
                                <w:rFonts w:cs="Arial"/>
                                <w:lang w:val="es-ES"/>
                              </w:rPr>
                              <w:t>Consejeros</w:t>
                            </w:r>
                            <w:proofErr w:type="gramEnd"/>
                            <w:r w:rsidRPr="008378E7">
                              <w:rPr>
                                <w:rFonts w:cs="Arial"/>
                                <w:lang w:val="es-ES"/>
                              </w:rPr>
                              <w:t xml:space="preserve"> designados por la COP existentes y proponer a la COP15 cualquier cambio para el período subsiguiente entre la COP15 y la COP17. El párrafo 10 de la Resolución 12.4 (Rev.COP14), fomenta la participación de los </w:t>
                            </w:r>
                            <w:proofErr w:type="gramStart"/>
                            <w:r w:rsidRPr="008378E7">
                              <w:rPr>
                                <w:rFonts w:cs="Arial"/>
                                <w:lang w:val="es-ES"/>
                              </w:rPr>
                              <w:t>Consejeros</w:t>
                            </w:r>
                            <w:proofErr w:type="gramEnd"/>
                            <w:r w:rsidRPr="008378E7">
                              <w:rPr>
                                <w:rFonts w:cs="Arial"/>
                                <w:lang w:val="es-ES"/>
                              </w:rPr>
                              <w:t xml:space="preserve"> designados por las Partes que no son actualmente miembros del Comité del Período de Sesiones en el trabajo del Consejo Científico.</w:t>
                            </w:r>
                          </w:p>
                          <w:p w14:paraId="44E2328F" w14:textId="77777777" w:rsidR="007B4E7D" w:rsidRPr="008378E7" w:rsidRDefault="007B4E7D" w:rsidP="007B4E7D">
                            <w:pPr>
                              <w:jc w:val="both"/>
                              <w:rPr>
                                <w:rFonts w:cs="Arial"/>
                                <w:lang w:val="es-ES"/>
                              </w:rPr>
                            </w:pPr>
                          </w:p>
                          <w:p w14:paraId="34BA7217" w14:textId="77777777" w:rsidR="007B4E7D" w:rsidRPr="008378E7" w:rsidRDefault="007B4E7D" w:rsidP="007B4E7D">
                            <w:pPr>
                              <w:jc w:val="both"/>
                              <w:rPr>
                                <w:rFonts w:cs="Arial"/>
                                <w:lang w:val="es-ES"/>
                              </w:rPr>
                            </w:pPr>
                            <w:r w:rsidRPr="008378E7">
                              <w:rPr>
                                <w:rFonts w:cs="Arial"/>
                                <w:lang w:val="es-ES"/>
                              </w:rPr>
                              <w:t>Este documento propone un camino a seguir para implementar esta Decisión y Resolución.</w:t>
                            </w:r>
                          </w:p>
                          <w:p w14:paraId="21EC6667" w14:textId="77777777" w:rsidR="000A0BCF" w:rsidRDefault="000A0BCF" w:rsidP="000A0BCF">
                            <w:pPr>
                              <w:rPr>
                                <w:rFonts w:cs="Arial"/>
                                <w:lang w:val="es-ES"/>
                              </w:rPr>
                            </w:pPr>
                          </w:p>
                          <w:p w14:paraId="2649E765" w14:textId="1198FCDC" w:rsidR="00505C02" w:rsidRPr="007B4E7D" w:rsidRDefault="00505C02" w:rsidP="00505C02">
                            <w:pPr>
                              <w:jc w:val="both"/>
                              <w:rPr>
                                <w:rFonts w:cs="Arial"/>
                                <w:lang w:val="es-ES"/>
                              </w:rPr>
                            </w:pPr>
                            <w:r w:rsidRPr="00505C02">
                              <w:rPr>
                                <w:rFonts w:cs="Arial"/>
                                <w:lang w:val="es-ES"/>
                              </w:rPr>
                              <w:t>La Rev. 1 corrige el párrafo 8 con respecto a los cambios adoptados por la COP13.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57159" id="_x0000_t202" coordsize="21600,21600" o:spt="202" path="m,l,21600r21600,l21600,xe">
                <v:stroke joinstyle="miter"/>
                <v:path gradientshapeok="t" o:connecttype="rect"/>
              </v:shapetype>
              <v:shape id="Text Box 4" o:spid="_x0000_s1026" type="#_x0000_t202" style="position:absolute;margin-left:78.75pt;margin-top:158.15pt;width:327pt;height:22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" strokeweight=".25pt">
                <v:textbox>
                  <w:txbxContent>
                    <w:p w14:paraId="1FAF7610" w14:textId="3E99C724" w:rsidR="000A0BCF" w:rsidRPr="007B4E7D" w:rsidRDefault="000A0BCF" w:rsidP="000A0BCF">
                      <w:pPr>
                        <w:rPr>
                          <w:rFonts w:cs="Arial"/>
                          <w:lang w:val="es-ES"/>
                        </w:rPr>
                      </w:pPr>
                      <w:r w:rsidRPr="007B4E7D">
                        <w:rPr>
                          <w:rFonts w:cs="Arial"/>
                          <w:lang w:val="es-ES"/>
                        </w:rPr>
                        <w:t>Resumen:</w:t>
                      </w:r>
                    </w:p>
                    <w:p w14:paraId="2950F5A4" w14:textId="77777777" w:rsidR="000A0BCF" w:rsidRPr="007B4E7D" w:rsidRDefault="000A0BCF" w:rsidP="000A0BCF">
                      <w:pPr>
                        <w:rPr>
                          <w:rFonts w:cs="Arial"/>
                          <w:lang w:val="es-ES"/>
                        </w:rPr>
                      </w:pPr>
                    </w:p>
                    <w:p w14:paraId="59EF1AC1" w14:textId="77777777" w:rsidR="007B4E7D" w:rsidRPr="008378E7" w:rsidRDefault="007B4E7D" w:rsidP="007B4E7D">
                      <w:pPr>
                        <w:jc w:val="both"/>
                        <w:rPr>
                          <w:rFonts w:cs="Arial"/>
                          <w:lang w:val="es-ES"/>
                        </w:rPr>
                      </w:pPr>
                      <w:r w:rsidRPr="008378E7">
                        <w:rPr>
                          <w:rFonts w:cs="Arial"/>
                          <w:lang w:val="es-ES"/>
                        </w:rPr>
                        <w:t xml:space="preserve">La Decisión 14.5 solicita al Consejo Científico, con el apoyo de la Secretaría, revisar las áreas temáticas de los </w:t>
                      </w:r>
                      <w:proofErr w:type="gramStart"/>
                      <w:r w:rsidRPr="008378E7">
                        <w:rPr>
                          <w:rFonts w:cs="Arial"/>
                          <w:lang w:val="es-ES"/>
                        </w:rPr>
                        <w:t>Consejeros</w:t>
                      </w:r>
                      <w:proofErr w:type="gramEnd"/>
                      <w:r w:rsidRPr="008378E7">
                        <w:rPr>
                          <w:rFonts w:cs="Arial"/>
                          <w:lang w:val="es-ES"/>
                        </w:rPr>
                        <w:t xml:space="preserve"> designados por la COP existentes y proponer a la COP15 cualquier cambio para el período subsiguiente entre la COP15 y la COP17. El párrafo 10 de la Resolución 12.4 (Rev.COP14), fomenta la participación de los </w:t>
                      </w:r>
                      <w:proofErr w:type="gramStart"/>
                      <w:r w:rsidRPr="008378E7">
                        <w:rPr>
                          <w:rFonts w:cs="Arial"/>
                          <w:lang w:val="es-ES"/>
                        </w:rPr>
                        <w:t>Consejeros</w:t>
                      </w:r>
                      <w:proofErr w:type="gramEnd"/>
                      <w:r w:rsidRPr="008378E7">
                        <w:rPr>
                          <w:rFonts w:cs="Arial"/>
                          <w:lang w:val="es-ES"/>
                        </w:rPr>
                        <w:t xml:space="preserve"> designados por las Partes que no son actualmente miembros del Comité del Período de Sesiones en el trabajo del Consejo Científico.</w:t>
                      </w:r>
                    </w:p>
                    <w:p w14:paraId="44E2328F" w14:textId="77777777" w:rsidR="007B4E7D" w:rsidRPr="008378E7" w:rsidRDefault="007B4E7D" w:rsidP="007B4E7D">
                      <w:pPr>
                        <w:jc w:val="both"/>
                        <w:rPr>
                          <w:rFonts w:cs="Arial"/>
                          <w:lang w:val="es-ES"/>
                        </w:rPr>
                      </w:pPr>
                    </w:p>
                    <w:p w14:paraId="34BA7217" w14:textId="77777777" w:rsidR="007B4E7D" w:rsidRPr="008378E7" w:rsidRDefault="007B4E7D" w:rsidP="007B4E7D">
                      <w:pPr>
                        <w:jc w:val="both"/>
                        <w:rPr>
                          <w:rFonts w:cs="Arial"/>
                          <w:lang w:val="es-ES"/>
                        </w:rPr>
                      </w:pPr>
                      <w:r w:rsidRPr="008378E7">
                        <w:rPr>
                          <w:rFonts w:cs="Arial"/>
                          <w:lang w:val="es-ES"/>
                        </w:rPr>
                        <w:t>Este documento propone un camino a seguir para implementar esta Decisión y Resolución.</w:t>
                      </w:r>
                    </w:p>
                    <w:p w14:paraId="21EC6667" w14:textId="77777777" w:rsidR="000A0BCF" w:rsidRDefault="000A0BCF" w:rsidP="000A0BCF">
                      <w:pPr>
                        <w:rPr>
                          <w:rFonts w:cs="Arial"/>
                          <w:lang w:val="es-ES"/>
                        </w:rPr>
                      </w:pPr>
                    </w:p>
                    <w:p w14:paraId="2649E765" w14:textId="1198FCDC" w:rsidR="00505C02" w:rsidRPr="007B4E7D" w:rsidRDefault="00505C02" w:rsidP="00505C02">
                      <w:pPr>
                        <w:jc w:val="both"/>
                        <w:rPr>
                          <w:rFonts w:cs="Arial"/>
                          <w:lang w:val="es-ES"/>
                        </w:rPr>
                      </w:pPr>
                      <w:r w:rsidRPr="00505C02">
                        <w:rPr>
                          <w:rFonts w:cs="Arial"/>
                          <w:lang w:val="es-ES"/>
                        </w:rPr>
                        <w:t>La Rev. 1 corrige el párrafo 8 con respecto a los cambios adoptados por la COP13.</w:t>
                      </w:r>
                    </w:p>
                  </w:txbxContent>
                </v:textbox>
                <w10:wrap type="square" anchorx="margin" anchory="margin"/>
              </v:shape>
            </w:pict>
          </mc:Fallback>
        </mc:AlternateContent>
      </w:r>
      <w:r w:rsidR="000A0BCF">
        <w:rPr>
          <w:rFonts w:cs="Arial"/>
          <w:lang w:val="es-ES"/>
        </w:rPr>
        <w:br w:type="page"/>
      </w:r>
    </w:p>
    <w:p w14:paraId="690CB21B" w14:textId="77777777" w:rsidR="001E512C" w:rsidRPr="001E512C" w:rsidRDefault="001E512C" w:rsidP="001E512C">
      <w:pPr>
        <w:jc w:val="center"/>
        <w:rPr>
          <w:rFonts w:cs="Arial"/>
          <w:lang w:val="es-ES"/>
        </w:rPr>
      </w:pPr>
      <w:r w:rsidRPr="001E512C">
        <w:rPr>
          <w:rFonts w:eastAsia="Arial" w:cs="Arial"/>
          <w:b/>
          <w:bCs/>
          <w:lang w:val="es-ES"/>
        </w:rPr>
        <w:lastRenderedPageBreak/>
        <w:t>ÁREAS TEMÁTICAS DE LOS CONSEJEROS DESIGNADOS POR LA COP</w:t>
      </w:r>
    </w:p>
    <w:p w14:paraId="2719ABD3" w14:textId="77777777" w:rsidR="001E512C" w:rsidRPr="001E512C" w:rsidRDefault="001E512C" w:rsidP="001E512C">
      <w:pPr>
        <w:jc w:val="center"/>
        <w:rPr>
          <w:rFonts w:cs="Arial"/>
          <w:lang w:val="es-ES"/>
        </w:rPr>
      </w:pPr>
    </w:p>
    <w:p w14:paraId="1EE1745A" w14:textId="77777777" w:rsidR="001E512C" w:rsidRPr="001E512C" w:rsidRDefault="001E512C" w:rsidP="001E512C">
      <w:pPr>
        <w:jc w:val="center"/>
        <w:rPr>
          <w:rFonts w:cs="Arial"/>
          <w:lang w:val="es-ES"/>
        </w:rPr>
      </w:pPr>
    </w:p>
    <w:p w14:paraId="4A396B19" w14:textId="77777777" w:rsidR="001E512C" w:rsidRPr="001E512C" w:rsidRDefault="001E512C" w:rsidP="001E512C">
      <w:pPr>
        <w:rPr>
          <w:rFonts w:eastAsia="Arial" w:cs="Arial"/>
          <w:u w:val="single"/>
          <w:lang w:val="es-ES"/>
        </w:rPr>
      </w:pPr>
      <w:r w:rsidRPr="001E512C">
        <w:rPr>
          <w:rFonts w:eastAsia="Arial" w:cs="Arial"/>
          <w:u w:val="single"/>
          <w:lang w:val="es-ES"/>
        </w:rPr>
        <w:t xml:space="preserve">Antecedentes </w:t>
      </w:r>
    </w:p>
    <w:p w14:paraId="17CE8616" w14:textId="77777777" w:rsidR="001E512C" w:rsidRPr="001E512C" w:rsidRDefault="001E512C" w:rsidP="001E512C">
      <w:pPr>
        <w:tabs>
          <w:tab w:val="left" w:pos="426"/>
        </w:tabs>
        <w:ind w:left="426" w:hanging="426"/>
        <w:rPr>
          <w:rFonts w:eastAsia="Arial" w:cs="Arial"/>
          <w:lang w:val="es-ES"/>
        </w:rPr>
      </w:pPr>
    </w:p>
    <w:p w14:paraId="68FAB1F6" w14:textId="77777777" w:rsidR="001E512C" w:rsidRPr="005875EF" w:rsidRDefault="001E512C" w:rsidP="005875EF">
      <w:pPr>
        <w:pStyle w:val="ListParagraph"/>
        <w:numPr>
          <w:ilvl w:val="0"/>
          <w:numId w:val="5"/>
        </w:numPr>
        <w:ind w:left="540" w:hanging="540"/>
        <w:jc w:val="both"/>
        <w:rPr>
          <w:rFonts w:eastAsia="Calibri" w:cs="Times New Roman"/>
          <w:lang w:val="es-ES"/>
        </w:rPr>
      </w:pPr>
      <w:r w:rsidRPr="005875EF">
        <w:rPr>
          <w:rFonts w:eastAsia="Calibri" w:cs="Arial"/>
          <w:lang w:val="es-ES"/>
        </w:rPr>
        <w:t>El párrafo 2 del Artículo VIII de la Convención establece que:</w:t>
      </w:r>
    </w:p>
    <w:p w14:paraId="748A1E81" w14:textId="77777777" w:rsidR="001E512C" w:rsidRPr="001E512C" w:rsidRDefault="001E512C" w:rsidP="001E512C">
      <w:pPr>
        <w:ind w:left="720"/>
        <w:jc w:val="both"/>
        <w:rPr>
          <w:rFonts w:eastAsia="Calibri" w:cs="Times New Roman"/>
          <w:lang w:val="es-ES"/>
        </w:rPr>
      </w:pPr>
    </w:p>
    <w:p w14:paraId="1A632B30" w14:textId="14A7008E" w:rsidR="001E512C" w:rsidRDefault="005875EF" w:rsidP="003A1B46">
      <w:pPr>
        <w:tabs>
          <w:tab w:val="left" w:pos="426"/>
        </w:tabs>
        <w:ind w:left="720"/>
        <w:jc w:val="both"/>
        <w:rPr>
          <w:rFonts w:eastAsia="Calibri" w:cs="Arial"/>
          <w:i/>
          <w:vanish/>
          <w:sz w:val="20"/>
          <w:szCs w:val="20"/>
          <w:lang w:val="es-ES"/>
        </w:rPr>
      </w:pPr>
      <w:r>
        <w:rPr>
          <w:rFonts w:eastAsia="Calibri" w:cs="Arial"/>
          <w:i/>
          <w:vanish/>
          <w:sz w:val="20"/>
          <w:szCs w:val="20"/>
          <w:lang w:val="es-ES"/>
        </w:rPr>
        <w:t>“…</w:t>
      </w:r>
      <w:r w:rsidR="003A1B46" w:rsidRPr="003A1B46">
        <w:rPr>
          <w:rFonts w:eastAsia="Calibri" w:cs="Arial"/>
          <w:i/>
          <w:vanish/>
          <w:sz w:val="20"/>
          <w:szCs w:val="20"/>
          <w:lang w:val="es-ES"/>
        </w:rPr>
        <w:t xml:space="preserve">Consejo Científico. El Consejo Científico comprende además expertos calificados escogidos y </w:t>
      </w:r>
      <w:proofErr w:type="gramStart"/>
      <w:r w:rsidR="003A1B46" w:rsidRPr="003A1B46">
        <w:rPr>
          <w:rFonts w:eastAsia="Calibri" w:cs="Arial"/>
          <w:i/>
          <w:vanish/>
          <w:sz w:val="20"/>
          <w:szCs w:val="20"/>
          <w:lang w:val="es-ES"/>
        </w:rPr>
        <w:t>nombrados como</w:t>
      </w:r>
      <w:proofErr w:type="gramEnd"/>
      <w:r w:rsidR="003A1B46" w:rsidRPr="003A1B46">
        <w:rPr>
          <w:rFonts w:eastAsia="Calibri" w:cs="Arial"/>
          <w:i/>
          <w:vanish/>
          <w:sz w:val="20"/>
          <w:szCs w:val="20"/>
          <w:lang w:val="es-ES"/>
        </w:rPr>
        <w:t xml:space="preserve"> miembros por la Conferencia de las Partes. El número de estos expertos, los criterios para su selección, y la duración de su mandato serán determinados por la Conferencia de las Partes.</w:t>
      </w:r>
      <w:r>
        <w:rPr>
          <w:rFonts w:eastAsia="Calibri" w:cs="Arial"/>
          <w:i/>
          <w:vanish/>
          <w:sz w:val="20"/>
          <w:szCs w:val="20"/>
          <w:lang w:val="es-ES"/>
        </w:rPr>
        <w:t>”</w:t>
      </w:r>
    </w:p>
    <w:p w14:paraId="063DEA2A" w14:textId="77777777" w:rsidR="005875EF" w:rsidRPr="001E512C" w:rsidRDefault="005875EF" w:rsidP="003A1B46">
      <w:pPr>
        <w:tabs>
          <w:tab w:val="left" w:pos="426"/>
        </w:tabs>
        <w:ind w:left="720"/>
        <w:jc w:val="both"/>
        <w:rPr>
          <w:rFonts w:eastAsia="Calibri" w:cs="Arial"/>
          <w:i/>
          <w:lang w:val="es-ES"/>
        </w:rPr>
      </w:pPr>
    </w:p>
    <w:p w14:paraId="697C8FC0" w14:textId="77777777" w:rsidR="001E512C" w:rsidRPr="005875EF" w:rsidRDefault="001E512C" w:rsidP="005875EF">
      <w:pPr>
        <w:pStyle w:val="ListParagraph"/>
        <w:numPr>
          <w:ilvl w:val="0"/>
          <w:numId w:val="5"/>
        </w:numPr>
        <w:ind w:left="540" w:hanging="540"/>
        <w:jc w:val="both"/>
        <w:rPr>
          <w:rFonts w:eastAsia="Calibri" w:cs="Times New Roman"/>
          <w:lang w:val="es-ES"/>
        </w:rPr>
      </w:pPr>
      <w:r w:rsidRPr="005875EF">
        <w:rPr>
          <w:rFonts w:eastAsia="Calibri" w:cs="Times New Roman"/>
          <w:lang w:val="es-ES"/>
        </w:rPr>
        <w:t xml:space="preserve">Estos expertos se denominan </w:t>
      </w:r>
      <w:proofErr w:type="gramStart"/>
      <w:r w:rsidRPr="005875EF">
        <w:rPr>
          <w:rFonts w:eastAsia="Calibri" w:cs="Times New Roman"/>
          <w:lang w:val="es-ES"/>
        </w:rPr>
        <w:t>Consejeros</w:t>
      </w:r>
      <w:proofErr w:type="gramEnd"/>
      <w:r w:rsidRPr="005875EF">
        <w:rPr>
          <w:rFonts w:eastAsia="Calibri" w:cs="Times New Roman"/>
          <w:lang w:val="es-ES"/>
        </w:rPr>
        <w:t xml:space="preserve"> designados por la COP. Los primeros </w:t>
      </w:r>
      <w:proofErr w:type="gramStart"/>
      <w:r w:rsidRPr="005875EF">
        <w:rPr>
          <w:rFonts w:eastAsia="Calibri" w:cs="Times New Roman"/>
          <w:lang w:val="es-ES"/>
        </w:rPr>
        <w:t>Consejeros</w:t>
      </w:r>
      <w:proofErr w:type="gramEnd"/>
      <w:r w:rsidRPr="005875EF">
        <w:rPr>
          <w:rFonts w:eastAsia="Calibri" w:cs="Times New Roman"/>
          <w:lang w:val="es-ES"/>
        </w:rPr>
        <w:t xml:space="preserve"> designados por la COP fueron nombrados en la 1.</w:t>
      </w:r>
      <w:r w:rsidRPr="005875EF">
        <w:rPr>
          <w:rFonts w:eastAsia="Calibri" w:cs="Times New Roman"/>
          <w:vertAlign w:val="superscript"/>
          <w:lang w:val="es-ES"/>
        </w:rPr>
        <w:t>a</w:t>
      </w:r>
      <w:r w:rsidRPr="005875EF">
        <w:rPr>
          <w:rFonts w:eastAsia="Calibri" w:cs="Times New Roman"/>
          <w:lang w:val="es-ES"/>
        </w:rPr>
        <w:t xml:space="preserve"> reunión de la Conferencia de las Partes (COP1) en 1985, cuando se nombraron ocho expertos. El número actual de </w:t>
      </w:r>
      <w:proofErr w:type="gramStart"/>
      <w:r w:rsidRPr="005875EF">
        <w:rPr>
          <w:rFonts w:eastAsia="Calibri" w:cs="Times New Roman"/>
          <w:lang w:val="es-ES"/>
        </w:rPr>
        <w:t>Consejeros</w:t>
      </w:r>
      <w:proofErr w:type="gramEnd"/>
      <w:r w:rsidRPr="005875EF">
        <w:rPr>
          <w:rFonts w:eastAsia="Calibri" w:cs="Times New Roman"/>
          <w:lang w:val="es-ES"/>
        </w:rPr>
        <w:t xml:space="preserve"> designados por la COP es nueve. </w:t>
      </w:r>
    </w:p>
    <w:p w14:paraId="6AA3A53E" w14:textId="77777777" w:rsidR="001E512C" w:rsidRPr="001E512C" w:rsidRDefault="001E512C" w:rsidP="001E512C">
      <w:pPr>
        <w:ind w:left="369"/>
        <w:jc w:val="both"/>
        <w:rPr>
          <w:rFonts w:eastAsia="Calibri" w:cs="Times New Roman"/>
          <w:lang w:val="es-ES"/>
        </w:rPr>
      </w:pPr>
    </w:p>
    <w:p w14:paraId="23073C54" w14:textId="77777777" w:rsidR="001E512C" w:rsidRPr="001E512C" w:rsidRDefault="001E512C" w:rsidP="001E512C">
      <w:pPr>
        <w:tabs>
          <w:tab w:val="left" w:pos="540"/>
        </w:tabs>
        <w:ind w:left="540" w:hanging="540"/>
        <w:jc w:val="both"/>
        <w:rPr>
          <w:rFonts w:eastAsia="Arial" w:cs="Arial"/>
          <w:u w:val="single"/>
          <w:lang w:val="es-ES"/>
        </w:rPr>
      </w:pPr>
      <w:r w:rsidRPr="001E512C">
        <w:rPr>
          <w:rFonts w:eastAsia="Arial" w:cs="Arial"/>
          <w:u w:val="single"/>
          <w:lang w:val="es-ES"/>
        </w:rPr>
        <w:t>A/</w:t>
      </w:r>
      <w:r w:rsidRPr="001E512C">
        <w:rPr>
          <w:rFonts w:eastAsia="Arial" w:cs="Arial"/>
          <w:u w:val="single"/>
          <w:lang w:val="es-ES"/>
        </w:rPr>
        <w:tab/>
        <w:t xml:space="preserve">Revisión de las áreas temáticas de los </w:t>
      </w:r>
      <w:proofErr w:type="gramStart"/>
      <w:r w:rsidRPr="001E512C">
        <w:rPr>
          <w:rFonts w:eastAsia="Arial" w:cs="Arial"/>
          <w:u w:val="single"/>
          <w:lang w:val="es-ES"/>
        </w:rPr>
        <w:t>Consejeros</w:t>
      </w:r>
      <w:proofErr w:type="gramEnd"/>
      <w:r w:rsidRPr="001E512C">
        <w:rPr>
          <w:rFonts w:eastAsia="Arial" w:cs="Arial"/>
          <w:u w:val="single"/>
          <w:lang w:val="es-ES"/>
        </w:rPr>
        <w:t xml:space="preserve"> designados por la COP</w:t>
      </w:r>
    </w:p>
    <w:p w14:paraId="67A21F35" w14:textId="77777777" w:rsidR="001E512C" w:rsidRPr="001E512C" w:rsidRDefault="001E512C" w:rsidP="001E512C">
      <w:pPr>
        <w:tabs>
          <w:tab w:val="left" w:pos="630"/>
        </w:tabs>
        <w:ind w:left="540" w:hanging="540"/>
        <w:jc w:val="both"/>
        <w:rPr>
          <w:rFonts w:eastAsia="Calibri" w:cs="Arial"/>
          <w:lang w:val="es-ES"/>
        </w:rPr>
      </w:pPr>
    </w:p>
    <w:p w14:paraId="5194130A" w14:textId="77777777" w:rsidR="001E512C" w:rsidRPr="005875EF" w:rsidRDefault="001E512C" w:rsidP="005875EF">
      <w:pPr>
        <w:pStyle w:val="ListParagraph"/>
        <w:numPr>
          <w:ilvl w:val="0"/>
          <w:numId w:val="5"/>
        </w:numPr>
        <w:ind w:left="540" w:hanging="540"/>
        <w:rPr>
          <w:rFonts w:eastAsia="Calibri" w:cs="Times New Roman"/>
          <w:lang w:val="es-ES"/>
        </w:rPr>
      </w:pPr>
      <w:r w:rsidRPr="005875EF">
        <w:rPr>
          <w:rFonts w:eastAsia="Calibri" w:cs="Times New Roman"/>
          <w:lang w:val="es-ES"/>
        </w:rPr>
        <w:t>La COP14 adoptó la siguiente Decisión 14.5:</w:t>
      </w:r>
    </w:p>
    <w:p w14:paraId="38AB37DB" w14:textId="77777777" w:rsidR="001E512C" w:rsidRPr="001E512C" w:rsidRDefault="001E512C" w:rsidP="001E512C">
      <w:pPr>
        <w:ind w:left="369"/>
        <w:rPr>
          <w:rFonts w:eastAsia="Calibri" w:cs="Times New Roman"/>
          <w:lang w:val="es-ES"/>
        </w:rPr>
      </w:pPr>
    </w:p>
    <w:p w14:paraId="3088EF74" w14:textId="7F869531" w:rsidR="001E512C" w:rsidRPr="00EE059A" w:rsidRDefault="00540B49" w:rsidP="001C0ECD">
      <w:pPr>
        <w:tabs>
          <w:tab w:val="left" w:pos="426"/>
        </w:tabs>
        <w:ind w:left="720"/>
        <w:jc w:val="both"/>
        <w:rPr>
          <w:rFonts w:eastAsia="Calibri" w:cs="Arial"/>
          <w:i/>
          <w:iCs/>
          <w:vanish/>
          <w:sz w:val="20"/>
          <w:szCs w:val="20"/>
          <w:lang w:val="es-ES"/>
        </w:rPr>
      </w:pPr>
      <w:r w:rsidRPr="00540B49">
        <w:rPr>
          <w:rFonts w:eastAsia="Calibri" w:cs="Arial"/>
          <w:i/>
          <w:iCs/>
          <w:vanish/>
          <w:sz w:val="20"/>
          <w:szCs w:val="20"/>
          <w:lang w:val="es-ES"/>
        </w:rPr>
        <w:t>Se solicita al Consejo Científico, con el apoyo de la Secretaría,</w:t>
      </w:r>
      <w:r>
        <w:rPr>
          <w:rFonts w:eastAsia="Calibri" w:cs="Arial"/>
          <w:i/>
          <w:iCs/>
          <w:vanish/>
          <w:sz w:val="20"/>
          <w:szCs w:val="20"/>
          <w:lang w:val="es-ES"/>
        </w:rPr>
        <w:t xml:space="preserve"> </w:t>
      </w:r>
      <w:r w:rsidRPr="00540B49">
        <w:rPr>
          <w:rFonts w:eastAsia="Calibri" w:cs="Arial"/>
          <w:i/>
          <w:iCs/>
          <w:vanish/>
          <w:sz w:val="20"/>
          <w:szCs w:val="20"/>
          <w:lang w:val="es-ES"/>
        </w:rPr>
        <w:t xml:space="preserve">que revise los ámbitos existentes de los </w:t>
      </w:r>
      <w:proofErr w:type="gramStart"/>
      <w:r w:rsidRPr="00540B49">
        <w:rPr>
          <w:rFonts w:eastAsia="Calibri" w:cs="Arial"/>
          <w:i/>
          <w:iCs/>
          <w:vanish/>
          <w:sz w:val="20"/>
          <w:szCs w:val="20"/>
          <w:lang w:val="es-ES"/>
        </w:rPr>
        <w:t>Consejeros</w:t>
      </w:r>
      <w:proofErr w:type="gramEnd"/>
      <w:r>
        <w:rPr>
          <w:rFonts w:eastAsia="Calibri" w:cs="Arial"/>
          <w:i/>
          <w:iCs/>
          <w:vanish/>
          <w:sz w:val="20"/>
          <w:szCs w:val="20"/>
          <w:lang w:val="es-ES"/>
        </w:rPr>
        <w:t xml:space="preserve"> </w:t>
      </w:r>
      <w:r w:rsidRPr="00540B49">
        <w:rPr>
          <w:rFonts w:eastAsia="Calibri" w:cs="Arial"/>
          <w:i/>
          <w:iCs/>
          <w:vanish/>
          <w:sz w:val="20"/>
          <w:szCs w:val="20"/>
          <w:lang w:val="es-ES"/>
        </w:rPr>
        <w:t>designados por la COP y proponga a la COP15 cualquier</w:t>
      </w:r>
      <w:r>
        <w:rPr>
          <w:rFonts w:eastAsia="Calibri" w:cs="Arial"/>
          <w:i/>
          <w:iCs/>
          <w:vanish/>
          <w:sz w:val="20"/>
          <w:szCs w:val="20"/>
          <w:lang w:val="es-ES"/>
        </w:rPr>
        <w:t xml:space="preserve"> </w:t>
      </w:r>
      <w:r w:rsidRPr="00540B49">
        <w:rPr>
          <w:rFonts w:eastAsia="Calibri" w:cs="Arial"/>
          <w:i/>
          <w:iCs/>
          <w:vanish/>
          <w:sz w:val="20"/>
          <w:szCs w:val="20"/>
          <w:lang w:val="es-ES"/>
        </w:rPr>
        <w:t>cambio para el período posterior entre la COP15 y la COP17,</w:t>
      </w:r>
      <w:r w:rsidR="00EE059A">
        <w:rPr>
          <w:rFonts w:eastAsia="Calibri" w:cs="Arial"/>
          <w:i/>
          <w:iCs/>
          <w:vanish/>
          <w:sz w:val="20"/>
          <w:szCs w:val="20"/>
          <w:lang w:val="es-ES"/>
        </w:rPr>
        <w:t xml:space="preserve"> </w:t>
      </w:r>
      <w:r w:rsidRPr="00EE059A">
        <w:rPr>
          <w:rFonts w:eastAsia="Calibri" w:cs="Arial"/>
          <w:i/>
          <w:iCs/>
          <w:vanish/>
          <w:sz w:val="20"/>
          <w:szCs w:val="20"/>
          <w:lang w:val="es-ES"/>
        </w:rPr>
        <w:t>según corresponda</w:t>
      </w:r>
      <w:r w:rsidR="001C0ECD" w:rsidRPr="00EE059A">
        <w:rPr>
          <w:rFonts w:eastAsia="Calibri" w:cs="Arial"/>
          <w:i/>
          <w:iCs/>
          <w:vanish/>
          <w:sz w:val="20"/>
          <w:szCs w:val="20"/>
          <w:lang w:val="es-ES"/>
        </w:rPr>
        <w:t>.</w:t>
      </w:r>
    </w:p>
    <w:p w14:paraId="20A88620" w14:textId="77777777" w:rsidR="001C0ECD" w:rsidRPr="001E512C" w:rsidRDefault="001C0ECD" w:rsidP="00540B49">
      <w:pPr>
        <w:tabs>
          <w:tab w:val="left" w:pos="426"/>
        </w:tabs>
        <w:ind w:left="426"/>
        <w:jc w:val="both"/>
        <w:rPr>
          <w:rFonts w:eastAsia="Calibri" w:cs="Arial"/>
          <w:lang w:val="es-ES"/>
        </w:rPr>
      </w:pPr>
    </w:p>
    <w:p w14:paraId="1056FEA6" w14:textId="77777777" w:rsidR="001E512C" w:rsidRPr="00EE059A" w:rsidRDefault="001E512C" w:rsidP="0041246A">
      <w:pPr>
        <w:pStyle w:val="ListParagraph"/>
        <w:numPr>
          <w:ilvl w:val="0"/>
          <w:numId w:val="5"/>
        </w:numPr>
        <w:tabs>
          <w:tab w:val="left" w:pos="0"/>
        </w:tabs>
        <w:ind w:left="540" w:hanging="540"/>
        <w:jc w:val="both"/>
        <w:rPr>
          <w:rFonts w:eastAsia="Calibri" w:cs="Arial"/>
          <w:lang w:val="es-ES"/>
        </w:rPr>
      </w:pPr>
      <w:r w:rsidRPr="00EE059A">
        <w:rPr>
          <w:rFonts w:eastAsia="Calibri" w:cs="Arial"/>
          <w:lang w:val="es-ES"/>
        </w:rPr>
        <w:t xml:space="preserve">Las áreas temáticas de los </w:t>
      </w:r>
      <w:proofErr w:type="gramStart"/>
      <w:r w:rsidRPr="00EE059A">
        <w:rPr>
          <w:rFonts w:eastAsia="Calibri" w:cs="Arial"/>
          <w:lang w:val="es-ES"/>
        </w:rPr>
        <w:t>Consejeros</w:t>
      </w:r>
      <w:proofErr w:type="gramEnd"/>
      <w:r w:rsidRPr="00EE059A">
        <w:rPr>
          <w:rFonts w:eastAsia="Calibri" w:cs="Arial"/>
          <w:lang w:val="es-ES"/>
        </w:rPr>
        <w:t xml:space="preserve"> designados por la COP se modificaron significativamente en cada COP hasta la COP6 en 1999, después las áreas temáticas se estabilizaron, con solo ajustes menores en cada COP. Entre la COP6 y la COP10 se identificaron cuatro nuevas áreas temáticas: Fauna Africana, peces y captura incidental en la COP8 en 2005; y cambio climático en la COP10 en 2011 (se proporcionó una panorámica de todas las áreas temáticas desde la COP1 hasta la COP10 en el documento </w:t>
      </w:r>
      <w:hyperlink r:id="rId11" w:history="1">
        <w:r w:rsidRPr="00EE059A">
          <w:rPr>
            <w:rFonts w:eastAsia="Calibri" w:cs="Arial"/>
            <w:color w:val="0000FF"/>
            <w:u w:val="single"/>
            <w:lang w:val="es-ES"/>
          </w:rPr>
          <w:t>UNEP/CMS/COP13/Doc.15.1</w:t>
        </w:r>
      </w:hyperlink>
      <w:r w:rsidRPr="00EE059A">
        <w:rPr>
          <w:rFonts w:eastAsia="Calibri" w:cs="Arial"/>
          <w:lang w:val="es-ES"/>
        </w:rPr>
        <w:t>, Anexo 2).</w:t>
      </w:r>
    </w:p>
    <w:p w14:paraId="7473E10C" w14:textId="77777777" w:rsidR="001E512C" w:rsidRPr="001E512C" w:rsidRDefault="001E512C" w:rsidP="001E512C">
      <w:pPr>
        <w:widowControl w:val="0"/>
        <w:tabs>
          <w:tab w:val="left" w:pos="0"/>
        </w:tabs>
        <w:ind w:left="540" w:hanging="540"/>
        <w:contextualSpacing/>
        <w:rPr>
          <w:rFonts w:eastAsia="Times New Roman" w:cs="Arial"/>
          <w:snapToGrid w:val="0"/>
          <w:lang w:val="es-ES"/>
        </w:rPr>
      </w:pPr>
    </w:p>
    <w:p w14:paraId="1C8D72C9" w14:textId="77777777" w:rsidR="001E512C" w:rsidRPr="00431C94" w:rsidRDefault="001E512C" w:rsidP="00431C94">
      <w:pPr>
        <w:pStyle w:val="ListParagraph"/>
        <w:numPr>
          <w:ilvl w:val="0"/>
          <w:numId w:val="5"/>
        </w:numPr>
        <w:tabs>
          <w:tab w:val="left" w:pos="0"/>
        </w:tabs>
        <w:ind w:left="540" w:hanging="540"/>
        <w:jc w:val="both"/>
        <w:rPr>
          <w:rFonts w:eastAsia="Calibri" w:cs="Arial"/>
          <w:lang w:val="es-ES"/>
        </w:rPr>
      </w:pPr>
      <w:r w:rsidRPr="00431C94">
        <w:rPr>
          <w:rFonts w:eastAsia="Calibri" w:cs="Arial"/>
          <w:lang w:val="es-ES"/>
        </w:rPr>
        <w:t>La COP11 en 2014 implementó cambios institucionales y organizativos significativos en el Consejo Científico. La COP11 decidió que, para cada período entre sesiones entre dos reuniones consecutivas de la Conferencia de las Partes, se identificara una selección representativa de los miembros del Consejo Científico, el Comité del Período de Sesiones del Consejo Científico (</w:t>
      </w:r>
      <w:proofErr w:type="spellStart"/>
      <w:r w:rsidRPr="00431C94">
        <w:rPr>
          <w:rFonts w:eastAsia="Calibri" w:cs="Arial"/>
          <w:lang w:val="es-ES"/>
        </w:rPr>
        <w:t>ScC</w:t>
      </w:r>
      <w:proofErr w:type="spellEnd"/>
      <w:r w:rsidRPr="00431C94">
        <w:rPr>
          <w:rFonts w:eastAsia="Calibri" w:cs="Arial"/>
          <w:lang w:val="es-ES"/>
        </w:rPr>
        <w:t xml:space="preserve">-SC). Los </w:t>
      </w:r>
      <w:proofErr w:type="gramStart"/>
      <w:r w:rsidRPr="00431C94">
        <w:rPr>
          <w:rFonts w:eastAsia="Calibri" w:cs="Arial"/>
          <w:lang w:val="es-ES"/>
        </w:rPr>
        <w:t>Consejeros</w:t>
      </w:r>
      <w:proofErr w:type="gramEnd"/>
      <w:r w:rsidRPr="00431C94">
        <w:rPr>
          <w:rFonts w:eastAsia="Calibri" w:cs="Arial"/>
          <w:lang w:val="es-ES"/>
        </w:rPr>
        <w:t xml:space="preserve"> designados por la COP son miembros del Comité del Período de Sesiones, junto con quince Consejeros designados por las Partes seleccionados por regiones.</w:t>
      </w:r>
    </w:p>
    <w:p w14:paraId="7979525F" w14:textId="77777777" w:rsidR="001E512C" w:rsidRPr="001E512C" w:rsidRDefault="001E512C" w:rsidP="00431C94">
      <w:pPr>
        <w:tabs>
          <w:tab w:val="left" w:pos="0"/>
        </w:tabs>
        <w:ind w:left="540" w:hanging="540"/>
        <w:jc w:val="both"/>
        <w:rPr>
          <w:rFonts w:eastAsia="Calibri" w:cs="Arial"/>
          <w:lang w:val="es-ES"/>
        </w:rPr>
      </w:pPr>
    </w:p>
    <w:p w14:paraId="3E5A000C" w14:textId="77777777" w:rsidR="001E512C" w:rsidRPr="00431C94" w:rsidRDefault="001E512C" w:rsidP="00431C94">
      <w:pPr>
        <w:pStyle w:val="ListParagraph"/>
        <w:numPr>
          <w:ilvl w:val="0"/>
          <w:numId w:val="5"/>
        </w:numPr>
        <w:tabs>
          <w:tab w:val="left" w:pos="0"/>
        </w:tabs>
        <w:ind w:left="540" w:hanging="540"/>
        <w:jc w:val="both"/>
        <w:rPr>
          <w:rFonts w:eastAsia="Calibri" w:cs="Arial"/>
          <w:lang w:val="es-ES"/>
        </w:rPr>
      </w:pPr>
      <w:r w:rsidRPr="00431C94">
        <w:rPr>
          <w:rFonts w:eastAsia="Calibri" w:cs="Arial"/>
          <w:lang w:val="es-ES"/>
        </w:rPr>
        <w:t xml:space="preserve">El Comité del Período de Sesiones del Consejo Científico, en su tercera Reunión (Bonn, 2018), decidió llevar a cabo una revisión de las áreas de especialización de los </w:t>
      </w:r>
      <w:proofErr w:type="gramStart"/>
      <w:r w:rsidRPr="00431C94">
        <w:rPr>
          <w:rFonts w:eastAsia="Calibri" w:cs="Arial"/>
          <w:lang w:val="es-ES"/>
        </w:rPr>
        <w:t>Consejeros</w:t>
      </w:r>
      <w:proofErr w:type="gramEnd"/>
      <w:r w:rsidRPr="00431C94">
        <w:rPr>
          <w:rFonts w:eastAsia="Calibri" w:cs="Arial"/>
          <w:lang w:val="es-ES"/>
        </w:rPr>
        <w:t xml:space="preserve"> designados por la COP y estableció un grupo de trabajo entre sesiones que informó a la cuarta reunión del Comité del Período de Sesiones del Consejo Científico (Bonn, 2019). El Consejo Científico acordó presentar su recomendación a la COP13 en 2020. Sobre esa base, la COP13 revisó el asunto y decidió las siguientes áreas temáticas para los </w:t>
      </w:r>
      <w:proofErr w:type="gramStart"/>
      <w:r w:rsidRPr="00431C94">
        <w:rPr>
          <w:rFonts w:eastAsia="Calibri" w:cs="Arial"/>
          <w:lang w:val="es-ES"/>
        </w:rPr>
        <w:t>Consejeros</w:t>
      </w:r>
      <w:proofErr w:type="gramEnd"/>
      <w:r w:rsidRPr="00431C94">
        <w:rPr>
          <w:rFonts w:eastAsia="Calibri" w:cs="Arial"/>
          <w:lang w:val="es-ES"/>
        </w:rPr>
        <w:t xml:space="preserve"> designados por la COP: mamíferos acuáticos, aves, captura incidental, cambio climático, conectividad/redes, peces, especies invasoras (incluidas enfermedades, animales asilvestrados, insectos y plagas marinas y malezas), contaminación marina y mamíferos terrestres. La responsabilidad de las áreas temáticas de aves y peces ha sido compartida por dos </w:t>
      </w:r>
      <w:proofErr w:type="gramStart"/>
      <w:r w:rsidRPr="00431C94">
        <w:rPr>
          <w:rFonts w:eastAsia="Calibri" w:cs="Arial"/>
          <w:lang w:val="es-ES"/>
        </w:rPr>
        <w:t>Consejeros</w:t>
      </w:r>
      <w:proofErr w:type="gramEnd"/>
      <w:r w:rsidRPr="00431C94">
        <w:rPr>
          <w:rFonts w:eastAsia="Calibri" w:cs="Arial"/>
          <w:lang w:val="es-ES"/>
        </w:rPr>
        <w:t xml:space="preserve"> desde la COP13.</w:t>
      </w:r>
    </w:p>
    <w:p w14:paraId="1DC097D1" w14:textId="77777777" w:rsidR="001E512C" w:rsidRPr="001E512C" w:rsidRDefault="001E512C" w:rsidP="001E512C">
      <w:pPr>
        <w:ind w:left="567"/>
        <w:jc w:val="both"/>
        <w:rPr>
          <w:rFonts w:eastAsia="Calibri" w:cs="Arial"/>
          <w:lang w:val="es-ES"/>
        </w:rPr>
      </w:pPr>
    </w:p>
    <w:p w14:paraId="008CDD09" w14:textId="77777777" w:rsidR="001E512C" w:rsidRPr="001E512C" w:rsidRDefault="001E512C" w:rsidP="001E512C">
      <w:pPr>
        <w:tabs>
          <w:tab w:val="left" w:pos="720"/>
        </w:tabs>
        <w:ind w:left="540" w:hanging="540"/>
        <w:jc w:val="both"/>
        <w:rPr>
          <w:rFonts w:eastAsia="Arial" w:cs="Arial"/>
          <w:u w:val="single"/>
          <w:lang w:val="es-ES"/>
        </w:rPr>
      </w:pPr>
      <w:r w:rsidRPr="001E512C">
        <w:rPr>
          <w:rFonts w:eastAsia="Arial" w:cs="Arial"/>
          <w:u w:val="single"/>
          <w:lang w:val="es-ES"/>
        </w:rPr>
        <w:t>B/</w:t>
      </w:r>
      <w:r w:rsidRPr="001E512C">
        <w:rPr>
          <w:rFonts w:eastAsia="Arial" w:cs="Arial"/>
          <w:u w:val="single"/>
          <w:lang w:val="es-ES"/>
        </w:rPr>
        <w:tab/>
        <w:t xml:space="preserve">Mejora de la participación de los </w:t>
      </w:r>
      <w:proofErr w:type="gramStart"/>
      <w:r w:rsidRPr="001E512C">
        <w:rPr>
          <w:rFonts w:eastAsia="Arial" w:cs="Arial"/>
          <w:u w:val="single"/>
          <w:lang w:val="es-ES"/>
        </w:rPr>
        <w:t>Consejeros</w:t>
      </w:r>
      <w:proofErr w:type="gramEnd"/>
      <w:r w:rsidRPr="001E512C">
        <w:rPr>
          <w:rFonts w:eastAsia="Arial" w:cs="Arial"/>
          <w:u w:val="single"/>
          <w:lang w:val="es-ES"/>
        </w:rPr>
        <w:t xml:space="preserve"> designados por las Partes</w:t>
      </w:r>
    </w:p>
    <w:p w14:paraId="370846E9" w14:textId="77777777" w:rsidR="001E512C" w:rsidRPr="001E512C" w:rsidRDefault="001E512C" w:rsidP="001E512C">
      <w:pPr>
        <w:ind w:left="567"/>
        <w:jc w:val="both"/>
        <w:rPr>
          <w:rFonts w:eastAsia="Calibri" w:cs="Arial"/>
          <w:lang w:val="es-ES"/>
        </w:rPr>
      </w:pPr>
    </w:p>
    <w:p w14:paraId="53952BAA" w14:textId="77777777" w:rsidR="001E512C" w:rsidRDefault="001E512C" w:rsidP="00431C94">
      <w:pPr>
        <w:pStyle w:val="ListParagraph"/>
        <w:numPr>
          <w:ilvl w:val="0"/>
          <w:numId w:val="5"/>
        </w:numPr>
        <w:tabs>
          <w:tab w:val="left" w:pos="540"/>
          <w:tab w:val="left" w:pos="630"/>
        </w:tabs>
        <w:ind w:left="540" w:hanging="540"/>
        <w:jc w:val="both"/>
        <w:rPr>
          <w:rFonts w:eastAsia="Calibri" w:cs="Arial"/>
          <w:lang w:val="es-ES"/>
        </w:rPr>
      </w:pPr>
      <w:r w:rsidRPr="00431C94">
        <w:rPr>
          <w:rFonts w:eastAsia="Calibri" w:cs="Arial"/>
          <w:lang w:val="es-ES"/>
        </w:rPr>
        <w:lastRenderedPageBreak/>
        <w:t xml:space="preserve">A través del párrafo 10 de la </w:t>
      </w:r>
      <w:r w:rsidRPr="00431C94">
        <w:rPr>
          <w:rFonts w:eastAsia="Calibri" w:cs="Arial"/>
          <w:b/>
          <w:bCs/>
          <w:lang w:val="es-ES"/>
        </w:rPr>
        <w:t>Resolución 12.4 (Rev.COP14),</w:t>
      </w:r>
      <w:r w:rsidRPr="00431C94">
        <w:rPr>
          <w:rFonts w:eastAsia="Calibri" w:cs="Arial"/>
          <w:lang w:val="es-ES"/>
        </w:rPr>
        <w:t xml:space="preserve"> la COP14 fomentó la participación de los </w:t>
      </w:r>
      <w:proofErr w:type="gramStart"/>
      <w:r w:rsidRPr="00431C94">
        <w:rPr>
          <w:rFonts w:eastAsia="Calibri" w:cs="Arial"/>
          <w:lang w:val="es-ES"/>
        </w:rPr>
        <w:t>Consejeros</w:t>
      </w:r>
      <w:proofErr w:type="gramEnd"/>
      <w:r w:rsidRPr="00431C94">
        <w:rPr>
          <w:rFonts w:eastAsia="Calibri" w:cs="Arial"/>
          <w:lang w:val="es-ES"/>
        </w:rPr>
        <w:t xml:space="preserve"> designados por las Partes que actualmente no son miembros del Comité del Período de Sesiones en el trabajo del Consejo Científico:</w:t>
      </w:r>
    </w:p>
    <w:p w14:paraId="184CEC82" w14:textId="77777777" w:rsidR="00F63D82" w:rsidRPr="00431C94" w:rsidRDefault="00F63D82" w:rsidP="00F63D82">
      <w:pPr>
        <w:pStyle w:val="ListParagraph"/>
        <w:tabs>
          <w:tab w:val="left" w:pos="540"/>
          <w:tab w:val="left" w:pos="630"/>
        </w:tabs>
        <w:ind w:left="540"/>
        <w:jc w:val="both"/>
        <w:rPr>
          <w:rFonts w:eastAsia="Calibri" w:cs="Arial"/>
          <w:lang w:val="es-ES"/>
        </w:rPr>
      </w:pPr>
    </w:p>
    <w:p w14:paraId="0172E466" w14:textId="335ECC13" w:rsidR="001E512C" w:rsidRPr="001E512C" w:rsidRDefault="00313ACC" w:rsidP="00313ACC">
      <w:pPr>
        <w:ind w:left="720"/>
        <w:jc w:val="both"/>
        <w:rPr>
          <w:rFonts w:eastAsia="Arial" w:cs="Arial"/>
          <w:u w:val="single"/>
          <w:lang w:val="es-ES"/>
        </w:rPr>
      </w:pPr>
      <w:r w:rsidRPr="00313ACC">
        <w:rPr>
          <w:rFonts w:eastAsia="Calibri" w:cs="Arial"/>
          <w:i/>
          <w:iCs/>
          <w:vanish/>
          <w:sz w:val="20"/>
          <w:szCs w:val="20"/>
          <w:lang w:val="es-ES"/>
        </w:rPr>
        <w:t>Alienta a la Secretaría a que mejore la comunicación con los Consejeros designados por las Partes y la COP que no estén incluidos en el Comité del Período de Sesiones, e insta a los consejeros designados por las Partes y la COP que no son miembros del Comité del período de sesiones a contribuir a la labor del Consejo Científico, a coordinarse con los miembros del Comité del período de sesiones y a participar en grupos de trabajo y equipos de acción, incluyendo a través de reuniones y de las herramientas interactivas disponibles para el Consejo Científico, así como a realizar actividades a nivel nacional</w:t>
      </w:r>
    </w:p>
    <w:p w14:paraId="51459035" w14:textId="77777777" w:rsidR="00313ACC" w:rsidRDefault="00313ACC" w:rsidP="001E512C">
      <w:pPr>
        <w:rPr>
          <w:rFonts w:eastAsia="Arial" w:cs="Arial"/>
          <w:u w:val="single"/>
          <w:lang w:val="es-ES"/>
        </w:rPr>
      </w:pPr>
    </w:p>
    <w:p w14:paraId="2FB0DED8" w14:textId="3F4EE8CB" w:rsidR="001E512C" w:rsidRPr="001E512C" w:rsidRDefault="001E512C" w:rsidP="001E512C">
      <w:pPr>
        <w:rPr>
          <w:rFonts w:eastAsia="Arial" w:cs="Arial"/>
          <w:u w:val="single"/>
          <w:lang w:val="es-ES"/>
        </w:rPr>
      </w:pPr>
      <w:r w:rsidRPr="001E512C">
        <w:rPr>
          <w:rFonts w:eastAsia="Arial" w:cs="Arial"/>
          <w:u w:val="single"/>
          <w:lang w:val="es-ES"/>
        </w:rPr>
        <w:t>Debate</w:t>
      </w:r>
    </w:p>
    <w:p w14:paraId="2F61CA61" w14:textId="77777777" w:rsidR="001E512C" w:rsidRPr="001E512C" w:rsidRDefault="001E512C" w:rsidP="001E512C">
      <w:pPr>
        <w:rPr>
          <w:rFonts w:eastAsia="Arial" w:cs="Arial"/>
          <w:lang w:val="es-ES"/>
        </w:rPr>
      </w:pPr>
    </w:p>
    <w:p w14:paraId="559DBC46" w14:textId="77777777" w:rsidR="001E512C" w:rsidRPr="001E512C" w:rsidRDefault="001E512C" w:rsidP="001E512C">
      <w:pPr>
        <w:ind w:left="540" w:hanging="540"/>
        <w:rPr>
          <w:rFonts w:eastAsia="Arial" w:cs="Arial"/>
          <w:b/>
          <w:bCs/>
          <w:lang w:val="es-ES"/>
        </w:rPr>
      </w:pPr>
      <w:r w:rsidRPr="001E512C">
        <w:rPr>
          <w:rFonts w:eastAsia="Arial" w:cs="Arial"/>
          <w:b/>
          <w:bCs/>
          <w:lang w:val="es-ES"/>
        </w:rPr>
        <w:t>A/</w:t>
      </w:r>
      <w:r w:rsidRPr="001E512C">
        <w:rPr>
          <w:rFonts w:eastAsia="Arial" w:cs="Arial"/>
          <w:b/>
          <w:bCs/>
          <w:lang w:val="es-ES"/>
        </w:rPr>
        <w:tab/>
        <w:t xml:space="preserve">Revisión de las áreas temáticas de los </w:t>
      </w:r>
      <w:proofErr w:type="gramStart"/>
      <w:r w:rsidRPr="001E512C">
        <w:rPr>
          <w:rFonts w:eastAsia="Arial" w:cs="Arial"/>
          <w:b/>
          <w:bCs/>
          <w:lang w:val="es-ES"/>
        </w:rPr>
        <w:t>Consejeros</w:t>
      </w:r>
      <w:proofErr w:type="gramEnd"/>
      <w:r w:rsidRPr="001E512C">
        <w:rPr>
          <w:rFonts w:eastAsia="Arial" w:cs="Arial"/>
          <w:b/>
          <w:bCs/>
          <w:lang w:val="es-ES"/>
        </w:rPr>
        <w:t xml:space="preserve"> designados por la COP</w:t>
      </w:r>
    </w:p>
    <w:p w14:paraId="1F4CA123" w14:textId="77777777" w:rsidR="001E512C" w:rsidRPr="001E512C" w:rsidRDefault="001E512C" w:rsidP="001E512C">
      <w:pPr>
        <w:rPr>
          <w:rFonts w:eastAsia="Arial" w:cs="Arial"/>
          <w:lang w:val="es-ES"/>
        </w:rPr>
      </w:pPr>
    </w:p>
    <w:p w14:paraId="59CE7376" w14:textId="77777777" w:rsidR="001E512C" w:rsidRDefault="001E512C" w:rsidP="00313ACC">
      <w:pPr>
        <w:pStyle w:val="ListParagraph"/>
        <w:numPr>
          <w:ilvl w:val="0"/>
          <w:numId w:val="5"/>
        </w:numPr>
        <w:ind w:left="540" w:hanging="540"/>
        <w:jc w:val="both"/>
        <w:rPr>
          <w:rFonts w:eastAsia="Calibri" w:cs="Arial"/>
          <w:lang w:val="es-ES"/>
        </w:rPr>
      </w:pPr>
      <w:r w:rsidRPr="00313ACC">
        <w:rPr>
          <w:rFonts w:eastAsia="Calibri" w:cs="Arial"/>
          <w:lang w:val="es-ES"/>
        </w:rPr>
        <w:t xml:space="preserve">Actualmente hay nueve posiciones de </w:t>
      </w:r>
      <w:proofErr w:type="gramStart"/>
      <w:r w:rsidRPr="00313ACC">
        <w:rPr>
          <w:rFonts w:eastAsia="Calibri" w:cs="Arial"/>
          <w:lang w:val="es-ES"/>
        </w:rPr>
        <w:t>Consejeros</w:t>
      </w:r>
      <w:proofErr w:type="gramEnd"/>
      <w:r w:rsidRPr="00313ACC">
        <w:rPr>
          <w:rFonts w:eastAsia="Calibri" w:cs="Arial"/>
          <w:lang w:val="es-ES"/>
        </w:rPr>
        <w:t xml:space="preserve"> designados por la COP, de las cuales dos son compartidas por dos expertos. La siguiente tabla muestra cómo las áreas temáticas han evolucionado con el tiempo:</w:t>
      </w:r>
    </w:p>
    <w:p w14:paraId="30935AD4" w14:textId="77777777" w:rsidR="00313ACC" w:rsidRDefault="00313ACC" w:rsidP="00313ACC">
      <w:pPr>
        <w:pStyle w:val="ListParagraph"/>
        <w:ind w:left="540"/>
        <w:jc w:val="both"/>
        <w:rPr>
          <w:rFonts w:eastAsia="Calibri" w:cs="Arial"/>
          <w:lang w:val="es-ES"/>
        </w:rPr>
      </w:pPr>
    </w:p>
    <w:tbl>
      <w:tblPr>
        <w:tblW w:w="5000" w:type="pct"/>
        <w:tblCellMar>
          <w:left w:w="10" w:type="dxa"/>
          <w:right w:w="10" w:type="dxa"/>
        </w:tblCellMar>
        <w:tblLook w:val="0000" w:firstRow="0" w:lastRow="0" w:firstColumn="0" w:lastColumn="0" w:noHBand="0" w:noVBand="0"/>
      </w:tblPr>
      <w:tblGrid>
        <w:gridCol w:w="1083"/>
        <w:gridCol w:w="1021"/>
        <w:gridCol w:w="6912"/>
      </w:tblGrid>
      <w:tr w:rsidR="001B6CDD" w:rsidRPr="00F41084" w14:paraId="32189717"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4EB5B" w14:textId="77777777" w:rsidR="001B6CDD" w:rsidRPr="00F41084" w:rsidRDefault="001B6CDD" w:rsidP="001D4815">
            <w:pPr>
              <w:suppressAutoHyphens/>
              <w:autoSpaceDN w:val="0"/>
              <w:spacing w:before="120"/>
              <w:textAlignment w:val="baseline"/>
              <w:rPr>
                <w:rFonts w:eastAsia="Calibri" w:cs="Arial"/>
                <w:b/>
                <w:sz w:val="21"/>
                <w:szCs w:val="21"/>
                <w:lang w:val="en-AU" w:eastAsia="en-AU"/>
              </w:rPr>
            </w:pPr>
            <w:r w:rsidRPr="00F41084">
              <w:rPr>
                <w:rFonts w:eastAsia="Calibri" w:cs="Arial"/>
                <w:b/>
                <w:sz w:val="21"/>
                <w:szCs w:val="21"/>
                <w:lang w:val="es-ES" w:eastAsia="es-ES"/>
              </w:rPr>
              <w:t>COP1</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DAB3" w14:textId="77777777" w:rsidR="001B6CDD" w:rsidRPr="00F41084" w:rsidRDefault="001B6CDD" w:rsidP="001D4815">
            <w:pPr>
              <w:suppressAutoHyphens/>
              <w:autoSpaceDN w:val="0"/>
              <w:spacing w:before="120"/>
              <w:textAlignment w:val="baseline"/>
              <w:rPr>
                <w:rFonts w:eastAsia="Calibri" w:cs="Arial"/>
                <w:sz w:val="21"/>
                <w:szCs w:val="21"/>
                <w:lang w:val="en-AU" w:eastAsia="en-AU"/>
              </w:rPr>
            </w:pPr>
            <w:r w:rsidRPr="00F41084">
              <w:rPr>
                <w:rFonts w:eastAsia="Calibri" w:cs="Arial"/>
                <w:sz w:val="21"/>
                <w:szCs w:val="21"/>
                <w:lang w:val="es-ES" w:eastAsia="es-ES"/>
              </w:rPr>
              <w:t>1985</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3DA4C" w14:textId="77777777" w:rsidR="001B6CDD" w:rsidRPr="00DD3AAD" w:rsidRDefault="001B6CDD" w:rsidP="00DD3AAD">
            <w:pPr>
              <w:pStyle w:val="ListParagraph"/>
              <w:numPr>
                <w:ilvl w:val="0"/>
                <w:numId w:val="9"/>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Reptiles acuáticos</w:t>
            </w:r>
          </w:p>
          <w:p w14:paraId="401A6436" w14:textId="77777777" w:rsidR="001B6CDD" w:rsidRPr="00DD3AAD" w:rsidRDefault="001B6CDD" w:rsidP="00DD3AAD">
            <w:pPr>
              <w:pStyle w:val="ListParagraph"/>
              <w:numPr>
                <w:ilvl w:val="0"/>
                <w:numId w:val="9"/>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Reptiles, aves, mamíferos marinos</w:t>
            </w:r>
          </w:p>
          <w:p w14:paraId="4F8333D9" w14:textId="77777777" w:rsidR="001B6CDD" w:rsidRPr="00DD3AAD" w:rsidRDefault="001B6CDD" w:rsidP="00DD3AAD">
            <w:pPr>
              <w:pStyle w:val="ListParagraph"/>
              <w:numPr>
                <w:ilvl w:val="0"/>
                <w:numId w:val="9"/>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Migración de aves</w:t>
            </w:r>
          </w:p>
          <w:p w14:paraId="7768E990" w14:textId="77777777" w:rsidR="001B6CDD" w:rsidRPr="00DD3AAD" w:rsidRDefault="001B6CDD" w:rsidP="00DD3AAD">
            <w:pPr>
              <w:pStyle w:val="ListParagraph"/>
              <w:numPr>
                <w:ilvl w:val="0"/>
                <w:numId w:val="9"/>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Migración de aves, gestión de aves acuáticas</w:t>
            </w:r>
          </w:p>
          <w:p w14:paraId="0ED5426F" w14:textId="77777777" w:rsidR="001B6CDD" w:rsidRPr="00DD3AAD" w:rsidRDefault="001B6CDD" w:rsidP="00DD3AAD">
            <w:pPr>
              <w:pStyle w:val="ListParagraph"/>
              <w:numPr>
                <w:ilvl w:val="0"/>
                <w:numId w:val="9"/>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Migración de mamíferos en África</w:t>
            </w:r>
          </w:p>
          <w:p w14:paraId="26625F63" w14:textId="77777777" w:rsidR="001B6CDD" w:rsidRPr="00DD3AAD" w:rsidRDefault="001B6CDD" w:rsidP="00DD3AAD">
            <w:pPr>
              <w:pStyle w:val="ListParagraph"/>
              <w:numPr>
                <w:ilvl w:val="0"/>
                <w:numId w:val="9"/>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Ornitología</w:t>
            </w:r>
          </w:p>
          <w:p w14:paraId="26F2223F" w14:textId="77777777" w:rsidR="001B6CDD" w:rsidRPr="00DD3AAD" w:rsidRDefault="001B6CDD" w:rsidP="00DD3AAD">
            <w:pPr>
              <w:pStyle w:val="ListParagraph"/>
              <w:numPr>
                <w:ilvl w:val="0"/>
                <w:numId w:val="9"/>
              </w:numPr>
              <w:suppressAutoHyphens/>
              <w:autoSpaceDN w:val="0"/>
              <w:spacing w:before="40" w:after="40"/>
              <w:ind w:left="391"/>
              <w:textAlignment w:val="baseline"/>
              <w:rPr>
                <w:rFonts w:eastAsia="Calibri" w:cs="Arial"/>
                <w:sz w:val="21"/>
                <w:szCs w:val="21"/>
                <w:lang w:val="en-AU" w:eastAsia="en-AU"/>
              </w:rPr>
            </w:pPr>
            <w:r w:rsidRPr="00DD3AAD">
              <w:rPr>
                <w:rFonts w:eastAsia="Calibri" w:cs="Arial"/>
                <w:sz w:val="21"/>
                <w:szCs w:val="21"/>
                <w:lang w:val="es-ES" w:eastAsia="es-ES"/>
              </w:rPr>
              <w:t>Aves, mamíferos marinos</w:t>
            </w:r>
          </w:p>
        </w:tc>
      </w:tr>
      <w:tr w:rsidR="001B6CDD" w:rsidRPr="00A51E6E" w14:paraId="64934E4E"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91CC7" w14:textId="77777777" w:rsidR="001B6CDD" w:rsidRPr="00F41084" w:rsidRDefault="001B6CDD" w:rsidP="001D4815">
            <w:pPr>
              <w:suppressAutoHyphens/>
              <w:autoSpaceDN w:val="0"/>
              <w:spacing w:before="120"/>
              <w:textAlignment w:val="baseline"/>
              <w:rPr>
                <w:rFonts w:eastAsia="Calibri" w:cs="Arial"/>
                <w:b/>
                <w:sz w:val="21"/>
                <w:szCs w:val="21"/>
                <w:lang w:val="en-AU" w:eastAsia="en-AU"/>
              </w:rPr>
            </w:pPr>
            <w:r w:rsidRPr="00F41084">
              <w:rPr>
                <w:rFonts w:eastAsia="Calibri" w:cs="Arial"/>
                <w:b/>
                <w:sz w:val="21"/>
                <w:szCs w:val="21"/>
                <w:lang w:val="es-ES" w:eastAsia="es-ES"/>
              </w:rPr>
              <w:t>COP2</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1ECCF" w14:textId="77777777" w:rsidR="001B6CDD" w:rsidRPr="00F41084" w:rsidRDefault="001B6CDD" w:rsidP="001D4815">
            <w:pPr>
              <w:suppressAutoHyphens/>
              <w:autoSpaceDN w:val="0"/>
              <w:spacing w:before="120"/>
              <w:textAlignment w:val="baseline"/>
              <w:rPr>
                <w:rFonts w:eastAsia="Calibri" w:cs="Arial"/>
                <w:sz w:val="21"/>
                <w:szCs w:val="21"/>
                <w:lang w:val="en-AU" w:eastAsia="en-AU"/>
              </w:rPr>
            </w:pPr>
            <w:r w:rsidRPr="00F41084">
              <w:rPr>
                <w:rFonts w:eastAsia="Calibri" w:cs="Arial"/>
                <w:sz w:val="21"/>
                <w:szCs w:val="21"/>
                <w:lang w:val="es-ES" w:eastAsia="es-ES"/>
              </w:rPr>
              <w:t>1988</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BE68" w14:textId="77777777" w:rsidR="001B6CDD" w:rsidRPr="00DD3AAD" w:rsidRDefault="001B6CDD" w:rsidP="00DD3AAD">
            <w:pPr>
              <w:pStyle w:val="ListParagraph"/>
              <w:numPr>
                <w:ilvl w:val="0"/>
                <w:numId w:val="10"/>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Especies marinas</w:t>
            </w:r>
          </w:p>
          <w:p w14:paraId="1EA36357" w14:textId="77777777" w:rsidR="001B6CDD" w:rsidRPr="00DD3AAD" w:rsidRDefault="001B6CDD" w:rsidP="00DD3AAD">
            <w:pPr>
              <w:pStyle w:val="ListParagraph"/>
              <w:numPr>
                <w:ilvl w:val="0"/>
                <w:numId w:val="10"/>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Aves acuáticas</w:t>
            </w:r>
          </w:p>
          <w:p w14:paraId="7D26C5FC" w14:textId="77777777" w:rsidR="001B6CDD" w:rsidRPr="00DD3AAD" w:rsidRDefault="001B6CDD" w:rsidP="00DD3AAD">
            <w:pPr>
              <w:pStyle w:val="ListParagraph"/>
              <w:numPr>
                <w:ilvl w:val="0"/>
                <w:numId w:val="10"/>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Derecho ambiental</w:t>
            </w:r>
          </w:p>
          <w:p w14:paraId="53865C64" w14:textId="77777777" w:rsidR="001B6CDD" w:rsidRPr="00DD3AAD" w:rsidRDefault="001B6CDD" w:rsidP="00DD3AAD">
            <w:pPr>
              <w:pStyle w:val="ListParagraph"/>
              <w:numPr>
                <w:ilvl w:val="0"/>
                <w:numId w:val="10"/>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Toxicología relacionada con animales silvestres</w:t>
            </w:r>
          </w:p>
        </w:tc>
      </w:tr>
      <w:tr w:rsidR="001B6CDD" w:rsidRPr="00F41084" w14:paraId="580A56A3"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FE859" w14:textId="77777777" w:rsidR="001B6CDD" w:rsidRPr="00F41084" w:rsidRDefault="001B6CDD" w:rsidP="001D4815">
            <w:pPr>
              <w:suppressAutoHyphens/>
              <w:autoSpaceDN w:val="0"/>
              <w:spacing w:before="120"/>
              <w:textAlignment w:val="baseline"/>
              <w:rPr>
                <w:rFonts w:eastAsia="Calibri" w:cs="Arial"/>
                <w:b/>
                <w:sz w:val="21"/>
                <w:szCs w:val="21"/>
                <w:lang w:val="en-AU" w:eastAsia="en-AU"/>
              </w:rPr>
            </w:pPr>
            <w:r w:rsidRPr="00F41084">
              <w:rPr>
                <w:rFonts w:eastAsia="Calibri" w:cs="Arial"/>
                <w:b/>
                <w:sz w:val="21"/>
                <w:szCs w:val="21"/>
                <w:lang w:val="es-ES" w:eastAsia="es-ES"/>
              </w:rPr>
              <w:t>COP3</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41ED" w14:textId="77777777" w:rsidR="001B6CDD" w:rsidRPr="00F41084" w:rsidRDefault="001B6CDD" w:rsidP="001D4815">
            <w:pPr>
              <w:suppressAutoHyphens/>
              <w:autoSpaceDN w:val="0"/>
              <w:spacing w:before="120"/>
              <w:textAlignment w:val="baseline"/>
              <w:rPr>
                <w:rFonts w:eastAsia="Calibri" w:cs="Arial"/>
                <w:sz w:val="21"/>
                <w:szCs w:val="21"/>
                <w:lang w:val="en-AU" w:eastAsia="en-AU"/>
              </w:rPr>
            </w:pPr>
            <w:r w:rsidRPr="00F41084">
              <w:rPr>
                <w:rFonts w:eastAsia="Calibri" w:cs="Arial"/>
                <w:sz w:val="21"/>
                <w:szCs w:val="21"/>
                <w:lang w:val="es-ES" w:eastAsia="es-ES"/>
              </w:rPr>
              <w:t>1991</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ADF4A" w14:textId="77777777" w:rsidR="001B6CDD" w:rsidRPr="00DD3AAD" w:rsidRDefault="001B6CDD" w:rsidP="00DD3AAD">
            <w:pPr>
              <w:pStyle w:val="ListParagraph"/>
              <w:numPr>
                <w:ilvl w:val="0"/>
                <w:numId w:val="11"/>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 xml:space="preserve">Mamíferos </w:t>
            </w:r>
            <w:proofErr w:type="spellStart"/>
            <w:r w:rsidRPr="00DD3AAD">
              <w:rPr>
                <w:rFonts w:eastAsia="Calibri" w:cs="Arial"/>
                <w:sz w:val="21"/>
                <w:szCs w:val="21"/>
                <w:lang w:val="es-ES" w:eastAsia="es-ES"/>
              </w:rPr>
              <w:t>sahelosaharianos</w:t>
            </w:r>
            <w:proofErr w:type="spellEnd"/>
          </w:p>
          <w:p w14:paraId="10D50195" w14:textId="77777777" w:rsidR="001B6CDD" w:rsidRPr="00DD3AAD" w:rsidRDefault="001B6CDD" w:rsidP="00DD3AAD">
            <w:pPr>
              <w:pStyle w:val="ListParagraph"/>
              <w:numPr>
                <w:ilvl w:val="0"/>
                <w:numId w:val="11"/>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Aves acuáticas</w:t>
            </w:r>
          </w:p>
          <w:p w14:paraId="56AA6C19" w14:textId="77777777" w:rsidR="001B6CDD" w:rsidRPr="00DD3AAD" w:rsidRDefault="001B6CDD" w:rsidP="00DD3AAD">
            <w:pPr>
              <w:pStyle w:val="ListParagraph"/>
              <w:numPr>
                <w:ilvl w:val="0"/>
                <w:numId w:val="11"/>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Pequeños cetáceos</w:t>
            </w:r>
          </w:p>
          <w:p w14:paraId="6301D30C" w14:textId="77777777" w:rsidR="001B6CDD" w:rsidRPr="00DD3AAD" w:rsidRDefault="001B6CDD" w:rsidP="00DD3AAD">
            <w:pPr>
              <w:pStyle w:val="ListParagraph"/>
              <w:numPr>
                <w:ilvl w:val="0"/>
                <w:numId w:val="11"/>
              </w:numPr>
              <w:suppressAutoHyphens/>
              <w:autoSpaceDN w:val="0"/>
              <w:spacing w:before="40" w:after="40"/>
              <w:ind w:left="391"/>
              <w:textAlignment w:val="baseline"/>
              <w:rPr>
                <w:rFonts w:eastAsia="Calibri" w:cs="Arial"/>
                <w:sz w:val="21"/>
                <w:szCs w:val="21"/>
                <w:lang w:val="en-AU" w:eastAsia="en-AU"/>
              </w:rPr>
            </w:pPr>
            <w:r w:rsidRPr="00DD3AAD">
              <w:rPr>
                <w:rFonts w:eastAsia="Calibri" w:cs="Arial"/>
                <w:sz w:val="21"/>
                <w:szCs w:val="21"/>
                <w:lang w:val="es-ES" w:eastAsia="es-ES"/>
              </w:rPr>
              <w:t>Fauna del Neotrópico</w:t>
            </w:r>
          </w:p>
        </w:tc>
      </w:tr>
      <w:tr w:rsidR="001B6CDD" w:rsidRPr="00F41084" w14:paraId="53D0699E"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9EE8" w14:textId="77777777" w:rsidR="001B6CDD" w:rsidRPr="00F41084" w:rsidRDefault="001B6CDD" w:rsidP="001D4815">
            <w:pPr>
              <w:suppressAutoHyphens/>
              <w:autoSpaceDN w:val="0"/>
              <w:spacing w:before="120"/>
              <w:textAlignment w:val="baseline"/>
              <w:rPr>
                <w:rFonts w:eastAsia="Calibri" w:cs="Arial"/>
                <w:b/>
                <w:sz w:val="21"/>
                <w:szCs w:val="21"/>
                <w:lang w:val="en-AU" w:eastAsia="en-AU"/>
              </w:rPr>
            </w:pPr>
            <w:r w:rsidRPr="00F41084">
              <w:rPr>
                <w:rFonts w:eastAsia="Calibri" w:cs="Arial"/>
                <w:b/>
                <w:sz w:val="21"/>
                <w:szCs w:val="21"/>
                <w:lang w:val="es-ES" w:eastAsia="es-ES"/>
              </w:rPr>
              <w:t>COP4</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EEF23" w14:textId="77777777" w:rsidR="001B6CDD" w:rsidRPr="00F41084" w:rsidRDefault="001B6CDD" w:rsidP="001D4815">
            <w:pPr>
              <w:suppressAutoHyphens/>
              <w:autoSpaceDN w:val="0"/>
              <w:spacing w:before="120"/>
              <w:textAlignment w:val="baseline"/>
              <w:rPr>
                <w:rFonts w:eastAsia="Calibri" w:cs="Arial"/>
                <w:sz w:val="21"/>
                <w:szCs w:val="21"/>
                <w:lang w:val="en-AU" w:eastAsia="en-AU"/>
              </w:rPr>
            </w:pPr>
            <w:r w:rsidRPr="00F41084">
              <w:rPr>
                <w:rFonts w:eastAsia="Calibri" w:cs="Arial"/>
                <w:sz w:val="21"/>
                <w:szCs w:val="21"/>
                <w:lang w:val="es-ES" w:eastAsia="es-ES"/>
              </w:rPr>
              <w:t>1994</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90F25" w14:textId="77777777" w:rsidR="001B6CDD" w:rsidRPr="00DD3AAD" w:rsidRDefault="001B6CDD" w:rsidP="00DD3AAD">
            <w:pPr>
              <w:pStyle w:val="ListParagraph"/>
              <w:numPr>
                <w:ilvl w:val="0"/>
                <w:numId w:val="12"/>
              </w:numPr>
              <w:suppressAutoHyphens/>
              <w:autoSpaceDN w:val="0"/>
              <w:spacing w:before="40" w:after="40"/>
              <w:ind w:left="391"/>
              <w:textAlignment w:val="baseline"/>
              <w:rPr>
                <w:rFonts w:eastAsia="Calibri" w:cs="Arial"/>
                <w:sz w:val="21"/>
                <w:szCs w:val="21"/>
                <w:lang w:val="es-ES" w:eastAsia="en-AU"/>
              </w:rPr>
            </w:pPr>
            <w:r w:rsidRPr="00DD3AAD">
              <w:rPr>
                <w:rFonts w:eastAsia="Calibri" w:cs="Arial"/>
                <w:sz w:val="21"/>
                <w:szCs w:val="21"/>
                <w:lang w:val="es-ES" w:eastAsia="es-ES"/>
              </w:rPr>
              <w:t xml:space="preserve">Se vuelve a designar a los expertos en la COP3 </w:t>
            </w:r>
          </w:p>
          <w:p w14:paraId="70D6DAFA" w14:textId="77777777" w:rsidR="001B6CDD" w:rsidRPr="00F41084" w:rsidRDefault="001B6CDD" w:rsidP="001D4815">
            <w:pPr>
              <w:suppressAutoHyphens/>
              <w:autoSpaceDN w:val="0"/>
              <w:spacing w:before="40" w:after="40"/>
              <w:ind w:left="369" w:hanging="369"/>
              <w:textAlignment w:val="baseline"/>
              <w:rPr>
                <w:rFonts w:eastAsia="Calibri" w:cs="Arial"/>
                <w:sz w:val="21"/>
                <w:szCs w:val="21"/>
                <w:lang w:val="en-AU" w:eastAsia="en-AU"/>
              </w:rPr>
            </w:pPr>
            <w:r w:rsidRPr="00F41084">
              <w:rPr>
                <w:rFonts w:eastAsia="Calibri" w:cs="Arial"/>
                <w:sz w:val="21"/>
                <w:szCs w:val="21"/>
                <w:lang w:val="es-ES" w:eastAsia="es-ES"/>
              </w:rPr>
              <w:t>Se añade:</w:t>
            </w:r>
          </w:p>
          <w:p w14:paraId="7D9B8F2B" w14:textId="77777777" w:rsidR="001B6CDD" w:rsidRPr="00DD3AAD" w:rsidRDefault="001B6CDD" w:rsidP="00A0205C">
            <w:pPr>
              <w:pStyle w:val="ListParagraph"/>
              <w:numPr>
                <w:ilvl w:val="0"/>
                <w:numId w:val="12"/>
              </w:numPr>
              <w:suppressAutoHyphens/>
              <w:autoSpaceDN w:val="0"/>
              <w:spacing w:before="40" w:after="40"/>
              <w:ind w:left="391"/>
              <w:textAlignment w:val="baseline"/>
              <w:rPr>
                <w:rFonts w:eastAsia="Calibri" w:cs="Arial"/>
                <w:sz w:val="21"/>
                <w:szCs w:val="21"/>
                <w:lang w:val="en-AU" w:eastAsia="en-AU"/>
              </w:rPr>
            </w:pPr>
            <w:r w:rsidRPr="00DD3AAD">
              <w:rPr>
                <w:rFonts w:eastAsia="Calibri" w:cs="Arial"/>
                <w:sz w:val="21"/>
                <w:szCs w:val="21"/>
                <w:lang w:val="es-ES" w:eastAsia="es-ES"/>
              </w:rPr>
              <w:t>Tortugas marinas</w:t>
            </w:r>
          </w:p>
        </w:tc>
      </w:tr>
      <w:tr w:rsidR="001B6CDD" w:rsidRPr="00F41084" w14:paraId="069CDAED"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0BC1E" w14:textId="77777777" w:rsidR="001B6CDD" w:rsidRPr="00F41084" w:rsidRDefault="001B6CDD" w:rsidP="001D4815">
            <w:pPr>
              <w:suppressAutoHyphens/>
              <w:autoSpaceDN w:val="0"/>
              <w:spacing w:before="120"/>
              <w:textAlignment w:val="baseline"/>
              <w:rPr>
                <w:rFonts w:eastAsia="Calibri" w:cs="Arial"/>
                <w:b/>
                <w:sz w:val="21"/>
                <w:szCs w:val="21"/>
                <w:lang w:val="en-AU" w:eastAsia="en-AU"/>
              </w:rPr>
            </w:pPr>
            <w:r w:rsidRPr="00F41084">
              <w:rPr>
                <w:rFonts w:eastAsia="Calibri" w:cs="Arial"/>
                <w:b/>
                <w:sz w:val="21"/>
                <w:szCs w:val="21"/>
                <w:lang w:val="es-ES" w:eastAsia="es-ES"/>
              </w:rPr>
              <w:t>COP5</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D66A" w14:textId="77777777" w:rsidR="001B6CDD" w:rsidRPr="00F41084" w:rsidRDefault="001B6CDD" w:rsidP="001D4815">
            <w:pPr>
              <w:suppressAutoHyphens/>
              <w:autoSpaceDN w:val="0"/>
              <w:spacing w:before="120"/>
              <w:textAlignment w:val="baseline"/>
              <w:rPr>
                <w:rFonts w:eastAsia="Calibri" w:cs="Arial"/>
                <w:sz w:val="21"/>
                <w:szCs w:val="21"/>
                <w:lang w:val="en-AU" w:eastAsia="en-AU"/>
              </w:rPr>
            </w:pPr>
            <w:r w:rsidRPr="00F41084">
              <w:rPr>
                <w:rFonts w:eastAsia="Calibri" w:cs="Arial"/>
                <w:sz w:val="21"/>
                <w:szCs w:val="21"/>
                <w:lang w:val="es-ES" w:eastAsia="es-ES"/>
              </w:rPr>
              <w:t>1997</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82BE" w14:textId="77777777" w:rsidR="001B6CDD" w:rsidRPr="00A0205C" w:rsidRDefault="001B6CDD" w:rsidP="00A0205C">
            <w:pPr>
              <w:pStyle w:val="ListParagraph"/>
              <w:numPr>
                <w:ilvl w:val="0"/>
                <w:numId w:val="12"/>
              </w:numPr>
              <w:suppressAutoHyphens/>
              <w:autoSpaceDN w:val="0"/>
              <w:spacing w:before="40" w:after="40"/>
              <w:ind w:left="391"/>
              <w:textAlignment w:val="baseline"/>
              <w:rPr>
                <w:rFonts w:eastAsia="Calibri" w:cs="Arial"/>
                <w:sz w:val="21"/>
                <w:szCs w:val="21"/>
                <w:lang w:val="pt-BR" w:eastAsia="en-AU"/>
              </w:rPr>
            </w:pPr>
            <w:r w:rsidRPr="00A0205C">
              <w:rPr>
                <w:rFonts w:eastAsia="Calibri" w:cs="Arial"/>
                <w:sz w:val="21"/>
                <w:szCs w:val="21"/>
                <w:lang w:val="pt-BR" w:eastAsia="es-ES"/>
              </w:rPr>
              <w:t>Tortugas marinas</w:t>
            </w:r>
          </w:p>
          <w:p w14:paraId="5D6F6B85" w14:textId="77777777" w:rsidR="001B6CDD" w:rsidRPr="00A0205C" w:rsidRDefault="001B6CDD" w:rsidP="00A0205C">
            <w:pPr>
              <w:pStyle w:val="ListParagraph"/>
              <w:numPr>
                <w:ilvl w:val="0"/>
                <w:numId w:val="12"/>
              </w:numPr>
              <w:suppressAutoHyphens/>
              <w:autoSpaceDN w:val="0"/>
              <w:spacing w:before="40" w:after="40"/>
              <w:ind w:left="391"/>
              <w:textAlignment w:val="baseline"/>
              <w:rPr>
                <w:rFonts w:eastAsia="Calibri" w:cs="Arial"/>
                <w:sz w:val="21"/>
                <w:szCs w:val="21"/>
                <w:lang w:val="pt-BR" w:eastAsia="en-AU"/>
              </w:rPr>
            </w:pPr>
            <w:r w:rsidRPr="00A0205C">
              <w:rPr>
                <w:rFonts w:eastAsia="Calibri" w:cs="Arial"/>
                <w:sz w:val="21"/>
                <w:szCs w:val="21"/>
                <w:lang w:val="pt-BR" w:eastAsia="es-ES"/>
              </w:rPr>
              <w:t>Aves acuáticas</w:t>
            </w:r>
          </w:p>
          <w:p w14:paraId="167CA583" w14:textId="77777777" w:rsidR="001B6CDD" w:rsidRPr="00A0205C" w:rsidRDefault="001B6CDD" w:rsidP="00A0205C">
            <w:pPr>
              <w:pStyle w:val="ListParagraph"/>
              <w:numPr>
                <w:ilvl w:val="0"/>
                <w:numId w:val="12"/>
              </w:numPr>
              <w:suppressAutoHyphens/>
              <w:autoSpaceDN w:val="0"/>
              <w:spacing w:before="40" w:after="40"/>
              <w:ind w:left="391"/>
              <w:textAlignment w:val="baseline"/>
              <w:rPr>
                <w:rFonts w:eastAsia="Calibri" w:cs="Arial"/>
                <w:sz w:val="21"/>
                <w:szCs w:val="21"/>
                <w:lang w:val="pt-BR" w:eastAsia="en-AU"/>
              </w:rPr>
            </w:pPr>
            <w:r w:rsidRPr="00A0205C">
              <w:rPr>
                <w:rFonts w:eastAsia="Calibri" w:cs="Arial"/>
                <w:sz w:val="21"/>
                <w:szCs w:val="21"/>
                <w:lang w:val="pt-BR" w:eastAsia="es-ES"/>
              </w:rPr>
              <w:t>Cetáceos</w:t>
            </w:r>
          </w:p>
          <w:p w14:paraId="46E63E0C" w14:textId="77777777" w:rsidR="001B6CDD" w:rsidRPr="00A0205C" w:rsidRDefault="001B6CDD" w:rsidP="00A0205C">
            <w:pPr>
              <w:pStyle w:val="ListParagraph"/>
              <w:numPr>
                <w:ilvl w:val="0"/>
                <w:numId w:val="12"/>
              </w:numPr>
              <w:suppressAutoHyphens/>
              <w:autoSpaceDN w:val="0"/>
              <w:spacing w:before="40" w:after="40"/>
              <w:ind w:left="391"/>
              <w:textAlignment w:val="baseline"/>
              <w:rPr>
                <w:rFonts w:eastAsia="Calibri" w:cs="Arial"/>
                <w:sz w:val="21"/>
                <w:szCs w:val="21"/>
                <w:lang w:val="pt-BR" w:eastAsia="en-AU"/>
              </w:rPr>
            </w:pPr>
            <w:r w:rsidRPr="00A0205C">
              <w:rPr>
                <w:rFonts w:eastAsia="Calibri" w:cs="Arial"/>
                <w:sz w:val="21"/>
                <w:szCs w:val="21"/>
                <w:lang w:val="pt-BR" w:eastAsia="es-ES"/>
              </w:rPr>
              <w:t>Grandes mamíferos</w:t>
            </w:r>
          </w:p>
          <w:p w14:paraId="09E739B0" w14:textId="77777777" w:rsidR="001B6CDD" w:rsidRPr="00A0205C" w:rsidRDefault="001B6CDD" w:rsidP="00A0205C">
            <w:pPr>
              <w:pStyle w:val="ListParagraph"/>
              <w:numPr>
                <w:ilvl w:val="0"/>
                <w:numId w:val="12"/>
              </w:numPr>
              <w:suppressAutoHyphens/>
              <w:autoSpaceDN w:val="0"/>
              <w:spacing w:before="40" w:after="40"/>
              <w:ind w:left="391"/>
              <w:textAlignment w:val="baseline"/>
              <w:rPr>
                <w:rFonts w:eastAsia="Calibri" w:cs="Arial"/>
                <w:sz w:val="21"/>
                <w:szCs w:val="21"/>
                <w:lang w:val="en-AU" w:eastAsia="en-AU"/>
              </w:rPr>
            </w:pPr>
            <w:r w:rsidRPr="00A0205C">
              <w:rPr>
                <w:rFonts w:eastAsia="Calibri" w:cs="Arial"/>
                <w:sz w:val="21"/>
                <w:szCs w:val="21"/>
                <w:lang w:val="es-ES" w:eastAsia="es-ES"/>
              </w:rPr>
              <w:t>Fauna del Neotrópico</w:t>
            </w:r>
          </w:p>
        </w:tc>
      </w:tr>
      <w:tr w:rsidR="001B6CDD" w:rsidRPr="00F41084" w14:paraId="1ECB69DD"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75C3C" w14:textId="77777777" w:rsidR="001B6CDD" w:rsidRPr="00F41084" w:rsidRDefault="001B6CDD" w:rsidP="001D4815">
            <w:pPr>
              <w:suppressAutoHyphens/>
              <w:autoSpaceDN w:val="0"/>
              <w:spacing w:before="120"/>
              <w:textAlignment w:val="baseline"/>
              <w:rPr>
                <w:rFonts w:eastAsia="Calibri" w:cs="Arial"/>
                <w:b/>
                <w:sz w:val="21"/>
                <w:szCs w:val="21"/>
                <w:lang w:val="en-AU" w:eastAsia="en-AU"/>
              </w:rPr>
            </w:pPr>
            <w:r w:rsidRPr="00F41084">
              <w:rPr>
                <w:rFonts w:eastAsia="Calibri" w:cs="Arial"/>
                <w:b/>
                <w:sz w:val="21"/>
                <w:szCs w:val="21"/>
                <w:lang w:val="es-ES" w:eastAsia="es-ES"/>
              </w:rPr>
              <w:t>COP6</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5518" w14:textId="77777777" w:rsidR="001B6CDD" w:rsidRPr="00F41084" w:rsidRDefault="001B6CDD" w:rsidP="001D4815">
            <w:pPr>
              <w:suppressAutoHyphens/>
              <w:autoSpaceDN w:val="0"/>
              <w:spacing w:before="120"/>
              <w:textAlignment w:val="baseline"/>
              <w:rPr>
                <w:rFonts w:eastAsia="Calibri" w:cs="Arial"/>
                <w:sz w:val="21"/>
                <w:szCs w:val="21"/>
                <w:lang w:val="en-AU" w:eastAsia="en-AU"/>
              </w:rPr>
            </w:pPr>
            <w:r w:rsidRPr="00F41084">
              <w:rPr>
                <w:rFonts w:eastAsia="Calibri" w:cs="Arial"/>
                <w:sz w:val="21"/>
                <w:szCs w:val="21"/>
                <w:lang w:val="es-ES" w:eastAsia="es-ES"/>
              </w:rPr>
              <w:t>1999</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F57C1" w14:textId="77777777" w:rsidR="001B6CDD" w:rsidRPr="00A0205C" w:rsidRDefault="001B6CDD" w:rsidP="00917205">
            <w:pPr>
              <w:pStyle w:val="ListParagraph"/>
              <w:numPr>
                <w:ilvl w:val="0"/>
                <w:numId w:val="13"/>
              </w:numPr>
              <w:suppressAutoHyphens/>
              <w:autoSpaceDN w:val="0"/>
              <w:spacing w:before="40" w:after="40"/>
              <w:ind w:left="391" w:hanging="270"/>
              <w:textAlignment w:val="baseline"/>
              <w:rPr>
                <w:rFonts w:eastAsia="Calibri" w:cs="Arial"/>
                <w:sz w:val="21"/>
                <w:szCs w:val="21"/>
                <w:lang w:val="es-ES" w:eastAsia="en-AU"/>
              </w:rPr>
            </w:pPr>
            <w:r w:rsidRPr="00A0205C">
              <w:rPr>
                <w:rFonts w:eastAsia="Calibri" w:cs="Arial"/>
                <w:sz w:val="21"/>
                <w:szCs w:val="21"/>
                <w:lang w:val="es-ES" w:eastAsia="es-ES"/>
              </w:rPr>
              <w:t>Se vuelve a designar a los expertos en la COP5, con cambios:</w:t>
            </w:r>
          </w:p>
          <w:p w14:paraId="32665F61" w14:textId="77777777" w:rsidR="001B6CDD" w:rsidRPr="00F41084" w:rsidRDefault="001B6CDD" w:rsidP="00917205">
            <w:pPr>
              <w:widowControl w:val="0"/>
              <w:numPr>
                <w:ilvl w:val="1"/>
                <w:numId w:val="14"/>
              </w:numPr>
              <w:suppressAutoHyphens/>
              <w:autoSpaceDE w:val="0"/>
              <w:autoSpaceDN w:val="0"/>
              <w:spacing w:before="40" w:after="40"/>
              <w:textAlignment w:val="baseline"/>
              <w:rPr>
                <w:rFonts w:eastAsia="Calibri" w:cs="Arial"/>
                <w:sz w:val="21"/>
                <w:szCs w:val="21"/>
                <w:lang w:val="en-AU" w:eastAsia="en-AU"/>
              </w:rPr>
            </w:pPr>
            <w:r w:rsidRPr="00F41084">
              <w:rPr>
                <w:rFonts w:eastAsia="Calibri" w:cs="Arial"/>
                <w:sz w:val="21"/>
                <w:szCs w:val="21"/>
                <w:lang w:val="es-ES" w:eastAsia="es-ES"/>
              </w:rPr>
              <w:t>Aves acuáticas = aves acuáticas/humedales</w:t>
            </w:r>
          </w:p>
          <w:p w14:paraId="1C65E508" w14:textId="77777777" w:rsidR="001B6CDD" w:rsidRPr="00F41084" w:rsidRDefault="001B6CDD" w:rsidP="00917205">
            <w:pPr>
              <w:widowControl w:val="0"/>
              <w:numPr>
                <w:ilvl w:val="1"/>
                <w:numId w:val="14"/>
              </w:numPr>
              <w:suppressAutoHyphens/>
              <w:autoSpaceDE w:val="0"/>
              <w:autoSpaceDN w:val="0"/>
              <w:spacing w:before="40" w:after="40"/>
              <w:textAlignment w:val="baseline"/>
              <w:rPr>
                <w:rFonts w:eastAsia="Calibri" w:cs="Arial"/>
                <w:sz w:val="21"/>
                <w:szCs w:val="21"/>
                <w:lang w:val="en-AU" w:eastAsia="en-AU"/>
              </w:rPr>
            </w:pPr>
            <w:r w:rsidRPr="00F41084">
              <w:rPr>
                <w:rFonts w:eastAsia="Calibri" w:cs="Arial"/>
                <w:sz w:val="21"/>
                <w:szCs w:val="21"/>
                <w:lang w:val="es-ES" w:eastAsia="es-ES"/>
              </w:rPr>
              <w:t>Cetáceos = cetáceos y peces</w:t>
            </w:r>
          </w:p>
          <w:p w14:paraId="0C1020C0" w14:textId="77777777" w:rsidR="001B6CDD" w:rsidRPr="00F41084" w:rsidRDefault="001B6CDD" w:rsidP="00917205">
            <w:pPr>
              <w:widowControl w:val="0"/>
              <w:numPr>
                <w:ilvl w:val="1"/>
                <w:numId w:val="14"/>
              </w:numPr>
              <w:suppressAutoHyphens/>
              <w:autoSpaceDE w:val="0"/>
              <w:autoSpaceDN w:val="0"/>
              <w:spacing w:before="40" w:after="40"/>
              <w:textAlignment w:val="baseline"/>
              <w:rPr>
                <w:rFonts w:eastAsia="Calibri" w:cs="Arial"/>
                <w:sz w:val="21"/>
                <w:szCs w:val="21"/>
                <w:lang w:val="en-AU" w:eastAsia="en-AU"/>
              </w:rPr>
            </w:pPr>
            <w:r w:rsidRPr="00F41084">
              <w:rPr>
                <w:rFonts w:eastAsia="Calibri" w:cs="Arial"/>
                <w:sz w:val="21"/>
                <w:szCs w:val="21"/>
                <w:lang w:val="es-ES" w:eastAsia="es-ES"/>
              </w:rPr>
              <w:t>Grandes mamíferos = grandes mamíferos terrestres</w:t>
            </w:r>
          </w:p>
          <w:p w14:paraId="61C52C1B" w14:textId="77777777" w:rsidR="001B6CDD" w:rsidRPr="00F41084" w:rsidRDefault="001B6CDD" w:rsidP="001D4815">
            <w:pPr>
              <w:suppressAutoHyphens/>
              <w:autoSpaceDN w:val="0"/>
              <w:spacing w:before="40" w:after="40"/>
              <w:ind w:left="369" w:hanging="369"/>
              <w:textAlignment w:val="baseline"/>
              <w:rPr>
                <w:rFonts w:eastAsia="Calibri" w:cs="Arial"/>
                <w:sz w:val="21"/>
                <w:szCs w:val="21"/>
                <w:lang w:val="en-AU" w:eastAsia="en-AU"/>
              </w:rPr>
            </w:pPr>
            <w:r w:rsidRPr="00F41084">
              <w:rPr>
                <w:rFonts w:eastAsia="Calibri" w:cs="Arial"/>
                <w:sz w:val="21"/>
                <w:szCs w:val="21"/>
                <w:lang w:val="es-ES" w:eastAsia="es-ES"/>
              </w:rPr>
              <w:t>Se añade:</w:t>
            </w:r>
          </w:p>
          <w:p w14:paraId="6439F726" w14:textId="77777777" w:rsidR="001B6CDD" w:rsidRPr="00917205" w:rsidRDefault="001B6CDD" w:rsidP="00917205">
            <w:pPr>
              <w:pStyle w:val="ListParagraph"/>
              <w:numPr>
                <w:ilvl w:val="0"/>
                <w:numId w:val="13"/>
              </w:numPr>
              <w:suppressAutoHyphens/>
              <w:autoSpaceDN w:val="0"/>
              <w:spacing w:before="40" w:after="40"/>
              <w:ind w:left="391"/>
              <w:textAlignment w:val="baseline"/>
              <w:rPr>
                <w:rFonts w:eastAsia="Calibri" w:cs="Arial"/>
                <w:sz w:val="21"/>
                <w:szCs w:val="21"/>
                <w:lang w:val="en-AU" w:eastAsia="en-AU"/>
              </w:rPr>
            </w:pPr>
            <w:r w:rsidRPr="00917205">
              <w:rPr>
                <w:rFonts w:eastAsia="Calibri" w:cs="Arial"/>
                <w:sz w:val="21"/>
                <w:szCs w:val="21"/>
                <w:lang w:val="es-ES" w:eastAsia="es-ES"/>
              </w:rPr>
              <w:t>Fauna asiática</w:t>
            </w:r>
          </w:p>
        </w:tc>
      </w:tr>
      <w:tr w:rsidR="001B6CDD" w:rsidRPr="00A51E6E" w14:paraId="5823A5C7"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8FCD4" w14:textId="77777777" w:rsidR="001B6CDD" w:rsidRPr="00F41084" w:rsidRDefault="001B6CDD" w:rsidP="001D4815">
            <w:pPr>
              <w:suppressAutoHyphens/>
              <w:autoSpaceDN w:val="0"/>
              <w:spacing w:before="120" w:after="120"/>
              <w:textAlignment w:val="baseline"/>
              <w:rPr>
                <w:rFonts w:eastAsia="Calibri" w:cs="Arial"/>
                <w:b/>
                <w:sz w:val="21"/>
                <w:szCs w:val="21"/>
                <w:lang w:val="en-AU" w:eastAsia="en-AU"/>
              </w:rPr>
            </w:pPr>
            <w:r w:rsidRPr="00F41084">
              <w:rPr>
                <w:rFonts w:eastAsia="Calibri" w:cs="Arial"/>
                <w:b/>
                <w:sz w:val="21"/>
                <w:szCs w:val="21"/>
                <w:lang w:val="es-ES" w:eastAsia="es-ES"/>
              </w:rPr>
              <w:t>COP7</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83E08" w14:textId="77777777" w:rsidR="001B6CDD" w:rsidRPr="00F41084" w:rsidRDefault="001B6CDD" w:rsidP="001D4815">
            <w:pPr>
              <w:suppressAutoHyphens/>
              <w:autoSpaceDN w:val="0"/>
              <w:spacing w:before="120" w:after="120"/>
              <w:textAlignment w:val="baseline"/>
              <w:rPr>
                <w:rFonts w:eastAsia="Calibri" w:cs="Arial"/>
                <w:sz w:val="21"/>
                <w:szCs w:val="21"/>
                <w:lang w:val="en-AU" w:eastAsia="en-AU"/>
              </w:rPr>
            </w:pPr>
            <w:r w:rsidRPr="00F41084">
              <w:rPr>
                <w:rFonts w:eastAsia="Calibri" w:cs="Arial"/>
                <w:sz w:val="21"/>
                <w:szCs w:val="21"/>
                <w:lang w:val="es-ES" w:eastAsia="es-ES"/>
              </w:rPr>
              <w:t>2002</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C433" w14:textId="77777777" w:rsidR="001B6CDD" w:rsidRPr="00B6395A" w:rsidRDefault="001B6CDD" w:rsidP="00B6395A">
            <w:pPr>
              <w:pStyle w:val="ListParagraph"/>
              <w:numPr>
                <w:ilvl w:val="0"/>
                <w:numId w:val="16"/>
              </w:numPr>
              <w:suppressAutoHyphens/>
              <w:autoSpaceDN w:val="0"/>
              <w:spacing w:before="40" w:after="40"/>
              <w:ind w:left="391"/>
              <w:textAlignment w:val="baseline"/>
              <w:rPr>
                <w:rFonts w:eastAsia="Calibri" w:cs="Arial"/>
                <w:sz w:val="21"/>
                <w:szCs w:val="21"/>
                <w:lang w:val="es-ES" w:eastAsia="en-AU"/>
              </w:rPr>
            </w:pPr>
            <w:r w:rsidRPr="00B6395A">
              <w:rPr>
                <w:rFonts w:eastAsia="Calibri" w:cs="Arial"/>
                <w:sz w:val="21"/>
                <w:szCs w:val="21"/>
                <w:lang w:val="es-ES" w:eastAsia="es-ES"/>
              </w:rPr>
              <w:t>Se vuelve a designar a los expertos en la COP6</w:t>
            </w:r>
          </w:p>
        </w:tc>
      </w:tr>
      <w:tr w:rsidR="001B6CDD" w:rsidRPr="00F41084" w14:paraId="45B4445C"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BA78B" w14:textId="77777777" w:rsidR="001B6CDD" w:rsidRPr="00F41084" w:rsidRDefault="001B6CDD" w:rsidP="001D4815">
            <w:pPr>
              <w:suppressAutoHyphens/>
              <w:autoSpaceDN w:val="0"/>
              <w:spacing w:before="120" w:after="120"/>
              <w:textAlignment w:val="baseline"/>
              <w:rPr>
                <w:rFonts w:eastAsia="Calibri" w:cs="Arial"/>
                <w:b/>
                <w:sz w:val="21"/>
                <w:szCs w:val="21"/>
                <w:lang w:val="en-AU" w:eastAsia="en-AU"/>
              </w:rPr>
            </w:pPr>
            <w:r w:rsidRPr="00F41084">
              <w:rPr>
                <w:rFonts w:eastAsia="Calibri" w:cs="Arial"/>
                <w:b/>
                <w:sz w:val="21"/>
                <w:szCs w:val="21"/>
                <w:lang w:val="es-ES" w:eastAsia="es-ES"/>
              </w:rPr>
              <w:lastRenderedPageBreak/>
              <w:t>COP8</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7810B" w14:textId="77777777" w:rsidR="001B6CDD" w:rsidRPr="00F41084" w:rsidRDefault="001B6CDD" w:rsidP="001D4815">
            <w:pPr>
              <w:suppressAutoHyphens/>
              <w:autoSpaceDN w:val="0"/>
              <w:spacing w:before="120" w:after="120"/>
              <w:textAlignment w:val="baseline"/>
              <w:rPr>
                <w:rFonts w:eastAsia="Calibri" w:cs="Arial"/>
                <w:sz w:val="21"/>
                <w:szCs w:val="21"/>
                <w:lang w:val="en-AU" w:eastAsia="en-AU"/>
              </w:rPr>
            </w:pPr>
            <w:r w:rsidRPr="00F41084">
              <w:rPr>
                <w:rFonts w:eastAsia="Calibri" w:cs="Arial"/>
                <w:sz w:val="21"/>
                <w:szCs w:val="21"/>
                <w:lang w:val="es-ES" w:eastAsia="es-ES"/>
              </w:rPr>
              <w:t>2005</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E855F" w14:textId="77777777" w:rsidR="001B6CDD" w:rsidRPr="00B6395A" w:rsidRDefault="001B6CDD" w:rsidP="00B6395A">
            <w:pPr>
              <w:pStyle w:val="ListParagraph"/>
              <w:numPr>
                <w:ilvl w:val="0"/>
                <w:numId w:val="16"/>
              </w:numPr>
              <w:suppressAutoHyphens/>
              <w:autoSpaceDN w:val="0"/>
              <w:spacing w:before="40" w:after="40"/>
              <w:ind w:left="391"/>
              <w:textAlignment w:val="baseline"/>
              <w:rPr>
                <w:rFonts w:eastAsia="Calibri" w:cs="Arial"/>
                <w:sz w:val="21"/>
                <w:szCs w:val="21"/>
                <w:lang w:val="es-ES" w:eastAsia="en-AU"/>
              </w:rPr>
            </w:pPr>
            <w:r w:rsidRPr="00B6395A">
              <w:rPr>
                <w:rFonts w:eastAsia="Calibri" w:cs="Arial"/>
                <w:sz w:val="21"/>
                <w:szCs w:val="21"/>
                <w:lang w:val="es-ES" w:eastAsia="es-ES"/>
              </w:rPr>
              <w:t>Se vuelve a designar a los expertos en la COP7, con cambios:</w:t>
            </w:r>
          </w:p>
          <w:p w14:paraId="636F6972" w14:textId="77777777" w:rsidR="001B6CDD" w:rsidRPr="00F41084" w:rsidRDefault="001B6CDD" w:rsidP="00B6395A">
            <w:pPr>
              <w:widowControl w:val="0"/>
              <w:numPr>
                <w:ilvl w:val="1"/>
                <w:numId w:val="18"/>
              </w:numPr>
              <w:suppressAutoHyphens/>
              <w:autoSpaceDE w:val="0"/>
              <w:autoSpaceDN w:val="0"/>
              <w:spacing w:before="40" w:after="40"/>
              <w:textAlignment w:val="baseline"/>
              <w:rPr>
                <w:rFonts w:eastAsia="Calibri" w:cs="Arial"/>
                <w:sz w:val="21"/>
                <w:szCs w:val="21"/>
                <w:lang w:val="en-AU" w:eastAsia="en-AU"/>
              </w:rPr>
            </w:pPr>
            <w:r w:rsidRPr="00F41084">
              <w:rPr>
                <w:rFonts w:eastAsia="Calibri" w:cs="Arial"/>
                <w:sz w:val="21"/>
                <w:szCs w:val="21"/>
                <w:lang w:val="es-ES" w:eastAsia="es-ES"/>
              </w:rPr>
              <w:t>Aves acuáticas/humedales = aves</w:t>
            </w:r>
          </w:p>
          <w:p w14:paraId="442D35BF" w14:textId="77777777" w:rsidR="001B6CDD" w:rsidRPr="00F41084" w:rsidRDefault="001B6CDD" w:rsidP="00B6395A">
            <w:pPr>
              <w:widowControl w:val="0"/>
              <w:numPr>
                <w:ilvl w:val="1"/>
                <w:numId w:val="18"/>
              </w:numPr>
              <w:suppressAutoHyphens/>
              <w:autoSpaceDE w:val="0"/>
              <w:autoSpaceDN w:val="0"/>
              <w:spacing w:before="40" w:after="40"/>
              <w:textAlignment w:val="baseline"/>
              <w:rPr>
                <w:rFonts w:eastAsia="Calibri" w:cs="Arial"/>
                <w:sz w:val="21"/>
                <w:szCs w:val="21"/>
                <w:lang w:val="es-ES" w:eastAsia="en-AU"/>
              </w:rPr>
            </w:pPr>
            <w:r w:rsidRPr="00F41084">
              <w:rPr>
                <w:rFonts w:eastAsia="Calibri" w:cs="Arial"/>
                <w:sz w:val="21"/>
                <w:szCs w:val="21"/>
                <w:lang w:val="es-ES" w:eastAsia="es-ES"/>
              </w:rPr>
              <w:t>Cetáceos y peces = mamíferos marinos y grandes peces</w:t>
            </w:r>
          </w:p>
          <w:p w14:paraId="1573B97B" w14:textId="77777777" w:rsidR="001B6CDD" w:rsidRPr="00F41084" w:rsidRDefault="001B6CDD" w:rsidP="00B6395A">
            <w:pPr>
              <w:widowControl w:val="0"/>
              <w:numPr>
                <w:ilvl w:val="1"/>
                <w:numId w:val="18"/>
              </w:numPr>
              <w:suppressAutoHyphens/>
              <w:autoSpaceDE w:val="0"/>
              <w:autoSpaceDN w:val="0"/>
              <w:spacing w:before="40" w:after="40"/>
              <w:textAlignment w:val="baseline"/>
              <w:rPr>
                <w:rFonts w:eastAsia="Calibri" w:cs="Arial"/>
                <w:sz w:val="21"/>
                <w:szCs w:val="21"/>
                <w:lang w:val="en-AU" w:eastAsia="en-AU"/>
              </w:rPr>
            </w:pPr>
            <w:r w:rsidRPr="00F41084">
              <w:rPr>
                <w:rFonts w:eastAsia="Calibri" w:cs="Arial"/>
                <w:sz w:val="21"/>
                <w:szCs w:val="21"/>
                <w:lang w:val="es-ES" w:eastAsia="es-ES"/>
              </w:rPr>
              <w:t>Grandes mamíferos terrestres = fauna africana</w:t>
            </w:r>
          </w:p>
          <w:p w14:paraId="139F560A" w14:textId="77777777" w:rsidR="001B6CDD" w:rsidRPr="00B6395A" w:rsidRDefault="001B6CDD" w:rsidP="00B6395A">
            <w:pPr>
              <w:suppressAutoHyphens/>
              <w:autoSpaceDN w:val="0"/>
              <w:spacing w:before="40" w:after="40"/>
              <w:textAlignment w:val="baseline"/>
              <w:rPr>
                <w:rFonts w:eastAsia="Calibri" w:cs="Arial"/>
                <w:sz w:val="21"/>
                <w:szCs w:val="21"/>
                <w:lang w:val="en-AU" w:eastAsia="en-AU"/>
              </w:rPr>
            </w:pPr>
            <w:r w:rsidRPr="00B6395A">
              <w:rPr>
                <w:rFonts w:eastAsia="Calibri" w:cs="Arial"/>
                <w:sz w:val="21"/>
                <w:szCs w:val="21"/>
                <w:lang w:val="es-ES" w:eastAsia="es-ES"/>
              </w:rPr>
              <w:t>Se añade:</w:t>
            </w:r>
          </w:p>
          <w:p w14:paraId="62B47381" w14:textId="77777777" w:rsidR="001B6CDD" w:rsidRPr="00B6395A" w:rsidRDefault="001B6CDD" w:rsidP="00B6395A">
            <w:pPr>
              <w:pStyle w:val="ListParagraph"/>
              <w:numPr>
                <w:ilvl w:val="0"/>
                <w:numId w:val="16"/>
              </w:numPr>
              <w:suppressAutoHyphens/>
              <w:autoSpaceDN w:val="0"/>
              <w:spacing w:before="40" w:after="40"/>
              <w:ind w:left="391"/>
              <w:textAlignment w:val="baseline"/>
              <w:rPr>
                <w:rFonts w:eastAsia="Calibri" w:cs="Arial"/>
                <w:sz w:val="21"/>
                <w:szCs w:val="21"/>
                <w:lang w:val="en-AU" w:eastAsia="en-AU"/>
              </w:rPr>
            </w:pPr>
            <w:r w:rsidRPr="00B6395A">
              <w:rPr>
                <w:rFonts w:eastAsia="Calibri" w:cs="Arial"/>
                <w:sz w:val="21"/>
                <w:szCs w:val="21"/>
                <w:lang w:val="es-ES" w:eastAsia="es-ES"/>
              </w:rPr>
              <w:t>Peces</w:t>
            </w:r>
          </w:p>
          <w:p w14:paraId="3FC00CB5" w14:textId="77777777" w:rsidR="001B6CDD" w:rsidRPr="00B6395A" w:rsidRDefault="001B6CDD" w:rsidP="00B6395A">
            <w:pPr>
              <w:pStyle w:val="ListParagraph"/>
              <w:numPr>
                <w:ilvl w:val="0"/>
                <w:numId w:val="16"/>
              </w:numPr>
              <w:suppressAutoHyphens/>
              <w:autoSpaceDN w:val="0"/>
              <w:spacing w:before="40" w:after="40"/>
              <w:ind w:left="391"/>
              <w:textAlignment w:val="baseline"/>
              <w:rPr>
                <w:rFonts w:eastAsia="Calibri" w:cs="Arial"/>
                <w:sz w:val="21"/>
                <w:szCs w:val="21"/>
                <w:lang w:val="en-AU" w:eastAsia="en-AU"/>
              </w:rPr>
            </w:pPr>
            <w:r w:rsidRPr="00B6395A">
              <w:rPr>
                <w:rFonts w:eastAsia="Calibri" w:cs="Arial"/>
                <w:sz w:val="21"/>
                <w:szCs w:val="21"/>
                <w:lang w:val="es-ES" w:eastAsia="es-ES"/>
              </w:rPr>
              <w:t>Capturas incidentales</w:t>
            </w:r>
          </w:p>
        </w:tc>
      </w:tr>
      <w:tr w:rsidR="001B6CDD" w:rsidRPr="00A51E6E" w14:paraId="0DA075FD"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F57A3" w14:textId="77777777" w:rsidR="001B6CDD" w:rsidRPr="00F41084" w:rsidRDefault="001B6CDD" w:rsidP="001D4815">
            <w:pPr>
              <w:suppressAutoHyphens/>
              <w:autoSpaceDN w:val="0"/>
              <w:spacing w:before="120" w:after="120"/>
              <w:textAlignment w:val="baseline"/>
              <w:rPr>
                <w:rFonts w:eastAsia="Calibri" w:cs="Arial"/>
                <w:b/>
                <w:sz w:val="21"/>
                <w:szCs w:val="21"/>
                <w:lang w:val="en-AU" w:eastAsia="en-AU"/>
              </w:rPr>
            </w:pPr>
            <w:r w:rsidRPr="00F41084">
              <w:rPr>
                <w:rFonts w:eastAsia="Calibri" w:cs="Arial"/>
                <w:b/>
                <w:sz w:val="21"/>
                <w:szCs w:val="21"/>
                <w:lang w:val="es-ES" w:eastAsia="es-ES"/>
              </w:rPr>
              <w:t>COP9</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1D65D" w14:textId="77777777" w:rsidR="001B6CDD" w:rsidRPr="00F41084" w:rsidRDefault="001B6CDD" w:rsidP="001D4815">
            <w:pPr>
              <w:suppressAutoHyphens/>
              <w:autoSpaceDN w:val="0"/>
              <w:spacing w:before="120" w:after="120"/>
              <w:textAlignment w:val="baseline"/>
              <w:rPr>
                <w:rFonts w:eastAsia="Calibri" w:cs="Arial"/>
                <w:sz w:val="21"/>
                <w:szCs w:val="21"/>
                <w:lang w:val="en-AU" w:eastAsia="en-AU"/>
              </w:rPr>
            </w:pPr>
            <w:r w:rsidRPr="00F41084">
              <w:rPr>
                <w:rFonts w:eastAsia="Calibri" w:cs="Arial"/>
                <w:sz w:val="21"/>
                <w:szCs w:val="21"/>
                <w:lang w:val="es-ES" w:eastAsia="es-ES"/>
              </w:rPr>
              <w:t>2008</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98EF" w14:textId="77777777" w:rsidR="001B6CDD" w:rsidRPr="00384A5F" w:rsidRDefault="001B6CDD" w:rsidP="00384A5F">
            <w:pPr>
              <w:pStyle w:val="ListParagraph"/>
              <w:numPr>
                <w:ilvl w:val="0"/>
                <w:numId w:val="19"/>
              </w:numPr>
              <w:suppressAutoHyphens/>
              <w:autoSpaceDN w:val="0"/>
              <w:spacing w:before="40" w:after="40"/>
              <w:ind w:left="391"/>
              <w:textAlignment w:val="baseline"/>
              <w:rPr>
                <w:rFonts w:eastAsia="Calibri" w:cs="Arial"/>
                <w:sz w:val="21"/>
                <w:szCs w:val="21"/>
                <w:lang w:val="es-ES" w:eastAsia="en-AU"/>
              </w:rPr>
            </w:pPr>
            <w:r w:rsidRPr="00384A5F">
              <w:rPr>
                <w:rFonts w:eastAsia="Calibri" w:cs="Arial"/>
                <w:sz w:val="21"/>
                <w:szCs w:val="21"/>
                <w:lang w:val="es-ES" w:eastAsia="es-ES"/>
              </w:rPr>
              <w:t>Se vuelve a designar a los expertos en la COP8, con cambios:</w:t>
            </w:r>
          </w:p>
          <w:p w14:paraId="617CD912" w14:textId="77777777" w:rsidR="001B6CDD" w:rsidRPr="00F41084" w:rsidRDefault="001B6CDD" w:rsidP="001B6CDD">
            <w:pPr>
              <w:widowControl w:val="0"/>
              <w:numPr>
                <w:ilvl w:val="1"/>
                <w:numId w:val="8"/>
              </w:numPr>
              <w:suppressAutoHyphens/>
              <w:autoSpaceDE w:val="0"/>
              <w:autoSpaceDN w:val="0"/>
              <w:spacing w:before="40" w:after="40"/>
              <w:ind w:left="737" w:hanging="368"/>
              <w:textAlignment w:val="baseline"/>
              <w:rPr>
                <w:rFonts w:eastAsia="Calibri" w:cs="Arial"/>
                <w:sz w:val="21"/>
                <w:szCs w:val="21"/>
                <w:lang w:val="es-ES" w:eastAsia="en-AU"/>
              </w:rPr>
            </w:pPr>
            <w:r w:rsidRPr="00F41084">
              <w:rPr>
                <w:rFonts w:eastAsia="Calibri" w:cs="Arial"/>
                <w:sz w:val="21"/>
                <w:szCs w:val="21"/>
                <w:lang w:val="es-ES" w:eastAsia="es-ES"/>
              </w:rPr>
              <w:t>Mamíferos marinos y grandes peces = mamíferos acuáticos</w:t>
            </w:r>
          </w:p>
        </w:tc>
      </w:tr>
      <w:tr w:rsidR="001B6CDD" w:rsidRPr="00F41084" w14:paraId="58912F15"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B1458" w14:textId="77777777" w:rsidR="001B6CDD" w:rsidRPr="00F41084" w:rsidRDefault="001B6CDD" w:rsidP="001D4815">
            <w:pPr>
              <w:suppressAutoHyphens/>
              <w:autoSpaceDN w:val="0"/>
              <w:spacing w:before="120" w:after="120"/>
              <w:textAlignment w:val="baseline"/>
              <w:rPr>
                <w:rFonts w:eastAsia="Calibri" w:cs="Arial"/>
                <w:b/>
                <w:sz w:val="21"/>
                <w:szCs w:val="21"/>
                <w:lang w:val="en-AU" w:eastAsia="en-AU"/>
              </w:rPr>
            </w:pPr>
            <w:r w:rsidRPr="00F41084">
              <w:rPr>
                <w:rFonts w:eastAsia="Calibri" w:cs="Arial"/>
                <w:b/>
                <w:sz w:val="21"/>
                <w:szCs w:val="21"/>
                <w:lang w:val="es-ES" w:eastAsia="es-ES"/>
              </w:rPr>
              <w:t>COP10</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85EF7" w14:textId="77777777" w:rsidR="001B6CDD" w:rsidRPr="00F41084" w:rsidRDefault="001B6CDD" w:rsidP="001D4815">
            <w:pPr>
              <w:suppressAutoHyphens/>
              <w:autoSpaceDN w:val="0"/>
              <w:spacing w:before="120" w:after="120"/>
              <w:textAlignment w:val="baseline"/>
              <w:rPr>
                <w:rFonts w:eastAsia="Calibri" w:cs="Arial"/>
                <w:sz w:val="21"/>
                <w:szCs w:val="21"/>
                <w:lang w:val="en-AU" w:eastAsia="en-AU"/>
              </w:rPr>
            </w:pPr>
            <w:r w:rsidRPr="00F41084">
              <w:rPr>
                <w:rFonts w:eastAsia="Calibri" w:cs="Arial"/>
                <w:sz w:val="21"/>
                <w:szCs w:val="21"/>
                <w:lang w:val="es-ES" w:eastAsia="es-ES"/>
              </w:rPr>
              <w:t>2011</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01241" w14:textId="77777777" w:rsidR="001B6CDD" w:rsidRPr="0071653B" w:rsidRDefault="001B6CDD" w:rsidP="0071653B">
            <w:pPr>
              <w:pStyle w:val="ListParagraph"/>
              <w:numPr>
                <w:ilvl w:val="0"/>
                <w:numId w:val="19"/>
              </w:numPr>
              <w:suppressAutoHyphens/>
              <w:autoSpaceDN w:val="0"/>
              <w:spacing w:before="40" w:after="40"/>
              <w:ind w:left="391"/>
              <w:textAlignment w:val="baseline"/>
              <w:rPr>
                <w:rFonts w:eastAsia="Calibri" w:cs="Arial"/>
                <w:sz w:val="21"/>
                <w:szCs w:val="21"/>
                <w:lang w:val="es-ES" w:eastAsia="en-AU"/>
              </w:rPr>
            </w:pPr>
            <w:r w:rsidRPr="0071653B">
              <w:rPr>
                <w:rFonts w:eastAsia="Calibri" w:cs="Arial"/>
                <w:sz w:val="21"/>
                <w:szCs w:val="21"/>
                <w:lang w:val="es-ES" w:eastAsia="es-ES"/>
              </w:rPr>
              <w:t>Se vuelve a designar a los expertos en la COP9</w:t>
            </w:r>
          </w:p>
          <w:p w14:paraId="5AD93070" w14:textId="77777777" w:rsidR="001B6CDD" w:rsidRPr="00F41084" w:rsidRDefault="001B6CDD" w:rsidP="001D4815">
            <w:pPr>
              <w:suppressAutoHyphens/>
              <w:autoSpaceDN w:val="0"/>
              <w:spacing w:before="40" w:after="40"/>
              <w:ind w:left="369" w:hanging="369"/>
              <w:textAlignment w:val="baseline"/>
              <w:rPr>
                <w:rFonts w:eastAsia="Calibri" w:cs="Arial"/>
                <w:sz w:val="21"/>
                <w:szCs w:val="21"/>
                <w:lang w:val="en-AU" w:eastAsia="en-AU"/>
              </w:rPr>
            </w:pPr>
            <w:r w:rsidRPr="00F41084">
              <w:rPr>
                <w:rFonts w:eastAsia="Calibri" w:cs="Arial"/>
                <w:sz w:val="21"/>
                <w:szCs w:val="21"/>
                <w:lang w:val="es-ES" w:eastAsia="es-ES"/>
              </w:rPr>
              <w:t>Se añade:</w:t>
            </w:r>
          </w:p>
          <w:p w14:paraId="592416F2" w14:textId="77777777" w:rsidR="001B6CDD" w:rsidRPr="0071653B" w:rsidRDefault="001B6CDD" w:rsidP="0071653B">
            <w:pPr>
              <w:pStyle w:val="ListParagraph"/>
              <w:numPr>
                <w:ilvl w:val="0"/>
                <w:numId w:val="19"/>
              </w:numPr>
              <w:suppressAutoHyphens/>
              <w:autoSpaceDN w:val="0"/>
              <w:spacing w:before="40" w:after="40"/>
              <w:ind w:left="481" w:hanging="450"/>
              <w:textAlignment w:val="baseline"/>
              <w:rPr>
                <w:rFonts w:eastAsia="Calibri" w:cs="Arial"/>
                <w:sz w:val="21"/>
                <w:szCs w:val="21"/>
                <w:lang w:val="en-AU" w:eastAsia="en-AU"/>
              </w:rPr>
            </w:pPr>
            <w:r w:rsidRPr="0071653B">
              <w:rPr>
                <w:rFonts w:eastAsia="Calibri" w:cs="Arial"/>
                <w:sz w:val="21"/>
                <w:szCs w:val="21"/>
                <w:lang w:val="es-ES" w:eastAsia="es-ES"/>
              </w:rPr>
              <w:t>Cambio climático</w:t>
            </w:r>
          </w:p>
        </w:tc>
      </w:tr>
      <w:tr w:rsidR="001B6CDD" w:rsidRPr="00A51E6E" w14:paraId="3649854C"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DBED" w14:textId="34E6984D" w:rsidR="001B6CDD" w:rsidRPr="00F41084" w:rsidRDefault="00F0529A" w:rsidP="001D4815">
            <w:pPr>
              <w:suppressAutoHyphens/>
              <w:autoSpaceDN w:val="0"/>
              <w:spacing w:before="120" w:after="120"/>
              <w:textAlignment w:val="baseline"/>
              <w:rPr>
                <w:rFonts w:eastAsia="Calibri" w:cs="Arial"/>
                <w:b/>
                <w:sz w:val="21"/>
                <w:szCs w:val="21"/>
                <w:lang w:val="es-ES" w:eastAsia="es-ES"/>
              </w:rPr>
            </w:pPr>
            <w:r>
              <w:rPr>
                <w:rFonts w:eastAsia="Calibri" w:cs="Arial"/>
                <w:b/>
                <w:sz w:val="21"/>
                <w:szCs w:val="21"/>
                <w:lang w:val="es-ES" w:eastAsia="es-ES"/>
              </w:rPr>
              <w:t>COP11</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F10F" w14:textId="13D4653C" w:rsidR="001B6CDD" w:rsidRPr="00F41084" w:rsidRDefault="001B3FF8" w:rsidP="001D4815">
            <w:pPr>
              <w:suppressAutoHyphens/>
              <w:autoSpaceDN w:val="0"/>
              <w:spacing w:before="120" w:after="120"/>
              <w:textAlignment w:val="baseline"/>
              <w:rPr>
                <w:rFonts w:eastAsia="Calibri" w:cs="Arial"/>
                <w:sz w:val="21"/>
                <w:szCs w:val="21"/>
                <w:lang w:val="es-ES" w:eastAsia="es-ES"/>
              </w:rPr>
            </w:pPr>
            <w:r>
              <w:rPr>
                <w:rFonts w:eastAsia="Calibri" w:cs="Arial"/>
                <w:sz w:val="21"/>
                <w:szCs w:val="21"/>
                <w:lang w:val="es-ES" w:eastAsia="es-ES"/>
              </w:rPr>
              <w:t>2014</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D9DC0" w14:textId="6A57B557" w:rsidR="001B6CDD" w:rsidRPr="0071653B" w:rsidRDefault="00AA7ADA" w:rsidP="0071653B">
            <w:pPr>
              <w:pStyle w:val="ListParagraph"/>
              <w:numPr>
                <w:ilvl w:val="0"/>
                <w:numId w:val="19"/>
              </w:numPr>
              <w:suppressAutoHyphens/>
              <w:autoSpaceDN w:val="0"/>
              <w:spacing w:before="40" w:after="40"/>
              <w:ind w:left="481" w:hanging="450"/>
              <w:textAlignment w:val="baseline"/>
              <w:rPr>
                <w:rFonts w:eastAsia="Calibri" w:cs="Arial"/>
                <w:sz w:val="21"/>
                <w:szCs w:val="21"/>
                <w:lang w:val="es-ES" w:eastAsia="es-ES"/>
              </w:rPr>
            </w:pPr>
            <w:r w:rsidRPr="0071653B">
              <w:rPr>
                <w:rFonts w:eastAsia="Calibri" w:cs="Arial"/>
                <w:sz w:val="21"/>
                <w:szCs w:val="21"/>
                <w:lang w:val="es-ES" w:eastAsia="es-ES"/>
              </w:rPr>
              <w:t xml:space="preserve"> No se han introducido cambios</w:t>
            </w:r>
          </w:p>
        </w:tc>
      </w:tr>
      <w:tr w:rsidR="001B6CDD" w:rsidRPr="00A51E6E" w14:paraId="69AA7429"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F742D" w14:textId="39B17F4E" w:rsidR="001B6CDD" w:rsidRPr="00F41084" w:rsidRDefault="00F0529A" w:rsidP="001D4815">
            <w:pPr>
              <w:suppressAutoHyphens/>
              <w:autoSpaceDN w:val="0"/>
              <w:spacing w:before="120" w:after="120"/>
              <w:textAlignment w:val="baseline"/>
              <w:rPr>
                <w:rFonts w:eastAsia="Calibri" w:cs="Arial"/>
                <w:b/>
                <w:sz w:val="21"/>
                <w:szCs w:val="21"/>
                <w:lang w:val="es-ES" w:eastAsia="es-ES"/>
              </w:rPr>
            </w:pPr>
            <w:r>
              <w:rPr>
                <w:rFonts w:eastAsia="Calibri" w:cs="Arial"/>
                <w:b/>
                <w:sz w:val="21"/>
                <w:szCs w:val="21"/>
                <w:lang w:val="es-ES" w:eastAsia="es-ES"/>
              </w:rPr>
              <w:t>COP12</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8D3DD" w14:textId="5BF9CC7A" w:rsidR="001B6CDD" w:rsidRPr="00F41084" w:rsidRDefault="001B3FF8" w:rsidP="001D4815">
            <w:pPr>
              <w:suppressAutoHyphens/>
              <w:autoSpaceDN w:val="0"/>
              <w:spacing w:before="120" w:after="120"/>
              <w:textAlignment w:val="baseline"/>
              <w:rPr>
                <w:rFonts w:eastAsia="Calibri" w:cs="Arial"/>
                <w:sz w:val="21"/>
                <w:szCs w:val="21"/>
                <w:lang w:val="es-ES" w:eastAsia="es-ES"/>
              </w:rPr>
            </w:pPr>
            <w:r>
              <w:rPr>
                <w:rFonts w:eastAsia="Calibri" w:cs="Arial"/>
                <w:sz w:val="21"/>
                <w:szCs w:val="21"/>
                <w:lang w:val="es-ES" w:eastAsia="es-ES"/>
              </w:rPr>
              <w:t>2017</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4A63E" w14:textId="77CF8ABD" w:rsidR="001B6CDD" w:rsidRPr="0071653B" w:rsidRDefault="00AA7ADA" w:rsidP="0071653B">
            <w:pPr>
              <w:pStyle w:val="ListParagraph"/>
              <w:numPr>
                <w:ilvl w:val="0"/>
                <w:numId w:val="19"/>
              </w:numPr>
              <w:suppressAutoHyphens/>
              <w:autoSpaceDN w:val="0"/>
              <w:spacing w:before="40" w:after="40"/>
              <w:ind w:left="391"/>
              <w:textAlignment w:val="baseline"/>
              <w:rPr>
                <w:rFonts w:eastAsia="Calibri" w:cs="Arial"/>
                <w:sz w:val="21"/>
                <w:szCs w:val="21"/>
                <w:lang w:val="es-ES" w:eastAsia="es-ES"/>
              </w:rPr>
            </w:pPr>
            <w:r w:rsidRPr="0071653B">
              <w:rPr>
                <w:rFonts w:eastAsia="Calibri" w:cs="Arial"/>
                <w:sz w:val="21"/>
                <w:szCs w:val="21"/>
                <w:lang w:val="es-ES" w:eastAsia="es-ES"/>
              </w:rPr>
              <w:t>No se han introducido cambios</w:t>
            </w:r>
          </w:p>
        </w:tc>
      </w:tr>
      <w:tr w:rsidR="00F0529A" w:rsidRPr="00A51E6E" w14:paraId="7C024568"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BFE13" w14:textId="1E23919E" w:rsidR="00F0529A" w:rsidRPr="00F41084" w:rsidRDefault="00F0529A" w:rsidP="001D4815">
            <w:pPr>
              <w:suppressAutoHyphens/>
              <w:autoSpaceDN w:val="0"/>
              <w:spacing w:before="120" w:after="120"/>
              <w:textAlignment w:val="baseline"/>
              <w:rPr>
                <w:rFonts w:eastAsia="Calibri" w:cs="Arial"/>
                <w:b/>
                <w:sz w:val="21"/>
                <w:szCs w:val="21"/>
                <w:lang w:val="es-ES" w:eastAsia="es-ES"/>
              </w:rPr>
            </w:pPr>
            <w:r>
              <w:rPr>
                <w:rFonts w:eastAsia="Calibri" w:cs="Arial"/>
                <w:b/>
                <w:sz w:val="21"/>
                <w:szCs w:val="21"/>
                <w:lang w:val="es-ES" w:eastAsia="es-ES"/>
              </w:rPr>
              <w:t>COP13</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ED42D" w14:textId="0EA11746" w:rsidR="00F0529A" w:rsidRPr="00F41084" w:rsidRDefault="001B3FF8" w:rsidP="001D4815">
            <w:pPr>
              <w:suppressAutoHyphens/>
              <w:autoSpaceDN w:val="0"/>
              <w:spacing w:before="120" w:after="120"/>
              <w:textAlignment w:val="baseline"/>
              <w:rPr>
                <w:rFonts w:eastAsia="Calibri" w:cs="Arial"/>
                <w:sz w:val="21"/>
                <w:szCs w:val="21"/>
                <w:lang w:val="es-ES" w:eastAsia="es-ES"/>
              </w:rPr>
            </w:pPr>
            <w:r>
              <w:rPr>
                <w:rFonts w:eastAsia="Calibri" w:cs="Arial"/>
                <w:sz w:val="21"/>
                <w:szCs w:val="21"/>
                <w:lang w:val="es-ES" w:eastAsia="es-ES"/>
              </w:rPr>
              <w:t>2020</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EA1CF" w14:textId="679A1450" w:rsidR="00F0529A" w:rsidRPr="005F2273" w:rsidRDefault="003B403E" w:rsidP="003B403E">
            <w:pPr>
              <w:pStyle w:val="ListParagraph"/>
              <w:numPr>
                <w:ilvl w:val="0"/>
                <w:numId w:val="19"/>
              </w:numPr>
              <w:suppressAutoHyphens/>
              <w:autoSpaceDN w:val="0"/>
              <w:spacing w:before="40" w:after="40"/>
              <w:ind w:left="391"/>
              <w:jc w:val="both"/>
              <w:textAlignment w:val="baseline"/>
              <w:rPr>
                <w:rFonts w:eastAsia="Calibri" w:cs="Arial"/>
                <w:sz w:val="21"/>
                <w:szCs w:val="21"/>
                <w:lang w:val="es-ES" w:eastAsia="es-ES"/>
              </w:rPr>
            </w:pPr>
            <w:r w:rsidRPr="003B403E">
              <w:rPr>
                <w:rFonts w:eastAsia="Calibri" w:cs="Arial"/>
                <w:sz w:val="21"/>
                <w:szCs w:val="21"/>
                <w:lang w:val="es-ES" w:eastAsia="es-ES"/>
              </w:rPr>
              <w:t>El área temática de Tortugas marinas se sustituye por Contaminación marina; las áreas temáticas de Fauna asiática, Fauna neotropical y Fauna africana se fusionan en una única área temática de Mamíferos terrestres; se crean dos nuevas áreas temáticas de Conectividad/redes y de Especies invasoras, enfermedades, animales asilvestrados, insectos y plagas y malezas marinas.</w:t>
            </w:r>
          </w:p>
        </w:tc>
      </w:tr>
      <w:tr w:rsidR="00F0529A" w:rsidRPr="00F41084" w14:paraId="59AE88B0" w14:textId="77777777" w:rsidTr="001D4815">
        <w:tc>
          <w:tcPr>
            <w:tcW w:w="6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E474B" w14:textId="48DB423E" w:rsidR="00F0529A" w:rsidRPr="00F41084" w:rsidRDefault="00F0529A" w:rsidP="001D4815">
            <w:pPr>
              <w:suppressAutoHyphens/>
              <w:autoSpaceDN w:val="0"/>
              <w:spacing w:before="120" w:after="120"/>
              <w:textAlignment w:val="baseline"/>
              <w:rPr>
                <w:rFonts w:eastAsia="Calibri" w:cs="Arial"/>
                <w:b/>
                <w:sz w:val="21"/>
                <w:szCs w:val="21"/>
                <w:lang w:val="es-ES" w:eastAsia="es-ES"/>
              </w:rPr>
            </w:pPr>
            <w:r>
              <w:rPr>
                <w:rFonts w:eastAsia="Calibri" w:cs="Arial"/>
                <w:b/>
                <w:sz w:val="21"/>
                <w:szCs w:val="21"/>
                <w:lang w:val="es-ES" w:eastAsia="es-ES"/>
              </w:rPr>
              <w:t>COP14</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1FE69" w14:textId="1979DC72" w:rsidR="00F0529A" w:rsidRPr="00F41084" w:rsidRDefault="001B3FF8" w:rsidP="001D4815">
            <w:pPr>
              <w:suppressAutoHyphens/>
              <w:autoSpaceDN w:val="0"/>
              <w:spacing w:before="120" w:after="120"/>
              <w:textAlignment w:val="baseline"/>
              <w:rPr>
                <w:rFonts w:eastAsia="Calibri" w:cs="Arial"/>
                <w:sz w:val="21"/>
                <w:szCs w:val="21"/>
                <w:lang w:val="es-ES" w:eastAsia="es-ES"/>
              </w:rPr>
            </w:pPr>
            <w:r>
              <w:rPr>
                <w:rFonts w:eastAsia="Calibri" w:cs="Arial"/>
                <w:sz w:val="21"/>
                <w:szCs w:val="21"/>
                <w:lang w:val="es-ES" w:eastAsia="es-ES"/>
              </w:rPr>
              <w:t>2024</w:t>
            </w:r>
          </w:p>
        </w:tc>
        <w:tc>
          <w:tcPr>
            <w:tcW w:w="3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4D8C5" w14:textId="77777777" w:rsidR="006C24EA" w:rsidRPr="006C24EA" w:rsidRDefault="006C24EA" w:rsidP="00E315E2">
            <w:pPr>
              <w:suppressAutoHyphens/>
              <w:autoSpaceDN w:val="0"/>
              <w:spacing w:before="40" w:after="40"/>
              <w:jc w:val="both"/>
              <w:textAlignment w:val="baseline"/>
              <w:rPr>
                <w:rFonts w:eastAsia="Calibri" w:cs="Arial"/>
                <w:sz w:val="21"/>
                <w:szCs w:val="21"/>
                <w:lang w:val="es-ES" w:eastAsia="es-ES"/>
              </w:rPr>
            </w:pPr>
            <w:r w:rsidRPr="006C24EA">
              <w:rPr>
                <w:rFonts w:eastAsia="Calibri" w:cs="Arial"/>
                <w:sz w:val="21"/>
                <w:szCs w:val="21"/>
                <w:lang w:val="es-ES" w:eastAsia="es-ES"/>
              </w:rPr>
              <w:t xml:space="preserve">No se ha introducido ningún cambio, las zonas siguen siendo las siguientes: </w:t>
            </w:r>
          </w:p>
          <w:p w14:paraId="12FCE51F" w14:textId="19342FBF" w:rsidR="006C24EA" w:rsidRPr="005F2273" w:rsidRDefault="006C24EA" w:rsidP="005F2273">
            <w:pPr>
              <w:pStyle w:val="ListParagraph"/>
              <w:numPr>
                <w:ilvl w:val="0"/>
                <w:numId w:val="21"/>
              </w:numPr>
              <w:suppressAutoHyphens/>
              <w:autoSpaceDN w:val="0"/>
              <w:spacing w:before="40" w:after="40"/>
              <w:ind w:left="391"/>
              <w:textAlignment w:val="baseline"/>
              <w:rPr>
                <w:rFonts w:eastAsia="Calibri" w:cs="Arial"/>
                <w:sz w:val="21"/>
                <w:szCs w:val="21"/>
                <w:lang w:val="es-ES" w:eastAsia="es-ES"/>
              </w:rPr>
            </w:pPr>
            <w:r w:rsidRPr="005F2273">
              <w:rPr>
                <w:rFonts w:eastAsia="Calibri" w:cs="Arial"/>
                <w:sz w:val="21"/>
                <w:szCs w:val="21"/>
                <w:lang w:val="es-ES" w:eastAsia="es-ES"/>
              </w:rPr>
              <w:t>Mamíferos acuáticos</w:t>
            </w:r>
          </w:p>
          <w:p w14:paraId="0AEE8ACA" w14:textId="0531D9B6" w:rsidR="006C24EA" w:rsidRPr="005F2273" w:rsidRDefault="006C24EA" w:rsidP="005F2273">
            <w:pPr>
              <w:pStyle w:val="ListParagraph"/>
              <w:numPr>
                <w:ilvl w:val="0"/>
                <w:numId w:val="21"/>
              </w:numPr>
              <w:suppressAutoHyphens/>
              <w:autoSpaceDN w:val="0"/>
              <w:spacing w:before="40" w:after="40"/>
              <w:ind w:left="391"/>
              <w:textAlignment w:val="baseline"/>
              <w:rPr>
                <w:rFonts w:eastAsia="Calibri" w:cs="Arial"/>
                <w:sz w:val="21"/>
                <w:szCs w:val="21"/>
                <w:lang w:val="es-ES" w:eastAsia="es-ES"/>
              </w:rPr>
            </w:pPr>
            <w:r w:rsidRPr="005F2273">
              <w:rPr>
                <w:rFonts w:eastAsia="Calibri" w:cs="Arial"/>
                <w:sz w:val="21"/>
                <w:szCs w:val="21"/>
                <w:lang w:val="es-ES" w:eastAsia="es-ES"/>
              </w:rPr>
              <w:t>Aves</w:t>
            </w:r>
          </w:p>
          <w:p w14:paraId="7C4F2785" w14:textId="3BB0193E" w:rsidR="006C24EA" w:rsidRPr="005F2273" w:rsidRDefault="006C24EA" w:rsidP="005F2273">
            <w:pPr>
              <w:pStyle w:val="ListParagraph"/>
              <w:numPr>
                <w:ilvl w:val="0"/>
                <w:numId w:val="21"/>
              </w:numPr>
              <w:suppressAutoHyphens/>
              <w:autoSpaceDN w:val="0"/>
              <w:spacing w:before="40" w:after="40"/>
              <w:ind w:left="391"/>
              <w:textAlignment w:val="baseline"/>
              <w:rPr>
                <w:rFonts w:eastAsia="Calibri" w:cs="Arial"/>
                <w:sz w:val="21"/>
                <w:szCs w:val="21"/>
                <w:lang w:val="es-ES" w:eastAsia="es-ES"/>
              </w:rPr>
            </w:pPr>
            <w:r w:rsidRPr="005F2273">
              <w:rPr>
                <w:rFonts w:eastAsia="Calibri" w:cs="Arial"/>
                <w:sz w:val="21"/>
                <w:szCs w:val="21"/>
                <w:lang w:val="es-ES" w:eastAsia="es-ES"/>
              </w:rPr>
              <w:t>Capturas accesorias</w:t>
            </w:r>
          </w:p>
          <w:p w14:paraId="03AC05BE" w14:textId="531EDBC4" w:rsidR="006C24EA" w:rsidRPr="005F2273" w:rsidRDefault="006C24EA" w:rsidP="005F2273">
            <w:pPr>
              <w:pStyle w:val="ListParagraph"/>
              <w:numPr>
                <w:ilvl w:val="0"/>
                <w:numId w:val="21"/>
              </w:numPr>
              <w:suppressAutoHyphens/>
              <w:autoSpaceDN w:val="0"/>
              <w:spacing w:before="40" w:after="40"/>
              <w:ind w:left="391"/>
              <w:textAlignment w:val="baseline"/>
              <w:rPr>
                <w:rFonts w:eastAsia="Calibri" w:cs="Arial"/>
                <w:sz w:val="21"/>
                <w:szCs w:val="21"/>
                <w:lang w:val="es-ES" w:eastAsia="es-ES"/>
              </w:rPr>
            </w:pPr>
            <w:r w:rsidRPr="005F2273">
              <w:rPr>
                <w:rFonts w:eastAsia="Calibri" w:cs="Arial"/>
                <w:sz w:val="21"/>
                <w:szCs w:val="21"/>
                <w:lang w:val="es-ES" w:eastAsia="es-ES"/>
              </w:rPr>
              <w:t xml:space="preserve">Cambio climático </w:t>
            </w:r>
          </w:p>
          <w:p w14:paraId="7964F734" w14:textId="3DFAF298" w:rsidR="006C24EA" w:rsidRPr="005F2273" w:rsidRDefault="006C24EA" w:rsidP="005F2273">
            <w:pPr>
              <w:pStyle w:val="ListParagraph"/>
              <w:numPr>
                <w:ilvl w:val="0"/>
                <w:numId w:val="21"/>
              </w:numPr>
              <w:suppressAutoHyphens/>
              <w:autoSpaceDN w:val="0"/>
              <w:spacing w:before="40" w:after="40"/>
              <w:ind w:left="391"/>
              <w:textAlignment w:val="baseline"/>
              <w:rPr>
                <w:rFonts w:eastAsia="Calibri" w:cs="Arial"/>
                <w:sz w:val="21"/>
                <w:szCs w:val="21"/>
                <w:lang w:val="es-ES" w:eastAsia="es-ES"/>
              </w:rPr>
            </w:pPr>
            <w:r w:rsidRPr="005F2273">
              <w:rPr>
                <w:rFonts w:eastAsia="Calibri" w:cs="Arial"/>
                <w:sz w:val="21"/>
                <w:szCs w:val="21"/>
                <w:lang w:val="es-ES" w:eastAsia="es-ES"/>
              </w:rPr>
              <w:t xml:space="preserve">Conectividad/Red </w:t>
            </w:r>
          </w:p>
          <w:p w14:paraId="316C7409" w14:textId="6133A0FE" w:rsidR="006C24EA" w:rsidRPr="005F2273" w:rsidRDefault="006C24EA" w:rsidP="005F2273">
            <w:pPr>
              <w:pStyle w:val="ListParagraph"/>
              <w:numPr>
                <w:ilvl w:val="0"/>
                <w:numId w:val="21"/>
              </w:numPr>
              <w:suppressAutoHyphens/>
              <w:autoSpaceDN w:val="0"/>
              <w:spacing w:before="40" w:after="40"/>
              <w:ind w:left="391"/>
              <w:textAlignment w:val="baseline"/>
              <w:rPr>
                <w:rFonts w:eastAsia="Calibri" w:cs="Arial"/>
                <w:sz w:val="21"/>
                <w:szCs w:val="21"/>
                <w:lang w:val="es-ES" w:eastAsia="es-ES"/>
              </w:rPr>
            </w:pPr>
            <w:r w:rsidRPr="005F2273">
              <w:rPr>
                <w:rFonts w:eastAsia="Calibri" w:cs="Arial"/>
                <w:sz w:val="21"/>
                <w:szCs w:val="21"/>
                <w:lang w:val="es-ES" w:eastAsia="es-ES"/>
              </w:rPr>
              <w:t>Peces</w:t>
            </w:r>
          </w:p>
          <w:p w14:paraId="28AC57B6" w14:textId="2B9A02A5" w:rsidR="006C24EA" w:rsidRPr="005F2273" w:rsidRDefault="006C24EA" w:rsidP="005F2273">
            <w:pPr>
              <w:pStyle w:val="ListParagraph"/>
              <w:numPr>
                <w:ilvl w:val="0"/>
                <w:numId w:val="21"/>
              </w:numPr>
              <w:suppressAutoHyphens/>
              <w:autoSpaceDN w:val="0"/>
              <w:spacing w:before="40" w:after="40"/>
              <w:ind w:left="391"/>
              <w:textAlignment w:val="baseline"/>
              <w:rPr>
                <w:rFonts w:eastAsia="Calibri" w:cs="Arial"/>
                <w:sz w:val="21"/>
                <w:szCs w:val="21"/>
                <w:lang w:val="es-ES" w:eastAsia="es-ES"/>
              </w:rPr>
            </w:pPr>
            <w:r w:rsidRPr="005F2273">
              <w:rPr>
                <w:rFonts w:eastAsia="Calibri" w:cs="Arial"/>
                <w:sz w:val="21"/>
                <w:szCs w:val="21"/>
                <w:lang w:val="es-ES" w:eastAsia="es-ES"/>
              </w:rPr>
              <w:t>Especies invasoras, enfermedades, animales asilvestrados, insectos y plagas y malas hierbas marinas</w:t>
            </w:r>
          </w:p>
          <w:p w14:paraId="76AD9DCE" w14:textId="5AECB03D" w:rsidR="006C24EA" w:rsidRPr="005F2273" w:rsidRDefault="006C24EA" w:rsidP="005F2273">
            <w:pPr>
              <w:pStyle w:val="ListParagraph"/>
              <w:numPr>
                <w:ilvl w:val="0"/>
                <w:numId w:val="21"/>
              </w:numPr>
              <w:suppressAutoHyphens/>
              <w:autoSpaceDN w:val="0"/>
              <w:spacing w:before="40" w:after="40"/>
              <w:ind w:left="391"/>
              <w:textAlignment w:val="baseline"/>
              <w:rPr>
                <w:rFonts w:eastAsia="Calibri" w:cs="Arial"/>
                <w:sz w:val="21"/>
                <w:szCs w:val="21"/>
                <w:lang w:val="es-ES" w:eastAsia="es-ES"/>
              </w:rPr>
            </w:pPr>
            <w:r w:rsidRPr="005F2273">
              <w:rPr>
                <w:rFonts w:eastAsia="Calibri" w:cs="Arial"/>
                <w:sz w:val="21"/>
                <w:szCs w:val="21"/>
                <w:lang w:val="es-ES" w:eastAsia="es-ES"/>
              </w:rPr>
              <w:t>Contaminación marina</w:t>
            </w:r>
          </w:p>
          <w:p w14:paraId="4CD9C6DA" w14:textId="7D8BECFB" w:rsidR="00F0529A" w:rsidRPr="005F2273" w:rsidRDefault="006C24EA" w:rsidP="005F2273">
            <w:pPr>
              <w:pStyle w:val="ListParagraph"/>
              <w:numPr>
                <w:ilvl w:val="0"/>
                <w:numId w:val="21"/>
              </w:numPr>
              <w:suppressAutoHyphens/>
              <w:autoSpaceDN w:val="0"/>
              <w:spacing w:before="40" w:after="40"/>
              <w:ind w:left="391"/>
              <w:textAlignment w:val="baseline"/>
              <w:rPr>
                <w:rFonts w:eastAsia="Calibri" w:cs="Arial"/>
                <w:sz w:val="21"/>
                <w:szCs w:val="21"/>
                <w:lang w:val="es-ES" w:eastAsia="es-ES"/>
              </w:rPr>
            </w:pPr>
            <w:r w:rsidRPr="005F2273">
              <w:rPr>
                <w:rFonts w:eastAsia="Calibri" w:cs="Arial"/>
                <w:sz w:val="21"/>
                <w:szCs w:val="21"/>
                <w:lang w:val="es-ES" w:eastAsia="es-ES"/>
              </w:rPr>
              <w:t>- Mamíferos terrestres</w:t>
            </w:r>
          </w:p>
        </w:tc>
      </w:tr>
    </w:tbl>
    <w:p w14:paraId="48EEA9DC" w14:textId="77777777" w:rsidR="001E512C" w:rsidRPr="001E512C" w:rsidRDefault="001E512C" w:rsidP="001E512C">
      <w:pPr>
        <w:jc w:val="both"/>
        <w:rPr>
          <w:rFonts w:eastAsia="Calibri" w:cs="Arial"/>
          <w:lang w:val="en-AU"/>
        </w:rPr>
      </w:pPr>
    </w:p>
    <w:p w14:paraId="06F73DCF" w14:textId="77777777" w:rsidR="001E512C" w:rsidRPr="00313ACC" w:rsidRDefault="001E512C" w:rsidP="00313ACC">
      <w:pPr>
        <w:pStyle w:val="ListParagraph"/>
        <w:numPr>
          <w:ilvl w:val="0"/>
          <w:numId w:val="5"/>
        </w:numPr>
        <w:ind w:left="540" w:hanging="540"/>
        <w:jc w:val="both"/>
        <w:rPr>
          <w:rFonts w:eastAsia="Calibri" w:cs="Arial"/>
          <w:lang w:val="es-ES"/>
        </w:rPr>
      </w:pPr>
      <w:r w:rsidRPr="00313ACC">
        <w:rPr>
          <w:rFonts w:eastAsia="Calibri" w:cs="Arial"/>
          <w:lang w:val="es-ES"/>
        </w:rPr>
        <w:t xml:space="preserve">Los comentarios de los </w:t>
      </w:r>
      <w:proofErr w:type="gramStart"/>
      <w:r w:rsidRPr="00313ACC">
        <w:rPr>
          <w:rFonts w:eastAsia="Calibri" w:cs="Arial"/>
          <w:lang w:val="es-ES"/>
        </w:rPr>
        <w:t>Consejeros</w:t>
      </w:r>
      <w:proofErr w:type="gramEnd"/>
      <w:r w:rsidRPr="00313ACC">
        <w:rPr>
          <w:rFonts w:eastAsia="Calibri" w:cs="Arial"/>
          <w:lang w:val="es-ES"/>
        </w:rPr>
        <w:t xml:space="preserve"> designados por la COP sugieren que la cantidad de trabajo asignado bajo las áreas temáticas específicas, tal como se definieron hasta la COP14, es adecuada para la mayoría de las áreas temáticas, excepto para el área temática de «Especies invasoras, enfermedades, animales asilvestrados, insectos y plagas marinas y malezas», que se considera demasiado amplia para que un solo experto la cubra. El Consejo Científico puede considerar recomendar un límite al alcance de esta posición de </w:t>
      </w:r>
      <w:proofErr w:type="gramStart"/>
      <w:r w:rsidRPr="00313ACC">
        <w:rPr>
          <w:rFonts w:eastAsia="Calibri" w:cs="Arial"/>
          <w:lang w:val="es-ES"/>
        </w:rPr>
        <w:t>Consejero</w:t>
      </w:r>
      <w:proofErr w:type="gramEnd"/>
      <w:r w:rsidRPr="00313ACC">
        <w:rPr>
          <w:rFonts w:eastAsia="Calibri" w:cs="Arial"/>
          <w:lang w:val="es-ES"/>
        </w:rPr>
        <w:t xml:space="preserve"> designado por la COP para abordar temas de salud animal (incluyendo gripe aviar y envenenamiento) y considerar cómo asegurar que las áreas restantes también sean abordadas, si aún se consideran prioritarias.</w:t>
      </w:r>
    </w:p>
    <w:p w14:paraId="560ADC5B" w14:textId="77777777" w:rsidR="001E512C" w:rsidRPr="001E512C" w:rsidRDefault="001E512C" w:rsidP="00313ACC">
      <w:pPr>
        <w:ind w:left="540" w:hanging="540"/>
        <w:jc w:val="both"/>
        <w:rPr>
          <w:rFonts w:eastAsia="Calibri" w:cs="Arial"/>
          <w:lang w:val="es-ES"/>
        </w:rPr>
      </w:pPr>
    </w:p>
    <w:p w14:paraId="79B464B3" w14:textId="77777777" w:rsidR="001E512C" w:rsidRPr="00313ACC" w:rsidRDefault="001E512C" w:rsidP="00313ACC">
      <w:pPr>
        <w:pStyle w:val="ListParagraph"/>
        <w:numPr>
          <w:ilvl w:val="0"/>
          <w:numId w:val="5"/>
        </w:numPr>
        <w:ind w:left="540" w:hanging="540"/>
        <w:jc w:val="both"/>
        <w:rPr>
          <w:rFonts w:eastAsia="Calibri" w:cs="Times New Roman"/>
          <w:lang w:val="es-ES"/>
        </w:rPr>
      </w:pPr>
      <w:r w:rsidRPr="00313ACC">
        <w:rPr>
          <w:rFonts w:eastAsia="Calibri" w:cs="Times New Roman"/>
          <w:lang w:val="es-ES"/>
        </w:rPr>
        <w:t xml:space="preserve">El Consejo Científico puede desear reflexionar sobre cómo equilibrar mejor la necesidad de áreas temáticas específicas de especies y de áreas temáticas centradas en cuestiones transversales que recientemente han ganado más importancia, considerando los objetivos y metas del Plan Estratégico de Samarcanda para las Especies Migratorias 2024-2032 adoptado por la COP14 y las amenazas a las especies </w:t>
      </w:r>
      <w:r w:rsidRPr="00313ACC">
        <w:rPr>
          <w:rFonts w:eastAsia="Calibri" w:cs="Times New Roman"/>
          <w:lang w:val="es-ES"/>
        </w:rPr>
        <w:lastRenderedPageBreak/>
        <w:t>migratorias identificadas en el informe sobre el Estado de las Especies Migratorias del Mundo.</w:t>
      </w:r>
    </w:p>
    <w:p w14:paraId="18881879" w14:textId="77777777" w:rsidR="001E512C" w:rsidRDefault="001E512C" w:rsidP="00313ACC">
      <w:pPr>
        <w:ind w:left="540" w:hanging="540"/>
        <w:jc w:val="both"/>
        <w:rPr>
          <w:rFonts w:eastAsia="Calibri" w:cs="Times New Roman"/>
          <w:lang w:val="es-ES"/>
        </w:rPr>
      </w:pPr>
    </w:p>
    <w:p w14:paraId="381F8DBC" w14:textId="77777777" w:rsidR="001E512C" w:rsidRPr="00313ACC" w:rsidRDefault="001E512C" w:rsidP="00313ACC">
      <w:pPr>
        <w:pStyle w:val="ListParagraph"/>
        <w:numPr>
          <w:ilvl w:val="0"/>
          <w:numId w:val="5"/>
        </w:numPr>
        <w:ind w:left="540" w:hanging="540"/>
        <w:jc w:val="both"/>
        <w:rPr>
          <w:rFonts w:eastAsia="Calibri" w:cs="Arial"/>
          <w:lang w:val="es-ES"/>
        </w:rPr>
      </w:pPr>
      <w:r w:rsidRPr="00313ACC">
        <w:rPr>
          <w:rFonts w:eastAsia="Calibri" w:cs="Arial"/>
          <w:lang w:val="es-ES"/>
        </w:rPr>
        <w:t xml:space="preserve">Dado el número limitado de posiciones de </w:t>
      </w:r>
      <w:proofErr w:type="gramStart"/>
      <w:r w:rsidRPr="00313ACC">
        <w:rPr>
          <w:rFonts w:eastAsia="Calibri" w:cs="Arial"/>
          <w:lang w:val="es-ES"/>
        </w:rPr>
        <w:t>Consejeros</w:t>
      </w:r>
      <w:proofErr w:type="gramEnd"/>
      <w:r w:rsidRPr="00313ACC">
        <w:rPr>
          <w:rFonts w:eastAsia="Calibri" w:cs="Arial"/>
          <w:lang w:val="es-ES"/>
        </w:rPr>
        <w:t xml:space="preserve"> designados por la COP y el mayor número de Decisiones adoptadas por la COP14, puede ser un reto cubrir todas las tareas necesarias para cumplir con las Decisiones de la COP14, sin agregar una carga desproporcionada a los Consejeros actuales designados por la COP.</w:t>
      </w:r>
    </w:p>
    <w:p w14:paraId="2D8D2C7B" w14:textId="77777777" w:rsidR="001E512C" w:rsidRPr="001E512C" w:rsidRDefault="001E512C" w:rsidP="00313ACC">
      <w:pPr>
        <w:ind w:left="540" w:hanging="540"/>
        <w:jc w:val="both"/>
        <w:rPr>
          <w:rFonts w:eastAsia="Calibri" w:cs="Arial"/>
          <w:lang w:val="es-ES"/>
        </w:rPr>
      </w:pPr>
    </w:p>
    <w:p w14:paraId="1BF03397" w14:textId="77777777" w:rsidR="001E512C" w:rsidRPr="00313ACC" w:rsidRDefault="001E512C" w:rsidP="00313ACC">
      <w:pPr>
        <w:pStyle w:val="ListParagraph"/>
        <w:numPr>
          <w:ilvl w:val="0"/>
          <w:numId w:val="5"/>
        </w:numPr>
        <w:ind w:left="540" w:hanging="540"/>
        <w:jc w:val="both"/>
        <w:rPr>
          <w:rFonts w:eastAsia="Calibri" w:cs="Arial"/>
          <w:lang w:val="es-ES"/>
        </w:rPr>
      </w:pPr>
      <w:r w:rsidRPr="00313ACC">
        <w:rPr>
          <w:rFonts w:eastAsia="Calibri" w:cs="Arial"/>
          <w:lang w:val="es-ES"/>
        </w:rPr>
        <w:t xml:space="preserve">Las áreas que actualmente no están cubiertas por ninguna de las posiciones de </w:t>
      </w:r>
      <w:proofErr w:type="gramStart"/>
      <w:r w:rsidRPr="00313ACC">
        <w:rPr>
          <w:rFonts w:eastAsia="Calibri" w:cs="Arial"/>
          <w:lang w:val="es-ES"/>
        </w:rPr>
        <w:t>Consejeros</w:t>
      </w:r>
      <w:proofErr w:type="gramEnd"/>
      <w:r w:rsidRPr="00313ACC">
        <w:rPr>
          <w:rFonts w:eastAsia="Calibri" w:cs="Arial"/>
          <w:lang w:val="es-ES"/>
        </w:rPr>
        <w:t xml:space="preserve"> designados por la COP incluyen: taxonomía y nomenclatura, hábitat crítico, conflicto y coexistencia entre humanos y vida silvestre, conocimiento indígena, contaminación más allá de la contaminación marina, explotación de minerales en el lecho marino profundo y áreas temáticas independientes para especies invasoras e insectos.</w:t>
      </w:r>
    </w:p>
    <w:p w14:paraId="68F7F794" w14:textId="77777777" w:rsidR="001E512C" w:rsidRPr="001E512C" w:rsidRDefault="001E512C" w:rsidP="001E512C">
      <w:pPr>
        <w:ind w:left="540" w:hanging="540"/>
        <w:jc w:val="both"/>
        <w:rPr>
          <w:rFonts w:eastAsia="Calibri" w:cs="Arial"/>
          <w:lang w:val="es-ES"/>
        </w:rPr>
      </w:pPr>
    </w:p>
    <w:p w14:paraId="0BE1CCCC" w14:textId="77777777" w:rsidR="001E512C" w:rsidRPr="00313ACC" w:rsidRDefault="001E512C" w:rsidP="00313ACC">
      <w:pPr>
        <w:pStyle w:val="ListParagraph"/>
        <w:numPr>
          <w:ilvl w:val="0"/>
          <w:numId w:val="5"/>
        </w:numPr>
        <w:ind w:left="540" w:hanging="540"/>
        <w:jc w:val="both"/>
        <w:rPr>
          <w:rFonts w:eastAsia="Calibri" w:cs="Arial"/>
          <w:lang w:val="es-ES"/>
        </w:rPr>
      </w:pPr>
      <w:r w:rsidRPr="00313ACC">
        <w:rPr>
          <w:rFonts w:eastAsia="Calibri" w:cs="Arial"/>
          <w:lang w:val="es-ES"/>
        </w:rPr>
        <w:t>Se recomienda al Consejo Científico que conforme una opinión sobre las áreas temáticas para el período de la COP15 a la COP17 y proporcione su recomendación a la COP15.</w:t>
      </w:r>
    </w:p>
    <w:p w14:paraId="24D008B5" w14:textId="2F6FDF68" w:rsidR="001E512C" w:rsidRPr="001E512C" w:rsidRDefault="001E512C" w:rsidP="001E512C">
      <w:pPr>
        <w:rPr>
          <w:rFonts w:eastAsia="Arial" w:cs="Arial"/>
          <w:b/>
          <w:bCs/>
          <w:lang w:val="es-ES"/>
        </w:rPr>
      </w:pPr>
    </w:p>
    <w:p w14:paraId="5BEABC47" w14:textId="77777777" w:rsidR="001E512C" w:rsidRPr="001E512C" w:rsidRDefault="001E512C" w:rsidP="001E512C">
      <w:pPr>
        <w:ind w:left="540" w:hanging="540"/>
        <w:rPr>
          <w:rFonts w:eastAsia="Arial" w:cs="Arial"/>
          <w:b/>
          <w:bCs/>
          <w:lang w:val="es-ES"/>
        </w:rPr>
      </w:pPr>
      <w:r w:rsidRPr="001E512C">
        <w:rPr>
          <w:rFonts w:eastAsia="Arial" w:cs="Arial"/>
          <w:b/>
          <w:bCs/>
          <w:lang w:val="es-ES"/>
        </w:rPr>
        <w:t>B/</w:t>
      </w:r>
      <w:r w:rsidRPr="001E512C">
        <w:rPr>
          <w:rFonts w:eastAsia="Arial" w:cs="Arial"/>
          <w:b/>
          <w:bCs/>
          <w:lang w:val="es-ES"/>
        </w:rPr>
        <w:tab/>
        <w:t xml:space="preserve">Mejora de la participación de los </w:t>
      </w:r>
      <w:proofErr w:type="gramStart"/>
      <w:r w:rsidRPr="001E512C">
        <w:rPr>
          <w:rFonts w:eastAsia="Arial" w:cs="Arial"/>
          <w:b/>
          <w:bCs/>
          <w:lang w:val="es-ES"/>
        </w:rPr>
        <w:t>Consejeros</w:t>
      </w:r>
      <w:proofErr w:type="gramEnd"/>
      <w:r w:rsidRPr="001E512C">
        <w:rPr>
          <w:rFonts w:eastAsia="Arial" w:cs="Arial"/>
          <w:b/>
          <w:bCs/>
          <w:lang w:val="es-ES"/>
        </w:rPr>
        <w:t xml:space="preserve"> designados por las Partes </w:t>
      </w:r>
    </w:p>
    <w:p w14:paraId="5745D64B" w14:textId="77777777" w:rsidR="001E512C" w:rsidRPr="001E512C" w:rsidRDefault="001E512C" w:rsidP="001E512C">
      <w:pPr>
        <w:rPr>
          <w:rFonts w:eastAsia="Arial" w:cs="Arial"/>
          <w:b/>
          <w:bCs/>
          <w:lang w:val="es-ES"/>
        </w:rPr>
      </w:pPr>
    </w:p>
    <w:p w14:paraId="2D3AE7AB" w14:textId="77777777" w:rsidR="001E512C" w:rsidRPr="00313ACC" w:rsidRDefault="001E512C" w:rsidP="00313ACC">
      <w:pPr>
        <w:pStyle w:val="ListParagraph"/>
        <w:numPr>
          <w:ilvl w:val="0"/>
          <w:numId w:val="5"/>
        </w:numPr>
        <w:ind w:left="540" w:hanging="540"/>
        <w:jc w:val="both"/>
        <w:rPr>
          <w:rFonts w:eastAsia="Calibri" w:cs="Arial"/>
          <w:lang w:val="es-ES"/>
        </w:rPr>
      </w:pPr>
      <w:r w:rsidRPr="00313ACC">
        <w:rPr>
          <w:rFonts w:eastAsia="Calibri" w:cs="Arial"/>
          <w:lang w:val="es-ES"/>
        </w:rPr>
        <w:t xml:space="preserve">El Consejo Científico puede desear considerar formas de apoyar el trabajo en áreas adicionales a las áreas temáticas que están asignadas a los </w:t>
      </w:r>
      <w:proofErr w:type="gramStart"/>
      <w:r w:rsidRPr="00313ACC">
        <w:rPr>
          <w:rFonts w:eastAsia="Calibri" w:cs="Arial"/>
          <w:lang w:val="es-ES"/>
        </w:rPr>
        <w:t>Consejeros</w:t>
      </w:r>
      <w:proofErr w:type="gramEnd"/>
      <w:r w:rsidRPr="00313ACC">
        <w:rPr>
          <w:rFonts w:eastAsia="Calibri" w:cs="Arial"/>
          <w:lang w:val="es-ES"/>
        </w:rPr>
        <w:t xml:space="preserve"> designados por la COP. Como se reconoce en el párrafo 10 de la Resolución 12.4 (Rev.COP14), hay una experiencia significativa entre los </w:t>
      </w:r>
      <w:proofErr w:type="gramStart"/>
      <w:r w:rsidRPr="00313ACC">
        <w:rPr>
          <w:rFonts w:eastAsia="Calibri" w:cs="Arial"/>
          <w:lang w:val="es-ES"/>
        </w:rPr>
        <w:t>Consejeros</w:t>
      </w:r>
      <w:proofErr w:type="gramEnd"/>
      <w:r w:rsidRPr="00313ACC">
        <w:rPr>
          <w:rFonts w:eastAsia="Calibri" w:cs="Arial"/>
          <w:lang w:val="es-ES"/>
        </w:rPr>
        <w:t xml:space="preserve"> designados por las Partes, tanto aquellos que son, como aquellos que no son miembros del Comité del Período de Sesiones, que podrían contribuir a acelerar el trabajo de la Convención. Una mejor cobertura de las áreas temáticas relevantes podría lograrse mediante su participación en el trabajo del Consejo Científico. Por ejemplo, podrían contribuir al trabajo en ciertas áreas como líderes de grupos de trabajo, autores o contribuidores a documentos, etc.</w:t>
      </w:r>
    </w:p>
    <w:p w14:paraId="47D65E97" w14:textId="77777777" w:rsidR="001E512C" w:rsidRPr="001E512C" w:rsidRDefault="001E512C" w:rsidP="00313ACC">
      <w:pPr>
        <w:ind w:left="540" w:hanging="540"/>
        <w:jc w:val="both"/>
        <w:rPr>
          <w:rFonts w:eastAsia="Calibri" w:cs="Arial"/>
          <w:lang w:val="es-ES"/>
        </w:rPr>
      </w:pPr>
    </w:p>
    <w:p w14:paraId="05F7AE09" w14:textId="77777777" w:rsidR="001E512C" w:rsidRPr="00313ACC" w:rsidRDefault="001E512C" w:rsidP="00313ACC">
      <w:pPr>
        <w:pStyle w:val="ListParagraph"/>
        <w:numPr>
          <w:ilvl w:val="0"/>
          <w:numId w:val="5"/>
        </w:numPr>
        <w:ind w:left="540" w:hanging="540"/>
        <w:jc w:val="both"/>
        <w:rPr>
          <w:rFonts w:eastAsia="Calibri" w:cs="Arial"/>
          <w:lang w:val="es-ES"/>
        </w:rPr>
      </w:pPr>
      <w:r w:rsidRPr="00313ACC">
        <w:rPr>
          <w:rFonts w:eastAsia="Calibri" w:cs="Arial"/>
          <w:lang w:val="es-ES"/>
        </w:rPr>
        <w:t>La Secretaría podría apoyar la participación de los miembros del Consejo Científico que no son miembros del Comité del Período de Sesiones poniéndose en contacto con todos los miembros del Consejo Científico designados por las Partes, identificando áreas donde la participación adicional podría ser especialmente necesaria, recopilando información sobre en qué áreas están dispuestos a involucrarse y alentándolos a asumir tareas.</w:t>
      </w:r>
    </w:p>
    <w:p w14:paraId="09DC4752" w14:textId="77777777" w:rsidR="001E512C" w:rsidRPr="001E512C" w:rsidRDefault="001E512C" w:rsidP="001E512C">
      <w:pPr>
        <w:ind w:left="567" w:hanging="567"/>
        <w:jc w:val="both"/>
        <w:rPr>
          <w:rFonts w:eastAsia="Arial" w:cs="Arial"/>
          <w:lang w:val="es-ES"/>
        </w:rPr>
      </w:pPr>
    </w:p>
    <w:p w14:paraId="62A8C32B" w14:textId="77777777" w:rsidR="001E512C" w:rsidRPr="001E512C" w:rsidRDefault="001E512C" w:rsidP="001E512C">
      <w:pPr>
        <w:rPr>
          <w:rFonts w:eastAsia="Arial" w:cs="Arial"/>
          <w:lang w:val="es-ES"/>
        </w:rPr>
      </w:pPr>
      <w:r w:rsidRPr="001E512C">
        <w:rPr>
          <w:rFonts w:eastAsia="Arial" w:cs="Arial"/>
          <w:u w:val="single"/>
          <w:lang w:val="es-ES"/>
        </w:rPr>
        <w:t>Acciones recomendadas</w:t>
      </w:r>
      <w:r w:rsidRPr="001E512C">
        <w:rPr>
          <w:rFonts w:eastAsia="Arial" w:cs="Arial"/>
          <w:lang w:val="es-ES"/>
        </w:rPr>
        <w:t xml:space="preserve"> </w:t>
      </w:r>
    </w:p>
    <w:p w14:paraId="7F54332A" w14:textId="77777777" w:rsidR="001E512C" w:rsidRPr="001E512C" w:rsidRDefault="001E512C" w:rsidP="001E512C">
      <w:pPr>
        <w:rPr>
          <w:rFonts w:eastAsia="Arial" w:cs="Arial"/>
          <w:u w:val="single"/>
          <w:lang w:val="es-ES"/>
        </w:rPr>
      </w:pPr>
    </w:p>
    <w:p w14:paraId="5C3BDDB3" w14:textId="77777777" w:rsidR="001E512C" w:rsidRPr="00313ACC" w:rsidRDefault="001E512C" w:rsidP="00313ACC">
      <w:pPr>
        <w:pStyle w:val="ListParagraph"/>
        <w:numPr>
          <w:ilvl w:val="0"/>
          <w:numId w:val="5"/>
        </w:numPr>
        <w:ind w:left="540" w:hanging="540"/>
        <w:rPr>
          <w:rFonts w:eastAsia="Calibri" w:cs="Times New Roman"/>
          <w:lang w:val="es-ES"/>
        </w:rPr>
      </w:pPr>
      <w:r w:rsidRPr="00313ACC">
        <w:rPr>
          <w:rFonts w:eastAsia="Calibri" w:cs="Times New Roman"/>
          <w:lang w:val="es-ES"/>
        </w:rPr>
        <w:t>Se recomienda al Consejo Científico:</w:t>
      </w:r>
    </w:p>
    <w:p w14:paraId="7FB4F736" w14:textId="77777777" w:rsidR="001E512C" w:rsidRPr="001E512C" w:rsidRDefault="001E512C" w:rsidP="001E512C">
      <w:pPr>
        <w:rPr>
          <w:rFonts w:cs="Arial"/>
          <w:lang w:val="es-ES"/>
        </w:rPr>
      </w:pPr>
    </w:p>
    <w:p w14:paraId="5C7CD4FE" w14:textId="77777777" w:rsidR="001E512C" w:rsidRPr="001E512C" w:rsidRDefault="001E512C" w:rsidP="001E512C">
      <w:pPr>
        <w:numPr>
          <w:ilvl w:val="0"/>
          <w:numId w:val="4"/>
        </w:numPr>
        <w:ind w:left="1080" w:hanging="513"/>
        <w:contextualSpacing/>
        <w:jc w:val="both"/>
        <w:rPr>
          <w:rFonts w:eastAsia="Times New Roman" w:cs="Arial"/>
          <w:snapToGrid w:val="0"/>
          <w:lang w:val="es-ES"/>
        </w:rPr>
      </w:pPr>
      <w:r w:rsidRPr="001E512C">
        <w:rPr>
          <w:rFonts w:eastAsia="Arial" w:cs="Arial"/>
          <w:snapToGrid w:val="0"/>
          <w:lang w:val="es-ES"/>
        </w:rPr>
        <w:t xml:space="preserve">Determinar si se requieren nuevas áreas temáticas de </w:t>
      </w:r>
      <w:proofErr w:type="gramStart"/>
      <w:r w:rsidRPr="001E512C">
        <w:rPr>
          <w:rFonts w:eastAsia="Arial" w:cs="Arial"/>
          <w:snapToGrid w:val="0"/>
          <w:lang w:val="es-ES"/>
        </w:rPr>
        <w:t>Consejeros</w:t>
      </w:r>
      <w:proofErr w:type="gramEnd"/>
      <w:r w:rsidRPr="001E512C">
        <w:rPr>
          <w:rFonts w:eastAsia="Arial" w:cs="Arial"/>
          <w:snapToGrid w:val="0"/>
          <w:lang w:val="es-ES"/>
        </w:rPr>
        <w:t xml:space="preserve"> designados por la COP para el período COP15-COP17, para reemplazar cualquier área temática existente que ya no sea necesaria, o si alguna de las áreas temáticas actuales debe ser reorientada.</w:t>
      </w:r>
    </w:p>
    <w:p w14:paraId="3C03F036" w14:textId="77777777" w:rsidR="001E512C" w:rsidRPr="001E512C" w:rsidRDefault="001E512C" w:rsidP="001E512C">
      <w:pPr>
        <w:ind w:left="1080" w:hanging="513"/>
        <w:contextualSpacing/>
        <w:jc w:val="both"/>
        <w:rPr>
          <w:rFonts w:eastAsia="Times New Roman" w:cs="Arial"/>
          <w:snapToGrid w:val="0"/>
          <w:lang w:val="es-ES"/>
        </w:rPr>
      </w:pPr>
    </w:p>
    <w:p w14:paraId="7E231C95" w14:textId="77777777" w:rsidR="001E512C" w:rsidRPr="001E512C" w:rsidRDefault="001E512C" w:rsidP="001E512C">
      <w:pPr>
        <w:numPr>
          <w:ilvl w:val="0"/>
          <w:numId w:val="4"/>
        </w:numPr>
        <w:ind w:left="1080" w:hanging="513"/>
        <w:contextualSpacing/>
        <w:jc w:val="both"/>
        <w:rPr>
          <w:rFonts w:eastAsia="Times New Roman" w:cs="Arial"/>
          <w:snapToGrid w:val="0"/>
          <w:lang w:val="es-ES"/>
        </w:rPr>
      </w:pPr>
      <w:r w:rsidRPr="001E512C">
        <w:rPr>
          <w:rFonts w:eastAsia="Arial" w:cs="Arial"/>
          <w:snapToGrid w:val="0"/>
          <w:lang w:val="es-ES"/>
        </w:rPr>
        <w:t xml:space="preserve">Considerar cómo fomentar una mayor participación de los </w:t>
      </w:r>
      <w:proofErr w:type="gramStart"/>
      <w:r w:rsidRPr="001E512C">
        <w:rPr>
          <w:rFonts w:eastAsia="Arial" w:cs="Arial"/>
          <w:snapToGrid w:val="0"/>
          <w:lang w:val="es-ES"/>
        </w:rPr>
        <w:t>Consejeros</w:t>
      </w:r>
      <w:proofErr w:type="gramEnd"/>
      <w:r w:rsidRPr="001E512C">
        <w:rPr>
          <w:rFonts w:eastAsia="Arial" w:cs="Arial"/>
          <w:snapToGrid w:val="0"/>
          <w:lang w:val="es-ES"/>
        </w:rPr>
        <w:t xml:space="preserve"> designados por las Partes en el trabajo del Consejo Científico.</w:t>
      </w:r>
    </w:p>
    <w:p w14:paraId="240C7F95" w14:textId="77777777" w:rsidR="001E512C" w:rsidRPr="001E512C" w:rsidRDefault="001E512C" w:rsidP="001E512C">
      <w:pPr>
        <w:ind w:left="1134"/>
        <w:contextualSpacing/>
        <w:jc w:val="both"/>
        <w:rPr>
          <w:rFonts w:eastAsia="Times New Roman" w:cs="Arial"/>
          <w:snapToGrid w:val="0"/>
          <w:lang w:val="es-ES"/>
        </w:rPr>
      </w:pPr>
    </w:p>
    <w:p w14:paraId="0E874FEC" w14:textId="77777777" w:rsidR="001E512C" w:rsidRPr="001E512C" w:rsidRDefault="001E512C" w:rsidP="001E512C">
      <w:pPr>
        <w:widowControl w:val="0"/>
        <w:ind w:left="720"/>
        <w:contextualSpacing/>
        <w:rPr>
          <w:rFonts w:eastAsia="Times New Roman" w:cs="Arial"/>
          <w:snapToGrid w:val="0"/>
          <w:lang w:val="es-ES"/>
        </w:rPr>
      </w:pPr>
    </w:p>
    <w:p w14:paraId="2B8C64C2" w14:textId="69D0EDCC" w:rsidR="00F63975" w:rsidRPr="005B1586" w:rsidRDefault="00F63975" w:rsidP="004D2917">
      <w:pPr>
        <w:rPr>
          <w:rFonts w:cs="Arial"/>
          <w:lang w:val="es-ES"/>
        </w:rPr>
      </w:pPr>
    </w:p>
    <w:sectPr w:rsidR="00F63975" w:rsidRPr="005B1586" w:rsidSect="0024751F">
      <w:headerReference w:type="even" r:id="rId12"/>
      <w:headerReference w:type="default" r:id="rId13"/>
      <w:footerReference w:type="even" r:id="rId14"/>
      <w:footerReference w:type="default" r:id="rId15"/>
      <w:headerReference w:type="first" r:id="rId16"/>
      <w:pgSz w:w="11906" w:h="16838" w:code="9"/>
      <w:pgMar w:top="1440" w:right="1440" w:bottom="1440" w:left="1440" w:header="45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DD137" w14:textId="77777777" w:rsidR="007C6D5A" w:rsidRDefault="007C6D5A" w:rsidP="008562CA">
      <w:r>
        <w:separator/>
      </w:r>
    </w:p>
  </w:endnote>
  <w:endnote w:type="continuationSeparator" w:id="0">
    <w:p w14:paraId="1BF29987" w14:textId="77777777" w:rsidR="007C6D5A" w:rsidRDefault="007C6D5A"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0DBD4" w14:textId="77777777" w:rsidR="007C6D5A" w:rsidRDefault="007C6D5A" w:rsidP="008562CA">
      <w:r>
        <w:separator/>
      </w:r>
    </w:p>
  </w:footnote>
  <w:footnote w:type="continuationSeparator" w:id="0">
    <w:p w14:paraId="2E5AECB6" w14:textId="77777777" w:rsidR="007C6D5A" w:rsidRDefault="007C6D5A"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3E4C" w14:textId="6F1F8F8E"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A176CB">
      <w:rPr>
        <w:rFonts w:cs="Arial"/>
        <w:i/>
        <w:iCs/>
        <w:sz w:val="18"/>
        <w:szCs w:val="18"/>
      </w:rPr>
      <w:t>4.1</w:t>
    </w:r>
    <w:r w:rsidR="00A51E6E">
      <w:rPr>
        <w:rFonts w:cs="Arial"/>
        <w:i/>
        <w:iCs/>
        <w:sz w:val="18"/>
        <w:szCs w:val="18"/>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3ABF" w14:textId="35FFCB83"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313ACC">
      <w:rPr>
        <w:rFonts w:cs="Arial"/>
        <w:i/>
        <w:iCs/>
        <w:sz w:val="18"/>
        <w:szCs w:val="18"/>
      </w:rPr>
      <w:t>4.1</w:t>
    </w:r>
    <w:r w:rsidR="00A51E6E">
      <w:rPr>
        <w:rFonts w:cs="Arial"/>
        <w:i/>
        <w:iCs/>
        <w:sz w:val="18"/>
        <w:szCs w:val="18"/>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7B0A"/>
    <w:multiLevelType w:val="hybridMultilevel"/>
    <w:tmpl w:val="0DD60B4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9C2BCD"/>
    <w:multiLevelType w:val="multilevel"/>
    <w:tmpl w:val="63FC2CDA"/>
    <w:lvl w:ilvl="0">
      <w:start w:val="1"/>
      <w:numFmt w:val="decimal"/>
      <w:lvlText w:val="%1."/>
      <w:lvlJc w:val="left"/>
      <w:pPr>
        <w:ind w:left="369" w:hanging="369"/>
      </w:pPr>
      <w:rPr>
        <w:rFonts w:ascii="Arial" w:hAnsi="Arial"/>
        <w:sz w:val="22"/>
      </w:rPr>
    </w:lvl>
    <w:lvl w:ilvl="1">
      <w:start w:val="1"/>
      <w:numFmt w:val="bullet"/>
      <w:lvlText w:val=""/>
      <w:lvlJc w:val="left"/>
      <w:pPr>
        <w:ind w:left="720" w:hanging="360"/>
      </w:pPr>
      <w:rPr>
        <w:rFonts w:ascii="Symbol" w:hAnsi="Symbol" w:hint="default"/>
      </w:rPr>
    </w:lvl>
    <w:lvl w:ilvl="2">
      <w:start w:val="1"/>
      <w:numFmt w:val="lowerRoman"/>
      <w:lvlText w:val="%3."/>
      <w:lvlJc w:val="left"/>
      <w:pPr>
        <w:ind w:left="1107" w:hanging="369"/>
      </w:pPr>
    </w:lvl>
    <w:lvl w:ilvl="3">
      <w:start w:val="1"/>
      <w:numFmt w:val="none"/>
      <w:lvlText w:val="%4"/>
      <w:lvlJc w:val="left"/>
      <w:pPr>
        <w:ind w:left="1476" w:hanging="369"/>
      </w:pPr>
    </w:lvl>
    <w:lvl w:ilvl="4">
      <w:start w:val="1"/>
      <w:numFmt w:val="none"/>
      <w:lvlText w:val="%5"/>
      <w:lvlJc w:val="left"/>
      <w:pPr>
        <w:ind w:left="1845" w:hanging="369"/>
      </w:pPr>
    </w:lvl>
    <w:lvl w:ilvl="5">
      <w:start w:val="1"/>
      <w:numFmt w:val="none"/>
      <w:lvlText w:val="%6"/>
      <w:lvlJc w:val="left"/>
      <w:pPr>
        <w:ind w:left="2214" w:hanging="369"/>
      </w:pPr>
    </w:lvl>
    <w:lvl w:ilvl="6">
      <w:start w:val="1"/>
      <w:numFmt w:val="none"/>
      <w:lvlText w:val="%7"/>
      <w:lvlJc w:val="left"/>
      <w:pPr>
        <w:ind w:left="2583" w:hanging="369"/>
      </w:pPr>
    </w:lvl>
    <w:lvl w:ilvl="7">
      <w:start w:val="1"/>
      <w:numFmt w:val="none"/>
      <w:lvlText w:val="%8"/>
      <w:lvlJc w:val="left"/>
      <w:pPr>
        <w:ind w:left="2952" w:hanging="369"/>
      </w:pPr>
    </w:lvl>
    <w:lvl w:ilvl="8">
      <w:start w:val="1"/>
      <w:numFmt w:val="none"/>
      <w:lvlText w:val="%9"/>
      <w:lvlJc w:val="left"/>
      <w:pPr>
        <w:ind w:left="3321" w:hanging="369"/>
      </w:pPr>
    </w:lvl>
  </w:abstractNum>
  <w:abstractNum w:abstractNumId="2" w15:restartNumberingAfterBreak="0">
    <w:nsid w:val="19EF294A"/>
    <w:multiLevelType w:val="hybridMultilevel"/>
    <w:tmpl w:val="8D28ACA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B0D24"/>
    <w:multiLevelType w:val="hybridMultilevel"/>
    <w:tmpl w:val="7D5EE93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F9647AD"/>
    <w:multiLevelType w:val="hybridMultilevel"/>
    <w:tmpl w:val="582E338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9F358B2"/>
    <w:multiLevelType w:val="multilevel"/>
    <w:tmpl w:val="7E0AE8FC"/>
    <w:lvl w:ilvl="0">
      <w:start w:val="1"/>
      <w:numFmt w:val="decimal"/>
      <w:lvlText w:val="%1."/>
      <w:lvlJc w:val="left"/>
      <w:pPr>
        <w:ind w:left="369" w:hanging="369"/>
      </w:pPr>
      <w:rPr>
        <w:rFonts w:ascii="Arial" w:hAnsi="Arial"/>
        <w:sz w:val="22"/>
      </w:rPr>
    </w:lvl>
    <w:lvl w:ilvl="1">
      <w:start w:val="1"/>
      <w:numFmt w:val="bullet"/>
      <w:lvlText w:val=""/>
      <w:lvlJc w:val="left"/>
      <w:pPr>
        <w:ind w:left="729" w:hanging="360"/>
      </w:pPr>
      <w:rPr>
        <w:rFonts w:ascii="Symbol" w:hAnsi="Symbol" w:hint="default"/>
      </w:rPr>
    </w:lvl>
    <w:lvl w:ilvl="2">
      <w:start w:val="1"/>
      <w:numFmt w:val="lowerRoman"/>
      <w:lvlText w:val="%3."/>
      <w:lvlJc w:val="left"/>
      <w:pPr>
        <w:ind w:left="1107" w:hanging="369"/>
      </w:pPr>
    </w:lvl>
    <w:lvl w:ilvl="3">
      <w:start w:val="1"/>
      <w:numFmt w:val="none"/>
      <w:lvlText w:val="%4"/>
      <w:lvlJc w:val="left"/>
      <w:pPr>
        <w:ind w:left="1476" w:hanging="369"/>
      </w:pPr>
    </w:lvl>
    <w:lvl w:ilvl="4">
      <w:start w:val="1"/>
      <w:numFmt w:val="none"/>
      <w:lvlText w:val="%5"/>
      <w:lvlJc w:val="left"/>
      <w:pPr>
        <w:ind w:left="1845" w:hanging="369"/>
      </w:pPr>
    </w:lvl>
    <w:lvl w:ilvl="5">
      <w:start w:val="1"/>
      <w:numFmt w:val="none"/>
      <w:lvlText w:val="%6"/>
      <w:lvlJc w:val="left"/>
      <w:pPr>
        <w:ind w:left="2214" w:hanging="369"/>
      </w:pPr>
    </w:lvl>
    <w:lvl w:ilvl="6">
      <w:start w:val="1"/>
      <w:numFmt w:val="none"/>
      <w:lvlText w:val="%7"/>
      <w:lvlJc w:val="left"/>
      <w:pPr>
        <w:ind w:left="2583" w:hanging="369"/>
      </w:pPr>
    </w:lvl>
    <w:lvl w:ilvl="7">
      <w:start w:val="1"/>
      <w:numFmt w:val="none"/>
      <w:lvlText w:val="%8"/>
      <w:lvlJc w:val="left"/>
      <w:pPr>
        <w:ind w:left="2952" w:hanging="369"/>
      </w:pPr>
    </w:lvl>
    <w:lvl w:ilvl="8">
      <w:start w:val="1"/>
      <w:numFmt w:val="none"/>
      <w:lvlText w:val="%9"/>
      <w:lvlJc w:val="left"/>
      <w:pPr>
        <w:ind w:left="3321" w:hanging="369"/>
      </w:pPr>
    </w:lvl>
  </w:abstractNum>
  <w:abstractNum w:abstractNumId="8" w15:restartNumberingAfterBreak="0">
    <w:nsid w:val="3A760AF3"/>
    <w:multiLevelType w:val="hybridMultilevel"/>
    <w:tmpl w:val="C80AD80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C0E1AA1"/>
    <w:multiLevelType w:val="hybridMultilevel"/>
    <w:tmpl w:val="CADE4040"/>
    <w:lvl w:ilvl="0" w:tplc="229E8084">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7635EE4"/>
    <w:multiLevelType w:val="hybridMultilevel"/>
    <w:tmpl w:val="194CF7C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0DE1226"/>
    <w:multiLevelType w:val="hybridMultilevel"/>
    <w:tmpl w:val="FDDA4BD4"/>
    <w:lvl w:ilvl="0" w:tplc="8226777E">
      <w:start w:val="1"/>
      <w:numFmt w:val="lowerLetter"/>
      <w:lvlText w:val="%1)"/>
      <w:lvlJc w:val="left"/>
      <w:pPr>
        <w:ind w:left="720" w:hanging="360"/>
      </w:pPr>
    </w:lvl>
    <w:lvl w:ilvl="1" w:tplc="A0684918">
      <w:start w:val="1"/>
      <w:numFmt w:val="lowerLetter"/>
      <w:lvlText w:val="%2."/>
      <w:lvlJc w:val="left"/>
      <w:pPr>
        <w:ind w:left="1440" w:hanging="360"/>
      </w:pPr>
    </w:lvl>
    <w:lvl w:ilvl="2" w:tplc="794AA550">
      <w:start w:val="1"/>
      <w:numFmt w:val="lowerRoman"/>
      <w:lvlText w:val="%3."/>
      <w:lvlJc w:val="right"/>
      <w:pPr>
        <w:ind w:left="2160" w:hanging="180"/>
      </w:pPr>
    </w:lvl>
    <w:lvl w:ilvl="3" w:tplc="71401000">
      <w:start w:val="1"/>
      <w:numFmt w:val="decimal"/>
      <w:lvlText w:val="%4."/>
      <w:lvlJc w:val="left"/>
      <w:pPr>
        <w:ind w:left="2880" w:hanging="360"/>
      </w:pPr>
    </w:lvl>
    <w:lvl w:ilvl="4" w:tplc="1A103E2A">
      <w:start w:val="1"/>
      <w:numFmt w:val="lowerLetter"/>
      <w:lvlText w:val="%5."/>
      <w:lvlJc w:val="left"/>
      <w:pPr>
        <w:ind w:left="3600" w:hanging="360"/>
      </w:pPr>
    </w:lvl>
    <w:lvl w:ilvl="5" w:tplc="361C27F6">
      <w:start w:val="1"/>
      <w:numFmt w:val="lowerRoman"/>
      <w:lvlText w:val="%6."/>
      <w:lvlJc w:val="right"/>
      <w:pPr>
        <w:ind w:left="4320" w:hanging="180"/>
      </w:pPr>
    </w:lvl>
    <w:lvl w:ilvl="6" w:tplc="5192D5F0">
      <w:start w:val="1"/>
      <w:numFmt w:val="decimal"/>
      <w:lvlText w:val="%7."/>
      <w:lvlJc w:val="left"/>
      <w:pPr>
        <w:ind w:left="5040" w:hanging="360"/>
      </w:pPr>
    </w:lvl>
    <w:lvl w:ilvl="7" w:tplc="EB6E81F4">
      <w:start w:val="1"/>
      <w:numFmt w:val="lowerLetter"/>
      <w:lvlText w:val="%8."/>
      <w:lvlJc w:val="left"/>
      <w:pPr>
        <w:ind w:left="5760" w:hanging="360"/>
      </w:pPr>
    </w:lvl>
    <w:lvl w:ilvl="8" w:tplc="F106F566">
      <w:start w:val="1"/>
      <w:numFmt w:val="lowerRoman"/>
      <w:lvlText w:val="%9."/>
      <w:lvlJc w:val="right"/>
      <w:pPr>
        <w:ind w:left="6480" w:hanging="180"/>
      </w:pPr>
    </w:lvl>
  </w:abstractNum>
  <w:abstractNum w:abstractNumId="12" w15:restartNumberingAfterBreak="0">
    <w:nsid w:val="51586FDA"/>
    <w:multiLevelType w:val="multilevel"/>
    <w:tmpl w:val="7E0AE8FC"/>
    <w:lvl w:ilvl="0">
      <w:start w:val="1"/>
      <w:numFmt w:val="decimal"/>
      <w:lvlText w:val="%1."/>
      <w:lvlJc w:val="left"/>
      <w:pPr>
        <w:ind w:left="369" w:hanging="369"/>
      </w:pPr>
      <w:rPr>
        <w:rFonts w:ascii="Arial" w:hAnsi="Arial"/>
        <w:sz w:val="22"/>
      </w:rPr>
    </w:lvl>
    <w:lvl w:ilvl="1">
      <w:start w:val="1"/>
      <w:numFmt w:val="bullet"/>
      <w:lvlText w:val=""/>
      <w:lvlJc w:val="left"/>
      <w:pPr>
        <w:ind w:left="729" w:hanging="360"/>
      </w:pPr>
      <w:rPr>
        <w:rFonts w:ascii="Symbol" w:hAnsi="Symbol" w:hint="default"/>
      </w:rPr>
    </w:lvl>
    <w:lvl w:ilvl="2">
      <w:start w:val="1"/>
      <w:numFmt w:val="lowerRoman"/>
      <w:lvlText w:val="%3."/>
      <w:lvlJc w:val="left"/>
      <w:pPr>
        <w:ind w:left="1107" w:hanging="369"/>
      </w:pPr>
    </w:lvl>
    <w:lvl w:ilvl="3">
      <w:start w:val="1"/>
      <w:numFmt w:val="none"/>
      <w:lvlText w:val="%4"/>
      <w:lvlJc w:val="left"/>
      <w:pPr>
        <w:ind w:left="1476" w:hanging="369"/>
      </w:pPr>
    </w:lvl>
    <w:lvl w:ilvl="4">
      <w:start w:val="1"/>
      <w:numFmt w:val="none"/>
      <w:lvlText w:val="%5"/>
      <w:lvlJc w:val="left"/>
      <w:pPr>
        <w:ind w:left="1845" w:hanging="369"/>
      </w:pPr>
    </w:lvl>
    <w:lvl w:ilvl="5">
      <w:start w:val="1"/>
      <w:numFmt w:val="none"/>
      <w:lvlText w:val="%6"/>
      <w:lvlJc w:val="left"/>
      <w:pPr>
        <w:ind w:left="2214" w:hanging="369"/>
      </w:pPr>
    </w:lvl>
    <w:lvl w:ilvl="6">
      <w:start w:val="1"/>
      <w:numFmt w:val="none"/>
      <w:lvlText w:val="%7"/>
      <w:lvlJc w:val="left"/>
      <w:pPr>
        <w:ind w:left="2583" w:hanging="369"/>
      </w:pPr>
    </w:lvl>
    <w:lvl w:ilvl="7">
      <w:start w:val="1"/>
      <w:numFmt w:val="none"/>
      <w:lvlText w:val="%8"/>
      <w:lvlJc w:val="left"/>
      <w:pPr>
        <w:ind w:left="2952" w:hanging="369"/>
      </w:pPr>
    </w:lvl>
    <w:lvl w:ilvl="8">
      <w:start w:val="1"/>
      <w:numFmt w:val="none"/>
      <w:lvlText w:val="%9"/>
      <w:lvlJc w:val="left"/>
      <w:pPr>
        <w:ind w:left="3321" w:hanging="369"/>
      </w:pPr>
    </w:lvl>
  </w:abstractNum>
  <w:abstractNum w:abstractNumId="13" w15:restartNumberingAfterBreak="0">
    <w:nsid w:val="5C6A29EC"/>
    <w:multiLevelType w:val="hybridMultilevel"/>
    <w:tmpl w:val="E1E46E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D7B0D7F"/>
    <w:multiLevelType w:val="hybridMultilevel"/>
    <w:tmpl w:val="09241C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63E4690F"/>
    <w:multiLevelType w:val="hybridMultilevel"/>
    <w:tmpl w:val="7312D596"/>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6" w15:restartNumberingAfterBreak="0">
    <w:nsid w:val="666905DB"/>
    <w:multiLevelType w:val="multilevel"/>
    <w:tmpl w:val="F98881DC"/>
    <w:styleLink w:val="KeyPoints"/>
    <w:lvl w:ilvl="0">
      <w:start w:val="1"/>
      <w:numFmt w:val="decimal"/>
      <w:lvlText w:val="%1."/>
      <w:lvlJc w:val="left"/>
      <w:pPr>
        <w:ind w:left="369" w:hanging="369"/>
      </w:pPr>
      <w:rPr>
        <w:rFonts w:ascii="Arial" w:hAnsi="Arial"/>
        <w:sz w:val="22"/>
      </w:rPr>
    </w:lvl>
    <w:lvl w:ilvl="1">
      <w:start w:val="1"/>
      <w:numFmt w:val="bullet"/>
      <w:lvlText w:val=""/>
      <w:lvlJc w:val="left"/>
      <w:pPr>
        <w:ind w:left="729" w:hanging="360"/>
      </w:pPr>
      <w:rPr>
        <w:rFonts w:ascii="Symbol" w:hAnsi="Symbol" w:hint="default"/>
      </w:rPr>
    </w:lvl>
    <w:lvl w:ilvl="2">
      <w:start w:val="1"/>
      <w:numFmt w:val="lowerRoman"/>
      <w:lvlText w:val="%3."/>
      <w:lvlJc w:val="left"/>
      <w:pPr>
        <w:ind w:left="1107" w:hanging="369"/>
      </w:pPr>
    </w:lvl>
    <w:lvl w:ilvl="3">
      <w:start w:val="1"/>
      <w:numFmt w:val="none"/>
      <w:lvlText w:val="%4"/>
      <w:lvlJc w:val="left"/>
      <w:pPr>
        <w:ind w:left="1476" w:hanging="369"/>
      </w:pPr>
    </w:lvl>
    <w:lvl w:ilvl="4">
      <w:start w:val="1"/>
      <w:numFmt w:val="none"/>
      <w:lvlText w:val="%5"/>
      <w:lvlJc w:val="left"/>
      <w:pPr>
        <w:ind w:left="1845" w:hanging="369"/>
      </w:pPr>
    </w:lvl>
    <w:lvl w:ilvl="5">
      <w:start w:val="1"/>
      <w:numFmt w:val="none"/>
      <w:lvlText w:val="%6"/>
      <w:lvlJc w:val="left"/>
      <w:pPr>
        <w:ind w:left="2214" w:hanging="369"/>
      </w:pPr>
    </w:lvl>
    <w:lvl w:ilvl="6">
      <w:start w:val="1"/>
      <w:numFmt w:val="none"/>
      <w:lvlText w:val="%7"/>
      <w:lvlJc w:val="left"/>
      <w:pPr>
        <w:ind w:left="2583" w:hanging="369"/>
      </w:pPr>
    </w:lvl>
    <w:lvl w:ilvl="7">
      <w:start w:val="1"/>
      <w:numFmt w:val="none"/>
      <w:lvlText w:val="%8"/>
      <w:lvlJc w:val="left"/>
      <w:pPr>
        <w:ind w:left="2952" w:hanging="369"/>
      </w:pPr>
    </w:lvl>
    <w:lvl w:ilvl="8">
      <w:start w:val="1"/>
      <w:numFmt w:val="none"/>
      <w:lvlText w:val="%9"/>
      <w:lvlJc w:val="left"/>
      <w:pPr>
        <w:ind w:left="3321" w:hanging="369"/>
      </w:pPr>
    </w:lvl>
  </w:abstractNum>
  <w:abstractNum w:abstractNumId="17"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E4C354B"/>
    <w:multiLevelType w:val="hybridMultilevel"/>
    <w:tmpl w:val="947016A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7387818"/>
    <w:multiLevelType w:val="multilevel"/>
    <w:tmpl w:val="5AC0E3BE"/>
    <w:lvl w:ilvl="0">
      <w:start w:val="1"/>
      <w:numFmt w:val="decimal"/>
      <w:lvlText w:val="%1."/>
      <w:lvlJc w:val="left"/>
      <w:pPr>
        <w:ind w:left="369" w:hanging="369"/>
      </w:pPr>
      <w:rPr>
        <w:rFonts w:ascii="Arial" w:hAnsi="Arial"/>
        <w:sz w:val="22"/>
      </w:rPr>
    </w:lvl>
    <w:lvl w:ilvl="1">
      <w:start w:val="1"/>
      <w:numFmt w:val="bullet"/>
      <w:lvlText w:val=""/>
      <w:lvlJc w:val="left"/>
      <w:pPr>
        <w:ind w:left="720" w:hanging="360"/>
      </w:pPr>
      <w:rPr>
        <w:rFonts w:ascii="Symbol" w:hAnsi="Symbol" w:hint="default"/>
      </w:rPr>
    </w:lvl>
    <w:lvl w:ilvl="2">
      <w:start w:val="1"/>
      <w:numFmt w:val="lowerRoman"/>
      <w:lvlText w:val="%3."/>
      <w:lvlJc w:val="left"/>
      <w:pPr>
        <w:ind w:left="1107" w:hanging="369"/>
      </w:pPr>
    </w:lvl>
    <w:lvl w:ilvl="3">
      <w:start w:val="1"/>
      <w:numFmt w:val="none"/>
      <w:lvlText w:val="%4"/>
      <w:lvlJc w:val="left"/>
      <w:pPr>
        <w:ind w:left="1476" w:hanging="369"/>
      </w:pPr>
    </w:lvl>
    <w:lvl w:ilvl="4">
      <w:start w:val="1"/>
      <w:numFmt w:val="none"/>
      <w:lvlText w:val="%5"/>
      <w:lvlJc w:val="left"/>
      <w:pPr>
        <w:ind w:left="1845" w:hanging="369"/>
      </w:pPr>
    </w:lvl>
    <w:lvl w:ilvl="5">
      <w:start w:val="1"/>
      <w:numFmt w:val="none"/>
      <w:lvlText w:val="%6"/>
      <w:lvlJc w:val="left"/>
      <w:pPr>
        <w:ind w:left="2214" w:hanging="369"/>
      </w:pPr>
    </w:lvl>
    <w:lvl w:ilvl="6">
      <w:start w:val="1"/>
      <w:numFmt w:val="none"/>
      <w:lvlText w:val="%7"/>
      <w:lvlJc w:val="left"/>
      <w:pPr>
        <w:ind w:left="2583" w:hanging="369"/>
      </w:pPr>
    </w:lvl>
    <w:lvl w:ilvl="7">
      <w:start w:val="1"/>
      <w:numFmt w:val="none"/>
      <w:lvlText w:val="%8"/>
      <w:lvlJc w:val="left"/>
      <w:pPr>
        <w:ind w:left="2952" w:hanging="369"/>
      </w:pPr>
    </w:lvl>
    <w:lvl w:ilvl="8">
      <w:start w:val="1"/>
      <w:numFmt w:val="none"/>
      <w:lvlText w:val="%9"/>
      <w:lvlJc w:val="left"/>
      <w:pPr>
        <w:ind w:left="3321" w:hanging="369"/>
      </w:pPr>
    </w:lvl>
  </w:abstractNum>
  <w:abstractNum w:abstractNumId="20" w15:restartNumberingAfterBreak="0">
    <w:nsid w:val="7DC5485B"/>
    <w:multiLevelType w:val="hybridMultilevel"/>
    <w:tmpl w:val="13E2417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757018937">
    <w:abstractNumId w:val="3"/>
  </w:num>
  <w:num w:numId="2" w16cid:durableId="156656548">
    <w:abstractNumId w:val="17"/>
  </w:num>
  <w:num w:numId="3" w16cid:durableId="1142117419">
    <w:abstractNumId w:val="6"/>
  </w:num>
  <w:num w:numId="4" w16cid:durableId="2107722874">
    <w:abstractNumId w:val="11"/>
  </w:num>
  <w:num w:numId="5" w16cid:durableId="1321546062">
    <w:abstractNumId w:val="8"/>
  </w:num>
  <w:num w:numId="6" w16cid:durableId="2140802471">
    <w:abstractNumId w:val="20"/>
  </w:num>
  <w:num w:numId="7" w16cid:durableId="258218555">
    <w:abstractNumId w:val="0"/>
  </w:num>
  <w:num w:numId="8" w16cid:durableId="459494905">
    <w:abstractNumId w:val="16"/>
  </w:num>
  <w:num w:numId="9" w16cid:durableId="322204284">
    <w:abstractNumId w:val="10"/>
  </w:num>
  <w:num w:numId="10" w16cid:durableId="159472348">
    <w:abstractNumId w:val="18"/>
  </w:num>
  <w:num w:numId="11" w16cid:durableId="1886287296">
    <w:abstractNumId w:val="2"/>
  </w:num>
  <w:num w:numId="12" w16cid:durableId="122159975">
    <w:abstractNumId w:val="5"/>
  </w:num>
  <w:num w:numId="13" w16cid:durableId="1588227790">
    <w:abstractNumId w:val="4"/>
  </w:num>
  <w:num w:numId="14" w16cid:durableId="1894147236">
    <w:abstractNumId w:val="7"/>
  </w:num>
  <w:num w:numId="15" w16cid:durableId="59989980">
    <w:abstractNumId w:val="12"/>
  </w:num>
  <w:num w:numId="16" w16cid:durableId="329916203">
    <w:abstractNumId w:val="14"/>
  </w:num>
  <w:num w:numId="17" w16cid:durableId="182089907">
    <w:abstractNumId w:val="19"/>
  </w:num>
  <w:num w:numId="18" w16cid:durableId="575822504">
    <w:abstractNumId w:val="1"/>
  </w:num>
  <w:num w:numId="19" w16cid:durableId="568156195">
    <w:abstractNumId w:val="13"/>
  </w:num>
  <w:num w:numId="20" w16cid:durableId="933130988">
    <w:abstractNumId w:val="9"/>
  </w:num>
  <w:num w:numId="21" w16cid:durableId="1995592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3FAB"/>
    <w:rsid w:val="00034F7E"/>
    <w:rsid w:val="00084897"/>
    <w:rsid w:val="000A0BCF"/>
    <w:rsid w:val="000C2262"/>
    <w:rsid w:val="000D0247"/>
    <w:rsid w:val="000D7587"/>
    <w:rsid w:val="0011146B"/>
    <w:rsid w:val="00187427"/>
    <w:rsid w:val="0019487A"/>
    <w:rsid w:val="001B3FF8"/>
    <w:rsid w:val="001B6CDD"/>
    <w:rsid w:val="001C0ECD"/>
    <w:rsid w:val="001E512C"/>
    <w:rsid w:val="001F56E8"/>
    <w:rsid w:val="002120D1"/>
    <w:rsid w:val="00236C6A"/>
    <w:rsid w:val="0024751F"/>
    <w:rsid w:val="002506C2"/>
    <w:rsid w:val="00255507"/>
    <w:rsid w:val="002604BA"/>
    <w:rsid w:val="00304D3A"/>
    <w:rsid w:val="00307FD9"/>
    <w:rsid w:val="00313ACC"/>
    <w:rsid w:val="00365A6A"/>
    <w:rsid w:val="00384A5F"/>
    <w:rsid w:val="00394F73"/>
    <w:rsid w:val="003A11A8"/>
    <w:rsid w:val="003A1B46"/>
    <w:rsid w:val="003B403E"/>
    <w:rsid w:val="003E17AD"/>
    <w:rsid w:val="003E56A4"/>
    <w:rsid w:val="0041246A"/>
    <w:rsid w:val="004305D9"/>
    <w:rsid w:val="00431C94"/>
    <w:rsid w:val="00437C87"/>
    <w:rsid w:val="0045575B"/>
    <w:rsid w:val="004A0EB3"/>
    <w:rsid w:val="004B16C3"/>
    <w:rsid w:val="004C765C"/>
    <w:rsid w:val="004D2917"/>
    <w:rsid w:val="00505C02"/>
    <w:rsid w:val="00523F9A"/>
    <w:rsid w:val="00540B49"/>
    <w:rsid w:val="005875EF"/>
    <w:rsid w:val="005B1586"/>
    <w:rsid w:val="005E1A0D"/>
    <w:rsid w:val="005F2273"/>
    <w:rsid w:val="00661EC2"/>
    <w:rsid w:val="00686C3A"/>
    <w:rsid w:val="006C24EA"/>
    <w:rsid w:val="006C2FFE"/>
    <w:rsid w:val="00714C82"/>
    <w:rsid w:val="0071653B"/>
    <w:rsid w:val="00763277"/>
    <w:rsid w:val="007B4E7D"/>
    <w:rsid w:val="007C6D5A"/>
    <w:rsid w:val="007D2D67"/>
    <w:rsid w:val="007E238D"/>
    <w:rsid w:val="007F110A"/>
    <w:rsid w:val="00820839"/>
    <w:rsid w:val="00844F23"/>
    <w:rsid w:val="008562CA"/>
    <w:rsid w:val="008A1A1D"/>
    <w:rsid w:val="008D7252"/>
    <w:rsid w:val="00913A2B"/>
    <w:rsid w:val="00917205"/>
    <w:rsid w:val="00922712"/>
    <w:rsid w:val="00990DE6"/>
    <w:rsid w:val="009A40F8"/>
    <w:rsid w:val="009F6644"/>
    <w:rsid w:val="00A0205C"/>
    <w:rsid w:val="00A176CB"/>
    <w:rsid w:val="00A26FB9"/>
    <w:rsid w:val="00A511CF"/>
    <w:rsid w:val="00A51E6E"/>
    <w:rsid w:val="00AA7ADA"/>
    <w:rsid w:val="00B36BD9"/>
    <w:rsid w:val="00B36C20"/>
    <w:rsid w:val="00B6395A"/>
    <w:rsid w:val="00B70424"/>
    <w:rsid w:val="00BB0F91"/>
    <w:rsid w:val="00BB3F80"/>
    <w:rsid w:val="00BD7202"/>
    <w:rsid w:val="00BE7C6B"/>
    <w:rsid w:val="00C62BAD"/>
    <w:rsid w:val="00CC10D2"/>
    <w:rsid w:val="00D34857"/>
    <w:rsid w:val="00D65902"/>
    <w:rsid w:val="00DD3AAD"/>
    <w:rsid w:val="00DD7124"/>
    <w:rsid w:val="00E00E2B"/>
    <w:rsid w:val="00E10AC2"/>
    <w:rsid w:val="00E1103E"/>
    <w:rsid w:val="00E315E2"/>
    <w:rsid w:val="00E976CE"/>
    <w:rsid w:val="00EB2EEE"/>
    <w:rsid w:val="00EE059A"/>
    <w:rsid w:val="00F01E83"/>
    <w:rsid w:val="00F0529A"/>
    <w:rsid w:val="00F4206A"/>
    <w:rsid w:val="00F52262"/>
    <w:rsid w:val="00F57561"/>
    <w:rsid w:val="00F63975"/>
    <w:rsid w:val="00F63D82"/>
    <w:rsid w:val="00FA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686C3A"/>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character" w:customStyle="1" w:styleId="Heading2Char">
    <w:name w:val="Heading 2 Char"/>
    <w:basedOn w:val="DefaultParagraphFont"/>
    <w:link w:val="Heading2"/>
    <w:rsid w:val="00686C3A"/>
    <w:rPr>
      <w:rFonts w:ascii="Times New Roman" w:eastAsia="Times New Roman" w:hAnsi="Times New Roman" w:cs="Times New Roman"/>
      <w:b/>
      <w:bCs/>
      <w:snapToGrid w:val="0"/>
      <w:szCs w:val="20"/>
      <w:lang w:val="en-GB"/>
    </w:rPr>
  </w:style>
  <w:style w:type="table" w:styleId="TableGrid">
    <w:name w:val="Table Grid"/>
    <w:basedOn w:val="TableNormal"/>
    <w:uiPriority w:val="59"/>
    <w:rsid w:val="001E51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KeyPoints">
    <w:name w:val="Key Points"/>
    <w:basedOn w:val="NoList"/>
    <w:rsid w:val="001B6CD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cop-appointed-councillor-subject-areas-analysis-review-and-recommendations-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2.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4.xml><?xml version="1.0" encoding="utf-8"?>
<ds:datastoreItem xmlns:ds="http://schemas.openxmlformats.org/officeDocument/2006/customXml" ds:itemID="{503C263F-CEF9-4A00-9323-4A09C8F81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39</cp:revision>
  <dcterms:created xsi:type="dcterms:W3CDTF">2024-05-29T13:21:00Z</dcterms:created>
  <dcterms:modified xsi:type="dcterms:W3CDTF">2024-09-10T10:14:00Z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