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4A3F91B3"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DB0EAC">
        <w:rPr>
          <w:rFonts w:cs="Arial"/>
          <w:lang w:val="es-ES"/>
        </w:rPr>
        <w:t>7.3</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401CD15A" w14:textId="77777777" w:rsidR="0025645D" w:rsidRPr="00DF6249" w:rsidRDefault="0025645D" w:rsidP="0025645D">
      <w:pPr>
        <w:pStyle w:val="Heading2"/>
        <w:keepNext w:val="0"/>
        <w:spacing w:after="120"/>
        <w:ind w:left="-86" w:right="-360"/>
        <w:rPr>
          <w:rFonts w:ascii="Arial" w:hAnsi="Arial" w:cs="Arial"/>
          <w:szCs w:val="22"/>
          <w:lang w:val="es-ES"/>
        </w:rPr>
      </w:pPr>
      <w:r w:rsidRPr="00DF6249">
        <w:rPr>
          <w:rFonts w:ascii="Arial" w:hAnsi="Arial" w:cs="Arial"/>
          <w:szCs w:val="22"/>
          <w:lang w:val="es-ES"/>
        </w:rPr>
        <w:t>REVISIÓN EN PROFUNDIDAD DEL ESTADO DE CONSERVACIÓN DE LAS ESPECIES INDIVIDUALES INCLUIDAS EN LAS LISTAS DE LA CMS</w:t>
      </w:r>
    </w:p>
    <w:p w14:paraId="2C982DCF" w14:textId="77777777" w:rsidR="0025645D" w:rsidRPr="00DF6249" w:rsidRDefault="0025645D" w:rsidP="0025645D">
      <w:pPr>
        <w:jc w:val="center"/>
        <w:rPr>
          <w:rFonts w:cs="Arial"/>
          <w:i/>
          <w:lang w:val="es-ES"/>
        </w:rPr>
      </w:pPr>
      <w:r w:rsidRPr="00DF6249">
        <w:rPr>
          <w:rFonts w:cs="Arial"/>
          <w:i/>
          <w:lang w:val="es-ES"/>
        </w:rPr>
        <w:t>(Preparado por la Secretaría)</w:t>
      </w:r>
    </w:p>
    <w:p w14:paraId="60E5ABDC" w14:textId="77777777" w:rsidR="00B70424" w:rsidRDefault="00B70424" w:rsidP="004D2917">
      <w:pPr>
        <w:rPr>
          <w:rFonts w:cs="Arial"/>
          <w:lang w:val="es-ES"/>
        </w:rPr>
      </w:pPr>
    </w:p>
    <w:p w14:paraId="05D1CB84" w14:textId="77777777" w:rsidR="006130C7" w:rsidRDefault="006130C7" w:rsidP="004D2917">
      <w:pPr>
        <w:rPr>
          <w:rFonts w:cs="Arial"/>
          <w:lang w:val="es-ES"/>
        </w:rPr>
      </w:pPr>
    </w:p>
    <w:p w14:paraId="38696002" w14:textId="35889B5A" w:rsidR="00763334" w:rsidRDefault="00DB0EAC" w:rsidP="004D2917">
      <w:pPr>
        <w:rPr>
          <w:rFonts w:cs="Arial"/>
          <w:lang w:val="es-ES"/>
        </w:rPr>
      </w:pPr>
      <w:r w:rsidRPr="00DF6249">
        <w:rPr>
          <w:rFonts w:cs="Arial"/>
          <w:noProof/>
          <w:lang w:val="es-ES"/>
        </w:rPr>
        <mc:AlternateContent>
          <mc:Choice Requires="wps">
            <w:drawing>
              <wp:anchor distT="0" distB="0" distL="114300" distR="114300" simplePos="0" relativeHeight="251661312" behindDoc="1" locked="0" layoutInCell="1" allowOverlap="1" wp14:anchorId="3E78322A" wp14:editId="448D055A">
                <wp:simplePos x="0" y="0"/>
                <wp:positionH relativeFrom="margin">
                  <wp:posOffset>1176517</wp:posOffset>
                </wp:positionH>
                <wp:positionV relativeFrom="margin">
                  <wp:posOffset>2337048</wp:posOffset>
                </wp:positionV>
                <wp:extent cx="4152900" cy="22098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09800"/>
                        </a:xfrm>
                        <a:prstGeom prst="rect">
                          <a:avLst/>
                        </a:prstGeom>
                        <a:solidFill>
                          <a:srgbClr val="FFFFFF"/>
                        </a:solidFill>
                        <a:ln w="3175">
                          <a:solidFill>
                            <a:srgbClr val="000000"/>
                          </a:solidFill>
                          <a:miter lim="800000"/>
                          <a:headEnd/>
                          <a:tailEnd/>
                        </a:ln>
                      </wps:spPr>
                      <wps:txbx>
                        <w:txbxContent>
                          <w:p w14:paraId="220120E5" w14:textId="77777777" w:rsidR="00DB0EAC" w:rsidRPr="00357ECB" w:rsidRDefault="00DB0EAC" w:rsidP="00DB0EAC">
                            <w:pPr>
                              <w:rPr>
                                <w:rFonts w:cs="Arial"/>
                                <w:lang w:val="es-ES"/>
                              </w:rPr>
                            </w:pPr>
                            <w:r w:rsidRPr="00357ECB">
                              <w:rPr>
                                <w:rFonts w:cs="Arial"/>
                                <w:lang w:val="es-ES"/>
                              </w:rPr>
                              <w:t>Resumen:</w:t>
                            </w:r>
                          </w:p>
                          <w:p w14:paraId="2057B6A7" w14:textId="77777777" w:rsidR="00DB0EAC" w:rsidRPr="00357ECB" w:rsidRDefault="00DB0EAC" w:rsidP="00DB0EAC">
                            <w:pPr>
                              <w:rPr>
                                <w:rFonts w:cs="Arial"/>
                                <w:lang w:val="es-ES"/>
                              </w:rPr>
                            </w:pPr>
                          </w:p>
                          <w:p w14:paraId="6006E6C1" w14:textId="77777777" w:rsidR="00DB0EAC" w:rsidRPr="00357ECB" w:rsidRDefault="00DB0EAC" w:rsidP="00DB0EAC">
                            <w:pPr>
                              <w:jc w:val="both"/>
                              <w:rPr>
                                <w:rFonts w:cs="Arial"/>
                                <w:lang w:val="es-ES"/>
                              </w:rPr>
                            </w:pPr>
                            <w:r w:rsidRPr="00357ECB">
                              <w:rPr>
                                <w:rFonts w:cs="Arial"/>
                                <w:lang w:val="es-ES"/>
                              </w:rPr>
                              <w:t>En virtud de las decisiones 13.24 b) y 13.26 b), este documento somete a la consideración de la sexta reunión del Comité del Período de Sesiones del Consejo Científico (ScC-SC6) los proyectos finales de las revisiones en profundidad del estado de conservación de los taxones seleccionados incluidos en los Apéndices de la CMS.</w:t>
                            </w:r>
                          </w:p>
                          <w:p w14:paraId="03CF5BE6" w14:textId="77777777" w:rsidR="00DB0EAC" w:rsidRPr="00357ECB" w:rsidRDefault="00DB0EAC" w:rsidP="00DB0EAC">
                            <w:pPr>
                              <w:jc w:val="both"/>
                              <w:rPr>
                                <w:rFonts w:cs="Arial"/>
                                <w:lang w:val="es-ES"/>
                              </w:rPr>
                            </w:pPr>
                          </w:p>
                          <w:p w14:paraId="45053B9B" w14:textId="77777777" w:rsidR="00DB0EAC" w:rsidRPr="00357ECB" w:rsidRDefault="00DB0EAC" w:rsidP="00DB0EAC">
                            <w:pPr>
                              <w:jc w:val="both"/>
                              <w:rPr>
                                <w:rFonts w:cs="Arial"/>
                                <w:lang w:val="es-ES"/>
                              </w:rPr>
                            </w:pPr>
                            <w:r w:rsidRPr="00357ECB">
                              <w:rPr>
                                <w:rFonts w:cs="Arial"/>
                                <w:lang w:val="es-ES"/>
                              </w:rPr>
                              <w:t>Se recomienda a la ScC-SC6 que considere las revisiones y formule observaciones y recomendaciones a la Secretaría con vistas a la presentación de dichas revisiones ante la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8322A" id="_x0000_t202" coordsize="21600,21600" o:spt="202" path="m,l,21600r21600,l21600,xe">
                <v:stroke joinstyle="miter"/>
                <v:path gradientshapeok="t" o:connecttype="rect"/>
              </v:shapetype>
              <v:shape id="Text Box 4" o:spid="_x0000_s1026" type="#_x0000_t202" style="position:absolute;margin-left:92.65pt;margin-top:184pt;width:327pt;height:17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" strokeweight=".25pt">
                <v:textbox>
                  <w:txbxContent>
                    <w:p w14:paraId="220120E5" w14:textId="77777777" w:rsidR="00DB0EAC" w:rsidRPr="00357ECB" w:rsidRDefault="00DB0EAC" w:rsidP="00DB0EAC">
                      <w:pPr>
                        <w:rPr>
                          <w:rFonts w:cs="Arial"/>
                          <w:lang w:val="es-ES"/>
                        </w:rPr>
                      </w:pPr>
                      <w:r w:rsidRPr="00357ECB">
                        <w:rPr>
                          <w:rFonts w:cs="Arial"/>
                          <w:lang w:val="es-ES"/>
                        </w:rPr>
                        <w:t>Resumen:</w:t>
                      </w:r>
                    </w:p>
                    <w:p w14:paraId="2057B6A7" w14:textId="77777777" w:rsidR="00DB0EAC" w:rsidRPr="00357ECB" w:rsidRDefault="00DB0EAC" w:rsidP="00DB0EAC">
                      <w:pPr>
                        <w:rPr>
                          <w:rFonts w:cs="Arial"/>
                          <w:lang w:val="es-ES"/>
                        </w:rPr>
                      </w:pPr>
                    </w:p>
                    <w:p w14:paraId="6006E6C1" w14:textId="77777777" w:rsidR="00DB0EAC" w:rsidRPr="00357ECB" w:rsidRDefault="00DB0EAC" w:rsidP="00DB0EAC">
                      <w:pPr>
                        <w:jc w:val="both"/>
                        <w:rPr>
                          <w:rFonts w:cs="Arial"/>
                          <w:lang w:val="es-ES"/>
                        </w:rPr>
                      </w:pPr>
                      <w:r w:rsidRPr="00357ECB">
                        <w:rPr>
                          <w:rFonts w:cs="Arial"/>
                          <w:lang w:val="es-ES"/>
                        </w:rPr>
                        <w:t>En virtud de las decisiones 13.24 b) y 13.26 b), este documento somete a la consideración de la sexta reunión del Comité del Período de Sesiones del Consejo Científico (ScC-SC6) los proyectos finales de las revisiones en profundidad del estado de conservación de los taxones seleccionados incluidos en los Apéndices de la CMS.</w:t>
                      </w:r>
                    </w:p>
                    <w:p w14:paraId="03CF5BE6" w14:textId="77777777" w:rsidR="00DB0EAC" w:rsidRPr="00357ECB" w:rsidRDefault="00DB0EAC" w:rsidP="00DB0EAC">
                      <w:pPr>
                        <w:jc w:val="both"/>
                        <w:rPr>
                          <w:rFonts w:cs="Arial"/>
                          <w:lang w:val="es-ES"/>
                        </w:rPr>
                      </w:pPr>
                    </w:p>
                    <w:p w14:paraId="45053B9B" w14:textId="77777777" w:rsidR="00DB0EAC" w:rsidRPr="00357ECB" w:rsidRDefault="00DB0EAC" w:rsidP="00DB0EAC">
                      <w:pPr>
                        <w:jc w:val="both"/>
                        <w:rPr>
                          <w:rFonts w:cs="Arial"/>
                          <w:lang w:val="es-ES"/>
                        </w:rPr>
                      </w:pPr>
                      <w:r w:rsidRPr="00357ECB">
                        <w:rPr>
                          <w:rFonts w:cs="Arial"/>
                          <w:lang w:val="es-ES"/>
                        </w:rPr>
                        <w:t>Se recomienda a la ScC-SC6 que considere las revisiones y formule observaciones y recomendaciones a la Secretaría con vistas a la presentación de dichas revisiones ante la COP14.</w:t>
                      </w:r>
                    </w:p>
                  </w:txbxContent>
                </v:textbox>
                <w10:wrap type="square" anchorx="margin" anchory="margin"/>
              </v:shape>
            </w:pict>
          </mc:Fallback>
        </mc:AlternateContent>
      </w:r>
    </w:p>
    <w:p w14:paraId="196EB73F" w14:textId="75AD6E9D" w:rsidR="00763334" w:rsidRDefault="00763334" w:rsidP="004D2917">
      <w:pPr>
        <w:rPr>
          <w:rFonts w:cs="Arial"/>
          <w:lang w:val="es-ES"/>
        </w:rPr>
      </w:pPr>
    </w:p>
    <w:p w14:paraId="7BE2294C" w14:textId="61DEA5B9" w:rsidR="00763334" w:rsidRDefault="00763334" w:rsidP="004D2917">
      <w:pPr>
        <w:rPr>
          <w:rFonts w:cs="Arial"/>
          <w:lang w:val="es-ES"/>
        </w:rPr>
      </w:pPr>
    </w:p>
    <w:p w14:paraId="6249CB12" w14:textId="77777777" w:rsidR="00763334" w:rsidRDefault="00763334" w:rsidP="004D2917">
      <w:pPr>
        <w:rPr>
          <w:rFonts w:cs="Arial"/>
          <w:lang w:val="es-ES"/>
        </w:rPr>
      </w:pPr>
    </w:p>
    <w:p w14:paraId="5D6F1658" w14:textId="77777777" w:rsidR="00763334" w:rsidRDefault="00763334" w:rsidP="004D2917">
      <w:pPr>
        <w:rPr>
          <w:rFonts w:cs="Arial"/>
          <w:lang w:val="es-ES"/>
        </w:rPr>
      </w:pPr>
    </w:p>
    <w:p w14:paraId="1CFFA442" w14:textId="77777777" w:rsidR="00763334" w:rsidRDefault="00763334" w:rsidP="004D2917">
      <w:pPr>
        <w:rPr>
          <w:rFonts w:cs="Arial"/>
          <w:lang w:val="es-ES"/>
        </w:rPr>
      </w:pPr>
    </w:p>
    <w:p w14:paraId="2BC4D914" w14:textId="77777777" w:rsidR="00763334" w:rsidRDefault="00763334" w:rsidP="004D2917">
      <w:pPr>
        <w:rPr>
          <w:rFonts w:cs="Arial"/>
          <w:lang w:val="es-ES"/>
        </w:rPr>
      </w:pPr>
    </w:p>
    <w:p w14:paraId="60900D37" w14:textId="77777777" w:rsidR="00763334" w:rsidRDefault="00763334" w:rsidP="004D2917">
      <w:pPr>
        <w:rPr>
          <w:rFonts w:cs="Arial"/>
          <w:lang w:val="es-ES"/>
        </w:rPr>
      </w:pPr>
    </w:p>
    <w:p w14:paraId="730C61C6" w14:textId="77777777" w:rsidR="00763334" w:rsidRDefault="00763334" w:rsidP="004D2917">
      <w:pPr>
        <w:rPr>
          <w:rFonts w:cs="Arial"/>
          <w:lang w:val="es-ES"/>
        </w:rPr>
      </w:pPr>
    </w:p>
    <w:p w14:paraId="25DCF59F" w14:textId="77777777" w:rsidR="00763334" w:rsidRDefault="00763334" w:rsidP="004D2917">
      <w:pPr>
        <w:rPr>
          <w:rFonts w:cs="Arial"/>
          <w:lang w:val="es-ES"/>
        </w:rPr>
      </w:pPr>
    </w:p>
    <w:p w14:paraId="0C715EED" w14:textId="77777777" w:rsidR="00763334" w:rsidRDefault="00763334" w:rsidP="004D2917">
      <w:pPr>
        <w:rPr>
          <w:rFonts w:cs="Arial"/>
          <w:lang w:val="es-ES"/>
        </w:rPr>
      </w:pPr>
    </w:p>
    <w:p w14:paraId="3F086D41" w14:textId="77777777" w:rsidR="00763334" w:rsidRDefault="00763334" w:rsidP="004D2917">
      <w:pPr>
        <w:rPr>
          <w:rFonts w:cs="Arial"/>
          <w:lang w:val="es-ES"/>
        </w:rPr>
      </w:pPr>
    </w:p>
    <w:p w14:paraId="541337FD" w14:textId="77777777" w:rsidR="00763334" w:rsidRDefault="00763334" w:rsidP="004D2917">
      <w:pPr>
        <w:rPr>
          <w:rFonts w:cs="Arial"/>
          <w:lang w:val="es-ES"/>
        </w:rPr>
      </w:pPr>
    </w:p>
    <w:p w14:paraId="3FC7EE3C" w14:textId="77777777" w:rsidR="00763334" w:rsidRDefault="00763334" w:rsidP="004D2917">
      <w:pPr>
        <w:rPr>
          <w:rFonts w:cs="Arial"/>
          <w:lang w:val="es-ES"/>
        </w:rPr>
      </w:pPr>
    </w:p>
    <w:p w14:paraId="70694960" w14:textId="77777777" w:rsidR="00763334" w:rsidRDefault="00763334" w:rsidP="004D2917">
      <w:pPr>
        <w:rPr>
          <w:rFonts w:cs="Arial"/>
          <w:lang w:val="es-ES"/>
        </w:rPr>
      </w:pPr>
    </w:p>
    <w:p w14:paraId="7613BDBD" w14:textId="77777777" w:rsidR="00763334" w:rsidRDefault="00763334" w:rsidP="004D2917">
      <w:pPr>
        <w:rPr>
          <w:rFonts w:cs="Arial"/>
          <w:lang w:val="es-ES"/>
        </w:rPr>
      </w:pPr>
    </w:p>
    <w:p w14:paraId="648AD472" w14:textId="77777777" w:rsidR="00763334" w:rsidRDefault="00763334">
      <w:pPr>
        <w:rPr>
          <w:rFonts w:cs="Arial"/>
          <w:lang w:val="es-ES"/>
        </w:rPr>
      </w:pPr>
      <w:r>
        <w:rPr>
          <w:rFonts w:cs="Arial"/>
          <w:lang w:val="es-ES"/>
        </w:rPr>
        <w:br w:type="page"/>
      </w:r>
    </w:p>
    <w:p w14:paraId="3D04F640" w14:textId="77777777" w:rsidR="00763334" w:rsidRPr="00DF6249" w:rsidRDefault="00763334" w:rsidP="00763334">
      <w:pPr>
        <w:pStyle w:val="Heading2"/>
        <w:keepNext w:val="0"/>
        <w:ind w:left="-86" w:right="-360"/>
        <w:rPr>
          <w:rFonts w:ascii="Arial" w:hAnsi="Arial" w:cs="Arial"/>
          <w:szCs w:val="22"/>
          <w:lang w:val="es-ES"/>
        </w:rPr>
      </w:pPr>
      <w:r w:rsidRPr="00DF6249">
        <w:rPr>
          <w:rFonts w:ascii="Arial" w:hAnsi="Arial" w:cs="Arial"/>
          <w:szCs w:val="22"/>
          <w:lang w:val="es-ES"/>
        </w:rPr>
        <w:lastRenderedPageBreak/>
        <w:t>REVISIÓN EN PROFUNDIDAD DEL ESTADO DE CONSERVACIÓN DE LAS ESPECIES INDIVIDUALES INCLUIDAS EN LAS LISTAS DE LA CMS</w:t>
      </w:r>
    </w:p>
    <w:p w14:paraId="0267D11E" w14:textId="77777777" w:rsidR="00763334" w:rsidRPr="00DF6249" w:rsidRDefault="00763334" w:rsidP="00763334">
      <w:pPr>
        <w:pStyle w:val="Heading2"/>
        <w:keepNext w:val="0"/>
        <w:ind w:left="-86" w:right="-360"/>
        <w:rPr>
          <w:rFonts w:ascii="Arial" w:hAnsi="Arial" w:cs="Arial"/>
          <w:szCs w:val="22"/>
          <w:lang w:val="es-ES"/>
        </w:rPr>
      </w:pPr>
    </w:p>
    <w:p w14:paraId="63CE1389" w14:textId="77777777" w:rsidR="00763334" w:rsidRPr="00DF6249" w:rsidRDefault="00763334" w:rsidP="00763334">
      <w:pPr>
        <w:rPr>
          <w:lang w:val="es-ES"/>
        </w:rPr>
      </w:pPr>
    </w:p>
    <w:p w14:paraId="73D04BFB" w14:textId="77777777" w:rsidR="00763334" w:rsidRPr="00DF6249" w:rsidRDefault="00763334" w:rsidP="00763334">
      <w:pPr>
        <w:rPr>
          <w:u w:val="single"/>
          <w:lang w:val="es-ES"/>
        </w:rPr>
      </w:pPr>
      <w:r w:rsidRPr="00DF6249">
        <w:rPr>
          <w:u w:val="single"/>
          <w:lang w:val="es-ES"/>
        </w:rPr>
        <w:t>Antecedentes</w:t>
      </w:r>
    </w:p>
    <w:p w14:paraId="18FFCB88" w14:textId="77777777" w:rsidR="00763334" w:rsidRPr="00DF6249" w:rsidRDefault="00763334" w:rsidP="00763334">
      <w:pPr>
        <w:rPr>
          <w:lang w:val="es-ES"/>
        </w:rPr>
      </w:pPr>
    </w:p>
    <w:p w14:paraId="282FD0E3" w14:textId="5B740A5D" w:rsidR="00763334" w:rsidRPr="00DB2046" w:rsidRDefault="00763334" w:rsidP="002952DE">
      <w:pPr>
        <w:pStyle w:val="ListParagraph"/>
        <w:widowControl w:val="0"/>
        <w:numPr>
          <w:ilvl w:val="0"/>
          <w:numId w:val="6"/>
        </w:numPr>
        <w:jc w:val="both"/>
        <w:rPr>
          <w:rFonts w:cs="Arial"/>
          <w:i/>
          <w:iCs/>
          <w:lang w:val="es-ES"/>
        </w:rPr>
      </w:pPr>
      <w:r w:rsidRPr="00DB2046">
        <w:rPr>
          <w:rFonts w:cs="Arial"/>
          <w:lang w:val="es-ES"/>
        </w:rPr>
        <w:t>La 13</w:t>
      </w:r>
      <w:r w:rsidRPr="00DB2046">
        <w:rPr>
          <w:rFonts w:cs="Arial"/>
          <w:vertAlign w:val="superscript"/>
          <w:lang w:val="es-ES"/>
        </w:rPr>
        <w:t>ª</w:t>
      </w:r>
      <w:r w:rsidRPr="00DB2046">
        <w:rPr>
          <w:rFonts w:cs="Arial"/>
          <w:lang w:val="es-ES"/>
        </w:rPr>
        <w:t xml:space="preserve"> reunión de la Conferencia de las Partes de la CMS (COP13; Gandhinagar, 2020) tomó en consideración una revisión preliminar del estado de conservación de los taxones incluidos en las listas de la CMS (</w:t>
      </w:r>
      <w:hyperlink r:id="rId11" w:history="1">
        <w:r w:rsidRPr="00DB2046">
          <w:rPr>
            <w:rStyle w:val="Hyperlink"/>
            <w:rFonts w:cs="Arial"/>
            <w:lang w:val="es-ES"/>
          </w:rPr>
          <w:t>UNEP/CMS/COP13/Doc.24/Rev.1</w:t>
        </w:r>
      </w:hyperlink>
      <w:r w:rsidRPr="00DB2046">
        <w:rPr>
          <w:rFonts w:cs="Arial"/>
          <w:lang w:val="es-ES"/>
        </w:rPr>
        <w:t xml:space="preserve">). Como consecuencia de ello, la COP13 adoptó la </w:t>
      </w:r>
      <w:hyperlink r:id="rId12">
        <w:r w:rsidRPr="00DB2046">
          <w:rPr>
            <w:rStyle w:val="Hyperlink"/>
            <w:rFonts w:cs="Arial"/>
            <w:lang w:val="es-ES"/>
          </w:rPr>
          <w:t>Decisión 13.24</w:t>
        </w:r>
      </w:hyperlink>
      <w:r w:rsidRPr="00DB2046">
        <w:rPr>
          <w:rStyle w:val="Hyperlink"/>
          <w:rFonts w:cs="Arial"/>
          <w:lang w:val="es-ES"/>
        </w:rPr>
        <w:t>,</w:t>
      </w:r>
      <w:r w:rsidRPr="00DB2046">
        <w:rPr>
          <w:rFonts w:cs="Arial"/>
          <w:i/>
          <w:iCs/>
          <w:lang w:val="es-ES"/>
        </w:rPr>
        <w:t xml:space="preserve"> </w:t>
      </w:r>
      <w:r w:rsidRPr="00DB2046">
        <w:rPr>
          <w:rFonts w:cs="Arial"/>
          <w:lang w:val="es-ES"/>
        </w:rPr>
        <w:t>que encomendaba a la Secretaría la realización de las actividades correspondientes para evaluar el estado de conservación de las especies migratorias. El apartado b) hace un llamamiento a la Secretaría “</w:t>
      </w:r>
      <w:r w:rsidR="00926B3D" w:rsidRPr="00DB2046">
        <w:rPr>
          <w:rFonts w:cs="Arial"/>
          <w:i/>
          <w:iCs/>
          <w:lang w:val="es-ES"/>
        </w:rPr>
        <w:t>) inicie, en consulta con el Consejo Científico y en colaboración con las organizaciones competentes, una revisión en profundidad del estado de conservación de las especies individuales incluidas en las listas, comenzando por las especies incluidas en el Apéndice I clasificadas en las categorías de menor amenaza de extinción de la Lista Roja de Especies Amenazadas de la UICN, y cuyo estado de conservación haya mejorado desde su inclusión en la lista, y las especies incluidas en el Apéndice II clasificadas en las categorías de En Peligro, En Peligro Crítico y Extintas en Estado Silvestre, con el fin de determinar, entre otros</w:t>
      </w:r>
      <w:r w:rsidR="00DB2046" w:rsidRPr="00DB2046">
        <w:rPr>
          <w:rFonts w:cs="Arial"/>
          <w:i/>
          <w:iCs/>
          <w:lang w:val="es-ES"/>
        </w:rPr>
        <w:t xml:space="preserve">: </w:t>
      </w:r>
      <w:r w:rsidR="00926B3D" w:rsidRPr="00DB2046">
        <w:rPr>
          <w:rFonts w:cs="Arial"/>
          <w:i/>
          <w:iCs/>
          <w:lang w:val="es-ES"/>
        </w:rPr>
        <w:t>(i) diferencias en el estado de conservación de poblaciones individuales o unidades de gestión;(</w:t>
      </w:r>
      <w:proofErr w:type="spellStart"/>
      <w:r w:rsidR="00926B3D" w:rsidRPr="00DB2046">
        <w:rPr>
          <w:rFonts w:cs="Arial"/>
          <w:i/>
          <w:iCs/>
          <w:lang w:val="es-ES"/>
        </w:rPr>
        <w:t>ii</w:t>
      </w:r>
      <w:proofErr w:type="spellEnd"/>
      <w:r w:rsidR="00926B3D" w:rsidRPr="00DB2046">
        <w:rPr>
          <w:rFonts w:cs="Arial"/>
          <w:i/>
          <w:iCs/>
          <w:lang w:val="es-ES"/>
        </w:rPr>
        <w:t>) la importancia de la protección que brinda la inclusión en el Apéndice I para la conservación de la especie y sus poblaciones individuales;</w:t>
      </w:r>
      <w:r w:rsidRPr="00DB2046">
        <w:rPr>
          <w:rFonts w:cs="Arial"/>
          <w:i/>
          <w:iCs/>
          <w:shd w:val="clear" w:color="auto" w:fill="FFFFFF"/>
          <w:lang w:val="es-ES"/>
        </w:rPr>
        <w:t>”</w:t>
      </w:r>
    </w:p>
    <w:p w14:paraId="4D6D5BF2" w14:textId="77777777" w:rsidR="00763334" w:rsidRPr="00DB2046" w:rsidRDefault="00763334" w:rsidP="00763334">
      <w:pPr>
        <w:jc w:val="both"/>
        <w:rPr>
          <w:rFonts w:cs="Arial"/>
          <w:lang w:val="es-ES"/>
        </w:rPr>
      </w:pPr>
      <w:r w:rsidRPr="00DB2046">
        <w:rPr>
          <w:rFonts w:cs="Arial"/>
          <w:lang w:val="es-ES"/>
        </w:rPr>
        <w:t xml:space="preserve"> </w:t>
      </w:r>
    </w:p>
    <w:p w14:paraId="776D37B1" w14:textId="77777777" w:rsidR="00763334" w:rsidRPr="00DF6249" w:rsidRDefault="00763334" w:rsidP="00763334">
      <w:pPr>
        <w:suppressAutoHyphens/>
        <w:rPr>
          <w:rFonts w:cs="Arial"/>
          <w:u w:val="single"/>
          <w:lang w:val="es-ES"/>
        </w:rPr>
      </w:pPr>
      <w:r w:rsidRPr="00DF6249">
        <w:rPr>
          <w:rFonts w:cs="Arial"/>
          <w:u w:val="single"/>
          <w:lang w:val="es-ES"/>
        </w:rPr>
        <w:t>Progresos en la aplicación de la Decisión 13.24 b)</w:t>
      </w:r>
    </w:p>
    <w:p w14:paraId="33FE66E8" w14:textId="77777777" w:rsidR="00763334" w:rsidRPr="00DF6249" w:rsidRDefault="00763334" w:rsidP="00763334">
      <w:pPr>
        <w:pStyle w:val="ListParagraph"/>
        <w:autoSpaceDE w:val="0"/>
        <w:autoSpaceDN w:val="0"/>
        <w:adjustRightInd w:val="0"/>
        <w:ind w:left="360"/>
        <w:jc w:val="both"/>
        <w:rPr>
          <w:rFonts w:ascii="ArialMT" w:hAnsi="ArialMT" w:cs="ArialMT"/>
          <w:lang w:val="es-ES"/>
        </w:rPr>
      </w:pPr>
    </w:p>
    <w:p w14:paraId="41BE9172" w14:textId="77777777" w:rsidR="00763334" w:rsidRPr="00DF6249" w:rsidRDefault="00763334" w:rsidP="00763334">
      <w:pPr>
        <w:pStyle w:val="ListParagraph"/>
        <w:widowControl w:val="0"/>
        <w:numPr>
          <w:ilvl w:val="0"/>
          <w:numId w:val="4"/>
        </w:numPr>
        <w:autoSpaceDE w:val="0"/>
        <w:autoSpaceDN w:val="0"/>
        <w:adjustRightInd w:val="0"/>
        <w:ind w:left="567" w:hanging="567"/>
        <w:jc w:val="both"/>
        <w:rPr>
          <w:rFonts w:cs="Arial"/>
          <w:lang w:val="es-ES"/>
        </w:rPr>
      </w:pPr>
      <w:r w:rsidRPr="00DF6249">
        <w:rPr>
          <w:rFonts w:cs="Arial"/>
          <w:lang w:val="es-ES"/>
        </w:rPr>
        <w:t xml:space="preserve">La recaudación de fondos emprendida tras la COP13 por la Secretaría, en cuanto a la aplicación de la Decisión 13.24, ha logrado obtener importantes recursos. En concreto, el gobierno de Australia (Departamento de Agricultura, Agua y Medio Ambiente), el gobierno de Suiza (Oficina Federal de Medio Ambiente, FOEN) y el gobierno del Reino Unido (Departamento de Medio Ambiente, Alimentación y Asuntos Rurales, DEFRA) han aportado recursos. Gracias a estas contribuciones, la Secretaría ha podido establecer un acuerdo con el Programa de las Naciones Unidas para el Medio Ambiente-Centro Mundial de Vigilancia de la Conservación (UNEP-WCMC) con el objetivo de emprender las actividades previstas en la Decisión 13.24 (a)-(c). </w:t>
      </w:r>
    </w:p>
    <w:p w14:paraId="46DEA0F9" w14:textId="77777777" w:rsidR="00763334" w:rsidRPr="00DF6249" w:rsidRDefault="00763334" w:rsidP="00763334">
      <w:pPr>
        <w:pStyle w:val="ListParagraph"/>
        <w:autoSpaceDE w:val="0"/>
        <w:autoSpaceDN w:val="0"/>
        <w:adjustRightInd w:val="0"/>
        <w:ind w:left="360"/>
        <w:rPr>
          <w:rFonts w:ascii="ArialMT" w:hAnsi="ArialMT" w:cs="ArialMT"/>
          <w:lang w:val="es-ES"/>
        </w:rPr>
      </w:pPr>
    </w:p>
    <w:p w14:paraId="65D25323" w14:textId="77777777" w:rsidR="00763334" w:rsidRPr="00DF6249" w:rsidRDefault="00763334" w:rsidP="00763334">
      <w:pPr>
        <w:pStyle w:val="ListParagraph"/>
        <w:widowControl w:val="0"/>
        <w:numPr>
          <w:ilvl w:val="0"/>
          <w:numId w:val="4"/>
        </w:numPr>
        <w:autoSpaceDE w:val="0"/>
        <w:autoSpaceDN w:val="0"/>
        <w:adjustRightInd w:val="0"/>
        <w:ind w:left="567" w:hanging="567"/>
        <w:jc w:val="both"/>
        <w:rPr>
          <w:rFonts w:cs="Arial"/>
          <w:lang w:val="es-ES"/>
        </w:rPr>
      </w:pPr>
      <w:r w:rsidRPr="00DF6249">
        <w:rPr>
          <w:rFonts w:cs="Arial"/>
          <w:lang w:val="es-ES"/>
        </w:rPr>
        <w:t>El trabajo sobre las revisiones en profundidad comenzó centrándose en los taxones incluidos en el Apéndice I.</w:t>
      </w:r>
      <w:r>
        <w:rPr>
          <w:rFonts w:cs="Arial"/>
          <w:lang w:val="es-ES"/>
        </w:rPr>
        <w:t xml:space="preserve"> </w:t>
      </w:r>
      <w:r w:rsidRPr="00DF6249">
        <w:rPr>
          <w:rFonts w:cs="Arial"/>
          <w:lang w:val="es-ES"/>
        </w:rPr>
        <w:t xml:space="preserve">Como paso inicial, la Secretaría de la CMS y el UNEP-WCMC elaboraron, en colaboración con la UICN, (i) una metodología para realizar una evaluación rápida de los taxones incluidos en el Apéndice I, con vistas </w:t>
      </w:r>
      <w:r w:rsidRPr="00DF6249">
        <w:rPr>
          <w:rFonts w:cs="Arial"/>
          <w:i/>
          <w:lang w:val="es-ES"/>
        </w:rPr>
        <w:t xml:space="preserve">inter </w:t>
      </w:r>
      <w:proofErr w:type="spellStart"/>
      <w:r w:rsidRPr="00DF6249">
        <w:rPr>
          <w:rFonts w:cs="Arial"/>
          <w:i/>
          <w:lang w:val="es-ES"/>
        </w:rPr>
        <w:t>alia</w:t>
      </w:r>
      <w:proofErr w:type="spellEnd"/>
      <w:r w:rsidRPr="00DF6249">
        <w:rPr>
          <w:rFonts w:cs="Arial"/>
          <w:lang w:val="es-ES"/>
        </w:rPr>
        <w:t xml:space="preserve"> a determinar qué taxones individuales, de los incluidos en la CMS, pueden ser buenos candidatos para una revisión en profundidad, tal como se describe en la Decisión 13.24; y (</w:t>
      </w:r>
      <w:proofErr w:type="spellStart"/>
      <w:r w:rsidRPr="00DF6249">
        <w:rPr>
          <w:rFonts w:cs="Arial"/>
          <w:lang w:val="es-ES"/>
        </w:rPr>
        <w:t>ii</w:t>
      </w:r>
      <w:proofErr w:type="spellEnd"/>
      <w:r w:rsidRPr="00DF6249">
        <w:rPr>
          <w:rFonts w:cs="Arial"/>
          <w:lang w:val="es-ES"/>
        </w:rPr>
        <w:t xml:space="preserve">) una plantilla para realizar </w:t>
      </w:r>
      <w:r w:rsidRPr="00DF6249">
        <w:rPr>
          <w:rFonts w:cs="Arial"/>
          <w:color w:val="000000"/>
          <w:lang w:val="es-ES"/>
        </w:rPr>
        <w:t>un conjunto de estudios de caso proporcionando una evaluación en profundidad del estado de conservación de las especies específicas del Apéndice I</w:t>
      </w:r>
      <w:r w:rsidRPr="00DF6249">
        <w:rPr>
          <w:rFonts w:cs="Arial"/>
          <w:lang w:val="es-ES"/>
        </w:rPr>
        <w:t>.</w:t>
      </w:r>
      <w:r>
        <w:rPr>
          <w:rFonts w:cs="Arial"/>
          <w:lang w:val="es-ES"/>
        </w:rPr>
        <w:t xml:space="preserve"> </w:t>
      </w:r>
      <w:r w:rsidRPr="00DF6249">
        <w:rPr>
          <w:rFonts w:cs="Arial"/>
          <w:lang w:val="es-ES"/>
        </w:rPr>
        <w:t>En virtud de la Decisión 13.26 a), se presentaron los proyectos de la metodología y de la plantilla a la 5.</w:t>
      </w:r>
      <w:r w:rsidRPr="00DF6249">
        <w:rPr>
          <w:rFonts w:cs="Arial"/>
          <w:vertAlign w:val="superscript"/>
          <w:lang w:val="es-ES"/>
        </w:rPr>
        <w:t>ª</w:t>
      </w:r>
      <w:r w:rsidRPr="00DF6249">
        <w:rPr>
          <w:rFonts w:cs="Arial"/>
          <w:lang w:val="es-ES"/>
        </w:rPr>
        <w:t xml:space="preserve"> Reunión del Comité del Período de Sesiones del Consejo Científico (ScC-SC5, 2021), que los revisó y aprobó. </w:t>
      </w:r>
    </w:p>
    <w:p w14:paraId="50CC4805" w14:textId="77777777" w:rsidR="00763334" w:rsidRPr="00DF6249" w:rsidRDefault="00763334" w:rsidP="00763334">
      <w:pPr>
        <w:pStyle w:val="ListParagraph"/>
        <w:rPr>
          <w:rFonts w:cs="Arial"/>
          <w:lang w:val="es-ES"/>
        </w:rPr>
      </w:pPr>
    </w:p>
    <w:p w14:paraId="47F3CDA5" w14:textId="77777777" w:rsidR="00763334" w:rsidRPr="00DF6249" w:rsidRDefault="00763334" w:rsidP="00763334">
      <w:pPr>
        <w:pStyle w:val="ListParagraph"/>
        <w:widowControl w:val="0"/>
        <w:numPr>
          <w:ilvl w:val="0"/>
          <w:numId w:val="4"/>
        </w:numPr>
        <w:ind w:left="567" w:hanging="567"/>
        <w:jc w:val="both"/>
        <w:rPr>
          <w:rFonts w:eastAsia="Roboto" w:cs="Arial"/>
          <w:lang w:val="es-ES"/>
        </w:rPr>
      </w:pPr>
      <w:r w:rsidRPr="00DF6249">
        <w:rPr>
          <w:rFonts w:cs="Arial"/>
          <w:lang w:val="es-ES"/>
        </w:rPr>
        <w:t>A continuación, el UNEP-WCMC, en estrecha consulta con la Secretaría, elaboró un proyecto de evaluación rápida del estado de conservación de los taxones incluidos en el Apéndice I de la CMS.</w:t>
      </w:r>
      <w:r>
        <w:rPr>
          <w:rFonts w:cs="Arial"/>
          <w:lang w:val="es-ES"/>
        </w:rPr>
        <w:t xml:space="preserve"> </w:t>
      </w:r>
      <w:r w:rsidRPr="00DF6249">
        <w:rPr>
          <w:rFonts w:cs="Arial"/>
          <w:lang w:val="es-ES"/>
        </w:rPr>
        <w:t>En julio de 2022, se presentó un primer proyecto a los miembros del Comité del Período de Sesiones del Consejo Científico para su consulta y asesoramiento. Se presenta un proyecto final a la 6.</w:t>
      </w:r>
      <w:r w:rsidRPr="00DF6249">
        <w:rPr>
          <w:rFonts w:cs="Arial"/>
          <w:vertAlign w:val="superscript"/>
          <w:lang w:val="es-ES"/>
        </w:rPr>
        <w:t>ª</w:t>
      </w:r>
      <w:r w:rsidRPr="00DF6249">
        <w:rPr>
          <w:rFonts w:cs="Arial"/>
          <w:lang w:val="es-ES"/>
        </w:rPr>
        <w:t xml:space="preserve"> reunión del Comité del Período de Sesiones del Consejo Científico como </w:t>
      </w:r>
      <w:hyperlink r:id="rId13" w:history="1">
        <w:r w:rsidRPr="00DF6249">
          <w:rPr>
            <w:rStyle w:val="Hyperlink"/>
            <w:rFonts w:cs="Arial"/>
            <w:lang w:val="es-ES"/>
          </w:rPr>
          <w:t>UNEP/CMS/ScC-SC6/Inf.</w:t>
        </w:r>
        <w:proofErr w:type="gramStart"/>
        <w:r w:rsidRPr="00DF6249">
          <w:rPr>
            <w:rStyle w:val="Hyperlink"/>
            <w:rFonts w:cs="Arial"/>
            <w:lang w:val="es-ES"/>
          </w:rPr>
          <w:t>7.3a</w:t>
        </w:r>
        <w:proofErr w:type="gramEnd"/>
      </w:hyperlink>
      <w:r w:rsidRPr="00DF6249">
        <w:rPr>
          <w:rFonts w:cs="Arial"/>
          <w:lang w:val="es-ES"/>
        </w:rPr>
        <w:t>.</w:t>
      </w:r>
      <w:r>
        <w:rPr>
          <w:rFonts w:cs="Arial"/>
          <w:lang w:val="es-ES"/>
        </w:rPr>
        <w:t xml:space="preserve"> </w:t>
      </w:r>
      <w:r w:rsidRPr="00DF6249">
        <w:rPr>
          <w:rFonts w:cs="Arial"/>
          <w:lang w:val="es-ES"/>
        </w:rPr>
        <w:t xml:space="preserve">Los resultados completos de la evaluación rápida del Apéndice I de la CMS, junto con los datos y metadatos correspondientes, se facilitan en un documento </w:t>
      </w:r>
      <w:proofErr w:type="spellStart"/>
      <w:r w:rsidRPr="00DF6249">
        <w:rPr>
          <w:rFonts w:cs="Arial"/>
          <w:lang w:val="es-ES"/>
        </w:rPr>
        <w:t>excel</w:t>
      </w:r>
      <w:proofErr w:type="spellEnd"/>
      <w:r w:rsidRPr="00DF6249">
        <w:rPr>
          <w:rFonts w:cs="Arial"/>
          <w:lang w:val="es-ES"/>
        </w:rPr>
        <w:t xml:space="preserve"> adjunto, disponible como </w:t>
      </w:r>
      <w:hyperlink r:id="rId14" w:history="1">
        <w:r w:rsidRPr="00DF6249">
          <w:rPr>
            <w:rStyle w:val="Hyperlink"/>
            <w:rFonts w:eastAsia="Roboto" w:cs="Arial"/>
            <w:lang w:val="es-ES"/>
          </w:rPr>
          <w:t>UNEP/CMS/ScC-SC6/Inf.7.2</w:t>
        </w:r>
      </w:hyperlink>
      <w:r w:rsidRPr="00DF6249">
        <w:rPr>
          <w:rFonts w:cs="Arial"/>
          <w:lang w:val="es-ES"/>
        </w:rPr>
        <w:t xml:space="preserve">. </w:t>
      </w:r>
    </w:p>
    <w:p w14:paraId="6F250702" w14:textId="77777777" w:rsidR="00763334" w:rsidRPr="00DF6249" w:rsidRDefault="00763334" w:rsidP="00763334">
      <w:pPr>
        <w:rPr>
          <w:rFonts w:eastAsia="Times New Roman" w:cs="Arial"/>
          <w:snapToGrid w:val="0"/>
          <w:lang w:val="es-ES"/>
        </w:rPr>
      </w:pPr>
      <w:r w:rsidRPr="00DF6249">
        <w:rPr>
          <w:rFonts w:cs="Arial"/>
          <w:lang w:val="es-ES"/>
        </w:rPr>
        <w:br w:type="page"/>
      </w:r>
    </w:p>
    <w:p w14:paraId="7A8AD048" w14:textId="77777777" w:rsidR="00763334" w:rsidRPr="00DF6249" w:rsidRDefault="00763334" w:rsidP="00763334">
      <w:pPr>
        <w:pStyle w:val="ListParagraph"/>
        <w:rPr>
          <w:rFonts w:cs="Arial"/>
          <w:lang w:val="es-ES"/>
        </w:rPr>
      </w:pPr>
    </w:p>
    <w:p w14:paraId="3A656466" w14:textId="77777777" w:rsidR="00763334" w:rsidRPr="00DF6249" w:rsidRDefault="00763334" w:rsidP="00763334">
      <w:pPr>
        <w:pStyle w:val="ListParagraph"/>
        <w:widowControl w:val="0"/>
        <w:numPr>
          <w:ilvl w:val="0"/>
          <w:numId w:val="4"/>
        </w:numPr>
        <w:ind w:left="567" w:hanging="567"/>
        <w:jc w:val="both"/>
        <w:rPr>
          <w:rFonts w:cs="Arial"/>
          <w:color w:val="000000"/>
          <w:lang w:val="es-ES"/>
        </w:rPr>
      </w:pPr>
      <w:r w:rsidRPr="00DF6249">
        <w:rPr>
          <w:rFonts w:cs="Arial"/>
          <w:lang w:val="es-ES"/>
        </w:rPr>
        <w:t>Basándose en los resultados de esta evaluación, se identificaron 16 taxones clasificados como de preocupación menor o de riesgo menor/dependientes de conservación conforme a la Lista Roja de Especies Amenazadas de la UICN</w:t>
      </w:r>
      <w:r w:rsidRPr="00DF6249">
        <w:rPr>
          <w:rFonts w:cs="Arial"/>
          <w:i/>
          <w:iCs/>
          <w:lang w:val="es-ES"/>
        </w:rPr>
        <w:t xml:space="preserve"> </w:t>
      </w:r>
      <w:r w:rsidRPr="00DF6249">
        <w:rPr>
          <w:rFonts w:cs="Arial"/>
          <w:lang w:val="es-ES"/>
        </w:rPr>
        <w:t>como posibles candidatos para una revisión en profundidad.</w:t>
      </w:r>
      <w:r>
        <w:rPr>
          <w:rFonts w:cs="Arial"/>
          <w:lang w:val="es-ES"/>
        </w:rPr>
        <w:t xml:space="preserve"> </w:t>
      </w:r>
      <w:r w:rsidRPr="00DF6249">
        <w:rPr>
          <w:rFonts w:cs="Arial"/>
          <w:lang w:val="es-ES"/>
        </w:rPr>
        <w:t>Sobre la base del presupuesto disponible, en consulta con el Comité del Período de Sesiones del Consejo Científico, se seleccionaron los 5 taxones siguientes para una revisión en profundidad:</w:t>
      </w:r>
      <w:r>
        <w:rPr>
          <w:rFonts w:cs="Arial"/>
          <w:lang w:val="es-ES"/>
        </w:rPr>
        <w:t xml:space="preserve"> </w:t>
      </w:r>
    </w:p>
    <w:p w14:paraId="5EC97BD6" w14:textId="77777777" w:rsidR="00763334" w:rsidRPr="00DF6249" w:rsidRDefault="00763334" w:rsidP="00763334">
      <w:pPr>
        <w:pStyle w:val="ListParagraph"/>
        <w:ind w:left="567"/>
        <w:jc w:val="both"/>
        <w:rPr>
          <w:rFonts w:cs="Arial"/>
          <w:color w:val="000000"/>
          <w:lang w:val="es-ES"/>
        </w:rPr>
      </w:pPr>
    </w:p>
    <w:p w14:paraId="72A0B853" w14:textId="77777777" w:rsidR="00763334" w:rsidRPr="00DF6249" w:rsidRDefault="00763334" w:rsidP="00763334">
      <w:pPr>
        <w:pStyle w:val="ListParagraph"/>
        <w:spacing w:after="80"/>
        <w:ind w:left="562"/>
        <w:contextualSpacing w:val="0"/>
        <w:jc w:val="both"/>
        <w:rPr>
          <w:rFonts w:cs="Arial"/>
          <w:color w:val="000000"/>
          <w:lang w:val="es-ES"/>
        </w:rPr>
      </w:pPr>
      <w:proofErr w:type="spellStart"/>
      <w:r w:rsidRPr="00DF6249">
        <w:rPr>
          <w:rFonts w:cs="Arial"/>
          <w:i/>
          <w:iCs/>
          <w:lang w:val="es-ES"/>
        </w:rPr>
        <w:t>Tadarida</w:t>
      </w:r>
      <w:proofErr w:type="spellEnd"/>
      <w:r w:rsidRPr="00DF6249">
        <w:rPr>
          <w:rFonts w:cs="Arial"/>
          <w:i/>
          <w:iCs/>
          <w:lang w:val="es-ES"/>
        </w:rPr>
        <w:t xml:space="preserve"> </w:t>
      </w:r>
      <w:proofErr w:type="spellStart"/>
      <w:r w:rsidRPr="00DF6249">
        <w:rPr>
          <w:rFonts w:cs="Arial"/>
          <w:i/>
          <w:iCs/>
          <w:lang w:val="es-ES"/>
        </w:rPr>
        <w:t>brasiliensis</w:t>
      </w:r>
      <w:proofErr w:type="spellEnd"/>
      <w:r w:rsidRPr="00DF6249">
        <w:rPr>
          <w:rFonts w:cs="Arial"/>
          <w:lang w:val="es-ES"/>
        </w:rPr>
        <w:t xml:space="preserve"> (Rabudo mejicano);</w:t>
      </w:r>
      <w:r>
        <w:rPr>
          <w:rFonts w:cs="Arial"/>
          <w:lang w:val="es-ES"/>
        </w:rPr>
        <w:t xml:space="preserve"> </w:t>
      </w:r>
    </w:p>
    <w:p w14:paraId="1ACC4476" w14:textId="77777777" w:rsidR="00763334" w:rsidRPr="00DF6249" w:rsidRDefault="00763334" w:rsidP="00763334">
      <w:pPr>
        <w:pStyle w:val="ListParagraph"/>
        <w:spacing w:after="80"/>
        <w:ind w:left="562"/>
        <w:contextualSpacing w:val="0"/>
        <w:jc w:val="both"/>
        <w:rPr>
          <w:rFonts w:cs="Arial"/>
          <w:color w:val="000000"/>
          <w:lang w:val="es-ES"/>
        </w:rPr>
      </w:pPr>
      <w:proofErr w:type="spellStart"/>
      <w:r w:rsidRPr="00DF6249">
        <w:rPr>
          <w:rFonts w:cs="Arial"/>
          <w:i/>
          <w:iCs/>
          <w:lang w:val="es-ES"/>
        </w:rPr>
        <w:t>Vicugna</w:t>
      </w:r>
      <w:proofErr w:type="spellEnd"/>
      <w:r w:rsidRPr="00DF6249">
        <w:rPr>
          <w:rFonts w:cs="Arial"/>
          <w:i/>
          <w:iCs/>
          <w:lang w:val="es-ES"/>
        </w:rPr>
        <w:t xml:space="preserve"> </w:t>
      </w:r>
      <w:proofErr w:type="spellStart"/>
      <w:r w:rsidRPr="00DF6249">
        <w:rPr>
          <w:rFonts w:cs="Arial"/>
          <w:i/>
          <w:iCs/>
          <w:lang w:val="es-ES"/>
        </w:rPr>
        <w:t>vicugna</w:t>
      </w:r>
      <w:proofErr w:type="spellEnd"/>
      <w:r w:rsidRPr="00DF6249">
        <w:rPr>
          <w:rFonts w:cs="Arial"/>
          <w:lang w:val="es-ES"/>
        </w:rPr>
        <w:t xml:space="preserve"> (Vicuña);</w:t>
      </w:r>
      <w:r>
        <w:rPr>
          <w:rFonts w:cs="Arial"/>
          <w:lang w:val="es-ES"/>
        </w:rPr>
        <w:t xml:space="preserve"> </w:t>
      </w:r>
    </w:p>
    <w:p w14:paraId="296B2388" w14:textId="77777777" w:rsidR="00763334" w:rsidRPr="00DF6249" w:rsidRDefault="00763334" w:rsidP="00763334">
      <w:pPr>
        <w:pStyle w:val="ListParagraph"/>
        <w:spacing w:after="80"/>
        <w:ind w:left="562"/>
        <w:contextualSpacing w:val="0"/>
        <w:jc w:val="both"/>
        <w:rPr>
          <w:rFonts w:cs="Arial"/>
          <w:color w:val="000000"/>
          <w:lang w:val="es-ES"/>
        </w:rPr>
      </w:pPr>
      <w:proofErr w:type="spellStart"/>
      <w:r w:rsidRPr="00DF6249">
        <w:rPr>
          <w:rFonts w:cs="Arial"/>
          <w:i/>
          <w:lang w:val="es-ES"/>
        </w:rPr>
        <w:t>Pelecanus</w:t>
      </w:r>
      <w:proofErr w:type="spellEnd"/>
      <w:r w:rsidRPr="00DF6249">
        <w:rPr>
          <w:rFonts w:cs="Arial"/>
          <w:i/>
          <w:lang w:val="es-ES"/>
        </w:rPr>
        <w:t xml:space="preserve"> </w:t>
      </w:r>
      <w:proofErr w:type="spellStart"/>
      <w:r w:rsidRPr="00DF6249">
        <w:rPr>
          <w:rFonts w:cs="Arial"/>
          <w:i/>
          <w:lang w:val="es-ES"/>
        </w:rPr>
        <w:t>onocrotalus</w:t>
      </w:r>
      <w:proofErr w:type="spellEnd"/>
      <w:r w:rsidRPr="00DF6249">
        <w:rPr>
          <w:rFonts w:cs="Arial"/>
          <w:lang w:val="es-ES"/>
        </w:rPr>
        <w:t xml:space="preserve"> (Pelícano vulgar);</w:t>
      </w:r>
      <w:r>
        <w:rPr>
          <w:rFonts w:cs="Arial"/>
          <w:lang w:val="es-ES"/>
        </w:rPr>
        <w:t xml:space="preserve"> </w:t>
      </w:r>
    </w:p>
    <w:p w14:paraId="0E3EE8E2" w14:textId="77777777" w:rsidR="00763334" w:rsidRPr="00DF6249" w:rsidRDefault="00763334" w:rsidP="00763334">
      <w:pPr>
        <w:pStyle w:val="ListParagraph"/>
        <w:spacing w:after="80"/>
        <w:ind w:left="562"/>
        <w:contextualSpacing w:val="0"/>
        <w:jc w:val="both"/>
        <w:rPr>
          <w:rFonts w:cs="Arial"/>
          <w:color w:val="000000"/>
          <w:lang w:val="es-ES"/>
        </w:rPr>
      </w:pPr>
      <w:proofErr w:type="spellStart"/>
      <w:r w:rsidRPr="00DF6249">
        <w:rPr>
          <w:rFonts w:cs="Arial"/>
          <w:i/>
          <w:iCs/>
          <w:lang w:val="es-ES"/>
        </w:rPr>
        <w:t>Haliaeetus</w:t>
      </w:r>
      <w:proofErr w:type="spellEnd"/>
      <w:r w:rsidRPr="00DF6249">
        <w:rPr>
          <w:rFonts w:cs="Arial"/>
          <w:i/>
          <w:iCs/>
          <w:lang w:val="es-ES"/>
        </w:rPr>
        <w:t xml:space="preserve"> </w:t>
      </w:r>
      <w:proofErr w:type="spellStart"/>
      <w:r w:rsidRPr="00DF6249">
        <w:rPr>
          <w:rFonts w:cs="Arial"/>
          <w:i/>
          <w:iCs/>
          <w:lang w:val="es-ES"/>
        </w:rPr>
        <w:t>albicilla</w:t>
      </w:r>
      <w:proofErr w:type="spellEnd"/>
      <w:r w:rsidRPr="00DF6249">
        <w:rPr>
          <w:rFonts w:cs="Arial"/>
          <w:b/>
          <w:bCs/>
          <w:i/>
          <w:iCs/>
          <w:lang w:val="es-ES"/>
        </w:rPr>
        <w:t xml:space="preserve"> </w:t>
      </w:r>
      <w:r w:rsidRPr="00DF6249">
        <w:rPr>
          <w:rFonts w:cs="Arial"/>
          <w:lang w:val="es-ES"/>
        </w:rPr>
        <w:t xml:space="preserve">(Pigargo europeo); </w:t>
      </w:r>
    </w:p>
    <w:p w14:paraId="1E78DCBA" w14:textId="77777777" w:rsidR="00763334" w:rsidRPr="00DF6249" w:rsidRDefault="00763334" w:rsidP="00763334">
      <w:pPr>
        <w:pStyle w:val="ListParagraph"/>
        <w:ind w:left="567"/>
        <w:jc w:val="both"/>
        <w:rPr>
          <w:rFonts w:cs="Arial"/>
          <w:color w:val="000000"/>
          <w:lang w:val="es-ES"/>
        </w:rPr>
      </w:pPr>
      <w:proofErr w:type="spellStart"/>
      <w:r w:rsidRPr="00DF6249">
        <w:rPr>
          <w:rFonts w:cs="Arial"/>
          <w:i/>
          <w:iCs/>
          <w:color w:val="000000"/>
          <w:lang w:val="es-ES"/>
        </w:rPr>
        <w:t>Podocnemis</w:t>
      </w:r>
      <w:proofErr w:type="spellEnd"/>
      <w:r w:rsidRPr="00DF6249">
        <w:rPr>
          <w:rFonts w:cs="Arial"/>
          <w:i/>
          <w:iCs/>
          <w:color w:val="000000"/>
          <w:lang w:val="es-ES"/>
        </w:rPr>
        <w:t xml:space="preserve"> </w:t>
      </w:r>
      <w:proofErr w:type="spellStart"/>
      <w:r w:rsidRPr="00DF6249">
        <w:rPr>
          <w:rFonts w:cs="Arial"/>
          <w:i/>
          <w:iCs/>
          <w:color w:val="000000"/>
          <w:lang w:val="es-ES"/>
        </w:rPr>
        <w:t>expansa</w:t>
      </w:r>
      <w:proofErr w:type="spellEnd"/>
      <w:r w:rsidRPr="00DF6249">
        <w:rPr>
          <w:rFonts w:cs="Arial"/>
          <w:b/>
          <w:bCs/>
          <w:i/>
          <w:iCs/>
          <w:color w:val="000000"/>
          <w:lang w:val="es-ES"/>
        </w:rPr>
        <w:t xml:space="preserve"> </w:t>
      </w:r>
      <w:r w:rsidRPr="00DF6249">
        <w:rPr>
          <w:rFonts w:cs="Arial"/>
          <w:color w:val="000000"/>
          <w:lang w:val="es-ES"/>
        </w:rPr>
        <w:t>(</w:t>
      </w:r>
      <w:r w:rsidRPr="00DF6249">
        <w:rPr>
          <w:rFonts w:cs="Arial"/>
          <w:lang w:val="es-ES"/>
        </w:rPr>
        <w:t>Tortuga arrau).</w:t>
      </w:r>
      <w:r>
        <w:rPr>
          <w:rFonts w:cs="Arial"/>
          <w:lang w:val="es-ES"/>
        </w:rPr>
        <w:t xml:space="preserve"> </w:t>
      </w:r>
    </w:p>
    <w:p w14:paraId="1DB88F02" w14:textId="77777777" w:rsidR="00763334" w:rsidRPr="00DF6249" w:rsidRDefault="00763334" w:rsidP="00763334">
      <w:pPr>
        <w:ind w:left="567"/>
        <w:rPr>
          <w:rFonts w:ascii="Roboto" w:hAnsi="Roboto"/>
          <w:sz w:val="18"/>
          <w:szCs w:val="18"/>
          <w:lang w:val="es-ES"/>
        </w:rPr>
      </w:pPr>
    </w:p>
    <w:p w14:paraId="4C53057C" w14:textId="77777777" w:rsidR="00763334" w:rsidRPr="00DF6249" w:rsidRDefault="00763334" w:rsidP="00763334">
      <w:pPr>
        <w:pStyle w:val="ListParagraph"/>
        <w:widowControl w:val="0"/>
        <w:numPr>
          <w:ilvl w:val="0"/>
          <w:numId w:val="4"/>
        </w:numPr>
        <w:ind w:left="567" w:hanging="567"/>
        <w:jc w:val="both"/>
        <w:rPr>
          <w:rFonts w:cs="Arial"/>
          <w:lang w:val="es-ES"/>
        </w:rPr>
      </w:pPr>
      <w:r w:rsidRPr="00DF6249">
        <w:rPr>
          <w:rFonts w:cs="Arial"/>
          <w:lang w:val="es-ES"/>
        </w:rPr>
        <w:t>Gracias a la financiación adicional del gobierno de Australia, la cual estuvo disponible en una fase posterior, también se pudo iniciar una revisión en profundidad de los taxones incluidos en el Apéndice II. Se han seguido la metodología y el enfoque descritos anteriormente para los taxones incluidos en el Apéndice I, con algunas adaptaciones.</w:t>
      </w:r>
      <w:r>
        <w:rPr>
          <w:rFonts w:cs="Arial"/>
          <w:lang w:val="es-ES"/>
        </w:rPr>
        <w:t xml:space="preserve"> </w:t>
      </w:r>
      <w:r w:rsidRPr="00DF6249">
        <w:rPr>
          <w:rFonts w:cs="Arial"/>
          <w:lang w:val="es-ES"/>
        </w:rPr>
        <w:t>A partir de una evaluación rápida del estado de conservación de los taxones incluidos en el Apéndice II de la CMS, estos se han asignado a cinco grupos prioritarios de conservación en función de su categoría en la Lista Roja de la UICN, su tendencia poblacional y su vulnerabilidad biológica. Cincuenta y dos taxones se clasificaron como de prioridad muy alta, 127 de prioridad alta, 265 de prioridad media y 554 de prioridad baja. Doce taxones se clasificaron como de «información insuficiente».</w:t>
      </w:r>
      <w:r>
        <w:rPr>
          <w:rFonts w:cs="Arial"/>
          <w:lang w:val="es-ES"/>
        </w:rPr>
        <w:t xml:space="preserve"> </w:t>
      </w:r>
      <w:r w:rsidRPr="00DF6249">
        <w:rPr>
          <w:rFonts w:cs="Arial"/>
          <w:lang w:val="es-ES"/>
        </w:rPr>
        <w:t>Se presenta un proyecto final del informe a la 6.</w:t>
      </w:r>
      <w:r w:rsidRPr="00DF6249">
        <w:rPr>
          <w:rFonts w:cs="Arial"/>
          <w:vertAlign w:val="superscript"/>
          <w:lang w:val="es-ES"/>
        </w:rPr>
        <w:t>ª</w:t>
      </w:r>
      <w:r w:rsidRPr="00DF6249">
        <w:rPr>
          <w:rFonts w:cs="Arial"/>
          <w:lang w:val="es-ES"/>
        </w:rPr>
        <w:t xml:space="preserve"> reunión del Comité del Período de Sesiones del Consejo Científico para su conocimiento como </w:t>
      </w:r>
      <w:hyperlink r:id="rId15" w:history="1">
        <w:r w:rsidRPr="00DF6249">
          <w:rPr>
            <w:rStyle w:val="Hyperlink"/>
            <w:rFonts w:cs="Arial"/>
            <w:lang w:val="es-ES"/>
          </w:rPr>
          <w:t>UNEP/CMS/ScC-SC6/Inf.7.3b</w:t>
        </w:r>
      </w:hyperlink>
      <w:r w:rsidRPr="00DF6249">
        <w:rPr>
          <w:rFonts w:cs="Arial"/>
          <w:lang w:val="es-ES"/>
        </w:rPr>
        <w:t>.</w:t>
      </w:r>
      <w:r>
        <w:rPr>
          <w:rFonts w:cs="Arial"/>
          <w:lang w:val="es-ES"/>
        </w:rPr>
        <w:t xml:space="preserve"> </w:t>
      </w:r>
      <w:r w:rsidRPr="00DF6249">
        <w:rPr>
          <w:rFonts w:cs="Arial"/>
          <w:lang w:val="es-ES"/>
        </w:rPr>
        <w:t xml:space="preserve">Los resultados completos de la evaluación rápida del Apéndice II, junto con los datos y metadatos correspondientes, se facilitan en un documento </w:t>
      </w:r>
      <w:proofErr w:type="spellStart"/>
      <w:r w:rsidRPr="00DF6249">
        <w:rPr>
          <w:rFonts w:cs="Arial"/>
          <w:lang w:val="es-ES"/>
        </w:rPr>
        <w:t>excel</w:t>
      </w:r>
      <w:proofErr w:type="spellEnd"/>
      <w:r w:rsidRPr="00DF6249">
        <w:rPr>
          <w:rFonts w:cs="Arial"/>
          <w:lang w:val="es-ES"/>
        </w:rPr>
        <w:t xml:space="preserve"> adjunto, disponible como </w:t>
      </w:r>
      <w:hyperlink r:id="rId16" w:history="1">
        <w:r w:rsidRPr="00DF6249">
          <w:rPr>
            <w:rStyle w:val="Hyperlink"/>
            <w:rFonts w:eastAsia="Roboto" w:cs="Arial"/>
            <w:lang w:val="es-ES"/>
          </w:rPr>
          <w:t>UNEP/CMS/ScC-SC6/Inf.7.3c.</w:t>
        </w:r>
      </w:hyperlink>
    </w:p>
    <w:p w14:paraId="28064402" w14:textId="77777777" w:rsidR="00763334" w:rsidRPr="00DF6249" w:rsidRDefault="00763334" w:rsidP="00763334">
      <w:pPr>
        <w:jc w:val="both"/>
        <w:rPr>
          <w:rFonts w:ascii="Roboto" w:eastAsia="Roboto" w:hAnsi="Roboto" w:cs="Roboto"/>
          <w:sz w:val="20"/>
          <w:szCs w:val="20"/>
          <w:lang w:val="es-ES"/>
        </w:rPr>
      </w:pPr>
    </w:p>
    <w:p w14:paraId="136BD207" w14:textId="77777777" w:rsidR="00763334" w:rsidRPr="00DF6249" w:rsidRDefault="00763334" w:rsidP="00763334">
      <w:pPr>
        <w:pStyle w:val="ListParagraph"/>
        <w:widowControl w:val="0"/>
        <w:numPr>
          <w:ilvl w:val="0"/>
          <w:numId w:val="4"/>
        </w:numPr>
        <w:ind w:left="567" w:hanging="567"/>
        <w:jc w:val="both"/>
        <w:rPr>
          <w:rFonts w:eastAsia="Roboto" w:cs="Arial"/>
          <w:lang w:val="es-ES"/>
        </w:rPr>
      </w:pPr>
      <w:r w:rsidRPr="00DF6249">
        <w:rPr>
          <w:rFonts w:eastAsia="Roboto" w:cs="Arial"/>
          <w:lang w:val="es-ES"/>
        </w:rPr>
        <w:t xml:space="preserve">Sobre la base de los recursos disponibles, se han tomado en consideración cinco de los 52 taxones de prioridad muy alta para una evaluación en profundidad, empleando una versión adaptada de la plantilla para los taxones incluidos en el Apéndice I: </w:t>
      </w:r>
    </w:p>
    <w:p w14:paraId="2A650D18" w14:textId="77777777" w:rsidR="00763334" w:rsidRPr="00DF6249" w:rsidRDefault="00763334" w:rsidP="00763334">
      <w:pPr>
        <w:pStyle w:val="ListParagraph"/>
        <w:ind w:left="567"/>
        <w:jc w:val="both"/>
        <w:rPr>
          <w:rFonts w:eastAsia="Roboto" w:cs="Arial"/>
          <w:lang w:val="es-ES"/>
        </w:rPr>
      </w:pPr>
    </w:p>
    <w:p w14:paraId="01B40E31" w14:textId="77777777" w:rsidR="00763334" w:rsidRPr="00DF6249" w:rsidRDefault="00763334" w:rsidP="00763334">
      <w:pPr>
        <w:spacing w:after="80"/>
        <w:ind w:firstLine="562"/>
        <w:jc w:val="both"/>
        <w:rPr>
          <w:rFonts w:cs="Arial"/>
          <w:lang w:val="es-ES"/>
        </w:rPr>
      </w:pPr>
      <w:proofErr w:type="spellStart"/>
      <w:r w:rsidRPr="00DF6249">
        <w:rPr>
          <w:rFonts w:cs="Arial"/>
          <w:i/>
          <w:iCs/>
          <w:lang w:val="es-ES"/>
        </w:rPr>
        <w:t>Loxodonta</w:t>
      </w:r>
      <w:proofErr w:type="spellEnd"/>
      <w:r w:rsidRPr="00DF6249">
        <w:rPr>
          <w:rFonts w:cs="Arial"/>
          <w:i/>
          <w:iCs/>
          <w:lang w:val="es-ES"/>
        </w:rPr>
        <w:t xml:space="preserve"> </w:t>
      </w:r>
      <w:proofErr w:type="spellStart"/>
      <w:r w:rsidRPr="00DF6249">
        <w:rPr>
          <w:rFonts w:cs="Arial"/>
          <w:i/>
          <w:iCs/>
          <w:lang w:val="es-ES"/>
        </w:rPr>
        <w:t>cyclotis</w:t>
      </w:r>
      <w:proofErr w:type="spellEnd"/>
      <w:r w:rsidRPr="00DF6249">
        <w:rPr>
          <w:rFonts w:cs="Arial"/>
          <w:lang w:val="es-ES"/>
        </w:rPr>
        <w:t xml:space="preserve"> (Elefante africano de bosque)</w:t>
      </w:r>
    </w:p>
    <w:p w14:paraId="73911150" w14:textId="77777777" w:rsidR="00763334" w:rsidRPr="00DF6249" w:rsidRDefault="00763334" w:rsidP="00763334">
      <w:pPr>
        <w:spacing w:after="80"/>
        <w:ind w:firstLine="562"/>
        <w:jc w:val="both"/>
        <w:rPr>
          <w:rFonts w:cs="Arial"/>
          <w:lang w:val="es-ES"/>
        </w:rPr>
      </w:pPr>
      <w:proofErr w:type="spellStart"/>
      <w:r w:rsidRPr="00DF6249">
        <w:rPr>
          <w:rFonts w:cs="Arial"/>
          <w:i/>
          <w:iCs/>
          <w:lang w:val="es-ES"/>
        </w:rPr>
        <w:t>Phoebastria</w:t>
      </w:r>
      <w:proofErr w:type="spellEnd"/>
      <w:r w:rsidRPr="00DF6249">
        <w:rPr>
          <w:rFonts w:cs="Arial"/>
          <w:i/>
          <w:iCs/>
          <w:lang w:val="es-ES"/>
        </w:rPr>
        <w:t xml:space="preserve"> </w:t>
      </w:r>
      <w:proofErr w:type="spellStart"/>
      <w:r w:rsidRPr="00DF6249">
        <w:rPr>
          <w:rFonts w:cs="Arial"/>
          <w:i/>
          <w:iCs/>
          <w:lang w:val="es-ES"/>
        </w:rPr>
        <w:t>irrorata</w:t>
      </w:r>
      <w:proofErr w:type="spellEnd"/>
      <w:r w:rsidRPr="00DF6249">
        <w:rPr>
          <w:rFonts w:cs="Arial"/>
          <w:lang w:val="es-ES"/>
        </w:rPr>
        <w:t xml:space="preserve"> (Albatros de las Galápagos)</w:t>
      </w:r>
    </w:p>
    <w:p w14:paraId="1F522E04" w14:textId="77777777" w:rsidR="00763334" w:rsidRPr="00DF6249" w:rsidRDefault="00763334" w:rsidP="00763334">
      <w:pPr>
        <w:pStyle w:val="ListParagraph"/>
        <w:spacing w:after="80"/>
        <w:ind w:left="0" w:firstLine="562"/>
        <w:jc w:val="both"/>
        <w:rPr>
          <w:rFonts w:cs="Arial"/>
          <w:lang w:val="es-ES"/>
        </w:rPr>
      </w:pPr>
      <w:proofErr w:type="spellStart"/>
      <w:r w:rsidRPr="00DF6249">
        <w:rPr>
          <w:rFonts w:cs="Arial"/>
          <w:i/>
          <w:iCs/>
          <w:lang w:val="es-ES"/>
        </w:rPr>
        <w:t>Galeorhinus</w:t>
      </w:r>
      <w:proofErr w:type="spellEnd"/>
      <w:r w:rsidRPr="00DF6249">
        <w:rPr>
          <w:rFonts w:cs="Arial"/>
          <w:i/>
          <w:iCs/>
          <w:lang w:val="es-ES"/>
        </w:rPr>
        <w:t xml:space="preserve"> </w:t>
      </w:r>
      <w:proofErr w:type="spellStart"/>
      <w:r w:rsidRPr="00DF6249">
        <w:rPr>
          <w:rFonts w:cs="Arial"/>
          <w:i/>
          <w:iCs/>
          <w:lang w:val="es-ES"/>
        </w:rPr>
        <w:t>galeus</w:t>
      </w:r>
      <w:proofErr w:type="spellEnd"/>
      <w:r w:rsidRPr="00DF6249">
        <w:rPr>
          <w:rFonts w:cs="Arial"/>
          <w:lang w:val="es-ES"/>
        </w:rPr>
        <w:t xml:space="preserve"> (Cazón)</w:t>
      </w:r>
    </w:p>
    <w:p w14:paraId="2EBC14EA" w14:textId="77777777" w:rsidR="00763334" w:rsidRPr="00DF6249" w:rsidRDefault="00763334" w:rsidP="00763334">
      <w:pPr>
        <w:pStyle w:val="ListParagraph"/>
        <w:spacing w:after="80"/>
        <w:ind w:left="0" w:firstLine="562"/>
        <w:jc w:val="both"/>
        <w:rPr>
          <w:rFonts w:cs="Arial"/>
          <w:lang w:val="es-ES"/>
        </w:rPr>
      </w:pPr>
      <w:proofErr w:type="spellStart"/>
      <w:r w:rsidRPr="00DF6249">
        <w:rPr>
          <w:rFonts w:cs="Arial"/>
          <w:i/>
          <w:iCs/>
          <w:lang w:val="es-ES"/>
        </w:rPr>
        <w:t>Sphyrna</w:t>
      </w:r>
      <w:proofErr w:type="spellEnd"/>
      <w:r w:rsidRPr="00DF6249">
        <w:rPr>
          <w:rFonts w:cs="Arial"/>
          <w:i/>
          <w:iCs/>
          <w:lang w:val="es-ES"/>
        </w:rPr>
        <w:t xml:space="preserve"> </w:t>
      </w:r>
      <w:proofErr w:type="spellStart"/>
      <w:r w:rsidRPr="00DF6249">
        <w:rPr>
          <w:rFonts w:cs="Arial"/>
          <w:i/>
          <w:iCs/>
          <w:lang w:val="es-ES"/>
        </w:rPr>
        <w:t>lewini</w:t>
      </w:r>
      <w:proofErr w:type="spellEnd"/>
      <w:r w:rsidRPr="00DF6249">
        <w:rPr>
          <w:rFonts w:cs="Arial"/>
          <w:lang w:val="es-ES"/>
        </w:rPr>
        <w:t xml:space="preserve"> (Tiburón martillo común)</w:t>
      </w:r>
    </w:p>
    <w:p w14:paraId="007B1719" w14:textId="77777777" w:rsidR="00763334" w:rsidRPr="00DF6249" w:rsidRDefault="00763334" w:rsidP="00763334">
      <w:pPr>
        <w:pStyle w:val="ListParagraph"/>
        <w:spacing w:after="160"/>
        <w:ind w:left="0" w:firstLine="567"/>
        <w:jc w:val="both"/>
        <w:rPr>
          <w:rFonts w:cs="Arial"/>
          <w:lang w:val="es-ES"/>
        </w:rPr>
      </w:pPr>
      <w:r w:rsidRPr="00DF6249">
        <w:rPr>
          <w:rFonts w:cs="Arial"/>
          <w:i/>
          <w:iCs/>
          <w:lang w:val="es-ES"/>
        </w:rPr>
        <w:t xml:space="preserve">Anguilla </w:t>
      </w:r>
      <w:proofErr w:type="spellStart"/>
      <w:r w:rsidRPr="00DF6249">
        <w:rPr>
          <w:rFonts w:cs="Arial"/>
          <w:i/>
          <w:iCs/>
          <w:lang w:val="es-ES"/>
        </w:rPr>
        <w:t>anguilla</w:t>
      </w:r>
      <w:proofErr w:type="spellEnd"/>
      <w:r w:rsidRPr="00DF6249">
        <w:rPr>
          <w:rFonts w:cs="Arial"/>
          <w:i/>
          <w:iCs/>
          <w:lang w:val="es-ES"/>
        </w:rPr>
        <w:t xml:space="preserve"> </w:t>
      </w:r>
      <w:r w:rsidRPr="00DF6249">
        <w:rPr>
          <w:rFonts w:cs="Arial"/>
          <w:lang w:val="es-ES"/>
        </w:rPr>
        <w:t>(Anguila europea)</w:t>
      </w:r>
    </w:p>
    <w:p w14:paraId="0D31D581" w14:textId="77777777" w:rsidR="00763334" w:rsidRPr="00DF6249" w:rsidRDefault="00763334" w:rsidP="00763334">
      <w:pPr>
        <w:pStyle w:val="ListParagraph"/>
        <w:spacing w:after="160"/>
        <w:ind w:left="0" w:firstLine="567"/>
        <w:jc w:val="both"/>
        <w:rPr>
          <w:rFonts w:ascii="Roboto" w:hAnsi="Roboto"/>
          <w:i/>
          <w:sz w:val="20"/>
          <w:lang w:val="es-ES"/>
        </w:rPr>
      </w:pPr>
    </w:p>
    <w:p w14:paraId="4BD86AEA" w14:textId="77777777" w:rsidR="00763334" w:rsidRPr="00DF6249" w:rsidRDefault="00763334" w:rsidP="00763334">
      <w:pPr>
        <w:pStyle w:val="ListParagraph"/>
        <w:widowControl w:val="0"/>
        <w:numPr>
          <w:ilvl w:val="0"/>
          <w:numId w:val="4"/>
        </w:numPr>
        <w:ind w:left="567" w:hanging="567"/>
        <w:jc w:val="both"/>
        <w:rPr>
          <w:rFonts w:eastAsia="Roboto" w:cs="Arial"/>
          <w:lang w:val="es-ES"/>
        </w:rPr>
      </w:pPr>
      <w:r w:rsidRPr="00DF6249">
        <w:rPr>
          <w:rFonts w:cs="Arial"/>
          <w:lang w:val="es-ES"/>
        </w:rPr>
        <w:t>El UNEP-WCMC ha elaborado revisiones en profundidad del estado de conservación de los diez taxones mencionados en el apartado 5 (Apéndice I) y en el apartado 7 (Apéndice II).</w:t>
      </w:r>
      <w:r>
        <w:rPr>
          <w:rFonts w:cs="Arial"/>
          <w:lang w:val="es-ES"/>
        </w:rPr>
        <w:t xml:space="preserve"> </w:t>
      </w:r>
      <w:r w:rsidRPr="00DF6249">
        <w:rPr>
          <w:rFonts w:cs="Arial"/>
          <w:lang w:val="es-ES"/>
        </w:rPr>
        <w:t xml:space="preserve">Las versiones preliminares de las revisiones se han consultado con los miembros del Comité del Período de Sesiones del Consejo Científico y, para el caso de las especies de tiburones, además, con los miembros del Comité Asesor del </w:t>
      </w:r>
      <w:proofErr w:type="spellStart"/>
      <w:r w:rsidRPr="00DF6249">
        <w:rPr>
          <w:rFonts w:cs="Arial"/>
          <w:lang w:val="es-ES"/>
        </w:rPr>
        <w:t>MdE</w:t>
      </w:r>
      <w:proofErr w:type="spellEnd"/>
      <w:r w:rsidRPr="00DF6249">
        <w:rPr>
          <w:rFonts w:cs="Arial"/>
          <w:lang w:val="es-ES"/>
        </w:rPr>
        <w:t xml:space="preserve"> sobre tiburones de la CMS.</w:t>
      </w:r>
      <w:r>
        <w:rPr>
          <w:rFonts w:cs="Arial"/>
          <w:lang w:val="es-ES"/>
        </w:rPr>
        <w:t xml:space="preserve"> </w:t>
      </w:r>
      <w:r w:rsidRPr="00DF6249">
        <w:rPr>
          <w:rFonts w:cs="Arial"/>
          <w:lang w:val="es-ES"/>
        </w:rPr>
        <w:t xml:space="preserve">Los proyectos finales de las revisiones se reproducen en el Anexo del presente documento. </w:t>
      </w:r>
    </w:p>
    <w:p w14:paraId="488A6910" w14:textId="77777777" w:rsidR="00763334" w:rsidRPr="00DF6249" w:rsidRDefault="00763334" w:rsidP="00763334">
      <w:pPr>
        <w:pStyle w:val="ListParagraph"/>
        <w:ind w:left="567"/>
        <w:jc w:val="both"/>
        <w:rPr>
          <w:rFonts w:eastAsia="Roboto" w:cs="Arial"/>
          <w:lang w:val="es-ES"/>
        </w:rPr>
      </w:pPr>
    </w:p>
    <w:p w14:paraId="00ED6914" w14:textId="1E87CE76" w:rsidR="00763334" w:rsidRPr="00DF6249" w:rsidRDefault="00763334" w:rsidP="00763334">
      <w:pPr>
        <w:pStyle w:val="ListParagraph"/>
        <w:numPr>
          <w:ilvl w:val="0"/>
          <w:numId w:val="4"/>
        </w:numPr>
        <w:autoSpaceDE w:val="0"/>
        <w:autoSpaceDN w:val="0"/>
        <w:adjustRightInd w:val="0"/>
        <w:ind w:left="567" w:hanging="567"/>
        <w:jc w:val="both"/>
        <w:rPr>
          <w:rFonts w:cs="Arial"/>
          <w:lang w:val="es-ES"/>
        </w:rPr>
      </w:pPr>
      <w:r w:rsidRPr="00DF6249">
        <w:rPr>
          <w:rFonts w:cs="Arial"/>
          <w:lang w:val="es-ES"/>
        </w:rPr>
        <w:t xml:space="preserve">Con vistas a la presentación de las revisiones ante la COP14 para su consideración, la Secretaría acogería con un beneplácito particular cualquier comentario y asesoramiento del Comité del Período de Sesiones sobre i) posibles inexactitudes fácticas de las revisiones; </w:t>
      </w:r>
      <w:proofErr w:type="spellStart"/>
      <w:r w:rsidRPr="00DF6249">
        <w:rPr>
          <w:rFonts w:cs="Arial"/>
          <w:lang w:val="es-ES"/>
        </w:rPr>
        <w:t>ii</w:t>
      </w:r>
      <w:proofErr w:type="spellEnd"/>
      <w:r w:rsidRPr="00DF6249">
        <w:rPr>
          <w:rFonts w:cs="Arial"/>
          <w:lang w:val="es-ES"/>
        </w:rPr>
        <w:t xml:space="preserve">) cualquier aclaración que pudiera ser necesaria en relación con el contenido de las revisiones; </w:t>
      </w:r>
      <w:proofErr w:type="spellStart"/>
      <w:r w:rsidRPr="00DF6249">
        <w:rPr>
          <w:rFonts w:cs="Arial"/>
          <w:lang w:val="es-ES"/>
        </w:rPr>
        <w:t>iii</w:t>
      </w:r>
      <w:proofErr w:type="spellEnd"/>
      <w:r w:rsidRPr="00DF6249">
        <w:rPr>
          <w:rFonts w:cs="Arial"/>
          <w:lang w:val="es-ES"/>
        </w:rPr>
        <w:t>) una confirmación sobre la idoneidad del enfoque adoptado, con vistas a la posible continuación de la revisión en profundidad del estado de conservación de las especies individuales incluidas en las listas de la CMS, como en cuanto al formato y al contenido, o sugerencias para cualquier revisión del enfoque; y</w:t>
      </w:r>
      <w:r w:rsidRPr="00DF6249">
        <w:rPr>
          <w:rFonts w:cs="Arial"/>
          <w:i/>
          <w:iCs/>
          <w:lang w:val="es-ES"/>
        </w:rPr>
        <w:t xml:space="preserve"> </w:t>
      </w:r>
      <w:r w:rsidRPr="00DF6249">
        <w:rPr>
          <w:rFonts w:cs="Arial"/>
          <w:lang w:val="es-ES"/>
        </w:rPr>
        <w:t>(</w:t>
      </w:r>
      <w:proofErr w:type="spellStart"/>
      <w:r w:rsidRPr="00DF6249">
        <w:rPr>
          <w:rFonts w:cs="Arial"/>
          <w:lang w:val="es-ES"/>
        </w:rPr>
        <w:t>iv</w:t>
      </w:r>
      <w:proofErr w:type="spellEnd"/>
      <w:r w:rsidRPr="00DF6249">
        <w:rPr>
          <w:rFonts w:cs="Arial"/>
          <w:lang w:val="es-ES"/>
        </w:rPr>
        <w:t>) cualquier recomendación que deba señalarse a la atención de la COP14 en relación con las especies evaluadas.</w:t>
      </w:r>
    </w:p>
    <w:p w14:paraId="2EE4C4B6" w14:textId="4E29CE3C" w:rsidR="00763334" w:rsidRPr="00DF6249" w:rsidRDefault="00763334" w:rsidP="00763334">
      <w:pPr>
        <w:pStyle w:val="ListParagraph"/>
        <w:autoSpaceDE w:val="0"/>
        <w:autoSpaceDN w:val="0"/>
        <w:adjustRightInd w:val="0"/>
        <w:ind w:left="360"/>
        <w:jc w:val="both"/>
        <w:rPr>
          <w:rFonts w:cs="Arial"/>
          <w:lang w:val="es-ES"/>
        </w:rPr>
      </w:pPr>
    </w:p>
    <w:p w14:paraId="195B468C" w14:textId="77777777" w:rsidR="00763334" w:rsidRPr="00DF6249" w:rsidRDefault="00763334" w:rsidP="00763334">
      <w:pPr>
        <w:pStyle w:val="ListParagraph"/>
        <w:ind w:left="567" w:hanging="567"/>
        <w:rPr>
          <w:rFonts w:cs="Arial"/>
          <w:u w:val="single"/>
          <w:lang w:val="es-ES"/>
        </w:rPr>
      </w:pPr>
      <w:r w:rsidRPr="00DF6249">
        <w:rPr>
          <w:rFonts w:cs="Arial"/>
          <w:u w:val="single"/>
          <w:lang w:val="es-ES"/>
        </w:rPr>
        <w:t>Acciones recomendadas</w:t>
      </w:r>
    </w:p>
    <w:p w14:paraId="5DAE3253" w14:textId="3B0BD89B" w:rsidR="00763334" w:rsidRPr="00DF6249" w:rsidRDefault="00763334" w:rsidP="00763334">
      <w:pPr>
        <w:pStyle w:val="ListParagraph"/>
        <w:ind w:left="567" w:hanging="567"/>
        <w:rPr>
          <w:rFonts w:cs="Arial"/>
          <w:lang w:val="es-ES"/>
        </w:rPr>
      </w:pPr>
    </w:p>
    <w:p w14:paraId="7ECD8AF4" w14:textId="77777777" w:rsidR="00763334" w:rsidRPr="00DF6249" w:rsidRDefault="00763334" w:rsidP="00763334">
      <w:pPr>
        <w:pStyle w:val="ListParagraph"/>
        <w:numPr>
          <w:ilvl w:val="0"/>
          <w:numId w:val="4"/>
        </w:numPr>
        <w:autoSpaceDE w:val="0"/>
        <w:autoSpaceDN w:val="0"/>
        <w:adjustRightInd w:val="0"/>
        <w:ind w:left="540" w:hanging="540"/>
        <w:jc w:val="both"/>
        <w:rPr>
          <w:rFonts w:cs="Arial"/>
          <w:lang w:val="es-ES"/>
        </w:rPr>
      </w:pPr>
      <w:r w:rsidRPr="00DF6249">
        <w:rPr>
          <w:rFonts w:cs="Arial"/>
          <w:lang w:val="es-ES"/>
        </w:rPr>
        <w:t>Se recomienda al Consejo Científico que:</w:t>
      </w:r>
    </w:p>
    <w:p w14:paraId="2E58B145" w14:textId="77777777" w:rsidR="00763334" w:rsidRPr="00DF6249" w:rsidRDefault="00763334" w:rsidP="00763334">
      <w:pPr>
        <w:adjustRightInd w:val="0"/>
        <w:ind w:left="567" w:hanging="567"/>
        <w:jc w:val="both"/>
        <w:rPr>
          <w:rFonts w:cs="Arial"/>
          <w:lang w:val="es-ES"/>
        </w:rPr>
      </w:pPr>
    </w:p>
    <w:p w14:paraId="1B957D02" w14:textId="12DFD62A" w:rsidR="00763334" w:rsidRPr="00DF6249" w:rsidRDefault="00763334" w:rsidP="00763334">
      <w:pPr>
        <w:pStyle w:val="ListParagraph"/>
        <w:numPr>
          <w:ilvl w:val="0"/>
          <w:numId w:val="5"/>
        </w:numPr>
        <w:autoSpaceDE w:val="0"/>
        <w:autoSpaceDN w:val="0"/>
        <w:adjustRightInd w:val="0"/>
        <w:ind w:left="1134" w:hanging="567"/>
        <w:jc w:val="both"/>
        <w:rPr>
          <w:rFonts w:cs="Arial"/>
          <w:lang w:val="es-ES"/>
        </w:rPr>
      </w:pPr>
      <w:r w:rsidRPr="00DF6249">
        <w:rPr>
          <w:rFonts w:cs="Arial"/>
          <w:lang w:val="es-ES"/>
        </w:rPr>
        <w:t>revise los proyectos finales acerca de las revisiones en profundidad de las especies incluidas en los Apéndices de la CMS y recogidas en el Anexo del presente documento;</w:t>
      </w:r>
    </w:p>
    <w:p w14:paraId="50E98081" w14:textId="77777777" w:rsidR="00763334" w:rsidRPr="00DF6249" w:rsidRDefault="00763334" w:rsidP="00763334">
      <w:pPr>
        <w:pStyle w:val="ListParagraph"/>
        <w:adjustRightInd w:val="0"/>
        <w:ind w:left="1134" w:hanging="567"/>
        <w:jc w:val="both"/>
        <w:rPr>
          <w:rFonts w:cs="Arial"/>
          <w:lang w:val="es-ES"/>
        </w:rPr>
      </w:pPr>
    </w:p>
    <w:p w14:paraId="28F3B958" w14:textId="3A05D559" w:rsidR="00763334" w:rsidRPr="00DF6249" w:rsidRDefault="00763334" w:rsidP="00763334">
      <w:pPr>
        <w:pStyle w:val="ListParagraph"/>
        <w:numPr>
          <w:ilvl w:val="0"/>
          <w:numId w:val="5"/>
        </w:numPr>
        <w:autoSpaceDE w:val="0"/>
        <w:autoSpaceDN w:val="0"/>
        <w:adjustRightInd w:val="0"/>
        <w:ind w:left="1134" w:hanging="567"/>
        <w:jc w:val="both"/>
        <w:rPr>
          <w:rFonts w:ascii="ArialMT" w:hAnsi="ArialMT" w:cs="ArialMT"/>
          <w:lang w:val="es-ES"/>
        </w:rPr>
      </w:pPr>
      <w:r w:rsidRPr="00DF6249">
        <w:rPr>
          <w:rFonts w:cs="Arial"/>
          <w:lang w:val="es-ES"/>
        </w:rPr>
        <w:t xml:space="preserve">formule observaciones y asesoramiento a la Secretaría, en relación con la presentación de las evaluaciones, ante la COP14, entre ellas cualquier recomendación que deba señalarse a la atención de la COP. </w:t>
      </w:r>
    </w:p>
    <w:p w14:paraId="291A2EB3" w14:textId="77777777" w:rsidR="00763334" w:rsidRPr="00DF6249" w:rsidRDefault="00763334" w:rsidP="00763334">
      <w:pPr>
        <w:autoSpaceDE w:val="0"/>
        <w:autoSpaceDN w:val="0"/>
        <w:adjustRightInd w:val="0"/>
        <w:jc w:val="both"/>
        <w:rPr>
          <w:rFonts w:ascii="ArialMT" w:hAnsi="ArialMT" w:cs="ArialMT"/>
          <w:lang w:val="es-ES"/>
        </w:rPr>
      </w:pPr>
    </w:p>
    <w:p w14:paraId="343BC32F" w14:textId="42E72DC6" w:rsidR="006130C7" w:rsidRPr="005B1586" w:rsidRDefault="006130C7" w:rsidP="004D2917">
      <w:pPr>
        <w:rPr>
          <w:rFonts w:cs="Arial"/>
          <w:lang w:val="es-ES"/>
        </w:rPr>
      </w:pPr>
    </w:p>
    <w:sectPr w:rsidR="006130C7" w:rsidRPr="005B1586" w:rsidSect="004D2917">
      <w:headerReference w:type="even" r:id="rId17"/>
      <w:headerReference w:type="default" r:id="rId18"/>
      <w:footerReference w:type="even" r:id="rId19"/>
      <w:footerReference w:type="default" r:id="rId20"/>
      <w:headerReference w:type="first" r:id="rId21"/>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8B48" w14:textId="77777777" w:rsidR="000D7587" w:rsidRDefault="000D7587" w:rsidP="008562CA">
      <w:r>
        <w:separator/>
      </w:r>
    </w:p>
  </w:endnote>
  <w:endnote w:type="continuationSeparator" w:id="0">
    <w:p w14:paraId="0740910A" w14:textId="77777777" w:rsidR="000D7587" w:rsidRDefault="000D758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4764" w14:textId="77777777" w:rsidR="000D7587" w:rsidRDefault="000D7587" w:rsidP="008562CA">
      <w:r>
        <w:separator/>
      </w:r>
    </w:p>
  </w:footnote>
  <w:footnote w:type="continuationSeparator" w:id="0">
    <w:p w14:paraId="7A7B5DC7" w14:textId="77777777" w:rsidR="000D7587" w:rsidRDefault="000D7587"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1AA1E63A"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DB0EAC">
      <w:rPr>
        <w:rFonts w:cs="Arial"/>
        <w:i/>
        <w:iCs/>
        <w:sz w:val="18"/>
        <w:szCs w:val="18"/>
      </w:rPr>
      <w:t>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108B6025"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DB0EAC">
      <w:rPr>
        <w:rFonts w:cs="Arial"/>
        <w:i/>
        <w:iCs/>
        <w:sz w:val="18"/>
        <w:szCs w:val="18"/>
      </w:rPr>
      <w:t>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FB9"/>
    <w:multiLevelType w:val="hybridMultilevel"/>
    <w:tmpl w:val="A7F615DA"/>
    <w:lvl w:ilvl="0" w:tplc="E7F4FF9C">
      <w:start w:val="1"/>
      <w:numFmt w:val="decimal"/>
      <w:lvlText w:val="%1."/>
      <w:lvlJc w:val="left"/>
      <w:pPr>
        <w:ind w:left="360" w:hanging="360"/>
      </w:pPr>
      <w:rPr>
        <w:rFonts w:ascii="Arial" w:hAnsi="Arial" w:cs="Arial" w:hint="default"/>
        <w:i w:val="0"/>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186502E6"/>
    <w:multiLevelType w:val="hybridMultilevel"/>
    <w:tmpl w:val="66C071C6"/>
    <w:lvl w:ilvl="0" w:tplc="65887DE4">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2"/>
  </w:num>
  <w:num w:numId="2" w16cid:durableId="156656548">
    <w:abstractNumId w:val="5"/>
  </w:num>
  <w:num w:numId="3" w16cid:durableId="1142117419">
    <w:abstractNumId w:val="3"/>
  </w:num>
  <w:num w:numId="4" w16cid:durableId="1657607511">
    <w:abstractNumId w:val="1"/>
  </w:num>
  <w:num w:numId="5" w16cid:durableId="1876768819">
    <w:abstractNumId w:val="4"/>
  </w:num>
  <w:num w:numId="6" w16cid:durableId="128681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F56E8"/>
    <w:rsid w:val="002120D1"/>
    <w:rsid w:val="00236C6A"/>
    <w:rsid w:val="002506C2"/>
    <w:rsid w:val="00255507"/>
    <w:rsid w:val="0025645D"/>
    <w:rsid w:val="002604BA"/>
    <w:rsid w:val="00304D3A"/>
    <w:rsid w:val="00307FD9"/>
    <w:rsid w:val="00357ECB"/>
    <w:rsid w:val="003A11A8"/>
    <w:rsid w:val="00437C87"/>
    <w:rsid w:val="0045575B"/>
    <w:rsid w:val="004B16C3"/>
    <w:rsid w:val="004C765C"/>
    <w:rsid w:val="004D2917"/>
    <w:rsid w:val="005B1586"/>
    <w:rsid w:val="005E1A0D"/>
    <w:rsid w:val="006130C7"/>
    <w:rsid w:val="00763277"/>
    <w:rsid w:val="00763334"/>
    <w:rsid w:val="007E238D"/>
    <w:rsid w:val="007F110A"/>
    <w:rsid w:val="00820839"/>
    <w:rsid w:val="00844F23"/>
    <w:rsid w:val="008562CA"/>
    <w:rsid w:val="008A1A1D"/>
    <w:rsid w:val="008D7252"/>
    <w:rsid w:val="00926B3D"/>
    <w:rsid w:val="00990DE6"/>
    <w:rsid w:val="009A40F8"/>
    <w:rsid w:val="009F6644"/>
    <w:rsid w:val="00A511CF"/>
    <w:rsid w:val="00B36C20"/>
    <w:rsid w:val="00B70424"/>
    <w:rsid w:val="00BB3F80"/>
    <w:rsid w:val="00BE7C6B"/>
    <w:rsid w:val="00C62BAD"/>
    <w:rsid w:val="00D65902"/>
    <w:rsid w:val="00DB0EAC"/>
    <w:rsid w:val="00DB2046"/>
    <w:rsid w:val="00E00E2B"/>
    <w:rsid w:val="00E10AC2"/>
    <w:rsid w:val="00E1103E"/>
    <w:rsid w:val="00E976CE"/>
    <w:rsid w:val="00EB2EEE"/>
    <w:rsid w:val="00F01E83"/>
    <w:rsid w:val="00F4206A"/>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25645D"/>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25645D"/>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76333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review-conservation-status-cms-appendix-i-listed-tax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page/decisions-1324-1326-conservation-status-migratory-spe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ms.int/en/document/output-rapid-assessment-appendix-ii-listed-spe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review-conservation-status-migratory-species-0" TargetMode="External"/><Relationship Id="rId5" Type="http://schemas.openxmlformats.org/officeDocument/2006/relationships/numbering" Target="numbering.xml"/><Relationship Id="rId15" Type="http://schemas.openxmlformats.org/officeDocument/2006/relationships/hyperlink" Target="https://www.cms.int/en/document/review-conservation-status-cms-appendix-ii-listed-tax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output-rapid-assessment-appendix-i-listed-speci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4.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23</cp:revision>
  <dcterms:created xsi:type="dcterms:W3CDTF">2023-04-19T07:33:00Z</dcterms:created>
  <dcterms:modified xsi:type="dcterms:W3CDTF">2023-07-13T14:48:00Z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