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2E8201C4"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7630C0">
        <w:rPr>
          <w:rFonts w:cs="Arial"/>
          <w:lang w:val="es-ES"/>
        </w:rPr>
        <w:t>7.2</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3C6C65F7" w14:textId="77777777" w:rsidR="00610227" w:rsidRPr="002E33C3" w:rsidRDefault="00610227" w:rsidP="00610227">
      <w:pPr>
        <w:pStyle w:val="Heading2"/>
        <w:keepNext w:val="0"/>
        <w:ind w:left="-86" w:right="-360"/>
        <w:rPr>
          <w:rFonts w:ascii="Arial" w:hAnsi="Arial" w:cs="Arial"/>
          <w:szCs w:val="22"/>
          <w:lang w:val="es-ES"/>
        </w:rPr>
      </w:pPr>
      <w:r w:rsidRPr="002E33C3">
        <w:rPr>
          <w:rFonts w:ascii="Arial" w:hAnsi="Arial" w:cs="Arial"/>
          <w:szCs w:val="22"/>
          <w:lang w:val="es-ES"/>
        </w:rPr>
        <w:t xml:space="preserve">EVALUACIÓN DEL RIESGO DE LA UTILIZACIÓN DIRECTA Y EL COMERCIO </w:t>
      </w:r>
    </w:p>
    <w:p w14:paraId="25908DD2" w14:textId="77777777" w:rsidR="00610227" w:rsidRPr="002E33C3" w:rsidRDefault="00610227" w:rsidP="00610227">
      <w:pPr>
        <w:pStyle w:val="Heading2"/>
        <w:keepNext w:val="0"/>
        <w:spacing w:after="120"/>
        <w:ind w:left="-86" w:right="-360"/>
        <w:rPr>
          <w:rFonts w:ascii="Arial" w:hAnsi="Arial" w:cs="Arial"/>
          <w:szCs w:val="22"/>
          <w:lang w:val="es-ES"/>
        </w:rPr>
      </w:pPr>
      <w:r w:rsidRPr="002E33C3">
        <w:rPr>
          <w:rFonts w:ascii="Arial" w:hAnsi="Arial" w:cs="Arial"/>
          <w:szCs w:val="22"/>
          <w:lang w:val="es-ES"/>
        </w:rPr>
        <w:t>PARA LAS ESPECIES INCLUIDAS EN EL APÉNDICE I DE LA CMS</w:t>
      </w:r>
    </w:p>
    <w:p w14:paraId="14D24C95" w14:textId="77777777" w:rsidR="00990838" w:rsidRDefault="00990838" w:rsidP="00610227">
      <w:pPr>
        <w:jc w:val="center"/>
        <w:rPr>
          <w:rFonts w:cs="Arial"/>
          <w:i/>
          <w:lang w:val="es-ES"/>
        </w:rPr>
      </w:pPr>
    </w:p>
    <w:p w14:paraId="359D8A01" w14:textId="4CC7A788" w:rsidR="00610227" w:rsidRPr="002E33C3" w:rsidRDefault="00990838" w:rsidP="00610227">
      <w:pPr>
        <w:jc w:val="center"/>
        <w:rPr>
          <w:rFonts w:cs="Arial"/>
          <w:i/>
          <w:lang w:val="es-ES"/>
        </w:rPr>
      </w:pPr>
      <w:r w:rsidRPr="002E33C3">
        <w:rPr>
          <w:rFonts w:cs="Arial"/>
          <w:noProof/>
          <w:lang w:val="es-ES"/>
        </w:rPr>
        <mc:AlternateContent>
          <mc:Choice Requires="wps">
            <w:drawing>
              <wp:anchor distT="0" distB="0" distL="114300" distR="114300" simplePos="0" relativeHeight="251659264" behindDoc="1" locked="0" layoutInCell="1" allowOverlap="1" wp14:anchorId="73440F16" wp14:editId="1503C5CB">
                <wp:simplePos x="0" y="0"/>
                <wp:positionH relativeFrom="margin">
                  <wp:posOffset>1047750</wp:posOffset>
                </wp:positionH>
                <wp:positionV relativeFrom="margin">
                  <wp:posOffset>2305050</wp:posOffset>
                </wp:positionV>
                <wp:extent cx="4152900" cy="2385060"/>
                <wp:effectExtent l="0" t="0" r="19050" b="1524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385060"/>
                        </a:xfrm>
                        <a:prstGeom prst="rect">
                          <a:avLst/>
                        </a:prstGeom>
                        <a:solidFill>
                          <a:srgbClr val="FFFFFF"/>
                        </a:solidFill>
                        <a:ln w="3175">
                          <a:solidFill>
                            <a:srgbClr val="000000"/>
                          </a:solidFill>
                          <a:miter lim="800000"/>
                          <a:headEnd/>
                          <a:tailEnd/>
                        </a:ln>
                      </wps:spPr>
                      <wps:txbx>
                        <w:txbxContent>
                          <w:p w14:paraId="7D57327B" w14:textId="77777777" w:rsidR="00990838" w:rsidRPr="00990838" w:rsidRDefault="00990838" w:rsidP="00990838">
                            <w:pPr>
                              <w:rPr>
                                <w:rFonts w:cs="Arial"/>
                                <w:lang w:val="es-ES"/>
                              </w:rPr>
                            </w:pPr>
                            <w:r w:rsidRPr="00990838">
                              <w:rPr>
                                <w:rFonts w:cs="Arial"/>
                                <w:lang w:val="es-ES"/>
                              </w:rPr>
                              <w:t>Resumen:</w:t>
                            </w:r>
                          </w:p>
                          <w:p w14:paraId="15388D93" w14:textId="77777777" w:rsidR="00990838" w:rsidRPr="00990838" w:rsidRDefault="00990838" w:rsidP="00990838">
                            <w:pPr>
                              <w:rPr>
                                <w:rFonts w:cs="Arial"/>
                                <w:lang w:val="es-ES"/>
                              </w:rPr>
                            </w:pPr>
                          </w:p>
                          <w:p w14:paraId="359C01AA" w14:textId="77777777" w:rsidR="00990838" w:rsidRPr="00990838" w:rsidRDefault="00990838" w:rsidP="00990838">
                            <w:pPr>
                              <w:jc w:val="both"/>
                              <w:rPr>
                                <w:rFonts w:cs="Arial"/>
                                <w:lang w:val="es-ES"/>
                              </w:rPr>
                            </w:pPr>
                            <w:r w:rsidRPr="00990838">
                              <w:rPr>
                                <w:rFonts w:cs="Arial"/>
                                <w:sz w:val="21"/>
                                <w:szCs w:val="21"/>
                                <w:lang w:val="es-ES"/>
                              </w:rPr>
                              <w:t>En virtud de las decisiones 13.17, 13.24 b) y 13.26 b), el presente documento somete a la consideración de la ScC-SC6 el borrador definitivo de la evaluación rápida del riesgo que supone la utilización directa y el comercio para las especies incluidas en el Apéndice I de la Convención sobre la Conservación de las Especies Migratorias de Animales Silvestres (CMS)</w:t>
                            </w:r>
                            <w:r w:rsidRPr="00990838">
                              <w:rPr>
                                <w:rFonts w:cs="Arial"/>
                                <w:lang w:val="es-ES"/>
                              </w:rPr>
                              <w:t>.</w:t>
                            </w:r>
                          </w:p>
                          <w:p w14:paraId="3CF8B89D" w14:textId="77777777" w:rsidR="00990838" w:rsidRPr="00990838" w:rsidRDefault="00990838" w:rsidP="00990838">
                            <w:pPr>
                              <w:jc w:val="both"/>
                              <w:rPr>
                                <w:rFonts w:cs="Arial"/>
                                <w:lang w:val="es-ES"/>
                              </w:rPr>
                            </w:pPr>
                          </w:p>
                          <w:p w14:paraId="2CCF416B" w14:textId="77777777" w:rsidR="00990838" w:rsidRPr="00990838" w:rsidRDefault="00990838" w:rsidP="00990838">
                            <w:pPr>
                              <w:jc w:val="both"/>
                              <w:rPr>
                                <w:rFonts w:cs="Arial"/>
                                <w:sz w:val="21"/>
                                <w:szCs w:val="21"/>
                                <w:lang w:val="es-ES"/>
                              </w:rPr>
                            </w:pPr>
                            <w:r w:rsidRPr="00990838">
                              <w:rPr>
                                <w:rFonts w:cs="Arial"/>
                                <w:lang w:val="es-ES"/>
                              </w:rPr>
                              <w:t>Se recomienda a la ScC-SC6 que examine la evaluación y formule observaciones y recomendaciones a la Secretaría con vistas a la presentación del documento a la 14.ª Reunión de la Conferencia de las Partes de la CMS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40F16" id="_x0000_t202" coordsize="21600,21600" o:spt="202" path="m,l,21600r21600,l21600,xe">
                <v:stroke joinstyle="miter"/>
                <v:path gradientshapeok="t" o:connecttype="rect"/>
              </v:shapetype>
              <v:shape id="Text Box 4" o:spid="_x0000_s1026" type="#_x0000_t202" style="position:absolute;left:0;text-align:left;margin-left:82.5pt;margin-top:181.5pt;width:327pt;height:187.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" strokeweight=".25pt">
                <v:textbox>
                  <w:txbxContent>
                    <w:p w14:paraId="7D57327B" w14:textId="77777777" w:rsidR="00990838" w:rsidRPr="00990838" w:rsidRDefault="00990838" w:rsidP="00990838">
                      <w:pPr>
                        <w:rPr>
                          <w:rFonts w:cs="Arial"/>
                          <w:lang w:val="es-ES"/>
                        </w:rPr>
                      </w:pPr>
                      <w:r w:rsidRPr="00990838">
                        <w:rPr>
                          <w:rFonts w:cs="Arial"/>
                          <w:lang w:val="es-ES"/>
                        </w:rPr>
                        <w:t>Resumen:</w:t>
                      </w:r>
                    </w:p>
                    <w:p w14:paraId="15388D93" w14:textId="77777777" w:rsidR="00990838" w:rsidRPr="00990838" w:rsidRDefault="00990838" w:rsidP="00990838">
                      <w:pPr>
                        <w:rPr>
                          <w:rFonts w:cs="Arial"/>
                          <w:lang w:val="es-ES"/>
                        </w:rPr>
                      </w:pPr>
                    </w:p>
                    <w:p w14:paraId="359C01AA" w14:textId="77777777" w:rsidR="00990838" w:rsidRPr="00990838" w:rsidRDefault="00990838" w:rsidP="00990838">
                      <w:pPr>
                        <w:jc w:val="both"/>
                        <w:rPr>
                          <w:rFonts w:cs="Arial"/>
                          <w:lang w:val="es-ES"/>
                        </w:rPr>
                      </w:pPr>
                      <w:r w:rsidRPr="00990838">
                        <w:rPr>
                          <w:rFonts w:cs="Arial"/>
                          <w:sz w:val="21"/>
                          <w:szCs w:val="21"/>
                          <w:lang w:val="es-ES"/>
                        </w:rPr>
                        <w:t>En virtud de las decisiones 13.17, 13.24 b) y 13.26 b), el presente documento somete a la consideración de la ScC-SC6 el borrador definitivo de la evaluación rápida del riesgo que supone la utilización directa y el comercio para las especies incluidas en el Apéndice I de la Convención sobre la Conservación de las Especies Migratorias de Animales Silvestres (CMS)</w:t>
                      </w:r>
                      <w:r w:rsidRPr="00990838">
                        <w:rPr>
                          <w:rFonts w:cs="Arial"/>
                          <w:lang w:val="es-ES"/>
                        </w:rPr>
                        <w:t>.</w:t>
                      </w:r>
                    </w:p>
                    <w:p w14:paraId="3CF8B89D" w14:textId="77777777" w:rsidR="00990838" w:rsidRPr="00990838" w:rsidRDefault="00990838" w:rsidP="00990838">
                      <w:pPr>
                        <w:jc w:val="both"/>
                        <w:rPr>
                          <w:rFonts w:cs="Arial"/>
                          <w:lang w:val="es-ES"/>
                        </w:rPr>
                      </w:pPr>
                    </w:p>
                    <w:p w14:paraId="2CCF416B" w14:textId="77777777" w:rsidR="00990838" w:rsidRPr="00990838" w:rsidRDefault="00990838" w:rsidP="00990838">
                      <w:pPr>
                        <w:jc w:val="both"/>
                        <w:rPr>
                          <w:rFonts w:cs="Arial"/>
                          <w:sz w:val="21"/>
                          <w:szCs w:val="21"/>
                          <w:lang w:val="es-ES"/>
                        </w:rPr>
                      </w:pPr>
                      <w:r w:rsidRPr="00990838">
                        <w:rPr>
                          <w:rFonts w:cs="Arial"/>
                          <w:lang w:val="es-ES"/>
                        </w:rPr>
                        <w:t>Se recomienda a la ScC-SC6 que examine la evaluación y formule observaciones y recomendaciones a la Secretaría con vistas a la presentación del documento a la 14.ª Reunión de la Conferencia de las Partes de la CMS (COP14).</w:t>
                      </w:r>
                    </w:p>
                  </w:txbxContent>
                </v:textbox>
                <w10:wrap type="square" anchorx="margin" anchory="margin"/>
              </v:shape>
            </w:pict>
          </mc:Fallback>
        </mc:AlternateContent>
      </w:r>
      <w:r w:rsidRPr="002E33C3">
        <w:rPr>
          <w:rFonts w:cs="Arial"/>
          <w:i/>
          <w:lang w:val="es-ES"/>
        </w:rPr>
        <w:t xml:space="preserve"> </w:t>
      </w:r>
      <w:r w:rsidR="00610227" w:rsidRPr="002E33C3">
        <w:rPr>
          <w:rFonts w:cs="Arial"/>
          <w:i/>
          <w:lang w:val="es-ES"/>
        </w:rPr>
        <w:t>(Preparado por la Secretaría)</w:t>
      </w:r>
    </w:p>
    <w:p w14:paraId="0DC0E70C" w14:textId="77777777" w:rsidR="00610227" w:rsidRDefault="00610227" w:rsidP="00610227">
      <w:pPr>
        <w:rPr>
          <w:rFonts w:cs="Arial"/>
          <w:lang w:val="es-ES"/>
        </w:rPr>
      </w:pPr>
    </w:p>
    <w:p w14:paraId="286ECA1D" w14:textId="77777777" w:rsidR="00990838" w:rsidRDefault="00990838" w:rsidP="00610227">
      <w:pPr>
        <w:rPr>
          <w:rFonts w:cs="Arial"/>
          <w:lang w:val="es-ES"/>
        </w:rPr>
      </w:pPr>
    </w:p>
    <w:p w14:paraId="3A728040" w14:textId="55AEEFD0" w:rsidR="00990838" w:rsidRDefault="00990838">
      <w:pPr>
        <w:rPr>
          <w:rFonts w:cs="Arial"/>
          <w:lang w:val="es-ES"/>
        </w:rPr>
      </w:pPr>
      <w:r>
        <w:rPr>
          <w:rFonts w:cs="Arial"/>
          <w:lang w:val="es-ES"/>
        </w:rPr>
        <w:br w:type="page"/>
      </w:r>
    </w:p>
    <w:p w14:paraId="4E208CEA" w14:textId="77777777" w:rsidR="005910C6" w:rsidRPr="005910C6" w:rsidRDefault="005910C6" w:rsidP="005910C6">
      <w:pPr>
        <w:widowControl w:val="0"/>
        <w:tabs>
          <w:tab w:val="left" w:pos="-720"/>
          <w:tab w:val="left" w:pos="310"/>
          <w:tab w:val="left" w:pos="835"/>
        </w:tabs>
        <w:ind w:left="-86" w:right="-360"/>
        <w:jc w:val="center"/>
        <w:outlineLvl w:val="1"/>
        <w:rPr>
          <w:rFonts w:eastAsia="Times New Roman" w:cs="Arial"/>
          <w:b/>
          <w:bCs/>
          <w:snapToGrid w:val="0"/>
          <w:lang w:val="es-ES"/>
        </w:rPr>
      </w:pPr>
    </w:p>
    <w:p w14:paraId="51CAD8AE" w14:textId="77777777" w:rsidR="005910C6" w:rsidRPr="005910C6" w:rsidRDefault="005910C6" w:rsidP="005910C6">
      <w:pPr>
        <w:widowControl w:val="0"/>
        <w:tabs>
          <w:tab w:val="left" w:pos="-720"/>
          <w:tab w:val="left" w:pos="310"/>
          <w:tab w:val="left" w:pos="835"/>
        </w:tabs>
        <w:ind w:left="-86" w:right="-360"/>
        <w:jc w:val="center"/>
        <w:outlineLvl w:val="1"/>
        <w:rPr>
          <w:rFonts w:eastAsia="Times New Roman" w:cs="Arial"/>
          <w:b/>
          <w:bCs/>
          <w:snapToGrid w:val="0"/>
          <w:lang w:val="es-ES"/>
        </w:rPr>
      </w:pPr>
      <w:r w:rsidRPr="005910C6">
        <w:rPr>
          <w:rFonts w:eastAsia="Times New Roman" w:cs="Arial"/>
          <w:b/>
          <w:bCs/>
          <w:snapToGrid w:val="0"/>
          <w:lang w:val="es-ES"/>
        </w:rPr>
        <w:t xml:space="preserve">EVALUACIÓN DEL RIESGO DE LA UTILIZACIÓN DIRECTA Y EL COMERCIO </w:t>
      </w:r>
    </w:p>
    <w:p w14:paraId="6DE765B9" w14:textId="77777777" w:rsidR="005910C6" w:rsidRPr="005910C6" w:rsidRDefault="005910C6" w:rsidP="005910C6">
      <w:pPr>
        <w:widowControl w:val="0"/>
        <w:tabs>
          <w:tab w:val="left" w:pos="-720"/>
          <w:tab w:val="left" w:pos="310"/>
          <w:tab w:val="left" w:pos="835"/>
        </w:tabs>
        <w:ind w:left="-86" w:right="-360"/>
        <w:jc w:val="center"/>
        <w:outlineLvl w:val="1"/>
        <w:rPr>
          <w:rFonts w:eastAsia="Times New Roman" w:cs="Arial"/>
          <w:b/>
          <w:bCs/>
          <w:snapToGrid w:val="0"/>
          <w:lang w:val="es-ES"/>
        </w:rPr>
      </w:pPr>
      <w:r w:rsidRPr="005910C6">
        <w:rPr>
          <w:rFonts w:eastAsia="Times New Roman" w:cs="Arial"/>
          <w:b/>
          <w:bCs/>
          <w:snapToGrid w:val="0"/>
          <w:lang w:val="es-ES"/>
        </w:rPr>
        <w:t>PARA LAS ESPECIES INCLUIDAS EN EL APÉNDICE I DE LA CMS</w:t>
      </w:r>
    </w:p>
    <w:p w14:paraId="6136543B" w14:textId="77777777" w:rsidR="005910C6" w:rsidRPr="005910C6" w:rsidRDefault="005910C6" w:rsidP="005910C6">
      <w:pPr>
        <w:widowControl w:val="0"/>
        <w:tabs>
          <w:tab w:val="left" w:pos="-720"/>
          <w:tab w:val="left" w:pos="310"/>
          <w:tab w:val="left" w:pos="835"/>
        </w:tabs>
        <w:spacing w:after="120"/>
        <w:ind w:left="-86" w:right="-360"/>
        <w:jc w:val="center"/>
        <w:outlineLvl w:val="1"/>
        <w:rPr>
          <w:rFonts w:eastAsia="Times New Roman" w:cs="Arial"/>
          <w:b/>
          <w:bCs/>
          <w:snapToGrid w:val="0"/>
          <w:lang w:val="es-ES"/>
        </w:rPr>
      </w:pPr>
    </w:p>
    <w:p w14:paraId="7C4A362B" w14:textId="77777777" w:rsidR="005910C6" w:rsidRPr="005910C6" w:rsidRDefault="005910C6" w:rsidP="005910C6">
      <w:pPr>
        <w:rPr>
          <w:lang w:val="es-ES"/>
        </w:rPr>
      </w:pPr>
    </w:p>
    <w:p w14:paraId="460D0E8D" w14:textId="77777777" w:rsidR="005910C6" w:rsidRPr="005910C6" w:rsidRDefault="005910C6" w:rsidP="005910C6">
      <w:pPr>
        <w:rPr>
          <w:u w:val="single"/>
          <w:lang w:val="es-ES"/>
        </w:rPr>
      </w:pPr>
      <w:r w:rsidRPr="005910C6">
        <w:rPr>
          <w:u w:val="single"/>
          <w:lang w:val="es-ES"/>
        </w:rPr>
        <w:t>Antecedentes</w:t>
      </w:r>
    </w:p>
    <w:p w14:paraId="7DF405AB" w14:textId="77777777" w:rsidR="005910C6" w:rsidRPr="005910C6" w:rsidRDefault="005910C6" w:rsidP="005910C6">
      <w:pPr>
        <w:rPr>
          <w:lang w:val="es-ES"/>
        </w:rPr>
      </w:pPr>
    </w:p>
    <w:p w14:paraId="158A7825" w14:textId="5F6754DA" w:rsidR="005910C6" w:rsidRPr="005910C6" w:rsidRDefault="005910C6" w:rsidP="005910C6">
      <w:pPr>
        <w:widowControl w:val="0"/>
        <w:numPr>
          <w:ilvl w:val="0"/>
          <w:numId w:val="4"/>
        </w:numPr>
        <w:ind w:left="540" w:hanging="540"/>
        <w:contextualSpacing/>
        <w:jc w:val="both"/>
        <w:rPr>
          <w:rFonts w:eastAsia="Times New Roman" w:cs="Arial"/>
          <w:snapToGrid w:val="0"/>
          <w:lang w:val="es-ES"/>
        </w:rPr>
      </w:pPr>
      <w:r w:rsidRPr="005910C6">
        <w:rPr>
          <w:rFonts w:eastAsia="Times New Roman" w:cs="Arial"/>
          <w:snapToGrid w:val="0"/>
          <w:lang w:val="es-ES"/>
        </w:rPr>
        <w:t>La 13.</w:t>
      </w:r>
      <w:r w:rsidRPr="005910C6">
        <w:rPr>
          <w:rFonts w:eastAsia="Times New Roman" w:cs="Arial"/>
          <w:snapToGrid w:val="0"/>
          <w:vertAlign w:val="superscript"/>
          <w:lang w:val="es-ES"/>
        </w:rPr>
        <w:t>a</w:t>
      </w:r>
      <w:r w:rsidRPr="005910C6">
        <w:rPr>
          <w:rFonts w:eastAsia="Times New Roman" w:cs="Arial"/>
          <w:snapToGrid w:val="0"/>
          <w:lang w:val="es-ES"/>
        </w:rPr>
        <w:t xml:space="preserve"> Reunión de la Conferencia de las Partes de la CMS (COP13; Gandhinagar, 2020) puso de manifiesto la preocupación por la utilización directa y el comercio de taxones incluidos en el Apéndice I, en particular, en el contexto del Artículo III, Párrafo 5 de la Convención, que prohíbe la captura de taxones incluidos en el Apéndice I, excepto en circunstancias concretas (</w:t>
      </w:r>
      <w:hyperlink r:id="rId11" w:history="1">
        <w:r w:rsidRPr="005910C6">
          <w:rPr>
            <w:rFonts w:eastAsia="Times New Roman" w:cs="Arial"/>
            <w:snapToGrid w:val="0"/>
            <w:color w:val="0000FF"/>
            <w:u w:val="single"/>
            <w:lang w:val="es-ES"/>
          </w:rPr>
          <w:t>UNEP/CMS/COP13/Doc.21</w:t>
        </w:r>
      </w:hyperlink>
      <w:r w:rsidRPr="005910C6">
        <w:rPr>
          <w:rFonts w:eastAsia="Times New Roman" w:cs="Arial"/>
          <w:snapToGrid w:val="0"/>
          <w:lang w:val="es-ES"/>
        </w:rPr>
        <w:t>). En este sentido, un estudio remitido a la COP13 que analizó los datos comerciales de la Convención sobre el Comercio Internacional de Especies Amenazadas de Fauna y Flora Silvestres (CITES) durante el período 2015-2018 estableció que “</w:t>
      </w:r>
      <w:r w:rsidRPr="005910C6">
        <w:rPr>
          <w:rFonts w:eastAsia="Times New Roman" w:cs="Arial"/>
          <w:i/>
          <w:snapToGrid w:val="0"/>
          <w:lang w:val="es-ES"/>
        </w:rPr>
        <w:t>las Partes de la CMS han participado en el comercio de un conjunto de especies incluidas en el Apéndice I de la CMS</w:t>
      </w:r>
      <w:r w:rsidRPr="005910C6">
        <w:rPr>
          <w:rFonts w:eastAsia="Times New Roman" w:cs="Arial"/>
          <w:i/>
          <w:iCs/>
          <w:snapToGrid w:val="0"/>
          <w:lang w:val="es-ES"/>
        </w:rPr>
        <w:t xml:space="preserve">, tanto como importadores como exportadores” </w:t>
      </w:r>
      <w:r w:rsidRPr="005910C6">
        <w:rPr>
          <w:rFonts w:eastAsia="Times New Roman" w:cs="Arial"/>
          <w:snapToGrid w:val="0"/>
          <w:lang w:val="es-ES"/>
        </w:rPr>
        <w:t>(</w:t>
      </w:r>
      <w:hyperlink r:id="rId12" w:history="1">
        <w:r w:rsidRPr="005910C6">
          <w:rPr>
            <w:rFonts w:eastAsia="Times New Roman" w:cs="Arial"/>
            <w:snapToGrid w:val="0"/>
            <w:color w:val="0000FF"/>
            <w:u w:val="single"/>
            <w:lang w:val="es-ES"/>
          </w:rPr>
          <w:t>UNEP/CMS/COP13/Inf.37</w:t>
        </w:r>
      </w:hyperlink>
      <w:r w:rsidRPr="005910C6">
        <w:rPr>
          <w:rFonts w:eastAsia="Times New Roman" w:cs="Arial"/>
          <w:snapToGrid w:val="0"/>
          <w:lang w:val="es-ES"/>
        </w:rPr>
        <w:t>)</w:t>
      </w:r>
      <w:r w:rsidRPr="005910C6">
        <w:rPr>
          <w:rFonts w:eastAsia="Times New Roman" w:cs="Arial"/>
          <w:i/>
          <w:iCs/>
          <w:snapToGrid w:val="0"/>
          <w:lang w:val="es-ES"/>
        </w:rPr>
        <w:t xml:space="preserve">.  </w:t>
      </w:r>
      <w:r w:rsidRPr="005910C6">
        <w:rPr>
          <w:rFonts w:eastAsia="Times New Roman" w:cs="Arial"/>
          <w:snapToGrid w:val="0"/>
          <w:lang w:val="es-ES"/>
        </w:rPr>
        <w:t>Además, en una revisión preliminar del estado de conservación de los taxones incluidos en las listas de la CMS, que se presentó a la COP13, se determinó que el uso intencionado de los recursos biológicos es una de las amenazas más frecuentes a las que se enfrentan los taxones del Apéndice I (</w:t>
      </w:r>
      <w:r w:rsidRPr="005910C6">
        <w:rPr>
          <w:rFonts w:ascii="Times New Roman" w:eastAsia="Times New Roman" w:hAnsi="Times New Roman" w:cs="Times New Roman"/>
          <w:snapToGrid w:val="0"/>
          <w:sz w:val="24"/>
          <w:szCs w:val="20"/>
          <w:lang w:val="en-GB"/>
        </w:rPr>
        <w:fldChar w:fldCharType="begin"/>
      </w:r>
      <w:r w:rsidR="006F717F" w:rsidRPr="006F717F">
        <w:rPr>
          <w:rFonts w:ascii="Times New Roman" w:eastAsia="Times New Roman" w:hAnsi="Times New Roman" w:cs="Times New Roman"/>
          <w:snapToGrid w:val="0"/>
          <w:sz w:val="24"/>
          <w:szCs w:val="20"/>
          <w:lang w:val="es-ES"/>
        </w:rPr>
        <w:instrText>HYPERLINK "https://www.cms.int/sites/default/files/document/cms_cop13_doc.24_rev.1_estado-de-conservaci%C3%B3n-especies-migratorias_s.pdf"</w:instrText>
      </w:r>
      <w:r w:rsidR="006F717F" w:rsidRPr="005910C6">
        <w:rPr>
          <w:rFonts w:ascii="Times New Roman" w:eastAsia="Times New Roman" w:hAnsi="Times New Roman" w:cs="Times New Roman"/>
          <w:snapToGrid w:val="0"/>
          <w:sz w:val="24"/>
          <w:szCs w:val="20"/>
          <w:lang w:val="en-GB"/>
        </w:rPr>
      </w:r>
      <w:r w:rsidRPr="005910C6">
        <w:rPr>
          <w:rFonts w:ascii="Times New Roman" w:eastAsia="Times New Roman" w:hAnsi="Times New Roman" w:cs="Times New Roman"/>
          <w:snapToGrid w:val="0"/>
          <w:sz w:val="24"/>
          <w:szCs w:val="20"/>
          <w:lang w:val="en-GB"/>
        </w:rPr>
        <w:fldChar w:fldCharType="separate"/>
      </w:r>
      <w:r w:rsidRPr="005910C6">
        <w:rPr>
          <w:rFonts w:eastAsia="Times New Roman" w:cs="Arial"/>
          <w:snapToGrid w:val="0"/>
          <w:color w:val="0000FF"/>
          <w:u w:val="single"/>
          <w:lang w:val="es-ES"/>
        </w:rPr>
        <w:t>UNEP/CMS/COP13/Doc.24</w:t>
      </w:r>
      <w:r w:rsidRPr="005910C6">
        <w:rPr>
          <w:rFonts w:eastAsia="Times New Roman" w:cs="Arial"/>
          <w:snapToGrid w:val="0"/>
          <w:color w:val="0000FF"/>
          <w:u w:val="single"/>
          <w:lang w:val="es-ES"/>
        </w:rPr>
        <w:fldChar w:fldCharType="end"/>
      </w:r>
      <w:r w:rsidRPr="005910C6">
        <w:rPr>
          <w:rFonts w:eastAsia="Times New Roman" w:cs="Arial"/>
          <w:snapToGrid w:val="0"/>
          <w:lang w:val="es-ES"/>
        </w:rPr>
        <w:t xml:space="preserve">). </w:t>
      </w:r>
    </w:p>
    <w:p w14:paraId="7C2FE334" w14:textId="77777777" w:rsidR="005910C6" w:rsidRPr="005910C6" w:rsidRDefault="005910C6" w:rsidP="005910C6">
      <w:pPr>
        <w:widowControl w:val="0"/>
        <w:ind w:left="540" w:hanging="540"/>
        <w:contextualSpacing/>
        <w:jc w:val="both"/>
        <w:rPr>
          <w:rFonts w:eastAsia="Times New Roman" w:cs="Arial"/>
          <w:snapToGrid w:val="0"/>
          <w:lang w:val="es-ES"/>
        </w:rPr>
      </w:pPr>
      <w:r w:rsidRPr="005910C6">
        <w:rPr>
          <w:rFonts w:eastAsia="Times New Roman" w:cs="Arial"/>
          <w:snapToGrid w:val="0"/>
          <w:lang w:val="es-ES"/>
        </w:rPr>
        <w:t xml:space="preserve"> </w:t>
      </w:r>
    </w:p>
    <w:p w14:paraId="542C31D5" w14:textId="77777777" w:rsidR="005910C6" w:rsidRPr="005910C6" w:rsidRDefault="005910C6" w:rsidP="00ED7AAE">
      <w:pPr>
        <w:widowControl w:val="0"/>
        <w:numPr>
          <w:ilvl w:val="0"/>
          <w:numId w:val="4"/>
        </w:numPr>
        <w:spacing w:after="80"/>
        <w:ind w:left="547" w:hanging="540"/>
        <w:jc w:val="both"/>
        <w:rPr>
          <w:rFonts w:eastAsia="Times New Roman" w:cs="Arial"/>
          <w:snapToGrid w:val="0"/>
          <w:lang w:val="es-ES"/>
        </w:rPr>
      </w:pPr>
      <w:r w:rsidRPr="005910C6">
        <w:rPr>
          <w:rFonts w:eastAsia="Times New Roman" w:cs="Arial"/>
          <w:snapToGrid w:val="0"/>
          <w:lang w:val="es-ES"/>
        </w:rPr>
        <w:t xml:space="preserve">Por consiguiente, se adoptaron diversas Decisiones para conocer las amenazas que suponen la utilización directa y el comercio para los taxones del Apéndice I, como el comercio internacional y las ventas nacionales. en concreto, las Decisiones </w:t>
      </w:r>
      <w:hyperlink r:id="rId13" w:history="1">
        <w:r w:rsidRPr="005910C6">
          <w:rPr>
            <w:rFonts w:eastAsia="Times New Roman" w:cs="Arial"/>
            <w:snapToGrid w:val="0"/>
            <w:color w:val="0000FF"/>
            <w:u w:val="single"/>
            <w:lang w:val="es-ES"/>
          </w:rPr>
          <w:t>13.17</w:t>
        </w:r>
      </w:hyperlink>
      <w:r w:rsidRPr="005910C6">
        <w:rPr>
          <w:rFonts w:eastAsia="Times New Roman" w:cs="Arial"/>
          <w:snapToGrid w:val="0"/>
          <w:lang w:val="es-ES"/>
        </w:rPr>
        <w:t xml:space="preserve"> y </w:t>
      </w:r>
      <w:hyperlink r:id="rId14" w:history="1">
        <w:r w:rsidRPr="005910C6">
          <w:rPr>
            <w:rFonts w:eastAsia="Times New Roman" w:cs="Arial"/>
            <w:snapToGrid w:val="0"/>
            <w:color w:val="0000FF"/>
            <w:u w:val="single"/>
            <w:lang w:val="es-ES"/>
          </w:rPr>
          <w:t>13.24</w:t>
        </w:r>
      </w:hyperlink>
      <w:r w:rsidRPr="005910C6">
        <w:rPr>
          <w:rFonts w:eastAsia="Times New Roman" w:cs="Arial"/>
          <w:snapToGrid w:val="0"/>
          <w:lang w:val="es-ES"/>
        </w:rPr>
        <w:t xml:space="preserve"> c), </w:t>
      </w:r>
      <w:hyperlink r:id="rId15" w:history="1">
        <w:r w:rsidRPr="005910C6">
          <w:rPr>
            <w:rFonts w:eastAsia="Times New Roman" w:cs="Arial"/>
            <w:snapToGrid w:val="0"/>
            <w:color w:val="0000FF"/>
            <w:u w:val="single"/>
            <w:lang w:val="es-ES"/>
          </w:rPr>
          <w:t>13.109</w:t>
        </w:r>
      </w:hyperlink>
      <w:r w:rsidRPr="005910C6">
        <w:rPr>
          <w:rFonts w:eastAsia="Times New Roman" w:cs="Arial"/>
          <w:snapToGrid w:val="0"/>
          <w:lang w:val="es-ES"/>
        </w:rPr>
        <w:t xml:space="preserve"> a) ordenan a la Secretaría de la CMS:</w:t>
      </w:r>
    </w:p>
    <w:p w14:paraId="3E80A09B" w14:textId="25E49EDE" w:rsidR="005910C6" w:rsidRPr="005910C6" w:rsidRDefault="00AA272E" w:rsidP="00ED7AAE">
      <w:pPr>
        <w:widowControl w:val="0"/>
        <w:spacing w:after="80"/>
        <w:ind w:left="720" w:right="-1"/>
        <w:jc w:val="both"/>
        <w:rPr>
          <w:rFonts w:eastAsia="Times New Roman" w:cs="Arial"/>
          <w:i/>
          <w:iCs/>
          <w:snapToGrid w:val="0"/>
          <w:lang w:val="es-ES"/>
        </w:rPr>
      </w:pPr>
      <w:r w:rsidRPr="00ED7AAE">
        <w:rPr>
          <w:rFonts w:eastAsia="Times New Roman" w:cs="Arial"/>
          <w:b/>
          <w:bCs/>
          <w:i/>
          <w:iCs/>
          <w:snapToGrid w:val="0"/>
          <w:lang w:val="es-ES"/>
        </w:rPr>
        <w:t>Decisión</w:t>
      </w:r>
      <w:r w:rsidR="005910C6" w:rsidRPr="005910C6">
        <w:rPr>
          <w:rFonts w:eastAsia="Times New Roman" w:cs="Arial"/>
          <w:b/>
          <w:bCs/>
          <w:i/>
          <w:iCs/>
          <w:snapToGrid w:val="0"/>
          <w:lang w:val="es-ES"/>
        </w:rPr>
        <w:t xml:space="preserve"> 13.17: </w:t>
      </w:r>
      <w:r w:rsidR="005910C6" w:rsidRPr="005910C6">
        <w:rPr>
          <w:rFonts w:eastAsia="Times New Roman" w:cs="Arial"/>
          <w:i/>
          <w:iCs/>
          <w:snapToGrid w:val="0"/>
          <w:lang w:val="es-ES"/>
        </w:rPr>
        <w:t>[…] “</w:t>
      </w:r>
      <w:r w:rsidRPr="00ED7AAE">
        <w:rPr>
          <w:rFonts w:eastAsia="Times New Roman" w:cs="Arial"/>
          <w:i/>
          <w:iCs/>
          <w:snapToGrid w:val="0"/>
          <w:lang w:val="es-ES"/>
        </w:rPr>
        <w:t>con el apoyo del Consejo Científico y dentro del ámbito del Informe sobre el estado de conservación (Decisión 13.24):</w:t>
      </w:r>
      <w:r w:rsidRPr="00ED7AAE">
        <w:rPr>
          <w:rFonts w:eastAsia="Times New Roman" w:cs="Arial"/>
          <w:i/>
          <w:iCs/>
          <w:snapToGrid w:val="0"/>
          <w:lang w:val="es-ES"/>
        </w:rPr>
        <w:t xml:space="preserve"> </w:t>
      </w:r>
      <w:r w:rsidRPr="00ED7AAE">
        <w:rPr>
          <w:rFonts w:eastAsia="Times New Roman" w:cs="Arial"/>
          <w:i/>
          <w:iCs/>
          <w:snapToGrid w:val="0"/>
          <w:lang w:val="es-ES"/>
        </w:rPr>
        <w:t>a) elaborar criterios, en colaboración con la Secretaría de la CITES, para determinar el alcance y la viabilidad de una evaluación del impacto del comercio internacional de las especies que figuran en el Apéndice I en su estado de conservación; y</w:t>
      </w:r>
      <w:r w:rsidRPr="00ED7AAE">
        <w:rPr>
          <w:rFonts w:eastAsia="Times New Roman" w:cs="Arial"/>
          <w:i/>
          <w:iCs/>
          <w:snapToGrid w:val="0"/>
          <w:lang w:val="es-ES"/>
        </w:rPr>
        <w:t xml:space="preserve"> </w:t>
      </w:r>
      <w:r w:rsidRPr="00ED7AAE">
        <w:rPr>
          <w:rFonts w:eastAsia="Times New Roman" w:cs="Arial"/>
          <w:i/>
          <w:iCs/>
          <w:snapToGrid w:val="0"/>
          <w:lang w:val="es-ES"/>
        </w:rPr>
        <w:t>b) sobre la base de esos criterios, evaluar el impacto del comercio internacional en el estado de conservación de las especies que figuran en el Apéndice I pertinentes, incluido, entre otras cosas, el comercio internacional regulado por la CITES.</w:t>
      </w:r>
      <w:r w:rsidR="005910C6" w:rsidRPr="005910C6">
        <w:rPr>
          <w:rFonts w:eastAsia="Times New Roman" w:cs="Arial"/>
          <w:i/>
          <w:iCs/>
          <w:snapToGrid w:val="0"/>
          <w:lang w:val="es-ES"/>
        </w:rPr>
        <w:t>.”</w:t>
      </w:r>
    </w:p>
    <w:p w14:paraId="679E272F" w14:textId="36A237E6" w:rsidR="005910C6" w:rsidRPr="005910C6" w:rsidRDefault="005910C6" w:rsidP="00ED7AAE">
      <w:pPr>
        <w:widowControl w:val="0"/>
        <w:spacing w:after="80"/>
        <w:ind w:left="720"/>
        <w:jc w:val="both"/>
        <w:rPr>
          <w:rFonts w:eastAsia="Times New Roman" w:cs="Arial"/>
          <w:b/>
          <w:bCs/>
          <w:i/>
          <w:iCs/>
          <w:snapToGrid w:val="0"/>
          <w:lang w:val="es-ES"/>
        </w:rPr>
      </w:pPr>
      <w:r w:rsidRPr="005910C6">
        <w:rPr>
          <w:rFonts w:eastAsia="Times New Roman" w:cs="Arial"/>
          <w:b/>
          <w:i/>
          <w:snapToGrid w:val="0"/>
          <w:lang w:val="es-ES"/>
        </w:rPr>
        <w:t>Decisi</w:t>
      </w:r>
      <w:r w:rsidR="00740397" w:rsidRPr="00ED7AAE">
        <w:rPr>
          <w:rFonts w:eastAsia="Times New Roman" w:cs="Arial"/>
          <w:b/>
          <w:i/>
          <w:snapToGrid w:val="0"/>
          <w:lang w:val="es-ES"/>
        </w:rPr>
        <w:t>ón</w:t>
      </w:r>
      <w:r w:rsidRPr="005910C6">
        <w:rPr>
          <w:rFonts w:eastAsia="Times New Roman" w:cs="Arial"/>
          <w:b/>
          <w:i/>
          <w:snapToGrid w:val="0"/>
          <w:lang w:val="es-ES"/>
        </w:rPr>
        <w:t xml:space="preserve"> 13.24 c)</w:t>
      </w:r>
      <w:r w:rsidRPr="005910C6">
        <w:rPr>
          <w:rFonts w:eastAsia="Times New Roman" w:cs="Arial"/>
          <w:i/>
          <w:snapToGrid w:val="0"/>
          <w:lang w:val="es-ES"/>
        </w:rPr>
        <w:t>: “</w:t>
      </w:r>
      <w:r w:rsidR="006F1A75" w:rsidRPr="00ED7AAE">
        <w:rPr>
          <w:rFonts w:eastAsia="Times New Roman" w:cs="Arial"/>
          <w:i/>
          <w:snapToGrid w:val="0"/>
          <w:lang w:val="es-ES"/>
        </w:rPr>
        <w:t>emprenda, en consulta con el Consejo Científico y en colaboración con las organizaciones competentes, y en sinergia con otras iniciativas pertinentes en el marco de la Convención, una evaluación del impacto del uso directo en el estado de conservación de las especies incluidas en el Apéndice I;</w:t>
      </w:r>
      <w:r w:rsidRPr="005910C6">
        <w:rPr>
          <w:rFonts w:eastAsia="Times New Roman" w:cs="Arial"/>
          <w:i/>
          <w:snapToGrid w:val="0"/>
          <w:lang w:val="es-ES"/>
        </w:rPr>
        <w:t>”</w:t>
      </w:r>
      <w:r w:rsidRPr="005910C6">
        <w:rPr>
          <w:rFonts w:eastAsia="Times New Roman" w:cs="Arial"/>
          <w:b/>
          <w:bCs/>
          <w:i/>
          <w:iCs/>
          <w:snapToGrid w:val="0"/>
          <w:lang w:val="es-ES"/>
        </w:rPr>
        <w:t xml:space="preserve"> </w:t>
      </w:r>
    </w:p>
    <w:p w14:paraId="39521DDA" w14:textId="0F3CA1C5" w:rsidR="005910C6" w:rsidRPr="005910C6" w:rsidRDefault="00ED7AAE" w:rsidP="00ED7AAE">
      <w:pPr>
        <w:widowControl w:val="0"/>
        <w:ind w:left="720"/>
        <w:contextualSpacing/>
        <w:jc w:val="both"/>
        <w:rPr>
          <w:rFonts w:eastAsia="Times New Roman" w:cs="Arial"/>
          <w:i/>
          <w:iCs/>
          <w:snapToGrid w:val="0"/>
          <w:lang w:val="es-ES"/>
        </w:rPr>
      </w:pPr>
      <w:r w:rsidRPr="00ED7AAE">
        <w:rPr>
          <w:rFonts w:eastAsia="Times New Roman" w:cs="Arial"/>
          <w:b/>
          <w:bCs/>
          <w:i/>
          <w:iCs/>
          <w:snapToGrid w:val="0"/>
          <w:lang w:val="es-ES"/>
        </w:rPr>
        <w:t>Decisión</w:t>
      </w:r>
      <w:r w:rsidR="005910C6" w:rsidRPr="005910C6">
        <w:rPr>
          <w:rFonts w:eastAsia="Times New Roman" w:cs="Arial"/>
          <w:b/>
          <w:bCs/>
          <w:i/>
          <w:iCs/>
          <w:snapToGrid w:val="0"/>
          <w:lang w:val="es-ES"/>
        </w:rPr>
        <w:t xml:space="preserve"> 13.109: </w:t>
      </w:r>
      <w:r w:rsidR="005910C6" w:rsidRPr="005910C6">
        <w:rPr>
          <w:rFonts w:eastAsia="Times New Roman" w:cs="Arial"/>
          <w:i/>
          <w:iCs/>
          <w:snapToGrid w:val="0"/>
          <w:lang w:val="es-ES"/>
        </w:rPr>
        <w:t>[…] “</w:t>
      </w:r>
      <w:r w:rsidR="00ED435D" w:rsidRPr="00ED7AAE">
        <w:rPr>
          <w:rFonts w:eastAsia="Times New Roman" w:cs="Arial"/>
          <w:i/>
          <w:iCs/>
          <w:snapToGrid w:val="0"/>
          <w:lang w:val="es-ES"/>
        </w:rPr>
        <w:t>trabajando en el ámbito de competencias de la Convención:</w:t>
      </w:r>
      <w:r w:rsidRPr="00ED7AAE">
        <w:rPr>
          <w:rFonts w:eastAsia="Times New Roman" w:cs="Arial"/>
          <w:i/>
          <w:iCs/>
          <w:snapToGrid w:val="0"/>
          <w:lang w:val="es-ES"/>
        </w:rPr>
        <w:t xml:space="preserve"> </w:t>
      </w:r>
      <w:r w:rsidR="00ED435D" w:rsidRPr="00ED7AAE">
        <w:rPr>
          <w:rFonts w:eastAsia="Times New Roman" w:cs="Arial"/>
          <w:i/>
          <w:iCs/>
          <w:snapToGrid w:val="0"/>
          <w:lang w:val="es-ES"/>
        </w:rPr>
        <w:t>a) preparar un análisis de los impactos directos e indirectos de la extracción, comercio y consumo de carne de animales salvajes terrestres y de especies de aves incluidas en las listas de la CMS</w:t>
      </w:r>
      <w:r w:rsidR="005910C6" w:rsidRPr="005910C6">
        <w:rPr>
          <w:rFonts w:eastAsia="Times New Roman" w:cs="Arial"/>
          <w:i/>
          <w:iCs/>
          <w:snapToGrid w:val="0"/>
          <w:lang w:val="es-ES"/>
        </w:rPr>
        <w:t>”.</w:t>
      </w:r>
    </w:p>
    <w:p w14:paraId="1E4FFDA1" w14:textId="77777777" w:rsidR="005910C6" w:rsidRPr="005910C6" w:rsidRDefault="005910C6" w:rsidP="005910C6">
      <w:pPr>
        <w:widowControl w:val="0"/>
        <w:autoSpaceDE w:val="0"/>
        <w:autoSpaceDN w:val="0"/>
        <w:adjustRightInd w:val="0"/>
        <w:ind w:left="540" w:hanging="540"/>
        <w:contextualSpacing/>
        <w:jc w:val="both"/>
        <w:rPr>
          <w:rFonts w:ascii="ArialMT" w:eastAsia="Times New Roman" w:hAnsi="ArialMT" w:cs="ArialMT"/>
          <w:snapToGrid w:val="0"/>
          <w:lang w:val="es-ES"/>
        </w:rPr>
      </w:pPr>
    </w:p>
    <w:p w14:paraId="7DC1BD43" w14:textId="77777777" w:rsidR="005910C6" w:rsidRPr="005910C6" w:rsidRDefault="005910C6" w:rsidP="005910C6">
      <w:pPr>
        <w:suppressAutoHyphens/>
        <w:ind w:left="540" w:hanging="540"/>
        <w:rPr>
          <w:rFonts w:cs="Arial"/>
          <w:u w:val="single"/>
          <w:lang w:val="es-ES"/>
        </w:rPr>
      </w:pPr>
      <w:r w:rsidRPr="005910C6">
        <w:rPr>
          <w:rFonts w:cs="Arial"/>
          <w:u w:val="single"/>
          <w:lang w:val="es-ES"/>
        </w:rPr>
        <w:t>Avanzar en la implementación de las Decisiones 13.17, 13.24 c) y 13.109</w:t>
      </w:r>
    </w:p>
    <w:p w14:paraId="0C86A0E3" w14:textId="77777777" w:rsidR="005910C6" w:rsidRPr="005910C6" w:rsidRDefault="005910C6" w:rsidP="005910C6">
      <w:pPr>
        <w:widowControl w:val="0"/>
        <w:autoSpaceDE w:val="0"/>
        <w:autoSpaceDN w:val="0"/>
        <w:adjustRightInd w:val="0"/>
        <w:ind w:left="540" w:hanging="540"/>
        <w:contextualSpacing/>
        <w:jc w:val="both"/>
        <w:rPr>
          <w:rFonts w:ascii="ArialMT" w:eastAsia="Times New Roman" w:hAnsi="ArialMT" w:cs="ArialMT"/>
          <w:snapToGrid w:val="0"/>
          <w:lang w:val="es-ES"/>
        </w:rPr>
      </w:pPr>
    </w:p>
    <w:p w14:paraId="23D6ED86" w14:textId="77777777" w:rsidR="005910C6" w:rsidRPr="005910C6" w:rsidRDefault="005910C6" w:rsidP="005910C6">
      <w:pPr>
        <w:widowControl w:val="0"/>
        <w:numPr>
          <w:ilvl w:val="0"/>
          <w:numId w:val="4"/>
        </w:numPr>
        <w:autoSpaceDE w:val="0"/>
        <w:autoSpaceDN w:val="0"/>
        <w:adjustRightInd w:val="0"/>
        <w:ind w:left="540" w:hanging="540"/>
        <w:contextualSpacing/>
        <w:jc w:val="both"/>
        <w:rPr>
          <w:rFonts w:eastAsia="Times New Roman" w:cs="Arial"/>
          <w:snapToGrid w:val="0"/>
          <w:lang w:val="es-ES"/>
        </w:rPr>
      </w:pPr>
      <w:r w:rsidRPr="005910C6">
        <w:rPr>
          <w:rFonts w:eastAsia="Times New Roman" w:cs="Arial"/>
          <w:snapToGrid w:val="0"/>
          <w:lang w:val="es-ES"/>
        </w:rPr>
        <w:t xml:space="preserve">Las actividades de captación de fondos llevadas a cabo después de la COP13 por la Secretaría en cuanto a la implementación de las Decisiones 13.24 y 13.17 han logrado obtener importantes recursos. En concreto, han aportado recursos el Gobierno de Australia (Departamento de Agricultura, Agua y Medio Ambiente), el Gobierno de Suiza (Oficina Federal de Medio Ambiente, FOEN) y el Gobierno del Reino Unido (Departamento de Medio Ambiente, Alimentación y Asuntos Rurales, DEFRA). Gracias a estas contribuciones, la Secretaría ha podido establecer un acuerdo con el Programa de las Naciones Unidas para el Medio Ambiente-Centro Mundial de Vigilancia de la Conservación (PNUMA-WCMC) para ayudar a emprender las actividades previstas en las Decisiones 13.24 (a)-(c) y 13.17. </w:t>
      </w:r>
    </w:p>
    <w:p w14:paraId="0762E4FB" w14:textId="575DCE3D" w:rsidR="00ED7AAE" w:rsidRDefault="00ED7AAE">
      <w:pPr>
        <w:rPr>
          <w:rFonts w:ascii="ArialMT" w:hAnsi="ArialMT" w:cs="ArialMT"/>
          <w:snapToGrid w:val="0"/>
          <w:sz w:val="24"/>
          <w:szCs w:val="20"/>
          <w:lang w:val="es-ES"/>
        </w:rPr>
      </w:pPr>
      <w:r>
        <w:rPr>
          <w:rFonts w:ascii="ArialMT" w:hAnsi="ArialMT" w:cs="ArialMT"/>
          <w:snapToGrid w:val="0"/>
          <w:sz w:val="24"/>
          <w:szCs w:val="20"/>
          <w:lang w:val="es-ES"/>
        </w:rPr>
        <w:br w:type="page"/>
      </w:r>
    </w:p>
    <w:p w14:paraId="44BDD652" w14:textId="77777777" w:rsidR="005910C6" w:rsidRPr="005910C6" w:rsidRDefault="005910C6" w:rsidP="005910C6">
      <w:pPr>
        <w:widowControl w:val="0"/>
        <w:autoSpaceDE w:val="0"/>
        <w:autoSpaceDN w:val="0"/>
        <w:adjustRightInd w:val="0"/>
        <w:ind w:left="540" w:hanging="540"/>
        <w:contextualSpacing/>
        <w:rPr>
          <w:rFonts w:ascii="ArialMT" w:hAnsi="ArialMT" w:cs="ArialMT"/>
          <w:snapToGrid w:val="0"/>
          <w:sz w:val="24"/>
          <w:szCs w:val="20"/>
          <w:lang w:val="es-ES"/>
        </w:rPr>
      </w:pPr>
    </w:p>
    <w:p w14:paraId="77F7269B" w14:textId="77777777" w:rsidR="005910C6" w:rsidRPr="005910C6" w:rsidRDefault="005910C6" w:rsidP="005910C6">
      <w:pPr>
        <w:widowControl w:val="0"/>
        <w:numPr>
          <w:ilvl w:val="0"/>
          <w:numId w:val="4"/>
        </w:numPr>
        <w:autoSpaceDE w:val="0"/>
        <w:autoSpaceDN w:val="0"/>
        <w:adjustRightInd w:val="0"/>
        <w:ind w:left="540" w:hanging="540"/>
        <w:contextualSpacing/>
        <w:jc w:val="both"/>
        <w:rPr>
          <w:rFonts w:eastAsia="Times New Roman" w:cs="Arial"/>
          <w:snapToGrid w:val="0"/>
          <w:lang w:val="es-ES"/>
        </w:rPr>
      </w:pPr>
      <w:r w:rsidRPr="005910C6">
        <w:rPr>
          <w:rFonts w:eastAsia="Times New Roman" w:cs="Arial"/>
          <w:snapToGrid w:val="0"/>
          <w:lang w:val="es-ES"/>
        </w:rPr>
        <w:t>Como paso inicial, la Secretaría de la CMS y el PNUMA-WCMC, en colaboración con la Unión Internacional para la Conservación de la Naturaleza (UICN), elaboraron una metodología para evaluar con rapidez los taxones incluidos en el Apéndice I, con el fin de disponer de más información sobre el impacto que causan la utilización directa y el comercio en el estado de conservación de dichos taxones. En virtud de la Decisión 13.25 a), se remitió un borrador de la metodología a la 5.</w:t>
      </w:r>
      <w:r w:rsidRPr="005910C6">
        <w:rPr>
          <w:rFonts w:eastAsia="Times New Roman" w:cs="Arial"/>
          <w:snapToGrid w:val="0"/>
          <w:vertAlign w:val="superscript"/>
          <w:lang w:val="es-ES"/>
        </w:rPr>
        <w:t>a</w:t>
      </w:r>
      <w:r w:rsidRPr="005910C6">
        <w:rPr>
          <w:rFonts w:eastAsia="Times New Roman" w:cs="Arial"/>
          <w:snapToGrid w:val="0"/>
          <w:lang w:val="es-ES"/>
        </w:rPr>
        <w:t xml:space="preserve"> Reunión del Comité del Período de Sesiones del Consejo Científico (ScC-SC5, 2021), que lo examinó y aprobó. </w:t>
      </w:r>
    </w:p>
    <w:p w14:paraId="5F90F5B4" w14:textId="77777777" w:rsidR="005910C6" w:rsidRPr="005910C6" w:rsidRDefault="005910C6" w:rsidP="005910C6">
      <w:pPr>
        <w:widowControl w:val="0"/>
        <w:ind w:left="540" w:hanging="540"/>
        <w:contextualSpacing/>
        <w:rPr>
          <w:rFonts w:eastAsia="Times New Roman" w:cs="Arial"/>
          <w:snapToGrid w:val="0"/>
          <w:lang w:val="es-ES"/>
        </w:rPr>
      </w:pPr>
    </w:p>
    <w:p w14:paraId="572EDBB9" w14:textId="77777777" w:rsidR="005910C6" w:rsidRPr="005910C6" w:rsidRDefault="005910C6" w:rsidP="005910C6">
      <w:pPr>
        <w:numPr>
          <w:ilvl w:val="0"/>
          <w:numId w:val="4"/>
        </w:numPr>
        <w:autoSpaceDE w:val="0"/>
        <w:autoSpaceDN w:val="0"/>
        <w:adjustRightInd w:val="0"/>
        <w:ind w:left="540" w:hanging="540"/>
        <w:contextualSpacing/>
        <w:jc w:val="both"/>
        <w:rPr>
          <w:rFonts w:eastAsia="Times New Roman" w:cs="Arial"/>
          <w:snapToGrid w:val="0"/>
          <w:lang w:val="es-ES"/>
        </w:rPr>
      </w:pPr>
      <w:r w:rsidRPr="005910C6">
        <w:rPr>
          <w:rFonts w:eastAsia="Times New Roman" w:cs="Arial"/>
          <w:snapToGrid w:val="0"/>
          <w:lang w:val="es-ES"/>
        </w:rPr>
        <w:t>Basándose en la metodología acordada, el WCMC, en estrecha colaboración con la Secretaría, ha elaborado un borrador de evaluación rápida del riesgo que suponen la utilización directa y el comercio para las especies incluidas en el Apéndice I de la CMS.  En julio de 2022 se remitió a los miembros del Comité del Período de Sesiones del Consejo Científico el primer borrador de evaluación para someterlo a consultas y asesoramiento. De acuerdo con la Decisión 13.24 d) y 13.26 b), se presenta el borrador definitivo del informe a la 6.</w:t>
      </w:r>
      <w:r w:rsidRPr="005910C6">
        <w:rPr>
          <w:rFonts w:eastAsia="Times New Roman" w:cs="Arial"/>
          <w:snapToGrid w:val="0"/>
          <w:vertAlign w:val="superscript"/>
          <w:lang w:val="es-ES"/>
        </w:rPr>
        <w:t>a</w:t>
      </w:r>
      <w:r w:rsidRPr="005910C6">
        <w:rPr>
          <w:rFonts w:eastAsia="Times New Roman" w:cs="Arial"/>
          <w:snapToGrid w:val="0"/>
          <w:lang w:val="es-ES"/>
        </w:rPr>
        <w:t xml:space="preserve"> Reunión del Comité del Período de Sesiones del Consejo Científico para que lo examine. </w:t>
      </w:r>
    </w:p>
    <w:p w14:paraId="3BB0202C" w14:textId="77777777" w:rsidR="005910C6" w:rsidRPr="005910C6" w:rsidRDefault="005910C6" w:rsidP="005910C6">
      <w:pPr>
        <w:widowControl w:val="0"/>
        <w:ind w:left="540" w:hanging="540"/>
        <w:contextualSpacing/>
        <w:rPr>
          <w:rFonts w:eastAsia="Times New Roman" w:cs="Arial"/>
          <w:snapToGrid w:val="0"/>
          <w:lang w:val="es-ES"/>
        </w:rPr>
      </w:pPr>
    </w:p>
    <w:p w14:paraId="6ECF1B43" w14:textId="77777777" w:rsidR="005910C6" w:rsidRPr="005910C6" w:rsidRDefault="005910C6" w:rsidP="005910C6">
      <w:pPr>
        <w:widowControl w:val="0"/>
        <w:numPr>
          <w:ilvl w:val="0"/>
          <w:numId w:val="4"/>
        </w:numPr>
        <w:ind w:left="540" w:hanging="540"/>
        <w:contextualSpacing/>
        <w:jc w:val="both"/>
        <w:rPr>
          <w:rFonts w:eastAsia="Roboto" w:cs="Arial"/>
          <w:snapToGrid w:val="0"/>
          <w:lang w:val="es-ES"/>
        </w:rPr>
      </w:pPr>
      <w:r w:rsidRPr="005910C6">
        <w:rPr>
          <w:rFonts w:eastAsia="Times New Roman" w:cs="Arial"/>
          <w:snapToGrid w:val="0"/>
          <w:lang w:val="es-ES"/>
        </w:rPr>
        <w:t xml:space="preserve">El informe se reproduce en el Anexo del presente documento, que ofrece un resumen descriptivo de los resultados de la evaluación rápida, así como reflexiones adicionales sobre el comercio internacional y el uso y las ventas nacionales de los taxones del Apéndice I.  Los resultados completos de la evaluación rápida del Apéndice I de la CMS, junto con los datos y metadatos correspondientes, figuran en un documento Excel adjunto, disponible como </w:t>
      </w:r>
      <w:hyperlink r:id="rId16" w:history="1">
        <w:r w:rsidRPr="005910C6">
          <w:rPr>
            <w:rFonts w:eastAsia="Roboto" w:cs="Arial"/>
            <w:snapToGrid w:val="0"/>
            <w:color w:val="0000FF"/>
            <w:u w:val="single"/>
            <w:lang w:val="es-ES"/>
          </w:rPr>
          <w:t>UNEP/CMS/ScC-SC6/Inf.7.2</w:t>
        </w:r>
      </w:hyperlink>
      <w:r w:rsidRPr="005910C6">
        <w:rPr>
          <w:rFonts w:eastAsia="Times New Roman" w:cs="Arial"/>
          <w:snapToGrid w:val="0"/>
          <w:lang w:val="es-ES"/>
        </w:rPr>
        <w:t xml:space="preserve">. </w:t>
      </w:r>
    </w:p>
    <w:p w14:paraId="1A55CD08" w14:textId="77777777" w:rsidR="005910C6" w:rsidRPr="005910C6" w:rsidRDefault="005910C6" w:rsidP="005910C6">
      <w:pPr>
        <w:widowControl w:val="0"/>
        <w:ind w:left="540" w:hanging="540"/>
        <w:contextualSpacing/>
        <w:rPr>
          <w:rFonts w:ascii="Roboto" w:eastAsia="Roboto" w:hAnsi="Roboto" w:cs="Roboto"/>
          <w:snapToGrid w:val="0"/>
          <w:sz w:val="20"/>
          <w:szCs w:val="20"/>
          <w:lang w:val="es-ES"/>
        </w:rPr>
      </w:pPr>
    </w:p>
    <w:p w14:paraId="68A770C3" w14:textId="77777777" w:rsidR="005910C6" w:rsidRPr="005910C6" w:rsidRDefault="005910C6" w:rsidP="005910C6">
      <w:pPr>
        <w:numPr>
          <w:ilvl w:val="0"/>
          <w:numId w:val="4"/>
        </w:numPr>
        <w:autoSpaceDE w:val="0"/>
        <w:autoSpaceDN w:val="0"/>
        <w:adjustRightInd w:val="0"/>
        <w:ind w:left="540" w:hanging="540"/>
        <w:contextualSpacing/>
        <w:jc w:val="both"/>
        <w:rPr>
          <w:rFonts w:eastAsia="Times New Roman" w:cs="Arial"/>
          <w:snapToGrid w:val="0"/>
          <w:lang w:val="es-ES"/>
        </w:rPr>
      </w:pPr>
      <w:r w:rsidRPr="005910C6">
        <w:rPr>
          <w:rFonts w:eastAsia="Times New Roman" w:cs="Arial"/>
          <w:snapToGrid w:val="0"/>
          <w:lang w:val="es-ES"/>
        </w:rPr>
        <w:t xml:space="preserve">Con vistas a la presentación del informe a la COP14 para que lo examine, la Secretaría agradecería en particular cualquier comentario y asesoramiento sobre i) los posibles datos inexactos del informe; </w:t>
      </w:r>
      <w:proofErr w:type="spellStart"/>
      <w:r w:rsidRPr="005910C6">
        <w:rPr>
          <w:rFonts w:eastAsia="Times New Roman" w:cs="Arial"/>
          <w:snapToGrid w:val="0"/>
          <w:lang w:val="es-ES"/>
        </w:rPr>
        <w:t>ii</w:t>
      </w:r>
      <w:proofErr w:type="spellEnd"/>
      <w:r w:rsidRPr="005910C6">
        <w:rPr>
          <w:rFonts w:eastAsia="Times New Roman" w:cs="Arial"/>
          <w:snapToGrid w:val="0"/>
          <w:lang w:val="es-ES"/>
        </w:rPr>
        <w:t xml:space="preserve">) cualquier aclaración que sea necesaria en relación con el contenido del informe; </w:t>
      </w:r>
      <w:proofErr w:type="spellStart"/>
      <w:r w:rsidRPr="005910C6">
        <w:rPr>
          <w:rFonts w:eastAsia="Times New Roman" w:cs="Arial"/>
          <w:snapToGrid w:val="0"/>
          <w:lang w:val="es-ES"/>
        </w:rPr>
        <w:t>iii</w:t>
      </w:r>
      <w:proofErr w:type="spellEnd"/>
      <w:r w:rsidRPr="005910C6">
        <w:rPr>
          <w:rFonts w:eastAsia="Times New Roman" w:cs="Arial"/>
          <w:snapToGrid w:val="0"/>
          <w:lang w:val="es-ES"/>
        </w:rPr>
        <w:t xml:space="preserve">) las posibles conclusiones que se puedan extraer y las recomendaciones que haya que poner en conocimiento de la COP14, incluida cualquier laguna que se deba rellenar.  </w:t>
      </w:r>
    </w:p>
    <w:p w14:paraId="7A9DE644" w14:textId="77777777" w:rsidR="005910C6" w:rsidRPr="005910C6" w:rsidRDefault="005910C6" w:rsidP="005910C6">
      <w:pPr>
        <w:widowControl w:val="0"/>
        <w:autoSpaceDE w:val="0"/>
        <w:autoSpaceDN w:val="0"/>
        <w:adjustRightInd w:val="0"/>
        <w:ind w:left="540" w:hanging="540"/>
        <w:contextualSpacing/>
        <w:jc w:val="both"/>
        <w:rPr>
          <w:rFonts w:eastAsia="Times New Roman" w:cs="Arial"/>
          <w:snapToGrid w:val="0"/>
          <w:lang w:val="es-ES"/>
        </w:rPr>
      </w:pPr>
    </w:p>
    <w:p w14:paraId="1697C175" w14:textId="77777777" w:rsidR="005910C6" w:rsidRPr="005910C6" w:rsidRDefault="005910C6" w:rsidP="005910C6">
      <w:pPr>
        <w:widowControl w:val="0"/>
        <w:ind w:left="540" w:hanging="540"/>
        <w:contextualSpacing/>
        <w:rPr>
          <w:rFonts w:eastAsia="Times New Roman" w:cs="Arial"/>
          <w:snapToGrid w:val="0"/>
          <w:u w:val="single"/>
          <w:lang w:val="es-ES"/>
        </w:rPr>
      </w:pPr>
      <w:r w:rsidRPr="005910C6">
        <w:rPr>
          <w:rFonts w:eastAsia="Times New Roman" w:cs="Arial"/>
          <w:snapToGrid w:val="0"/>
          <w:u w:val="single"/>
          <w:lang w:val="es-ES"/>
        </w:rPr>
        <w:t>Acciones recomendadas</w:t>
      </w:r>
    </w:p>
    <w:p w14:paraId="56E557A1" w14:textId="77777777" w:rsidR="005910C6" w:rsidRPr="005910C6" w:rsidRDefault="005910C6" w:rsidP="005910C6">
      <w:pPr>
        <w:widowControl w:val="0"/>
        <w:ind w:left="540" w:hanging="540"/>
        <w:contextualSpacing/>
        <w:rPr>
          <w:rFonts w:eastAsia="Times New Roman" w:cs="Arial"/>
          <w:snapToGrid w:val="0"/>
          <w:lang w:val="es-ES"/>
        </w:rPr>
      </w:pPr>
    </w:p>
    <w:p w14:paraId="375FA92F" w14:textId="77777777" w:rsidR="005910C6" w:rsidRPr="005910C6" w:rsidRDefault="005910C6" w:rsidP="005910C6">
      <w:pPr>
        <w:numPr>
          <w:ilvl w:val="0"/>
          <w:numId w:val="4"/>
        </w:numPr>
        <w:autoSpaceDE w:val="0"/>
        <w:autoSpaceDN w:val="0"/>
        <w:adjustRightInd w:val="0"/>
        <w:ind w:left="540" w:hanging="540"/>
        <w:contextualSpacing/>
        <w:jc w:val="both"/>
        <w:rPr>
          <w:rFonts w:eastAsia="Times New Roman" w:cs="Arial"/>
          <w:snapToGrid w:val="0"/>
          <w:lang w:val="es-ES"/>
        </w:rPr>
      </w:pPr>
      <w:r w:rsidRPr="005910C6">
        <w:rPr>
          <w:rFonts w:eastAsia="Times New Roman" w:cs="Arial"/>
          <w:snapToGrid w:val="0"/>
          <w:lang w:val="es-ES"/>
        </w:rPr>
        <w:t>Se recomienda al Consejo Científico que:</w:t>
      </w:r>
    </w:p>
    <w:p w14:paraId="6BEA46EA" w14:textId="77777777" w:rsidR="005910C6" w:rsidRPr="005910C6" w:rsidRDefault="005910C6" w:rsidP="005910C6">
      <w:pPr>
        <w:adjustRightInd w:val="0"/>
        <w:ind w:left="540" w:hanging="540"/>
        <w:jc w:val="both"/>
        <w:rPr>
          <w:rFonts w:cs="Arial"/>
          <w:lang w:val="es-ES"/>
        </w:rPr>
      </w:pPr>
    </w:p>
    <w:p w14:paraId="15AF6CDB" w14:textId="77777777" w:rsidR="005910C6" w:rsidRPr="005910C6" w:rsidRDefault="005910C6" w:rsidP="005910C6">
      <w:pPr>
        <w:numPr>
          <w:ilvl w:val="0"/>
          <w:numId w:val="5"/>
        </w:numPr>
        <w:autoSpaceDE w:val="0"/>
        <w:autoSpaceDN w:val="0"/>
        <w:adjustRightInd w:val="0"/>
        <w:ind w:left="900"/>
        <w:contextualSpacing/>
        <w:jc w:val="both"/>
        <w:rPr>
          <w:rFonts w:eastAsia="Times New Roman" w:cs="Arial"/>
          <w:snapToGrid w:val="0"/>
          <w:lang w:val="es-ES"/>
        </w:rPr>
      </w:pPr>
      <w:r w:rsidRPr="005910C6">
        <w:rPr>
          <w:rFonts w:eastAsia="Times New Roman" w:cs="Arial"/>
          <w:snapToGrid w:val="0"/>
          <w:lang w:val="es-ES"/>
        </w:rPr>
        <w:t>revise el borrador de evaluación rápida del riesgo que supone la utilización directa y el comercio para las especies incluidas en el Apéndice I de la CMS, que se ofrece en el Anexo del presente documento;</w:t>
      </w:r>
    </w:p>
    <w:p w14:paraId="05EFCC21" w14:textId="77777777" w:rsidR="005910C6" w:rsidRPr="005910C6" w:rsidRDefault="005910C6" w:rsidP="005910C6">
      <w:pPr>
        <w:adjustRightInd w:val="0"/>
        <w:ind w:left="900" w:hanging="360"/>
        <w:contextualSpacing/>
        <w:jc w:val="both"/>
        <w:rPr>
          <w:rFonts w:eastAsia="Times New Roman" w:cs="Arial"/>
          <w:snapToGrid w:val="0"/>
          <w:lang w:val="es-ES"/>
        </w:rPr>
      </w:pPr>
    </w:p>
    <w:p w14:paraId="5B76B4CD" w14:textId="77777777" w:rsidR="005910C6" w:rsidRPr="005910C6" w:rsidRDefault="005910C6" w:rsidP="005910C6">
      <w:pPr>
        <w:numPr>
          <w:ilvl w:val="0"/>
          <w:numId w:val="5"/>
        </w:numPr>
        <w:autoSpaceDE w:val="0"/>
        <w:autoSpaceDN w:val="0"/>
        <w:adjustRightInd w:val="0"/>
        <w:ind w:left="900"/>
        <w:contextualSpacing/>
        <w:jc w:val="both"/>
        <w:rPr>
          <w:rFonts w:ascii="ArialMT" w:eastAsia="Times New Roman" w:hAnsi="ArialMT" w:cs="ArialMT"/>
          <w:snapToGrid w:val="0"/>
          <w:sz w:val="24"/>
          <w:szCs w:val="20"/>
          <w:lang w:val="es-ES"/>
        </w:rPr>
      </w:pPr>
      <w:r w:rsidRPr="005910C6">
        <w:rPr>
          <w:rFonts w:eastAsia="Times New Roman" w:cs="Arial"/>
          <w:snapToGrid w:val="0"/>
          <w:lang w:val="es-ES"/>
        </w:rPr>
        <w:t xml:space="preserve">formule observaciones y ofrezca asesoramiento a la Secretaría para la presentación del informe a la COP14, incluidas las conclusiones y recomendaciones que haya que poner en conocimiento de la COP. </w:t>
      </w:r>
    </w:p>
    <w:p w14:paraId="7402F9C1" w14:textId="77777777" w:rsidR="005910C6" w:rsidRPr="005910C6" w:rsidRDefault="005910C6" w:rsidP="005910C6">
      <w:pPr>
        <w:autoSpaceDE w:val="0"/>
        <w:autoSpaceDN w:val="0"/>
        <w:adjustRightInd w:val="0"/>
        <w:jc w:val="both"/>
        <w:rPr>
          <w:rFonts w:ascii="ArialMT" w:hAnsi="ArialMT" w:cs="ArialMT"/>
          <w:lang w:val="es-ES"/>
        </w:rPr>
      </w:pPr>
    </w:p>
    <w:p w14:paraId="3332F33A" w14:textId="77777777" w:rsidR="00990838" w:rsidRPr="005B1586" w:rsidRDefault="00990838" w:rsidP="00610227">
      <w:pPr>
        <w:rPr>
          <w:rFonts w:cs="Arial"/>
          <w:lang w:val="es-ES"/>
        </w:rPr>
      </w:pPr>
    </w:p>
    <w:sectPr w:rsidR="00990838" w:rsidRPr="005B1586" w:rsidSect="004D2917">
      <w:headerReference w:type="even" r:id="rId17"/>
      <w:headerReference w:type="default" r:id="rId18"/>
      <w:footerReference w:type="even" r:id="rId19"/>
      <w:footerReference w:type="default" r:id="rId20"/>
      <w:headerReference w:type="first" r:id="rId21"/>
      <w:pgSz w:w="11906" w:h="16838" w:code="9"/>
      <w:pgMar w:top="1134" w:right="1134" w:bottom="1134"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8995" w14:textId="77777777" w:rsidR="006B5C60" w:rsidRDefault="006B5C60" w:rsidP="008562CA">
      <w:r>
        <w:separator/>
      </w:r>
    </w:p>
  </w:endnote>
  <w:endnote w:type="continuationSeparator" w:id="0">
    <w:p w14:paraId="33C76C7E" w14:textId="77777777" w:rsidR="006B5C60" w:rsidRDefault="006B5C60"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23D9" w14:textId="77777777" w:rsidR="006B5C60" w:rsidRDefault="006B5C60" w:rsidP="008562CA">
      <w:r>
        <w:separator/>
      </w:r>
    </w:p>
  </w:footnote>
  <w:footnote w:type="continuationSeparator" w:id="0">
    <w:p w14:paraId="4D46381F" w14:textId="77777777" w:rsidR="006B5C60" w:rsidRDefault="006B5C60"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19E691E3"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990838">
      <w:rPr>
        <w:rFonts w:cs="Arial"/>
        <w:i/>
        <w:iCs/>
        <w:sz w:val="18"/>
        <w:szCs w:val="18"/>
      </w:rPr>
      <w:t>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62F5E443"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ED7AAE">
      <w:rPr>
        <w:rFonts w:cs="Arial"/>
        <w:i/>
        <w:iCs/>
        <w:sz w:val="18"/>
        <w:szCs w:val="18"/>
      </w:rPr>
      <w:t>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2E6"/>
    <w:multiLevelType w:val="hybridMultilevel"/>
    <w:tmpl w:val="ECF06FA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1"/>
  </w:num>
  <w:num w:numId="2" w16cid:durableId="156656548">
    <w:abstractNumId w:val="4"/>
  </w:num>
  <w:num w:numId="3" w16cid:durableId="1142117419">
    <w:abstractNumId w:val="2"/>
  </w:num>
  <w:num w:numId="4" w16cid:durableId="1596941126">
    <w:abstractNumId w:val="0"/>
  </w:num>
  <w:num w:numId="5" w16cid:durableId="134755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C2262"/>
    <w:rsid w:val="000D7587"/>
    <w:rsid w:val="0011146B"/>
    <w:rsid w:val="00187427"/>
    <w:rsid w:val="001F56E8"/>
    <w:rsid w:val="002120D1"/>
    <w:rsid w:val="00236C6A"/>
    <w:rsid w:val="002506C2"/>
    <w:rsid w:val="002604BA"/>
    <w:rsid w:val="00304D3A"/>
    <w:rsid w:val="00307FD9"/>
    <w:rsid w:val="003A11A8"/>
    <w:rsid w:val="00437C87"/>
    <w:rsid w:val="0045575B"/>
    <w:rsid w:val="004B16C3"/>
    <w:rsid w:val="004C765C"/>
    <w:rsid w:val="004D2917"/>
    <w:rsid w:val="005910C6"/>
    <w:rsid w:val="005B1586"/>
    <w:rsid w:val="005E1A0D"/>
    <w:rsid w:val="00610227"/>
    <w:rsid w:val="006B5C60"/>
    <w:rsid w:val="006F1A75"/>
    <w:rsid w:val="006F717F"/>
    <w:rsid w:val="00740397"/>
    <w:rsid w:val="007630C0"/>
    <w:rsid w:val="00763277"/>
    <w:rsid w:val="007E238D"/>
    <w:rsid w:val="007F110A"/>
    <w:rsid w:val="00820839"/>
    <w:rsid w:val="00844F23"/>
    <w:rsid w:val="008562CA"/>
    <w:rsid w:val="008A1A1D"/>
    <w:rsid w:val="008D7252"/>
    <w:rsid w:val="00990838"/>
    <w:rsid w:val="00990DE6"/>
    <w:rsid w:val="009A40F8"/>
    <w:rsid w:val="009F6644"/>
    <w:rsid w:val="00A511CF"/>
    <w:rsid w:val="00AA272E"/>
    <w:rsid w:val="00B36C20"/>
    <w:rsid w:val="00BB3F80"/>
    <w:rsid w:val="00BE7C6B"/>
    <w:rsid w:val="00C62BAD"/>
    <w:rsid w:val="00D65902"/>
    <w:rsid w:val="00E00E2B"/>
    <w:rsid w:val="00E10AC2"/>
    <w:rsid w:val="00E1103E"/>
    <w:rsid w:val="00E976CE"/>
    <w:rsid w:val="00EB2EEE"/>
    <w:rsid w:val="00ED435D"/>
    <w:rsid w:val="00ED7AAE"/>
    <w:rsid w:val="00F01E83"/>
    <w:rsid w:val="00F4206A"/>
    <w:rsid w:val="00F5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610227"/>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customStyle="1" w:styleId="Heading2Char">
    <w:name w:val="Heading 2 Char"/>
    <w:basedOn w:val="DefaultParagraphFont"/>
    <w:link w:val="Heading2"/>
    <w:rsid w:val="00610227"/>
    <w:rPr>
      <w:rFonts w:ascii="Times New Roman" w:eastAsia="Times New Roman" w:hAnsi="Times New Roman" w:cs="Times New Roman"/>
      <w:b/>
      <w:bCs/>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age/decisions-1316-1319-application-article-iii-convention-regarding-international-trade-appendix-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document/cms-appendix-i-listed-species-international-trade-analysis-cites-trade-data-2015-2018-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ms.int/en/document/output-rapid-assessment-appendix-i-listed-spec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application-article-iii-convention" TargetMode="External"/><Relationship Id="rId5" Type="http://schemas.openxmlformats.org/officeDocument/2006/relationships/numbering" Target="numbering.xml"/><Relationship Id="rId15" Type="http://schemas.openxmlformats.org/officeDocument/2006/relationships/hyperlink" Target="https://www.cms.int/en/page/decisions-13109-13112-addressing-unsustainable-use-terrestrial-and-avian-wild-meat-migrato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age/decisions-1324-1326-conservation-status-migratory-speci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3.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24</cp:revision>
  <dcterms:created xsi:type="dcterms:W3CDTF">2023-04-19T07:33:00Z</dcterms:created>
  <dcterms:modified xsi:type="dcterms:W3CDTF">2023-07-10T14:28:00Z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