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2D3" w14:textId="77777777" w:rsidR="00187BE8" w:rsidRPr="00EA498C" w:rsidRDefault="005C53D8">
      <w:pPr>
        <w:rPr>
          <w:rFonts w:cs="Arial"/>
          <w:lang w:val="fr-FR"/>
        </w:rPr>
      </w:pPr>
    </w:p>
    <w:p w14:paraId="0E9A6CB9" w14:textId="783549CF" w:rsidR="009A012D" w:rsidRPr="00EA498C" w:rsidRDefault="009A012D">
      <w:pPr>
        <w:rPr>
          <w:rFonts w:cs="Arial"/>
          <w:noProof/>
          <w:spacing w:val="-2"/>
          <w:lang w:val="fr-FR" w:eastAsia="en-GB"/>
        </w:rPr>
      </w:pPr>
    </w:p>
    <w:p w14:paraId="2548E066" w14:textId="77777777" w:rsidR="00BA5C36" w:rsidRPr="00D46533" w:rsidRDefault="00BA5C36" w:rsidP="00BA5C36">
      <w:pPr>
        <w:tabs>
          <w:tab w:val="left" w:pos="-1057"/>
          <w:tab w:val="left" w:pos="-720"/>
        </w:tabs>
        <w:jc w:val="center"/>
        <w:rPr>
          <w:rFonts w:cs="Arial"/>
          <w:b/>
          <w:sz w:val="28"/>
          <w:szCs w:val="28"/>
          <w:lang w:val="fr-FR"/>
        </w:rPr>
      </w:pPr>
      <w:r>
        <w:rPr>
          <w:rFonts w:cs="Arial"/>
          <w:b/>
          <w:sz w:val="28"/>
          <w:szCs w:val="28"/>
          <w:lang w:val="fr-FR"/>
        </w:rPr>
        <w:t>6</w:t>
      </w:r>
      <w:r w:rsidRPr="00D46533">
        <w:rPr>
          <w:rFonts w:cs="Arial"/>
          <w:b/>
          <w:sz w:val="28"/>
          <w:szCs w:val="28"/>
          <w:vertAlign w:val="superscript"/>
          <w:lang w:val="fr-FR"/>
        </w:rPr>
        <w:t>ème</w:t>
      </w:r>
      <w:r w:rsidRPr="00D46533">
        <w:rPr>
          <w:rFonts w:cs="Arial"/>
          <w:b/>
          <w:sz w:val="28"/>
          <w:szCs w:val="28"/>
          <w:lang w:val="fr-FR"/>
        </w:rPr>
        <w:t xml:space="preserve"> Réunion du Comité de session du </w:t>
      </w:r>
    </w:p>
    <w:p w14:paraId="77D56059" w14:textId="77777777" w:rsidR="00BA5C36" w:rsidRPr="00D46533" w:rsidRDefault="00BA5C36" w:rsidP="00BA5C36">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Pr>
          <w:rFonts w:cs="Arial"/>
          <w:b/>
          <w:sz w:val="28"/>
          <w:szCs w:val="28"/>
          <w:lang w:val="fr-FR"/>
        </w:rPr>
        <w:t>6</w:t>
      </w:r>
      <w:r w:rsidRPr="00D46533">
        <w:rPr>
          <w:rFonts w:cs="Arial"/>
          <w:b/>
          <w:sz w:val="28"/>
          <w:szCs w:val="28"/>
          <w:lang w:val="fr-FR"/>
        </w:rPr>
        <w:t>)</w:t>
      </w:r>
    </w:p>
    <w:p w14:paraId="4FDE387B" w14:textId="77777777" w:rsidR="00BA5C36" w:rsidRPr="00D46533" w:rsidRDefault="00BA5C36" w:rsidP="00BA5C36">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18 – 21 juillet 2023</w:t>
      </w:r>
    </w:p>
    <w:p w14:paraId="1B29B428" w14:textId="2D6441D4" w:rsidR="00BA5C36" w:rsidRPr="00D46533" w:rsidRDefault="00BA5C36" w:rsidP="00BA5C36">
      <w:pPr>
        <w:spacing w:before="120"/>
        <w:jc w:val="right"/>
        <w:rPr>
          <w:rFonts w:cs="Arial"/>
          <w:lang w:val="fr-FR"/>
        </w:rPr>
      </w:pPr>
      <w:r w:rsidRPr="00D46533">
        <w:rPr>
          <w:rFonts w:cs="Arial"/>
          <w:lang w:val="fr-FR"/>
        </w:rPr>
        <w:t>UNEP/CMS/ScC-SC</w:t>
      </w:r>
      <w:r>
        <w:rPr>
          <w:rFonts w:cs="Arial"/>
          <w:lang w:val="fr-FR"/>
        </w:rPr>
        <w:t>6</w:t>
      </w:r>
      <w:r w:rsidRPr="00D46533">
        <w:rPr>
          <w:rFonts w:cs="Arial"/>
          <w:lang w:val="fr-FR"/>
        </w:rPr>
        <w:t>/Doc.</w:t>
      </w:r>
      <w:r>
        <w:rPr>
          <w:rFonts w:cs="Arial"/>
          <w:lang w:val="fr-FR"/>
        </w:rPr>
        <w:t>7.2</w:t>
      </w:r>
    </w:p>
    <w:p w14:paraId="2F5D769F" w14:textId="2F9C854F" w:rsidR="005D00EE" w:rsidRPr="00EA498C" w:rsidRDefault="005D00EE">
      <w:pPr>
        <w:rPr>
          <w:rFonts w:cs="Arial"/>
          <w:noProof/>
          <w:spacing w:val="-2"/>
          <w:lang w:val="fr-FR" w:eastAsia="en-GB"/>
        </w:rPr>
      </w:pPr>
    </w:p>
    <w:p w14:paraId="2AA9F70B" w14:textId="77777777" w:rsidR="004641A5" w:rsidRPr="00EA498C" w:rsidRDefault="004641A5" w:rsidP="004641A5">
      <w:pPr>
        <w:tabs>
          <w:tab w:val="left" w:pos="6285"/>
        </w:tabs>
        <w:jc w:val="both"/>
        <w:rPr>
          <w:rFonts w:cs="Arial"/>
          <w:lang w:val="fr-FR"/>
        </w:rPr>
      </w:pPr>
    </w:p>
    <w:p w14:paraId="00E4EAE2" w14:textId="729E6D5C" w:rsidR="00635391" w:rsidRPr="00EA498C" w:rsidRDefault="00635391" w:rsidP="007866F5">
      <w:pPr>
        <w:pStyle w:val="Heading2"/>
        <w:keepNext w:val="0"/>
        <w:ind w:left="-86" w:right="-360"/>
        <w:rPr>
          <w:rFonts w:ascii="Arial" w:hAnsi="Arial" w:cs="Arial"/>
          <w:szCs w:val="22"/>
          <w:lang w:val="fr-FR"/>
        </w:rPr>
      </w:pPr>
      <w:r w:rsidRPr="00EA498C">
        <w:rPr>
          <w:rFonts w:ascii="Arial" w:hAnsi="Arial" w:cs="Arial"/>
          <w:szCs w:val="22"/>
          <w:lang w:val="fr-FR"/>
        </w:rPr>
        <w:t xml:space="preserve">ÉVALUATION DU RISQUE </w:t>
      </w:r>
      <w:r w:rsidR="005C53D8">
        <w:rPr>
          <w:rFonts w:ascii="Arial" w:hAnsi="Arial" w:cs="Arial"/>
          <w:szCs w:val="22"/>
          <w:lang w:val="fr-FR"/>
        </w:rPr>
        <w:t xml:space="preserve">DE </w:t>
      </w:r>
      <w:r w:rsidR="005C53D8" w:rsidRPr="00EA498C">
        <w:rPr>
          <w:rFonts w:ascii="Arial" w:hAnsi="Arial" w:cs="Arial"/>
          <w:szCs w:val="22"/>
          <w:lang w:val="fr-FR"/>
        </w:rPr>
        <w:t xml:space="preserve">L'UTILISATION ET </w:t>
      </w:r>
      <w:r w:rsidR="005C53D8">
        <w:rPr>
          <w:rFonts w:ascii="Arial" w:hAnsi="Arial" w:cs="Arial"/>
          <w:szCs w:val="22"/>
          <w:lang w:val="fr-FR"/>
        </w:rPr>
        <w:t>DU</w:t>
      </w:r>
      <w:r w:rsidR="005C53D8" w:rsidRPr="00EA498C">
        <w:rPr>
          <w:rFonts w:ascii="Arial" w:hAnsi="Arial" w:cs="Arial"/>
          <w:szCs w:val="22"/>
          <w:lang w:val="fr-FR"/>
        </w:rPr>
        <w:t xml:space="preserve"> COMMERCE DIRECTS</w:t>
      </w:r>
      <w:r w:rsidR="005C53D8" w:rsidRPr="00EA498C">
        <w:rPr>
          <w:rFonts w:ascii="Arial" w:hAnsi="Arial" w:cs="Arial"/>
          <w:szCs w:val="22"/>
          <w:lang w:val="fr-FR"/>
        </w:rPr>
        <w:t xml:space="preserve"> </w:t>
      </w:r>
      <w:r w:rsidRPr="00EA498C">
        <w:rPr>
          <w:rFonts w:ascii="Arial" w:hAnsi="Arial" w:cs="Arial"/>
          <w:szCs w:val="22"/>
          <w:lang w:val="fr-FR"/>
        </w:rPr>
        <w:t xml:space="preserve">POUR LES ESPÈCES INSCRITES À L'ANNEXE I DE LA CMS </w:t>
      </w:r>
    </w:p>
    <w:p w14:paraId="557726D4" w14:textId="2A7E9C03" w:rsidR="004641A5" w:rsidRPr="00EA498C" w:rsidRDefault="004641A5" w:rsidP="005C53D8">
      <w:pPr>
        <w:pStyle w:val="Heading2"/>
        <w:keepNext w:val="0"/>
        <w:spacing w:after="120"/>
        <w:ind w:left="-86" w:right="-360"/>
        <w:jc w:val="left"/>
        <w:rPr>
          <w:rFonts w:ascii="Arial" w:hAnsi="Arial" w:cs="Arial"/>
          <w:szCs w:val="22"/>
          <w:lang w:val="fr-FR"/>
        </w:rPr>
      </w:pPr>
    </w:p>
    <w:p w14:paraId="571977F1" w14:textId="61FD91AA" w:rsidR="004641A5" w:rsidRPr="00EA498C" w:rsidRDefault="004641A5" w:rsidP="004641A5">
      <w:pPr>
        <w:jc w:val="center"/>
        <w:rPr>
          <w:rFonts w:cs="Arial"/>
          <w:i/>
          <w:lang w:val="fr-FR"/>
        </w:rPr>
      </w:pPr>
      <w:r w:rsidRPr="00EA498C">
        <w:rPr>
          <w:rFonts w:cs="Arial"/>
          <w:i/>
          <w:lang w:val="fr-FR"/>
        </w:rPr>
        <w:t>(Préparé par le Secrétariat)</w:t>
      </w:r>
    </w:p>
    <w:p w14:paraId="071B4C18" w14:textId="0E156C5A" w:rsidR="004641A5" w:rsidRPr="00EA498C" w:rsidRDefault="004641A5" w:rsidP="004641A5">
      <w:pPr>
        <w:jc w:val="both"/>
        <w:rPr>
          <w:rFonts w:cs="Arial"/>
          <w:lang w:val="fr-FR"/>
        </w:rPr>
      </w:pPr>
    </w:p>
    <w:p w14:paraId="3D42EBA4" w14:textId="7EEFA8D1" w:rsidR="004641A5" w:rsidRPr="00EA498C" w:rsidRDefault="004641A5" w:rsidP="004641A5">
      <w:pPr>
        <w:jc w:val="both"/>
        <w:rPr>
          <w:rFonts w:cs="Arial"/>
          <w:lang w:val="fr-FR"/>
        </w:rPr>
      </w:pPr>
    </w:p>
    <w:p w14:paraId="4B56D1E3" w14:textId="313AEF1B" w:rsidR="004641A5" w:rsidRPr="00EA498C" w:rsidRDefault="00BA5C36" w:rsidP="004641A5">
      <w:pPr>
        <w:jc w:val="both"/>
        <w:rPr>
          <w:rFonts w:cs="Arial"/>
          <w:lang w:val="fr-FR"/>
        </w:rPr>
      </w:pPr>
      <w:r w:rsidRPr="00EA498C">
        <w:rPr>
          <w:rFonts w:cs="Arial"/>
          <w:noProof/>
          <w:lang w:val="fr-FR"/>
        </w:rPr>
        <mc:AlternateContent>
          <mc:Choice Requires="wps">
            <w:drawing>
              <wp:anchor distT="0" distB="0" distL="114300" distR="114300" simplePos="0" relativeHeight="251656704" behindDoc="1" locked="0" layoutInCell="1" allowOverlap="1" wp14:anchorId="52179A00" wp14:editId="11FBDEFA">
                <wp:simplePos x="0" y="0"/>
                <wp:positionH relativeFrom="margin">
                  <wp:posOffset>1145540</wp:posOffset>
                </wp:positionH>
                <wp:positionV relativeFrom="margin">
                  <wp:posOffset>2582545</wp:posOffset>
                </wp:positionV>
                <wp:extent cx="4152900" cy="2190750"/>
                <wp:effectExtent l="0" t="0" r="19050" b="1905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190750"/>
                        </a:xfrm>
                        <a:prstGeom prst="rect">
                          <a:avLst/>
                        </a:prstGeom>
                        <a:solidFill>
                          <a:srgbClr val="FFFFFF"/>
                        </a:solidFill>
                        <a:ln w="3175">
                          <a:solidFill>
                            <a:srgbClr val="000000"/>
                          </a:solidFill>
                          <a:miter lim="800000"/>
                          <a:headEnd/>
                          <a:tailEnd/>
                        </a:ln>
                      </wps:spPr>
                      <wps:txbx>
                        <w:txbxContent>
                          <w:p w14:paraId="3C38239E" w14:textId="389DF19A" w:rsidR="00C6402A" w:rsidRDefault="00857DC4" w:rsidP="00C6402A">
                            <w:pPr>
                              <w:rPr>
                                <w:rFonts w:cs="Arial"/>
                                <w:lang w:val="fr-FR"/>
                              </w:rPr>
                            </w:pPr>
                            <w:r>
                              <w:rPr>
                                <w:rFonts w:cs="Arial"/>
                                <w:lang w:val="fr-FR"/>
                              </w:rPr>
                              <w:t>Résumé :</w:t>
                            </w:r>
                          </w:p>
                          <w:p w14:paraId="50BB43DB" w14:textId="77777777" w:rsidR="00C6402A" w:rsidRPr="005E0EDA" w:rsidRDefault="00C6402A" w:rsidP="00C6402A">
                            <w:pPr>
                              <w:rPr>
                                <w:rFonts w:cs="Arial"/>
                                <w:lang w:val="fr-FR"/>
                              </w:rPr>
                            </w:pPr>
                          </w:p>
                          <w:p w14:paraId="3B271222" w14:textId="3324F25E" w:rsidR="00C6402A" w:rsidRDefault="00A463C8" w:rsidP="00B1488E">
                            <w:pPr>
                              <w:jc w:val="both"/>
                              <w:rPr>
                                <w:rFonts w:cs="Arial"/>
                                <w:lang w:val="fr-FR"/>
                              </w:rPr>
                            </w:pPr>
                            <w:r>
                              <w:rPr>
                                <w:rFonts w:cs="Arial"/>
                                <w:sz w:val="21"/>
                                <w:szCs w:val="21"/>
                                <w:lang w:val="fr-FR"/>
                              </w:rPr>
                              <w:t>Conformément aux décisions 13.17, 13.24 b) et 13.26 b), le présent document soumet à l'examen du ScC-SC6 le projet final d'une évaluation rapide du risque</w:t>
                            </w:r>
                            <w:r w:rsidR="005C53D8">
                              <w:rPr>
                                <w:rFonts w:cs="Arial"/>
                                <w:sz w:val="21"/>
                                <w:szCs w:val="21"/>
                                <w:lang w:val="fr-FR"/>
                              </w:rPr>
                              <w:t xml:space="preserve"> de </w:t>
                            </w:r>
                            <w:r>
                              <w:rPr>
                                <w:rFonts w:cs="Arial"/>
                                <w:sz w:val="21"/>
                                <w:szCs w:val="21"/>
                                <w:lang w:val="fr-FR"/>
                              </w:rPr>
                              <w:t xml:space="preserve">l'utilisation et </w:t>
                            </w:r>
                            <w:r w:rsidR="005C53D8">
                              <w:rPr>
                                <w:rFonts w:cs="Arial"/>
                                <w:sz w:val="21"/>
                                <w:szCs w:val="21"/>
                                <w:lang w:val="fr-FR"/>
                              </w:rPr>
                              <w:t>du</w:t>
                            </w:r>
                            <w:r>
                              <w:rPr>
                                <w:rFonts w:cs="Arial"/>
                                <w:sz w:val="21"/>
                                <w:szCs w:val="21"/>
                                <w:lang w:val="fr-FR"/>
                              </w:rPr>
                              <w:t xml:space="preserve"> commerce directs</w:t>
                            </w:r>
                            <w:r w:rsidR="005C53D8">
                              <w:rPr>
                                <w:rFonts w:cs="Arial"/>
                                <w:sz w:val="21"/>
                                <w:szCs w:val="21"/>
                                <w:lang w:val="fr-FR"/>
                              </w:rPr>
                              <w:t xml:space="preserve"> pour les espèces inscrites à l’Annexe I de la CMS</w:t>
                            </w:r>
                            <w:r>
                              <w:rPr>
                                <w:rFonts w:cs="Arial"/>
                                <w:lang w:val="fr-FR"/>
                              </w:rPr>
                              <w:t>.</w:t>
                            </w:r>
                          </w:p>
                          <w:p w14:paraId="43BCAFD5" w14:textId="77777777" w:rsidR="002F48B3" w:rsidRDefault="002F48B3" w:rsidP="00B1488E">
                            <w:pPr>
                              <w:jc w:val="both"/>
                              <w:rPr>
                                <w:rFonts w:cs="Arial"/>
                                <w:lang w:val="fr-FR"/>
                              </w:rPr>
                            </w:pPr>
                          </w:p>
                          <w:p w14:paraId="2BBE7BBA" w14:textId="68025AE7" w:rsidR="002F48B3" w:rsidRPr="00C169ED" w:rsidRDefault="00C00AA6" w:rsidP="00B1488E">
                            <w:pPr>
                              <w:jc w:val="both"/>
                              <w:rPr>
                                <w:rFonts w:cs="Arial"/>
                                <w:sz w:val="21"/>
                                <w:szCs w:val="21"/>
                                <w:lang w:val="fr-FR"/>
                              </w:rPr>
                            </w:pPr>
                            <w:r>
                              <w:rPr>
                                <w:rFonts w:cs="Arial"/>
                                <w:lang w:val="fr-FR"/>
                              </w:rPr>
                              <w:t>Il est recommandé au ScC-SC6 d'examiner l'évaluation et de fournir des commentaires et des recommandations au Secrétariat en vue de la soumission du document lors de la COP14.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left:0;text-align:left;margin-left:90.2pt;margin-top:203.35pt;width:327pt;height:17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" strokeweight=".25pt">
                <v:textbox>
                  <w:txbxContent>
                    <w:p w14:paraId="3C38239E" w14:textId="389DF19A" w:rsidR="00C6402A" w:rsidRDefault="00857DC4" w:rsidP="00C6402A">
                      <w:pPr>
                        <w:rPr>
                          <w:rFonts w:cs="Arial"/>
                          <w:lang w:val="fr-FR"/>
                        </w:rPr>
                      </w:pPr>
                      <w:r>
                        <w:rPr>
                          <w:rFonts w:cs="Arial"/>
                          <w:lang w:val="fr-FR"/>
                        </w:rPr>
                        <w:t>Résumé :</w:t>
                      </w:r>
                    </w:p>
                    <w:p w14:paraId="50BB43DB" w14:textId="77777777" w:rsidR="00C6402A" w:rsidRPr="005E0EDA" w:rsidRDefault="00C6402A" w:rsidP="00C6402A">
                      <w:pPr>
                        <w:rPr>
                          <w:rFonts w:cs="Arial"/>
                          <w:lang w:val="fr-FR"/>
                        </w:rPr>
                      </w:pPr>
                    </w:p>
                    <w:p w14:paraId="3B271222" w14:textId="3324F25E" w:rsidR="00C6402A" w:rsidRDefault="00A463C8" w:rsidP="00B1488E">
                      <w:pPr>
                        <w:jc w:val="both"/>
                        <w:rPr>
                          <w:rFonts w:cs="Arial"/>
                          <w:lang w:val="fr-FR"/>
                        </w:rPr>
                      </w:pPr>
                      <w:r>
                        <w:rPr>
                          <w:rFonts w:cs="Arial"/>
                          <w:sz w:val="21"/>
                          <w:szCs w:val="21"/>
                          <w:lang w:val="fr-FR"/>
                        </w:rPr>
                        <w:t>Conformément aux décisions 13.17, 13.24 b) et 13.26 b), le présent document soumet à l'examen du ScC-SC6 le projet final d'une évaluation rapide du risque</w:t>
                      </w:r>
                      <w:r w:rsidR="005C53D8">
                        <w:rPr>
                          <w:rFonts w:cs="Arial"/>
                          <w:sz w:val="21"/>
                          <w:szCs w:val="21"/>
                          <w:lang w:val="fr-FR"/>
                        </w:rPr>
                        <w:t xml:space="preserve"> de </w:t>
                      </w:r>
                      <w:r>
                        <w:rPr>
                          <w:rFonts w:cs="Arial"/>
                          <w:sz w:val="21"/>
                          <w:szCs w:val="21"/>
                          <w:lang w:val="fr-FR"/>
                        </w:rPr>
                        <w:t xml:space="preserve">l'utilisation et </w:t>
                      </w:r>
                      <w:r w:rsidR="005C53D8">
                        <w:rPr>
                          <w:rFonts w:cs="Arial"/>
                          <w:sz w:val="21"/>
                          <w:szCs w:val="21"/>
                          <w:lang w:val="fr-FR"/>
                        </w:rPr>
                        <w:t>du</w:t>
                      </w:r>
                      <w:r>
                        <w:rPr>
                          <w:rFonts w:cs="Arial"/>
                          <w:sz w:val="21"/>
                          <w:szCs w:val="21"/>
                          <w:lang w:val="fr-FR"/>
                        </w:rPr>
                        <w:t xml:space="preserve"> commerce directs</w:t>
                      </w:r>
                      <w:r w:rsidR="005C53D8">
                        <w:rPr>
                          <w:rFonts w:cs="Arial"/>
                          <w:sz w:val="21"/>
                          <w:szCs w:val="21"/>
                          <w:lang w:val="fr-FR"/>
                        </w:rPr>
                        <w:t xml:space="preserve"> pour les espèces inscrites à l’Annexe I de la CMS</w:t>
                      </w:r>
                      <w:r>
                        <w:rPr>
                          <w:rFonts w:cs="Arial"/>
                          <w:lang w:val="fr-FR"/>
                        </w:rPr>
                        <w:t>.</w:t>
                      </w:r>
                    </w:p>
                    <w:p w14:paraId="43BCAFD5" w14:textId="77777777" w:rsidR="002F48B3" w:rsidRDefault="002F48B3" w:rsidP="00B1488E">
                      <w:pPr>
                        <w:jc w:val="both"/>
                        <w:rPr>
                          <w:rFonts w:cs="Arial"/>
                          <w:lang w:val="fr-FR"/>
                        </w:rPr>
                      </w:pPr>
                    </w:p>
                    <w:p w14:paraId="2BBE7BBA" w14:textId="68025AE7" w:rsidR="002F48B3" w:rsidRPr="00C169ED" w:rsidRDefault="00C00AA6" w:rsidP="00B1488E">
                      <w:pPr>
                        <w:jc w:val="both"/>
                        <w:rPr>
                          <w:rFonts w:cs="Arial"/>
                          <w:sz w:val="21"/>
                          <w:szCs w:val="21"/>
                          <w:lang w:val="fr-FR"/>
                        </w:rPr>
                      </w:pPr>
                      <w:r>
                        <w:rPr>
                          <w:rFonts w:cs="Arial"/>
                          <w:lang w:val="fr-FR"/>
                        </w:rPr>
                        <w:t>Il est recommandé au ScC-SC6 d'examiner l'évaluation et de fournir des commentaires et des recommandations au Secrétariat en vue de la soumission du document lors de la COP14.</w:t>
                      </w:r>
                    </w:p>
                  </w:txbxContent>
                </v:textbox>
                <w10:wrap type="square" anchorx="margin" anchory="margin"/>
              </v:shape>
            </w:pict>
          </mc:Fallback>
        </mc:AlternateContent>
      </w:r>
    </w:p>
    <w:p w14:paraId="40D991D3" w14:textId="52D785F5" w:rsidR="005872F6" w:rsidRPr="00EA498C" w:rsidRDefault="005872F6" w:rsidP="003C1A96">
      <w:pPr>
        <w:suppressAutoHyphens/>
        <w:rPr>
          <w:rFonts w:cs="Arial"/>
          <w:lang w:val="fr-FR"/>
        </w:rPr>
      </w:pPr>
    </w:p>
    <w:p w14:paraId="4E23A53C" w14:textId="77777777" w:rsidR="005A0362" w:rsidRPr="00EA498C" w:rsidRDefault="005A0362" w:rsidP="003C1A96">
      <w:pPr>
        <w:suppressAutoHyphens/>
        <w:rPr>
          <w:rFonts w:eastAsia="Times New Roman" w:cs="Arial"/>
          <w:color w:val="000000"/>
          <w:kern w:val="2"/>
          <w:lang w:val="fr-FR"/>
        </w:rPr>
        <w:sectPr w:rsidR="005A0362" w:rsidRPr="00EA498C" w:rsidSect="004641A5">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20" w:footer="580" w:gutter="0"/>
          <w:cols w:space="720"/>
          <w:titlePg/>
          <w:docGrid w:linePitch="360"/>
        </w:sectPr>
      </w:pPr>
    </w:p>
    <w:p w14:paraId="1682E0F0" w14:textId="77777777" w:rsidR="005C53D8" w:rsidRDefault="005C53D8" w:rsidP="005C53D8">
      <w:pPr>
        <w:pStyle w:val="Heading2"/>
        <w:keepNext w:val="0"/>
        <w:ind w:left="-86" w:right="-360"/>
        <w:rPr>
          <w:rFonts w:ascii="Arial" w:hAnsi="Arial" w:cs="Arial"/>
          <w:szCs w:val="22"/>
          <w:lang w:val="fr-FR"/>
        </w:rPr>
      </w:pPr>
    </w:p>
    <w:p w14:paraId="7EE92047" w14:textId="50884318" w:rsidR="005C53D8" w:rsidRPr="00EA498C" w:rsidRDefault="005C53D8" w:rsidP="005C53D8">
      <w:pPr>
        <w:pStyle w:val="Heading2"/>
        <w:keepNext w:val="0"/>
        <w:ind w:left="-86" w:right="-360"/>
        <w:rPr>
          <w:rFonts w:ascii="Arial" w:hAnsi="Arial" w:cs="Arial"/>
          <w:szCs w:val="22"/>
          <w:lang w:val="fr-FR"/>
        </w:rPr>
      </w:pPr>
      <w:r w:rsidRPr="00EA498C">
        <w:rPr>
          <w:rFonts w:ascii="Arial" w:hAnsi="Arial" w:cs="Arial"/>
          <w:szCs w:val="22"/>
          <w:lang w:val="fr-FR"/>
        </w:rPr>
        <w:t xml:space="preserve">ÉVALUATION DU RISQUE </w:t>
      </w:r>
      <w:r>
        <w:rPr>
          <w:rFonts w:ascii="Arial" w:hAnsi="Arial" w:cs="Arial"/>
          <w:szCs w:val="22"/>
          <w:lang w:val="fr-FR"/>
        </w:rPr>
        <w:t xml:space="preserve">DE </w:t>
      </w:r>
      <w:r w:rsidRPr="00EA498C">
        <w:rPr>
          <w:rFonts w:ascii="Arial" w:hAnsi="Arial" w:cs="Arial"/>
          <w:szCs w:val="22"/>
          <w:lang w:val="fr-FR"/>
        </w:rPr>
        <w:t xml:space="preserve">L'UTILISATION ET </w:t>
      </w:r>
      <w:r>
        <w:rPr>
          <w:rFonts w:ascii="Arial" w:hAnsi="Arial" w:cs="Arial"/>
          <w:szCs w:val="22"/>
          <w:lang w:val="fr-FR"/>
        </w:rPr>
        <w:t>DU</w:t>
      </w:r>
      <w:r w:rsidRPr="00EA498C">
        <w:rPr>
          <w:rFonts w:ascii="Arial" w:hAnsi="Arial" w:cs="Arial"/>
          <w:szCs w:val="22"/>
          <w:lang w:val="fr-FR"/>
        </w:rPr>
        <w:t xml:space="preserve"> COMMERCE DIRECTS POUR LES ESPÈCES INSCRITES À L'ANNEXE I DE LA CMS </w:t>
      </w:r>
    </w:p>
    <w:p w14:paraId="13C0FECD" w14:textId="06E3BE23" w:rsidR="00BE65BB" w:rsidRPr="00EA498C" w:rsidRDefault="00BE65BB" w:rsidP="00BE65BB">
      <w:pPr>
        <w:pStyle w:val="Heading2"/>
        <w:keepNext w:val="0"/>
        <w:spacing w:after="120"/>
        <w:ind w:left="-86" w:right="-360"/>
        <w:rPr>
          <w:rFonts w:ascii="Arial" w:hAnsi="Arial" w:cs="Arial"/>
          <w:szCs w:val="22"/>
          <w:lang w:val="fr-FR"/>
        </w:rPr>
      </w:pPr>
    </w:p>
    <w:p w14:paraId="59208A17" w14:textId="77777777" w:rsidR="00050E16" w:rsidRPr="00EA498C" w:rsidRDefault="00050E16" w:rsidP="00050E16">
      <w:pPr>
        <w:rPr>
          <w:lang w:val="fr-FR"/>
        </w:rPr>
      </w:pPr>
    </w:p>
    <w:p w14:paraId="54B2E36F" w14:textId="43A6F843" w:rsidR="00050E16" w:rsidRPr="00EA498C" w:rsidRDefault="002D1E6F" w:rsidP="00050E16">
      <w:pPr>
        <w:rPr>
          <w:u w:val="single"/>
          <w:lang w:val="fr-FR"/>
        </w:rPr>
      </w:pPr>
      <w:r w:rsidRPr="00EA498C">
        <w:rPr>
          <w:u w:val="single"/>
          <w:lang w:val="fr-FR"/>
        </w:rPr>
        <w:t>Contexte général</w:t>
      </w:r>
    </w:p>
    <w:p w14:paraId="440E3B24" w14:textId="77777777" w:rsidR="002D1E6F" w:rsidRPr="00EA498C" w:rsidRDefault="002D1E6F" w:rsidP="00050E16">
      <w:pPr>
        <w:rPr>
          <w:lang w:val="fr-FR"/>
        </w:rPr>
      </w:pPr>
    </w:p>
    <w:p w14:paraId="20E8AF1B" w14:textId="4EF6532C" w:rsidR="00074006" w:rsidRPr="00EA498C" w:rsidRDefault="008D07D0" w:rsidP="00B1488E">
      <w:pPr>
        <w:pStyle w:val="ListParagraph"/>
        <w:numPr>
          <w:ilvl w:val="0"/>
          <w:numId w:val="19"/>
        </w:numPr>
        <w:ind w:left="540" w:hanging="540"/>
        <w:jc w:val="both"/>
        <w:rPr>
          <w:rFonts w:ascii="Arial" w:hAnsi="Arial" w:cs="Arial"/>
          <w:sz w:val="22"/>
          <w:szCs w:val="22"/>
          <w:lang w:val="fr-FR"/>
        </w:rPr>
      </w:pPr>
      <w:r w:rsidRPr="00EA498C">
        <w:rPr>
          <w:rFonts w:ascii="Arial" w:hAnsi="Arial" w:cs="Arial"/>
          <w:sz w:val="22"/>
          <w:szCs w:val="22"/>
          <w:lang w:val="fr-FR"/>
        </w:rPr>
        <w:t>La 13</w:t>
      </w:r>
      <w:r w:rsidRPr="00EA498C">
        <w:rPr>
          <w:rFonts w:ascii="Arial" w:hAnsi="Arial" w:cs="Arial"/>
          <w:sz w:val="22"/>
          <w:szCs w:val="22"/>
          <w:vertAlign w:val="superscript"/>
          <w:lang w:val="fr-FR"/>
        </w:rPr>
        <w:t>e</w:t>
      </w:r>
      <w:r w:rsidRPr="00EA498C">
        <w:rPr>
          <w:rFonts w:ascii="Arial" w:hAnsi="Arial" w:cs="Arial"/>
          <w:sz w:val="22"/>
          <w:szCs w:val="22"/>
          <w:lang w:val="fr-FR"/>
        </w:rPr>
        <w:t xml:space="preserve"> réunion de la Conférence des Parties à la CMS (COP13 ; Gandhinagar, 2020) a mis en évidence les préoccupations concernant l'utilisation et le commerce directs des taxons de l'Annexe I, en particulier dans le contexte de l'Article III, paragraphe 5 de la Convention, qui interdit le prélèvement des taxons inscrits à l'Annexe I, sauf dans des circonstances spécifiques (</w:t>
      </w:r>
      <w:hyperlink r:id="rId16" w:history="1">
        <w:r w:rsidRPr="00EA498C">
          <w:rPr>
            <w:rStyle w:val="Hyperlink"/>
            <w:rFonts w:ascii="Arial" w:hAnsi="Arial" w:cs="Arial"/>
            <w:sz w:val="22"/>
            <w:szCs w:val="22"/>
            <w:lang w:val="fr-FR"/>
          </w:rPr>
          <w:t>UNEP/CMS/COP13/Doc.21</w:t>
        </w:r>
      </w:hyperlink>
      <w:r w:rsidRPr="00EA498C">
        <w:rPr>
          <w:rFonts w:ascii="Arial" w:hAnsi="Arial" w:cs="Arial"/>
          <w:sz w:val="22"/>
          <w:szCs w:val="22"/>
          <w:lang w:val="fr-FR"/>
        </w:rPr>
        <w:t xml:space="preserve">). À cet égard, une étude soumise lors de la COP13 qui a analysé les données commerciales de la Convention sur le commerce international des espèces de faune et de flore sauvages menacées d'extinction (CITES) sur la période 2015-2018 a constaté que « </w:t>
      </w:r>
      <w:r w:rsidRPr="00EA498C">
        <w:rPr>
          <w:rFonts w:ascii="Arial" w:hAnsi="Arial" w:cs="Arial"/>
          <w:i/>
          <w:sz w:val="22"/>
          <w:szCs w:val="22"/>
          <w:lang w:val="fr-FR"/>
        </w:rPr>
        <w:t>les parties à la CMS se sont engagées dans le commerce de diverses espèces qui sont inscrites à l'annexe I de la CMS</w:t>
      </w:r>
      <w:r w:rsidRPr="00EA498C">
        <w:rPr>
          <w:rFonts w:ascii="Arial" w:hAnsi="Arial" w:cs="Arial"/>
          <w:i/>
          <w:iCs/>
          <w:sz w:val="22"/>
          <w:szCs w:val="22"/>
          <w:lang w:val="fr-FR"/>
        </w:rPr>
        <w:t xml:space="preserve">, à la fois en tant qu'importatrices et exportatrices » </w:t>
      </w:r>
      <w:r w:rsidRPr="00EA498C">
        <w:rPr>
          <w:rFonts w:ascii="Arial" w:hAnsi="Arial" w:cs="Arial"/>
          <w:sz w:val="22"/>
          <w:szCs w:val="22"/>
          <w:lang w:val="fr-FR"/>
        </w:rPr>
        <w:t>(</w:t>
      </w:r>
      <w:hyperlink r:id="rId17" w:history="1">
        <w:r w:rsidRPr="00EA498C">
          <w:rPr>
            <w:rStyle w:val="Hyperlink"/>
            <w:rFonts w:ascii="Arial" w:hAnsi="Arial" w:cs="Arial"/>
            <w:sz w:val="22"/>
            <w:szCs w:val="22"/>
            <w:lang w:val="fr-FR"/>
          </w:rPr>
          <w:t>UNEP/CMS/COP13/Inf.37</w:t>
        </w:r>
      </w:hyperlink>
      <w:r w:rsidRPr="00EA498C">
        <w:rPr>
          <w:rFonts w:ascii="Arial" w:hAnsi="Arial" w:cs="Arial"/>
          <w:sz w:val="22"/>
          <w:szCs w:val="22"/>
          <w:lang w:val="fr-FR"/>
        </w:rPr>
        <w:t>)</w:t>
      </w:r>
      <w:r w:rsidRPr="00EA498C">
        <w:rPr>
          <w:rFonts w:ascii="Arial" w:hAnsi="Arial" w:cs="Arial"/>
          <w:i/>
          <w:iCs/>
          <w:sz w:val="22"/>
          <w:szCs w:val="22"/>
          <w:lang w:val="fr-FR"/>
        </w:rPr>
        <w:t xml:space="preserve">.  </w:t>
      </w:r>
      <w:r w:rsidRPr="00EA498C">
        <w:rPr>
          <w:rFonts w:ascii="Arial" w:hAnsi="Arial" w:cs="Arial"/>
          <w:sz w:val="22"/>
          <w:szCs w:val="22"/>
          <w:lang w:val="fr-FR"/>
        </w:rPr>
        <w:t>En outre, l'utilisation intentionnelle des ressources biologiques a été identifiée comme l'une des principales menaces pesant sur les taxons de l'Annexe I dans un examen préliminaire de l'état de conservation des taxons inscrits aux Annexes la CMS (</w:t>
      </w:r>
      <w:hyperlink r:id="rId18" w:history="1">
        <w:r w:rsidRPr="00EA498C">
          <w:rPr>
            <w:rStyle w:val="Hyperlink"/>
            <w:rFonts w:ascii="Arial" w:hAnsi="Arial" w:cs="Arial"/>
            <w:sz w:val="22"/>
            <w:szCs w:val="22"/>
            <w:lang w:val="fr-FR"/>
          </w:rPr>
          <w:t>UNEP/CMS/COP13/Doc.24</w:t>
        </w:r>
      </w:hyperlink>
      <w:r w:rsidRPr="00EA498C">
        <w:rPr>
          <w:rFonts w:ascii="Arial" w:hAnsi="Arial" w:cs="Arial"/>
          <w:sz w:val="22"/>
          <w:szCs w:val="22"/>
          <w:lang w:val="fr-FR"/>
        </w:rPr>
        <w:t xml:space="preserve">). </w:t>
      </w:r>
    </w:p>
    <w:p w14:paraId="74BB77DC" w14:textId="56F21A52" w:rsidR="00074006" w:rsidRPr="00EA498C" w:rsidRDefault="0087479F" w:rsidP="00B1488E">
      <w:pPr>
        <w:pStyle w:val="ListParagraph"/>
        <w:ind w:left="540" w:hanging="540"/>
        <w:jc w:val="both"/>
        <w:rPr>
          <w:rFonts w:ascii="Arial" w:hAnsi="Arial" w:cs="Arial"/>
          <w:sz w:val="22"/>
          <w:szCs w:val="22"/>
          <w:lang w:val="fr-BE"/>
        </w:rPr>
      </w:pPr>
      <w:r w:rsidRPr="00EA498C">
        <w:rPr>
          <w:rFonts w:ascii="Arial" w:hAnsi="Arial" w:cs="Arial"/>
          <w:sz w:val="22"/>
          <w:szCs w:val="22"/>
          <w:lang w:val="fr-BE"/>
        </w:rPr>
        <w:t xml:space="preserve"> </w:t>
      </w:r>
    </w:p>
    <w:p w14:paraId="13454AC6" w14:textId="061E22BC" w:rsidR="0087479F" w:rsidRPr="00EA498C" w:rsidRDefault="0087479F" w:rsidP="00BA5C36">
      <w:pPr>
        <w:pStyle w:val="ListParagraph"/>
        <w:numPr>
          <w:ilvl w:val="0"/>
          <w:numId w:val="19"/>
        </w:numPr>
        <w:spacing w:after="120"/>
        <w:ind w:left="540" w:hanging="540"/>
        <w:contextualSpacing w:val="0"/>
        <w:jc w:val="both"/>
        <w:rPr>
          <w:rFonts w:ascii="Arial" w:hAnsi="Arial" w:cs="Arial"/>
          <w:sz w:val="22"/>
          <w:szCs w:val="22"/>
          <w:lang w:val="fr-FR"/>
        </w:rPr>
      </w:pPr>
      <w:r w:rsidRPr="00EA498C">
        <w:rPr>
          <w:rFonts w:ascii="Arial" w:hAnsi="Arial" w:cs="Arial"/>
          <w:sz w:val="22"/>
          <w:szCs w:val="22"/>
          <w:lang w:val="fr-FR"/>
        </w:rPr>
        <w:t xml:space="preserve">Par conséquent, plusieurs décisions ont été adoptées pour étudier les menaces que l'utilisation directe et le commerce font peser sur les taxons de l'Annexe I, y compris le commerce international et les ventes intérieures. En particulier, les Décisions </w:t>
      </w:r>
      <w:hyperlink r:id="rId19" w:history="1">
        <w:r w:rsidRPr="00EA498C">
          <w:rPr>
            <w:rStyle w:val="Hyperlink"/>
            <w:rFonts w:ascii="Arial" w:hAnsi="Arial" w:cs="Arial"/>
            <w:sz w:val="22"/>
            <w:szCs w:val="22"/>
            <w:lang w:val="fr-FR"/>
          </w:rPr>
          <w:t>13.17</w:t>
        </w:r>
      </w:hyperlink>
      <w:r w:rsidRPr="00EA498C">
        <w:rPr>
          <w:rFonts w:ascii="Arial" w:hAnsi="Arial" w:cs="Arial"/>
          <w:sz w:val="22"/>
          <w:szCs w:val="22"/>
          <w:lang w:val="fr-FR"/>
        </w:rPr>
        <w:t xml:space="preserve">, </w:t>
      </w:r>
      <w:hyperlink r:id="rId20" w:history="1">
        <w:r w:rsidRPr="00EA498C">
          <w:rPr>
            <w:rStyle w:val="Hyperlink"/>
            <w:rFonts w:ascii="Arial" w:hAnsi="Arial" w:cs="Arial"/>
            <w:sz w:val="22"/>
            <w:szCs w:val="22"/>
            <w:lang w:val="fr-FR"/>
          </w:rPr>
          <w:t>13.24</w:t>
        </w:r>
      </w:hyperlink>
      <w:r w:rsidRPr="00EA498C">
        <w:rPr>
          <w:rFonts w:ascii="Arial" w:hAnsi="Arial" w:cs="Arial"/>
          <w:sz w:val="22"/>
          <w:szCs w:val="22"/>
          <w:lang w:val="fr-FR"/>
        </w:rPr>
        <w:t xml:space="preserve"> c) et </w:t>
      </w:r>
      <w:hyperlink r:id="rId21" w:history="1">
        <w:r w:rsidRPr="00EA498C">
          <w:rPr>
            <w:rStyle w:val="Hyperlink"/>
            <w:rFonts w:ascii="Arial" w:hAnsi="Arial" w:cs="Arial"/>
            <w:sz w:val="22"/>
            <w:szCs w:val="22"/>
            <w:lang w:val="fr-FR"/>
          </w:rPr>
          <w:t>13.109</w:t>
        </w:r>
      </w:hyperlink>
      <w:r w:rsidRPr="00EA498C">
        <w:rPr>
          <w:rFonts w:ascii="Arial" w:hAnsi="Arial" w:cs="Arial"/>
          <w:sz w:val="22"/>
          <w:szCs w:val="22"/>
          <w:lang w:val="fr-FR"/>
        </w:rPr>
        <w:t xml:space="preserve"> a) chargent le Secrétariat de la CMS de faire ce qui suit :</w:t>
      </w:r>
    </w:p>
    <w:p w14:paraId="134C4E05" w14:textId="5DC70453" w:rsidR="00BA5C36" w:rsidRPr="00BA5C36" w:rsidRDefault="0087479F" w:rsidP="00BA5C36">
      <w:pPr>
        <w:pStyle w:val="ListParagraph"/>
        <w:spacing w:after="120"/>
        <w:ind w:left="851" w:right="-1" w:hanging="284"/>
        <w:contextualSpacing w:val="0"/>
        <w:jc w:val="both"/>
        <w:rPr>
          <w:rFonts w:ascii="Arial" w:hAnsi="Arial" w:cs="Arial"/>
          <w:i/>
          <w:iCs/>
          <w:sz w:val="22"/>
          <w:szCs w:val="22"/>
          <w:lang w:val="fr-FR"/>
        </w:rPr>
      </w:pPr>
      <w:r w:rsidRPr="00BA5C36">
        <w:rPr>
          <w:rFonts w:ascii="Arial" w:hAnsi="Arial" w:cs="Arial"/>
          <w:b/>
          <w:bCs/>
          <w:i/>
          <w:iCs/>
          <w:sz w:val="22"/>
          <w:szCs w:val="22"/>
          <w:lang w:val="fr-FR"/>
        </w:rPr>
        <w:t>D</w:t>
      </w:r>
      <w:r w:rsidR="00BA5C36">
        <w:rPr>
          <w:rFonts w:ascii="Arial" w:hAnsi="Arial" w:cs="Arial"/>
          <w:b/>
          <w:bCs/>
          <w:i/>
          <w:iCs/>
          <w:sz w:val="22"/>
          <w:szCs w:val="22"/>
          <w:lang w:val="fr-FR"/>
        </w:rPr>
        <w:t>é</w:t>
      </w:r>
      <w:r w:rsidRPr="00BA5C36">
        <w:rPr>
          <w:rFonts w:ascii="Arial" w:hAnsi="Arial" w:cs="Arial"/>
          <w:b/>
          <w:bCs/>
          <w:i/>
          <w:iCs/>
          <w:sz w:val="22"/>
          <w:szCs w:val="22"/>
          <w:lang w:val="fr-FR"/>
        </w:rPr>
        <w:t xml:space="preserve">cision 13.17: </w:t>
      </w:r>
      <w:r w:rsidRPr="00BA5C36">
        <w:rPr>
          <w:rFonts w:ascii="Arial" w:hAnsi="Arial" w:cs="Arial"/>
          <w:i/>
          <w:iCs/>
          <w:sz w:val="22"/>
          <w:szCs w:val="22"/>
          <w:lang w:val="fr-FR"/>
        </w:rPr>
        <w:t>[…] “</w:t>
      </w:r>
      <w:r w:rsidR="00BA5C36" w:rsidRPr="00BA5C36">
        <w:rPr>
          <w:rFonts w:ascii="Arial" w:hAnsi="Arial" w:cs="Arial"/>
          <w:i/>
          <w:iCs/>
          <w:sz w:val="22"/>
          <w:szCs w:val="22"/>
          <w:lang w:val="fr-FR"/>
        </w:rPr>
        <w:t>avec l’appui du Conseil scientifique et dans le cadre du Rapport sur l’état de conservation (Décision 13.24)</w:t>
      </w:r>
      <w:r w:rsidR="00BA5C36">
        <w:rPr>
          <w:rFonts w:ascii="Arial" w:hAnsi="Arial" w:cs="Arial"/>
          <w:i/>
          <w:iCs/>
          <w:sz w:val="22"/>
          <w:szCs w:val="22"/>
          <w:lang w:val="fr-FR"/>
        </w:rPr>
        <w:t> :</w:t>
      </w:r>
      <w:r w:rsidR="00BA5C36" w:rsidRPr="00BA5C36">
        <w:rPr>
          <w:rFonts w:ascii="Arial" w:hAnsi="Arial" w:cs="Arial"/>
          <w:i/>
          <w:iCs/>
          <w:sz w:val="22"/>
          <w:szCs w:val="22"/>
          <w:lang w:val="fr-FR"/>
        </w:rPr>
        <w:t xml:space="preserve">a) élabore des critères, en collaboration avec le Secrétariat CITES, pour déterminer la portée et la faisabilité d’une évaluation de l’impact du commerce international des </w:t>
      </w:r>
      <w:proofErr w:type="spellStart"/>
      <w:r w:rsidR="00BA5C36" w:rsidRPr="00BA5C36">
        <w:rPr>
          <w:rFonts w:ascii="Arial" w:hAnsi="Arial" w:cs="Arial"/>
          <w:i/>
          <w:iCs/>
          <w:sz w:val="22"/>
          <w:szCs w:val="22"/>
          <w:lang w:val="fr-FR"/>
        </w:rPr>
        <w:t>es-pèces</w:t>
      </w:r>
      <w:proofErr w:type="spellEnd"/>
      <w:r w:rsidR="00BA5C36" w:rsidRPr="00BA5C36">
        <w:rPr>
          <w:rFonts w:ascii="Arial" w:hAnsi="Arial" w:cs="Arial"/>
          <w:i/>
          <w:iCs/>
          <w:sz w:val="22"/>
          <w:szCs w:val="22"/>
          <w:lang w:val="fr-FR"/>
        </w:rPr>
        <w:t xml:space="preserve"> de l’Annexe I sur leur état de conservation ; et</w:t>
      </w:r>
      <w:r w:rsidR="00BA5C36">
        <w:rPr>
          <w:rFonts w:ascii="Arial" w:hAnsi="Arial" w:cs="Arial"/>
          <w:i/>
          <w:iCs/>
          <w:sz w:val="22"/>
          <w:szCs w:val="22"/>
          <w:lang w:val="fr-FR"/>
        </w:rPr>
        <w:t xml:space="preserve"> </w:t>
      </w:r>
      <w:r w:rsidR="00BA5C36" w:rsidRPr="00BA5C36">
        <w:rPr>
          <w:rFonts w:ascii="Arial" w:hAnsi="Arial" w:cs="Arial"/>
          <w:i/>
          <w:iCs/>
          <w:sz w:val="22"/>
          <w:szCs w:val="22"/>
          <w:lang w:val="fr-FR"/>
        </w:rPr>
        <w:t>b) sur la base de ces critères, évalue l’impact du commerce international sur l’état de conservation des espèces pertinentes de l’Annexe I, y compris, mais sans s’y limiter, du commerce international réglementé par la CITES.</w:t>
      </w:r>
      <w:r w:rsidRPr="00BA5C36">
        <w:rPr>
          <w:rFonts w:ascii="Arial" w:hAnsi="Arial" w:cs="Arial"/>
          <w:i/>
          <w:iCs/>
          <w:sz w:val="22"/>
          <w:szCs w:val="22"/>
          <w:lang w:val="fr-FR"/>
        </w:rPr>
        <w:t>”</w:t>
      </w:r>
    </w:p>
    <w:p w14:paraId="18D09B5B" w14:textId="04BC45B7" w:rsidR="00BA5C36" w:rsidRPr="00BA5C36" w:rsidRDefault="0087479F" w:rsidP="00BA5C36">
      <w:pPr>
        <w:pStyle w:val="ListParagraph"/>
        <w:spacing w:after="120"/>
        <w:ind w:left="851" w:hanging="284"/>
        <w:contextualSpacing w:val="0"/>
        <w:jc w:val="both"/>
        <w:rPr>
          <w:rFonts w:ascii="Arial" w:hAnsi="Arial" w:cs="Arial"/>
          <w:b/>
          <w:bCs/>
          <w:i/>
          <w:iCs/>
          <w:sz w:val="22"/>
          <w:szCs w:val="22"/>
          <w:lang w:val="fr-FR"/>
        </w:rPr>
      </w:pPr>
      <w:r w:rsidRPr="00BA5C36">
        <w:rPr>
          <w:rFonts w:ascii="Arial" w:hAnsi="Arial" w:cs="Arial"/>
          <w:b/>
          <w:i/>
          <w:sz w:val="22"/>
          <w:szCs w:val="22"/>
          <w:lang w:val="fr-FR"/>
        </w:rPr>
        <w:t>D</w:t>
      </w:r>
      <w:r w:rsidR="00BA5C36">
        <w:rPr>
          <w:rFonts w:ascii="Arial" w:hAnsi="Arial" w:cs="Arial"/>
          <w:b/>
          <w:i/>
          <w:sz w:val="22"/>
          <w:szCs w:val="22"/>
          <w:lang w:val="fr-FR"/>
        </w:rPr>
        <w:t>é</w:t>
      </w:r>
      <w:r w:rsidRPr="00BA5C36">
        <w:rPr>
          <w:rFonts w:ascii="Arial" w:hAnsi="Arial" w:cs="Arial"/>
          <w:b/>
          <w:i/>
          <w:sz w:val="22"/>
          <w:szCs w:val="22"/>
          <w:lang w:val="fr-FR"/>
        </w:rPr>
        <w:t>cision 13.24 c)</w:t>
      </w:r>
      <w:r w:rsidRPr="00BA5C36">
        <w:rPr>
          <w:rFonts w:ascii="Arial" w:hAnsi="Arial" w:cs="Arial"/>
          <w:i/>
          <w:sz w:val="22"/>
          <w:szCs w:val="22"/>
          <w:lang w:val="fr-FR"/>
        </w:rPr>
        <w:t>: “</w:t>
      </w:r>
      <w:r w:rsidR="00BA5C36" w:rsidRPr="00BA5C36">
        <w:rPr>
          <w:rFonts w:ascii="Arial" w:hAnsi="Arial" w:cs="Arial"/>
          <w:i/>
          <w:sz w:val="22"/>
          <w:szCs w:val="22"/>
          <w:lang w:val="fr-FR"/>
        </w:rPr>
        <w:t>entreprendre, en consultation avec le Conseil scientifique et en collaboration avec les organisations compétentes, ainsi qu’en synergie avec d'autres initiatives pertinentes au titre de la Convention, une évaluation de l'impact de l'utilisation directe sur l'état de conservation des espèces inscrites à l'Annexe I;</w:t>
      </w:r>
      <w:r w:rsidRPr="00BA5C36">
        <w:rPr>
          <w:rFonts w:ascii="Arial" w:hAnsi="Arial" w:cs="Arial"/>
          <w:i/>
          <w:sz w:val="22"/>
          <w:szCs w:val="22"/>
          <w:lang w:val="fr-FR"/>
        </w:rPr>
        <w:t>”</w:t>
      </w:r>
      <w:r w:rsidRPr="00BA5C36">
        <w:rPr>
          <w:rFonts w:ascii="Arial" w:hAnsi="Arial" w:cs="Arial"/>
          <w:b/>
          <w:bCs/>
          <w:i/>
          <w:iCs/>
          <w:sz w:val="22"/>
          <w:szCs w:val="22"/>
          <w:lang w:val="fr-FR"/>
        </w:rPr>
        <w:t xml:space="preserve"> </w:t>
      </w:r>
    </w:p>
    <w:p w14:paraId="63CFC6BA" w14:textId="22C029EF" w:rsidR="0087479F" w:rsidRPr="00BA5C36" w:rsidRDefault="0087479F" w:rsidP="00BA5C36">
      <w:pPr>
        <w:pStyle w:val="ListParagraph"/>
        <w:ind w:left="851" w:hanging="284"/>
        <w:jc w:val="both"/>
        <w:rPr>
          <w:rFonts w:ascii="Arial" w:hAnsi="Arial" w:cs="Arial"/>
          <w:i/>
          <w:iCs/>
          <w:sz w:val="22"/>
          <w:szCs w:val="22"/>
          <w:lang w:val="fr-FR"/>
        </w:rPr>
      </w:pPr>
      <w:r w:rsidRPr="00BA5C36">
        <w:rPr>
          <w:rFonts w:ascii="Arial" w:hAnsi="Arial" w:cs="Arial"/>
          <w:b/>
          <w:bCs/>
          <w:i/>
          <w:iCs/>
          <w:sz w:val="22"/>
          <w:szCs w:val="22"/>
          <w:lang w:val="fr-FR"/>
        </w:rPr>
        <w:t>D</w:t>
      </w:r>
      <w:r w:rsidR="00BA5C36">
        <w:rPr>
          <w:rFonts w:ascii="Arial" w:hAnsi="Arial" w:cs="Arial"/>
          <w:b/>
          <w:bCs/>
          <w:i/>
          <w:iCs/>
          <w:sz w:val="22"/>
          <w:szCs w:val="22"/>
          <w:lang w:val="fr-FR"/>
        </w:rPr>
        <w:t>é</w:t>
      </w:r>
      <w:r w:rsidRPr="00BA5C36">
        <w:rPr>
          <w:rFonts w:ascii="Arial" w:hAnsi="Arial" w:cs="Arial"/>
          <w:b/>
          <w:bCs/>
          <w:i/>
          <w:iCs/>
          <w:sz w:val="22"/>
          <w:szCs w:val="22"/>
          <w:lang w:val="fr-FR"/>
        </w:rPr>
        <w:t xml:space="preserve">cision 13.109: </w:t>
      </w:r>
      <w:r w:rsidRPr="00BA5C36">
        <w:rPr>
          <w:rFonts w:ascii="Arial" w:hAnsi="Arial" w:cs="Arial"/>
          <w:i/>
          <w:iCs/>
          <w:sz w:val="22"/>
          <w:szCs w:val="22"/>
          <w:lang w:val="fr-FR"/>
        </w:rPr>
        <w:t>[…] “</w:t>
      </w:r>
      <w:r w:rsidR="00BA5C36" w:rsidRPr="00BA5C36">
        <w:rPr>
          <w:rFonts w:ascii="Arial" w:hAnsi="Arial" w:cs="Arial"/>
          <w:i/>
          <w:iCs/>
          <w:sz w:val="22"/>
          <w:szCs w:val="22"/>
          <w:lang w:val="fr-FR"/>
        </w:rPr>
        <w:t>dans le respect de la Convention, est chargé de :a) préparer une analyse des effets directs et indirects du prélèvement, du commerce et de la consommation de viande d’animaux sauvages sur les espèces terrestres et aviaires inscrites aux Annexes I et II de la CMS</w:t>
      </w:r>
      <w:r w:rsidRPr="00BA5C36">
        <w:rPr>
          <w:rFonts w:ascii="Arial" w:hAnsi="Arial" w:cs="Arial"/>
          <w:i/>
          <w:iCs/>
          <w:sz w:val="22"/>
          <w:szCs w:val="22"/>
          <w:lang w:val="fr-FR"/>
        </w:rPr>
        <w:t>”.</w:t>
      </w:r>
    </w:p>
    <w:p w14:paraId="191BEE59" w14:textId="77777777" w:rsidR="00551352" w:rsidRPr="00BA5C36" w:rsidRDefault="00551352" w:rsidP="00B1488E">
      <w:pPr>
        <w:pStyle w:val="ListParagraph"/>
        <w:autoSpaceDE w:val="0"/>
        <w:autoSpaceDN w:val="0"/>
        <w:adjustRightInd w:val="0"/>
        <w:ind w:left="540" w:hanging="540"/>
        <w:jc w:val="both"/>
        <w:rPr>
          <w:rFonts w:ascii="ArialMT" w:hAnsi="ArialMT" w:cs="ArialMT"/>
          <w:sz w:val="22"/>
          <w:szCs w:val="22"/>
          <w:lang w:val="fr-FR"/>
        </w:rPr>
      </w:pPr>
    </w:p>
    <w:p w14:paraId="6B03A1F3" w14:textId="1289DA2E" w:rsidR="00551352" w:rsidRPr="00EA498C" w:rsidRDefault="00551352" w:rsidP="00B1488E">
      <w:pPr>
        <w:suppressAutoHyphens/>
        <w:ind w:left="540" w:hanging="540"/>
        <w:rPr>
          <w:rFonts w:cs="Arial"/>
          <w:u w:val="single"/>
          <w:lang w:val="fr-FR"/>
        </w:rPr>
      </w:pPr>
      <w:r w:rsidRPr="00EA498C">
        <w:rPr>
          <w:rFonts w:cs="Arial"/>
          <w:u w:val="single"/>
          <w:lang w:val="fr-FR"/>
        </w:rPr>
        <w:t>Progrès dans la mise en œuvre des décisions 13.17, 13.24 c) et 13.109.</w:t>
      </w:r>
    </w:p>
    <w:p w14:paraId="3BFC32F2" w14:textId="77777777" w:rsidR="00551352" w:rsidRPr="00EA498C" w:rsidRDefault="00551352" w:rsidP="00B1488E">
      <w:pPr>
        <w:pStyle w:val="ListParagraph"/>
        <w:autoSpaceDE w:val="0"/>
        <w:autoSpaceDN w:val="0"/>
        <w:adjustRightInd w:val="0"/>
        <w:ind w:left="540" w:hanging="540"/>
        <w:jc w:val="both"/>
        <w:rPr>
          <w:rFonts w:ascii="ArialMT" w:hAnsi="ArialMT" w:cs="ArialMT"/>
          <w:sz w:val="22"/>
          <w:szCs w:val="22"/>
          <w:lang w:val="fr-FR"/>
        </w:rPr>
      </w:pPr>
    </w:p>
    <w:p w14:paraId="44620C58" w14:textId="576711D2" w:rsidR="00385FEE" w:rsidRPr="00EA498C" w:rsidRDefault="00385FEE" w:rsidP="00B1488E">
      <w:pPr>
        <w:pStyle w:val="ListParagraph"/>
        <w:numPr>
          <w:ilvl w:val="0"/>
          <w:numId w:val="19"/>
        </w:numPr>
        <w:autoSpaceDE w:val="0"/>
        <w:autoSpaceDN w:val="0"/>
        <w:adjustRightInd w:val="0"/>
        <w:ind w:left="540" w:hanging="540"/>
        <w:jc w:val="both"/>
        <w:rPr>
          <w:rFonts w:ascii="Arial" w:hAnsi="Arial" w:cs="Arial"/>
          <w:sz w:val="22"/>
          <w:szCs w:val="22"/>
          <w:lang w:val="fr-FR"/>
        </w:rPr>
      </w:pPr>
      <w:r w:rsidRPr="00EA498C">
        <w:rPr>
          <w:rFonts w:ascii="Arial" w:hAnsi="Arial" w:cs="Arial"/>
          <w:sz w:val="22"/>
          <w:szCs w:val="22"/>
          <w:lang w:val="fr-FR"/>
        </w:rPr>
        <w:t xml:space="preserve">Les activités de collecte de fonds entreprises après la COP13 par le Secrétariat en ce qui concerne la mise en œuvre des décisions 13.24 et 13.17 sur le site ont permis de collecter d'importantes ressources. Des ressources ont notamment été fournies par le gouvernement australien (ministère de l'Agriculture, de l'Eau et de l'Environnement), le gouvernement suisse (Office fédéral de l'environnement, OFEV) et le gouvernement britannique (ministère de l'Environnement, de l'Alimentation et des Affaires rurales, DEFRA). Grâce aux contributions susmentionnées, le Secrétariat a pu établir un accord avec le Centre mondial de surveillance pour la conservation (WCMC) du Programme des Nations Unies pour l'environnement (PNUE) pour l'aider à entreprendre les activités prévues dans les décisions 13.24 a) à c) et 13.17. </w:t>
      </w:r>
    </w:p>
    <w:p w14:paraId="632C44C3" w14:textId="77777777" w:rsidR="00FF4615" w:rsidRDefault="00FF4615" w:rsidP="00B1488E">
      <w:pPr>
        <w:pStyle w:val="ListParagraph"/>
        <w:autoSpaceDE w:val="0"/>
        <w:autoSpaceDN w:val="0"/>
        <w:adjustRightInd w:val="0"/>
        <w:ind w:left="540" w:hanging="540"/>
        <w:rPr>
          <w:rFonts w:ascii="ArialMT" w:eastAsiaTheme="minorHAnsi" w:hAnsi="ArialMT" w:cs="ArialMT"/>
          <w:lang w:val="fr-FR"/>
        </w:rPr>
      </w:pPr>
    </w:p>
    <w:p w14:paraId="7F3D8C9F" w14:textId="77777777" w:rsidR="00BA5C36" w:rsidRDefault="00BA5C36" w:rsidP="00B1488E">
      <w:pPr>
        <w:pStyle w:val="ListParagraph"/>
        <w:autoSpaceDE w:val="0"/>
        <w:autoSpaceDN w:val="0"/>
        <w:adjustRightInd w:val="0"/>
        <w:ind w:left="540" w:hanging="540"/>
        <w:rPr>
          <w:rFonts w:ascii="ArialMT" w:eastAsiaTheme="minorHAnsi" w:hAnsi="ArialMT" w:cs="ArialMT"/>
          <w:lang w:val="fr-FR"/>
        </w:rPr>
      </w:pPr>
    </w:p>
    <w:p w14:paraId="38CA5CF7" w14:textId="77777777" w:rsidR="00BA5C36" w:rsidRPr="00EA498C" w:rsidRDefault="00BA5C36" w:rsidP="00B1488E">
      <w:pPr>
        <w:pStyle w:val="ListParagraph"/>
        <w:autoSpaceDE w:val="0"/>
        <w:autoSpaceDN w:val="0"/>
        <w:adjustRightInd w:val="0"/>
        <w:ind w:left="540" w:hanging="540"/>
        <w:rPr>
          <w:rFonts w:ascii="ArialMT" w:eastAsiaTheme="minorHAnsi" w:hAnsi="ArialMT" w:cs="ArialMT"/>
          <w:lang w:val="fr-FR"/>
        </w:rPr>
      </w:pPr>
    </w:p>
    <w:p w14:paraId="479DE9A6" w14:textId="55775C4E" w:rsidR="00551352" w:rsidRPr="00EA498C" w:rsidRDefault="007075BB" w:rsidP="00B1488E">
      <w:pPr>
        <w:pStyle w:val="ListParagraph"/>
        <w:numPr>
          <w:ilvl w:val="0"/>
          <w:numId w:val="19"/>
        </w:numPr>
        <w:autoSpaceDE w:val="0"/>
        <w:autoSpaceDN w:val="0"/>
        <w:adjustRightInd w:val="0"/>
        <w:ind w:left="540" w:hanging="540"/>
        <w:jc w:val="both"/>
        <w:rPr>
          <w:rFonts w:ascii="Arial" w:hAnsi="Arial" w:cs="Arial"/>
          <w:sz w:val="22"/>
          <w:szCs w:val="22"/>
          <w:lang w:val="fr-FR"/>
        </w:rPr>
      </w:pPr>
      <w:r w:rsidRPr="00EA498C">
        <w:rPr>
          <w:rFonts w:ascii="Arial" w:hAnsi="Arial" w:cs="Arial"/>
          <w:sz w:val="22"/>
          <w:szCs w:val="22"/>
          <w:lang w:val="fr-FR"/>
        </w:rPr>
        <w:t>Dans un premier temps, le Secrétariat de la CMS et le PNUE-WCMC ont élaboré, en collaboration avec l'Union internationale pour la conservation de la nature (UICN), une méthode pour une évaluation rapide des taxons inscrits à l'Annexe I afin de fournir des informations supplémentaires sur l’incidence de l'utilisation et du commerce directs sur l'état de conservation de ces taxons. Conformément à la décision 13.25 a), un projet de méthode a été soumis à la 5</w:t>
      </w:r>
      <w:r w:rsidRPr="00EA498C">
        <w:rPr>
          <w:rFonts w:ascii="Arial" w:hAnsi="Arial" w:cs="Arial"/>
          <w:sz w:val="22"/>
          <w:szCs w:val="22"/>
          <w:vertAlign w:val="superscript"/>
          <w:lang w:val="fr-FR"/>
        </w:rPr>
        <w:t>e</w:t>
      </w:r>
      <w:r w:rsidRPr="00EA498C">
        <w:rPr>
          <w:rFonts w:ascii="Arial" w:hAnsi="Arial" w:cs="Arial"/>
          <w:sz w:val="22"/>
          <w:szCs w:val="22"/>
          <w:lang w:val="fr-FR"/>
        </w:rPr>
        <w:t xml:space="preserve"> réunion du Comité de session du Conseil scientifique (ScC-SC5, 2021), qui l'a examiné et approuvé. </w:t>
      </w:r>
    </w:p>
    <w:p w14:paraId="4D04673D" w14:textId="77777777" w:rsidR="00E7631C" w:rsidRPr="00EA498C" w:rsidRDefault="00E7631C" w:rsidP="00B1488E">
      <w:pPr>
        <w:pStyle w:val="ListParagraph"/>
        <w:ind w:left="540" w:hanging="540"/>
        <w:rPr>
          <w:rFonts w:ascii="Arial" w:hAnsi="Arial" w:cs="Arial"/>
          <w:sz w:val="22"/>
          <w:szCs w:val="22"/>
          <w:lang w:val="fr-FR"/>
        </w:rPr>
      </w:pPr>
    </w:p>
    <w:p w14:paraId="2D627C53" w14:textId="02546062" w:rsidR="00A51D8F" w:rsidRPr="00EA498C" w:rsidRDefault="009C2034" w:rsidP="00B1488E">
      <w:pPr>
        <w:pStyle w:val="ListParagraph"/>
        <w:widowControl/>
        <w:numPr>
          <w:ilvl w:val="0"/>
          <w:numId w:val="19"/>
        </w:numPr>
        <w:autoSpaceDE w:val="0"/>
        <w:autoSpaceDN w:val="0"/>
        <w:adjustRightInd w:val="0"/>
        <w:ind w:left="540" w:hanging="540"/>
        <w:jc w:val="both"/>
        <w:rPr>
          <w:rFonts w:ascii="Arial" w:hAnsi="Arial" w:cs="Arial"/>
          <w:sz w:val="22"/>
          <w:szCs w:val="22"/>
          <w:lang w:val="fr-FR"/>
        </w:rPr>
      </w:pPr>
      <w:r w:rsidRPr="00EA498C">
        <w:rPr>
          <w:rFonts w:ascii="Arial" w:hAnsi="Arial" w:cs="Arial"/>
          <w:sz w:val="22"/>
          <w:szCs w:val="22"/>
          <w:lang w:val="fr-FR"/>
        </w:rPr>
        <w:t xml:space="preserve">Sur la base de la méthode convenue et en étroite consultation avec le Secrétariat, le WCMC a élaboré un projet d'évaluation rapide du risque posé aux espèces inscrites à l'Annexe I de la CMS par l'utilisation et le commerce directs.  Un premier projet d'évaluation a été soumis aux membres du comité de session du conseil scientifique pour consultation et conseils en juillet 2022. Un projet final de rapport est soumis pour examen à la ScC-SC6, conformément aux décisions 13.24 d) et 13.26 b). </w:t>
      </w:r>
    </w:p>
    <w:p w14:paraId="3648577E" w14:textId="77777777" w:rsidR="00A51D8F" w:rsidRPr="00EA498C" w:rsidRDefault="00A51D8F" w:rsidP="00B1488E">
      <w:pPr>
        <w:pStyle w:val="ListParagraph"/>
        <w:ind w:left="540" w:hanging="540"/>
        <w:rPr>
          <w:rFonts w:ascii="Arial" w:hAnsi="Arial" w:cs="Arial"/>
          <w:sz w:val="22"/>
          <w:szCs w:val="22"/>
          <w:lang w:val="fr-FR"/>
        </w:rPr>
      </w:pPr>
    </w:p>
    <w:p w14:paraId="2EE62437" w14:textId="52C7A6CC" w:rsidR="00855722" w:rsidRPr="00EA498C" w:rsidRDefault="00FB77D4" w:rsidP="00B1488E">
      <w:pPr>
        <w:pStyle w:val="ListParagraph"/>
        <w:numPr>
          <w:ilvl w:val="0"/>
          <w:numId w:val="19"/>
        </w:numPr>
        <w:ind w:left="540" w:hanging="540"/>
        <w:jc w:val="both"/>
        <w:rPr>
          <w:rFonts w:ascii="Arial" w:eastAsia="Roboto" w:hAnsi="Arial" w:cs="Arial"/>
          <w:sz w:val="22"/>
          <w:szCs w:val="22"/>
          <w:lang w:val="fr-FR"/>
        </w:rPr>
      </w:pPr>
      <w:r w:rsidRPr="00EA498C">
        <w:rPr>
          <w:rFonts w:ascii="Arial" w:hAnsi="Arial" w:cs="Arial"/>
          <w:sz w:val="22"/>
          <w:szCs w:val="22"/>
          <w:lang w:val="fr-FR"/>
        </w:rPr>
        <w:t xml:space="preserve">Le rapport est reproduit en annexe du présent document. </w:t>
      </w:r>
      <w:r w:rsidRPr="00EA498C">
        <w:rPr>
          <w:rFonts w:ascii="Arial" w:eastAsia="Roboto" w:hAnsi="Arial" w:cs="Arial"/>
          <w:sz w:val="22"/>
          <w:szCs w:val="22"/>
          <w:lang w:val="fr-FR"/>
        </w:rPr>
        <w:t xml:space="preserve">Il fournit un résumé descriptif des résultats de l'évaluation rapide, ainsi que des réflexions supplémentaires sur le commerce international et l'utilisation et la vente au niveau national des taxons de l'Annexe I.  Les résultats complets de l'évaluation rapide des taxons de l'Annexe I de la CMS, ainsi que les données et métadonnées correspondantes, sont fournis dans un tableau Excel d'accompagnement, disponible en tant que document </w:t>
      </w:r>
      <w:hyperlink r:id="rId22" w:history="1">
        <w:r w:rsidRPr="00EA498C">
          <w:rPr>
            <w:rStyle w:val="Hyperlink"/>
            <w:rFonts w:ascii="Arial" w:eastAsia="Roboto" w:hAnsi="Arial" w:cs="Arial"/>
            <w:sz w:val="22"/>
            <w:szCs w:val="22"/>
            <w:lang w:val="fr-FR"/>
          </w:rPr>
          <w:t>UNEP/CMS/ScC-SC6/Inf.7.2</w:t>
        </w:r>
      </w:hyperlink>
      <w:r w:rsidRPr="00EA498C">
        <w:rPr>
          <w:rFonts w:ascii="Arial" w:hAnsi="Arial" w:cs="Arial"/>
          <w:sz w:val="22"/>
          <w:szCs w:val="22"/>
          <w:lang w:val="fr-FR"/>
        </w:rPr>
        <w:t xml:space="preserve">. </w:t>
      </w:r>
    </w:p>
    <w:p w14:paraId="032F14E2" w14:textId="77777777" w:rsidR="001F13E4" w:rsidRPr="00EA498C" w:rsidRDefault="001F13E4" w:rsidP="00B1488E">
      <w:pPr>
        <w:pStyle w:val="ListParagraph"/>
        <w:ind w:left="540" w:hanging="540"/>
        <w:rPr>
          <w:rFonts w:ascii="Roboto" w:eastAsia="Roboto" w:hAnsi="Roboto" w:cs="Roboto"/>
          <w:sz w:val="20"/>
          <w:lang w:val="fr-FR"/>
        </w:rPr>
      </w:pPr>
    </w:p>
    <w:p w14:paraId="4AB7EA73" w14:textId="4DC03EF8" w:rsidR="008A2C6C" w:rsidRPr="00EA498C" w:rsidRDefault="00F85914" w:rsidP="00B1488E">
      <w:pPr>
        <w:pStyle w:val="ListParagraph"/>
        <w:widowControl/>
        <w:numPr>
          <w:ilvl w:val="0"/>
          <w:numId w:val="19"/>
        </w:numPr>
        <w:autoSpaceDE w:val="0"/>
        <w:autoSpaceDN w:val="0"/>
        <w:adjustRightInd w:val="0"/>
        <w:ind w:left="540" w:hanging="540"/>
        <w:jc w:val="both"/>
        <w:rPr>
          <w:rFonts w:ascii="Arial" w:hAnsi="Arial" w:cs="Arial"/>
          <w:sz w:val="22"/>
          <w:szCs w:val="22"/>
          <w:lang w:val="fr-FR"/>
        </w:rPr>
      </w:pPr>
      <w:r w:rsidRPr="00EA498C">
        <w:rPr>
          <w:rFonts w:ascii="Arial" w:hAnsi="Arial" w:cs="Arial"/>
          <w:sz w:val="22"/>
          <w:szCs w:val="22"/>
          <w:lang w:val="fr-FR"/>
        </w:rPr>
        <w:t xml:space="preserve">En vue de la soumission du rapport à la COP14 pour examen, le Secrétariat apprécierait en particulier tout commentaire et conseil sur i) d'éventuelles inexactitudes factuelles dans le rapport ; ii) toute clarification nécessaire concernant le contenu du rapport ; iii) d'éventuelles conclusions à tirer et recommandations à porter à l'attention de la COP14, notamment toute lacune à combler.  </w:t>
      </w:r>
    </w:p>
    <w:p w14:paraId="25A13978" w14:textId="77777777" w:rsidR="008B2145" w:rsidRPr="00EA498C" w:rsidRDefault="008B2145" w:rsidP="00B1488E">
      <w:pPr>
        <w:pStyle w:val="ListParagraph"/>
        <w:autoSpaceDE w:val="0"/>
        <w:autoSpaceDN w:val="0"/>
        <w:adjustRightInd w:val="0"/>
        <w:ind w:left="540" w:hanging="540"/>
        <w:jc w:val="both"/>
        <w:rPr>
          <w:rFonts w:ascii="Arial" w:hAnsi="Arial" w:cs="Arial"/>
          <w:sz w:val="22"/>
          <w:szCs w:val="22"/>
          <w:lang w:val="fr-FR"/>
        </w:rPr>
      </w:pPr>
    </w:p>
    <w:p w14:paraId="4EB3A29B" w14:textId="77777777" w:rsidR="00041658" w:rsidRPr="00EA498C" w:rsidRDefault="00041658" w:rsidP="00B1488E">
      <w:pPr>
        <w:pStyle w:val="ListParagraph"/>
        <w:ind w:left="540" w:hanging="540"/>
        <w:rPr>
          <w:rFonts w:ascii="Arial" w:hAnsi="Arial" w:cs="Arial"/>
          <w:sz w:val="22"/>
          <w:szCs w:val="22"/>
          <w:u w:val="single"/>
          <w:lang w:val="fr-FR"/>
        </w:rPr>
      </w:pPr>
      <w:r w:rsidRPr="00EA498C">
        <w:rPr>
          <w:rFonts w:ascii="Arial" w:hAnsi="Arial" w:cs="Arial"/>
          <w:sz w:val="22"/>
          <w:szCs w:val="22"/>
          <w:u w:val="single"/>
          <w:lang w:val="fr-FR"/>
        </w:rPr>
        <w:t>Actions recommandées</w:t>
      </w:r>
    </w:p>
    <w:p w14:paraId="5C71E84D" w14:textId="77777777" w:rsidR="00041658" w:rsidRPr="00EA498C" w:rsidRDefault="00041658" w:rsidP="00B1488E">
      <w:pPr>
        <w:pStyle w:val="ListParagraph"/>
        <w:ind w:left="540" w:hanging="540"/>
        <w:rPr>
          <w:rFonts w:ascii="Arial" w:hAnsi="Arial" w:cs="Arial"/>
          <w:sz w:val="22"/>
          <w:szCs w:val="22"/>
          <w:lang w:val="fr-FR"/>
        </w:rPr>
      </w:pPr>
    </w:p>
    <w:p w14:paraId="18E9C391" w14:textId="77777777" w:rsidR="00041658" w:rsidRPr="00EA498C" w:rsidRDefault="00041658" w:rsidP="00BA5C36">
      <w:pPr>
        <w:pStyle w:val="ListParagraph"/>
        <w:widowControl/>
        <w:numPr>
          <w:ilvl w:val="0"/>
          <w:numId w:val="19"/>
        </w:numPr>
        <w:autoSpaceDE w:val="0"/>
        <w:autoSpaceDN w:val="0"/>
        <w:adjustRightInd w:val="0"/>
        <w:ind w:left="567" w:hanging="567"/>
        <w:jc w:val="both"/>
        <w:rPr>
          <w:rFonts w:ascii="Arial" w:hAnsi="Arial" w:cs="Arial"/>
          <w:sz w:val="22"/>
          <w:szCs w:val="22"/>
          <w:lang w:val="fr-FR"/>
        </w:rPr>
      </w:pPr>
      <w:r w:rsidRPr="00EA498C">
        <w:rPr>
          <w:rFonts w:ascii="Arial" w:hAnsi="Arial" w:cs="Arial"/>
          <w:sz w:val="22"/>
          <w:szCs w:val="22"/>
          <w:lang w:val="fr-FR"/>
        </w:rPr>
        <w:t>Il est recommandé au Conseil scientifique :</w:t>
      </w:r>
    </w:p>
    <w:p w14:paraId="5B00533D" w14:textId="77777777" w:rsidR="00041658" w:rsidRPr="00EA498C" w:rsidRDefault="00041658" w:rsidP="00B1488E">
      <w:pPr>
        <w:adjustRightInd w:val="0"/>
        <w:ind w:left="540" w:hanging="540"/>
        <w:jc w:val="both"/>
        <w:rPr>
          <w:rFonts w:cs="Arial"/>
          <w:lang w:val="fr-FR"/>
        </w:rPr>
      </w:pPr>
    </w:p>
    <w:p w14:paraId="36862287" w14:textId="42950BDA" w:rsidR="00041658" w:rsidRPr="005C53D8" w:rsidRDefault="00041658" w:rsidP="005C53D8">
      <w:pPr>
        <w:pStyle w:val="ListParagraph"/>
        <w:widowControl/>
        <w:numPr>
          <w:ilvl w:val="0"/>
          <w:numId w:val="22"/>
        </w:numPr>
        <w:autoSpaceDE w:val="0"/>
        <w:autoSpaceDN w:val="0"/>
        <w:adjustRightInd w:val="0"/>
        <w:ind w:left="1134" w:hanging="567"/>
        <w:jc w:val="both"/>
        <w:rPr>
          <w:rFonts w:ascii="Arial" w:hAnsi="Arial" w:cs="Arial"/>
          <w:sz w:val="22"/>
          <w:szCs w:val="22"/>
          <w:lang w:val="fr-FR"/>
        </w:rPr>
      </w:pPr>
      <w:r w:rsidRPr="005C53D8">
        <w:rPr>
          <w:rFonts w:ascii="Arial" w:hAnsi="Arial" w:cs="Arial"/>
          <w:sz w:val="22"/>
          <w:szCs w:val="22"/>
          <w:lang w:val="fr-FR"/>
        </w:rPr>
        <w:t xml:space="preserve">d'examiner le projet d'évaluation rapide du risque </w:t>
      </w:r>
      <w:r w:rsidR="005C53D8" w:rsidRPr="005C53D8">
        <w:rPr>
          <w:rFonts w:ascii="Arial" w:hAnsi="Arial" w:cs="Arial"/>
          <w:sz w:val="22"/>
          <w:szCs w:val="22"/>
          <w:lang w:val="fr-FR"/>
        </w:rPr>
        <w:t>de l'utilisation et du commerce directs pour les espèces inscrites à l’Annexe I de la CMS</w:t>
      </w:r>
      <w:r w:rsidR="005C53D8">
        <w:rPr>
          <w:rFonts w:ascii="Arial" w:hAnsi="Arial" w:cs="Arial"/>
          <w:sz w:val="22"/>
          <w:szCs w:val="22"/>
          <w:lang w:val="fr-FR"/>
        </w:rPr>
        <w:t>,</w:t>
      </w:r>
      <w:r w:rsidR="005C53D8" w:rsidRPr="005C53D8">
        <w:rPr>
          <w:rFonts w:ascii="Arial" w:hAnsi="Arial" w:cs="Arial"/>
          <w:sz w:val="22"/>
          <w:szCs w:val="22"/>
          <w:lang w:val="fr-FR"/>
        </w:rPr>
        <w:t xml:space="preserve"> </w:t>
      </w:r>
      <w:r w:rsidRPr="005C53D8">
        <w:rPr>
          <w:rFonts w:ascii="Arial" w:hAnsi="Arial" w:cs="Arial"/>
          <w:sz w:val="22"/>
          <w:szCs w:val="22"/>
          <w:lang w:val="fr-FR"/>
        </w:rPr>
        <w:t>joint en annexe du présent documen</w:t>
      </w:r>
      <w:r w:rsidR="005C53D8">
        <w:rPr>
          <w:rFonts w:ascii="Arial" w:hAnsi="Arial" w:cs="Arial"/>
          <w:sz w:val="22"/>
          <w:szCs w:val="22"/>
          <w:lang w:val="fr-FR"/>
        </w:rPr>
        <w:t>t</w:t>
      </w:r>
      <w:r w:rsidRPr="005C53D8">
        <w:rPr>
          <w:rFonts w:ascii="Arial" w:hAnsi="Arial" w:cs="Arial"/>
          <w:sz w:val="22"/>
          <w:szCs w:val="22"/>
          <w:lang w:val="fr-FR"/>
        </w:rPr>
        <w:t>;</w:t>
      </w:r>
    </w:p>
    <w:p w14:paraId="52E766F0" w14:textId="77777777" w:rsidR="00041658" w:rsidRPr="00EA498C" w:rsidRDefault="00041658" w:rsidP="005C53D8">
      <w:pPr>
        <w:pStyle w:val="ListParagraph"/>
        <w:widowControl/>
        <w:adjustRightInd w:val="0"/>
        <w:ind w:left="1134" w:hanging="567"/>
        <w:jc w:val="both"/>
        <w:rPr>
          <w:rFonts w:ascii="Arial" w:hAnsi="Arial" w:cs="Arial"/>
          <w:sz w:val="22"/>
          <w:szCs w:val="22"/>
          <w:lang w:val="fr-FR"/>
        </w:rPr>
      </w:pPr>
    </w:p>
    <w:p w14:paraId="282FDE67" w14:textId="460C9858" w:rsidR="00551352" w:rsidRPr="00EA498C" w:rsidRDefault="00041658" w:rsidP="005C53D8">
      <w:pPr>
        <w:pStyle w:val="ListParagraph"/>
        <w:widowControl/>
        <w:numPr>
          <w:ilvl w:val="0"/>
          <w:numId w:val="22"/>
        </w:numPr>
        <w:autoSpaceDE w:val="0"/>
        <w:autoSpaceDN w:val="0"/>
        <w:adjustRightInd w:val="0"/>
        <w:ind w:left="1134" w:hanging="567"/>
        <w:jc w:val="both"/>
        <w:rPr>
          <w:rFonts w:ascii="ArialMT" w:hAnsi="ArialMT" w:cs="ArialMT"/>
          <w:lang w:val="fr-FR"/>
        </w:rPr>
      </w:pPr>
      <w:r w:rsidRPr="00EA498C">
        <w:rPr>
          <w:rFonts w:ascii="Arial" w:hAnsi="Arial" w:cs="Arial"/>
          <w:sz w:val="22"/>
          <w:szCs w:val="22"/>
          <w:lang w:val="fr-FR"/>
        </w:rPr>
        <w:t xml:space="preserve">de fournir des commentaires et des conseils au Secrétariat concernant la présentation du rapport à la COP14, notamment, toute conclusion et recommandation à porter à l'attention de la COP. </w:t>
      </w:r>
    </w:p>
    <w:p w14:paraId="5DBA6AD0" w14:textId="77777777" w:rsidR="00551352" w:rsidRPr="00EA498C" w:rsidRDefault="00551352" w:rsidP="00BA5C36">
      <w:pPr>
        <w:autoSpaceDE w:val="0"/>
        <w:autoSpaceDN w:val="0"/>
        <w:adjustRightInd w:val="0"/>
        <w:ind w:left="851" w:hanging="284"/>
        <w:jc w:val="both"/>
        <w:rPr>
          <w:rFonts w:ascii="ArialMT" w:hAnsi="ArialMT" w:cs="ArialMT"/>
          <w:lang w:val="fr-FR"/>
        </w:rPr>
      </w:pPr>
    </w:p>
    <w:sectPr w:rsidR="00551352" w:rsidRPr="00EA498C" w:rsidSect="004641A5">
      <w:headerReference w:type="first" r:id="rId23"/>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4FC0C" w14:textId="77777777" w:rsidR="00D42040" w:rsidRDefault="00D42040" w:rsidP="008562CA">
      <w:r>
        <w:rPr>
          <w:lang w:val="fr-FR"/>
        </w:rPr>
        <w:separator/>
      </w:r>
    </w:p>
  </w:endnote>
  <w:endnote w:type="continuationSeparator" w:id="0">
    <w:p w14:paraId="44F15CE5" w14:textId="77777777" w:rsidR="00D42040" w:rsidRDefault="00D42040" w:rsidP="008562CA">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3</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EC29" w14:textId="3B81E66C" w:rsidR="008E03D7" w:rsidRPr="00C83597" w:rsidRDefault="008E03D7" w:rsidP="00C83597">
    <w:pPr>
      <w:pStyle w:val="Footer"/>
      <w:jc w:val="center"/>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E6543" w14:textId="77777777" w:rsidR="00D42040" w:rsidRDefault="00D42040" w:rsidP="008562CA">
      <w:r>
        <w:rPr>
          <w:lang w:val="fr-FR"/>
        </w:rPr>
        <w:separator/>
      </w:r>
    </w:p>
  </w:footnote>
  <w:footnote w:type="continuationSeparator" w:id="0">
    <w:p w14:paraId="26299D79" w14:textId="77777777" w:rsidR="00D42040" w:rsidRDefault="00D42040" w:rsidP="008562CA">
      <w:r>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B1FE" w14:textId="5ECD994E" w:rsidR="004641A5" w:rsidRPr="004641A5" w:rsidRDefault="004641A5" w:rsidP="004641A5">
    <w:pPr>
      <w:pBdr>
        <w:bottom w:val="single" w:sz="4" w:space="1" w:color="auto"/>
      </w:pBdr>
      <w:rPr>
        <w:rFonts w:cs="Arial"/>
        <w:i/>
        <w:iCs/>
        <w:sz w:val="18"/>
        <w:szCs w:val="18"/>
        <w:lang w:val="en-GB"/>
      </w:rPr>
    </w:pPr>
    <w:r>
      <w:rPr>
        <w:rFonts w:cs="Arial"/>
        <w:i/>
        <w:iCs/>
        <w:sz w:val="18"/>
        <w:szCs w:val="18"/>
        <w:lang w:val="en-GB"/>
      </w:rPr>
      <w:t>UNEP/CMS/ScC-SC6/</w:t>
    </w:r>
    <w:proofErr w:type="spellStart"/>
    <w:r>
      <w:rPr>
        <w:rFonts w:cs="Arial"/>
        <w:i/>
        <w:iCs/>
        <w:sz w:val="18"/>
        <w:szCs w:val="18"/>
        <w:lang w:val="en-GB"/>
      </w:rPr>
      <w:t>Doc.XX</w:t>
    </w:r>
    <w:proofErr w:type="spellEnd"/>
  </w:p>
  <w:p w14:paraId="7B68B837" w14:textId="77777777" w:rsidR="004641A5" w:rsidRDefault="004641A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4E8A" w14:textId="0B510B23" w:rsidR="004641A5" w:rsidRDefault="004641A5" w:rsidP="003E791B">
    <w:pPr>
      <w:pBdr>
        <w:bottom w:val="single" w:sz="4" w:space="1" w:color="auto"/>
      </w:pBdr>
      <w:jc w:val="right"/>
    </w:pPr>
    <w:r>
      <w:rPr>
        <w:rFonts w:cs="Arial"/>
        <w:i/>
        <w:iCs/>
        <w:sz w:val="18"/>
        <w:szCs w:val="18"/>
        <w:lang w:val="en-GB"/>
      </w:rPr>
      <w:t>UNEP/CMS/ScC-SC6/Doc.7.2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D57A" w14:textId="77777777" w:rsidR="00BA5C36" w:rsidRDefault="00BA5C36" w:rsidP="00BA5C36">
    <w:pPr>
      <w:pStyle w:val="Header"/>
    </w:pPr>
    <w:r>
      <w:rPr>
        <w:noProof/>
      </w:rPr>
      <w:drawing>
        <wp:anchor distT="0" distB="0" distL="114300" distR="114300" simplePos="0" relativeHeight="251660800" behindDoc="0" locked="0" layoutInCell="1" allowOverlap="1" wp14:anchorId="0F6E638B" wp14:editId="18ED8425">
          <wp:simplePos x="0" y="0"/>
          <wp:positionH relativeFrom="column">
            <wp:posOffset>-548005</wp:posOffset>
          </wp:positionH>
          <wp:positionV relativeFrom="paragraph">
            <wp:posOffset>-542290</wp:posOffset>
          </wp:positionV>
          <wp:extent cx="1409700" cy="1409700"/>
          <wp:effectExtent l="0" t="0" r="0" b="0"/>
          <wp:wrapNone/>
          <wp:docPr id="8"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14:anchorId="6AF33F34" wp14:editId="10CC9DD6">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58752" behindDoc="0" locked="0" layoutInCell="1" allowOverlap="1" wp14:anchorId="14CFDC9B" wp14:editId="054EF330">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5FAF5CE" w14:textId="77777777" w:rsidR="00BA5C36" w:rsidRPr="00C64B0F" w:rsidRDefault="00BA5C36" w:rsidP="00BA5C36">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14CFDC9B" id="_x0000_t202" coordsize="21600,21600" o:spt="202" path="m,l,21600r21600,l21600,xe">
              <v:stroke joinstyle="miter"/>
              <v:path gradientshapeok="t" o:connecttype="rect"/>
            </v:shapetype>
            <v:shape id="Text Box 2" o:spid="_x0000_s1027" type="#_x0000_t202" style="position:absolute;margin-left:80.25pt;margin-top:-1.5pt;width:360.9pt;height:44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55FAF5CE" w14:textId="77777777" w:rsidR="00BA5C36" w:rsidRPr="00C64B0F" w:rsidRDefault="00BA5C36" w:rsidP="00BA5C36">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0BBFBE7A" w14:textId="77777777" w:rsidR="00BA5C36" w:rsidRDefault="00BA5C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F0AC" w14:textId="28AB09BB" w:rsidR="00857DC4" w:rsidRDefault="00857DC4" w:rsidP="00050E16">
    <w:pPr>
      <w:pBdr>
        <w:bottom w:val="single" w:sz="4" w:space="1" w:color="auto"/>
      </w:pBdr>
      <w:spacing w:before="120"/>
      <w:rPr>
        <w:rFonts w:cs="Arial"/>
        <w:lang w:val="en-GB"/>
      </w:rPr>
    </w:pPr>
    <w:r>
      <w:rPr>
        <w:rFonts w:cs="Arial"/>
        <w:i/>
        <w:iCs/>
        <w:sz w:val="18"/>
        <w:szCs w:val="18"/>
        <w:lang w:val="en-GB"/>
      </w:rPr>
      <w:t>UNEP/CMS/ScC-SC6/Doc.7.2</w:t>
    </w:r>
  </w:p>
  <w:p w14:paraId="35D8672B" w14:textId="77777777" w:rsidR="005A0362" w:rsidRPr="005A0362" w:rsidRDefault="005A0362" w:rsidP="005A0362">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502E6"/>
    <w:multiLevelType w:val="hybridMultilevel"/>
    <w:tmpl w:val="ECF06FA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19725BF5"/>
    <w:multiLevelType w:val="hybridMultilevel"/>
    <w:tmpl w:val="08BEC76A"/>
    <w:lvl w:ilvl="0" w:tplc="C19AD03E">
      <w:start w:val="1"/>
      <w:numFmt w:val="lowerLetter"/>
      <w:lvlText w:val="%1."/>
      <w:lvlJc w:val="left"/>
      <w:pPr>
        <w:ind w:left="720" w:hanging="360"/>
      </w:pPr>
      <w:rPr>
        <w:rFonts w:ascii="Roboto" w:eastAsia="Times New Roman" w:hAnsi="Roboto"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97711"/>
    <w:multiLevelType w:val="hybridMultilevel"/>
    <w:tmpl w:val="54D0191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206C1200"/>
    <w:multiLevelType w:val="hybridMultilevel"/>
    <w:tmpl w:val="5F162AB2"/>
    <w:lvl w:ilvl="0" w:tplc="5254D98A">
      <w:start w:val="1"/>
      <w:numFmt w:val="decimal"/>
      <w:lvlText w:val="%1."/>
      <w:lvlJc w:val="left"/>
      <w:pPr>
        <w:ind w:left="720" w:hanging="360"/>
      </w:pPr>
      <w:rPr>
        <w:rFonts w:hint="default"/>
        <w:i w:val="0"/>
        <w:color w:val="00000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D3B"/>
    <w:multiLevelType w:val="hybridMultilevel"/>
    <w:tmpl w:val="B3DCAEE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8"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A23F83"/>
    <w:multiLevelType w:val="hybridMultilevel"/>
    <w:tmpl w:val="44B094E0"/>
    <w:lvl w:ilvl="0" w:tplc="E7E01A0E">
      <w:start w:val="4"/>
      <w:numFmt w:val="decimal"/>
      <w:lvlText w:val="%1."/>
      <w:lvlJc w:val="left"/>
      <w:pPr>
        <w:ind w:left="360" w:hanging="360"/>
      </w:pPr>
      <w:rPr>
        <w:rFonts w:hint="default"/>
        <w:i w:val="0"/>
        <w:iCs w:val="0"/>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2"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7"/>
  </w:num>
  <w:num w:numId="2" w16cid:durableId="1330258007">
    <w:abstractNumId w:val="12"/>
  </w:num>
  <w:num w:numId="3" w16cid:durableId="216629081">
    <w:abstractNumId w:val="22"/>
  </w:num>
  <w:num w:numId="4" w16cid:durableId="2089496676">
    <w:abstractNumId w:val="11"/>
  </w:num>
  <w:num w:numId="5" w16cid:durableId="995305865">
    <w:abstractNumId w:val="9"/>
  </w:num>
  <w:num w:numId="6" w16cid:durableId="1591543126">
    <w:abstractNumId w:val="7"/>
  </w:num>
  <w:num w:numId="7" w16cid:durableId="1509979557">
    <w:abstractNumId w:val="19"/>
  </w:num>
  <w:num w:numId="8" w16cid:durableId="1284387885">
    <w:abstractNumId w:val="16"/>
  </w:num>
  <w:num w:numId="9" w16cid:durableId="1792672819">
    <w:abstractNumId w:val="10"/>
  </w:num>
  <w:num w:numId="10" w16cid:durableId="1602376025">
    <w:abstractNumId w:val="8"/>
  </w:num>
  <w:num w:numId="11" w16cid:durableId="583103219">
    <w:abstractNumId w:val="0"/>
  </w:num>
  <w:num w:numId="12" w16cid:durableId="764500067">
    <w:abstractNumId w:val="5"/>
  </w:num>
  <w:num w:numId="13" w16cid:durableId="241188056">
    <w:abstractNumId w:val="21"/>
  </w:num>
  <w:num w:numId="14" w16cid:durableId="1744138892">
    <w:abstractNumId w:val="13"/>
  </w:num>
  <w:num w:numId="15" w16cid:durableId="512185356">
    <w:abstractNumId w:val="15"/>
  </w:num>
  <w:num w:numId="16" w16cid:durableId="206646908">
    <w:abstractNumId w:val="6"/>
  </w:num>
  <w:num w:numId="17" w16cid:durableId="309864782">
    <w:abstractNumId w:val="18"/>
  </w:num>
  <w:num w:numId="18" w16cid:durableId="707225067">
    <w:abstractNumId w:val="3"/>
  </w:num>
  <w:num w:numId="19" w16cid:durableId="319431349">
    <w:abstractNumId w:val="1"/>
  </w:num>
  <w:num w:numId="20" w16cid:durableId="1934588971">
    <w:abstractNumId w:val="20"/>
  </w:num>
  <w:num w:numId="21" w16cid:durableId="720401230">
    <w:abstractNumId w:val="4"/>
  </w:num>
  <w:num w:numId="22" w16cid:durableId="1999116107">
    <w:abstractNumId w:val="14"/>
  </w:num>
  <w:num w:numId="23" w16cid:durableId="1636065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62CA"/>
    <w:rsid w:val="00017595"/>
    <w:rsid w:val="00023922"/>
    <w:rsid w:val="00034F7E"/>
    <w:rsid w:val="00041658"/>
    <w:rsid w:val="000473C7"/>
    <w:rsid w:val="00050E16"/>
    <w:rsid w:val="00051664"/>
    <w:rsid w:val="00062598"/>
    <w:rsid w:val="00063003"/>
    <w:rsid w:val="00072178"/>
    <w:rsid w:val="00074006"/>
    <w:rsid w:val="00096807"/>
    <w:rsid w:val="0009785B"/>
    <w:rsid w:val="000A463F"/>
    <w:rsid w:val="000A52F9"/>
    <w:rsid w:val="000C0BEB"/>
    <w:rsid w:val="000C2262"/>
    <w:rsid w:val="000C6F4E"/>
    <w:rsid w:val="000D3917"/>
    <w:rsid w:val="000F4744"/>
    <w:rsid w:val="000F5486"/>
    <w:rsid w:val="00114C65"/>
    <w:rsid w:val="00124066"/>
    <w:rsid w:val="00126522"/>
    <w:rsid w:val="00132A70"/>
    <w:rsid w:val="00140C43"/>
    <w:rsid w:val="00156E91"/>
    <w:rsid w:val="00180B39"/>
    <w:rsid w:val="00181CD3"/>
    <w:rsid w:val="001A305C"/>
    <w:rsid w:val="001A4041"/>
    <w:rsid w:val="001B12B6"/>
    <w:rsid w:val="001B231F"/>
    <w:rsid w:val="001B7C41"/>
    <w:rsid w:val="001C0789"/>
    <w:rsid w:val="001C6F60"/>
    <w:rsid w:val="001D57CA"/>
    <w:rsid w:val="001E302A"/>
    <w:rsid w:val="001F0372"/>
    <w:rsid w:val="001F13E4"/>
    <w:rsid w:val="001F56E8"/>
    <w:rsid w:val="00201749"/>
    <w:rsid w:val="0020298D"/>
    <w:rsid w:val="00224E67"/>
    <w:rsid w:val="0023618C"/>
    <w:rsid w:val="00245C35"/>
    <w:rsid w:val="0025212D"/>
    <w:rsid w:val="002964EF"/>
    <w:rsid w:val="00296DD3"/>
    <w:rsid w:val="002B4458"/>
    <w:rsid w:val="002D1E6F"/>
    <w:rsid w:val="002F2584"/>
    <w:rsid w:val="002F48B3"/>
    <w:rsid w:val="00302CED"/>
    <w:rsid w:val="0030558B"/>
    <w:rsid w:val="00306811"/>
    <w:rsid w:val="00313B8D"/>
    <w:rsid w:val="0032111E"/>
    <w:rsid w:val="00340311"/>
    <w:rsid w:val="003408A0"/>
    <w:rsid w:val="00344B67"/>
    <w:rsid w:val="00350388"/>
    <w:rsid w:val="003651F4"/>
    <w:rsid w:val="00385FEE"/>
    <w:rsid w:val="003B1260"/>
    <w:rsid w:val="003C1A96"/>
    <w:rsid w:val="003C6CE1"/>
    <w:rsid w:val="003D7753"/>
    <w:rsid w:val="003E5269"/>
    <w:rsid w:val="003E791B"/>
    <w:rsid w:val="0043788D"/>
    <w:rsid w:val="00440345"/>
    <w:rsid w:val="00450CE6"/>
    <w:rsid w:val="004641A5"/>
    <w:rsid w:val="00464DA3"/>
    <w:rsid w:val="00476FC7"/>
    <w:rsid w:val="00482360"/>
    <w:rsid w:val="00490FF8"/>
    <w:rsid w:val="004A50B3"/>
    <w:rsid w:val="004A6D38"/>
    <w:rsid w:val="004A71A0"/>
    <w:rsid w:val="004B29B4"/>
    <w:rsid w:val="004B3141"/>
    <w:rsid w:val="004B4847"/>
    <w:rsid w:val="004C196A"/>
    <w:rsid w:val="004C73F3"/>
    <w:rsid w:val="004F08DB"/>
    <w:rsid w:val="00511000"/>
    <w:rsid w:val="00514A97"/>
    <w:rsid w:val="00540FF8"/>
    <w:rsid w:val="00544D8B"/>
    <w:rsid w:val="005450B0"/>
    <w:rsid w:val="00551352"/>
    <w:rsid w:val="005576EE"/>
    <w:rsid w:val="00565F47"/>
    <w:rsid w:val="005872F6"/>
    <w:rsid w:val="00591D72"/>
    <w:rsid w:val="005A0362"/>
    <w:rsid w:val="005B4EDC"/>
    <w:rsid w:val="005C53D8"/>
    <w:rsid w:val="005D00EE"/>
    <w:rsid w:val="005E0FE6"/>
    <w:rsid w:val="005E1A0D"/>
    <w:rsid w:val="005E5A64"/>
    <w:rsid w:val="005F509F"/>
    <w:rsid w:val="005F7B3E"/>
    <w:rsid w:val="00611982"/>
    <w:rsid w:val="00624D11"/>
    <w:rsid w:val="00635391"/>
    <w:rsid w:val="00641F39"/>
    <w:rsid w:val="00667436"/>
    <w:rsid w:val="00674D88"/>
    <w:rsid w:val="006B0385"/>
    <w:rsid w:val="006B76DA"/>
    <w:rsid w:val="006D54F0"/>
    <w:rsid w:val="006D6953"/>
    <w:rsid w:val="006F26E4"/>
    <w:rsid w:val="007075BB"/>
    <w:rsid w:val="00711190"/>
    <w:rsid w:val="0071781C"/>
    <w:rsid w:val="007225EC"/>
    <w:rsid w:val="00733CCA"/>
    <w:rsid w:val="0075127E"/>
    <w:rsid w:val="0075540B"/>
    <w:rsid w:val="0076051E"/>
    <w:rsid w:val="00761E2D"/>
    <w:rsid w:val="00763277"/>
    <w:rsid w:val="007652E7"/>
    <w:rsid w:val="007866F5"/>
    <w:rsid w:val="007B268A"/>
    <w:rsid w:val="007C2430"/>
    <w:rsid w:val="007E18C7"/>
    <w:rsid w:val="007E238D"/>
    <w:rsid w:val="007E4CF4"/>
    <w:rsid w:val="007E4D66"/>
    <w:rsid w:val="007F2D11"/>
    <w:rsid w:val="007F4FB8"/>
    <w:rsid w:val="007F6EBD"/>
    <w:rsid w:val="00822E98"/>
    <w:rsid w:val="00844F23"/>
    <w:rsid w:val="00853213"/>
    <w:rsid w:val="00855722"/>
    <w:rsid w:val="008562CA"/>
    <w:rsid w:val="00857DC4"/>
    <w:rsid w:val="0086740F"/>
    <w:rsid w:val="0087479F"/>
    <w:rsid w:val="0088205A"/>
    <w:rsid w:val="00892118"/>
    <w:rsid w:val="008A2C6C"/>
    <w:rsid w:val="008A5B68"/>
    <w:rsid w:val="008B0D8A"/>
    <w:rsid w:val="008B2145"/>
    <w:rsid w:val="008C271A"/>
    <w:rsid w:val="008C5181"/>
    <w:rsid w:val="008D07D0"/>
    <w:rsid w:val="008D7252"/>
    <w:rsid w:val="008E03D7"/>
    <w:rsid w:val="008E5038"/>
    <w:rsid w:val="009006AF"/>
    <w:rsid w:val="00911192"/>
    <w:rsid w:val="00925064"/>
    <w:rsid w:val="00926047"/>
    <w:rsid w:val="00951B0A"/>
    <w:rsid w:val="00966666"/>
    <w:rsid w:val="00971616"/>
    <w:rsid w:val="009756E6"/>
    <w:rsid w:val="0099073B"/>
    <w:rsid w:val="00993708"/>
    <w:rsid w:val="0099545D"/>
    <w:rsid w:val="009A012D"/>
    <w:rsid w:val="009A0DD0"/>
    <w:rsid w:val="009A40F8"/>
    <w:rsid w:val="009A41AA"/>
    <w:rsid w:val="009B16CA"/>
    <w:rsid w:val="009C19C3"/>
    <w:rsid w:val="009C2034"/>
    <w:rsid w:val="009C7B88"/>
    <w:rsid w:val="009D7CD5"/>
    <w:rsid w:val="009F0037"/>
    <w:rsid w:val="009F415B"/>
    <w:rsid w:val="00A06690"/>
    <w:rsid w:val="00A20432"/>
    <w:rsid w:val="00A21B78"/>
    <w:rsid w:val="00A258AE"/>
    <w:rsid w:val="00A40CC0"/>
    <w:rsid w:val="00A4314F"/>
    <w:rsid w:val="00A43CDA"/>
    <w:rsid w:val="00A463C8"/>
    <w:rsid w:val="00A51B0B"/>
    <w:rsid w:val="00A51D8F"/>
    <w:rsid w:val="00A57F6D"/>
    <w:rsid w:val="00A718C7"/>
    <w:rsid w:val="00A73D9F"/>
    <w:rsid w:val="00A76ACA"/>
    <w:rsid w:val="00AB7979"/>
    <w:rsid w:val="00AC1FD9"/>
    <w:rsid w:val="00AE1335"/>
    <w:rsid w:val="00B1488E"/>
    <w:rsid w:val="00B215D7"/>
    <w:rsid w:val="00B43FA1"/>
    <w:rsid w:val="00B474DD"/>
    <w:rsid w:val="00B61063"/>
    <w:rsid w:val="00B66044"/>
    <w:rsid w:val="00B8252B"/>
    <w:rsid w:val="00B92F75"/>
    <w:rsid w:val="00BA5C36"/>
    <w:rsid w:val="00BE2B8F"/>
    <w:rsid w:val="00BE3F67"/>
    <w:rsid w:val="00BE65BB"/>
    <w:rsid w:val="00BE7C6B"/>
    <w:rsid w:val="00C00AA6"/>
    <w:rsid w:val="00C12796"/>
    <w:rsid w:val="00C3316E"/>
    <w:rsid w:val="00C37847"/>
    <w:rsid w:val="00C37CA9"/>
    <w:rsid w:val="00C40D2A"/>
    <w:rsid w:val="00C51531"/>
    <w:rsid w:val="00C515BD"/>
    <w:rsid w:val="00C6402A"/>
    <w:rsid w:val="00C83597"/>
    <w:rsid w:val="00CB655F"/>
    <w:rsid w:val="00CC6068"/>
    <w:rsid w:val="00CE76B0"/>
    <w:rsid w:val="00CF261C"/>
    <w:rsid w:val="00CF4FAC"/>
    <w:rsid w:val="00D15371"/>
    <w:rsid w:val="00D3197C"/>
    <w:rsid w:val="00D36F81"/>
    <w:rsid w:val="00D42040"/>
    <w:rsid w:val="00D5397B"/>
    <w:rsid w:val="00D56B92"/>
    <w:rsid w:val="00D616CE"/>
    <w:rsid w:val="00D6324F"/>
    <w:rsid w:val="00DA207A"/>
    <w:rsid w:val="00DA5310"/>
    <w:rsid w:val="00DA60B1"/>
    <w:rsid w:val="00DB4110"/>
    <w:rsid w:val="00DB5F96"/>
    <w:rsid w:val="00DC7969"/>
    <w:rsid w:val="00DD0E0A"/>
    <w:rsid w:val="00DD5B36"/>
    <w:rsid w:val="00E04CE1"/>
    <w:rsid w:val="00E11DB2"/>
    <w:rsid w:val="00E23D40"/>
    <w:rsid w:val="00E23E6F"/>
    <w:rsid w:val="00E24217"/>
    <w:rsid w:val="00E25EB5"/>
    <w:rsid w:val="00E312A1"/>
    <w:rsid w:val="00E34802"/>
    <w:rsid w:val="00E7631C"/>
    <w:rsid w:val="00EA0B1C"/>
    <w:rsid w:val="00EA498C"/>
    <w:rsid w:val="00ED734C"/>
    <w:rsid w:val="00ED7E89"/>
    <w:rsid w:val="00EE2F58"/>
    <w:rsid w:val="00F01E83"/>
    <w:rsid w:val="00F063A4"/>
    <w:rsid w:val="00F20BEF"/>
    <w:rsid w:val="00F34B01"/>
    <w:rsid w:val="00F4206A"/>
    <w:rsid w:val="00F44FAC"/>
    <w:rsid w:val="00F471A4"/>
    <w:rsid w:val="00F85914"/>
    <w:rsid w:val="00FA0B5A"/>
    <w:rsid w:val="00FB77D4"/>
    <w:rsid w:val="00FC641D"/>
    <w:rsid w:val="00FD3551"/>
    <w:rsid w:val="00FF09FD"/>
    <w:rsid w:val="00FF46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761E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character" w:customStyle="1" w:styleId="Heading1Char">
    <w:name w:val="Heading 1 Char"/>
    <w:basedOn w:val="DefaultParagraphFont"/>
    <w:link w:val="Heading1"/>
    <w:uiPriority w:val="9"/>
    <w:rsid w:val="00761E2D"/>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87479F"/>
    <w:rPr>
      <w:rFonts w:asciiTheme="minorHAnsi" w:hAnsiTheme="minorHAnsi"/>
      <w:sz w:val="20"/>
      <w:szCs w:val="20"/>
    </w:rPr>
  </w:style>
  <w:style w:type="character" w:customStyle="1" w:styleId="FootnoteTextChar">
    <w:name w:val="Footnote Text Char"/>
    <w:basedOn w:val="DefaultParagraphFont"/>
    <w:link w:val="FootnoteText"/>
    <w:uiPriority w:val="99"/>
    <w:rsid w:val="0087479F"/>
    <w:rPr>
      <w:sz w:val="20"/>
      <w:szCs w:val="20"/>
    </w:rPr>
  </w:style>
  <w:style w:type="character" w:styleId="FootnoteReference">
    <w:name w:val="footnote reference"/>
    <w:basedOn w:val="DefaultParagraphFont"/>
    <w:uiPriority w:val="99"/>
    <w:unhideWhenUsed/>
    <w:rsid w:val="008747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cms.int/sites/default/files/document/cms_cop13_doc.24_review-conservation-status-migratory-species_Annex3_e_0.pdf" TargetMode="External"/><Relationship Id="rId3" Type="http://schemas.openxmlformats.org/officeDocument/2006/relationships/customXml" Target="../customXml/item3.xml"/><Relationship Id="rId21" Type="http://schemas.openxmlformats.org/officeDocument/2006/relationships/hyperlink" Target="https://www.cms.int/fr/page/decisions-13109-%C3%A0-13112-g%C3%A9rer-lutilisation-non-durable-de-la-viande-d%E2%80%99animaux-sauvage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cms.int/fr/node/1961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fr/node/18839" TargetMode="External"/><Relationship Id="rId20" Type="http://schemas.openxmlformats.org/officeDocument/2006/relationships/hyperlink" Target="https://www.cms.int/fr/page/decisions-1324-%C3%A0-1326-%C3%A9tat-de-conservation-des-esp%C3%A8ces-migratr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www.cms.int/fr/page/decisions-1316-%C3%A0-1319-application-de-l%E2%80%99article-iii-de-la-convention-concernant-le-commer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cms.int/fr/node/2439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UserInfo>
        <DisplayName>Marco Barbieri</DisplayName>
        <AccountId>22</AccountId>
        <AccountType/>
      </UserInfo>
    </SharedWithUsers>
    <Reviewer xmlns="a7b50396-0b06-45c1-b28e-46f86d566a10" xsi:nil="true"/>
    <MariaJoseOrtiz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66929-160B-45B0-8DCA-4CE74A4326EB}">
  <ds:schemaRefs>
    <ds:schemaRef ds:uri="http://schemas.microsoft.com/office/2006/documentManagement/types"/>
    <ds:schemaRef ds:uri="http://schemas.microsoft.com/office/2006/metadata/properties"/>
    <ds:schemaRef ds:uri="http://purl.org/dc/elements/1.1/"/>
    <ds:schemaRef ds:uri="http://www.w3.org/XML/1998/namespace"/>
    <ds:schemaRef ds:uri="a7b50396-0b06-45c1-b28e-46f86d566a10"/>
    <ds:schemaRef ds:uri="http://purl.org/dc/terms/"/>
    <ds:schemaRef ds:uri="http://schemas.microsoft.com/office/infopath/2007/PartnerControls"/>
    <ds:schemaRef ds:uri="http://purl.org/dc/dcmitype/"/>
    <ds:schemaRef ds:uri="http://schemas.openxmlformats.org/package/2006/metadata/core-properties"/>
    <ds:schemaRef ds:uri="c15478a5-0be8-4f5d-8383-b307d5ba8bf6"/>
    <ds:schemaRef ds:uri="985ec44e-1bab-4c0b-9df0-6ba128686fc9"/>
  </ds:schemaRefs>
</ds:datastoreItem>
</file>

<file path=customXml/itemProps2.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3.xml><?xml version="1.0" encoding="utf-8"?>
<ds:datastoreItem xmlns:ds="http://schemas.openxmlformats.org/officeDocument/2006/customXml" ds:itemID="{5E848210-B6CA-43E8-9686-B84AF9359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Brueckner</dc:creator>
  <cp:keywords/>
  <dc:description>Translated by IDEST – info@idestnet.com</dc:description>
  <cp:lastModifiedBy>Catherine Brueckner</cp:lastModifiedBy>
  <cp:revision>3</cp:revision>
  <cp:lastPrinted>2019-12-06T20:21:00Z</cp:lastPrinted>
  <dcterms:created xsi:type="dcterms:W3CDTF">2023-07-11T06:46:00Z</dcterms:created>
  <dcterms:modified xsi:type="dcterms:W3CDTF">2023-07-11T07:01:00Z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