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A2D3" w14:textId="77777777" w:rsidR="00187BE8" w:rsidRPr="00297A6E" w:rsidRDefault="009F6DE7" w:rsidP="00297A6E">
      <w:pPr>
        <w:pStyle w:val="Header"/>
        <w:tabs>
          <w:tab w:val="clear" w:pos="4680"/>
          <w:tab w:val="clear" w:pos="9360"/>
        </w:tabs>
        <w:rPr>
          <w:rFonts w:cs="Arial"/>
          <w:lang w:val="fr-FR"/>
        </w:rPr>
      </w:pPr>
    </w:p>
    <w:p w14:paraId="2F5D769F" w14:textId="2F9C854F" w:rsidR="005D00EE" w:rsidRDefault="005D00EE">
      <w:pPr>
        <w:rPr>
          <w:rFonts w:cs="Arial"/>
          <w:noProof/>
          <w:spacing w:val="-2"/>
          <w:lang w:val="fr-FR" w:eastAsia="en-GB"/>
        </w:rPr>
      </w:pPr>
    </w:p>
    <w:p w14:paraId="7EABEC4F" w14:textId="77777777" w:rsidR="009F6DE7" w:rsidRPr="00D46533" w:rsidRDefault="009F6DE7" w:rsidP="009F6DE7">
      <w:pPr>
        <w:tabs>
          <w:tab w:val="left" w:pos="-1057"/>
          <w:tab w:val="left" w:pos="-720"/>
        </w:tabs>
        <w:jc w:val="center"/>
        <w:rPr>
          <w:rFonts w:cs="Arial"/>
          <w:b/>
          <w:sz w:val="28"/>
          <w:szCs w:val="28"/>
          <w:lang w:val="fr-FR"/>
        </w:rPr>
      </w:pPr>
      <w:r>
        <w:rPr>
          <w:rFonts w:cs="Arial"/>
          <w:b/>
          <w:sz w:val="28"/>
          <w:szCs w:val="28"/>
          <w:lang w:val="fr-FR"/>
        </w:rPr>
        <w:t>6</w:t>
      </w:r>
      <w:r w:rsidRPr="00D46533">
        <w:rPr>
          <w:rFonts w:cs="Arial"/>
          <w:b/>
          <w:sz w:val="28"/>
          <w:szCs w:val="28"/>
          <w:vertAlign w:val="superscript"/>
          <w:lang w:val="fr-FR"/>
        </w:rPr>
        <w:t>ème</w:t>
      </w:r>
      <w:r w:rsidRPr="00D46533">
        <w:rPr>
          <w:rFonts w:cs="Arial"/>
          <w:b/>
          <w:sz w:val="28"/>
          <w:szCs w:val="28"/>
          <w:lang w:val="fr-FR"/>
        </w:rPr>
        <w:t xml:space="preserve"> Réunion du Comité de session du </w:t>
      </w:r>
    </w:p>
    <w:p w14:paraId="2495856B" w14:textId="77777777" w:rsidR="009F6DE7" w:rsidRPr="00D46533" w:rsidRDefault="009F6DE7" w:rsidP="009F6DE7">
      <w:pPr>
        <w:tabs>
          <w:tab w:val="left" w:pos="-1057"/>
          <w:tab w:val="left" w:pos="-720"/>
        </w:tabs>
        <w:spacing w:after="120"/>
        <w:jc w:val="center"/>
        <w:rPr>
          <w:rFonts w:cs="Arial"/>
          <w:b/>
          <w:sz w:val="28"/>
          <w:szCs w:val="28"/>
          <w:lang w:val="fr-FR"/>
        </w:rPr>
      </w:pPr>
      <w:r w:rsidRPr="00D46533">
        <w:rPr>
          <w:rFonts w:cs="Arial"/>
          <w:b/>
          <w:sz w:val="28"/>
          <w:szCs w:val="28"/>
          <w:lang w:val="fr-FR"/>
        </w:rPr>
        <w:t>Conseil scientifique de la CMS (ScC-SC</w:t>
      </w:r>
      <w:r>
        <w:rPr>
          <w:rFonts w:cs="Arial"/>
          <w:b/>
          <w:sz w:val="28"/>
          <w:szCs w:val="28"/>
          <w:lang w:val="fr-FR"/>
        </w:rPr>
        <w:t>6</w:t>
      </w:r>
      <w:r w:rsidRPr="00D46533">
        <w:rPr>
          <w:rFonts w:cs="Arial"/>
          <w:b/>
          <w:sz w:val="28"/>
          <w:szCs w:val="28"/>
          <w:lang w:val="fr-FR"/>
        </w:rPr>
        <w:t>)</w:t>
      </w:r>
    </w:p>
    <w:p w14:paraId="172C10F2" w14:textId="77777777" w:rsidR="009F6DE7" w:rsidRPr="00D46533" w:rsidRDefault="009F6DE7" w:rsidP="009F6DE7">
      <w:pPr>
        <w:pBdr>
          <w:bottom w:val="single" w:sz="4" w:space="1" w:color="auto"/>
        </w:pBdr>
        <w:kinsoku w:val="0"/>
        <w:overflowPunct w:val="0"/>
        <w:jc w:val="center"/>
        <w:outlineLvl w:val="0"/>
        <w:rPr>
          <w:rFonts w:cs="Arial"/>
          <w:bCs/>
          <w:i/>
          <w:spacing w:val="-4"/>
          <w:lang w:val="fr-FR"/>
        </w:rPr>
      </w:pPr>
      <w:r>
        <w:rPr>
          <w:rFonts w:cs="Arial"/>
          <w:bCs/>
          <w:i/>
          <w:spacing w:val="-4"/>
          <w:lang w:val="fr-FR"/>
        </w:rPr>
        <w:t>Bonn, Allemagne, 18 – 21 juillet 2023</w:t>
      </w:r>
    </w:p>
    <w:p w14:paraId="1092DACD" w14:textId="25976B50" w:rsidR="009F6DE7" w:rsidRPr="00D46533" w:rsidRDefault="009F6DE7" w:rsidP="009F6DE7">
      <w:pPr>
        <w:spacing w:before="120"/>
        <w:jc w:val="right"/>
        <w:rPr>
          <w:rFonts w:cs="Arial"/>
          <w:lang w:val="fr-FR"/>
        </w:rPr>
      </w:pPr>
      <w:r w:rsidRPr="00D46533">
        <w:rPr>
          <w:rFonts w:cs="Arial"/>
          <w:lang w:val="fr-FR"/>
        </w:rPr>
        <w:t>UNEP/CMS/ScC-SC</w:t>
      </w:r>
      <w:r>
        <w:rPr>
          <w:rFonts w:cs="Arial"/>
          <w:lang w:val="fr-FR"/>
        </w:rPr>
        <w:t>6</w:t>
      </w:r>
      <w:r w:rsidRPr="00D46533">
        <w:rPr>
          <w:rFonts w:cs="Arial"/>
          <w:lang w:val="fr-FR"/>
        </w:rPr>
        <w:t>/Doc.</w:t>
      </w:r>
      <w:r>
        <w:rPr>
          <w:rFonts w:cs="Arial"/>
          <w:lang w:val="fr-FR"/>
        </w:rPr>
        <w:t>12.4.2</w:t>
      </w:r>
    </w:p>
    <w:p w14:paraId="2FF7E9C0" w14:textId="77777777" w:rsidR="004641A5" w:rsidRDefault="004641A5" w:rsidP="004641A5">
      <w:pPr>
        <w:rPr>
          <w:rFonts w:cs="Arial"/>
          <w:lang w:val="fr-FR"/>
        </w:rPr>
      </w:pPr>
    </w:p>
    <w:p w14:paraId="2AA9F70B" w14:textId="77777777" w:rsidR="004641A5" w:rsidRDefault="004641A5" w:rsidP="004641A5">
      <w:pPr>
        <w:tabs>
          <w:tab w:val="left" w:pos="6285"/>
        </w:tabs>
        <w:jc w:val="both"/>
        <w:rPr>
          <w:rFonts w:cs="Arial"/>
          <w:lang w:val="fr-FR"/>
        </w:rPr>
      </w:pPr>
    </w:p>
    <w:p w14:paraId="04CE7F80" w14:textId="77777777" w:rsidR="009F6DE7" w:rsidRDefault="009F6DE7" w:rsidP="004641A5">
      <w:pPr>
        <w:tabs>
          <w:tab w:val="left" w:pos="6285"/>
        </w:tabs>
        <w:jc w:val="both"/>
        <w:rPr>
          <w:rFonts w:cs="Arial"/>
          <w:lang w:val="fr-FR"/>
        </w:rPr>
      </w:pPr>
    </w:p>
    <w:p w14:paraId="557726D4" w14:textId="1E542C5D" w:rsidR="004641A5" w:rsidRPr="00E6128E" w:rsidRDefault="00B6779D" w:rsidP="004641A5">
      <w:pPr>
        <w:pStyle w:val="Heading2"/>
        <w:keepNext w:val="0"/>
        <w:spacing w:after="120"/>
        <w:ind w:left="-86" w:right="-360"/>
        <w:rPr>
          <w:rFonts w:ascii="Arial" w:hAnsi="Arial" w:cs="Arial"/>
          <w:szCs w:val="22"/>
          <w:lang w:val="fr-FR"/>
        </w:rPr>
      </w:pPr>
      <w:r>
        <w:rPr>
          <w:rFonts w:ascii="Arial" w:hAnsi="Arial" w:cs="Arial"/>
          <w:szCs w:val="22"/>
          <w:lang w:val="fr-FR"/>
        </w:rPr>
        <w:t>DÉCLIN DES INSECTES ET LES MENACES QU’IL REPRÉSENTE POUR LES POPULATIONS ANIMALES MIGRATRICES INSECTIVORES</w:t>
      </w:r>
    </w:p>
    <w:p w14:paraId="24C384A4" w14:textId="2CB93EF1" w:rsidR="008345CC" w:rsidRPr="00A2712A" w:rsidRDefault="004641A5" w:rsidP="008345CC">
      <w:pPr>
        <w:jc w:val="center"/>
        <w:rPr>
          <w:rFonts w:cs="Arial"/>
          <w:iCs/>
          <w:lang w:val="fr-FR"/>
        </w:rPr>
      </w:pPr>
      <w:r>
        <w:rPr>
          <w:rFonts w:cs="Arial"/>
          <w:i/>
          <w:lang w:val="fr-FR"/>
        </w:rPr>
        <w:t>(Préparé par le Secrétariat</w:t>
      </w:r>
      <w:r>
        <w:rPr>
          <w:rFonts w:cs="Arial"/>
          <w:iCs/>
          <w:lang w:val="fr-FR"/>
        </w:rPr>
        <w:t>)</w:t>
      </w:r>
    </w:p>
    <w:p w14:paraId="071B4C18" w14:textId="6402DB3A" w:rsidR="004641A5" w:rsidRDefault="004641A5" w:rsidP="004641A5">
      <w:pPr>
        <w:jc w:val="both"/>
        <w:rPr>
          <w:rFonts w:cs="Arial"/>
          <w:lang w:val="fr-FR"/>
        </w:rPr>
      </w:pPr>
    </w:p>
    <w:p w14:paraId="3D42EBA4" w14:textId="73172950" w:rsidR="004641A5" w:rsidRDefault="004641A5" w:rsidP="004641A5">
      <w:pPr>
        <w:jc w:val="both"/>
        <w:rPr>
          <w:rFonts w:cs="Arial"/>
          <w:lang w:val="fr-FR"/>
        </w:rPr>
      </w:pPr>
    </w:p>
    <w:p w14:paraId="4B56D1E3" w14:textId="1ECCD293" w:rsidR="004641A5" w:rsidRDefault="004641A5" w:rsidP="004641A5">
      <w:pPr>
        <w:jc w:val="both"/>
        <w:rPr>
          <w:rFonts w:cs="Arial"/>
          <w:lang w:val="fr-FR"/>
        </w:rPr>
      </w:pPr>
    </w:p>
    <w:p w14:paraId="40D991D3" w14:textId="32B712AB" w:rsidR="005872F6" w:rsidRDefault="009F6DE7" w:rsidP="003C1A96">
      <w:pPr>
        <w:suppressAutoHyphens/>
        <w:rPr>
          <w:rFonts w:cs="Arial"/>
          <w:lang w:val="fr-FR"/>
        </w:rPr>
      </w:pPr>
      <w:r>
        <w:rPr>
          <w:rFonts w:cs="Arial"/>
          <w:noProof/>
          <w:lang w:val="fr-FR"/>
        </w:rPr>
        <mc:AlternateContent>
          <mc:Choice Requires="wps">
            <w:drawing>
              <wp:anchor distT="0" distB="0" distL="114300" distR="114300" simplePos="0" relativeHeight="251658240" behindDoc="1" locked="0" layoutInCell="1" allowOverlap="1" wp14:anchorId="52179A00" wp14:editId="249EB795">
                <wp:simplePos x="0" y="0"/>
                <wp:positionH relativeFrom="margin">
                  <wp:posOffset>1022350</wp:posOffset>
                </wp:positionH>
                <wp:positionV relativeFrom="margin">
                  <wp:posOffset>2755265</wp:posOffset>
                </wp:positionV>
                <wp:extent cx="4219575" cy="177165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771650"/>
                        </a:xfrm>
                        <a:prstGeom prst="rect">
                          <a:avLst/>
                        </a:prstGeom>
                        <a:solidFill>
                          <a:srgbClr val="FFFFFF"/>
                        </a:solidFill>
                        <a:ln w="3175">
                          <a:solidFill>
                            <a:srgbClr val="000000"/>
                          </a:solidFill>
                          <a:miter lim="800000"/>
                          <a:headEnd/>
                          <a:tailEnd/>
                        </a:ln>
                      </wps:spPr>
                      <wps:txbx>
                        <w:txbxContent>
                          <w:p w14:paraId="3C38239E" w14:textId="389DF19A" w:rsidR="00C6402A" w:rsidRDefault="00857DC4" w:rsidP="00C6402A">
                            <w:pPr>
                              <w:rPr>
                                <w:rFonts w:cs="Arial"/>
                                <w:lang w:val="fr-FR"/>
                              </w:rPr>
                            </w:pPr>
                            <w:r>
                              <w:rPr>
                                <w:rFonts w:cs="Arial"/>
                                <w:lang w:val="fr-FR"/>
                              </w:rPr>
                              <w:t>Résumé :</w:t>
                            </w:r>
                          </w:p>
                          <w:p w14:paraId="2B188FCC" w14:textId="77777777" w:rsidR="00C25A6C" w:rsidRDefault="00C25A6C" w:rsidP="00B6779D">
                            <w:pPr>
                              <w:pStyle w:val="BodyText2"/>
                              <w:rPr>
                                <w:lang w:val="fr-FR"/>
                              </w:rPr>
                            </w:pPr>
                          </w:p>
                          <w:p w14:paraId="3B271222" w14:textId="62812255" w:rsidR="00C6402A" w:rsidRPr="009F6DE7" w:rsidRDefault="00B6779D" w:rsidP="00B6779D">
                            <w:pPr>
                              <w:pStyle w:val="BodyText2"/>
                              <w:rPr>
                                <w:sz w:val="22"/>
                                <w:szCs w:val="22"/>
                                <w:lang w:val="fr-FR"/>
                              </w:rPr>
                            </w:pPr>
                            <w:r w:rsidRPr="009F6DE7">
                              <w:rPr>
                                <w:color w:val="000000" w:themeColor="text1"/>
                                <w:sz w:val="22"/>
                                <w:szCs w:val="22"/>
                                <w:lang w:val="fr-FR"/>
                              </w:rPr>
                              <w:t xml:space="preserve">Ce document comprend un rapport préliminaire sur les principaux facteurs à l’origine de la perte établie de biomasse d’insectes et sa réaction en chaîne sur les </w:t>
                            </w:r>
                            <w:r w:rsidRPr="009F6DE7">
                              <w:rPr>
                                <w:sz w:val="22"/>
                                <w:szCs w:val="22"/>
                                <w:lang w:val="fr-FR"/>
                              </w:rPr>
                              <w:t>populations animales migratrices insectivores. Le document vise à contribuer au mandat du Conseil scientifique sur le déclin des insectes figurant à la Décision 13.129 de la C</w:t>
                            </w:r>
                            <w:r w:rsidR="009F6DE7">
                              <w:rPr>
                                <w:sz w:val="22"/>
                                <w:szCs w:val="22"/>
                                <w:lang w:val="fr-FR"/>
                              </w:rPr>
                              <w:t>MS</w:t>
                            </w:r>
                            <w:r w:rsidRPr="009F6DE7">
                              <w:rPr>
                                <w:sz w:val="22"/>
                                <w:szCs w:val="22"/>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79A00" id="_x0000_t202" coordsize="21600,21600" o:spt="202" path="m,l,21600r21600,l21600,xe">
                <v:stroke joinstyle="miter"/>
                <v:path gradientshapeok="t" o:connecttype="rect"/>
              </v:shapetype>
              <v:shape id="Text Box 5" o:spid="_x0000_s1026" type="#_x0000_t202" style="position:absolute;margin-left:80.5pt;margin-top:216.95pt;width:332.25pt;height:13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" strokeweight=".25pt">
                <v:textbox>
                  <w:txbxContent>
                    <w:p w14:paraId="3C38239E" w14:textId="389DF19A" w:rsidR="00C6402A" w:rsidRDefault="00857DC4" w:rsidP="00C6402A">
                      <w:pPr>
                        <w:rPr>
                          <w:rFonts w:cs="Arial"/>
                          <w:lang w:val="fr-FR"/>
                        </w:rPr>
                      </w:pPr>
                      <w:r>
                        <w:rPr>
                          <w:rFonts w:cs="Arial"/>
                          <w:lang w:val="fr-FR"/>
                        </w:rPr>
                        <w:t>Résumé :</w:t>
                      </w:r>
                    </w:p>
                    <w:p w14:paraId="2B188FCC" w14:textId="77777777" w:rsidR="00C25A6C" w:rsidRDefault="00C25A6C" w:rsidP="00B6779D">
                      <w:pPr>
                        <w:pStyle w:val="BodyText2"/>
                        <w:rPr>
                          <w:lang w:val="fr-FR"/>
                        </w:rPr>
                      </w:pPr>
                    </w:p>
                    <w:p w14:paraId="3B271222" w14:textId="62812255" w:rsidR="00C6402A" w:rsidRPr="009F6DE7" w:rsidRDefault="00B6779D" w:rsidP="00B6779D">
                      <w:pPr>
                        <w:pStyle w:val="BodyText2"/>
                        <w:rPr>
                          <w:sz w:val="22"/>
                          <w:szCs w:val="22"/>
                          <w:lang w:val="fr-FR"/>
                        </w:rPr>
                      </w:pPr>
                      <w:r w:rsidRPr="009F6DE7">
                        <w:rPr>
                          <w:color w:val="000000" w:themeColor="text1"/>
                          <w:sz w:val="22"/>
                          <w:szCs w:val="22"/>
                          <w:lang w:val="fr-FR"/>
                        </w:rPr>
                        <w:t xml:space="preserve">Ce document comprend un rapport préliminaire sur les principaux facteurs à l’origine de la perte établie de biomasse d’insectes et sa réaction en chaîne sur les </w:t>
                      </w:r>
                      <w:r w:rsidRPr="009F6DE7">
                        <w:rPr>
                          <w:sz w:val="22"/>
                          <w:szCs w:val="22"/>
                          <w:lang w:val="fr-FR"/>
                        </w:rPr>
                        <w:t>populations animales migratrices insectivores. Le document vise à contribuer au mandat du Conseil scientifique sur le déclin des insectes figurant à la Décision 13.129 de la C</w:t>
                      </w:r>
                      <w:r w:rsidR="009F6DE7">
                        <w:rPr>
                          <w:sz w:val="22"/>
                          <w:szCs w:val="22"/>
                          <w:lang w:val="fr-FR"/>
                        </w:rPr>
                        <w:t>MS</w:t>
                      </w:r>
                      <w:r w:rsidRPr="009F6DE7">
                        <w:rPr>
                          <w:sz w:val="22"/>
                          <w:szCs w:val="22"/>
                          <w:lang w:val="fr-FR"/>
                        </w:rPr>
                        <w:t>.</w:t>
                      </w:r>
                    </w:p>
                  </w:txbxContent>
                </v:textbox>
                <w10:wrap type="square" anchorx="margin" anchory="margin"/>
              </v:shape>
            </w:pict>
          </mc:Fallback>
        </mc:AlternateContent>
      </w:r>
    </w:p>
    <w:p w14:paraId="4E23A53C" w14:textId="77777777" w:rsidR="005A0362" w:rsidRDefault="005A0362" w:rsidP="003C1A96">
      <w:pPr>
        <w:suppressAutoHyphens/>
        <w:rPr>
          <w:rFonts w:eastAsia="Times New Roman" w:cs="Arial"/>
          <w:color w:val="000000"/>
          <w:kern w:val="2"/>
          <w:lang w:val="fr-FR"/>
        </w:rPr>
        <w:sectPr w:rsidR="005A0362" w:rsidSect="004641A5">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20" w:footer="580" w:gutter="0"/>
          <w:cols w:space="720"/>
          <w:titlePg/>
          <w:docGrid w:linePitch="360"/>
        </w:sectPr>
      </w:pPr>
    </w:p>
    <w:p w14:paraId="4B667251" w14:textId="77777777" w:rsidR="009F6DE7" w:rsidRDefault="009F6DE7" w:rsidP="00B6779D">
      <w:pPr>
        <w:pStyle w:val="Heading2"/>
        <w:keepNext w:val="0"/>
        <w:spacing w:after="120"/>
        <w:ind w:left="-86" w:right="-360"/>
        <w:rPr>
          <w:rFonts w:ascii="Arial" w:hAnsi="Arial" w:cs="Arial"/>
          <w:szCs w:val="22"/>
          <w:lang w:val="fr-FR"/>
        </w:rPr>
      </w:pPr>
    </w:p>
    <w:p w14:paraId="05A67AD7" w14:textId="0F0EF1FF" w:rsidR="00B6779D" w:rsidRPr="00E6128E" w:rsidRDefault="00B6779D" w:rsidP="00B6779D">
      <w:pPr>
        <w:pStyle w:val="Heading2"/>
        <w:keepNext w:val="0"/>
        <w:spacing w:after="120"/>
        <w:ind w:left="-86" w:right="-360"/>
        <w:rPr>
          <w:rFonts w:ascii="Arial" w:hAnsi="Arial" w:cs="Arial"/>
          <w:szCs w:val="22"/>
          <w:lang w:val="fr-FR"/>
        </w:rPr>
      </w:pPr>
      <w:r>
        <w:rPr>
          <w:rFonts w:ascii="Arial" w:hAnsi="Arial" w:cs="Arial"/>
          <w:szCs w:val="22"/>
          <w:lang w:val="fr-FR"/>
        </w:rPr>
        <w:t>DÉCLIN DES INSECTES ET LES MENACES QU’IL REPRÉSENTE POUR LES POPULATIONS ANIMALES MIGRATRICES INSECTIVORES</w:t>
      </w:r>
    </w:p>
    <w:p w14:paraId="2831E929" w14:textId="015DF4A0" w:rsidR="005A0362" w:rsidRDefault="005A0362" w:rsidP="003C1A96">
      <w:pPr>
        <w:suppressAutoHyphens/>
        <w:rPr>
          <w:rFonts w:eastAsia="Times New Roman" w:cs="Arial"/>
          <w:color w:val="000000"/>
          <w:kern w:val="2"/>
          <w:lang w:val="fr-FR"/>
        </w:rPr>
      </w:pPr>
    </w:p>
    <w:p w14:paraId="0D4102A5" w14:textId="77777777" w:rsidR="009F6DE7" w:rsidRDefault="009F6DE7" w:rsidP="003C1A96">
      <w:pPr>
        <w:suppressAutoHyphens/>
        <w:rPr>
          <w:rFonts w:eastAsia="Times New Roman" w:cs="Arial"/>
          <w:color w:val="000000"/>
          <w:kern w:val="2"/>
          <w:lang w:val="fr-FR"/>
        </w:rPr>
      </w:pPr>
    </w:p>
    <w:p w14:paraId="01D69D8C" w14:textId="3889869F" w:rsidR="00B6779D" w:rsidRDefault="00B6779D" w:rsidP="00B6779D">
      <w:pPr>
        <w:pStyle w:val="Heading1"/>
        <w:rPr>
          <w:lang w:val="fr-FR"/>
        </w:rPr>
      </w:pPr>
      <w:r>
        <w:rPr>
          <w:lang w:val="fr-FR"/>
        </w:rPr>
        <w:t>Contexte</w:t>
      </w:r>
    </w:p>
    <w:p w14:paraId="5020E834" w14:textId="77777777" w:rsidR="00B6779D" w:rsidRDefault="00B6779D" w:rsidP="003C1A96">
      <w:pPr>
        <w:suppressAutoHyphens/>
        <w:rPr>
          <w:rFonts w:eastAsia="Times New Roman" w:cs="Arial"/>
          <w:color w:val="000000"/>
          <w:kern w:val="2"/>
          <w:u w:val="single"/>
          <w:lang w:val="fr-FR"/>
        </w:rPr>
      </w:pPr>
    </w:p>
    <w:p w14:paraId="00F0F4E4" w14:textId="6FB12F65" w:rsidR="00B6779D" w:rsidRPr="00B6779D" w:rsidRDefault="00B6779D" w:rsidP="00B6779D">
      <w:pPr>
        <w:pStyle w:val="ListParagraph"/>
        <w:numPr>
          <w:ilvl w:val="0"/>
          <w:numId w:val="19"/>
        </w:numPr>
        <w:ind w:hanging="720"/>
        <w:jc w:val="both"/>
        <w:rPr>
          <w:rFonts w:ascii="Arial" w:hAnsi="Arial" w:cs="Arial"/>
          <w:sz w:val="22"/>
          <w:szCs w:val="22"/>
          <w:lang w:val="fr-FR"/>
        </w:rPr>
      </w:pPr>
      <w:r>
        <w:rPr>
          <w:rFonts w:ascii="Arial" w:hAnsi="Arial" w:cs="Arial"/>
          <w:sz w:val="22"/>
          <w:szCs w:val="22"/>
          <w:lang w:val="fr-FR"/>
        </w:rPr>
        <w:t xml:space="preserve">La communauté scientifique </w:t>
      </w:r>
      <w:r>
        <w:rPr>
          <w:rFonts w:ascii="Arial" w:hAnsi="Arial"/>
          <w:color w:val="000000" w:themeColor="text1"/>
          <w:sz w:val="22"/>
          <w:lang w:val="fr-FR"/>
        </w:rPr>
        <w:t xml:space="preserve">s’accorde </w:t>
      </w:r>
      <w:r>
        <w:rPr>
          <w:rFonts w:ascii="Arial" w:hAnsi="Arial" w:cs="Arial"/>
          <w:color w:val="000000" w:themeColor="text1"/>
          <w:sz w:val="22"/>
          <w:szCs w:val="22"/>
          <w:lang w:val="fr-FR"/>
        </w:rPr>
        <w:t>sur</w:t>
      </w:r>
      <w:r>
        <w:rPr>
          <w:rFonts w:ascii="Arial" w:hAnsi="Arial"/>
          <w:color w:val="000000" w:themeColor="text1"/>
          <w:sz w:val="22"/>
          <w:lang w:val="fr-FR"/>
        </w:rPr>
        <w:t xml:space="preserve"> </w:t>
      </w:r>
      <w:r>
        <w:rPr>
          <w:rFonts w:ascii="Arial" w:hAnsi="Arial" w:cs="Arial"/>
          <w:sz w:val="22"/>
          <w:szCs w:val="22"/>
          <w:lang w:val="fr-FR"/>
        </w:rPr>
        <w:t>le déclin spectaculaire de la biodiversité et de la biomasse d’insectes dans de nombreuses régions du monde. Ce constat est confirmé par le rapport d’évaluation mondial de l’IPBES sur la biodiversité et les services écosystémiques,</w:t>
      </w:r>
      <w:r>
        <w:rPr>
          <w:rStyle w:val="FootnoteReference"/>
          <w:rFonts w:ascii="Arial" w:hAnsi="Arial" w:cs="Arial"/>
          <w:sz w:val="22"/>
          <w:szCs w:val="22"/>
          <w:lang w:val="fr-FR"/>
        </w:rPr>
        <w:footnoteReference w:id="2"/>
      </w:r>
      <w:r>
        <w:rPr>
          <w:rFonts w:ascii="Arial" w:hAnsi="Arial" w:cs="Arial"/>
          <w:sz w:val="22"/>
          <w:szCs w:val="22"/>
          <w:lang w:val="fr-FR"/>
        </w:rPr>
        <w:t xml:space="preserve"> qui souligne également le déclin rapide des populations et de l’abondance d’insectes.</w:t>
      </w:r>
    </w:p>
    <w:p w14:paraId="1CEE0171" w14:textId="77777777" w:rsidR="00B6779D" w:rsidRPr="00B6779D" w:rsidRDefault="00B6779D" w:rsidP="00B6779D">
      <w:pPr>
        <w:pStyle w:val="ListParagraph"/>
        <w:jc w:val="both"/>
        <w:rPr>
          <w:rFonts w:ascii="Arial" w:hAnsi="Arial" w:cs="Arial"/>
          <w:sz w:val="22"/>
          <w:szCs w:val="22"/>
          <w:lang w:val="fr-FR"/>
        </w:rPr>
      </w:pPr>
    </w:p>
    <w:p w14:paraId="2AFE54F0" w14:textId="76F557BD" w:rsidR="00B6779D" w:rsidRPr="00B6779D" w:rsidRDefault="00B6779D" w:rsidP="00B6779D">
      <w:pPr>
        <w:pStyle w:val="ListParagraph"/>
        <w:numPr>
          <w:ilvl w:val="0"/>
          <w:numId w:val="19"/>
        </w:numPr>
        <w:ind w:hanging="720"/>
        <w:jc w:val="both"/>
        <w:rPr>
          <w:rFonts w:ascii="Arial" w:hAnsi="Arial" w:cs="Arial"/>
          <w:sz w:val="22"/>
          <w:szCs w:val="22"/>
          <w:lang w:val="fr-FR"/>
        </w:rPr>
      </w:pPr>
      <w:r>
        <w:rPr>
          <w:rFonts w:ascii="Arial" w:hAnsi="Arial" w:cs="Arial"/>
          <w:sz w:val="22"/>
          <w:szCs w:val="22"/>
          <w:lang w:val="fr-FR"/>
        </w:rPr>
        <w:t xml:space="preserve">La biodiversité des insectes joue un rôle vital dans le </w:t>
      </w:r>
      <w:r>
        <w:rPr>
          <w:rFonts w:ascii="Arial" w:hAnsi="Arial" w:cs="Arial"/>
          <w:color w:val="000000" w:themeColor="text1"/>
          <w:sz w:val="22"/>
          <w:szCs w:val="22"/>
          <w:lang w:val="fr-FR"/>
        </w:rPr>
        <w:t>bon</w:t>
      </w:r>
      <w:r>
        <w:rPr>
          <w:rFonts w:ascii="Arial" w:hAnsi="Arial"/>
          <w:color w:val="000000" w:themeColor="text1"/>
          <w:sz w:val="22"/>
          <w:lang w:val="fr-FR"/>
        </w:rPr>
        <w:t xml:space="preserve"> fonctionnement</w:t>
      </w:r>
      <w:r>
        <w:rPr>
          <w:rFonts w:ascii="Arial" w:hAnsi="Arial" w:cs="Arial"/>
          <w:sz w:val="22"/>
          <w:szCs w:val="22"/>
          <w:lang w:val="fr-FR"/>
        </w:rPr>
        <w:t xml:space="preserve"> de nombreux écosystèmes du monde et de leurs services. Les insectes constituent une </w:t>
      </w:r>
      <w:r>
        <w:rPr>
          <w:rFonts w:ascii="Arial" w:hAnsi="Arial"/>
          <w:color w:val="000000" w:themeColor="text1"/>
          <w:sz w:val="22"/>
          <w:lang w:val="fr-FR"/>
        </w:rPr>
        <w:t xml:space="preserve">ressource </w:t>
      </w:r>
      <w:r>
        <w:rPr>
          <w:rFonts w:ascii="Arial" w:hAnsi="Arial" w:cs="Arial"/>
          <w:sz w:val="22"/>
          <w:szCs w:val="22"/>
          <w:lang w:val="fr-FR"/>
        </w:rPr>
        <w:t xml:space="preserve">alimentaire essentielle pour de nombreuses espèces de vertébrés </w:t>
      </w:r>
      <w:r>
        <w:rPr>
          <w:rFonts w:ascii="Arial" w:hAnsi="Arial"/>
          <w:color w:val="000000" w:themeColor="text1"/>
          <w:sz w:val="22"/>
          <w:lang w:val="fr-FR"/>
        </w:rPr>
        <w:t>qui s’en nourrissent pour élever leur progéniture</w:t>
      </w:r>
      <w:r>
        <w:rPr>
          <w:rFonts w:ascii="Arial" w:hAnsi="Arial" w:cs="Arial"/>
          <w:sz w:val="22"/>
          <w:szCs w:val="22"/>
          <w:lang w:val="fr-FR"/>
        </w:rPr>
        <w:t>, et qui sont pour beaucoup des espèces migratrices. Le déclin des insectes peut donc avoir une incidence significative sur de nombreuses espèces migratrices insectivores, en particulier les oiseaux et les chauves-souris.</w:t>
      </w:r>
    </w:p>
    <w:p w14:paraId="69EE9CF5" w14:textId="77777777" w:rsidR="00B6779D" w:rsidRPr="00B6779D" w:rsidRDefault="00B6779D" w:rsidP="00B6779D">
      <w:pPr>
        <w:pStyle w:val="ListParagraph"/>
        <w:jc w:val="both"/>
        <w:rPr>
          <w:rFonts w:ascii="Arial" w:hAnsi="Arial" w:cs="Arial"/>
          <w:sz w:val="22"/>
          <w:szCs w:val="22"/>
          <w:lang w:val="fr-FR"/>
        </w:rPr>
      </w:pPr>
    </w:p>
    <w:p w14:paraId="3ADE763A" w14:textId="1F40B3C4" w:rsidR="00B6779D" w:rsidRDefault="00B6779D" w:rsidP="00B6779D">
      <w:pPr>
        <w:pStyle w:val="ListParagraph"/>
        <w:numPr>
          <w:ilvl w:val="0"/>
          <w:numId w:val="19"/>
        </w:numPr>
        <w:ind w:hanging="720"/>
        <w:jc w:val="both"/>
        <w:rPr>
          <w:rFonts w:ascii="Arial" w:hAnsi="Arial" w:cs="Arial"/>
          <w:sz w:val="22"/>
          <w:szCs w:val="22"/>
          <w:lang w:val="fr-FR"/>
        </w:rPr>
      </w:pPr>
      <w:r>
        <w:rPr>
          <w:rFonts w:ascii="Arial" w:hAnsi="Arial" w:cs="Arial"/>
          <w:sz w:val="22"/>
          <w:szCs w:val="22"/>
          <w:lang w:val="fr-FR"/>
        </w:rPr>
        <w:t>Des lacunes persistent toutefois encore dans la compréhension</w:t>
      </w:r>
      <w:r>
        <w:rPr>
          <w:rFonts w:ascii="Arial" w:hAnsi="Arial" w:cs="Arial"/>
          <w:color w:val="000000" w:themeColor="text1"/>
          <w:sz w:val="22"/>
          <w:szCs w:val="22"/>
          <w:lang w:val="fr-FR"/>
        </w:rPr>
        <w:t xml:space="preserve"> de</w:t>
      </w:r>
      <w:r>
        <w:rPr>
          <w:rFonts w:ascii="Arial" w:hAnsi="Arial"/>
          <w:color w:val="000000" w:themeColor="text1"/>
          <w:sz w:val="22"/>
          <w:lang w:val="fr-FR"/>
        </w:rPr>
        <w:t xml:space="preserve"> </w:t>
      </w:r>
      <w:r>
        <w:rPr>
          <w:rFonts w:ascii="Arial" w:hAnsi="Arial" w:cs="Arial"/>
          <w:sz w:val="22"/>
          <w:szCs w:val="22"/>
          <w:lang w:val="fr-FR"/>
        </w:rPr>
        <w:t xml:space="preserve">l’état de conservation, des tendances de populations et des menaces pesant sur les espèces d’insectes, ainsi que de leurs incidences sur les espèces migratrices qui en dépendent, en particulier </w:t>
      </w:r>
      <w:r>
        <w:rPr>
          <w:rFonts w:ascii="Arial" w:hAnsi="Arial" w:cs="Arial"/>
          <w:color w:val="000000" w:themeColor="text1"/>
          <w:sz w:val="22"/>
          <w:szCs w:val="22"/>
          <w:lang w:val="fr-FR"/>
        </w:rPr>
        <w:t>dans</w:t>
      </w:r>
      <w:r>
        <w:rPr>
          <w:rFonts w:ascii="Arial" w:hAnsi="Arial"/>
          <w:color w:val="000000" w:themeColor="text1"/>
          <w:sz w:val="22"/>
          <w:lang w:val="fr-FR"/>
        </w:rPr>
        <w:t xml:space="preserve"> certaines régions</w:t>
      </w:r>
      <w:r>
        <w:rPr>
          <w:rFonts w:ascii="Arial" w:hAnsi="Arial" w:cs="Arial"/>
          <w:sz w:val="22"/>
          <w:szCs w:val="22"/>
          <w:lang w:val="fr-FR"/>
        </w:rPr>
        <w:t xml:space="preserve">. Combler le manque d’informations à ce sujet et analyser en détail </w:t>
      </w:r>
      <w:r>
        <w:rPr>
          <w:rFonts w:ascii="Arial" w:hAnsi="Arial"/>
          <w:color w:val="000000" w:themeColor="text1"/>
          <w:sz w:val="22"/>
          <w:lang w:val="fr-FR"/>
        </w:rPr>
        <w:t xml:space="preserve">les différents facteurs </w:t>
      </w:r>
      <w:r>
        <w:rPr>
          <w:rFonts w:ascii="Arial" w:hAnsi="Arial" w:cs="Arial"/>
          <w:color w:val="000000" w:themeColor="text1"/>
          <w:sz w:val="22"/>
          <w:szCs w:val="22"/>
          <w:lang w:val="fr-FR"/>
        </w:rPr>
        <w:t>du déclin des insectes</w:t>
      </w:r>
      <w:r>
        <w:rPr>
          <w:rFonts w:ascii="Arial" w:hAnsi="Arial"/>
          <w:color w:val="000000" w:themeColor="text1"/>
          <w:sz w:val="22"/>
          <w:lang w:val="fr-FR"/>
        </w:rPr>
        <w:t xml:space="preserve"> est </w:t>
      </w:r>
      <w:r>
        <w:rPr>
          <w:rFonts w:ascii="Arial" w:hAnsi="Arial" w:cs="Arial"/>
          <w:sz w:val="22"/>
          <w:szCs w:val="22"/>
          <w:lang w:val="fr-FR"/>
        </w:rPr>
        <w:t>essentiel pour identifier les actions prioritaires pouvant être prises afin de s’attaquer à ces pertes.</w:t>
      </w:r>
    </w:p>
    <w:p w14:paraId="24FC9C2C" w14:textId="77777777" w:rsidR="00B6779D" w:rsidRDefault="00B6779D" w:rsidP="00B6779D">
      <w:pPr>
        <w:pStyle w:val="ListParagraph"/>
        <w:jc w:val="both"/>
        <w:rPr>
          <w:rFonts w:ascii="Arial" w:hAnsi="Arial" w:cs="Arial"/>
          <w:sz w:val="22"/>
          <w:szCs w:val="22"/>
          <w:lang w:val="fr-FR"/>
        </w:rPr>
      </w:pPr>
    </w:p>
    <w:p w14:paraId="14B47E04" w14:textId="47AC2765" w:rsidR="00B6779D" w:rsidRPr="00B6779D" w:rsidRDefault="00B6779D" w:rsidP="001E62EB">
      <w:pPr>
        <w:pStyle w:val="ListParagraph"/>
        <w:numPr>
          <w:ilvl w:val="0"/>
          <w:numId w:val="19"/>
        </w:numPr>
        <w:ind w:hanging="720"/>
        <w:jc w:val="both"/>
        <w:rPr>
          <w:rFonts w:ascii="Arial" w:hAnsi="Arial" w:cs="Arial"/>
          <w:sz w:val="22"/>
          <w:szCs w:val="22"/>
          <w:lang w:val="fr-FR"/>
        </w:rPr>
      </w:pPr>
      <w:r>
        <w:rPr>
          <w:rFonts w:ascii="Arial" w:hAnsi="Arial" w:cs="Arial"/>
          <w:sz w:val="22"/>
          <w:szCs w:val="22"/>
          <w:lang w:val="fr-FR"/>
        </w:rPr>
        <w:t>À cette fin, la Conférence des Parties a adopté, lors de sa 13</w:t>
      </w:r>
      <w:r>
        <w:rPr>
          <w:rFonts w:ascii="Arial" w:hAnsi="Arial" w:cs="Arial"/>
          <w:sz w:val="22"/>
          <w:szCs w:val="22"/>
          <w:vertAlign w:val="superscript"/>
          <w:lang w:val="fr-FR"/>
        </w:rPr>
        <w:t>e session</w:t>
      </w:r>
      <w:r>
        <w:rPr>
          <w:rFonts w:ascii="Arial" w:hAnsi="Arial" w:cs="Arial"/>
          <w:sz w:val="22"/>
          <w:szCs w:val="22"/>
          <w:lang w:val="fr-FR"/>
        </w:rPr>
        <w:t xml:space="preserve"> (COP13, 2020), la </w:t>
      </w:r>
      <w:hyperlink r:id="rId17" w:history="1">
        <w:r>
          <w:rPr>
            <w:rStyle w:val="Hyperlink"/>
            <w:rFonts w:ascii="Arial" w:hAnsi="Arial" w:cs="Arial"/>
            <w:sz w:val="22"/>
            <w:szCs w:val="22"/>
            <w:lang w:val="fr-FR"/>
          </w:rPr>
          <w:t xml:space="preserve">Résolution 13.6 </w:t>
        </w:r>
        <w:r>
          <w:rPr>
            <w:rStyle w:val="Hyperlink"/>
            <w:rFonts w:ascii="Arial" w:hAnsi="Arial" w:cs="Arial"/>
            <w:i/>
            <w:iCs/>
            <w:sz w:val="22"/>
            <w:szCs w:val="22"/>
            <w:lang w:val="fr-FR"/>
          </w:rPr>
          <w:t>Déclin des insectes et menace qu’il représente pour les populations animales migratrices insectivores</w:t>
        </w:r>
      </w:hyperlink>
      <w:r>
        <w:rPr>
          <w:rFonts w:ascii="Arial" w:hAnsi="Arial" w:cs="Arial"/>
          <w:sz w:val="22"/>
          <w:szCs w:val="22"/>
          <w:lang w:val="fr-FR"/>
        </w:rPr>
        <w:t>, qui invite, entre autres, les Parties à</w:t>
      </w:r>
      <w:r>
        <w:rPr>
          <w:rFonts w:ascii="Arial" w:hAnsi="Arial"/>
          <w:color w:val="000000" w:themeColor="text1"/>
          <w:sz w:val="22"/>
          <w:lang w:val="fr-FR"/>
        </w:rPr>
        <w:t xml:space="preserve"> encourager </w:t>
      </w:r>
      <w:r>
        <w:rPr>
          <w:rFonts w:ascii="Arial" w:hAnsi="Arial" w:cs="Arial"/>
          <w:sz w:val="22"/>
          <w:szCs w:val="22"/>
          <w:lang w:val="fr-FR"/>
        </w:rPr>
        <w:t xml:space="preserve">et à soutenir la recherche scientifique sur l’impact du déclin des insectes sur les populations animales migratrices insectivores. La Résolution invite également les Parties à promouvoir la coopération et la collaboration continues entre scientifiques, </w:t>
      </w:r>
      <w:r>
        <w:rPr>
          <w:rFonts w:ascii="Arial" w:hAnsi="Arial"/>
          <w:color w:val="000000" w:themeColor="text1"/>
          <w:sz w:val="22"/>
          <w:lang w:val="fr-FR"/>
        </w:rPr>
        <w:t>professionnels</w:t>
      </w:r>
      <w:r>
        <w:rPr>
          <w:rFonts w:ascii="Arial" w:hAnsi="Arial" w:cs="Arial"/>
          <w:sz w:val="22"/>
          <w:szCs w:val="22"/>
          <w:lang w:val="fr-FR"/>
        </w:rPr>
        <w:t xml:space="preserve">, parties prenantes et organismes internationaux dont les travaux sont </w:t>
      </w:r>
      <w:r>
        <w:rPr>
          <w:rFonts w:ascii="Arial" w:hAnsi="Arial"/>
          <w:color w:val="000000" w:themeColor="text1"/>
          <w:sz w:val="22"/>
          <w:lang w:val="fr-FR"/>
        </w:rPr>
        <w:t>liés</w:t>
      </w:r>
      <w:r>
        <w:rPr>
          <w:rFonts w:ascii="Arial" w:hAnsi="Arial" w:cs="Arial"/>
          <w:sz w:val="22"/>
          <w:szCs w:val="22"/>
          <w:lang w:val="fr-FR"/>
        </w:rPr>
        <w:t xml:space="preserve"> au déclin des insectes.</w:t>
      </w:r>
    </w:p>
    <w:p w14:paraId="6FD2E60F" w14:textId="77777777" w:rsidR="00B6779D" w:rsidRPr="00B6779D" w:rsidRDefault="00B6779D" w:rsidP="00B6779D">
      <w:pPr>
        <w:pStyle w:val="ListParagraph"/>
        <w:jc w:val="both"/>
        <w:rPr>
          <w:rFonts w:ascii="Arial" w:hAnsi="Arial" w:cs="Arial"/>
          <w:sz w:val="22"/>
          <w:szCs w:val="22"/>
          <w:lang w:val="fr-FR"/>
        </w:rPr>
      </w:pPr>
    </w:p>
    <w:p w14:paraId="28E8E473" w14:textId="00E9E909" w:rsidR="00B6779D" w:rsidRDefault="00B6779D" w:rsidP="001E62EB">
      <w:pPr>
        <w:pStyle w:val="ListParagraph"/>
        <w:numPr>
          <w:ilvl w:val="0"/>
          <w:numId w:val="19"/>
        </w:numPr>
        <w:ind w:hanging="720"/>
        <w:jc w:val="both"/>
        <w:rPr>
          <w:rFonts w:ascii="Arial" w:hAnsi="Arial" w:cs="Arial"/>
          <w:sz w:val="22"/>
          <w:szCs w:val="22"/>
          <w:lang w:val="fr-FR"/>
        </w:rPr>
      </w:pPr>
      <w:r>
        <w:rPr>
          <w:rFonts w:ascii="Arial" w:hAnsi="Arial" w:cs="Arial"/>
          <w:sz w:val="22"/>
          <w:szCs w:val="22"/>
          <w:lang w:val="fr-FR"/>
        </w:rPr>
        <w:t xml:space="preserve">En outre, la COP13 a adopté </w:t>
      </w:r>
      <w:hyperlink r:id="rId18" w:history="1">
        <w:r>
          <w:rPr>
            <w:rStyle w:val="Hyperlink"/>
            <w:rFonts w:ascii="Arial" w:hAnsi="Arial" w:cs="Arial"/>
            <w:sz w:val="22"/>
            <w:szCs w:val="22"/>
            <w:lang w:val="fr-FR"/>
          </w:rPr>
          <w:t xml:space="preserve">la Décision 13.129 </w:t>
        </w:r>
        <w:r>
          <w:rPr>
            <w:rStyle w:val="Hyperlink"/>
            <w:rFonts w:ascii="Arial" w:hAnsi="Arial" w:cs="Arial"/>
            <w:i/>
            <w:iCs/>
            <w:sz w:val="22"/>
            <w:szCs w:val="22"/>
            <w:lang w:val="fr-FR"/>
          </w:rPr>
          <w:t>Déclin des insectes et menace qu’il représente pour les populations animales migratrices insectivores</w:t>
        </w:r>
      </w:hyperlink>
      <w:r>
        <w:rPr>
          <w:rStyle w:val="Hyperlink"/>
          <w:rFonts w:ascii="Arial" w:hAnsi="Arial" w:cs="Arial"/>
          <w:i/>
          <w:iCs/>
          <w:color w:val="auto"/>
          <w:sz w:val="22"/>
          <w:szCs w:val="22"/>
          <w:u w:val="none"/>
          <w:lang w:val="fr-FR"/>
        </w:rPr>
        <w:t>,</w:t>
      </w:r>
      <w:r>
        <w:rPr>
          <w:rFonts w:ascii="Arial" w:hAnsi="Arial" w:cs="Arial"/>
          <w:sz w:val="22"/>
          <w:szCs w:val="22"/>
          <w:lang w:val="fr-FR"/>
        </w:rPr>
        <w:t xml:space="preserve"> libellée comme suit :</w:t>
      </w:r>
    </w:p>
    <w:p w14:paraId="799F5D95" w14:textId="77777777" w:rsidR="00B6779D" w:rsidRDefault="00B6779D" w:rsidP="00B6779D">
      <w:pPr>
        <w:pStyle w:val="ListParagraph"/>
        <w:jc w:val="both"/>
        <w:rPr>
          <w:rFonts w:ascii="Arial" w:hAnsi="Arial" w:cs="Arial"/>
          <w:sz w:val="22"/>
          <w:szCs w:val="22"/>
          <w:lang w:val="fr-FR"/>
        </w:rPr>
      </w:pPr>
    </w:p>
    <w:p w14:paraId="1D8E3635" w14:textId="24387FB1" w:rsidR="00B6779D" w:rsidRPr="009F6DE7" w:rsidRDefault="00B6779D" w:rsidP="009F6DE7">
      <w:pPr>
        <w:pStyle w:val="ListParagraph"/>
        <w:spacing w:after="120"/>
        <w:ind w:left="851"/>
        <w:contextualSpacing w:val="0"/>
        <w:jc w:val="both"/>
        <w:rPr>
          <w:rFonts w:ascii="Arial" w:hAnsi="Arial" w:cs="Arial"/>
          <w:b/>
          <w:bCs/>
          <w:i/>
          <w:iCs/>
          <w:sz w:val="20"/>
          <w:lang w:val="fr-FR"/>
        </w:rPr>
      </w:pPr>
      <w:r w:rsidRPr="009F6DE7">
        <w:rPr>
          <w:rFonts w:ascii="Arial" w:hAnsi="Arial" w:cs="Arial"/>
          <w:b/>
          <w:bCs/>
          <w:i/>
          <w:iCs/>
          <w:sz w:val="20"/>
          <w:lang w:val="fr-FR"/>
        </w:rPr>
        <w:t xml:space="preserve">13.129 </w:t>
      </w:r>
      <w:r w:rsidR="009F6DE7" w:rsidRPr="009F6DE7">
        <w:rPr>
          <w:rFonts w:ascii="Arial" w:hAnsi="Arial" w:cs="Arial"/>
          <w:b/>
          <w:bCs/>
          <w:i/>
          <w:iCs/>
          <w:sz w:val="20"/>
          <w:lang w:val="fr-FR"/>
        </w:rPr>
        <w:t>Adressée au Conseil scientifique</w:t>
      </w:r>
    </w:p>
    <w:p w14:paraId="04FB5D47" w14:textId="1C8BD95A" w:rsidR="009F6DE7" w:rsidRPr="009F6DE7" w:rsidRDefault="009F6DE7" w:rsidP="009F6DE7">
      <w:pPr>
        <w:pStyle w:val="BodyTextIndent2"/>
        <w:spacing w:after="120"/>
        <w:ind w:left="851" w:firstLine="0"/>
        <w:rPr>
          <w:i/>
          <w:iCs/>
          <w:sz w:val="20"/>
          <w:szCs w:val="20"/>
          <w:lang w:val="fr-FR"/>
        </w:rPr>
      </w:pPr>
      <w:r w:rsidRPr="009F6DE7">
        <w:rPr>
          <w:i/>
          <w:iCs/>
          <w:sz w:val="20"/>
          <w:szCs w:val="20"/>
          <w:lang w:val="fr-FR"/>
        </w:rPr>
        <w:t>Le Conseil scientifique est prié, sous réserve des ressources disponibles, d’étudier les questions suivantes lors des réunions du Comité de session après la 13 session de la Conférence des Parties (COP13) :</w:t>
      </w:r>
    </w:p>
    <w:p w14:paraId="47338340" w14:textId="7618197B" w:rsidR="009F6DE7" w:rsidRPr="009F6DE7" w:rsidRDefault="009F6DE7" w:rsidP="009F6DE7">
      <w:pPr>
        <w:pStyle w:val="BodyTextIndent2"/>
        <w:spacing w:after="120"/>
        <w:ind w:left="1134" w:hanging="284"/>
        <w:rPr>
          <w:i/>
          <w:iCs/>
          <w:sz w:val="20"/>
          <w:szCs w:val="20"/>
          <w:lang w:val="fr-FR"/>
        </w:rPr>
      </w:pPr>
      <w:r w:rsidRPr="009F6DE7">
        <w:rPr>
          <w:i/>
          <w:iCs/>
          <w:sz w:val="20"/>
          <w:szCs w:val="20"/>
          <w:lang w:val="fr-FR"/>
        </w:rPr>
        <w:t xml:space="preserve">a) </w:t>
      </w:r>
      <w:r>
        <w:rPr>
          <w:i/>
          <w:iCs/>
          <w:sz w:val="20"/>
          <w:szCs w:val="20"/>
          <w:lang w:val="fr-FR"/>
        </w:rPr>
        <w:tab/>
      </w:r>
      <w:r w:rsidRPr="009F6DE7">
        <w:rPr>
          <w:i/>
          <w:iCs/>
          <w:sz w:val="20"/>
          <w:szCs w:val="20"/>
          <w:lang w:val="fr-FR"/>
        </w:rPr>
        <w:t>Identifier et hiérarchiser les principaux facteurs responsables de la perte établie de biomasse d’insectes;</w:t>
      </w:r>
    </w:p>
    <w:p w14:paraId="73348B61" w14:textId="7D0B5927" w:rsidR="009F6DE7" w:rsidRPr="009F6DE7" w:rsidRDefault="009F6DE7" w:rsidP="009F6DE7">
      <w:pPr>
        <w:pStyle w:val="BodyTextIndent2"/>
        <w:spacing w:after="120"/>
        <w:ind w:left="1134" w:hanging="284"/>
        <w:rPr>
          <w:i/>
          <w:iCs/>
          <w:sz w:val="20"/>
          <w:szCs w:val="20"/>
          <w:lang w:val="fr-FR"/>
        </w:rPr>
      </w:pPr>
      <w:r w:rsidRPr="009F6DE7">
        <w:rPr>
          <w:i/>
          <w:iCs/>
          <w:sz w:val="20"/>
          <w:szCs w:val="20"/>
          <w:lang w:val="fr-FR"/>
        </w:rPr>
        <w:t xml:space="preserve">b) </w:t>
      </w:r>
      <w:r>
        <w:rPr>
          <w:i/>
          <w:iCs/>
          <w:sz w:val="20"/>
          <w:szCs w:val="20"/>
          <w:lang w:val="fr-FR"/>
        </w:rPr>
        <w:tab/>
      </w:r>
      <w:r w:rsidRPr="009F6DE7">
        <w:rPr>
          <w:i/>
          <w:iCs/>
          <w:sz w:val="20"/>
          <w:szCs w:val="20"/>
          <w:lang w:val="fr-FR"/>
        </w:rPr>
        <w:t>Recueillir des informations pertinentes sur le déclin actuel des insectes et évaluer ses effets en cascade sur les espèces migratrices insectivores;</w:t>
      </w:r>
    </w:p>
    <w:p w14:paraId="7B2CED36" w14:textId="555DCB3E" w:rsidR="009F6DE7" w:rsidRPr="009F6DE7" w:rsidRDefault="009F6DE7" w:rsidP="009F6DE7">
      <w:pPr>
        <w:pStyle w:val="BodyTextIndent2"/>
        <w:spacing w:after="120"/>
        <w:ind w:left="1134" w:hanging="284"/>
        <w:rPr>
          <w:i/>
          <w:iCs/>
          <w:sz w:val="20"/>
          <w:szCs w:val="20"/>
          <w:lang w:val="fr-FR"/>
        </w:rPr>
      </w:pPr>
      <w:r w:rsidRPr="009F6DE7">
        <w:rPr>
          <w:i/>
          <w:iCs/>
          <w:sz w:val="20"/>
          <w:szCs w:val="20"/>
          <w:lang w:val="fr-FR"/>
        </w:rPr>
        <w:t xml:space="preserve">c) </w:t>
      </w:r>
      <w:r>
        <w:rPr>
          <w:i/>
          <w:iCs/>
          <w:sz w:val="20"/>
          <w:szCs w:val="20"/>
          <w:lang w:val="fr-FR"/>
        </w:rPr>
        <w:tab/>
      </w:r>
      <w:r w:rsidRPr="009F6DE7">
        <w:rPr>
          <w:i/>
          <w:iCs/>
          <w:sz w:val="20"/>
          <w:szCs w:val="20"/>
          <w:lang w:val="fr-FR"/>
        </w:rPr>
        <w:t>Élaborer des lignes directrices pour les actions les plus urgentes ou prioritaires identifiées;</w:t>
      </w:r>
    </w:p>
    <w:p w14:paraId="7200787D" w14:textId="648C39D4" w:rsidR="00B6779D" w:rsidRPr="009F6DE7" w:rsidRDefault="009F6DE7" w:rsidP="009F6DE7">
      <w:pPr>
        <w:pStyle w:val="BodyTextIndent2"/>
        <w:ind w:left="1134" w:hanging="284"/>
        <w:rPr>
          <w:i/>
          <w:iCs/>
          <w:sz w:val="20"/>
          <w:szCs w:val="20"/>
          <w:lang w:val="fr-FR"/>
        </w:rPr>
      </w:pPr>
      <w:r w:rsidRPr="009F6DE7">
        <w:rPr>
          <w:i/>
          <w:iCs/>
          <w:sz w:val="20"/>
          <w:szCs w:val="20"/>
          <w:lang w:val="fr-FR"/>
        </w:rPr>
        <w:t xml:space="preserve">d) </w:t>
      </w:r>
      <w:r>
        <w:rPr>
          <w:i/>
          <w:iCs/>
          <w:sz w:val="20"/>
          <w:szCs w:val="20"/>
          <w:lang w:val="fr-FR"/>
        </w:rPr>
        <w:tab/>
      </w:r>
      <w:r w:rsidRPr="009F6DE7">
        <w:rPr>
          <w:i/>
          <w:iCs/>
          <w:sz w:val="20"/>
          <w:szCs w:val="20"/>
          <w:lang w:val="fr-FR"/>
        </w:rPr>
        <w:t>Publier ces lignes directrices après les avoir diffusées auprès de toutes les Parties pour approbation</w:t>
      </w:r>
      <w:r w:rsidR="00B6779D" w:rsidRPr="009F6DE7">
        <w:rPr>
          <w:i/>
          <w:iCs/>
          <w:sz w:val="20"/>
          <w:szCs w:val="20"/>
          <w:lang w:val="fr-FR"/>
        </w:rPr>
        <w:t>.</w:t>
      </w:r>
    </w:p>
    <w:p w14:paraId="4B4F56F7" w14:textId="77777777" w:rsidR="008345CC" w:rsidRPr="009F6DE7" w:rsidRDefault="008345CC" w:rsidP="008345CC">
      <w:pPr>
        <w:pStyle w:val="BodyTextIndent2"/>
        <w:ind w:left="1418" w:hanging="284"/>
        <w:rPr>
          <w:i/>
          <w:iCs/>
          <w:sz w:val="20"/>
          <w:szCs w:val="20"/>
          <w:lang w:val="fr-FR"/>
        </w:rPr>
      </w:pPr>
    </w:p>
    <w:p w14:paraId="0149F1CC" w14:textId="4606977B" w:rsidR="00B6779D" w:rsidRDefault="00B6779D" w:rsidP="00B6779D">
      <w:pPr>
        <w:pStyle w:val="ListParagraph"/>
        <w:jc w:val="both"/>
        <w:rPr>
          <w:rFonts w:ascii="Arial" w:hAnsi="Arial" w:cs="Arial"/>
          <w:i/>
          <w:iCs/>
          <w:sz w:val="20"/>
          <w:lang w:val="fr-FR"/>
        </w:rPr>
      </w:pPr>
    </w:p>
    <w:p w14:paraId="6496487E" w14:textId="77777777" w:rsidR="009F6DE7" w:rsidRDefault="009F6DE7" w:rsidP="00B6779D">
      <w:pPr>
        <w:pStyle w:val="ListParagraph"/>
        <w:jc w:val="both"/>
        <w:rPr>
          <w:rFonts w:ascii="Arial" w:hAnsi="Arial" w:cs="Arial"/>
          <w:i/>
          <w:iCs/>
          <w:sz w:val="20"/>
          <w:lang w:val="fr-FR"/>
        </w:rPr>
      </w:pPr>
    </w:p>
    <w:p w14:paraId="5176E57D" w14:textId="77777777" w:rsidR="009F6DE7" w:rsidRDefault="009F6DE7" w:rsidP="00B6779D">
      <w:pPr>
        <w:pStyle w:val="ListParagraph"/>
        <w:jc w:val="both"/>
        <w:rPr>
          <w:rFonts w:ascii="Arial" w:hAnsi="Arial" w:cs="Arial"/>
          <w:i/>
          <w:iCs/>
          <w:sz w:val="20"/>
          <w:lang w:val="fr-FR"/>
        </w:rPr>
      </w:pPr>
    </w:p>
    <w:p w14:paraId="40FDF58E" w14:textId="77777777" w:rsidR="009F6DE7" w:rsidRPr="009F6DE7" w:rsidRDefault="009F6DE7" w:rsidP="00B6779D">
      <w:pPr>
        <w:pStyle w:val="ListParagraph"/>
        <w:jc w:val="both"/>
        <w:rPr>
          <w:rFonts w:ascii="Arial" w:hAnsi="Arial" w:cs="Arial"/>
          <w:i/>
          <w:iCs/>
          <w:sz w:val="22"/>
          <w:szCs w:val="22"/>
          <w:lang w:val="fr-FR"/>
        </w:rPr>
      </w:pPr>
    </w:p>
    <w:p w14:paraId="22D6ABBD" w14:textId="51499807" w:rsidR="008345CC" w:rsidRPr="00145EF3" w:rsidRDefault="008345CC" w:rsidP="008345CC">
      <w:pPr>
        <w:pStyle w:val="Heading1"/>
        <w:rPr>
          <w:lang w:val="fr-FR"/>
        </w:rPr>
      </w:pPr>
      <w:r>
        <w:rPr>
          <w:lang w:val="fr-FR"/>
        </w:rPr>
        <w:t>Activités de mise en œuvre de la Décision 13.129</w:t>
      </w:r>
    </w:p>
    <w:p w14:paraId="308240D2" w14:textId="77777777" w:rsidR="008345CC" w:rsidRDefault="008345CC" w:rsidP="008345CC">
      <w:pPr>
        <w:jc w:val="both"/>
        <w:rPr>
          <w:lang w:val="fr-FR"/>
        </w:rPr>
      </w:pPr>
    </w:p>
    <w:p w14:paraId="2506BFEF" w14:textId="6A2FFED6" w:rsidR="00CD1999" w:rsidRPr="00DC7578" w:rsidRDefault="0083087F" w:rsidP="008345CC">
      <w:pPr>
        <w:pStyle w:val="ListParagraph"/>
        <w:numPr>
          <w:ilvl w:val="0"/>
          <w:numId w:val="19"/>
        </w:numPr>
        <w:ind w:hanging="720"/>
        <w:jc w:val="both"/>
        <w:rPr>
          <w:rFonts w:ascii="Arial" w:hAnsi="Arial"/>
          <w:color w:val="000000" w:themeColor="text1"/>
          <w:sz w:val="22"/>
          <w:lang w:val="fr-FR"/>
        </w:rPr>
      </w:pPr>
      <w:r>
        <w:rPr>
          <w:rFonts w:ascii="Arial" w:hAnsi="Arial" w:cs="Arial"/>
          <w:sz w:val="22"/>
          <w:szCs w:val="22"/>
          <w:lang w:val="fr-FR"/>
        </w:rPr>
        <w:t>La 5</w:t>
      </w:r>
      <w:r>
        <w:rPr>
          <w:rFonts w:ascii="Arial" w:hAnsi="Arial" w:cs="Arial"/>
          <w:sz w:val="22"/>
          <w:szCs w:val="22"/>
          <w:vertAlign w:val="superscript"/>
          <w:lang w:val="fr-FR"/>
        </w:rPr>
        <w:t xml:space="preserve">e </w:t>
      </w:r>
      <w:r w:rsidRPr="009F6DE7">
        <w:rPr>
          <w:rFonts w:ascii="Arial" w:hAnsi="Arial" w:cs="Arial"/>
          <w:sz w:val="22"/>
          <w:szCs w:val="22"/>
          <w:lang w:val="fr-FR"/>
        </w:rPr>
        <w:t>réunion</w:t>
      </w:r>
      <w:r>
        <w:rPr>
          <w:rFonts w:ascii="Arial" w:hAnsi="Arial" w:cs="Arial"/>
          <w:sz w:val="22"/>
          <w:szCs w:val="22"/>
          <w:lang w:val="fr-FR"/>
        </w:rPr>
        <w:t xml:space="preserve"> du Comité de session du Conseil scientifique (ScC-SC5, 2021) a pris note du mandat dans la Décision 13.129 </w:t>
      </w:r>
      <w:r>
        <w:rPr>
          <w:rFonts w:ascii="Arial" w:hAnsi="Arial"/>
          <w:color w:val="000000" w:themeColor="text1"/>
          <w:sz w:val="22"/>
          <w:lang w:val="fr-FR"/>
        </w:rPr>
        <w:t xml:space="preserve">et a inclus </w:t>
      </w:r>
      <w:r>
        <w:rPr>
          <w:rFonts w:ascii="Arial" w:hAnsi="Arial" w:cs="Arial"/>
          <w:color w:val="000000" w:themeColor="text1"/>
          <w:sz w:val="22"/>
          <w:szCs w:val="22"/>
          <w:lang w:val="fr-FR"/>
        </w:rPr>
        <w:t>le déclin des insectes</w:t>
      </w:r>
      <w:r>
        <w:rPr>
          <w:rFonts w:ascii="Arial" w:hAnsi="Arial"/>
          <w:color w:val="000000" w:themeColor="text1"/>
          <w:sz w:val="22"/>
          <w:lang w:val="fr-FR"/>
        </w:rPr>
        <w:t xml:space="preserve"> </w:t>
      </w:r>
      <w:r>
        <w:rPr>
          <w:rFonts w:ascii="Arial" w:hAnsi="Arial" w:cs="Arial"/>
          <w:sz w:val="22"/>
          <w:szCs w:val="22"/>
          <w:lang w:val="fr-FR"/>
        </w:rPr>
        <w:t>dans son Programme de travail pour la période intersessions entre la COP13 et la COP14. Les activités prévues incluaient la préparation d’une revue de la littérature concernant les points a) et b) de la Décision13.129 en vue de fournir une base à l’</w:t>
      </w:r>
      <w:r>
        <w:rPr>
          <w:rFonts w:ascii="Arial" w:hAnsi="Arial"/>
          <w:color w:val="000000" w:themeColor="text1"/>
          <w:sz w:val="22"/>
          <w:lang w:val="fr-FR"/>
        </w:rPr>
        <w:t xml:space="preserve">examen approfondi de la </w:t>
      </w:r>
      <w:r>
        <w:rPr>
          <w:rFonts w:ascii="Arial" w:hAnsi="Arial" w:cs="Arial"/>
          <w:color w:val="000000" w:themeColor="text1"/>
          <w:sz w:val="22"/>
          <w:szCs w:val="22"/>
          <w:lang w:val="fr-FR"/>
        </w:rPr>
        <w:t>question</w:t>
      </w:r>
      <w:r>
        <w:rPr>
          <w:rFonts w:ascii="Arial" w:hAnsi="Arial" w:cs="Arial"/>
          <w:sz w:val="22"/>
          <w:szCs w:val="22"/>
          <w:lang w:val="fr-FR"/>
        </w:rPr>
        <w:t xml:space="preserve">. Le </w:t>
      </w:r>
      <w:r>
        <w:rPr>
          <w:rFonts w:ascii="Arial" w:hAnsi="Arial"/>
          <w:color w:val="000000" w:themeColor="text1"/>
          <w:sz w:val="22"/>
          <w:lang w:val="fr-FR"/>
        </w:rPr>
        <w:t xml:space="preserve">Secrétariat </w:t>
      </w:r>
      <w:r>
        <w:rPr>
          <w:rFonts w:ascii="Arial" w:hAnsi="Arial" w:cs="Arial"/>
          <w:color w:val="000000" w:themeColor="text1"/>
          <w:sz w:val="22"/>
          <w:szCs w:val="22"/>
          <w:lang w:val="fr-FR"/>
        </w:rPr>
        <w:t>a recherché un financement</w:t>
      </w:r>
      <w:r>
        <w:rPr>
          <w:rFonts w:ascii="Arial" w:hAnsi="Arial"/>
          <w:color w:val="000000" w:themeColor="text1"/>
          <w:sz w:val="22"/>
          <w:lang w:val="fr-FR"/>
        </w:rPr>
        <w:t xml:space="preserve"> pour soutenir la production de la revue.</w:t>
      </w:r>
    </w:p>
    <w:p w14:paraId="00CAF584" w14:textId="77777777" w:rsidR="006F703C" w:rsidRDefault="006F703C" w:rsidP="006F703C">
      <w:pPr>
        <w:pStyle w:val="ListParagraph"/>
        <w:jc w:val="both"/>
        <w:rPr>
          <w:rFonts w:ascii="Arial" w:hAnsi="Arial" w:cs="Arial"/>
          <w:sz w:val="22"/>
          <w:szCs w:val="22"/>
          <w:lang w:val="fr-FR"/>
        </w:rPr>
      </w:pPr>
    </w:p>
    <w:p w14:paraId="0B7DCFA4" w14:textId="6E7BBA4E" w:rsidR="008345CC" w:rsidRPr="008345CC" w:rsidRDefault="00E92E88" w:rsidP="008345CC">
      <w:pPr>
        <w:pStyle w:val="ListParagraph"/>
        <w:numPr>
          <w:ilvl w:val="0"/>
          <w:numId w:val="19"/>
        </w:numPr>
        <w:ind w:hanging="720"/>
        <w:jc w:val="both"/>
        <w:rPr>
          <w:rFonts w:ascii="Arial" w:hAnsi="Arial" w:cs="Arial"/>
          <w:sz w:val="22"/>
          <w:szCs w:val="22"/>
          <w:lang w:val="fr-FR"/>
        </w:rPr>
      </w:pPr>
      <w:r>
        <w:rPr>
          <w:rFonts w:ascii="Arial" w:hAnsi="Arial" w:cs="Arial"/>
          <w:color w:val="000000" w:themeColor="text1"/>
          <w:sz w:val="22"/>
          <w:szCs w:val="22"/>
          <w:lang w:val="fr-FR"/>
        </w:rPr>
        <w:t>En avril 2023, grâce</w:t>
      </w:r>
      <w:r>
        <w:rPr>
          <w:rFonts w:ascii="Arial" w:hAnsi="Arial"/>
          <w:color w:val="000000" w:themeColor="text1"/>
          <w:sz w:val="22"/>
          <w:lang w:val="fr-FR"/>
        </w:rPr>
        <w:t xml:space="preserve"> </w:t>
      </w:r>
      <w:r>
        <w:rPr>
          <w:rFonts w:ascii="Arial" w:hAnsi="Arial" w:cs="Arial"/>
          <w:sz w:val="22"/>
          <w:szCs w:val="22"/>
          <w:lang w:val="fr-FR"/>
        </w:rPr>
        <w:t xml:space="preserve">aux contributions volontaires des gouvernements allemand et australien, le </w:t>
      </w:r>
      <w:r>
        <w:rPr>
          <w:rFonts w:ascii="Arial" w:hAnsi="Arial"/>
          <w:color w:val="000000" w:themeColor="text1"/>
          <w:sz w:val="22"/>
          <w:lang w:val="fr-FR"/>
        </w:rPr>
        <w:t xml:space="preserve">Secrétariat </w:t>
      </w:r>
      <w:r>
        <w:rPr>
          <w:rFonts w:ascii="Arial" w:hAnsi="Arial" w:cs="Arial"/>
          <w:color w:val="000000" w:themeColor="text1"/>
          <w:sz w:val="22"/>
          <w:szCs w:val="22"/>
          <w:lang w:val="fr-FR"/>
        </w:rPr>
        <w:t>a chargé</w:t>
      </w:r>
      <w:r>
        <w:rPr>
          <w:rFonts w:ascii="Arial" w:hAnsi="Arial"/>
          <w:color w:val="000000" w:themeColor="text1"/>
          <w:sz w:val="22"/>
          <w:lang w:val="fr-FR"/>
        </w:rPr>
        <w:t xml:space="preserve"> l’</w:t>
      </w:r>
      <w:r>
        <w:rPr>
          <w:rFonts w:ascii="Arial" w:hAnsi="Arial" w:cs="Arial"/>
          <w:sz w:val="22"/>
          <w:szCs w:val="22"/>
          <w:lang w:val="fr-FR"/>
        </w:rPr>
        <w:t xml:space="preserve">Institut Leibniz d’analyse des changements relatifs à la biodiversité (LIB) de produire un rapport s’intéressant aux conséquences du déclin des insectes sur les animaux migrateurs insectivores. </w:t>
      </w:r>
    </w:p>
    <w:p w14:paraId="5AC0C59B" w14:textId="77777777" w:rsidR="008345CC" w:rsidRPr="008345CC" w:rsidRDefault="008345CC" w:rsidP="008345CC">
      <w:pPr>
        <w:pStyle w:val="ListParagraph"/>
        <w:jc w:val="both"/>
        <w:rPr>
          <w:rFonts w:ascii="Arial" w:hAnsi="Arial" w:cs="Arial"/>
          <w:sz w:val="22"/>
          <w:szCs w:val="22"/>
          <w:lang w:val="fr-FR"/>
        </w:rPr>
      </w:pPr>
    </w:p>
    <w:p w14:paraId="5E2229D6" w14:textId="0B311663" w:rsidR="00F90B60" w:rsidRDefault="002331FA" w:rsidP="00FF269B">
      <w:pPr>
        <w:pStyle w:val="ListParagraph"/>
        <w:numPr>
          <w:ilvl w:val="0"/>
          <w:numId w:val="19"/>
        </w:numPr>
        <w:ind w:hanging="720"/>
        <w:jc w:val="both"/>
        <w:rPr>
          <w:rFonts w:ascii="Arial" w:hAnsi="Arial" w:cs="Arial"/>
          <w:sz w:val="22"/>
          <w:szCs w:val="22"/>
          <w:lang w:val="fr-FR"/>
        </w:rPr>
      </w:pPr>
      <w:r>
        <w:rPr>
          <w:rFonts w:ascii="Arial" w:hAnsi="Arial" w:cs="Arial"/>
          <w:sz w:val="22"/>
          <w:szCs w:val="22"/>
          <w:lang w:val="fr-FR"/>
        </w:rPr>
        <w:t>Un avant-projet du rapport figure à l’Annexe 1 du présent document. Il fournit une revue de la littérature scientifique pertinente évaluant l’état des populations d’insectes en déclin, les principaux facteurs à l’origine du déclin des insectes et les conséquences directes et indirectes de ces derniers sur les espèces animales migratrices insectivores.</w:t>
      </w:r>
    </w:p>
    <w:p w14:paraId="7E6CF155" w14:textId="2932314B" w:rsidR="008345CC" w:rsidRPr="009F6DE7" w:rsidRDefault="008345CC" w:rsidP="0018727D">
      <w:pPr>
        <w:rPr>
          <w:lang w:val="fr-FR"/>
        </w:rPr>
      </w:pPr>
      <w:r w:rsidRPr="009F6DE7">
        <w:rPr>
          <w:rFonts w:cs="Arial"/>
          <w:lang w:val="fr-FR"/>
        </w:rPr>
        <w:t xml:space="preserve"> </w:t>
      </w:r>
    </w:p>
    <w:p w14:paraId="43214681" w14:textId="5242D929" w:rsidR="00A926FC" w:rsidRPr="009F6DE7" w:rsidRDefault="008345CC" w:rsidP="00A926FC">
      <w:pPr>
        <w:pStyle w:val="ListParagraph"/>
        <w:numPr>
          <w:ilvl w:val="0"/>
          <w:numId w:val="19"/>
        </w:numPr>
        <w:ind w:hanging="720"/>
        <w:jc w:val="both"/>
        <w:rPr>
          <w:rFonts w:ascii="Arial" w:hAnsi="Arial"/>
          <w:color w:val="000000" w:themeColor="text1"/>
          <w:sz w:val="22"/>
          <w:lang w:val="fr-FR"/>
        </w:rPr>
      </w:pPr>
      <w:r>
        <w:rPr>
          <w:rFonts w:ascii="Arial" w:hAnsi="Arial" w:cs="Arial"/>
          <w:color w:val="000000" w:themeColor="text1"/>
          <w:sz w:val="22"/>
          <w:szCs w:val="22"/>
          <w:lang w:val="fr-FR"/>
        </w:rPr>
        <w:t xml:space="preserve">Le rapport </w:t>
      </w:r>
      <w:r>
        <w:rPr>
          <w:rFonts w:ascii="Arial" w:hAnsi="Arial"/>
          <w:color w:val="000000" w:themeColor="text1"/>
          <w:sz w:val="22"/>
          <w:lang w:val="fr-FR"/>
        </w:rPr>
        <w:t xml:space="preserve">fait </w:t>
      </w:r>
      <w:r>
        <w:rPr>
          <w:rFonts w:ascii="Arial" w:hAnsi="Arial" w:cs="Arial"/>
          <w:color w:val="000000" w:themeColor="text1"/>
          <w:sz w:val="22"/>
          <w:szCs w:val="22"/>
          <w:lang w:val="fr-FR"/>
        </w:rPr>
        <w:t xml:space="preserve">actuellement </w:t>
      </w:r>
      <w:r>
        <w:rPr>
          <w:rFonts w:ascii="Arial" w:hAnsi="Arial"/>
          <w:color w:val="000000" w:themeColor="text1"/>
          <w:sz w:val="22"/>
          <w:lang w:val="fr-FR"/>
        </w:rPr>
        <w:t xml:space="preserve">l’objet d’un examen par le Conseil scientifique en vue </w:t>
      </w:r>
      <w:r>
        <w:rPr>
          <w:rFonts w:ascii="Arial" w:hAnsi="Arial" w:cs="Arial"/>
          <w:color w:val="000000" w:themeColor="text1"/>
          <w:sz w:val="22"/>
          <w:szCs w:val="22"/>
          <w:lang w:val="fr-FR"/>
        </w:rPr>
        <w:t>de contribuer à</w:t>
      </w:r>
      <w:r>
        <w:rPr>
          <w:rFonts w:ascii="Arial" w:hAnsi="Arial"/>
          <w:color w:val="000000" w:themeColor="text1"/>
          <w:sz w:val="22"/>
          <w:lang w:val="fr-FR"/>
        </w:rPr>
        <w:t xml:space="preserve"> sa version finale</w:t>
      </w:r>
      <w:r>
        <w:rPr>
          <w:rFonts w:ascii="Arial" w:hAnsi="Arial" w:cs="Arial"/>
          <w:color w:val="000000" w:themeColor="text1"/>
          <w:sz w:val="22"/>
          <w:szCs w:val="22"/>
          <w:lang w:val="fr-FR"/>
        </w:rPr>
        <w:t>,</w:t>
      </w:r>
      <w:r>
        <w:rPr>
          <w:rFonts w:ascii="Arial" w:hAnsi="Arial"/>
          <w:color w:val="000000" w:themeColor="text1"/>
          <w:sz w:val="22"/>
          <w:lang w:val="fr-FR"/>
        </w:rPr>
        <w:t xml:space="preserve"> qui sera présentée à la COP14 pour examen.</w:t>
      </w:r>
    </w:p>
    <w:p w14:paraId="1A43B03A" w14:textId="77777777" w:rsidR="00A926FC" w:rsidRDefault="00A926FC" w:rsidP="00A926FC">
      <w:pPr>
        <w:jc w:val="both"/>
        <w:rPr>
          <w:rFonts w:cs="Arial"/>
          <w:lang w:val="fr-FR"/>
        </w:rPr>
      </w:pPr>
    </w:p>
    <w:p w14:paraId="4ACC6001" w14:textId="371E54A1" w:rsidR="00A926FC" w:rsidRPr="00A926FC" w:rsidRDefault="00A926FC" w:rsidP="00A926FC">
      <w:pPr>
        <w:pStyle w:val="Heading3"/>
        <w:rPr>
          <w:lang w:val="fr-FR"/>
        </w:rPr>
      </w:pPr>
      <w:r>
        <w:rPr>
          <w:lang w:val="fr-FR"/>
        </w:rPr>
        <w:t>Actions recommandées</w:t>
      </w:r>
    </w:p>
    <w:p w14:paraId="1B726D90" w14:textId="77777777" w:rsidR="00A926FC" w:rsidRPr="009F6DE7" w:rsidRDefault="00A926FC" w:rsidP="00A926FC">
      <w:pPr>
        <w:jc w:val="both"/>
        <w:rPr>
          <w:rFonts w:cs="Arial"/>
          <w:lang w:val="fr-FR"/>
        </w:rPr>
      </w:pPr>
    </w:p>
    <w:p w14:paraId="259DAE86" w14:textId="77777777" w:rsidR="00A926FC" w:rsidRPr="009F6DE7" w:rsidRDefault="00A926FC" w:rsidP="00A926FC">
      <w:pPr>
        <w:pStyle w:val="ListParagraph"/>
        <w:numPr>
          <w:ilvl w:val="0"/>
          <w:numId w:val="19"/>
        </w:numPr>
        <w:tabs>
          <w:tab w:val="left" w:pos="1601"/>
        </w:tabs>
        <w:ind w:hanging="720"/>
        <w:jc w:val="both"/>
        <w:rPr>
          <w:rFonts w:ascii="Arial" w:hAnsi="Arial" w:cs="Arial"/>
          <w:sz w:val="22"/>
          <w:szCs w:val="22"/>
          <w:lang w:val="fr-FR"/>
        </w:rPr>
      </w:pPr>
      <w:r w:rsidRPr="009F6DE7">
        <w:rPr>
          <w:rFonts w:ascii="Arial" w:hAnsi="Arial" w:cs="Arial"/>
          <w:sz w:val="22"/>
          <w:szCs w:val="22"/>
          <w:lang w:val="fr-FR"/>
        </w:rPr>
        <w:t xml:space="preserve">Il est recommandé au Conseil scientifique de </w:t>
      </w:r>
      <w:r w:rsidRPr="009F6DE7">
        <w:rPr>
          <w:rFonts w:ascii="Arial" w:hAnsi="Arial" w:cs="Arial"/>
          <w:sz w:val="22"/>
          <w:szCs w:val="22"/>
          <w:lang w:val="fr-FR" w:eastAsia="en-GB"/>
        </w:rPr>
        <w:t>:</w:t>
      </w:r>
    </w:p>
    <w:p w14:paraId="77D56EB3" w14:textId="77777777" w:rsidR="00A926FC" w:rsidRPr="009F6DE7" w:rsidRDefault="00A926FC" w:rsidP="00A926FC">
      <w:pPr>
        <w:tabs>
          <w:tab w:val="left" w:pos="1601"/>
        </w:tabs>
        <w:jc w:val="both"/>
        <w:rPr>
          <w:rFonts w:cs="Arial"/>
          <w:lang w:val="fr-FR"/>
        </w:rPr>
      </w:pPr>
    </w:p>
    <w:p w14:paraId="111B3D7A" w14:textId="4B23813B" w:rsidR="00A926FC" w:rsidRPr="009F6DE7" w:rsidRDefault="00A926FC" w:rsidP="00A926FC">
      <w:pPr>
        <w:tabs>
          <w:tab w:val="left" w:pos="0"/>
        </w:tabs>
        <w:ind w:left="720"/>
        <w:jc w:val="both"/>
        <w:rPr>
          <w:rStyle w:val="normaltextrun"/>
          <w:rFonts w:cs="Arial"/>
          <w:lang w:val="fr-FR"/>
        </w:rPr>
      </w:pPr>
      <w:r w:rsidRPr="009F6DE7">
        <w:rPr>
          <w:rFonts w:cs="Arial"/>
          <w:lang w:val="fr-FR"/>
        </w:rPr>
        <w:t>a)</w:t>
      </w:r>
      <w:r w:rsidRPr="009F6DE7">
        <w:rPr>
          <w:rFonts w:cs="Arial"/>
          <w:lang w:val="fr-FR"/>
        </w:rPr>
        <w:tab/>
        <w:t>examiner le rapport figurant à l’Annexe 1 du présent document ;</w:t>
      </w:r>
    </w:p>
    <w:p w14:paraId="1E875BD9" w14:textId="77777777" w:rsidR="00A926FC" w:rsidRPr="009F6DE7" w:rsidRDefault="00A926FC" w:rsidP="00A926FC">
      <w:pPr>
        <w:tabs>
          <w:tab w:val="left" w:pos="0"/>
        </w:tabs>
        <w:ind w:left="720"/>
        <w:jc w:val="both"/>
        <w:rPr>
          <w:rStyle w:val="normaltextrun"/>
          <w:rFonts w:cs="Arial"/>
          <w:lang w:val="fr-FR"/>
        </w:rPr>
      </w:pPr>
    </w:p>
    <w:p w14:paraId="27DD884F" w14:textId="2C218F53" w:rsidR="00A926FC" w:rsidRPr="009F6DE7" w:rsidRDefault="00A926FC" w:rsidP="00A926FC">
      <w:pPr>
        <w:tabs>
          <w:tab w:val="left" w:pos="0"/>
        </w:tabs>
        <w:ind w:left="1418" w:hanging="698"/>
        <w:jc w:val="both"/>
        <w:rPr>
          <w:lang w:val="fr-FR"/>
        </w:rPr>
      </w:pPr>
      <w:r w:rsidRPr="009F6DE7">
        <w:rPr>
          <w:rStyle w:val="normaltextrun"/>
          <w:rFonts w:cs="Arial"/>
          <w:lang w:val="fr-FR"/>
        </w:rPr>
        <w:t>b)</w:t>
      </w:r>
      <w:r w:rsidRPr="009F6DE7">
        <w:rPr>
          <w:rStyle w:val="normaltextrun"/>
          <w:rFonts w:cs="Arial"/>
          <w:lang w:val="fr-FR"/>
        </w:rPr>
        <w:tab/>
      </w:r>
      <w:r w:rsidRPr="009F6DE7">
        <w:rPr>
          <w:lang w:val="fr-FR"/>
        </w:rPr>
        <w:t>fournir un retour d’information en vue de contribuer à la poursuite de l’élaboration et de la finalisation du rapport.</w:t>
      </w:r>
    </w:p>
    <w:p w14:paraId="6E8E8371" w14:textId="77777777" w:rsidR="00A926FC" w:rsidRPr="00A926FC" w:rsidRDefault="00A926FC" w:rsidP="00A926FC">
      <w:pPr>
        <w:pStyle w:val="BodyText"/>
        <w:rPr>
          <w:lang w:val="fr-FR"/>
        </w:rPr>
      </w:pPr>
    </w:p>
    <w:sectPr w:rsidR="00A926FC" w:rsidRPr="00A926FC" w:rsidSect="00110FC2">
      <w:footerReference w:type="default" r:id="rId19"/>
      <w:headerReference w:type="first" r:id="rId20"/>
      <w:footerReference w:type="first" r:id="rId21"/>
      <w:pgSz w:w="11906" w:h="16838" w:code="9"/>
      <w:pgMar w:top="1134" w:right="1134" w:bottom="1134" w:left="1134" w:header="720" w:footer="5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86F73" w14:textId="77777777" w:rsidR="006E0459" w:rsidRDefault="006E0459" w:rsidP="008562CA">
      <w:r>
        <w:rPr>
          <w:lang w:val="fr-FR"/>
        </w:rPr>
        <w:separator/>
      </w:r>
    </w:p>
  </w:endnote>
  <w:endnote w:type="continuationSeparator" w:id="0">
    <w:p w14:paraId="519CEEE7" w14:textId="77777777" w:rsidR="006E0459" w:rsidRDefault="006E0459" w:rsidP="008562CA">
      <w:r>
        <w:rPr>
          <w:lang w:val="fr-FR"/>
        </w:rPr>
        <w:continuationSeparator/>
      </w:r>
    </w:p>
  </w:endnote>
  <w:endnote w:type="continuationNotice" w:id="1">
    <w:p w14:paraId="0971F7FB" w14:textId="77777777" w:rsidR="006E0459" w:rsidRDefault="006E0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3</w:t>
        </w:r>
        <w:r>
          <w:rPr>
            <w:sz w:val="18"/>
            <w:szCs w:val="18"/>
            <w:lang w:val="fr-F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ABA4E" w14:textId="77777777" w:rsidR="009F6DE7" w:rsidRDefault="009F6D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351985"/>
      <w:docPartObj>
        <w:docPartGallery w:val="Page Numbers (Bottom of Page)"/>
        <w:docPartUnique/>
      </w:docPartObj>
    </w:sdtPr>
    <w:sdtEndPr>
      <w:rPr>
        <w:noProof/>
        <w:sz w:val="18"/>
        <w:szCs w:val="18"/>
      </w:rPr>
    </w:sdtEndPr>
    <w:sdtContent>
      <w:p w14:paraId="5E9E7F5D" w14:textId="4C13BC80" w:rsidR="0049446B" w:rsidRPr="004641A5" w:rsidRDefault="00450736" w:rsidP="009F6DE7">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840957"/>
      <w:docPartObj>
        <w:docPartGallery w:val="Page Numbers (Bottom of Page)"/>
        <w:docPartUnique/>
      </w:docPartObj>
    </w:sdtPr>
    <w:sdtEndPr>
      <w:rPr>
        <w:noProof/>
      </w:rPr>
    </w:sdtEndPr>
    <w:sdtContent>
      <w:p w14:paraId="3DD085B9" w14:textId="644A88A4" w:rsidR="0049446B" w:rsidRDefault="0049446B">
        <w:pPr>
          <w:pStyle w:val="Footer"/>
          <w:jc w:val="center"/>
          <w:rPr>
            <w:lang w:val="fr-FR"/>
          </w:rPr>
        </w:pPr>
        <w:r>
          <w:rPr>
            <w:lang w:val="fr-FR"/>
          </w:rPr>
          <w:fldChar w:fldCharType="begin"/>
        </w:r>
        <w:r>
          <w:rPr>
            <w:lang w:val="fr-FR"/>
          </w:rPr>
          <w:instrText xml:space="preserve"> PAGE   \* MERGEFORMAT </w:instrText>
        </w:r>
        <w:r>
          <w:rPr>
            <w:lang w:val="fr-FR"/>
          </w:rPr>
          <w:fldChar w:fldCharType="separate"/>
        </w:r>
        <w:r>
          <w:rPr>
            <w:lang w:val="fr-FR"/>
          </w:rPr>
          <w:t>2</w:t>
        </w:r>
        <w:r>
          <w:rPr>
            <w:lang w:val="fr-FR"/>
          </w:rPr>
          <w:fldChar w:fldCharType="end"/>
        </w:r>
      </w:p>
    </w:sdtContent>
  </w:sdt>
  <w:p w14:paraId="662499D7" w14:textId="77777777" w:rsidR="0049446B" w:rsidRDefault="0049446B">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A66F6" w14:textId="77777777" w:rsidR="006E0459" w:rsidRDefault="006E0459" w:rsidP="008562CA">
      <w:r>
        <w:rPr>
          <w:lang w:val="fr-FR"/>
        </w:rPr>
        <w:separator/>
      </w:r>
    </w:p>
  </w:footnote>
  <w:footnote w:type="continuationSeparator" w:id="0">
    <w:p w14:paraId="779A3707" w14:textId="77777777" w:rsidR="006E0459" w:rsidRDefault="006E0459" w:rsidP="008562CA">
      <w:r>
        <w:rPr>
          <w:lang w:val="fr-FR"/>
        </w:rPr>
        <w:continuationSeparator/>
      </w:r>
    </w:p>
  </w:footnote>
  <w:footnote w:type="continuationNotice" w:id="1">
    <w:p w14:paraId="515CF4E4" w14:textId="77777777" w:rsidR="006E0459" w:rsidRDefault="006E0459"/>
  </w:footnote>
  <w:footnote w:id="2">
    <w:p w14:paraId="078EE2AD" w14:textId="12B79C2F" w:rsidR="00DE6C5C" w:rsidRPr="009F6DE7" w:rsidRDefault="00DE6C5C" w:rsidP="00DE6C5C">
      <w:pPr>
        <w:pStyle w:val="FootnoteText"/>
        <w:rPr>
          <w:sz w:val="16"/>
          <w:szCs w:val="16"/>
          <w:lang w:val="fr-FR"/>
        </w:rPr>
      </w:pPr>
      <w:r w:rsidRPr="009F6DE7">
        <w:rPr>
          <w:rStyle w:val="FootnoteReference"/>
          <w:sz w:val="16"/>
          <w:szCs w:val="16"/>
          <w:lang w:val="fr-FR"/>
        </w:rPr>
        <w:footnoteRef/>
      </w:r>
      <w:r w:rsidRPr="009F6DE7">
        <w:rPr>
          <w:sz w:val="16"/>
          <w:szCs w:val="16"/>
          <w:lang w:val="fr-FR"/>
        </w:rPr>
        <w:t xml:space="preserve"> IPBES (2019), </w:t>
      </w:r>
      <w:r w:rsidRPr="009F6DE7">
        <w:rPr>
          <w:i/>
          <w:iCs/>
          <w:sz w:val="16"/>
          <w:szCs w:val="16"/>
          <w:lang w:val="fr-FR"/>
        </w:rPr>
        <w:t>Rapport de l’évaluation mondiale de la biodiversité et des services écosystémiques de la Plateforme intergouvernementale scientifique et politique sur la biodiversité et les services écosystémiques</w:t>
      </w:r>
      <w:r w:rsidRPr="009F6DE7">
        <w:rPr>
          <w:sz w:val="16"/>
          <w:szCs w:val="16"/>
          <w:lang w:val="fr-FR"/>
        </w:rPr>
        <w:t xml:space="preserve">. E. S. Brondizio, J. Settele, S. Díaz et H. T. Ngo (éditeurs). Secrétariat de l’IPBES, Bonn, Allemagne. 1 148 pages. </w:t>
      </w:r>
      <w:hyperlink r:id="rId1" w:history="1">
        <w:r w:rsidRPr="009F6DE7">
          <w:rPr>
            <w:rStyle w:val="Hyperlink"/>
            <w:sz w:val="16"/>
            <w:szCs w:val="16"/>
            <w:lang w:val="fr-FR"/>
          </w:rPr>
          <w:t>https://doi.org/10.5281/zenodo.3831673</w:t>
        </w:r>
      </w:hyperlink>
      <w:r w:rsidRPr="009F6DE7">
        <w:rPr>
          <w:sz w:val="16"/>
          <w:szCs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B1FE" w14:textId="280FBFF7" w:rsidR="004641A5" w:rsidRPr="004641A5" w:rsidRDefault="004641A5" w:rsidP="004641A5">
    <w:pPr>
      <w:pBdr>
        <w:bottom w:val="single" w:sz="4" w:space="1" w:color="auto"/>
      </w:pBdr>
      <w:rPr>
        <w:rFonts w:cs="Arial"/>
        <w:i/>
        <w:iCs/>
        <w:sz w:val="18"/>
        <w:szCs w:val="18"/>
        <w:lang w:val="en-GB"/>
      </w:rPr>
    </w:pPr>
    <w:r>
      <w:rPr>
        <w:rFonts w:cs="Arial"/>
        <w:i/>
        <w:iCs/>
        <w:sz w:val="18"/>
        <w:szCs w:val="18"/>
        <w:lang w:val="en-GB"/>
      </w:rPr>
      <w:t>UNEP/CMS/ScC-SC6/Doc.12.4.2</w:t>
    </w:r>
  </w:p>
  <w:p w14:paraId="7B68B837" w14:textId="77777777" w:rsidR="004641A5" w:rsidRDefault="004641A5">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BD31" w14:textId="07E2CF83" w:rsidR="004641A5" w:rsidRPr="004641A5" w:rsidRDefault="004641A5" w:rsidP="004641A5">
    <w:pPr>
      <w:pBdr>
        <w:bottom w:val="single" w:sz="4" w:space="1" w:color="auto"/>
      </w:pBdr>
      <w:jc w:val="right"/>
      <w:rPr>
        <w:rFonts w:cs="Arial"/>
        <w:i/>
        <w:iCs/>
        <w:sz w:val="18"/>
        <w:szCs w:val="18"/>
        <w:lang w:val="en-GB"/>
      </w:rPr>
    </w:pPr>
    <w:r>
      <w:rPr>
        <w:rFonts w:cs="Arial"/>
        <w:i/>
        <w:iCs/>
        <w:sz w:val="18"/>
        <w:szCs w:val="18"/>
        <w:lang w:val="en-GB"/>
      </w:rPr>
      <w:t>UNEP/CMS/ScC-SC6/Doc.12.4.2</w:t>
    </w:r>
  </w:p>
  <w:p w14:paraId="60534E8A" w14:textId="77777777" w:rsidR="004641A5" w:rsidRDefault="004641A5">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2742A" w14:textId="77777777" w:rsidR="009F6DE7" w:rsidRDefault="009F6DE7" w:rsidP="009F6DE7">
    <w:pPr>
      <w:pStyle w:val="Header"/>
    </w:pPr>
    <w:r>
      <w:rPr>
        <w:noProof/>
      </w:rPr>
      <w:drawing>
        <wp:anchor distT="0" distB="0" distL="114300" distR="114300" simplePos="0" relativeHeight="251661312" behindDoc="0" locked="0" layoutInCell="1" allowOverlap="1" wp14:anchorId="16BF3E29" wp14:editId="41C068A3">
          <wp:simplePos x="0" y="0"/>
          <wp:positionH relativeFrom="column">
            <wp:posOffset>-548005</wp:posOffset>
          </wp:positionH>
          <wp:positionV relativeFrom="paragraph">
            <wp:posOffset>-542290</wp:posOffset>
          </wp:positionV>
          <wp:extent cx="1409700" cy="1409700"/>
          <wp:effectExtent l="0" t="0" r="0" b="0"/>
          <wp:wrapNone/>
          <wp:docPr id="8"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D7B0278" wp14:editId="431A737C">
          <wp:simplePos x="0" y="0"/>
          <wp:positionH relativeFrom="column">
            <wp:posOffset>5800725</wp:posOffset>
          </wp:positionH>
          <wp:positionV relativeFrom="paragraph">
            <wp:posOffset>-333375</wp:posOffset>
          </wp:positionV>
          <wp:extent cx="585470" cy="822325"/>
          <wp:effectExtent l="0" t="0" r="508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60288" behindDoc="0" locked="0" layoutInCell="1" allowOverlap="1" wp14:anchorId="68CD373C" wp14:editId="23CCD4D0">
              <wp:simplePos x="0" y="0"/>
              <wp:positionH relativeFrom="column">
                <wp:posOffset>1019175</wp:posOffset>
              </wp:positionH>
              <wp:positionV relativeFrom="paragraph">
                <wp:posOffset>-19050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C3E8323" w14:textId="77777777" w:rsidR="009F6DE7" w:rsidRPr="00C64B0F" w:rsidRDefault="009F6DE7" w:rsidP="009F6DE7">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68CD373C" id="_x0000_t202" coordsize="21600,21600" o:spt="202" path="m,l,21600r21600,l21600,xe">
              <v:stroke joinstyle="miter"/>
              <v:path gradientshapeok="t" o:connecttype="rect"/>
            </v:shapetype>
            <v:shape id="Text Box 2" o:spid="_x0000_s1027" type="#_x0000_t202" style="position:absolute;margin-left:80.25pt;margin-top:-1.5pt;width:360.9pt;height: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" filled="f" stroked="f" strokeweight="0">
              <v:textbox style="mso-fit-shape-to-text:t">
                <w:txbxContent>
                  <w:p w14:paraId="0C3E8323" w14:textId="77777777" w:rsidR="009F6DE7" w:rsidRPr="00C64B0F" w:rsidRDefault="009F6DE7" w:rsidP="009F6DE7">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p>
  <w:p w14:paraId="367F3B33" w14:textId="77777777" w:rsidR="009F6DE7" w:rsidRDefault="009F6D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5378" w14:textId="7E0B71C2" w:rsidR="00857DC4" w:rsidRPr="00857DC4" w:rsidRDefault="00857DC4" w:rsidP="00857DC4">
    <w:pPr>
      <w:pBdr>
        <w:bottom w:val="single" w:sz="4" w:space="1" w:color="auto"/>
      </w:pBdr>
      <w:spacing w:before="120"/>
      <w:rPr>
        <w:rFonts w:cs="Arial"/>
        <w:i/>
        <w:iCs/>
        <w:sz w:val="18"/>
        <w:szCs w:val="18"/>
        <w:lang w:val="en-GB"/>
      </w:rPr>
    </w:pPr>
    <w:r>
      <w:rPr>
        <w:rFonts w:cs="Arial"/>
        <w:i/>
        <w:iCs/>
        <w:sz w:val="18"/>
        <w:szCs w:val="18"/>
        <w:lang w:val="en-GB"/>
      </w:rPr>
      <w:t>UNEP/CMS/ScC-SC6/Doc.12.4.2</w:t>
    </w:r>
  </w:p>
  <w:p w14:paraId="17B7F0AC" w14:textId="77777777" w:rsidR="00857DC4" w:rsidRDefault="00857DC4" w:rsidP="00857DC4">
    <w:pPr>
      <w:rPr>
        <w:rFonts w:cs="Arial"/>
        <w:lang w:val="fr-FR"/>
      </w:rPr>
    </w:pPr>
  </w:p>
  <w:p w14:paraId="35D8672B" w14:textId="77777777" w:rsidR="005A0362" w:rsidRPr="005A0362" w:rsidRDefault="005A0362" w:rsidP="005A0362">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01CF7"/>
    <w:multiLevelType w:val="hybridMultilevel"/>
    <w:tmpl w:val="C324F9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9259BB"/>
    <w:multiLevelType w:val="multilevel"/>
    <w:tmpl w:val="3100256C"/>
    <w:lvl w:ilvl="0">
      <w:start w:val="1"/>
      <w:numFmt w:val="lowerLetter"/>
      <w:lvlText w:val="%1)"/>
      <w:lvlJc w:val="left"/>
      <w:pPr>
        <w:tabs>
          <w:tab w:val="num" w:pos="1920"/>
        </w:tabs>
        <w:ind w:left="1920" w:hanging="360"/>
      </w:pPr>
      <w:rPr>
        <w:rFonts w:ascii="Arial" w:hAnsi="Arial" w:cs="Arial" w:hint="default"/>
      </w:r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8"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732D20"/>
    <w:multiLevelType w:val="hybridMultilevel"/>
    <w:tmpl w:val="B014A3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8A51877"/>
    <w:multiLevelType w:val="hybridMultilevel"/>
    <w:tmpl w:val="8DE2B9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641E98"/>
    <w:multiLevelType w:val="hybridMultilevel"/>
    <w:tmpl w:val="CC346B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8"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0C6DD5"/>
    <w:multiLevelType w:val="hybridMultilevel"/>
    <w:tmpl w:val="BAAE1B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2" w15:restartNumberingAfterBreak="0">
    <w:nsid w:val="77DA2C72"/>
    <w:multiLevelType w:val="hybridMultilevel"/>
    <w:tmpl w:val="A3B614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7921480">
    <w:abstractNumId w:val="17"/>
  </w:num>
  <w:num w:numId="2" w16cid:durableId="1330258007">
    <w:abstractNumId w:val="10"/>
  </w:num>
  <w:num w:numId="3" w16cid:durableId="216629081">
    <w:abstractNumId w:val="23"/>
  </w:num>
  <w:num w:numId="4" w16cid:durableId="2089496676">
    <w:abstractNumId w:val="9"/>
  </w:num>
  <w:num w:numId="5" w16cid:durableId="995305865">
    <w:abstractNumId w:val="6"/>
  </w:num>
  <w:num w:numId="6" w16cid:durableId="1591543126">
    <w:abstractNumId w:val="4"/>
  </w:num>
  <w:num w:numId="7" w16cid:durableId="1509979557">
    <w:abstractNumId w:val="19"/>
  </w:num>
  <w:num w:numId="8" w16cid:durableId="1284387885">
    <w:abstractNumId w:val="16"/>
  </w:num>
  <w:num w:numId="9" w16cid:durableId="1792672819">
    <w:abstractNumId w:val="8"/>
  </w:num>
  <w:num w:numId="10" w16cid:durableId="1602376025">
    <w:abstractNumId w:val="5"/>
  </w:num>
  <w:num w:numId="11" w16cid:durableId="583103219">
    <w:abstractNumId w:val="0"/>
  </w:num>
  <w:num w:numId="12" w16cid:durableId="764500067">
    <w:abstractNumId w:val="2"/>
  </w:num>
  <w:num w:numId="13" w16cid:durableId="241188056">
    <w:abstractNumId w:val="21"/>
  </w:num>
  <w:num w:numId="14" w16cid:durableId="1744138892">
    <w:abstractNumId w:val="13"/>
  </w:num>
  <w:num w:numId="15" w16cid:durableId="512185356">
    <w:abstractNumId w:val="15"/>
  </w:num>
  <w:num w:numId="16" w16cid:durableId="206646908">
    <w:abstractNumId w:val="3"/>
  </w:num>
  <w:num w:numId="17" w16cid:durableId="309864782">
    <w:abstractNumId w:val="18"/>
  </w:num>
  <w:num w:numId="18" w16cid:durableId="996958949">
    <w:abstractNumId w:val="11"/>
  </w:num>
  <w:num w:numId="19" w16cid:durableId="241573804">
    <w:abstractNumId w:val="12"/>
  </w:num>
  <w:num w:numId="20" w16cid:durableId="574585092">
    <w:abstractNumId w:val="20"/>
  </w:num>
  <w:num w:numId="21" w16cid:durableId="1537736785">
    <w:abstractNumId w:val="14"/>
  </w:num>
  <w:num w:numId="22" w16cid:durableId="6056012">
    <w:abstractNumId w:val="7"/>
  </w:num>
  <w:num w:numId="23" w16cid:durableId="651715353">
    <w:abstractNumId w:val="1"/>
  </w:num>
  <w:num w:numId="24" w16cid:durableId="2698269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1E5B"/>
    <w:rsid w:val="000148EA"/>
    <w:rsid w:val="00015A26"/>
    <w:rsid w:val="000216EC"/>
    <w:rsid w:val="00025BCB"/>
    <w:rsid w:val="00034F7E"/>
    <w:rsid w:val="00046CE4"/>
    <w:rsid w:val="0004798C"/>
    <w:rsid w:val="00051664"/>
    <w:rsid w:val="00062598"/>
    <w:rsid w:val="00063003"/>
    <w:rsid w:val="00067CF1"/>
    <w:rsid w:val="00095D40"/>
    <w:rsid w:val="000A52F9"/>
    <w:rsid w:val="000B3FCC"/>
    <w:rsid w:val="000B4F2D"/>
    <w:rsid w:val="000C2262"/>
    <w:rsid w:val="000E3462"/>
    <w:rsid w:val="000F4744"/>
    <w:rsid w:val="000F7046"/>
    <w:rsid w:val="00104122"/>
    <w:rsid w:val="00110FC2"/>
    <w:rsid w:val="0014124A"/>
    <w:rsid w:val="001441EE"/>
    <w:rsid w:val="001578CF"/>
    <w:rsid w:val="00177F9E"/>
    <w:rsid w:val="00180E68"/>
    <w:rsid w:val="0018727D"/>
    <w:rsid w:val="0019394A"/>
    <w:rsid w:val="0019540B"/>
    <w:rsid w:val="001B12B6"/>
    <w:rsid w:val="001B3D0E"/>
    <w:rsid w:val="001B7C41"/>
    <w:rsid w:val="001F56E8"/>
    <w:rsid w:val="00222263"/>
    <w:rsid w:val="002331FA"/>
    <w:rsid w:val="0023618C"/>
    <w:rsid w:val="00264DB7"/>
    <w:rsid w:val="002800E4"/>
    <w:rsid w:val="00297A6E"/>
    <w:rsid w:val="002B6ED6"/>
    <w:rsid w:val="002E0B46"/>
    <w:rsid w:val="002E33C7"/>
    <w:rsid w:val="002E4D17"/>
    <w:rsid w:val="002F2584"/>
    <w:rsid w:val="00301DD0"/>
    <w:rsid w:val="0033763F"/>
    <w:rsid w:val="00351765"/>
    <w:rsid w:val="00362179"/>
    <w:rsid w:val="003750DA"/>
    <w:rsid w:val="00384952"/>
    <w:rsid w:val="00395A58"/>
    <w:rsid w:val="00397F57"/>
    <w:rsid w:val="003B1260"/>
    <w:rsid w:val="003B218D"/>
    <w:rsid w:val="003B5C86"/>
    <w:rsid w:val="003C1A96"/>
    <w:rsid w:val="003D3675"/>
    <w:rsid w:val="003D6F67"/>
    <w:rsid w:val="003D7753"/>
    <w:rsid w:val="0041037A"/>
    <w:rsid w:val="00445448"/>
    <w:rsid w:val="00446819"/>
    <w:rsid w:val="00450736"/>
    <w:rsid w:val="004531D2"/>
    <w:rsid w:val="00455064"/>
    <w:rsid w:val="004641A5"/>
    <w:rsid w:val="004829D0"/>
    <w:rsid w:val="00490FF8"/>
    <w:rsid w:val="0049446B"/>
    <w:rsid w:val="00494E31"/>
    <w:rsid w:val="004A4F75"/>
    <w:rsid w:val="004B29B4"/>
    <w:rsid w:val="004B574A"/>
    <w:rsid w:val="004E4BCC"/>
    <w:rsid w:val="004F08DB"/>
    <w:rsid w:val="004F3FDC"/>
    <w:rsid w:val="00511000"/>
    <w:rsid w:val="00552B51"/>
    <w:rsid w:val="0055596A"/>
    <w:rsid w:val="005576EE"/>
    <w:rsid w:val="005618D3"/>
    <w:rsid w:val="00565B1A"/>
    <w:rsid w:val="005872F6"/>
    <w:rsid w:val="005A0362"/>
    <w:rsid w:val="005A4458"/>
    <w:rsid w:val="005C512E"/>
    <w:rsid w:val="005C5659"/>
    <w:rsid w:val="005D00EE"/>
    <w:rsid w:val="005E1A0D"/>
    <w:rsid w:val="005F7B3E"/>
    <w:rsid w:val="0061626F"/>
    <w:rsid w:val="00637DAE"/>
    <w:rsid w:val="00666202"/>
    <w:rsid w:val="0068319B"/>
    <w:rsid w:val="00683508"/>
    <w:rsid w:val="006853C9"/>
    <w:rsid w:val="00695590"/>
    <w:rsid w:val="006B0385"/>
    <w:rsid w:val="006C42C9"/>
    <w:rsid w:val="006D3A1A"/>
    <w:rsid w:val="006E0459"/>
    <w:rsid w:val="006E2EAC"/>
    <w:rsid w:val="006F26E4"/>
    <w:rsid w:val="006F703C"/>
    <w:rsid w:val="006F7BD7"/>
    <w:rsid w:val="0071781C"/>
    <w:rsid w:val="00724659"/>
    <w:rsid w:val="00725DE2"/>
    <w:rsid w:val="007334E5"/>
    <w:rsid w:val="00763277"/>
    <w:rsid w:val="007A675C"/>
    <w:rsid w:val="007B6BA0"/>
    <w:rsid w:val="007E238D"/>
    <w:rsid w:val="007E3B1A"/>
    <w:rsid w:val="007E4CF4"/>
    <w:rsid w:val="007F1562"/>
    <w:rsid w:val="007F5A16"/>
    <w:rsid w:val="007F6EBD"/>
    <w:rsid w:val="00822E98"/>
    <w:rsid w:val="00823741"/>
    <w:rsid w:val="00823EA0"/>
    <w:rsid w:val="0083087F"/>
    <w:rsid w:val="008345CC"/>
    <w:rsid w:val="00836C95"/>
    <w:rsid w:val="00844F23"/>
    <w:rsid w:val="0084775C"/>
    <w:rsid w:val="00851541"/>
    <w:rsid w:val="008562CA"/>
    <w:rsid w:val="00857DC4"/>
    <w:rsid w:val="008641D3"/>
    <w:rsid w:val="008A5B68"/>
    <w:rsid w:val="008D1AE4"/>
    <w:rsid w:val="008D5CC4"/>
    <w:rsid w:val="008D7252"/>
    <w:rsid w:val="00904343"/>
    <w:rsid w:val="0092142F"/>
    <w:rsid w:val="009325A1"/>
    <w:rsid w:val="00941B49"/>
    <w:rsid w:val="0095781C"/>
    <w:rsid w:val="00966666"/>
    <w:rsid w:val="00970630"/>
    <w:rsid w:val="00970A32"/>
    <w:rsid w:val="00977FB5"/>
    <w:rsid w:val="009A012D"/>
    <w:rsid w:val="009A0DD0"/>
    <w:rsid w:val="009A40F8"/>
    <w:rsid w:val="009C19C3"/>
    <w:rsid w:val="009C3595"/>
    <w:rsid w:val="009C7B88"/>
    <w:rsid w:val="009D189E"/>
    <w:rsid w:val="009F415B"/>
    <w:rsid w:val="009F6DE7"/>
    <w:rsid w:val="009F7129"/>
    <w:rsid w:val="00A029D2"/>
    <w:rsid w:val="00A21B78"/>
    <w:rsid w:val="00A2501D"/>
    <w:rsid w:val="00A258AE"/>
    <w:rsid w:val="00A2712A"/>
    <w:rsid w:val="00A303D3"/>
    <w:rsid w:val="00A40CC0"/>
    <w:rsid w:val="00A45997"/>
    <w:rsid w:val="00A51201"/>
    <w:rsid w:val="00A51B0B"/>
    <w:rsid w:val="00A926FC"/>
    <w:rsid w:val="00AB7979"/>
    <w:rsid w:val="00AD0A1D"/>
    <w:rsid w:val="00AD787B"/>
    <w:rsid w:val="00AE0180"/>
    <w:rsid w:val="00AF2BAF"/>
    <w:rsid w:val="00B215D7"/>
    <w:rsid w:val="00B24AAE"/>
    <w:rsid w:val="00B32F9E"/>
    <w:rsid w:val="00B43FA1"/>
    <w:rsid w:val="00B66044"/>
    <w:rsid w:val="00B6779D"/>
    <w:rsid w:val="00B81CA0"/>
    <w:rsid w:val="00B91ECD"/>
    <w:rsid w:val="00BD7361"/>
    <w:rsid w:val="00BE7C6B"/>
    <w:rsid w:val="00C242B7"/>
    <w:rsid w:val="00C25A6C"/>
    <w:rsid w:val="00C31D83"/>
    <w:rsid w:val="00C37847"/>
    <w:rsid w:val="00C37E26"/>
    <w:rsid w:val="00C51531"/>
    <w:rsid w:val="00C515BD"/>
    <w:rsid w:val="00C51C6B"/>
    <w:rsid w:val="00C5779F"/>
    <w:rsid w:val="00C6402A"/>
    <w:rsid w:val="00C70A3E"/>
    <w:rsid w:val="00C74C48"/>
    <w:rsid w:val="00C82E51"/>
    <w:rsid w:val="00CA38AF"/>
    <w:rsid w:val="00CB3539"/>
    <w:rsid w:val="00CB655F"/>
    <w:rsid w:val="00CC22BC"/>
    <w:rsid w:val="00CD1999"/>
    <w:rsid w:val="00CF4ED2"/>
    <w:rsid w:val="00D15371"/>
    <w:rsid w:val="00D3197C"/>
    <w:rsid w:val="00D33367"/>
    <w:rsid w:val="00D4705E"/>
    <w:rsid w:val="00D53164"/>
    <w:rsid w:val="00D5397B"/>
    <w:rsid w:val="00D6324F"/>
    <w:rsid w:val="00D927BD"/>
    <w:rsid w:val="00DA01A5"/>
    <w:rsid w:val="00DA207A"/>
    <w:rsid w:val="00DB4110"/>
    <w:rsid w:val="00DB5097"/>
    <w:rsid w:val="00DB5F96"/>
    <w:rsid w:val="00DC2B5F"/>
    <w:rsid w:val="00DC7578"/>
    <w:rsid w:val="00DC7969"/>
    <w:rsid w:val="00DD1D6A"/>
    <w:rsid w:val="00DD5B36"/>
    <w:rsid w:val="00DD6F6E"/>
    <w:rsid w:val="00DE1368"/>
    <w:rsid w:val="00DE6C5C"/>
    <w:rsid w:val="00DF7F2F"/>
    <w:rsid w:val="00E028F3"/>
    <w:rsid w:val="00E035CC"/>
    <w:rsid w:val="00E07C51"/>
    <w:rsid w:val="00E201F2"/>
    <w:rsid w:val="00E35017"/>
    <w:rsid w:val="00E41AE9"/>
    <w:rsid w:val="00E55C14"/>
    <w:rsid w:val="00E6571F"/>
    <w:rsid w:val="00E92E88"/>
    <w:rsid w:val="00E95BF3"/>
    <w:rsid w:val="00EA62A4"/>
    <w:rsid w:val="00EA633C"/>
    <w:rsid w:val="00ED748B"/>
    <w:rsid w:val="00F01E83"/>
    <w:rsid w:val="00F20E76"/>
    <w:rsid w:val="00F26CC2"/>
    <w:rsid w:val="00F35A66"/>
    <w:rsid w:val="00F4206A"/>
    <w:rsid w:val="00F426B8"/>
    <w:rsid w:val="00F432C4"/>
    <w:rsid w:val="00F45977"/>
    <w:rsid w:val="00F64AE8"/>
    <w:rsid w:val="00F720AC"/>
    <w:rsid w:val="00F85CF0"/>
    <w:rsid w:val="00F90B60"/>
    <w:rsid w:val="00FB3EAE"/>
    <w:rsid w:val="00FC595E"/>
    <w:rsid w:val="00FC641D"/>
    <w:rsid w:val="00FD30F3"/>
    <w:rsid w:val="00FF269B"/>
    <w:rsid w:val="00FF50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next w:val="Normal"/>
    <w:link w:val="Heading1Char"/>
    <w:uiPriority w:val="9"/>
    <w:qFormat/>
    <w:rsid w:val="00B6779D"/>
    <w:pPr>
      <w:keepNext/>
      <w:suppressAutoHyphens/>
      <w:outlineLvl w:val="0"/>
    </w:pPr>
    <w:rPr>
      <w:rFonts w:eastAsia="Times New Roman" w:cs="Arial"/>
      <w:color w:val="000000"/>
      <w:kern w:val="2"/>
      <w:u w:val="single"/>
      <w:lang w:val="en-GB"/>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3">
    <w:name w:val="heading 3"/>
    <w:basedOn w:val="Normal"/>
    <w:next w:val="Normal"/>
    <w:link w:val="Heading3Char"/>
    <w:uiPriority w:val="9"/>
    <w:unhideWhenUsed/>
    <w:qFormat/>
    <w:rsid w:val="00A926FC"/>
    <w:pPr>
      <w:keepNext/>
      <w:jc w:val="both"/>
      <w:outlineLvl w:val="2"/>
    </w:pPr>
    <w:rPr>
      <w:rFonts w:cs="Arial"/>
      <w:u w:val="single"/>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paragraph" w:styleId="BodyText">
    <w:name w:val="Body Text"/>
    <w:basedOn w:val="Normal"/>
    <w:link w:val="BodyTextChar"/>
    <w:uiPriority w:val="99"/>
    <w:unhideWhenUsed/>
    <w:rsid w:val="00B6779D"/>
    <w:pPr>
      <w:spacing w:after="120"/>
    </w:pPr>
  </w:style>
  <w:style w:type="character" w:customStyle="1" w:styleId="BodyTextChar">
    <w:name w:val="Body Text Char"/>
    <w:basedOn w:val="DefaultParagraphFont"/>
    <w:link w:val="BodyText"/>
    <w:uiPriority w:val="99"/>
    <w:rsid w:val="00B6779D"/>
    <w:rPr>
      <w:rFonts w:ascii="Arial" w:hAnsi="Arial"/>
    </w:rPr>
  </w:style>
  <w:style w:type="paragraph" w:styleId="BodyText2">
    <w:name w:val="Body Text 2"/>
    <w:basedOn w:val="Normal"/>
    <w:link w:val="BodyText2Char"/>
    <w:uiPriority w:val="99"/>
    <w:unhideWhenUsed/>
    <w:rsid w:val="00B6779D"/>
    <w:pPr>
      <w:jc w:val="both"/>
    </w:pPr>
    <w:rPr>
      <w:rFonts w:cs="Arial"/>
      <w:sz w:val="21"/>
      <w:szCs w:val="21"/>
    </w:rPr>
  </w:style>
  <w:style w:type="character" w:customStyle="1" w:styleId="BodyText2Char">
    <w:name w:val="Body Text 2 Char"/>
    <w:basedOn w:val="DefaultParagraphFont"/>
    <w:link w:val="BodyText2"/>
    <w:uiPriority w:val="99"/>
    <w:rsid w:val="00B6779D"/>
    <w:rPr>
      <w:rFonts w:ascii="Arial" w:hAnsi="Arial" w:cs="Arial"/>
      <w:sz w:val="21"/>
      <w:szCs w:val="21"/>
    </w:rPr>
  </w:style>
  <w:style w:type="character" w:customStyle="1" w:styleId="Heading1Char">
    <w:name w:val="Heading 1 Char"/>
    <w:basedOn w:val="DefaultParagraphFont"/>
    <w:link w:val="Heading1"/>
    <w:uiPriority w:val="9"/>
    <w:rsid w:val="00B6779D"/>
    <w:rPr>
      <w:rFonts w:ascii="Arial" w:eastAsia="Times New Roman" w:hAnsi="Arial" w:cs="Arial"/>
      <w:color w:val="000000"/>
      <w:kern w:val="2"/>
      <w:u w:val="single"/>
      <w:lang w:val="en-GB"/>
    </w:rPr>
  </w:style>
  <w:style w:type="paragraph" w:styleId="BodyTextIndent">
    <w:name w:val="Body Text Indent"/>
    <w:basedOn w:val="Normal"/>
    <w:link w:val="BodyTextIndentChar"/>
    <w:uiPriority w:val="99"/>
    <w:semiHidden/>
    <w:unhideWhenUsed/>
    <w:rsid w:val="00B6779D"/>
    <w:pPr>
      <w:spacing w:after="120"/>
      <w:ind w:left="283"/>
    </w:pPr>
  </w:style>
  <w:style w:type="character" w:customStyle="1" w:styleId="BodyTextIndentChar">
    <w:name w:val="Body Text Indent Char"/>
    <w:basedOn w:val="DefaultParagraphFont"/>
    <w:link w:val="BodyTextIndent"/>
    <w:uiPriority w:val="99"/>
    <w:semiHidden/>
    <w:rsid w:val="00B6779D"/>
    <w:rPr>
      <w:rFonts w:ascii="Arial" w:hAnsi="Arial"/>
    </w:rPr>
  </w:style>
  <w:style w:type="paragraph" w:styleId="BodyTextIndent2">
    <w:name w:val="Body Text Indent 2"/>
    <w:basedOn w:val="Normal"/>
    <w:link w:val="BodyTextIndent2Char"/>
    <w:uiPriority w:val="99"/>
    <w:unhideWhenUsed/>
    <w:rsid w:val="008345CC"/>
    <w:pPr>
      <w:ind w:left="709" w:hanging="1"/>
      <w:jc w:val="both"/>
    </w:pPr>
    <w:rPr>
      <w:lang w:val="en-GB"/>
    </w:rPr>
  </w:style>
  <w:style w:type="character" w:customStyle="1" w:styleId="BodyTextIndent2Char">
    <w:name w:val="Body Text Indent 2 Char"/>
    <w:basedOn w:val="DefaultParagraphFont"/>
    <w:link w:val="BodyTextIndent2"/>
    <w:uiPriority w:val="99"/>
    <w:rsid w:val="008345CC"/>
    <w:rPr>
      <w:rFonts w:ascii="Arial" w:hAnsi="Arial"/>
      <w:lang w:val="en-GB"/>
    </w:rPr>
  </w:style>
  <w:style w:type="character" w:customStyle="1" w:styleId="Heading3Char">
    <w:name w:val="Heading 3 Char"/>
    <w:basedOn w:val="DefaultParagraphFont"/>
    <w:link w:val="Heading3"/>
    <w:uiPriority w:val="9"/>
    <w:rsid w:val="00A926FC"/>
    <w:rPr>
      <w:rFonts w:ascii="Arial" w:hAnsi="Arial" w:cs="Arial"/>
      <w:u w:val="single"/>
    </w:rPr>
  </w:style>
  <w:style w:type="paragraph" w:customStyle="1" w:styleId="paragraph">
    <w:name w:val="paragraph"/>
    <w:basedOn w:val="Normal"/>
    <w:rsid w:val="00A926FC"/>
    <w:pPr>
      <w:spacing w:before="100" w:beforeAutospacing="1" w:after="100" w:afterAutospacing="1"/>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A926FC"/>
  </w:style>
  <w:style w:type="character" w:customStyle="1" w:styleId="eop">
    <w:name w:val="eop"/>
    <w:basedOn w:val="DefaultParagraphFont"/>
    <w:rsid w:val="00A926FC"/>
  </w:style>
  <w:style w:type="character" w:styleId="FollowedHyperlink">
    <w:name w:val="FollowedHyperlink"/>
    <w:basedOn w:val="DefaultParagraphFont"/>
    <w:uiPriority w:val="99"/>
    <w:semiHidden/>
    <w:unhideWhenUsed/>
    <w:rsid w:val="0041037A"/>
    <w:rPr>
      <w:color w:val="954F72" w:themeColor="followedHyperlink"/>
      <w:u w:val="single"/>
    </w:rPr>
  </w:style>
  <w:style w:type="paragraph" w:styleId="Revision">
    <w:name w:val="Revision"/>
    <w:hidden/>
    <w:uiPriority w:val="99"/>
    <w:semiHidden/>
    <w:rsid w:val="0041037A"/>
    <w:rPr>
      <w:rFonts w:ascii="Arial" w:hAnsi="Arial"/>
    </w:rPr>
  </w:style>
  <w:style w:type="character" w:styleId="CommentReference">
    <w:name w:val="annotation reference"/>
    <w:basedOn w:val="DefaultParagraphFont"/>
    <w:uiPriority w:val="99"/>
    <w:semiHidden/>
    <w:unhideWhenUsed/>
    <w:rsid w:val="0068319B"/>
    <w:rPr>
      <w:sz w:val="16"/>
      <w:szCs w:val="16"/>
    </w:rPr>
  </w:style>
  <w:style w:type="paragraph" w:styleId="CommentText">
    <w:name w:val="annotation text"/>
    <w:basedOn w:val="Normal"/>
    <w:link w:val="CommentTextChar"/>
    <w:uiPriority w:val="99"/>
    <w:unhideWhenUsed/>
    <w:rsid w:val="0068319B"/>
    <w:rPr>
      <w:sz w:val="20"/>
      <w:szCs w:val="20"/>
    </w:rPr>
  </w:style>
  <w:style w:type="character" w:customStyle="1" w:styleId="CommentTextChar">
    <w:name w:val="Comment Text Char"/>
    <w:basedOn w:val="DefaultParagraphFont"/>
    <w:link w:val="CommentText"/>
    <w:uiPriority w:val="99"/>
    <w:rsid w:val="006831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8319B"/>
    <w:rPr>
      <w:b/>
      <w:bCs/>
    </w:rPr>
  </w:style>
  <w:style w:type="character" w:customStyle="1" w:styleId="CommentSubjectChar">
    <w:name w:val="Comment Subject Char"/>
    <w:basedOn w:val="CommentTextChar"/>
    <w:link w:val="CommentSubject"/>
    <w:uiPriority w:val="99"/>
    <w:semiHidden/>
    <w:rsid w:val="0068319B"/>
    <w:rPr>
      <w:rFonts w:ascii="Arial" w:hAnsi="Arial"/>
      <w:b/>
      <w:bCs/>
      <w:sz w:val="20"/>
      <w:szCs w:val="20"/>
    </w:rPr>
  </w:style>
  <w:style w:type="paragraph" w:styleId="FootnoteText">
    <w:name w:val="footnote text"/>
    <w:basedOn w:val="Normal"/>
    <w:link w:val="FootnoteTextChar"/>
    <w:uiPriority w:val="99"/>
    <w:semiHidden/>
    <w:unhideWhenUsed/>
    <w:rsid w:val="002B6ED6"/>
    <w:rPr>
      <w:sz w:val="20"/>
      <w:szCs w:val="20"/>
    </w:rPr>
  </w:style>
  <w:style w:type="character" w:customStyle="1" w:styleId="FootnoteTextChar">
    <w:name w:val="Footnote Text Char"/>
    <w:basedOn w:val="DefaultParagraphFont"/>
    <w:link w:val="FootnoteText"/>
    <w:uiPriority w:val="99"/>
    <w:semiHidden/>
    <w:rsid w:val="002B6ED6"/>
    <w:rPr>
      <w:rFonts w:ascii="Arial" w:hAnsi="Arial"/>
      <w:sz w:val="20"/>
      <w:szCs w:val="20"/>
    </w:rPr>
  </w:style>
  <w:style w:type="character" w:styleId="FootnoteReference">
    <w:name w:val="footnote reference"/>
    <w:basedOn w:val="DefaultParagraphFont"/>
    <w:uiPriority w:val="99"/>
    <w:semiHidden/>
    <w:unhideWhenUsed/>
    <w:rsid w:val="002B6E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ms.int/fr/page/decision-13129-d%C3%A9clin-des-insectes-et-menace-qu%E2%80%99il-repr%C3%A9sente-pour-les-populations-animales"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ms.int/fr/document/d%C3%A9clin-des-insectes-et-menace-quil-repr%C3%A9sente-pour-les-populations-animales-migratric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5281/zenodo.383167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UserInfo>
        <DisplayName>Aydin Bahramlouian</DisplayName>
        <AccountId>29</AccountId>
        <AccountType/>
      </UserInfo>
    </SharedWithUsers>
    <Reviewer xmlns="a7b50396-0b06-45c1-b28e-46f86d566a10" xsi:nil="true"/>
    <MariaJoseOrtiz xmlns="a7b50396-0b06-45c1-b28e-46f86d566a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66929-160B-45B0-8DCA-4CE74A4326EB}">
  <ds:schemaRefs>
    <ds:schemaRef ds:uri="a7b50396-0b06-45c1-b28e-46f86d566a10"/>
    <ds:schemaRef ds:uri="http://purl.org/dc/terms/"/>
    <ds:schemaRef ds:uri="http://schemas.microsoft.com/office/infopath/2007/PartnerControls"/>
    <ds:schemaRef ds:uri="http://www.w3.org/XML/1998/namespace"/>
    <ds:schemaRef ds:uri="http://schemas.openxmlformats.org/package/2006/metadata/core-properties"/>
    <ds:schemaRef ds:uri="http://purl.org/dc/dcmitype/"/>
    <ds:schemaRef ds:uri="c15478a5-0be8-4f5d-8383-b307d5ba8bf6"/>
    <ds:schemaRef ds:uri="http://schemas.microsoft.com/office/2006/documentManagement/types"/>
    <ds:schemaRef ds:uri="985ec44e-1bab-4c0b-9df0-6ba128686fc9"/>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2E9D7C8-2B2A-4F2B-BF13-591EFDB3AC69}">
  <ds:schemaRefs>
    <ds:schemaRef ds:uri="http://schemas.openxmlformats.org/officeDocument/2006/bibliography"/>
  </ds:schemaRefs>
</ds:datastoreItem>
</file>

<file path=customXml/itemProps3.xml><?xml version="1.0" encoding="utf-8"?>
<ds:datastoreItem xmlns:ds="http://schemas.openxmlformats.org/officeDocument/2006/customXml" ds:itemID="{5E848210-B6CA-43E8-9686-B84AF9359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5066A-53E2-4B40-AB09-EFC4BAF8D3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Links>
    <vt:vector size="12" baseType="variant">
      <vt:variant>
        <vt:i4>7667763</vt:i4>
      </vt:variant>
      <vt:variant>
        <vt:i4>3</vt:i4>
      </vt:variant>
      <vt:variant>
        <vt:i4>0</vt:i4>
      </vt:variant>
      <vt:variant>
        <vt:i4>5</vt:i4>
      </vt:variant>
      <vt:variant>
        <vt:lpwstr>https://www.cms.int/en/page/decision-13129-insect-decline-and-its-threat-migratory-insectivorous-animal-populations</vt:lpwstr>
      </vt:variant>
      <vt:variant>
        <vt:lpwstr/>
      </vt:variant>
      <vt:variant>
        <vt:i4>6553722</vt:i4>
      </vt:variant>
      <vt:variant>
        <vt:i4>0</vt:i4>
      </vt:variant>
      <vt:variant>
        <vt:i4>0</vt:i4>
      </vt:variant>
      <vt:variant>
        <vt:i4>5</vt:i4>
      </vt:variant>
      <vt:variant>
        <vt:lpwstr>https://www.cms.int/en/document/insect-decline-and-its-threat-migratory-insectivorous-animal-populations-2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2</cp:revision>
  <cp:lastPrinted>2019-12-06T20:21:00Z</cp:lastPrinted>
  <dcterms:created xsi:type="dcterms:W3CDTF">2023-07-11T08:20:00Z</dcterms:created>
  <dcterms:modified xsi:type="dcterms:W3CDTF">2023-07-11T08:20:00Z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