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0DC9F" w14:textId="77777777" w:rsidR="001F56E8" w:rsidRPr="000E21C8" w:rsidRDefault="001F56E8" w:rsidP="000E21C8"/>
    <w:p w14:paraId="22DC7078" w14:textId="77777777" w:rsidR="000E21C8" w:rsidRDefault="000E21C8" w:rsidP="00EB2EEE"/>
    <w:p w14:paraId="126D7433" w14:textId="6238FA3C" w:rsidR="00A80B97" w:rsidRPr="00D46533" w:rsidRDefault="004007D4" w:rsidP="00A80B97">
      <w:pPr>
        <w:tabs>
          <w:tab w:val="left" w:pos="-1057"/>
          <w:tab w:val="left" w:pos="-720"/>
        </w:tabs>
        <w:jc w:val="center"/>
        <w:rPr>
          <w:rFonts w:cs="Arial"/>
          <w:b/>
          <w:sz w:val="28"/>
          <w:szCs w:val="28"/>
          <w:lang w:val="fr-FR"/>
        </w:rPr>
      </w:pPr>
      <w:r>
        <w:rPr>
          <w:rFonts w:cs="Arial"/>
          <w:b/>
          <w:sz w:val="28"/>
          <w:szCs w:val="28"/>
          <w:lang w:val="fr-FR"/>
        </w:rPr>
        <w:t>6</w:t>
      </w:r>
      <w:r w:rsidR="00A80B97" w:rsidRPr="00D46533">
        <w:rPr>
          <w:rFonts w:cs="Arial"/>
          <w:b/>
          <w:sz w:val="28"/>
          <w:szCs w:val="28"/>
          <w:vertAlign w:val="superscript"/>
          <w:lang w:val="fr-FR"/>
        </w:rPr>
        <w:t>ème</w:t>
      </w:r>
      <w:r w:rsidR="00A80B97" w:rsidRPr="00D46533">
        <w:rPr>
          <w:rFonts w:cs="Arial"/>
          <w:b/>
          <w:sz w:val="28"/>
          <w:szCs w:val="28"/>
          <w:lang w:val="fr-FR"/>
        </w:rPr>
        <w:t xml:space="preserve"> Réunion du Comité de session du </w:t>
      </w:r>
    </w:p>
    <w:p w14:paraId="0C0F8CF1" w14:textId="19F54CE5" w:rsidR="00A80B97" w:rsidRPr="00D46533" w:rsidRDefault="00A80B97" w:rsidP="00A80B97">
      <w:pPr>
        <w:tabs>
          <w:tab w:val="left" w:pos="-1057"/>
          <w:tab w:val="left" w:pos="-720"/>
        </w:tabs>
        <w:spacing w:after="120"/>
        <w:jc w:val="center"/>
        <w:rPr>
          <w:rFonts w:cs="Arial"/>
          <w:b/>
          <w:sz w:val="28"/>
          <w:szCs w:val="28"/>
          <w:lang w:val="fr-FR"/>
        </w:rPr>
      </w:pPr>
      <w:r w:rsidRPr="00D46533">
        <w:rPr>
          <w:rFonts w:cs="Arial"/>
          <w:b/>
          <w:sz w:val="28"/>
          <w:szCs w:val="28"/>
          <w:lang w:val="fr-FR"/>
        </w:rPr>
        <w:t>Conseil scientifique de la CMS (ScC-SC</w:t>
      </w:r>
      <w:r w:rsidR="005A3B57">
        <w:rPr>
          <w:rFonts w:cs="Arial"/>
          <w:b/>
          <w:sz w:val="28"/>
          <w:szCs w:val="28"/>
          <w:lang w:val="fr-FR"/>
        </w:rPr>
        <w:t>6</w:t>
      </w:r>
      <w:r w:rsidRPr="00D46533">
        <w:rPr>
          <w:rFonts w:cs="Arial"/>
          <w:b/>
          <w:sz w:val="28"/>
          <w:szCs w:val="28"/>
          <w:lang w:val="fr-FR"/>
        </w:rPr>
        <w:t>)</w:t>
      </w:r>
    </w:p>
    <w:p w14:paraId="4B9EA6CF" w14:textId="0AEF2A0E" w:rsidR="00A80B97" w:rsidRPr="00D46533" w:rsidRDefault="004007D4" w:rsidP="00A80B97">
      <w:pPr>
        <w:pBdr>
          <w:bottom w:val="single" w:sz="4" w:space="1" w:color="auto"/>
        </w:pBdr>
        <w:kinsoku w:val="0"/>
        <w:overflowPunct w:val="0"/>
        <w:jc w:val="center"/>
        <w:outlineLvl w:val="0"/>
        <w:rPr>
          <w:rFonts w:cs="Arial"/>
          <w:bCs/>
          <w:i/>
          <w:spacing w:val="-4"/>
          <w:lang w:val="fr-FR"/>
        </w:rPr>
      </w:pPr>
      <w:r>
        <w:rPr>
          <w:rFonts w:cs="Arial"/>
          <w:bCs/>
          <w:i/>
          <w:spacing w:val="-4"/>
          <w:lang w:val="fr-FR"/>
        </w:rPr>
        <w:t>Bonn, Allemagne, 18 – 21 juillet 2023</w:t>
      </w:r>
    </w:p>
    <w:p w14:paraId="558D3D72" w14:textId="4A64CF49" w:rsidR="00A80B97" w:rsidRPr="00D46533" w:rsidRDefault="00A80B97" w:rsidP="00A80B97">
      <w:pPr>
        <w:spacing w:before="120"/>
        <w:jc w:val="right"/>
        <w:rPr>
          <w:rFonts w:cs="Arial"/>
          <w:lang w:val="fr-FR"/>
        </w:rPr>
      </w:pPr>
      <w:r w:rsidRPr="00D46533">
        <w:rPr>
          <w:rFonts w:cs="Arial"/>
          <w:lang w:val="fr-FR"/>
        </w:rPr>
        <w:t>UNEP/CMS/ScC-SC</w:t>
      </w:r>
      <w:r w:rsidR="004007D4">
        <w:rPr>
          <w:rFonts w:cs="Arial"/>
          <w:lang w:val="fr-FR"/>
        </w:rPr>
        <w:t>6</w:t>
      </w:r>
      <w:r w:rsidRPr="00D46533">
        <w:rPr>
          <w:rFonts w:cs="Arial"/>
          <w:lang w:val="fr-FR"/>
        </w:rPr>
        <w:t>/Doc.</w:t>
      </w:r>
      <w:r w:rsidR="00A9272F">
        <w:rPr>
          <w:rFonts w:cs="Arial"/>
          <w:lang w:val="fr-FR"/>
        </w:rPr>
        <w:t>12.3.2.2</w:t>
      </w:r>
    </w:p>
    <w:p w14:paraId="0CD0965B" w14:textId="14F9927A" w:rsidR="00814E23" w:rsidRPr="00693EE8" w:rsidRDefault="00814E23" w:rsidP="00814E23">
      <w:pPr>
        <w:pStyle w:val="paragraph"/>
        <w:spacing w:before="0" w:beforeAutospacing="0" w:after="0" w:afterAutospacing="0"/>
        <w:jc w:val="both"/>
        <w:textAlignment w:val="baseline"/>
        <w:rPr>
          <w:rFonts w:ascii="Arial" w:hAnsi="Arial" w:cs="Arial"/>
          <w:sz w:val="22"/>
          <w:szCs w:val="22"/>
        </w:rPr>
      </w:pPr>
    </w:p>
    <w:p w14:paraId="1DCB017C" w14:textId="77777777" w:rsidR="00A9272F" w:rsidRDefault="00A9272F" w:rsidP="00A9272F">
      <w:pPr>
        <w:tabs>
          <w:tab w:val="left" w:pos="6285"/>
        </w:tabs>
        <w:jc w:val="both"/>
        <w:rPr>
          <w:rFonts w:cs="Arial"/>
          <w:lang w:val="fr-FR"/>
        </w:rPr>
      </w:pPr>
    </w:p>
    <w:p w14:paraId="1D8574E6" w14:textId="161D2F79" w:rsidR="00A9272F" w:rsidRPr="002E0DE9" w:rsidRDefault="00A9272F" w:rsidP="00A9272F">
      <w:pPr>
        <w:pStyle w:val="Title1"/>
        <w:spacing w:after="120"/>
        <w:rPr>
          <w:lang w:val="fr-FR"/>
        </w:rPr>
      </w:pPr>
      <w:r>
        <w:rPr>
          <w:lang w:val="fr-FR"/>
        </w:rPr>
        <w:t>Évaluation des risques écologiques li</w:t>
      </w:r>
      <w:r>
        <w:rPr>
          <w:lang w:val="fr-FR"/>
        </w:rPr>
        <w:t>É</w:t>
      </w:r>
      <w:r>
        <w:rPr>
          <w:lang w:val="fr-FR"/>
        </w:rPr>
        <w:t xml:space="preserve">s à l'impact des parcs </w:t>
      </w:r>
      <w:r>
        <w:rPr>
          <w:lang w:val="fr-FR"/>
        </w:rPr>
        <w:t>É</w:t>
      </w:r>
      <w:r>
        <w:rPr>
          <w:lang w:val="fr-FR"/>
        </w:rPr>
        <w:t>oliens en mer sur les oiseaux en Australie</w:t>
      </w:r>
    </w:p>
    <w:p w14:paraId="23E24D02" w14:textId="77777777" w:rsidR="00A9272F" w:rsidRPr="00E6128E" w:rsidRDefault="00A9272F" w:rsidP="00A9272F">
      <w:pPr>
        <w:jc w:val="center"/>
        <w:rPr>
          <w:rFonts w:cs="Arial"/>
          <w:i/>
          <w:lang w:val="fr-FR"/>
        </w:rPr>
      </w:pPr>
      <w:r>
        <w:rPr>
          <w:rFonts w:cs="Arial"/>
          <w:i/>
          <w:lang w:val="fr-FR"/>
        </w:rPr>
        <w:t>(Préparée par le Gouvernement australien)</w:t>
      </w:r>
    </w:p>
    <w:p w14:paraId="4EED1F3D" w14:textId="579C677E" w:rsidR="004007D4" w:rsidRDefault="004007D4" w:rsidP="00693EE8">
      <w:pPr>
        <w:pStyle w:val="Firstnumbering"/>
        <w:numPr>
          <w:ilvl w:val="0"/>
          <w:numId w:val="0"/>
        </w:numPr>
      </w:pPr>
    </w:p>
    <w:p w14:paraId="314C7543" w14:textId="77777777" w:rsidR="00A9272F" w:rsidRDefault="00A9272F" w:rsidP="00693EE8">
      <w:pPr>
        <w:pStyle w:val="Firstnumbering"/>
        <w:numPr>
          <w:ilvl w:val="0"/>
          <w:numId w:val="0"/>
        </w:numPr>
      </w:pPr>
    </w:p>
    <w:p w14:paraId="4A240D34" w14:textId="557CCD87" w:rsidR="00A9272F" w:rsidRDefault="00A9272F" w:rsidP="00693EE8">
      <w:pPr>
        <w:pStyle w:val="Firstnumbering"/>
        <w:numPr>
          <w:ilvl w:val="0"/>
          <w:numId w:val="0"/>
        </w:numPr>
      </w:pPr>
      <w:r>
        <w:rPr>
          <w:noProof/>
        </w:rPr>
        <mc:AlternateContent>
          <mc:Choice Requires="wps">
            <w:drawing>
              <wp:anchor distT="0" distB="0" distL="114300" distR="114300" simplePos="0" relativeHeight="251659264" behindDoc="1" locked="0" layoutInCell="1" allowOverlap="1" wp14:anchorId="41D55515" wp14:editId="0E3EE93B">
                <wp:simplePos x="0" y="0"/>
                <wp:positionH relativeFrom="margin">
                  <wp:posOffset>1079500</wp:posOffset>
                </wp:positionH>
                <wp:positionV relativeFrom="margin">
                  <wp:posOffset>2523490</wp:posOffset>
                </wp:positionV>
                <wp:extent cx="4413250" cy="4210050"/>
                <wp:effectExtent l="0" t="0" r="2540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0" cy="4210050"/>
                        </a:xfrm>
                        <a:prstGeom prst="rect">
                          <a:avLst/>
                        </a:prstGeom>
                        <a:solidFill>
                          <a:srgbClr val="FFFFFF"/>
                        </a:solidFill>
                        <a:ln w="3175">
                          <a:solidFill>
                            <a:srgbClr val="000000"/>
                          </a:solidFill>
                          <a:miter lim="800000"/>
                          <a:headEnd/>
                          <a:tailEnd/>
                        </a:ln>
                      </wps:spPr>
                      <wps:txbx>
                        <w:txbxContent>
                          <w:p w14:paraId="77DD5653" w14:textId="77777777" w:rsidR="00A9272F" w:rsidRDefault="00A9272F" w:rsidP="00A9272F">
                            <w:pPr>
                              <w:rPr>
                                <w:rFonts w:cs="Arial"/>
                                <w:lang w:val="fr-FR"/>
                              </w:rPr>
                            </w:pPr>
                            <w:r>
                              <w:rPr>
                                <w:rFonts w:cs="Arial"/>
                                <w:lang w:val="fr-FR"/>
                              </w:rPr>
                              <w:t>Résumé :</w:t>
                            </w:r>
                          </w:p>
                          <w:p w14:paraId="01459A21" w14:textId="77777777" w:rsidR="00A9272F" w:rsidRPr="005E0EDA" w:rsidRDefault="00A9272F" w:rsidP="00A9272F">
                            <w:pPr>
                              <w:rPr>
                                <w:rFonts w:cs="Arial"/>
                                <w:lang w:val="fr-FR"/>
                              </w:rPr>
                            </w:pPr>
                          </w:p>
                          <w:p w14:paraId="66368DB9" w14:textId="77777777" w:rsidR="00A9272F" w:rsidRPr="00A9272F" w:rsidRDefault="00A9272F" w:rsidP="00A9272F">
                            <w:pPr>
                              <w:jc w:val="both"/>
                              <w:rPr>
                                <w:rFonts w:cs="Arial"/>
                                <w:lang w:val="fr-FR"/>
                              </w:rPr>
                            </w:pPr>
                            <w:r w:rsidRPr="00A9272F">
                              <w:rPr>
                                <w:rFonts w:cs="Arial"/>
                                <w:lang w:val="fr-FR"/>
                              </w:rPr>
                              <w:t xml:space="preserve">Le Gouvernement australien a pris des dispositions nationales pour établir des parcs éoliens en mer en vue d'atteindre ses objectifs en matière d'énergie renouvelable. Toutefois, il est reconnu que ces parcs éoliens peuvent également avoir un impact sur les espèces migratrices menacées et inscrites sur les listes de la CMS. </w:t>
                            </w:r>
                          </w:p>
                          <w:p w14:paraId="55E7D2B7" w14:textId="77777777" w:rsidR="00A9272F" w:rsidRPr="00A9272F" w:rsidRDefault="00A9272F" w:rsidP="00A9272F">
                            <w:pPr>
                              <w:jc w:val="both"/>
                              <w:rPr>
                                <w:rFonts w:cs="Arial"/>
                                <w:lang w:val="fr-FR"/>
                              </w:rPr>
                            </w:pPr>
                          </w:p>
                          <w:p w14:paraId="398B99FC" w14:textId="77777777" w:rsidR="00A9272F" w:rsidRPr="00A9272F" w:rsidRDefault="00A9272F" w:rsidP="00A9272F">
                            <w:pPr>
                              <w:jc w:val="both"/>
                              <w:rPr>
                                <w:rFonts w:cs="Arial"/>
                                <w:lang w:val="fr-FR"/>
                              </w:rPr>
                            </w:pPr>
                            <w:r w:rsidRPr="00A9272F">
                              <w:rPr>
                                <w:rFonts w:cs="Arial"/>
                                <w:lang w:val="fr-FR"/>
                              </w:rPr>
                              <w:t xml:space="preserve">Une évaluation semi-quantitative des risques écologiques a donc été réalisée afin d'évaluer les impacts potentiels de ces parcs sur les oiseaux côtiers et marins relevant de la juridiction australienne. L'évaluation des risques a porté sur 273 taxons d'oiseaux susceptibles d'être concernés par l'aménagement proposé, y compris des espèces migratrices et des espèces inscrites sur les listes de la CMS. </w:t>
                            </w:r>
                          </w:p>
                          <w:p w14:paraId="3B9F3AC7" w14:textId="77777777" w:rsidR="00A9272F" w:rsidRPr="00A9272F" w:rsidRDefault="00A9272F" w:rsidP="00A9272F">
                            <w:pPr>
                              <w:jc w:val="both"/>
                              <w:rPr>
                                <w:rFonts w:cs="Arial"/>
                                <w:lang w:val="fr-FR"/>
                              </w:rPr>
                            </w:pPr>
                          </w:p>
                          <w:p w14:paraId="669EC326" w14:textId="77777777" w:rsidR="00A9272F" w:rsidRDefault="00A9272F" w:rsidP="00A9272F">
                            <w:pPr>
                              <w:jc w:val="both"/>
                              <w:rPr>
                                <w:rFonts w:cs="Arial"/>
                                <w:lang w:val="fr-FR"/>
                              </w:rPr>
                            </w:pPr>
                            <w:r w:rsidRPr="00A9272F">
                              <w:rPr>
                                <w:rFonts w:cs="Arial"/>
                                <w:lang w:val="fr-FR"/>
                              </w:rPr>
                              <w:t>L'évaluation des risques a permis d'identifier 81 taxons à haut risque, dont 11 oiseaux de rivage en migration depuis l'étranger et présents dans la plupart des régions évaluées. Les oiseaux migrateurs à haut risque inscrits aux Annexes de la CMS étaient le Courlis de Sibérie (</w:t>
                            </w:r>
                            <w:r w:rsidRPr="00A9272F">
                              <w:rPr>
                                <w:rFonts w:cs="Arial"/>
                                <w:i/>
                                <w:iCs/>
                                <w:lang w:val="fr-FR"/>
                              </w:rPr>
                              <w:t xml:space="preserve">Numenius </w:t>
                            </w:r>
                            <w:proofErr w:type="spellStart"/>
                            <w:r w:rsidRPr="00A9272F">
                              <w:rPr>
                                <w:rFonts w:cs="Arial"/>
                                <w:i/>
                                <w:iCs/>
                                <w:lang w:val="fr-FR"/>
                              </w:rPr>
                              <w:t>madagascariensis</w:t>
                            </w:r>
                            <w:proofErr w:type="spellEnd"/>
                            <w:r w:rsidRPr="00A9272F">
                              <w:rPr>
                                <w:rFonts w:cs="Arial"/>
                                <w:lang w:val="fr-FR"/>
                              </w:rPr>
                              <w:t xml:space="preserve"> ; Annexe I de la CMS) et neuf espèces d'albatros (Annexe II de la CMS). Ces résultats permettent d'établir des données de référence et d'élaborer des mesures d'atténuation qui pourraient également </w:t>
                            </w:r>
                            <w:r>
                              <w:rPr>
                                <w:rFonts w:cs="Arial"/>
                                <w:lang w:val="fr-FR"/>
                              </w:rPr>
                              <w:t>être appliquées ailleurs.</w:t>
                            </w:r>
                          </w:p>
                          <w:p w14:paraId="73B1875B" w14:textId="77777777" w:rsidR="00A9272F" w:rsidRPr="008D0D6A" w:rsidRDefault="00A9272F" w:rsidP="00A9272F">
                            <w:pPr>
                              <w:spacing w:after="160" w:line="259" w:lineRule="auto"/>
                              <w:rPr>
                                <w:rFonts w:cs="Arial"/>
                                <w:lang w:val="fr-FR"/>
                              </w:rPr>
                            </w:pPr>
                          </w:p>
                          <w:p w14:paraId="7CA2A63D" w14:textId="77777777" w:rsidR="00A9272F" w:rsidRPr="00C169ED" w:rsidRDefault="00A9272F" w:rsidP="00A9272F">
                            <w:pPr>
                              <w:rPr>
                                <w:rFonts w:cs="Arial"/>
                                <w:sz w:val="21"/>
                                <w:szCs w:val="21"/>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55515" id="_x0000_t202" coordsize="21600,21600" o:spt="202" path="m,l,21600r21600,l21600,xe">
                <v:stroke joinstyle="miter"/>
                <v:path gradientshapeok="t" o:connecttype="rect"/>
              </v:shapetype>
              <v:shape id="Text Box 5" o:spid="_x0000_s1026" type="#_x0000_t202" style="position:absolute;left:0;text-align:left;margin-left:85pt;margin-top:198.7pt;width:347.5pt;height:33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wwmFQIAACwEAAAOAAAAZHJzL2Uyb0RvYy54bWysU9tu2zAMfR+wfxD0vthOk7Uz4hRdugwD&#10;ugvQ7QMUWY6FyaJGKbG7rx8lu2l2exmmB0EUqUPy8Gh1PXSGHRV6DbbixSznTFkJtbb7in/5vH1x&#10;xZkPwtbCgFUVf1CeX6+fP1v1rlRzaMHUChmBWF/2ruJtCK7MMi9b1Qk/A6csORvATgQycZ/VKHpC&#10;70w2z/OXWQ9YOwSpvKfb29HJ1wm/aZQMH5vGq8BMxam2kHZM+y7u2Xolyj0K12o5lSH+oYpOaEtJ&#10;T1C3Igh2QP0bVKclgocmzCR0GTSNlir1QN0U+S/d3LfCqdQLkePdiSb//2Dlh+O9+4QsDK9hoAGm&#10;Jry7A/nVMwubVti9ukGEvlWipsRFpCzrnS+np5FqX/oIsuvfQ01DFocACWhosIusUJ+M0GkADyfS&#10;1RCYpMvForiYL8klybeYF3lORswhysfnDn14q6Bj8VBxpKkmeHG882EMfQyJ2TwYXW+1McnA/W5j&#10;kB0FKWCb1oT+U5ixrK/4RXG5HBn4K0Se1p8gOh1IykZ3Fb86BYky8vbG1kloQWgznqk7YyciI3cj&#10;i2HYDRQYCd1B/UCUIoySpS9GhxbwO2c9ybXi/ttBoOLMvLM0llfFYhH1nYzF8nJOBp57duceYSVB&#10;VTxwNh43YfwTB4d631KmUQgWbmiUjU4kP1U11U2STGOavk/U/Lmdop4++foHAAAA//8DAFBLAwQU&#10;AAYACAAAACEAJtSrOt4AAAAMAQAADwAAAGRycy9kb3ducmV2LnhtbEyPwU7DMBBE70j8g7VIXBC1&#10;KSUpaZyqQoIbldryAdvETaJm11HsNuHvWU5wnJ3R7Jt8PVGnrm4IrWcLTzMDynHpq5ZrC1+H98cl&#10;qBCRK+w8OwvfLsC6uL3JMav8yDt33cdaSQmHDC00MfaZ1qFsHGGY+d6xeCc/EEaRQ62rAUcpp07P&#10;jUk0YcvyocHevTWuPO8vZOETGSei3ebBR9rSOD9/pAdj7f3dtFmBim6Kf2H4xRd0KITp6C9cBdWJ&#10;To1siRaeX9MFKEkskxe5HMUyiVmALnL9f0TxAwAA//8DAFBLAQItABQABgAIAAAAIQC2gziS/gAA&#10;AOEBAAATAAAAAAAAAAAAAAAAAAAAAABbQ29udGVudF9UeXBlc10ueG1sUEsBAi0AFAAGAAgAAAAh&#10;ADj9If/WAAAAlAEAAAsAAAAAAAAAAAAAAAAALwEAAF9yZWxzLy5yZWxzUEsBAi0AFAAGAAgAAAAh&#10;AA2zDCYVAgAALAQAAA4AAAAAAAAAAAAAAAAALgIAAGRycy9lMm9Eb2MueG1sUEsBAi0AFAAGAAgA&#10;AAAhACbUqzreAAAADAEAAA8AAAAAAAAAAAAAAAAAbwQAAGRycy9kb3ducmV2LnhtbFBLBQYAAAAA&#10;BAAEAPMAAAB6BQAAAAA=&#10;" strokeweight=".25pt">
                <v:textbox>
                  <w:txbxContent>
                    <w:p w14:paraId="77DD5653" w14:textId="77777777" w:rsidR="00A9272F" w:rsidRDefault="00A9272F" w:rsidP="00A9272F">
                      <w:pPr>
                        <w:rPr>
                          <w:rFonts w:cs="Arial"/>
                          <w:lang w:val="fr-FR"/>
                        </w:rPr>
                      </w:pPr>
                      <w:r>
                        <w:rPr>
                          <w:rFonts w:cs="Arial"/>
                          <w:lang w:val="fr-FR"/>
                        </w:rPr>
                        <w:t>Résumé :</w:t>
                      </w:r>
                    </w:p>
                    <w:p w14:paraId="01459A21" w14:textId="77777777" w:rsidR="00A9272F" w:rsidRPr="005E0EDA" w:rsidRDefault="00A9272F" w:rsidP="00A9272F">
                      <w:pPr>
                        <w:rPr>
                          <w:rFonts w:cs="Arial"/>
                          <w:lang w:val="fr-FR"/>
                        </w:rPr>
                      </w:pPr>
                    </w:p>
                    <w:p w14:paraId="66368DB9" w14:textId="77777777" w:rsidR="00A9272F" w:rsidRPr="00A9272F" w:rsidRDefault="00A9272F" w:rsidP="00A9272F">
                      <w:pPr>
                        <w:jc w:val="both"/>
                        <w:rPr>
                          <w:rFonts w:cs="Arial"/>
                          <w:lang w:val="fr-FR"/>
                        </w:rPr>
                      </w:pPr>
                      <w:r w:rsidRPr="00A9272F">
                        <w:rPr>
                          <w:rFonts w:cs="Arial"/>
                          <w:lang w:val="fr-FR"/>
                        </w:rPr>
                        <w:t xml:space="preserve">Le Gouvernement australien a pris des dispositions nationales pour établir des parcs éoliens en mer en vue d'atteindre ses objectifs en matière d'énergie renouvelable. Toutefois, il est reconnu que ces parcs éoliens peuvent également avoir un impact sur les espèces migratrices menacées et inscrites sur les listes de la CMS. </w:t>
                      </w:r>
                    </w:p>
                    <w:p w14:paraId="55E7D2B7" w14:textId="77777777" w:rsidR="00A9272F" w:rsidRPr="00A9272F" w:rsidRDefault="00A9272F" w:rsidP="00A9272F">
                      <w:pPr>
                        <w:jc w:val="both"/>
                        <w:rPr>
                          <w:rFonts w:cs="Arial"/>
                          <w:lang w:val="fr-FR"/>
                        </w:rPr>
                      </w:pPr>
                    </w:p>
                    <w:p w14:paraId="398B99FC" w14:textId="77777777" w:rsidR="00A9272F" w:rsidRPr="00A9272F" w:rsidRDefault="00A9272F" w:rsidP="00A9272F">
                      <w:pPr>
                        <w:jc w:val="both"/>
                        <w:rPr>
                          <w:rFonts w:cs="Arial"/>
                          <w:lang w:val="fr-FR"/>
                        </w:rPr>
                      </w:pPr>
                      <w:r w:rsidRPr="00A9272F">
                        <w:rPr>
                          <w:rFonts w:cs="Arial"/>
                          <w:lang w:val="fr-FR"/>
                        </w:rPr>
                        <w:t xml:space="preserve">Une évaluation semi-quantitative des risques écologiques a donc été réalisée afin d'évaluer les impacts potentiels de ces parcs sur les oiseaux côtiers et marins relevant de la juridiction australienne. L'évaluation des risques a porté sur 273 taxons d'oiseaux susceptibles d'être concernés par l'aménagement proposé, y compris des espèces migratrices et des espèces inscrites sur les listes de la CMS. </w:t>
                      </w:r>
                    </w:p>
                    <w:p w14:paraId="3B9F3AC7" w14:textId="77777777" w:rsidR="00A9272F" w:rsidRPr="00A9272F" w:rsidRDefault="00A9272F" w:rsidP="00A9272F">
                      <w:pPr>
                        <w:jc w:val="both"/>
                        <w:rPr>
                          <w:rFonts w:cs="Arial"/>
                          <w:lang w:val="fr-FR"/>
                        </w:rPr>
                      </w:pPr>
                    </w:p>
                    <w:p w14:paraId="669EC326" w14:textId="77777777" w:rsidR="00A9272F" w:rsidRDefault="00A9272F" w:rsidP="00A9272F">
                      <w:pPr>
                        <w:jc w:val="both"/>
                        <w:rPr>
                          <w:rFonts w:cs="Arial"/>
                          <w:lang w:val="fr-FR"/>
                        </w:rPr>
                      </w:pPr>
                      <w:r w:rsidRPr="00A9272F">
                        <w:rPr>
                          <w:rFonts w:cs="Arial"/>
                          <w:lang w:val="fr-FR"/>
                        </w:rPr>
                        <w:t>L'évaluation des risques a permis d'identifier 81 taxons à haut risque, dont 11 oiseaux de rivage en migration depuis l'étranger et présents dans la plupart des régions évaluées. Les oiseaux migrateurs à haut risque inscrits aux Annexes de la CMS étaient le Courlis de Sibérie (</w:t>
                      </w:r>
                      <w:r w:rsidRPr="00A9272F">
                        <w:rPr>
                          <w:rFonts w:cs="Arial"/>
                          <w:i/>
                          <w:iCs/>
                          <w:lang w:val="fr-FR"/>
                        </w:rPr>
                        <w:t xml:space="preserve">Numenius </w:t>
                      </w:r>
                      <w:proofErr w:type="spellStart"/>
                      <w:r w:rsidRPr="00A9272F">
                        <w:rPr>
                          <w:rFonts w:cs="Arial"/>
                          <w:i/>
                          <w:iCs/>
                          <w:lang w:val="fr-FR"/>
                        </w:rPr>
                        <w:t>madagascariensis</w:t>
                      </w:r>
                      <w:proofErr w:type="spellEnd"/>
                      <w:r w:rsidRPr="00A9272F">
                        <w:rPr>
                          <w:rFonts w:cs="Arial"/>
                          <w:lang w:val="fr-FR"/>
                        </w:rPr>
                        <w:t xml:space="preserve"> ; Annexe I de la CMS) et neuf espèces d'albatros (Annexe II de la CMS). Ces résultats permettent d'établir des données de référence et d'élaborer des mesures d'atténuation qui pourraient également </w:t>
                      </w:r>
                      <w:r>
                        <w:rPr>
                          <w:rFonts w:cs="Arial"/>
                          <w:lang w:val="fr-FR"/>
                        </w:rPr>
                        <w:t>être appliquées ailleurs.</w:t>
                      </w:r>
                    </w:p>
                    <w:p w14:paraId="73B1875B" w14:textId="77777777" w:rsidR="00A9272F" w:rsidRPr="008D0D6A" w:rsidRDefault="00A9272F" w:rsidP="00A9272F">
                      <w:pPr>
                        <w:spacing w:after="160" w:line="259" w:lineRule="auto"/>
                        <w:rPr>
                          <w:rFonts w:cs="Arial"/>
                          <w:lang w:val="fr-FR"/>
                        </w:rPr>
                      </w:pPr>
                    </w:p>
                    <w:p w14:paraId="7CA2A63D" w14:textId="77777777" w:rsidR="00A9272F" w:rsidRPr="00C169ED" w:rsidRDefault="00A9272F" w:rsidP="00A9272F">
                      <w:pPr>
                        <w:rPr>
                          <w:rFonts w:cs="Arial"/>
                          <w:sz w:val="21"/>
                          <w:szCs w:val="21"/>
                          <w:lang w:val="fr-FR"/>
                        </w:rPr>
                      </w:pPr>
                    </w:p>
                  </w:txbxContent>
                </v:textbox>
                <w10:wrap type="square" anchorx="margin" anchory="margin"/>
              </v:shape>
            </w:pict>
          </mc:Fallback>
        </mc:AlternateContent>
      </w:r>
    </w:p>
    <w:p w14:paraId="07E20C61" w14:textId="46FB020F" w:rsidR="00A9272F" w:rsidRDefault="00A9272F" w:rsidP="00693EE8">
      <w:pPr>
        <w:pStyle w:val="Firstnumbering"/>
        <w:numPr>
          <w:ilvl w:val="0"/>
          <w:numId w:val="0"/>
        </w:numPr>
      </w:pPr>
    </w:p>
    <w:p w14:paraId="04F0A5CE" w14:textId="77777777" w:rsidR="00A9272F" w:rsidRDefault="00A9272F" w:rsidP="00693EE8">
      <w:pPr>
        <w:pStyle w:val="Firstnumbering"/>
        <w:numPr>
          <w:ilvl w:val="0"/>
          <w:numId w:val="0"/>
        </w:numPr>
      </w:pPr>
    </w:p>
    <w:p w14:paraId="174746A4" w14:textId="77777777" w:rsidR="00A9272F" w:rsidRDefault="00A9272F" w:rsidP="00693EE8">
      <w:pPr>
        <w:pStyle w:val="Firstnumbering"/>
        <w:numPr>
          <w:ilvl w:val="0"/>
          <w:numId w:val="0"/>
        </w:numPr>
      </w:pPr>
    </w:p>
    <w:p w14:paraId="24091ABF" w14:textId="77777777" w:rsidR="00A9272F" w:rsidRDefault="00A9272F" w:rsidP="00693EE8">
      <w:pPr>
        <w:pStyle w:val="Firstnumbering"/>
        <w:numPr>
          <w:ilvl w:val="0"/>
          <w:numId w:val="0"/>
        </w:numPr>
      </w:pPr>
    </w:p>
    <w:p w14:paraId="064971BA" w14:textId="77777777" w:rsidR="00A9272F" w:rsidRDefault="00A9272F" w:rsidP="00693EE8">
      <w:pPr>
        <w:pStyle w:val="Firstnumbering"/>
        <w:numPr>
          <w:ilvl w:val="0"/>
          <w:numId w:val="0"/>
        </w:numPr>
      </w:pPr>
    </w:p>
    <w:p w14:paraId="74CBE881" w14:textId="77777777" w:rsidR="00A9272F" w:rsidRDefault="00A9272F" w:rsidP="00693EE8">
      <w:pPr>
        <w:pStyle w:val="Firstnumbering"/>
        <w:numPr>
          <w:ilvl w:val="0"/>
          <w:numId w:val="0"/>
        </w:numPr>
      </w:pPr>
    </w:p>
    <w:p w14:paraId="17045B6A" w14:textId="77777777" w:rsidR="00A9272F" w:rsidRDefault="00A9272F" w:rsidP="00693EE8">
      <w:pPr>
        <w:pStyle w:val="Firstnumbering"/>
        <w:numPr>
          <w:ilvl w:val="0"/>
          <w:numId w:val="0"/>
        </w:numPr>
      </w:pPr>
    </w:p>
    <w:p w14:paraId="61B1C4B1" w14:textId="77777777" w:rsidR="00A9272F" w:rsidRDefault="00A9272F" w:rsidP="00693EE8">
      <w:pPr>
        <w:pStyle w:val="Firstnumbering"/>
        <w:numPr>
          <w:ilvl w:val="0"/>
          <w:numId w:val="0"/>
        </w:numPr>
      </w:pPr>
    </w:p>
    <w:p w14:paraId="00374BA0" w14:textId="77777777" w:rsidR="00A9272F" w:rsidRDefault="00A9272F" w:rsidP="00693EE8">
      <w:pPr>
        <w:pStyle w:val="Firstnumbering"/>
        <w:numPr>
          <w:ilvl w:val="0"/>
          <w:numId w:val="0"/>
        </w:numPr>
      </w:pPr>
    </w:p>
    <w:p w14:paraId="589AC7E6" w14:textId="77777777" w:rsidR="00A9272F" w:rsidRDefault="00A9272F" w:rsidP="00693EE8">
      <w:pPr>
        <w:pStyle w:val="Firstnumbering"/>
        <w:numPr>
          <w:ilvl w:val="0"/>
          <w:numId w:val="0"/>
        </w:numPr>
      </w:pPr>
    </w:p>
    <w:p w14:paraId="51AF55C2" w14:textId="77777777" w:rsidR="00A9272F" w:rsidRDefault="00A9272F" w:rsidP="00693EE8">
      <w:pPr>
        <w:pStyle w:val="Firstnumbering"/>
        <w:numPr>
          <w:ilvl w:val="0"/>
          <w:numId w:val="0"/>
        </w:numPr>
      </w:pPr>
    </w:p>
    <w:p w14:paraId="32CEE233" w14:textId="77777777" w:rsidR="00A9272F" w:rsidRDefault="00A9272F" w:rsidP="00693EE8">
      <w:pPr>
        <w:pStyle w:val="Firstnumbering"/>
        <w:numPr>
          <w:ilvl w:val="0"/>
          <w:numId w:val="0"/>
        </w:numPr>
      </w:pPr>
    </w:p>
    <w:p w14:paraId="3C2558D6" w14:textId="77777777" w:rsidR="00A9272F" w:rsidRDefault="00A9272F" w:rsidP="00693EE8">
      <w:pPr>
        <w:pStyle w:val="Firstnumbering"/>
        <w:numPr>
          <w:ilvl w:val="0"/>
          <w:numId w:val="0"/>
        </w:numPr>
      </w:pPr>
    </w:p>
    <w:p w14:paraId="19B49063" w14:textId="77777777" w:rsidR="00A9272F" w:rsidRDefault="00A9272F" w:rsidP="00693EE8">
      <w:pPr>
        <w:pStyle w:val="Firstnumbering"/>
        <w:numPr>
          <w:ilvl w:val="0"/>
          <w:numId w:val="0"/>
        </w:numPr>
      </w:pPr>
    </w:p>
    <w:p w14:paraId="7B71E8B7" w14:textId="77777777" w:rsidR="00A9272F" w:rsidRDefault="00A9272F" w:rsidP="00693EE8">
      <w:pPr>
        <w:pStyle w:val="Firstnumbering"/>
        <w:numPr>
          <w:ilvl w:val="0"/>
          <w:numId w:val="0"/>
        </w:numPr>
      </w:pPr>
    </w:p>
    <w:p w14:paraId="1350C973" w14:textId="77777777" w:rsidR="00A9272F" w:rsidRDefault="00A9272F" w:rsidP="00693EE8">
      <w:pPr>
        <w:pStyle w:val="Firstnumbering"/>
        <w:numPr>
          <w:ilvl w:val="0"/>
          <w:numId w:val="0"/>
        </w:numPr>
      </w:pPr>
    </w:p>
    <w:p w14:paraId="2B829BF4" w14:textId="77777777" w:rsidR="00A9272F" w:rsidRDefault="00A9272F" w:rsidP="00693EE8">
      <w:pPr>
        <w:pStyle w:val="Firstnumbering"/>
        <w:numPr>
          <w:ilvl w:val="0"/>
          <w:numId w:val="0"/>
        </w:numPr>
      </w:pPr>
    </w:p>
    <w:p w14:paraId="081ACB4A" w14:textId="77777777" w:rsidR="00A9272F" w:rsidRDefault="00A9272F" w:rsidP="00693EE8">
      <w:pPr>
        <w:pStyle w:val="Firstnumbering"/>
        <w:numPr>
          <w:ilvl w:val="0"/>
          <w:numId w:val="0"/>
        </w:numPr>
      </w:pPr>
    </w:p>
    <w:p w14:paraId="13644E74" w14:textId="77777777" w:rsidR="00A9272F" w:rsidRDefault="00A9272F" w:rsidP="00693EE8">
      <w:pPr>
        <w:pStyle w:val="Firstnumbering"/>
        <w:numPr>
          <w:ilvl w:val="0"/>
          <w:numId w:val="0"/>
        </w:numPr>
      </w:pPr>
    </w:p>
    <w:p w14:paraId="650603E3" w14:textId="77777777" w:rsidR="00A9272F" w:rsidRDefault="00A9272F" w:rsidP="00693EE8">
      <w:pPr>
        <w:pStyle w:val="Firstnumbering"/>
        <w:numPr>
          <w:ilvl w:val="0"/>
          <w:numId w:val="0"/>
        </w:numPr>
      </w:pPr>
    </w:p>
    <w:p w14:paraId="73BCAC8F" w14:textId="77777777" w:rsidR="00A9272F" w:rsidRDefault="00A9272F" w:rsidP="00693EE8">
      <w:pPr>
        <w:pStyle w:val="Firstnumbering"/>
        <w:numPr>
          <w:ilvl w:val="0"/>
          <w:numId w:val="0"/>
        </w:numPr>
      </w:pPr>
    </w:p>
    <w:p w14:paraId="0FABDBA4" w14:textId="77777777" w:rsidR="00A9272F" w:rsidRDefault="00A9272F" w:rsidP="00693EE8">
      <w:pPr>
        <w:pStyle w:val="Firstnumbering"/>
        <w:numPr>
          <w:ilvl w:val="0"/>
          <w:numId w:val="0"/>
        </w:numPr>
      </w:pPr>
    </w:p>
    <w:p w14:paraId="15C4319D" w14:textId="77777777" w:rsidR="00A9272F" w:rsidRDefault="00A9272F" w:rsidP="00693EE8">
      <w:pPr>
        <w:pStyle w:val="Firstnumbering"/>
        <w:numPr>
          <w:ilvl w:val="0"/>
          <w:numId w:val="0"/>
        </w:numPr>
      </w:pPr>
    </w:p>
    <w:p w14:paraId="5CED9BB6" w14:textId="44A05229" w:rsidR="00A9272F" w:rsidRDefault="00A9272F" w:rsidP="00693EE8">
      <w:pPr>
        <w:pStyle w:val="Firstnumbering"/>
        <w:numPr>
          <w:ilvl w:val="0"/>
          <w:numId w:val="0"/>
        </w:numPr>
      </w:pPr>
    </w:p>
    <w:p w14:paraId="16DF6D7D" w14:textId="77777777" w:rsidR="00A9272F" w:rsidRDefault="00A9272F" w:rsidP="00693EE8">
      <w:pPr>
        <w:pStyle w:val="Firstnumbering"/>
        <w:numPr>
          <w:ilvl w:val="0"/>
          <w:numId w:val="0"/>
        </w:numPr>
      </w:pPr>
    </w:p>
    <w:p w14:paraId="1D09E3E9" w14:textId="77777777" w:rsidR="00A9272F" w:rsidRDefault="00A9272F" w:rsidP="00693EE8">
      <w:pPr>
        <w:pStyle w:val="Firstnumbering"/>
        <w:numPr>
          <w:ilvl w:val="0"/>
          <w:numId w:val="0"/>
        </w:numPr>
      </w:pPr>
    </w:p>
    <w:p w14:paraId="034316E7" w14:textId="77777777" w:rsidR="00A9272F" w:rsidRDefault="00A9272F" w:rsidP="00693EE8">
      <w:pPr>
        <w:pStyle w:val="Firstnumbering"/>
        <w:numPr>
          <w:ilvl w:val="0"/>
          <w:numId w:val="0"/>
        </w:numPr>
      </w:pPr>
    </w:p>
    <w:p w14:paraId="02FA5ED6" w14:textId="77777777" w:rsidR="00A9272F" w:rsidRDefault="00A9272F" w:rsidP="00693EE8">
      <w:pPr>
        <w:pStyle w:val="Firstnumbering"/>
        <w:numPr>
          <w:ilvl w:val="0"/>
          <w:numId w:val="0"/>
        </w:numPr>
      </w:pPr>
    </w:p>
    <w:p w14:paraId="6CADD641" w14:textId="77777777" w:rsidR="00A9272F" w:rsidRDefault="00A9272F" w:rsidP="00693EE8">
      <w:pPr>
        <w:pStyle w:val="Firstnumbering"/>
        <w:numPr>
          <w:ilvl w:val="0"/>
          <w:numId w:val="0"/>
        </w:numPr>
      </w:pPr>
    </w:p>
    <w:p w14:paraId="235787F5" w14:textId="77777777" w:rsidR="00A9272F" w:rsidRDefault="00A9272F" w:rsidP="00693EE8">
      <w:pPr>
        <w:pStyle w:val="Firstnumbering"/>
        <w:numPr>
          <w:ilvl w:val="0"/>
          <w:numId w:val="0"/>
        </w:numPr>
      </w:pPr>
    </w:p>
    <w:p w14:paraId="6BA84508" w14:textId="77777777" w:rsidR="00A9272F" w:rsidRDefault="00A9272F" w:rsidP="00693EE8">
      <w:pPr>
        <w:pStyle w:val="Firstnumbering"/>
        <w:numPr>
          <w:ilvl w:val="0"/>
          <w:numId w:val="0"/>
        </w:numPr>
      </w:pPr>
    </w:p>
    <w:p w14:paraId="44C71B5B" w14:textId="77777777" w:rsidR="00A9272F" w:rsidRDefault="00A9272F" w:rsidP="00693EE8">
      <w:pPr>
        <w:pStyle w:val="Firstnumbering"/>
        <w:numPr>
          <w:ilvl w:val="0"/>
          <w:numId w:val="0"/>
        </w:numPr>
      </w:pPr>
    </w:p>
    <w:p w14:paraId="0432027C" w14:textId="77777777" w:rsidR="00A9272F" w:rsidRDefault="00A9272F" w:rsidP="00693EE8">
      <w:pPr>
        <w:pStyle w:val="Firstnumbering"/>
        <w:numPr>
          <w:ilvl w:val="0"/>
          <w:numId w:val="0"/>
        </w:numPr>
      </w:pPr>
    </w:p>
    <w:p w14:paraId="4DBDCDEE" w14:textId="77777777" w:rsidR="00A9272F" w:rsidRDefault="00A9272F" w:rsidP="00693EE8">
      <w:pPr>
        <w:pStyle w:val="Firstnumbering"/>
        <w:numPr>
          <w:ilvl w:val="0"/>
          <w:numId w:val="0"/>
        </w:numPr>
      </w:pPr>
    </w:p>
    <w:p w14:paraId="4E3912ED" w14:textId="77777777" w:rsidR="00A9272F" w:rsidRDefault="00A9272F" w:rsidP="00693EE8">
      <w:pPr>
        <w:pStyle w:val="Firstnumbering"/>
        <w:numPr>
          <w:ilvl w:val="0"/>
          <w:numId w:val="0"/>
        </w:numPr>
      </w:pPr>
    </w:p>
    <w:p w14:paraId="263941E3" w14:textId="77777777" w:rsidR="00A9272F" w:rsidRDefault="00A9272F" w:rsidP="00693EE8">
      <w:pPr>
        <w:pStyle w:val="Firstnumbering"/>
        <w:numPr>
          <w:ilvl w:val="0"/>
          <w:numId w:val="0"/>
        </w:numPr>
      </w:pPr>
    </w:p>
    <w:p w14:paraId="319AAF58" w14:textId="77777777" w:rsidR="00A9272F" w:rsidRDefault="00A9272F" w:rsidP="00693EE8">
      <w:pPr>
        <w:pStyle w:val="Firstnumbering"/>
        <w:numPr>
          <w:ilvl w:val="0"/>
          <w:numId w:val="0"/>
        </w:numPr>
      </w:pPr>
    </w:p>
    <w:p w14:paraId="06449265" w14:textId="77777777" w:rsidR="00A9272F" w:rsidRDefault="00A9272F" w:rsidP="00693EE8">
      <w:pPr>
        <w:pStyle w:val="Firstnumbering"/>
        <w:numPr>
          <w:ilvl w:val="0"/>
          <w:numId w:val="0"/>
        </w:numPr>
      </w:pPr>
    </w:p>
    <w:p w14:paraId="525E13D9" w14:textId="77777777" w:rsidR="00A9272F" w:rsidRPr="003056E1" w:rsidRDefault="00A9272F" w:rsidP="00A9272F">
      <w:pPr>
        <w:pStyle w:val="Firstnumbering"/>
        <w:numPr>
          <w:ilvl w:val="0"/>
          <w:numId w:val="0"/>
        </w:numPr>
        <w:ind w:left="540" w:hanging="540"/>
        <w:rPr>
          <w:sz w:val="22"/>
          <w:szCs w:val="22"/>
          <w:u w:val="single"/>
        </w:rPr>
      </w:pPr>
      <w:r>
        <w:rPr>
          <w:sz w:val="22"/>
          <w:szCs w:val="22"/>
          <w:u w:val="single"/>
        </w:rPr>
        <w:t>Contexte</w:t>
      </w:r>
    </w:p>
    <w:p w14:paraId="7E2C5F25" w14:textId="77777777" w:rsidR="00A9272F" w:rsidRDefault="00A9272F" w:rsidP="00A9272F">
      <w:pPr>
        <w:pStyle w:val="Firstnumbering"/>
        <w:numPr>
          <w:ilvl w:val="0"/>
          <w:numId w:val="0"/>
        </w:numPr>
        <w:ind w:left="540" w:hanging="540"/>
        <w:rPr>
          <w:sz w:val="22"/>
          <w:szCs w:val="22"/>
        </w:rPr>
      </w:pPr>
    </w:p>
    <w:p w14:paraId="4E01C0A6" w14:textId="77777777" w:rsidR="00A9272F" w:rsidRPr="003056E1" w:rsidRDefault="00A9272F" w:rsidP="00A9272F">
      <w:pPr>
        <w:pStyle w:val="Firstnumbering"/>
        <w:numPr>
          <w:ilvl w:val="0"/>
          <w:numId w:val="0"/>
        </w:numPr>
        <w:ind w:left="540" w:hanging="540"/>
        <w:rPr>
          <w:sz w:val="22"/>
          <w:szCs w:val="22"/>
        </w:rPr>
      </w:pPr>
    </w:p>
    <w:p w14:paraId="074AFD30" w14:textId="77777777" w:rsidR="00A9272F" w:rsidRDefault="00A9272F" w:rsidP="00A9272F">
      <w:pPr>
        <w:pStyle w:val="Firstnumbering"/>
        <w:widowControl w:val="0"/>
        <w:numPr>
          <w:ilvl w:val="0"/>
          <w:numId w:val="2"/>
        </w:numPr>
        <w:suppressAutoHyphens/>
        <w:autoSpaceDE w:val="0"/>
        <w:autoSpaceDN w:val="0"/>
        <w:textAlignment w:val="baseline"/>
        <w:rPr>
          <w:sz w:val="22"/>
          <w:szCs w:val="22"/>
        </w:rPr>
      </w:pPr>
      <w:r>
        <w:rPr>
          <w:sz w:val="22"/>
          <w:szCs w:val="22"/>
        </w:rPr>
        <w:t>Le Gouvernement australien a pris des dispositions nationales pour développer des parcs éoliens en mer en vue d'atteindre ses objectifs en matière d'énergie renouvelable. L'objectif de ces dispositions est de réduire considérablement les émissions de gaz à effet de serre pour permettre à l'Australie d'atteindre la neutralité carbone d'ici 2050. Les instruments législatifs qui donnent effet aux dispositions sont la loi de 2021 sur les infrastructures électriques en mer (</w:t>
      </w:r>
      <w:hyperlink r:id="rId10" w:history="1">
        <w:r>
          <w:rPr>
            <w:rStyle w:val="Hyperlink"/>
            <w:sz w:val="22"/>
            <w:szCs w:val="22"/>
          </w:rPr>
          <w:t xml:space="preserve">Offshore </w:t>
        </w:r>
        <w:proofErr w:type="spellStart"/>
        <w:r>
          <w:rPr>
            <w:rStyle w:val="Hyperlink"/>
            <w:sz w:val="22"/>
            <w:szCs w:val="22"/>
          </w:rPr>
          <w:t>Electrical</w:t>
        </w:r>
        <w:proofErr w:type="spellEnd"/>
        <w:r>
          <w:rPr>
            <w:rStyle w:val="Hyperlink"/>
            <w:sz w:val="22"/>
            <w:szCs w:val="22"/>
          </w:rPr>
          <w:t xml:space="preserve"> Infrastructure </w:t>
        </w:r>
        <w:proofErr w:type="spellStart"/>
        <w:r>
          <w:rPr>
            <w:rStyle w:val="Hyperlink"/>
            <w:sz w:val="22"/>
            <w:szCs w:val="22"/>
          </w:rPr>
          <w:t>Act</w:t>
        </w:r>
        <w:proofErr w:type="spellEnd"/>
        <w:r>
          <w:rPr>
            <w:rStyle w:val="Hyperlink"/>
            <w:sz w:val="22"/>
            <w:szCs w:val="22"/>
          </w:rPr>
          <w:t xml:space="preserve"> 2021</w:t>
        </w:r>
      </w:hyperlink>
      <w:r>
        <w:rPr>
          <w:sz w:val="22"/>
          <w:szCs w:val="22"/>
        </w:rPr>
        <w:t>) et les réglementations connexes adoptées en 2022 (</w:t>
      </w:r>
      <w:hyperlink r:id="rId11" w:history="1">
        <w:r>
          <w:rPr>
            <w:rStyle w:val="Hyperlink"/>
            <w:sz w:val="22"/>
            <w:szCs w:val="22"/>
          </w:rPr>
          <w:t xml:space="preserve">Offshore </w:t>
        </w:r>
        <w:proofErr w:type="spellStart"/>
        <w:r>
          <w:rPr>
            <w:rStyle w:val="Hyperlink"/>
            <w:sz w:val="22"/>
            <w:szCs w:val="22"/>
          </w:rPr>
          <w:t>Electricity</w:t>
        </w:r>
        <w:proofErr w:type="spellEnd"/>
        <w:r>
          <w:rPr>
            <w:rStyle w:val="Hyperlink"/>
            <w:sz w:val="22"/>
            <w:szCs w:val="22"/>
          </w:rPr>
          <w:t xml:space="preserve"> Infrastructure </w:t>
        </w:r>
        <w:proofErr w:type="spellStart"/>
        <w:r>
          <w:rPr>
            <w:rStyle w:val="Hyperlink"/>
            <w:sz w:val="22"/>
            <w:szCs w:val="22"/>
          </w:rPr>
          <w:t>Regulations</w:t>
        </w:r>
        <w:proofErr w:type="spellEnd"/>
        <w:r>
          <w:rPr>
            <w:rStyle w:val="Hyperlink"/>
            <w:sz w:val="22"/>
            <w:szCs w:val="22"/>
          </w:rPr>
          <w:t xml:space="preserve"> 2022</w:t>
        </w:r>
      </w:hyperlink>
      <w:r>
        <w:rPr>
          <w:sz w:val="22"/>
          <w:szCs w:val="22"/>
        </w:rPr>
        <w:t xml:space="preserve">). En vertu de cette législation, les zones marines peuvent être déclarées propices au développement de parcs éoliens en mer. </w:t>
      </w:r>
    </w:p>
    <w:p w14:paraId="62DFDFE5" w14:textId="77777777" w:rsidR="00A9272F" w:rsidRPr="003056E1" w:rsidRDefault="00A9272F" w:rsidP="00A9272F">
      <w:pPr>
        <w:pStyle w:val="Firstnumbering"/>
        <w:numPr>
          <w:ilvl w:val="0"/>
          <w:numId w:val="0"/>
        </w:numPr>
        <w:ind w:left="504"/>
        <w:rPr>
          <w:sz w:val="22"/>
          <w:szCs w:val="22"/>
        </w:rPr>
      </w:pPr>
    </w:p>
    <w:p w14:paraId="419D3CA4" w14:textId="77777777" w:rsidR="00A9272F" w:rsidRDefault="00A9272F" w:rsidP="00A9272F">
      <w:pPr>
        <w:pStyle w:val="Firstnumbering"/>
        <w:widowControl w:val="0"/>
        <w:numPr>
          <w:ilvl w:val="0"/>
          <w:numId w:val="2"/>
        </w:numPr>
        <w:suppressAutoHyphens/>
        <w:autoSpaceDE w:val="0"/>
        <w:autoSpaceDN w:val="0"/>
        <w:textAlignment w:val="baseline"/>
        <w:rPr>
          <w:sz w:val="22"/>
          <w:szCs w:val="22"/>
        </w:rPr>
      </w:pPr>
      <w:r>
        <w:rPr>
          <w:sz w:val="22"/>
          <w:szCs w:val="22"/>
        </w:rPr>
        <w:t xml:space="preserve">Toutefois, il est reconnu que ces parcs éoliens peuvent également avoir un impact sur les espèces migratrices menacées et inscrites sur les listes de la CMS. Les parcs éoliens en mer peuvent augmenter la mortalité des oiseaux, notamment en raison des collisions, de l'éloignement des habitats privilégiés ou de l'effet de barrière qu'ils peuvent avoir sur les voies de migration. </w:t>
      </w:r>
    </w:p>
    <w:p w14:paraId="482C415C" w14:textId="77777777" w:rsidR="00A9272F" w:rsidRPr="003056E1" w:rsidRDefault="00A9272F" w:rsidP="00A9272F">
      <w:pPr>
        <w:pStyle w:val="Firstnumbering"/>
        <w:numPr>
          <w:ilvl w:val="0"/>
          <w:numId w:val="0"/>
        </w:numPr>
        <w:rPr>
          <w:sz w:val="22"/>
          <w:szCs w:val="22"/>
        </w:rPr>
      </w:pPr>
    </w:p>
    <w:p w14:paraId="64D441D5" w14:textId="77777777" w:rsidR="00A9272F" w:rsidRDefault="00A9272F" w:rsidP="00A9272F">
      <w:pPr>
        <w:pStyle w:val="Firstnumbering"/>
        <w:widowControl w:val="0"/>
        <w:numPr>
          <w:ilvl w:val="0"/>
          <w:numId w:val="2"/>
        </w:numPr>
        <w:suppressAutoHyphens/>
        <w:autoSpaceDE w:val="0"/>
        <w:autoSpaceDN w:val="0"/>
        <w:textAlignment w:val="baseline"/>
        <w:rPr>
          <w:sz w:val="22"/>
          <w:szCs w:val="22"/>
        </w:rPr>
      </w:pPr>
      <w:r>
        <w:rPr>
          <w:sz w:val="22"/>
          <w:szCs w:val="22"/>
        </w:rPr>
        <w:t xml:space="preserve">Fin 2022, la région du détroit de Bass, dans l'État de Victoria, a été déclarée première zone d'exploitation éolienne en mer, couvrant une superficie d'environ 15 000 kilomètres carrés. La déclaration peut être consultée à l'adresse suivante : </w:t>
      </w:r>
      <w:hyperlink r:id="rId12" w:history="1">
        <w:proofErr w:type="spellStart"/>
        <w:r>
          <w:rPr>
            <w:rStyle w:val="Hyperlink"/>
            <w:sz w:val="22"/>
            <w:szCs w:val="22"/>
          </w:rPr>
          <w:t>O,ffshore</w:t>
        </w:r>
        <w:proofErr w:type="spellEnd"/>
        <w:r>
          <w:rPr>
            <w:rStyle w:val="Hyperlink"/>
            <w:sz w:val="22"/>
            <w:szCs w:val="22"/>
          </w:rPr>
          <w:t xml:space="preserve"> </w:t>
        </w:r>
        <w:proofErr w:type="spellStart"/>
        <w:r>
          <w:rPr>
            <w:rStyle w:val="Hyperlink"/>
            <w:sz w:val="22"/>
            <w:szCs w:val="22"/>
          </w:rPr>
          <w:t>Electricity</w:t>
        </w:r>
        <w:proofErr w:type="spellEnd"/>
        <w:r>
          <w:rPr>
            <w:rStyle w:val="Hyperlink"/>
            <w:sz w:val="22"/>
            <w:szCs w:val="22"/>
          </w:rPr>
          <w:t xml:space="preserve"> Infrastructure (</w:t>
        </w:r>
        <w:proofErr w:type="spellStart"/>
        <w:r>
          <w:rPr>
            <w:rStyle w:val="Hyperlink"/>
            <w:sz w:val="22"/>
            <w:szCs w:val="22"/>
          </w:rPr>
          <w:t>Declared</w:t>
        </w:r>
        <w:proofErr w:type="spellEnd"/>
        <w:r>
          <w:rPr>
            <w:rStyle w:val="Hyperlink"/>
            <w:sz w:val="22"/>
            <w:szCs w:val="22"/>
          </w:rPr>
          <w:t xml:space="preserve"> Area OEI-01-2022) </w:t>
        </w:r>
        <w:proofErr w:type="spellStart"/>
        <w:r>
          <w:rPr>
            <w:rStyle w:val="Hyperlink"/>
            <w:sz w:val="22"/>
            <w:szCs w:val="22"/>
          </w:rPr>
          <w:t>Declaration</w:t>
        </w:r>
        <w:proofErr w:type="spellEnd"/>
        <w:r>
          <w:rPr>
            <w:rStyle w:val="Hyperlink"/>
            <w:sz w:val="22"/>
            <w:szCs w:val="22"/>
          </w:rPr>
          <w:t xml:space="preserve"> 2022</w:t>
        </w:r>
      </w:hyperlink>
      <w:r>
        <w:rPr>
          <w:sz w:val="22"/>
          <w:szCs w:val="22"/>
        </w:rPr>
        <w:t>. La région du détroit de Bass pourrait générer plus de 10 GW d'énergie éolienne tout au long de l'année, ce qui permettrait de couvrir jusqu'à 20 % des besoins en électricité de l'État de Victoria. Il est proposé de développer des projets de parcs éoliens en mer dans un certain nombre d'autres régions australiennes, qui abritent des habitats importants pour certaines espèces d'oiseaux menacées, notamment la Perruche à ventre orange (</w:t>
      </w:r>
      <w:proofErr w:type="spellStart"/>
      <w:r>
        <w:rPr>
          <w:i/>
          <w:iCs/>
          <w:sz w:val="22"/>
          <w:szCs w:val="22"/>
        </w:rPr>
        <w:t>Neophema</w:t>
      </w:r>
      <w:proofErr w:type="spellEnd"/>
      <w:r>
        <w:rPr>
          <w:i/>
          <w:iCs/>
          <w:sz w:val="22"/>
          <w:szCs w:val="22"/>
        </w:rPr>
        <w:t xml:space="preserve"> </w:t>
      </w:r>
      <w:proofErr w:type="spellStart"/>
      <w:r>
        <w:rPr>
          <w:i/>
          <w:iCs/>
          <w:sz w:val="22"/>
          <w:szCs w:val="22"/>
        </w:rPr>
        <w:t>chrysogaster</w:t>
      </w:r>
      <w:proofErr w:type="spellEnd"/>
      <w:r>
        <w:rPr>
          <w:sz w:val="22"/>
          <w:szCs w:val="22"/>
        </w:rPr>
        <w:t>), la Perruche de Latham (</w:t>
      </w:r>
      <w:proofErr w:type="spellStart"/>
      <w:r>
        <w:rPr>
          <w:i/>
          <w:iCs/>
          <w:sz w:val="22"/>
          <w:szCs w:val="22"/>
        </w:rPr>
        <w:t>Lathamus</w:t>
      </w:r>
      <w:proofErr w:type="spellEnd"/>
      <w:r>
        <w:rPr>
          <w:i/>
          <w:iCs/>
          <w:sz w:val="22"/>
          <w:szCs w:val="22"/>
        </w:rPr>
        <w:t xml:space="preserve"> </w:t>
      </w:r>
      <w:proofErr w:type="spellStart"/>
      <w:r>
        <w:rPr>
          <w:i/>
          <w:iCs/>
          <w:sz w:val="22"/>
          <w:szCs w:val="22"/>
        </w:rPr>
        <w:t>discolor</w:t>
      </w:r>
      <w:proofErr w:type="spellEnd"/>
      <w:r>
        <w:rPr>
          <w:sz w:val="22"/>
          <w:szCs w:val="22"/>
        </w:rPr>
        <w:t>), et le Courlis de Sibérie (</w:t>
      </w:r>
      <w:r>
        <w:rPr>
          <w:i/>
          <w:iCs/>
          <w:sz w:val="22"/>
          <w:szCs w:val="22"/>
        </w:rPr>
        <w:t xml:space="preserve">Numenius </w:t>
      </w:r>
      <w:proofErr w:type="spellStart"/>
      <w:r>
        <w:rPr>
          <w:i/>
          <w:iCs/>
          <w:sz w:val="22"/>
          <w:szCs w:val="22"/>
        </w:rPr>
        <w:t>madagascariensis</w:t>
      </w:r>
      <w:proofErr w:type="spellEnd"/>
      <w:r>
        <w:rPr>
          <w:sz w:val="22"/>
          <w:szCs w:val="22"/>
        </w:rPr>
        <w:t xml:space="preserve">), inscrit sur les listes de la CMS. </w:t>
      </w:r>
    </w:p>
    <w:p w14:paraId="3DEE794C" w14:textId="77777777" w:rsidR="00A9272F" w:rsidRPr="003056E1" w:rsidRDefault="00A9272F" w:rsidP="00A9272F">
      <w:pPr>
        <w:pStyle w:val="Firstnumbering"/>
        <w:numPr>
          <w:ilvl w:val="0"/>
          <w:numId w:val="0"/>
        </w:numPr>
        <w:rPr>
          <w:sz w:val="22"/>
          <w:szCs w:val="22"/>
        </w:rPr>
      </w:pPr>
    </w:p>
    <w:p w14:paraId="00B02830" w14:textId="77777777" w:rsidR="00A9272F" w:rsidRPr="003056E1" w:rsidRDefault="00A9272F" w:rsidP="00A9272F">
      <w:pPr>
        <w:pStyle w:val="Firstnumbering"/>
        <w:widowControl w:val="0"/>
        <w:numPr>
          <w:ilvl w:val="0"/>
          <w:numId w:val="2"/>
        </w:numPr>
        <w:suppressAutoHyphens/>
        <w:autoSpaceDE w:val="0"/>
        <w:autoSpaceDN w:val="0"/>
        <w:textAlignment w:val="baseline"/>
        <w:rPr>
          <w:sz w:val="22"/>
          <w:szCs w:val="22"/>
        </w:rPr>
      </w:pPr>
      <w:r>
        <w:rPr>
          <w:sz w:val="22"/>
          <w:szCs w:val="22"/>
        </w:rPr>
        <w:t xml:space="preserve">Les évaluations des risques liés aux parcs éoliens en mer sont une pratique bien établie dans l'hémisphère nord, mais elles n'ont pas encore été appliquées aux oiseaux australiens dans un contexte australien. Une évaluation semi-quantitative des risques écologiques a donc été menée pour évaluer les impacts potentiels des parcs éoliens en mer sur les oiseaux côtiers et marins, y compris les espèces migratrices et les espèces inscrites sur les listes de la CMS </w:t>
      </w:r>
      <w:hyperlink r:id="rId13" w:history="1">
        <w:r>
          <w:rPr>
            <w:rStyle w:val="Hyperlink"/>
            <w:sz w:val="22"/>
            <w:szCs w:val="22"/>
          </w:rPr>
          <w:t>(Reid et al., 2023, Annexe 1)</w:t>
        </w:r>
      </w:hyperlink>
      <w:r>
        <w:rPr>
          <w:sz w:val="22"/>
          <w:szCs w:val="22"/>
        </w:rPr>
        <w:t xml:space="preserve">. </w:t>
      </w:r>
    </w:p>
    <w:p w14:paraId="0102692C" w14:textId="77777777" w:rsidR="00A9272F" w:rsidRPr="003056E1" w:rsidRDefault="00A9272F" w:rsidP="00A9272F">
      <w:pPr>
        <w:pStyle w:val="Firstnumbering"/>
        <w:numPr>
          <w:ilvl w:val="0"/>
          <w:numId w:val="0"/>
        </w:numPr>
        <w:ind w:left="540" w:hanging="540"/>
        <w:rPr>
          <w:sz w:val="22"/>
          <w:szCs w:val="22"/>
        </w:rPr>
      </w:pPr>
    </w:p>
    <w:p w14:paraId="54896525" w14:textId="77777777" w:rsidR="00A9272F" w:rsidRPr="003056E1" w:rsidRDefault="00A9272F" w:rsidP="00A9272F">
      <w:pPr>
        <w:suppressAutoHyphens/>
        <w:autoSpaceDE w:val="0"/>
        <w:autoSpaceDN w:val="0"/>
        <w:jc w:val="both"/>
        <w:textAlignment w:val="baseline"/>
        <w:rPr>
          <w:rFonts w:cs="Arial"/>
          <w:u w:val="single"/>
        </w:rPr>
      </w:pPr>
      <w:r>
        <w:rPr>
          <w:rFonts w:cs="Arial"/>
          <w:u w:val="single"/>
        </w:rPr>
        <w:t>Discussion</w:t>
      </w:r>
    </w:p>
    <w:p w14:paraId="35FA2F91" w14:textId="77777777" w:rsidR="00A9272F" w:rsidRPr="003056E1" w:rsidRDefault="00A9272F" w:rsidP="00A9272F">
      <w:pPr>
        <w:pStyle w:val="Firstnumbering"/>
        <w:numPr>
          <w:ilvl w:val="0"/>
          <w:numId w:val="0"/>
        </w:numPr>
        <w:ind w:left="540" w:hanging="540"/>
        <w:rPr>
          <w:sz w:val="22"/>
          <w:szCs w:val="22"/>
        </w:rPr>
      </w:pPr>
    </w:p>
    <w:p w14:paraId="59FFA737" w14:textId="77777777" w:rsidR="00A9272F" w:rsidRDefault="00A9272F" w:rsidP="00A9272F">
      <w:pPr>
        <w:pStyle w:val="Firstnumbering"/>
        <w:widowControl w:val="0"/>
        <w:numPr>
          <w:ilvl w:val="0"/>
          <w:numId w:val="2"/>
        </w:numPr>
        <w:suppressAutoHyphens/>
        <w:autoSpaceDE w:val="0"/>
        <w:autoSpaceDN w:val="0"/>
        <w:textAlignment w:val="baseline"/>
        <w:rPr>
          <w:sz w:val="22"/>
          <w:szCs w:val="22"/>
        </w:rPr>
      </w:pPr>
      <w:r>
        <w:rPr>
          <w:sz w:val="22"/>
          <w:szCs w:val="22"/>
        </w:rPr>
        <w:t>L'évaluation des risques a porté sur 273 taxons d'oiseaux, dont notamment des espèces menacées répertoriées dans la loi nationale australienne sur l'environnement (</w:t>
      </w:r>
      <w:proofErr w:type="spellStart"/>
      <w:r>
        <w:rPr>
          <w:szCs w:val="20"/>
          <w:lang w:val="en-GB"/>
        </w:rPr>
        <w:fldChar w:fldCharType="begin"/>
      </w:r>
      <w:r w:rsidRPr="00170615">
        <w:instrText>HYPERLINK "https://www.legislation.gov.au/Details/C2022C00214"</w:instrText>
      </w:r>
      <w:r>
        <w:rPr>
          <w:szCs w:val="20"/>
          <w:lang w:val="en-GB"/>
        </w:rPr>
        <w:fldChar w:fldCharType="separate"/>
      </w:r>
      <w:r>
        <w:rPr>
          <w:rStyle w:val="Hyperlink"/>
          <w:i/>
          <w:iCs/>
          <w:sz w:val="22"/>
          <w:szCs w:val="22"/>
        </w:rPr>
        <w:t>Environment</w:t>
      </w:r>
      <w:proofErr w:type="spellEnd"/>
      <w:r>
        <w:rPr>
          <w:rStyle w:val="Hyperlink"/>
          <w:i/>
          <w:iCs/>
          <w:sz w:val="22"/>
          <w:szCs w:val="22"/>
        </w:rPr>
        <w:t xml:space="preserve"> Protection and </w:t>
      </w:r>
      <w:proofErr w:type="spellStart"/>
      <w:r>
        <w:rPr>
          <w:rStyle w:val="Hyperlink"/>
          <w:i/>
          <w:iCs/>
          <w:sz w:val="22"/>
          <w:szCs w:val="22"/>
        </w:rPr>
        <w:t>Biodiversity</w:t>
      </w:r>
      <w:proofErr w:type="spellEnd"/>
      <w:r>
        <w:rPr>
          <w:rStyle w:val="Hyperlink"/>
          <w:i/>
          <w:iCs/>
          <w:sz w:val="22"/>
          <w:szCs w:val="22"/>
        </w:rPr>
        <w:t xml:space="preserve"> Conservation </w:t>
      </w:r>
      <w:proofErr w:type="spellStart"/>
      <w:r>
        <w:rPr>
          <w:rStyle w:val="Hyperlink"/>
          <w:i/>
          <w:iCs/>
          <w:sz w:val="22"/>
          <w:szCs w:val="22"/>
        </w:rPr>
        <w:t>Act</w:t>
      </w:r>
      <w:proofErr w:type="spellEnd"/>
      <w:r>
        <w:rPr>
          <w:rStyle w:val="Hyperlink"/>
          <w:i/>
          <w:iCs/>
          <w:sz w:val="22"/>
          <w:szCs w:val="22"/>
        </w:rPr>
        <w:t xml:space="preserve"> 1999</w:t>
      </w:r>
      <w:r>
        <w:rPr>
          <w:rStyle w:val="Hyperlink"/>
          <w:i/>
          <w:iCs/>
          <w:sz w:val="22"/>
          <w:szCs w:val="22"/>
        </w:rPr>
        <w:fldChar w:fldCharType="end"/>
      </w:r>
      <w:r>
        <w:rPr>
          <w:sz w:val="22"/>
          <w:szCs w:val="22"/>
        </w:rPr>
        <w:t xml:space="preserve"> – EPBC </w:t>
      </w:r>
      <w:proofErr w:type="spellStart"/>
      <w:r>
        <w:rPr>
          <w:sz w:val="22"/>
          <w:szCs w:val="22"/>
        </w:rPr>
        <w:t>Act</w:t>
      </w:r>
      <w:proofErr w:type="spellEnd"/>
      <w:r>
        <w:rPr>
          <w:sz w:val="22"/>
          <w:szCs w:val="22"/>
        </w:rPr>
        <w:t xml:space="preserve">). Elle a reposé sur des données relatives au cycle de vie et aux attributs comportementaux. La zone marine de l'Australie a été divisée en huit régions, en fonction des frontières des États et des territoires, et subdivisée en sous-régions littorales, côtières et hauturières. L'intérêt des régions concernées envers les propositions de parcs éoliens en mer et les mouvements des oiseaux dans ces régions ont également été pris en considération. Chaque taxon a ensuite reçu une note de risque globale, combinant une note de vulnérabilité et une note de conservation. La notation des attributs s'est appuyée sur des données publiques évaluées par des pairs. Les variables incluses dans les analyses étaient des notes de risque pour la productivité, basées sur l'état de conservation et le temps de génération, ainsi que des notes de risque de susceptibilité, basées sur la hauteur de vol, la manœuvrabilité en vol et la spécialisation de l'habitat. </w:t>
      </w:r>
    </w:p>
    <w:p w14:paraId="3FBEC525" w14:textId="77777777" w:rsidR="00A9272F" w:rsidRPr="003056E1" w:rsidRDefault="00A9272F" w:rsidP="00A9272F">
      <w:pPr>
        <w:pStyle w:val="Firstnumbering"/>
        <w:numPr>
          <w:ilvl w:val="0"/>
          <w:numId w:val="0"/>
        </w:numPr>
        <w:ind w:left="504"/>
        <w:rPr>
          <w:sz w:val="22"/>
          <w:szCs w:val="22"/>
        </w:rPr>
      </w:pPr>
    </w:p>
    <w:p w14:paraId="149DDFF4" w14:textId="77777777" w:rsidR="00A9272F" w:rsidRDefault="00A9272F" w:rsidP="00A9272F">
      <w:pPr>
        <w:pStyle w:val="Firstnumbering"/>
        <w:widowControl w:val="0"/>
        <w:numPr>
          <w:ilvl w:val="0"/>
          <w:numId w:val="2"/>
        </w:numPr>
        <w:suppressAutoHyphens/>
        <w:autoSpaceDE w:val="0"/>
        <w:autoSpaceDN w:val="0"/>
        <w:textAlignment w:val="baseline"/>
        <w:rPr>
          <w:sz w:val="22"/>
          <w:szCs w:val="22"/>
        </w:rPr>
      </w:pPr>
      <w:r>
        <w:rPr>
          <w:sz w:val="22"/>
          <w:szCs w:val="22"/>
        </w:rPr>
        <w:t>L'évaluation des risques a permis d'identifier 81 taxons à haut risque, dont 11 oiseaux de rivage en migration depuis l'étranger et présents dans la plupart des régions évaluées. Les oiseaux migrateurs à haut risque recensés dans les Annexes de la CMS étaient le Courlis de Sibérie (</w:t>
      </w:r>
      <w:r>
        <w:rPr>
          <w:i/>
          <w:iCs/>
          <w:sz w:val="22"/>
          <w:szCs w:val="22"/>
        </w:rPr>
        <w:t xml:space="preserve">Numenius </w:t>
      </w:r>
      <w:proofErr w:type="spellStart"/>
      <w:r>
        <w:rPr>
          <w:i/>
          <w:iCs/>
          <w:sz w:val="22"/>
          <w:szCs w:val="22"/>
        </w:rPr>
        <w:t>madagascariensis</w:t>
      </w:r>
      <w:proofErr w:type="spellEnd"/>
      <w:r>
        <w:rPr>
          <w:sz w:val="22"/>
          <w:szCs w:val="22"/>
        </w:rPr>
        <w:t xml:space="preserve"> ; Annexe I de la CMS) et neuf espèces d'albatros (Annexe II de </w:t>
      </w:r>
      <w:r>
        <w:rPr>
          <w:sz w:val="22"/>
          <w:szCs w:val="22"/>
        </w:rPr>
        <w:lastRenderedPageBreak/>
        <w:t xml:space="preserve">la CMS). Les notes de risques les plus élevées ont été attribuées aux régions hauturières des États de Victoria, de la Nouvelle-Galles du Sud, du Queensland, d'Australie-Méridionale, de Tasmanie et du sud-ouest de l'Australie-Occidentale. Ces résultats permettent d'établir des données de référence et d'élaborer des mesures d'atténuation. </w:t>
      </w:r>
    </w:p>
    <w:p w14:paraId="07A5605F" w14:textId="77777777" w:rsidR="00A9272F" w:rsidRPr="003056E1" w:rsidRDefault="00A9272F" w:rsidP="00A9272F">
      <w:pPr>
        <w:pStyle w:val="Firstnumbering"/>
        <w:numPr>
          <w:ilvl w:val="0"/>
          <w:numId w:val="0"/>
        </w:numPr>
        <w:rPr>
          <w:sz w:val="22"/>
          <w:szCs w:val="22"/>
        </w:rPr>
      </w:pPr>
    </w:p>
    <w:p w14:paraId="6E6ECFFC" w14:textId="77777777" w:rsidR="00A9272F" w:rsidRDefault="00A9272F" w:rsidP="00A9272F">
      <w:pPr>
        <w:pStyle w:val="Firstnumbering"/>
        <w:widowControl w:val="0"/>
        <w:numPr>
          <w:ilvl w:val="0"/>
          <w:numId w:val="2"/>
        </w:numPr>
        <w:suppressAutoHyphens/>
        <w:autoSpaceDE w:val="0"/>
        <w:autoSpaceDN w:val="0"/>
        <w:textAlignment w:val="baseline"/>
        <w:rPr>
          <w:sz w:val="22"/>
          <w:szCs w:val="22"/>
        </w:rPr>
      </w:pPr>
      <w:r>
        <w:rPr>
          <w:sz w:val="22"/>
          <w:szCs w:val="22"/>
        </w:rPr>
        <w:t>La mesure d'atténuation la plus efficace consiste à implanter les parcs éoliens et les infrastructures connexes dans des zones où les oiseaux sont peu nombreux ou qui n'ont que peu d'importance pour les oiseaux. Pour cela, il est nécessaire de disposer de données à grande échelle sur la répartition des oiseaux. Les mesures techniques d'atténuation des incidences pourraient consister en une modification du calendrier d'exploitation des turbines, par exemple en les arrêtant pendant les périodes de migration ou en mettant au point des systèmes de réduction automatisés, ou en la construction de turbines plus hautes afin qu'elles n'interfèrent pas avec la hauteur de vol des oiseaux. La recherche, le développement et la validation des mesures d'atténuation existantes et émergentes revêtent donc une importance cruciale.</w:t>
      </w:r>
    </w:p>
    <w:p w14:paraId="2C2DEE95" w14:textId="77777777" w:rsidR="00A9272F" w:rsidRPr="003056E1" w:rsidRDefault="00A9272F" w:rsidP="00A9272F">
      <w:pPr>
        <w:pStyle w:val="Firstnumbering"/>
        <w:numPr>
          <w:ilvl w:val="0"/>
          <w:numId w:val="0"/>
        </w:numPr>
        <w:rPr>
          <w:sz w:val="22"/>
          <w:szCs w:val="22"/>
        </w:rPr>
      </w:pPr>
    </w:p>
    <w:p w14:paraId="7926A3AA" w14:textId="77777777" w:rsidR="00A9272F" w:rsidRDefault="00A9272F" w:rsidP="00A9272F">
      <w:pPr>
        <w:pStyle w:val="Firstnumbering"/>
        <w:widowControl w:val="0"/>
        <w:numPr>
          <w:ilvl w:val="0"/>
          <w:numId w:val="2"/>
        </w:numPr>
        <w:suppressAutoHyphens/>
        <w:autoSpaceDE w:val="0"/>
        <w:autoSpaceDN w:val="0"/>
        <w:textAlignment w:val="baseline"/>
        <w:rPr>
          <w:sz w:val="22"/>
          <w:szCs w:val="22"/>
        </w:rPr>
      </w:pPr>
      <w:r>
        <w:rPr>
          <w:sz w:val="22"/>
          <w:szCs w:val="22"/>
        </w:rPr>
        <w:t xml:space="preserve">Les efforts déployés à l'avenir devraient inclure la collecte de données sur le cycle biologique et les attributs comportementaux des espèces susceptibles de subir les incidences des parcs éoliens en mer. La variabilité spatiale et temporelle des taxons concernés doit également être clairement établie. La recherche, le développement et la mise à l'essai de méthodes permettant de prévoir et de quantifier les impacts sur les populations d'oiseaux sont nécessaires pour déterminer la viabilité à long terme des populations. Il serait possible d'améliorer encore davantage la précision des évaluations des risques écologiques en utilisant une combinaison d'approches de surveillance normalisées, ce qui permettrait de comparer les études entre elles. </w:t>
      </w:r>
    </w:p>
    <w:p w14:paraId="5A61B348" w14:textId="77777777" w:rsidR="00A9272F" w:rsidRPr="003056E1" w:rsidRDefault="00A9272F" w:rsidP="00A9272F">
      <w:pPr>
        <w:pStyle w:val="Firstnumbering"/>
        <w:numPr>
          <w:ilvl w:val="0"/>
          <w:numId w:val="0"/>
        </w:numPr>
        <w:rPr>
          <w:sz w:val="22"/>
          <w:szCs w:val="22"/>
        </w:rPr>
      </w:pPr>
    </w:p>
    <w:p w14:paraId="7127BB2D" w14:textId="77777777" w:rsidR="00A9272F" w:rsidRDefault="00A9272F" w:rsidP="00A9272F">
      <w:pPr>
        <w:pStyle w:val="Firstnumbering"/>
        <w:widowControl w:val="0"/>
        <w:numPr>
          <w:ilvl w:val="0"/>
          <w:numId w:val="2"/>
        </w:numPr>
        <w:suppressAutoHyphens/>
        <w:autoSpaceDE w:val="0"/>
        <w:autoSpaceDN w:val="0"/>
        <w:textAlignment w:val="baseline"/>
        <w:rPr>
          <w:sz w:val="22"/>
          <w:szCs w:val="22"/>
        </w:rPr>
      </w:pPr>
      <w:r>
        <w:rPr>
          <w:sz w:val="22"/>
          <w:szCs w:val="22"/>
        </w:rPr>
        <w:t xml:space="preserve">D'autres recommandations portent sur la réalisation d'analyses de sensibilité à l'échelle régionale afin de minimiser la confusion induite par les différences régionales. Le partage des résultats de la recherche améliorera la fiabilité des évaluations des risques écologiques et des mesures d'atténuation. </w:t>
      </w:r>
    </w:p>
    <w:p w14:paraId="1C44AE60" w14:textId="77777777" w:rsidR="00A9272F" w:rsidRPr="003056E1" w:rsidRDefault="00A9272F" w:rsidP="00A9272F">
      <w:pPr>
        <w:pStyle w:val="Firstnumbering"/>
        <w:numPr>
          <w:ilvl w:val="0"/>
          <w:numId w:val="0"/>
        </w:numPr>
        <w:rPr>
          <w:sz w:val="22"/>
          <w:szCs w:val="22"/>
        </w:rPr>
      </w:pPr>
    </w:p>
    <w:p w14:paraId="11E26AA0" w14:textId="77777777" w:rsidR="00A9272F" w:rsidRDefault="00A9272F" w:rsidP="00A9272F">
      <w:pPr>
        <w:pStyle w:val="Firstnumbering"/>
        <w:widowControl w:val="0"/>
        <w:numPr>
          <w:ilvl w:val="0"/>
          <w:numId w:val="2"/>
        </w:numPr>
        <w:suppressAutoHyphens/>
        <w:autoSpaceDE w:val="0"/>
        <w:autoSpaceDN w:val="0"/>
        <w:textAlignment w:val="baseline"/>
        <w:rPr>
          <w:sz w:val="22"/>
          <w:szCs w:val="22"/>
        </w:rPr>
      </w:pPr>
      <w:r>
        <w:rPr>
          <w:sz w:val="22"/>
          <w:szCs w:val="22"/>
        </w:rPr>
        <w:t>Il convient de tenir compte des incidences cumulées des parcs éoliens en mer sur les populations d'oiseaux lors de l'élaboration et de l'évaluation des propositions de parcs éoliens. Le déclin des populations ne pourra être évité que par une évaluation des impacts potentiels des parcs éoliens en mer, par le recensement des taxons à haut risque et par la mise en place de mesures d'atténuation appropriées.</w:t>
      </w:r>
    </w:p>
    <w:p w14:paraId="3621361F" w14:textId="77777777" w:rsidR="00A9272F" w:rsidRPr="003056E1" w:rsidRDefault="00A9272F" w:rsidP="00A9272F">
      <w:pPr>
        <w:pStyle w:val="Firstnumbering"/>
        <w:numPr>
          <w:ilvl w:val="0"/>
          <w:numId w:val="0"/>
        </w:numPr>
        <w:rPr>
          <w:sz w:val="22"/>
          <w:szCs w:val="22"/>
        </w:rPr>
      </w:pPr>
    </w:p>
    <w:p w14:paraId="33260D5E" w14:textId="77777777" w:rsidR="00A9272F" w:rsidRPr="003056E1" w:rsidRDefault="00A9272F" w:rsidP="00A9272F">
      <w:pPr>
        <w:pStyle w:val="Firstnumbering"/>
        <w:widowControl w:val="0"/>
        <w:numPr>
          <w:ilvl w:val="0"/>
          <w:numId w:val="2"/>
        </w:numPr>
        <w:suppressAutoHyphens/>
        <w:autoSpaceDE w:val="0"/>
        <w:autoSpaceDN w:val="0"/>
        <w:textAlignment w:val="baseline"/>
        <w:rPr>
          <w:sz w:val="22"/>
          <w:szCs w:val="22"/>
        </w:rPr>
      </w:pPr>
      <w:r>
        <w:rPr>
          <w:sz w:val="22"/>
          <w:szCs w:val="22"/>
        </w:rPr>
        <w:t xml:space="preserve">Étant donné la prévalence croissante des parcs éoliens en mer dans le monde, il est indispensable de collaborer et de partager les informations, en particulier concernant les méthodes innovantes d'évaluation de risques qui pourraient être appliquées ailleurs. </w:t>
      </w:r>
    </w:p>
    <w:p w14:paraId="55DB9B46" w14:textId="77777777" w:rsidR="00A9272F" w:rsidRPr="003056E1" w:rsidRDefault="00A9272F" w:rsidP="00A9272F">
      <w:pPr>
        <w:ind w:left="567" w:hanging="567"/>
        <w:jc w:val="both"/>
        <w:rPr>
          <w:rFonts w:cs="Arial"/>
          <w:lang w:val="fr-FR"/>
        </w:rPr>
      </w:pPr>
    </w:p>
    <w:p w14:paraId="64E0BB3F" w14:textId="77777777" w:rsidR="00A9272F" w:rsidRPr="003056E1" w:rsidRDefault="00A9272F" w:rsidP="00A9272F">
      <w:pPr>
        <w:suppressAutoHyphens/>
        <w:autoSpaceDE w:val="0"/>
        <w:autoSpaceDN w:val="0"/>
        <w:jc w:val="both"/>
        <w:textAlignment w:val="baseline"/>
        <w:rPr>
          <w:rFonts w:cs="Arial"/>
          <w:u w:val="single"/>
          <w:lang w:val="fr-FR"/>
        </w:rPr>
      </w:pPr>
      <w:r>
        <w:rPr>
          <w:rFonts w:cs="Arial"/>
          <w:u w:val="single"/>
          <w:lang w:val="fr-FR"/>
        </w:rPr>
        <w:t>Actions recommandées</w:t>
      </w:r>
    </w:p>
    <w:p w14:paraId="1C7C5288" w14:textId="77777777" w:rsidR="00A9272F" w:rsidRPr="003056E1" w:rsidRDefault="00A9272F" w:rsidP="00A9272F">
      <w:pPr>
        <w:suppressAutoHyphens/>
        <w:autoSpaceDE w:val="0"/>
        <w:autoSpaceDN w:val="0"/>
        <w:jc w:val="both"/>
        <w:textAlignment w:val="baseline"/>
        <w:rPr>
          <w:rFonts w:cs="Arial"/>
          <w:lang w:val="fr-FR"/>
        </w:rPr>
      </w:pPr>
    </w:p>
    <w:p w14:paraId="6876DB6F" w14:textId="77777777" w:rsidR="00A9272F" w:rsidRDefault="00A9272F" w:rsidP="00A9272F">
      <w:pPr>
        <w:pStyle w:val="Firstnumbering"/>
        <w:widowControl w:val="0"/>
        <w:numPr>
          <w:ilvl w:val="0"/>
          <w:numId w:val="2"/>
        </w:numPr>
        <w:suppressAutoHyphens/>
        <w:autoSpaceDE w:val="0"/>
        <w:autoSpaceDN w:val="0"/>
        <w:ind w:left="540" w:hanging="540"/>
        <w:textAlignment w:val="baseline"/>
        <w:rPr>
          <w:sz w:val="22"/>
          <w:szCs w:val="22"/>
        </w:rPr>
      </w:pPr>
      <w:r>
        <w:rPr>
          <w:sz w:val="22"/>
          <w:szCs w:val="22"/>
        </w:rPr>
        <w:t>Il est recommandé au Comité de session du Conseil scientifique :</w:t>
      </w:r>
    </w:p>
    <w:p w14:paraId="32CD1BB9" w14:textId="77777777" w:rsidR="00A9272F" w:rsidRPr="003056E1" w:rsidRDefault="00A9272F" w:rsidP="00A9272F">
      <w:pPr>
        <w:pStyle w:val="Firstnumbering"/>
        <w:numPr>
          <w:ilvl w:val="0"/>
          <w:numId w:val="0"/>
        </w:numPr>
        <w:ind w:left="540"/>
        <w:rPr>
          <w:sz w:val="22"/>
          <w:szCs w:val="22"/>
        </w:rPr>
      </w:pPr>
    </w:p>
    <w:p w14:paraId="01AD5F5A" w14:textId="77777777" w:rsidR="00A9272F" w:rsidRDefault="00A9272F" w:rsidP="00A9272F">
      <w:pPr>
        <w:pStyle w:val="ListParagraph"/>
        <w:widowControl w:val="0"/>
        <w:numPr>
          <w:ilvl w:val="0"/>
          <w:numId w:val="5"/>
        </w:numPr>
        <w:ind w:left="1134" w:hanging="567"/>
        <w:rPr>
          <w:rFonts w:cs="Arial"/>
          <w:lang w:val="fr-FR"/>
        </w:rPr>
      </w:pPr>
      <w:r>
        <w:rPr>
          <w:rFonts w:cs="Arial"/>
          <w:lang w:val="fr-FR"/>
        </w:rPr>
        <w:t>de prendre note du présent document ;</w:t>
      </w:r>
    </w:p>
    <w:p w14:paraId="732FBCAF" w14:textId="77777777" w:rsidR="00A9272F" w:rsidRPr="003056E1" w:rsidRDefault="00A9272F" w:rsidP="00A9272F">
      <w:pPr>
        <w:pStyle w:val="ListParagraph"/>
        <w:ind w:left="1134" w:hanging="567"/>
        <w:rPr>
          <w:rFonts w:cs="Arial"/>
          <w:lang w:val="fr-FR"/>
        </w:rPr>
      </w:pPr>
    </w:p>
    <w:p w14:paraId="0966803D" w14:textId="77777777" w:rsidR="00A9272F" w:rsidRPr="003056E1" w:rsidRDefault="00A9272F" w:rsidP="00A9272F">
      <w:pPr>
        <w:pStyle w:val="Secondnumbering"/>
        <w:numPr>
          <w:ilvl w:val="0"/>
          <w:numId w:val="5"/>
        </w:numPr>
        <w:ind w:left="1134" w:hanging="567"/>
        <w:rPr>
          <w:rFonts w:cs="Arial"/>
          <w:color w:val="000000" w:themeColor="text1"/>
          <w:lang w:val="fr-FR"/>
        </w:rPr>
      </w:pPr>
      <w:r>
        <w:rPr>
          <w:rFonts w:cs="Arial"/>
          <w:color w:val="000000" w:themeColor="text1"/>
          <w:lang w:val="fr-FR"/>
        </w:rPr>
        <w:t>de transmettre l'évaluation des risques écologiques (annexe 1) au Groupe d'étude de l'énergie de la CMS.</w:t>
      </w:r>
    </w:p>
    <w:p w14:paraId="3B18C806" w14:textId="77777777" w:rsidR="00A9272F" w:rsidRPr="00A9272F" w:rsidRDefault="00A9272F" w:rsidP="00A9272F">
      <w:pPr>
        <w:pStyle w:val="ListParagraph"/>
        <w:rPr>
          <w:rFonts w:cs="Arial"/>
          <w:lang w:val="fr-FR"/>
        </w:rPr>
      </w:pPr>
    </w:p>
    <w:p w14:paraId="40BE5AFB" w14:textId="77777777" w:rsidR="00A9272F" w:rsidRPr="00A9272F" w:rsidRDefault="00A9272F" w:rsidP="00A9272F">
      <w:pPr>
        <w:pStyle w:val="ListParagraph"/>
        <w:ind w:left="0"/>
        <w:rPr>
          <w:rFonts w:cs="Arial"/>
          <w:u w:val="single"/>
        </w:rPr>
      </w:pPr>
      <w:r w:rsidRPr="00A9272F">
        <w:rPr>
          <w:rFonts w:cs="Arial"/>
          <w:u w:val="single"/>
        </w:rPr>
        <w:t>References:</w:t>
      </w:r>
    </w:p>
    <w:p w14:paraId="61B52FFD" w14:textId="77777777" w:rsidR="00A9272F" w:rsidRPr="00A9272F" w:rsidRDefault="00A9272F" w:rsidP="00A9272F">
      <w:pPr>
        <w:pStyle w:val="ListParagraph"/>
        <w:ind w:left="0"/>
        <w:rPr>
          <w:rFonts w:cs="Arial"/>
          <w:lang w:val="fr-FR"/>
        </w:rPr>
      </w:pPr>
    </w:p>
    <w:p w14:paraId="7EFEF0D2" w14:textId="77777777" w:rsidR="00A9272F" w:rsidRPr="00A9272F" w:rsidRDefault="00A9272F" w:rsidP="00A9272F">
      <w:pPr>
        <w:pStyle w:val="ListParagraph"/>
        <w:ind w:left="567" w:hanging="567"/>
        <w:rPr>
          <w:rFonts w:cs="Arial"/>
        </w:rPr>
      </w:pPr>
      <w:r w:rsidRPr="00A9272F">
        <w:rPr>
          <w:rFonts w:cs="Arial"/>
        </w:rPr>
        <w:t xml:space="preserve">Australian Government, 1999. </w:t>
      </w:r>
      <w:hyperlink r:id="rId14" w:history="1">
        <w:r w:rsidRPr="00A9272F">
          <w:rPr>
            <w:rStyle w:val="Hyperlink"/>
            <w:rFonts w:cs="Arial"/>
          </w:rPr>
          <w:t>Environment Protection and Biodiversity Conservation Act 1999</w:t>
        </w:r>
      </w:hyperlink>
      <w:r w:rsidRPr="00A9272F">
        <w:rPr>
          <w:rFonts w:cs="Arial"/>
        </w:rPr>
        <w:t>, Canberra, Australia.</w:t>
      </w:r>
    </w:p>
    <w:p w14:paraId="1569A86B" w14:textId="77777777" w:rsidR="00A9272F" w:rsidRPr="00A9272F" w:rsidRDefault="00A9272F" w:rsidP="00A9272F">
      <w:pPr>
        <w:pStyle w:val="ListParagraph"/>
        <w:ind w:left="567" w:hanging="567"/>
        <w:rPr>
          <w:rFonts w:cs="Arial"/>
        </w:rPr>
      </w:pPr>
      <w:r w:rsidRPr="00A9272F">
        <w:rPr>
          <w:rFonts w:cs="Arial"/>
        </w:rPr>
        <w:t xml:space="preserve">DCCEEW, 2022. </w:t>
      </w:r>
      <w:hyperlink r:id="rId15" w:anchor=":~:text=on%20Wind%20Turbines-,Area%20in%20Bass%20Strait%20off%20Gippsland%20declared%20suitable%20for%20offshore,energy%20on%2019%20December%202022." w:history="1">
        <w:r w:rsidRPr="00A9272F">
          <w:rPr>
            <w:rStyle w:val="Hyperlink"/>
            <w:rFonts w:cs="Arial"/>
          </w:rPr>
          <w:t>Area in Bass Strait off Gippsland declared suitable for offshore renewable energy.</w:t>
        </w:r>
      </w:hyperlink>
      <w:r w:rsidRPr="00A9272F">
        <w:rPr>
          <w:rFonts w:cs="Arial"/>
        </w:rPr>
        <w:t xml:space="preserve"> Department of Climate Change, Energy, the Environment and Water, Canberra, Australia.</w:t>
      </w:r>
    </w:p>
    <w:p w14:paraId="116EDBBA" w14:textId="77777777" w:rsidR="00A9272F" w:rsidRPr="00A9272F" w:rsidRDefault="00A9272F" w:rsidP="00A9272F">
      <w:pPr>
        <w:pStyle w:val="ListParagraph"/>
        <w:ind w:left="567" w:hanging="567"/>
        <w:rPr>
          <w:rFonts w:cs="Arial"/>
        </w:rPr>
      </w:pPr>
      <w:r w:rsidRPr="00A9272F">
        <w:rPr>
          <w:rFonts w:cs="Arial"/>
        </w:rPr>
        <w:lastRenderedPageBreak/>
        <w:t xml:space="preserve">NOPSEMA, 2023. </w:t>
      </w:r>
      <w:hyperlink r:id="rId16" w:history="1">
        <w:r w:rsidRPr="00A9272F">
          <w:rPr>
            <w:rStyle w:val="Hyperlink"/>
            <w:rFonts w:cs="Arial"/>
          </w:rPr>
          <w:t>NOPSEMA research strategy 2023–2025</w:t>
        </w:r>
      </w:hyperlink>
      <w:r w:rsidRPr="00A9272F">
        <w:rPr>
          <w:rFonts w:cs="Arial"/>
        </w:rPr>
        <w:t>. National Offshore Petroleum Safety and Environmental Management Authority, Perth, Australia.</w:t>
      </w:r>
    </w:p>
    <w:p w14:paraId="64F033A7" w14:textId="77777777" w:rsidR="00A9272F" w:rsidRPr="00A9272F" w:rsidRDefault="00A9272F" w:rsidP="00A9272F">
      <w:pPr>
        <w:pStyle w:val="ListParagraph"/>
        <w:ind w:left="567" w:hanging="567"/>
        <w:rPr>
          <w:rFonts w:cs="Arial"/>
          <w:lang w:val="fr-FR"/>
        </w:rPr>
      </w:pPr>
      <w:r w:rsidRPr="00A9272F">
        <w:rPr>
          <w:rFonts w:cs="Arial"/>
        </w:rPr>
        <w:t xml:space="preserve">Reid, K., Baker, G.B. and Woehler, E.J., 2023. An ecological risk assessment for the impacts of offshore wind farms on birds in Australia. </w:t>
      </w:r>
      <w:r w:rsidRPr="00A9272F">
        <w:rPr>
          <w:rFonts w:cs="Arial"/>
          <w:i/>
          <w:iCs/>
          <w:lang w:val="fr-FR"/>
        </w:rPr>
        <w:t xml:space="preserve">Austral </w:t>
      </w:r>
      <w:proofErr w:type="spellStart"/>
      <w:r w:rsidRPr="00A9272F">
        <w:rPr>
          <w:rFonts w:cs="Arial"/>
          <w:i/>
          <w:iCs/>
          <w:lang w:val="fr-FR"/>
        </w:rPr>
        <w:t>Ecology</w:t>
      </w:r>
      <w:proofErr w:type="spellEnd"/>
      <w:r w:rsidRPr="00A9272F">
        <w:rPr>
          <w:rFonts w:cs="Arial"/>
          <w:lang w:val="fr-FR"/>
        </w:rPr>
        <w:t xml:space="preserve"> 2023:00 : 1-22. </w:t>
      </w:r>
      <w:hyperlink r:id="rId17" w:history="1">
        <w:r w:rsidRPr="00A9272F">
          <w:rPr>
            <w:rStyle w:val="Hyperlink"/>
            <w:rFonts w:cs="Arial"/>
            <w:lang w:val="fr-FR"/>
          </w:rPr>
          <w:t>https://doi.org/10.1111/aec.13278</w:t>
        </w:r>
      </w:hyperlink>
      <w:r w:rsidRPr="00A9272F">
        <w:rPr>
          <w:rFonts w:cs="Arial"/>
          <w:lang w:val="fr-FR"/>
        </w:rPr>
        <w:t>.</w:t>
      </w:r>
    </w:p>
    <w:p w14:paraId="6DFA79A3" w14:textId="77777777" w:rsidR="00A9272F" w:rsidRPr="00F04D2D" w:rsidRDefault="00A9272F" w:rsidP="00A9272F">
      <w:pPr>
        <w:pStyle w:val="Secondnumbering"/>
        <w:numPr>
          <w:ilvl w:val="0"/>
          <w:numId w:val="0"/>
        </w:numPr>
        <w:ind w:left="720"/>
        <w:rPr>
          <w:rFonts w:cs="Arial"/>
          <w:color w:val="000000" w:themeColor="text1"/>
          <w:highlight w:val="yellow"/>
          <w:lang w:val="fr-FR"/>
        </w:rPr>
      </w:pPr>
    </w:p>
    <w:p w14:paraId="025A772C" w14:textId="77777777" w:rsidR="00A9272F" w:rsidRDefault="00A9272F" w:rsidP="00693EE8">
      <w:pPr>
        <w:pStyle w:val="Firstnumbering"/>
        <w:numPr>
          <w:ilvl w:val="0"/>
          <w:numId w:val="0"/>
        </w:numPr>
        <w:sectPr w:rsidR="00A9272F" w:rsidSect="00101B1A">
          <w:headerReference w:type="even" r:id="rId18"/>
          <w:headerReference w:type="default" r:id="rId19"/>
          <w:footerReference w:type="even" r:id="rId20"/>
          <w:footerReference w:type="default" r:id="rId21"/>
          <w:headerReference w:type="first" r:id="rId22"/>
          <w:pgSz w:w="11906" w:h="16838" w:code="9"/>
          <w:pgMar w:top="1140" w:right="1140" w:bottom="1140" w:left="1140" w:header="720" w:footer="390" w:gutter="0"/>
          <w:cols w:space="720"/>
          <w:titlePg/>
          <w:docGrid w:linePitch="360"/>
        </w:sectPr>
      </w:pPr>
    </w:p>
    <w:p w14:paraId="23F11EF2" w14:textId="07C9FA3D" w:rsidR="00A9272F" w:rsidRPr="00A9272F" w:rsidRDefault="00A9272F" w:rsidP="00A9272F">
      <w:pPr>
        <w:suppressAutoHyphens/>
        <w:jc w:val="right"/>
        <w:rPr>
          <w:rFonts w:eastAsia="Times New Roman" w:cs="Arial"/>
          <w:b/>
          <w:bCs/>
          <w:color w:val="000000"/>
          <w:kern w:val="2"/>
          <w:u w:val="single"/>
          <w:lang w:val="fr-FR"/>
        </w:rPr>
      </w:pPr>
      <w:r w:rsidRPr="00A9272F">
        <w:rPr>
          <w:rFonts w:eastAsia="Times New Roman" w:cs="Arial"/>
          <w:b/>
          <w:bCs/>
          <w:color w:val="000000"/>
          <w:kern w:val="2"/>
          <w:lang w:val="fr-FR"/>
        </w:rPr>
        <w:lastRenderedPageBreak/>
        <w:t>ANNEX</w:t>
      </w:r>
      <w:r w:rsidRPr="00A9272F">
        <w:rPr>
          <w:rFonts w:eastAsia="Times New Roman" w:cs="Arial"/>
          <w:b/>
          <w:bCs/>
          <w:color w:val="000000"/>
          <w:kern w:val="2"/>
          <w:lang w:val="fr-FR"/>
        </w:rPr>
        <w:t>E</w:t>
      </w:r>
    </w:p>
    <w:p w14:paraId="743CF451" w14:textId="77777777" w:rsidR="00A9272F" w:rsidRPr="00A9272F" w:rsidRDefault="00A9272F" w:rsidP="00A9272F">
      <w:pPr>
        <w:suppressAutoHyphens/>
        <w:rPr>
          <w:rFonts w:eastAsia="Times New Roman" w:cs="Arial"/>
          <w:b/>
          <w:bCs/>
          <w:color w:val="000000"/>
          <w:kern w:val="2"/>
          <w:u w:val="single"/>
          <w:lang w:val="fr-FR"/>
        </w:rPr>
      </w:pPr>
    </w:p>
    <w:p w14:paraId="6175AF6D" w14:textId="77777777" w:rsidR="00A9272F" w:rsidRPr="00A9272F" w:rsidRDefault="00A9272F" w:rsidP="00A9272F">
      <w:pPr>
        <w:suppressAutoHyphens/>
        <w:rPr>
          <w:rFonts w:eastAsia="Times New Roman" w:cs="Arial"/>
          <w:color w:val="000000"/>
          <w:kern w:val="2"/>
          <w:lang w:val="fr-FR"/>
        </w:rPr>
      </w:pPr>
    </w:p>
    <w:p w14:paraId="42F78C9A" w14:textId="034B4C5A" w:rsidR="00A9272F" w:rsidRPr="00A9272F" w:rsidRDefault="00A9272F" w:rsidP="00A9272F">
      <w:pPr>
        <w:suppressAutoHyphens/>
        <w:rPr>
          <w:rFonts w:eastAsia="Times New Roman" w:cs="Arial"/>
          <w:b/>
          <w:bCs/>
          <w:color w:val="000000"/>
          <w:kern w:val="2"/>
          <w:u w:val="single"/>
          <w:lang w:val="fr-FR"/>
        </w:rPr>
      </w:pPr>
      <w:r w:rsidRPr="00A9272F">
        <w:rPr>
          <w:rFonts w:eastAsia="Times New Roman" w:cs="Arial"/>
          <w:i/>
          <w:iCs/>
          <w:color w:val="000000"/>
          <w:kern w:val="2"/>
          <w:lang w:val="fr-FR"/>
        </w:rPr>
        <w:t>Veuillez cliquer sur le lien en libre accès ci-dessous pour accéder à l'article complet</w:t>
      </w:r>
      <w:r>
        <w:rPr>
          <w:rFonts w:eastAsia="Times New Roman" w:cs="Arial"/>
          <w:i/>
          <w:iCs/>
          <w:color w:val="000000"/>
          <w:kern w:val="2"/>
          <w:lang w:val="fr-FR"/>
        </w:rPr>
        <w:t> :</w:t>
      </w:r>
    </w:p>
    <w:p w14:paraId="2DD9B867" w14:textId="77777777" w:rsidR="00A9272F" w:rsidRPr="00A9272F" w:rsidRDefault="00A9272F" w:rsidP="00A9272F">
      <w:pPr>
        <w:suppressAutoHyphens/>
        <w:rPr>
          <w:rFonts w:cs="Arial"/>
          <w:lang w:val="fr-FR"/>
        </w:rPr>
      </w:pPr>
      <w:hyperlink r:id="rId23" w:history="1">
        <w:r w:rsidRPr="00A9272F">
          <w:rPr>
            <w:rStyle w:val="Hyperlink"/>
            <w:rFonts w:cs="Arial"/>
            <w:lang w:val="fr-FR"/>
          </w:rPr>
          <w:t>https://onlinelibrary.wiley.com/doi/full/10.1111/aec.13278</w:t>
        </w:r>
      </w:hyperlink>
    </w:p>
    <w:p w14:paraId="148413B3" w14:textId="77777777" w:rsidR="00A9272F" w:rsidRPr="00A9272F" w:rsidRDefault="00A9272F" w:rsidP="00A9272F">
      <w:pPr>
        <w:suppressAutoHyphens/>
        <w:rPr>
          <w:rFonts w:cs="Arial"/>
          <w:lang w:val="fr-FR"/>
        </w:rPr>
      </w:pPr>
    </w:p>
    <w:p w14:paraId="3A2873F4" w14:textId="77777777" w:rsidR="00A9272F" w:rsidRPr="00A9272F" w:rsidRDefault="00A9272F" w:rsidP="00693EE8">
      <w:pPr>
        <w:pStyle w:val="Firstnumbering"/>
        <w:numPr>
          <w:ilvl w:val="0"/>
          <w:numId w:val="0"/>
        </w:numPr>
      </w:pPr>
    </w:p>
    <w:sectPr w:rsidR="00A9272F" w:rsidRPr="00A9272F" w:rsidSect="00101B1A">
      <w:headerReference w:type="first" r:id="rId24"/>
      <w:pgSz w:w="11906" w:h="16838" w:code="9"/>
      <w:pgMar w:top="1140" w:right="1140" w:bottom="1140" w:left="114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73280" w14:textId="77777777" w:rsidR="004C5081" w:rsidRDefault="004C5081" w:rsidP="008562CA">
      <w:r>
        <w:separator/>
      </w:r>
    </w:p>
  </w:endnote>
  <w:endnote w:type="continuationSeparator" w:id="0">
    <w:p w14:paraId="452B0DC3" w14:textId="77777777" w:rsidR="004C5081" w:rsidRDefault="004C5081"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98498365"/>
      <w:docPartObj>
        <w:docPartGallery w:val="Page Numbers (Bottom of Page)"/>
        <w:docPartUnique/>
      </w:docPartObj>
    </w:sdtPr>
    <w:sdtEndPr>
      <w:rPr>
        <w:noProof/>
      </w:rPr>
    </w:sdtEndPr>
    <w:sdtContent>
      <w:p w14:paraId="473D98A1"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B87AA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250654989"/>
      <w:docPartObj>
        <w:docPartGallery w:val="Page Numbers (Bottom of Page)"/>
        <w:docPartUnique/>
      </w:docPartObj>
    </w:sdtPr>
    <w:sdtEndPr>
      <w:rPr>
        <w:noProof/>
      </w:rPr>
    </w:sdtEndPr>
    <w:sdtContent>
      <w:p w14:paraId="451613BD"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B87AAF">
          <w:rPr>
            <w:noProof/>
            <w:sz w:val="18"/>
            <w:szCs w:val="18"/>
          </w:rPr>
          <w:t>3</w:t>
        </w:r>
        <w:r w:rsidRPr="001F56E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2D999" w14:textId="77777777" w:rsidR="004C5081" w:rsidRDefault="004C5081" w:rsidP="008562CA">
      <w:r>
        <w:separator/>
      </w:r>
    </w:p>
  </w:footnote>
  <w:footnote w:type="continuationSeparator" w:id="0">
    <w:p w14:paraId="2EF08EBC" w14:textId="77777777" w:rsidR="004C5081" w:rsidRDefault="004C5081"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CB2C8" w14:textId="49896CBB" w:rsidR="00A80B97" w:rsidRPr="00A80B97" w:rsidRDefault="00A80B97" w:rsidP="00A80B97">
    <w:pPr>
      <w:pBdr>
        <w:bottom w:val="single" w:sz="4" w:space="1" w:color="auto"/>
      </w:pBdr>
      <w:rPr>
        <w:rFonts w:cs="Arial"/>
        <w:i/>
        <w:iCs/>
        <w:sz w:val="18"/>
        <w:szCs w:val="18"/>
        <w:lang w:val="fr-FR"/>
      </w:rPr>
    </w:pPr>
    <w:r w:rsidRPr="00A80B97">
      <w:rPr>
        <w:rFonts w:cs="Arial"/>
        <w:i/>
        <w:iCs/>
        <w:sz w:val="18"/>
        <w:szCs w:val="18"/>
        <w:lang w:val="fr-FR"/>
      </w:rPr>
      <w:t>UNEP/CMS/ScC-SC</w:t>
    </w:r>
    <w:r w:rsidR="004007D4">
      <w:rPr>
        <w:rFonts w:cs="Arial"/>
        <w:i/>
        <w:iCs/>
        <w:sz w:val="18"/>
        <w:szCs w:val="18"/>
        <w:lang w:val="fr-FR"/>
      </w:rPr>
      <w:t>6</w:t>
    </w:r>
    <w:r w:rsidRPr="00A80B97">
      <w:rPr>
        <w:rFonts w:cs="Arial"/>
        <w:i/>
        <w:iCs/>
        <w:sz w:val="18"/>
        <w:szCs w:val="18"/>
        <w:lang w:val="fr-FR"/>
      </w:rPr>
      <w:t>/Doc.</w:t>
    </w:r>
    <w:r w:rsidR="00A9272F">
      <w:rPr>
        <w:rFonts w:cs="Arial"/>
        <w:i/>
        <w:iCs/>
        <w:sz w:val="18"/>
        <w:szCs w:val="18"/>
        <w:lang w:val="fr-FR"/>
      </w:rPr>
      <w:t>12.3.2.2</w:t>
    </w:r>
  </w:p>
  <w:p w14:paraId="147C998D" w14:textId="77777777" w:rsidR="00A80B97" w:rsidRDefault="00A80B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A0040" w14:textId="4CE96894" w:rsidR="00A80B97" w:rsidRPr="00A80B97" w:rsidRDefault="00A80B97" w:rsidP="00A80B97">
    <w:pPr>
      <w:pBdr>
        <w:bottom w:val="single" w:sz="4" w:space="1" w:color="auto"/>
      </w:pBdr>
      <w:jc w:val="right"/>
      <w:rPr>
        <w:rFonts w:cs="Arial"/>
        <w:i/>
        <w:iCs/>
        <w:sz w:val="18"/>
        <w:szCs w:val="18"/>
        <w:lang w:val="fr-FR"/>
      </w:rPr>
    </w:pPr>
    <w:r w:rsidRPr="00A80B97">
      <w:rPr>
        <w:rFonts w:cs="Arial"/>
        <w:i/>
        <w:iCs/>
        <w:sz w:val="18"/>
        <w:szCs w:val="18"/>
        <w:lang w:val="fr-FR"/>
      </w:rPr>
      <w:t>UNEP/CMS/ScC-SC</w:t>
    </w:r>
    <w:r w:rsidR="004007D4">
      <w:rPr>
        <w:rFonts w:cs="Arial"/>
        <w:i/>
        <w:iCs/>
        <w:sz w:val="18"/>
        <w:szCs w:val="18"/>
        <w:lang w:val="fr-FR"/>
      </w:rPr>
      <w:t>6</w:t>
    </w:r>
    <w:r w:rsidRPr="00A80B97">
      <w:rPr>
        <w:rFonts w:cs="Arial"/>
        <w:i/>
        <w:iCs/>
        <w:sz w:val="18"/>
        <w:szCs w:val="18"/>
        <w:lang w:val="fr-FR"/>
      </w:rPr>
      <w:t>/Doc.</w:t>
    </w:r>
    <w:r w:rsidR="00A9272F">
      <w:rPr>
        <w:rFonts w:cs="Arial"/>
        <w:i/>
        <w:iCs/>
        <w:sz w:val="18"/>
        <w:szCs w:val="18"/>
        <w:lang w:val="fr-FR"/>
      </w:rPr>
      <w:t>12.3.2.2</w:t>
    </w:r>
  </w:p>
  <w:p w14:paraId="01494C2A" w14:textId="77777777" w:rsidR="00A80B97" w:rsidRDefault="00A80B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14CF" w14:textId="77777777" w:rsidR="00EB2EEE" w:rsidRDefault="00257D22" w:rsidP="00EB2EEE">
    <w:pPr>
      <w:pStyle w:val="Header"/>
    </w:pPr>
    <w:r>
      <w:rPr>
        <w:noProof/>
      </w:rPr>
      <w:drawing>
        <wp:anchor distT="0" distB="0" distL="114300" distR="114300" simplePos="0" relativeHeight="251661312" behindDoc="0" locked="0" layoutInCell="1" allowOverlap="1" wp14:anchorId="232745B0" wp14:editId="4D97A12D">
          <wp:simplePos x="0" y="0"/>
          <wp:positionH relativeFrom="column">
            <wp:posOffset>-548005</wp:posOffset>
          </wp:positionH>
          <wp:positionV relativeFrom="paragraph">
            <wp:posOffset>-542290</wp:posOffset>
          </wp:positionV>
          <wp:extent cx="1409700" cy="1409700"/>
          <wp:effectExtent l="0" t="0" r="0" b="0"/>
          <wp:wrapNone/>
          <wp:docPr id="1915600900" name="Picture 1915600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89EBFE7" wp14:editId="5D34DF1A">
          <wp:simplePos x="0" y="0"/>
          <wp:positionH relativeFrom="column">
            <wp:posOffset>5800725</wp:posOffset>
          </wp:positionH>
          <wp:positionV relativeFrom="paragraph">
            <wp:posOffset>-333375</wp:posOffset>
          </wp:positionV>
          <wp:extent cx="585470" cy="822325"/>
          <wp:effectExtent l="0" t="0" r="5080" b="0"/>
          <wp:wrapNone/>
          <wp:docPr id="407919513" name="Picture 407919513"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ms_logo-for_letterhead_black"/>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5470"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mc:AlternateContent>
        <mc:Choice Requires="wps">
          <w:drawing>
            <wp:anchor distT="0" distB="0" distL="114300" distR="114300" simplePos="0" relativeHeight="251660288" behindDoc="0" locked="0" layoutInCell="1" allowOverlap="1" wp14:anchorId="505FCEA6" wp14:editId="068786DB">
              <wp:simplePos x="0" y="0"/>
              <wp:positionH relativeFrom="column">
                <wp:posOffset>1019175</wp:posOffset>
              </wp:positionH>
              <wp:positionV relativeFrom="paragraph">
                <wp:posOffset>-19050</wp:posOffset>
              </wp:positionV>
              <wp:extent cx="4583430" cy="558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84D3D27" w14:textId="77777777" w:rsidR="00EB2EEE" w:rsidRPr="00C64B0F" w:rsidRDefault="00EB2EEE" w:rsidP="00EB2EEE">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wps:txbx>
                    <wps:bodyPr rot="0" vert="horz" wrap="square" lIns="91440" tIns="45720" rIns="91440" bIns="45720" anchor="t" anchorCtr="0" upright="1">
                      <a:spAutoFit/>
                    </wps:bodyPr>
                  </wps:wsp>
                </a:graphicData>
              </a:graphic>
            </wp:anchor>
          </w:drawing>
        </mc:Choice>
        <mc:Fallback>
          <w:pict>
            <v:shapetype w14:anchorId="505FCEA6" id="_x0000_t202" coordsize="21600,21600" o:spt="202" path="m,l,21600r21600,l21600,xe">
              <v:stroke joinstyle="miter"/>
              <v:path gradientshapeok="t" o:connecttype="rect"/>
            </v:shapetype>
            <v:shape id="Text Box 2" o:spid="_x0000_s1027" type="#_x0000_t202" style="position:absolute;margin-left:80.25pt;margin-top:-1.5pt;width:360.9pt;height:4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uQ/3Pd0AAAAJAQAADwAAAGRycy9kb3ducmV2LnhtbEyPPU/DMBCGdyT+g3VI&#10;bK3dhlYhjVMhBOrCQqnE6sTXJKp9DrHbhn/PMcF2r+7R+1FuJ+/EBcfYB9KwmCsQSE2wPbUaDh+v&#10;sxxETIascYFQwzdG2Fa3N6UpbLjSO172qRVsQrEwGrqUhkLK2HToTZyHAYl/xzB6k1iOrbSjubK5&#10;d3Kp1Fp60xMndGbA5w6b0/7sNQwPn6k/HXb+LQvjy+Oudl/Z0Wl9fzc9bUAknNIfDL/1uTpU3KkO&#10;Z7JRONZrtWJUwyzjTQzk+TIDUfOxUiCrUv5fUP0AAAD//wMAUEsBAi0AFAAGAAgAAAAhALaDOJL+&#10;AAAA4QEAABMAAAAAAAAAAAAAAAAAAAAAAFtDb250ZW50X1R5cGVzXS54bWxQSwECLQAUAAYACAAA&#10;ACEAOP0h/9YAAACUAQAACwAAAAAAAAAAAAAAAAAvAQAAX3JlbHMvLnJlbHNQSwECLQAUAAYACAAA&#10;ACEARemuGN8BAAChAwAADgAAAAAAAAAAAAAAAAAuAgAAZHJzL2Uyb0RvYy54bWxQSwECLQAUAAYA&#10;CAAAACEAuQ/3Pd0AAAAJAQAADwAAAAAAAAAAAAAAAAA5BAAAZHJzL2Rvd25yZXYueG1sUEsFBgAA&#10;AAAEAAQA8wAAAEMFAAAAAA==&#10;" filled="f" stroked="f" strokeweight="0">
              <v:textbox style="mso-fit-shape-to-text:t">
                <w:txbxContent>
                  <w:p w14:paraId="184D3D27" w14:textId="77777777" w:rsidR="00EB2EEE" w:rsidRPr="00C64B0F" w:rsidRDefault="00EB2EEE" w:rsidP="00EB2EEE">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v:textbox>
            </v:shape>
          </w:pict>
        </mc:Fallback>
      </mc:AlternateContent>
    </w:r>
  </w:p>
  <w:p w14:paraId="2ED818D9" w14:textId="77777777" w:rsidR="001F56E8" w:rsidRPr="00EB2EEE" w:rsidRDefault="001F56E8" w:rsidP="00EB2E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00974" w14:textId="7D7CEF35" w:rsidR="00A9272F" w:rsidRPr="004641A5" w:rsidRDefault="00A9272F" w:rsidP="00A9272F">
    <w:pPr>
      <w:pBdr>
        <w:bottom w:val="single" w:sz="4" w:space="1" w:color="auto"/>
      </w:pBdr>
      <w:jc w:val="right"/>
      <w:rPr>
        <w:rFonts w:cs="Arial"/>
        <w:i/>
        <w:iCs/>
        <w:sz w:val="18"/>
        <w:szCs w:val="18"/>
        <w:lang w:val="en-GB"/>
      </w:rPr>
    </w:pPr>
    <w:r>
      <w:rPr>
        <w:rFonts w:cs="Arial"/>
        <w:i/>
        <w:iCs/>
        <w:sz w:val="18"/>
        <w:szCs w:val="18"/>
        <w:lang w:val="en-GB"/>
      </w:rPr>
      <w:t>UNEP/CMS/ScC-SC6/Doc.12.3.2.2/Annex</w:t>
    </w:r>
    <w:r>
      <w:rPr>
        <w:rFonts w:cs="Arial"/>
        <w:i/>
        <w:iCs/>
        <w:sz w:val="18"/>
        <w:szCs w:val="18"/>
        <w:lang w:val="en-GB"/>
      </w:rPr>
      <w:t>e</w:t>
    </w:r>
  </w:p>
  <w:p w14:paraId="27A6F2DD" w14:textId="77777777" w:rsidR="00A9272F" w:rsidRPr="00EB2EEE" w:rsidRDefault="00A9272F" w:rsidP="00EB2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C28CA"/>
    <w:multiLevelType w:val="hybridMultilevel"/>
    <w:tmpl w:val="8D98660A"/>
    <w:lvl w:ilvl="0" w:tplc="107CAEDA">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DF48E4"/>
    <w:multiLevelType w:val="hybridMultilevel"/>
    <w:tmpl w:val="B0449184"/>
    <w:lvl w:ilvl="0" w:tplc="1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3C5554FF"/>
    <w:multiLevelType w:val="hybridMultilevel"/>
    <w:tmpl w:val="75525DA2"/>
    <w:lvl w:ilvl="0" w:tplc="6980EF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CDF29BC"/>
    <w:multiLevelType w:val="hybridMultilevel"/>
    <w:tmpl w:val="4C024620"/>
    <w:lvl w:ilvl="0" w:tplc="A0A696BE">
      <w:start w:val="1"/>
      <w:numFmt w:val="decimal"/>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0A6AFD"/>
    <w:multiLevelType w:val="hybridMultilevel"/>
    <w:tmpl w:val="47B07C44"/>
    <w:lvl w:ilvl="0" w:tplc="200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2860731">
    <w:abstractNumId w:val="0"/>
  </w:num>
  <w:num w:numId="2" w16cid:durableId="1648780177">
    <w:abstractNumId w:val="3"/>
  </w:num>
  <w:num w:numId="3" w16cid:durableId="130438600">
    <w:abstractNumId w:val="2"/>
  </w:num>
  <w:num w:numId="4" w16cid:durableId="403644680">
    <w:abstractNumId w:val="1"/>
  </w:num>
  <w:num w:numId="5" w16cid:durableId="751002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34F7E"/>
    <w:rsid w:val="000C2262"/>
    <w:rsid w:val="000C3BE1"/>
    <w:rsid w:val="000E21C8"/>
    <w:rsid w:val="000F7EFA"/>
    <w:rsid w:val="00101B1A"/>
    <w:rsid w:val="00187427"/>
    <w:rsid w:val="001F56E8"/>
    <w:rsid w:val="00257D22"/>
    <w:rsid w:val="002D2D30"/>
    <w:rsid w:val="003118AA"/>
    <w:rsid w:val="003F719D"/>
    <w:rsid w:val="004007D4"/>
    <w:rsid w:val="004C5081"/>
    <w:rsid w:val="005A3B57"/>
    <w:rsid w:val="005E1A0D"/>
    <w:rsid w:val="006802BC"/>
    <w:rsid w:val="00693EE8"/>
    <w:rsid w:val="00763277"/>
    <w:rsid w:val="007E238D"/>
    <w:rsid w:val="007F110A"/>
    <w:rsid w:val="00814E23"/>
    <w:rsid w:val="00826588"/>
    <w:rsid w:val="00844F23"/>
    <w:rsid w:val="0084591C"/>
    <w:rsid w:val="008562CA"/>
    <w:rsid w:val="008A74F6"/>
    <w:rsid w:val="008D7252"/>
    <w:rsid w:val="00980D83"/>
    <w:rsid w:val="009A40F8"/>
    <w:rsid w:val="00A80B97"/>
    <w:rsid w:val="00A9272F"/>
    <w:rsid w:val="00AC383C"/>
    <w:rsid w:val="00B36C20"/>
    <w:rsid w:val="00B87AAF"/>
    <w:rsid w:val="00BB3F80"/>
    <w:rsid w:val="00BE7C6B"/>
    <w:rsid w:val="00C35641"/>
    <w:rsid w:val="00E35C94"/>
    <w:rsid w:val="00E87BC8"/>
    <w:rsid w:val="00E976CE"/>
    <w:rsid w:val="00EB2EEE"/>
    <w:rsid w:val="00F01E83"/>
    <w:rsid w:val="00F4206A"/>
    <w:rsid w:val="00FE1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52AD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customStyle="1" w:styleId="Firstnumbering">
    <w:name w:val="First numbering"/>
    <w:basedOn w:val="ListParagraph"/>
    <w:link w:val="FirstnumberingChar"/>
    <w:qFormat/>
    <w:rsid w:val="00A80B97"/>
    <w:pPr>
      <w:numPr>
        <w:numId w:val="1"/>
      </w:numPr>
      <w:ind w:left="567" w:hanging="567"/>
      <w:jc w:val="both"/>
    </w:pPr>
    <w:rPr>
      <w:rFonts w:eastAsia="Times New Roman" w:cs="Arial"/>
      <w:sz w:val="24"/>
      <w:szCs w:val="24"/>
      <w:lang w:val="fr-FR"/>
    </w:rPr>
  </w:style>
  <w:style w:type="character" w:customStyle="1" w:styleId="FirstnumberingChar">
    <w:name w:val="First numbering Char"/>
    <w:basedOn w:val="DefaultParagraphFont"/>
    <w:link w:val="Firstnumbering"/>
    <w:rsid w:val="00A80B97"/>
    <w:rPr>
      <w:rFonts w:ascii="Arial" w:eastAsia="Times New Roman" w:hAnsi="Arial" w:cs="Arial"/>
      <w:sz w:val="24"/>
      <w:szCs w:val="24"/>
      <w:lang w:val="fr-FR"/>
    </w:rPr>
  </w:style>
  <w:style w:type="paragraph" w:styleId="ListParagraph">
    <w:name w:val="List Paragraph"/>
    <w:basedOn w:val="Normal"/>
    <w:link w:val="ListParagraphChar"/>
    <w:uiPriority w:val="34"/>
    <w:qFormat/>
    <w:rsid w:val="00A80B97"/>
    <w:pPr>
      <w:ind w:left="720"/>
      <w:contextualSpacing/>
    </w:pPr>
  </w:style>
  <w:style w:type="paragraph" w:customStyle="1" w:styleId="paragraph">
    <w:name w:val="paragraph"/>
    <w:basedOn w:val="Normal"/>
    <w:rsid w:val="00814E23"/>
    <w:pPr>
      <w:spacing w:before="100" w:beforeAutospacing="1" w:after="100" w:afterAutospacing="1"/>
    </w:pPr>
    <w:rPr>
      <w:rFonts w:ascii="Times New Roman" w:eastAsia="Times New Roman" w:hAnsi="Times New Roman" w:cs="Times New Roman"/>
      <w:sz w:val="24"/>
      <w:szCs w:val="24"/>
      <w:lang w:val="en-DE" w:eastAsia="en-DE"/>
    </w:rPr>
  </w:style>
  <w:style w:type="character" w:customStyle="1" w:styleId="normaltextrun">
    <w:name w:val="normaltextrun"/>
    <w:basedOn w:val="DefaultParagraphFont"/>
    <w:rsid w:val="00814E23"/>
  </w:style>
  <w:style w:type="character" w:customStyle="1" w:styleId="eop">
    <w:name w:val="eop"/>
    <w:basedOn w:val="DefaultParagraphFont"/>
    <w:rsid w:val="00814E23"/>
  </w:style>
  <w:style w:type="paragraph" w:customStyle="1" w:styleId="Title1">
    <w:name w:val="Title1"/>
    <w:basedOn w:val="Normal"/>
    <w:link w:val="TITLEChar"/>
    <w:qFormat/>
    <w:rsid w:val="00A9272F"/>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pPr>
    <w:rPr>
      <w:rFonts w:eastAsia="Times New Roman" w:cs="Arial"/>
      <w:b/>
      <w:caps/>
      <w:lang w:val="en-GB"/>
    </w:rPr>
  </w:style>
  <w:style w:type="character" w:customStyle="1" w:styleId="TITLEChar">
    <w:name w:val="TITLE Char"/>
    <w:basedOn w:val="DefaultParagraphFont"/>
    <w:link w:val="Title1"/>
    <w:rsid w:val="00A9272F"/>
    <w:rPr>
      <w:rFonts w:ascii="Arial" w:eastAsia="Times New Roman" w:hAnsi="Arial" w:cs="Arial"/>
      <w:b/>
      <w:caps/>
      <w:lang w:val="en-GB"/>
    </w:rPr>
  </w:style>
  <w:style w:type="character" w:styleId="Hyperlink">
    <w:name w:val="Hyperlink"/>
    <w:rsid w:val="00A9272F"/>
    <w:rPr>
      <w:color w:val="0000FF"/>
      <w:u w:val="single"/>
    </w:rPr>
  </w:style>
  <w:style w:type="character" w:customStyle="1" w:styleId="ListParagraphChar">
    <w:name w:val="List Paragraph Char"/>
    <w:link w:val="ListParagraph"/>
    <w:uiPriority w:val="34"/>
    <w:locked/>
    <w:rsid w:val="00A9272F"/>
    <w:rPr>
      <w:rFonts w:ascii="Arial" w:hAnsi="Arial"/>
    </w:rPr>
  </w:style>
  <w:style w:type="paragraph" w:customStyle="1" w:styleId="Secondnumbering">
    <w:name w:val="Second numbering"/>
    <w:basedOn w:val="Normal"/>
    <w:link w:val="SecondnumberingChar"/>
    <w:qFormat/>
    <w:rsid w:val="00A9272F"/>
    <w:pPr>
      <w:numPr>
        <w:numId w:val="4"/>
      </w:numPr>
    </w:pPr>
    <w:rPr>
      <w:lang w:val="en-GB"/>
    </w:rPr>
  </w:style>
  <w:style w:type="character" w:customStyle="1" w:styleId="SecondnumberingChar">
    <w:name w:val="Second numbering Char"/>
    <w:basedOn w:val="DefaultParagraphFont"/>
    <w:link w:val="Secondnumbering"/>
    <w:rsid w:val="00A9272F"/>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954876">
      <w:bodyDiv w:val="1"/>
      <w:marLeft w:val="0"/>
      <w:marRight w:val="0"/>
      <w:marTop w:val="0"/>
      <w:marBottom w:val="0"/>
      <w:divBdr>
        <w:top w:val="none" w:sz="0" w:space="0" w:color="auto"/>
        <w:left w:val="none" w:sz="0" w:space="0" w:color="auto"/>
        <w:bottom w:val="none" w:sz="0" w:space="0" w:color="auto"/>
        <w:right w:val="none" w:sz="0" w:space="0" w:color="auto"/>
      </w:divBdr>
      <w:divsChild>
        <w:div w:id="1289320052">
          <w:marLeft w:val="0"/>
          <w:marRight w:val="0"/>
          <w:marTop w:val="0"/>
          <w:marBottom w:val="0"/>
          <w:divBdr>
            <w:top w:val="none" w:sz="0" w:space="0" w:color="auto"/>
            <w:left w:val="none" w:sz="0" w:space="0" w:color="auto"/>
            <w:bottom w:val="none" w:sz="0" w:space="0" w:color="auto"/>
            <w:right w:val="none" w:sz="0" w:space="0" w:color="auto"/>
          </w:divBdr>
        </w:div>
        <w:div w:id="1714691066">
          <w:marLeft w:val="0"/>
          <w:marRight w:val="0"/>
          <w:marTop w:val="0"/>
          <w:marBottom w:val="0"/>
          <w:divBdr>
            <w:top w:val="none" w:sz="0" w:space="0" w:color="auto"/>
            <w:left w:val="none" w:sz="0" w:space="0" w:color="auto"/>
            <w:bottom w:val="none" w:sz="0" w:space="0" w:color="auto"/>
            <w:right w:val="none" w:sz="0" w:space="0" w:color="auto"/>
          </w:divBdr>
        </w:div>
        <w:div w:id="1211069539">
          <w:marLeft w:val="0"/>
          <w:marRight w:val="0"/>
          <w:marTop w:val="0"/>
          <w:marBottom w:val="0"/>
          <w:divBdr>
            <w:top w:val="none" w:sz="0" w:space="0" w:color="auto"/>
            <w:left w:val="none" w:sz="0" w:space="0" w:color="auto"/>
            <w:bottom w:val="none" w:sz="0" w:space="0" w:color="auto"/>
            <w:right w:val="none" w:sz="0" w:space="0" w:color="auto"/>
          </w:divBdr>
        </w:div>
        <w:div w:id="871768035">
          <w:marLeft w:val="0"/>
          <w:marRight w:val="0"/>
          <w:marTop w:val="0"/>
          <w:marBottom w:val="0"/>
          <w:divBdr>
            <w:top w:val="none" w:sz="0" w:space="0" w:color="auto"/>
            <w:left w:val="none" w:sz="0" w:space="0" w:color="auto"/>
            <w:bottom w:val="none" w:sz="0" w:space="0" w:color="auto"/>
            <w:right w:val="none" w:sz="0" w:space="0" w:color="auto"/>
          </w:divBdr>
        </w:div>
        <w:div w:id="1776439382">
          <w:marLeft w:val="0"/>
          <w:marRight w:val="0"/>
          <w:marTop w:val="0"/>
          <w:marBottom w:val="0"/>
          <w:divBdr>
            <w:top w:val="none" w:sz="0" w:space="0" w:color="auto"/>
            <w:left w:val="none" w:sz="0" w:space="0" w:color="auto"/>
            <w:bottom w:val="none" w:sz="0" w:space="0" w:color="auto"/>
            <w:right w:val="none" w:sz="0" w:space="0" w:color="auto"/>
          </w:divBdr>
        </w:div>
        <w:div w:id="402529276">
          <w:marLeft w:val="0"/>
          <w:marRight w:val="0"/>
          <w:marTop w:val="0"/>
          <w:marBottom w:val="0"/>
          <w:divBdr>
            <w:top w:val="none" w:sz="0" w:space="0" w:color="auto"/>
            <w:left w:val="none" w:sz="0" w:space="0" w:color="auto"/>
            <w:bottom w:val="none" w:sz="0" w:space="0" w:color="auto"/>
            <w:right w:val="none" w:sz="0" w:space="0" w:color="auto"/>
          </w:divBdr>
        </w:div>
        <w:div w:id="679359180">
          <w:marLeft w:val="0"/>
          <w:marRight w:val="0"/>
          <w:marTop w:val="0"/>
          <w:marBottom w:val="0"/>
          <w:divBdr>
            <w:top w:val="none" w:sz="0" w:space="0" w:color="auto"/>
            <w:left w:val="none" w:sz="0" w:space="0" w:color="auto"/>
            <w:bottom w:val="none" w:sz="0" w:space="0" w:color="auto"/>
            <w:right w:val="none" w:sz="0" w:space="0" w:color="auto"/>
          </w:divBdr>
        </w:div>
        <w:div w:id="1491481272">
          <w:marLeft w:val="0"/>
          <w:marRight w:val="0"/>
          <w:marTop w:val="0"/>
          <w:marBottom w:val="0"/>
          <w:divBdr>
            <w:top w:val="none" w:sz="0" w:space="0" w:color="auto"/>
            <w:left w:val="none" w:sz="0" w:space="0" w:color="auto"/>
            <w:bottom w:val="none" w:sz="0" w:space="0" w:color="auto"/>
            <w:right w:val="none" w:sz="0" w:space="0" w:color="auto"/>
          </w:divBdr>
        </w:div>
        <w:div w:id="1548688831">
          <w:marLeft w:val="0"/>
          <w:marRight w:val="0"/>
          <w:marTop w:val="0"/>
          <w:marBottom w:val="0"/>
          <w:divBdr>
            <w:top w:val="none" w:sz="0" w:space="0" w:color="auto"/>
            <w:left w:val="none" w:sz="0" w:space="0" w:color="auto"/>
            <w:bottom w:val="none" w:sz="0" w:space="0" w:color="auto"/>
            <w:right w:val="none" w:sz="0" w:space="0" w:color="auto"/>
          </w:divBdr>
        </w:div>
        <w:div w:id="799301440">
          <w:marLeft w:val="0"/>
          <w:marRight w:val="0"/>
          <w:marTop w:val="0"/>
          <w:marBottom w:val="0"/>
          <w:divBdr>
            <w:top w:val="none" w:sz="0" w:space="0" w:color="auto"/>
            <w:left w:val="none" w:sz="0" w:space="0" w:color="auto"/>
            <w:bottom w:val="none" w:sz="0" w:space="0" w:color="auto"/>
            <w:right w:val="none" w:sz="0" w:space="0" w:color="auto"/>
          </w:divBdr>
        </w:div>
        <w:div w:id="1215586260">
          <w:marLeft w:val="0"/>
          <w:marRight w:val="0"/>
          <w:marTop w:val="0"/>
          <w:marBottom w:val="0"/>
          <w:divBdr>
            <w:top w:val="none" w:sz="0" w:space="0" w:color="auto"/>
            <w:left w:val="none" w:sz="0" w:space="0" w:color="auto"/>
            <w:bottom w:val="none" w:sz="0" w:space="0" w:color="auto"/>
            <w:right w:val="none" w:sz="0" w:space="0" w:color="auto"/>
          </w:divBdr>
        </w:div>
        <w:div w:id="1690793446">
          <w:marLeft w:val="0"/>
          <w:marRight w:val="0"/>
          <w:marTop w:val="0"/>
          <w:marBottom w:val="0"/>
          <w:divBdr>
            <w:top w:val="none" w:sz="0" w:space="0" w:color="auto"/>
            <w:left w:val="none" w:sz="0" w:space="0" w:color="auto"/>
            <w:bottom w:val="none" w:sz="0" w:space="0" w:color="auto"/>
            <w:right w:val="none" w:sz="0" w:space="0" w:color="auto"/>
          </w:divBdr>
        </w:div>
        <w:div w:id="739131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nlinelibrary.wiley.com/doi/full/10.1111/aec.13278"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legislation.gov.au/Details/F2022L01736" TargetMode="External"/><Relationship Id="rId17" Type="http://schemas.openxmlformats.org/officeDocument/2006/relationships/hyperlink" Target="https://doi.org/10.1111/aec.1327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opsema.gov.au/sites/default/files/documents/NOPSEMA%20Research%20Strategy%202023-2025.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au/Details/F2022L01422" TargetMode="External"/><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hyperlink" Target="https://www.dcceew.gov.au/energy/renewable/establishing-offshore-infrastructure/gippsland" TargetMode="External"/><Relationship Id="rId23" Type="http://schemas.openxmlformats.org/officeDocument/2006/relationships/hyperlink" Target="https://onlinelibrary.wiley.com/doi/full/10.1111/aec.13278" TargetMode="External"/><Relationship Id="rId10" Type="http://schemas.openxmlformats.org/officeDocument/2006/relationships/hyperlink" Target="https://www.legislation.gov.au/Details/C2022C00346"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au/Series/C2004A00485"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87975D-037B-4C99-9858-76A24537E1A2}">
  <ds:schemaRefs>
    <ds:schemaRef ds:uri="http://purl.org/dc/terms/"/>
    <ds:schemaRef ds:uri="http://purl.org/dc/elements/1.1/"/>
    <ds:schemaRef ds:uri="http://schemas.microsoft.com/office/2006/documentManagement/types"/>
    <ds:schemaRef ds:uri="a7b50396-0b06-45c1-b28e-46f86d566a10"/>
    <ds:schemaRef ds:uri="http://purl.org/dc/dcmitype/"/>
    <ds:schemaRef ds:uri="http://www.w3.org/XML/1998/namespace"/>
    <ds:schemaRef ds:uri="http://schemas.microsoft.com/office/infopath/2007/PartnerControls"/>
    <ds:schemaRef ds:uri="http://schemas.openxmlformats.org/package/2006/metadata/core-properties"/>
    <ds:schemaRef ds:uri="c15478a5-0be8-4f5d-8383-b307d5ba8bf6"/>
    <ds:schemaRef ds:uri="985ec44e-1bab-4c0b-9df0-6ba128686fc9"/>
    <ds:schemaRef ds:uri="http://schemas.microsoft.com/office/2006/metadata/properties"/>
  </ds:schemaRefs>
</ds:datastoreItem>
</file>

<file path=customXml/itemProps2.xml><?xml version="1.0" encoding="utf-8"?>
<ds:datastoreItem xmlns:ds="http://schemas.openxmlformats.org/officeDocument/2006/customXml" ds:itemID="{4FD26ADA-CAC2-45E6-B431-B7CC7A264769}">
  <ds:schemaRefs>
    <ds:schemaRef ds:uri="http://schemas.microsoft.com/sharepoint/v3/contenttype/forms"/>
  </ds:schemaRefs>
</ds:datastoreItem>
</file>

<file path=customXml/itemProps3.xml><?xml version="1.0" encoding="utf-8"?>
<ds:datastoreItem xmlns:ds="http://schemas.openxmlformats.org/officeDocument/2006/customXml" ds:itemID="{2EA37CD5-985A-417F-9215-E12F0143A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1392</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Catherine Brueckner</cp:lastModifiedBy>
  <cp:revision>3</cp:revision>
  <dcterms:created xsi:type="dcterms:W3CDTF">2023-07-07T08:04:00Z</dcterms:created>
  <dcterms:modified xsi:type="dcterms:W3CDTF">2023-07-07T08:13:00Z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