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3A2D3" w14:textId="77777777" w:rsidR="004C23E6" w:rsidRPr="00C51531" w:rsidRDefault="004C23E6">
      <w:pPr>
        <w:rPr>
          <w:rFonts w:cs="Arial"/>
        </w:rPr>
      </w:pPr>
    </w:p>
    <w:p w14:paraId="0E9A6CB9" w14:textId="783549CF" w:rsidR="009A012D" w:rsidRDefault="009A012D">
      <w:pPr>
        <w:rPr>
          <w:rFonts w:cs="Arial"/>
          <w:noProof/>
          <w:spacing w:val="-2"/>
          <w:lang w:eastAsia="en-GB"/>
        </w:rPr>
      </w:pPr>
    </w:p>
    <w:p w14:paraId="2F5D769F" w14:textId="2F9C854F" w:rsidR="005D00EE" w:rsidRDefault="005D00EE">
      <w:pPr>
        <w:rPr>
          <w:rFonts w:cs="Arial"/>
          <w:noProof/>
          <w:spacing w:val="-2"/>
          <w:lang w:eastAsia="en-GB"/>
        </w:rPr>
      </w:pPr>
    </w:p>
    <w:p w14:paraId="1273B198" w14:textId="042B53AE" w:rsidR="004641A5" w:rsidRDefault="00DB4110" w:rsidP="004641A5">
      <w:pPr>
        <w:tabs>
          <w:tab w:val="left" w:pos="-1057"/>
          <w:tab w:val="left" w:pos="-720"/>
        </w:tabs>
        <w:jc w:val="center"/>
      </w:pPr>
      <w:r>
        <w:rPr>
          <w:rFonts w:cs="Arial"/>
          <w:b/>
          <w:sz w:val="28"/>
          <w:szCs w:val="28"/>
          <w:lang w:val="en-GB"/>
        </w:rPr>
        <w:t>6</w:t>
      </w:r>
      <w:r w:rsidR="004641A5">
        <w:rPr>
          <w:rFonts w:cs="Arial"/>
          <w:b/>
          <w:sz w:val="28"/>
          <w:szCs w:val="28"/>
          <w:vertAlign w:val="superscript"/>
          <w:lang w:val="en-GB"/>
        </w:rPr>
        <w:t>th</w:t>
      </w:r>
      <w:r w:rsidR="004641A5">
        <w:rPr>
          <w:rFonts w:cs="Arial"/>
          <w:b/>
          <w:sz w:val="28"/>
          <w:szCs w:val="28"/>
          <w:lang w:val="en-GB"/>
        </w:rPr>
        <w:t xml:space="preserve"> Meeting of the Sessional Committee of the </w:t>
      </w:r>
    </w:p>
    <w:p w14:paraId="7B70D4A7" w14:textId="6A9E5714" w:rsidR="004641A5" w:rsidRDefault="004641A5" w:rsidP="004641A5">
      <w:pPr>
        <w:tabs>
          <w:tab w:val="left" w:pos="-1057"/>
          <w:tab w:val="left" w:pos="-720"/>
        </w:tabs>
        <w:spacing w:after="120"/>
        <w:ind w:left="-86"/>
        <w:jc w:val="center"/>
        <w:rPr>
          <w:rFonts w:cs="Arial"/>
          <w:b/>
          <w:sz w:val="28"/>
          <w:szCs w:val="28"/>
          <w:lang w:val="en-GB"/>
        </w:rPr>
      </w:pPr>
      <w:r>
        <w:rPr>
          <w:rFonts w:cs="Arial"/>
          <w:b/>
          <w:sz w:val="28"/>
          <w:szCs w:val="28"/>
          <w:lang w:val="en-GB"/>
        </w:rPr>
        <w:t>CMS Scientific Council (ScC-SC</w:t>
      </w:r>
      <w:r w:rsidR="00DB4110">
        <w:rPr>
          <w:rFonts w:cs="Arial"/>
          <w:b/>
          <w:sz w:val="28"/>
          <w:szCs w:val="28"/>
          <w:lang w:val="en-GB"/>
        </w:rPr>
        <w:t>6</w:t>
      </w:r>
      <w:r>
        <w:rPr>
          <w:rFonts w:cs="Arial"/>
          <w:b/>
          <w:sz w:val="28"/>
          <w:szCs w:val="28"/>
          <w:lang w:val="en-GB"/>
        </w:rPr>
        <w:t>)</w:t>
      </w:r>
    </w:p>
    <w:p w14:paraId="329B12F7" w14:textId="4FB48060" w:rsidR="004641A5" w:rsidRDefault="00DB4110" w:rsidP="004641A5">
      <w:pPr>
        <w:pBdr>
          <w:bottom w:val="single" w:sz="4" w:space="1" w:color="000000"/>
        </w:pBdr>
        <w:overflowPunct w:val="0"/>
        <w:jc w:val="center"/>
        <w:outlineLvl w:val="0"/>
        <w:rPr>
          <w:rFonts w:cs="Arial"/>
          <w:bCs/>
          <w:i/>
          <w:spacing w:val="-4"/>
          <w:lang w:val="en-GB"/>
        </w:rPr>
      </w:pPr>
      <w:r>
        <w:rPr>
          <w:rFonts w:cs="Arial"/>
          <w:bCs/>
          <w:i/>
          <w:spacing w:val="-4"/>
          <w:lang w:val="en-GB"/>
        </w:rPr>
        <w:t xml:space="preserve">Bonn, Germany, </w:t>
      </w:r>
      <w:r w:rsidR="005872F6">
        <w:rPr>
          <w:rFonts w:cs="Arial"/>
          <w:bCs/>
          <w:i/>
          <w:spacing w:val="-4"/>
          <w:lang w:val="en-GB"/>
        </w:rPr>
        <w:t>18 – 21 July 2023</w:t>
      </w:r>
    </w:p>
    <w:p w14:paraId="05AF4508" w14:textId="6CDFA758" w:rsidR="004641A5" w:rsidRDefault="004641A5" w:rsidP="00D6324F">
      <w:pPr>
        <w:spacing w:before="120"/>
        <w:jc w:val="right"/>
        <w:rPr>
          <w:rFonts w:cs="Arial"/>
          <w:lang w:val="en-GB"/>
        </w:rPr>
      </w:pPr>
      <w:r>
        <w:rPr>
          <w:rFonts w:cs="Arial"/>
          <w:lang w:val="en-GB"/>
        </w:rPr>
        <w:t>UNEP/CMS/ScC-SC</w:t>
      </w:r>
      <w:r w:rsidR="005872F6">
        <w:rPr>
          <w:rFonts w:cs="Arial"/>
          <w:lang w:val="en-GB"/>
        </w:rPr>
        <w:t>6</w:t>
      </w:r>
      <w:r>
        <w:rPr>
          <w:rFonts w:cs="Arial"/>
          <w:lang w:val="en-GB"/>
        </w:rPr>
        <w:t>/Doc.</w:t>
      </w:r>
      <w:r w:rsidR="005E1A40">
        <w:rPr>
          <w:rFonts w:cs="Arial"/>
          <w:lang w:val="en-GB"/>
        </w:rPr>
        <w:t>12.3.2.2</w:t>
      </w:r>
    </w:p>
    <w:p w14:paraId="2FF7E9C0" w14:textId="77777777" w:rsidR="004641A5" w:rsidRDefault="004641A5" w:rsidP="004641A5">
      <w:pPr>
        <w:rPr>
          <w:rFonts w:cs="Arial"/>
          <w:lang w:val="en-GB"/>
        </w:rPr>
      </w:pPr>
    </w:p>
    <w:p w14:paraId="2AA9F70B" w14:textId="77777777" w:rsidR="004641A5" w:rsidRDefault="004641A5" w:rsidP="004641A5">
      <w:pPr>
        <w:tabs>
          <w:tab w:val="left" w:pos="6285"/>
        </w:tabs>
        <w:jc w:val="both"/>
        <w:rPr>
          <w:rFonts w:cs="Arial"/>
          <w:lang w:val="en-GB"/>
        </w:rPr>
      </w:pPr>
    </w:p>
    <w:p w14:paraId="61978358" w14:textId="77777777" w:rsidR="00903CEB" w:rsidRDefault="00903CEB" w:rsidP="00903CEB">
      <w:pPr>
        <w:pStyle w:val="Title1"/>
      </w:pPr>
      <w:r>
        <w:t xml:space="preserve">Ecological risk assessment for the impacts of offshore wind farms </w:t>
      </w:r>
    </w:p>
    <w:p w14:paraId="3E180109" w14:textId="289119CD" w:rsidR="00903CEB" w:rsidRPr="002E0DE9" w:rsidRDefault="00903CEB" w:rsidP="00B7690E">
      <w:pPr>
        <w:pStyle w:val="Title1"/>
        <w:spacing w:after="120"/>
      </w:pPr>
      <w:r>
        <w:t>on birds in australia</w:t>
      </w:r>
    </w:p>
    <w:p w14:paraId="571977F1" w14:textId="214EEF99" w:rsidR="004641A5" w:rsidRPr="00E6128E" w:rsidRDefault="004641A5" w:rsidP="004641A5">
      <w:pPr>
        <w:jc w:val="center"/>
        <w:rPr>
          <w:rFonts w:cs="Arial"/>
          <w:i/>
        </w:rPr>
      </w:pPr>
      <w:r w:rsidRPr="00BE2FF6">
        <w:rPr>
          <w:rFonts w:cs="Arial"/>
          <w:i/>
        </w:rPr>
        <w:t xml:space="preserve">(Prepared by </w:t>
      </w:r>
      <w:r w:rsidR="00F726EB">
        <w:rPr>
          <w:rFonts w:cs="Arial"/>
          <w:i/>
        </w:rPr>
        <w:t xml:space="preserve">the Government of </w:t>
      </w:r>
      <w:r w:rsidR="00445D56">
        <w:rPr>
          <w:rFonts w:cs="Arial"/>
          <w:i/>
        </w:rPr>
        <w:t>Australia</w:t>
      </w:r>
      <w:r w:rsidRPr="00BE2FF6">
        <w:rPr>
          <w:rFonts w:cs="Arial"/>
          <w:i/>
        </w:rPr>
        <w:t>)</w:t>
      </w:r>
    </w:p>
    <w:p w14:paraId="071B4C18" w14:textId="77777777" w:rsidR="004641A5" w:rsidRDefault="004641A5" w:rsidP="004641A5">
      <w:pPr>
        <w:jc w:val="both"/>
        <w:rPr>
          <w:rFonts w:cs="Arial"/>
          <w:lang w:val="en-GB"/>
        </w:rPr>
      </w:pPr>
    </w:p>
    <w:p w14:paraId="3D42EBA4" w14:textId="77777777" w:rsidR="004641A5" w:rsidRDefault="004641A5" w:rsidP="004641A5">
      <w:pPr>
        <w:jc w:val="both"/>
        <w:rPr>
          <w:rFonts w:cs="Arial"/>
          <w:lang w:val="en-GB"/>
        </w:rPr>
      </w:pPr>
    </w:p>
    <w:p w14:paraId="4B56D1E3" w14:textId="66DA7F1C" w:rsidR="004641A5" w:rsidRDefault="004641A5" w:rsidP="004641A5">
      <w:pPr>
        <w:jc w:val="both"/>
        <w:rPr>
          <w:rFonts w:cs="Arial"/>
          <w:lang w:val="en-GB"/>
        </w:rPr>
      </w:pPr>
    </w:p>
    <w:p w14:paraId="5CBECD1A" w14:textId="77777777" w:rsidR="004641A5" w:rsidRDefault="004641A5" w:rsidP="004641A5">
      <w:pPr>
        <w:jc w:val="both"/>
        <w:rPr>
          <w:rFonts w:cs="Arial"/>
          <w:lang w:val="en-GB"/>
        </w:rPr>
      </w:pPr>
    </w:p>
    <w:p w14:paraId="1ECF3DE8" w14:textId="674B3AFF" w:rsidR="004641A5" w:rsidRDefault="007D06CA" w:rsidP="004641A5">
      <w:pPr>
        <w:jc w:val="both"/>
        <w:rPr>
          <w:rFonts w:cs="Arial"/>
          <w:lang w:val="en-GB"/>
        </w:rPr>
      </w:pPr>
      <w:r w:rsidRPr="005E0EDA">
        <w:rPr>
          <w:rFonts w:cs="Arial"/>
          <w:noProof/>
        </w:rPr>
        <mc:AlternateContent>
          <mc:Choice Requires="wps">
            <w:drawing>
              <wp:anchor distT="0" distB="0" distL="114300" distR="114300" simplePos="0" relativeHeight="251658240" behindDoc="1" locked="0" layoutInCell="1" allowOverlap="1" wp14:anchorId="5B5E0122" wp14:editId="17DE852F">
                <wp:simplePos x="0" y="0"/>
                <wp:positionH relativeFrom="margin">
                  <wp:posOffset>899160</wp:posOffset>
                </wp:positionH>
                <wp:positionV relativeFrom="margin">
                  <wp:posOffset>2910840</wp:posOffset>
                </wp:positionV>
                <wp:extent cx="4305300" cy="375285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3752850"/>
                        </a:xfrm>
                        <a:prstGeom prst="rect">
                          <a:avLst/>
                        </a:prstGeom>
                        <a:solidFill>
                          <a:srgbClr val="FFFFFF"/>
                        </a:solidFill>
                        <a:ln w="3175">
                          <a:solidFill>
                            <a:srgbClr val="000000"/>
                          </a:solidFill>
                          <a:miter lim="800000"/>
                          <a:headEnd/>
                          <a:tailEnd/>
                        </a:ln>
                      </wps:spPr>
                      <wps:txbx>
                        <w:txbxContent>
                          <w:p w14:paraId="6B837279" w14:textId="77777777" w:rsidR="004641A5" w:rsidRDefault="004641A5" w:rsidP="004641A5">
                            <w:pPr>
                              <w:rPr>
                                <w:rFonts w:cs="Arial"/>
                              </w:rPr>
                            </w:pPr>
                            <w:r>
                              <w:rPr>
                                <w:rFonts w:cs="Arial"/>
                              </w:rPr>
                              <w:t>Summary:</w:t>
                            </w:r>
                          </w:p>
                          <w:p w14:paraId="2CCB8EDC" w14:textId="77777777" w:rsidR="004641A5" w:rsidRPr="005E0EDA" w:rsidRDefault="004641A5" w:rsidP="004641A5">
                            <w:pPr>
                              <w:rPr>
                                <w:rFonts w:cs="Arial"/>
                              </w:rPr>
                            </w:pPr>
                          </w:p>
                          <w:p w14:paraId="1B688020" w14:textId="77777777" w:rsidR="00F726EB" w:rsidRDefault="00FF0D2B" w:rsidP="005E1A40">
                            <w:pPr>
                              <w:jc w:val="both"/>
                              <w:rPr>
                                <w:rFonts w:cs="Arial"/>
                              </w:rPr>
                            </w:pPr>
                            <w:r w:rsidRPr="008D0D6A">
                              <w:rPr>
                                <w:rFonts w:cs="Arial"/>
                                <w:sz w:val="21"/>
                                <w:szCs w:val="21"/>
                              </w:rPr>
                              <w:t xml:space="preserve">The Australian Government has established </w:t>
                            </w:r>
                            <w:r w:rsidR="001A2509" w:rsidRPr="008D0D6A">
                              <w:rPr>
                                <w:rFonts w:cs="Arial"/>
                              </w:rPr>
                              <w:t xml:space="preserve">domestic arrangements to develop offshore wind farms as part of </w:t>
                            </w:r>
                            <w:r w:rsidR="00F726EB" w:rsidRPr="008D0D6A">
                              <w:rPr>
                                <w:rFonts w:cs="Arial"/>
                              </w:rPr>
                              <w:t>its</w:t>
                            </w:r>
                            <w:r w:rsidR="001A2509" w:rsidRPr="008D0D6A">
                              <w:rPr>
                                <w:rFonts w:cs="Arial"/>
                              </w:rPr>
                              <w:t xml:space="preserve"> renewable energy targets.</w:t>
                            </w:r>
                            <w:r w:rsidR="004D6321" w:rsidRPr="008D0D6A">
                              <w:rPr>
                                <w:rFonts w:cs="Arial"/>
                              </w:rPr>
                              <w:t xml:space="preserve"> However, </w:t>
                            </w:r>
                            <w:r w:rsidR="00CA3264">
                              <w:rPr>
                                <w:rFonts w:cs="Arial"/>
                              </w:rPr>
                              <w:t xml:space="preserve">it is </w:t>
                            </w:r>
                            <w:proofErr w:type="spellStart"/>
                            <w:r w:rsidR="00CA3264">
                              <w:rPr>
                                <w:rFonts w:cs="Arial"/>
                              </w:rPr>
                              <w:t>recognised</w:t>
                            </w:r>
                            <w:proofErr w:type="spellEnd"/>
                            <w:r w:rsidR="00CA3264">
                              <w:rPr>
                                <w:rFonts w:cs="Arial"/>
                              </w:rPr>
                              <w:t xml:space="preserve"> that </w:t>
                            </w:r>
                            <w:r w:rsidR="004D6321" w:rsidRPr="008D0D6A">
                              <w:rPr>
                                <w:rFonts w:cs="Arial"/>
                              </w:rPr>
                              <w:t>offshore wind farms may also impact threatened and CMS-listed migratory species.</w:t>
                            </w:r>
                            <w:r w:rsidR="008D0D6A" w:rsidRPr="008D0D6A">
                              <w:rPr>
                                <w:rFonts w:cs="Arial"/>
                              </w:rPr>
                              <w:t xml:space="preserve"> </w:t>
                            </w:r>
                          </w:p>
                          <w:p w14:paraId="76FC47C9" w14:textId="77777777" w:rsidR="005E1A40" w:rsidRDefault="005E1A40" w:rsidP="005E1A40">
                            <w:pPr>
                              <w:jc w:val="both"/>
                              <w:rPr>
                                <w:rFonts w:cs="Arial"/>
                              </w:rPr>
                            </w:pPr>
                          </w:p>
                          <w:p w14:paraId="3B0227BC" w14:textId="13081B21" w:rsidR="008D0D6A" w:rsidRDefault="008D0D6A" w:rsidP="005E1A40">
                            <w:pPr>
                              <w:jc w:val="both"/>
                              <w:rPr>
                                <w:rFonts w:cs="Arial"/>
                              </w:rPr>
                            </w:pPr>
                            <w:r w:rsidRPr="008D0D6A">
                              <w:rPr>
                                <w:rFonts w:cs="Arial"/>
                              </w:rPr>
                              <w:t xml:space="preserve">A semi-quantitative ecological risk assessment was therefore conducted to assess the potential </w:t>
                            </w:r>
                            <w:r w:rsidR="00955215">
                              <w:rPr>
                                <w:rFonts w:cs="Arial"/>
                              </w:rPr>
                              <w:t>impacts</w:t>
                            </w:r>
                            <w:r w:rsidRPr="008D0D6A">
                              <w:rPr>
                                <w:rFonts w:cs="Arial"/>
                              </w:rPr>
                              <w:t xml:space="preserve"> of offshore wind farms on coastal and marine birds</w:t>
                            </w:r>
                            <w:r w:rsidR="00AE247E">
                              <w:rPr>
                                <w:rFonts w:cs="Arial"/>
                              </w:rPr>
                              <w:t xml:space="preserve"> within Australia’s jurisdiction. </w:t>
                            </w:r>
                            <w:r w:rsidR="00AA7146" w:rsidRPr="005D6B13">
                              <w:rPr>
                                <w:rFonts w:cs="Arial"/>
                              </w:rPr>
                              <w:t>The risk assessment examined 273 bird taxa</w:t>
                            </w:r>
                            <w:r w:rsidR="00AA7146">
                              <w:rPr>
                                <w:rFonts w:cs="Arial"/>
                              </w:rPr>
                              <w:t xml:space="preserve"> that could be </w:t>
                            </w:r>
                            <w:r w:rsidR="00955215">
                              <w:rPr>
                                <w:rFonts w:cs="Arial"/>
                              </w:rPr>
                              <w:t>affected</w:t>
                            </w:r>
                            <w:r w:rsidR="00AA7146">
                              <w:rPr>
                                <w:rFonts w:cs="Arial"/>
                              </w:rPr>
                              <w:t xml:space="preserve"> by </w:t>
                            </w:r>
                            <w:r w:rsidR="00BA6EC2">
                              <w:rPr>
                                <w:rFonts w:cs="Arial"/>
                              </w:rPr>
                              <w:t>the proposed</w:t>
                            </w:r>
                            <w:r w:rsidR="00AA7146">
                              <w:rPr>
                                <w:rFonts w:cs="Arial"/>
                              </w:rPr>
                              <w:t xml:space="preserve"> development</w:t>
                            </w:r>
                            <w:r w:rsidR="000C0E0A">
                              <w:rPr>
                                <w:rFonts w:cs="Arial"/>
                              </w:rPr>
                              <w:t xml:space="preserve"> and included m</w:t>
                            </w:r>
                            <w:r w:rsidRPr="008D0D6A">
                              <w:rPr>
                                <w:rFonts w:cs="Arial"/>
                              </w:rPr>
                              <w:t xml:space="preserve">igratory and CMS-listed species. </w:t>
                            </w:r>
                          </w:p>
                          <w:p w14:paraId="0434B157" w14:textId="77777777" w:rsidR="005E1A40" w:rsidRDefault="005E1A40" w:rsidP="005E1A40">
                            <w:pPr>
                              <w:jc w:val="both"/>
                              <w:rPr>
                                <w:rFonts w:cs="Arial"/>
                              </w:rPr>
                            </w:pPr>
                          </w:p>
                          <w:p w14:paraId="4CDC3969" w14:textId="0B3A1C7C" w:rsidR="001628A5" w:rsidRDefault="005C35CB" w:rsidP="005E1A40">
                            <w:pPr>
                              <w:jc w:val="both"/>
                              <w:rPr>
                                <w:rFonts w:cs="Arial"/>
                              </w:rPr>
                            </w:pPr>
                            <w:r>
                              <w:rPr>
                                <w:rFonts w:cs="Arial"/>
                              </w:rPr>
                              <w:t>The risk assessment</w:t>
                            </w:r>
                            <w:r w:rsidR="00DA6351">
                              <w:rPr>
                                <w:rFonts w:cs="Arial"/>
                              </w:rPr>
                              <w:t xml:space="preserve"> </w:t>
                            </w:r>
                            <w:r w:rsidR="00DA6351" w:rsidRPr="005D6B13">
                              <w:rPr>
                                <w:rFonts w:cs="Arial"/>
                              </w:rPr>
                              <w:t xml:space="preserve">identified 81 high-risk taxa, from which 11 external migrant shorebirds occurred in most regions assessed. </w:t>
                            </w:r>
                            <w:r w:rsidR="00AE5194" w:rsidRPr="005D6B13">
                              <w:rPr>
                                <w:rFonts w:cs="Arial"/>
                              </w:rPr>
                              <w:t xml:space="preserve">High-risk migratory birds </w:t>
                            </w:r>
                            <w:r w:rsidR="000C0E0A">
                              <w:rPr>
                                <w:rFonts w:cs="Arial"/>
                              </w:rPr>
                              <w:t>listed</w:t>
                            </w:r>
                            <w:r w:rsidR="00AE5194" w:rsidRPr="005D6B13">
                              <w:rPr>
                                <w:rFonts w:cs="Arial"/>
                              </w:rPr>
                              <w:t xml:space="preserve"> in CMS Appendices were the far eastern curlew (</w:t>
                            </w:r>
                            <w:r w:rsidR="00AE5194" w:rsidRPr="005D6B13">
                              <w:rPr>
                                <w:rFonts w:cs="Arial"/>
                                <w:i/>
                                <w:iCs/>
                              </w:rPr>
                              <w:t xml:space="preserve">Numenius </w:t>
                            </w:r>
                            <w:proofErr w:type="spellStart"/>
                            <w:r w:rsidR="00AE5194" w:rsidRPr="005D6B13">
                              <w:rPr>
                                <w:rFonts w:cs="Arial"/>
                                <w:i/>
                                <w:iCs/>
                              </w:rPr>
                              <w:t>madagascariensis</w:t>
                            </w:r>
                            <w:proofErr w:type="spellEnd"/>
                            <w:r w:rsidR="00AE5194" w:rsidRPr="005D6B13">
                              <w:rPr>
                                <w:rFonts w:cs="Arial"/>
                                <w:i/>
                                <w:iCs/>
                              </w:rPr>
                              <w:t>;</w:t>
                            </w:r>
                            <w:r w:rsidR="00AE5194" w:rsidRPr="005D6B13">
                              <w:rPr>
                                <w:rFonts w:cs="Arial"/>
                              </w:rPr>
                              <w:t xml:space="preserve"> CMS Appendix I), and nine albatross species (CMS Appendix II). </w:t>
                            </w:r>
                            <w:r w:rsidR="006278CE" w:rsidRPr="005D6B13">
                              <w:rPr>
                                <w:rFonts w:cs="Arial"/>
                              </w:rPr>
                              <w:t>These results enable establishing baseline data and developing mitigation measures</w:t>
                            </w:r>
                            <w:r w:rsidR="003A7C33">
                              <w:rPr>
                                <w:rFonts w:cs="Arial"/>
                              </w:rPr>
                              <w:t>, which could also be applied elsewhere.</w:t>
                            </w:r>
                          </w:p>
                          <w:p w14:paraId="2096F791" w14:textId="77777777" w:rsidR="001628A5" w:rsidRPr="008D0D6A" w:rsidRDefault="001628A5" w:rsidP="008D0D6A">
                            <w:pPr>
                              <w:spacing w:after="160" w:line="259" w:lineRule="auto"/>
                              <w:rPr>
                                <w:rFonts w:cs="Arial"/>
                              </w:rPr>
                            </w:pPr>
                          </w:p>
                          <w:p w14:paraId="18344DFD" w14:textId="5CBB2D17" w:rsidR="004641A5" w:rsidRPr="00C169ED" w:rsidRDefault="004641A5" w:rsidP="004641A5">
                            <w:pPr>
                              <w:rPr>
                                <w:rFonts w:cs="Arial"/>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E0122" id="_x0000_t202" coordsize="21600,21600" o:spt="202" path="m,l,21600r21600,l21600,xe">
                <v:stroke joinstyle="miter"/>
                <v:path gradientshapeok="t" o:connecttype="rect"/>
              </v:shapetype>
              <v:shape id="Text Box 5" o:spid="_x0000_s1026" type="#_x0000_t202" style="position:absolute;left:0;text-align:left;margin-left:70.8pt;margin-top:229.2pt;width:339pt;height:2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" strokeweight=".25pt">
                <v:textbox>
                  <w:txbxContent>
                    <w:p w14:paraId="6B837279" w14:textId="77777777" w:rsidR="004641A5" w:rsidRDefault="004641A5" w:rsidP="004641A5">
                      <w:pPr>
                        <w:rPr>
                          <w:rFonts w:cs="Arial"/>
                        </w:rPr>
                      </w:pPr>
                      <w:r>
                        <w:rPr>
                          <w:rFonts w:cs="Arial"/>
                        </w:rPr>
                        <w:t>Summary:</w:t>
                      </w:r>
                    </w:p>
                    <w:p w14:paraId="2CCB8EDC" w14:textId="77777777" w:rsidR="004641A5" w:rsidRPr="005E0EDA" w:rsidRDefault="004641A5" w:rsidP="004641A5">
                      <w:pPr>
                        <w:rPr>
                          <w:rFonts w:cs="Arial"/>
                        </w:rPr>
                      </w:pPr>
                    </w:p>
                    <w:p w14:paraId="1B688020" w14:textId="77777777" w:rsidR="00F726EB" w:rsidRDefault="00FF0D2B" w:rsidP="005E1A40">
                      <w:pPr>
                        <w:jc w:val="both"/>
                        <w:rPr>
                          <w:rFonts w:cs="Arial"/>
                        </w:rPr>
                      </w:pPr>
                      <w:r w:rsidRPr="008D0D6A">
                        <w:rPr>
                          <w:rFonts w:cs="Arial"/>
                          <w:sz w:val="21"/>
                          <w:szCs w:val="21"/>
                        </w:rPr>
                        <w:t xml:space="preserve">The Australian Government has established </w:t>
                      </w:r>
                      <w:r w:rsidR="001A2509" w:rsidRPr="008D0D6A">
                        <w:rPr>
                          <w:rFonts w:cs="Arial"/>
                        </w:rPr>
                        <w:t xml:space="preserve">domestic arrangements to develop offshore wind farms as part of </w:t>
                      </w:r>
                      <w:r w:rsidR="00F726EB" w:rsidRPr="008D0D6A">
                        <w:rPr>
                          <w:rFonts w:cs="Arial"/>
                        </w:rPr>
                        <w:t>its</w:t>
                      </w:r>
                      <w:r w:rsidR="001A2509" w:rsidRPr="008D0D6A">
                        <w:rPr>
                          <w:rFonts w:cs="Arial"/>
                        </w:rPr>
                        <w:t xml:space="preserve"> renewable energy targets.</w:t>
                      </w:r>
                      <w:r w:rsidR="004D6321" w:rsidRPr="008D0D6A">
                        <w:rPr>
                          <w:rFonts w:cs="Arial"/>
                        </w:rPr>
                        <w:t xml:space="preserve"> However, </w:t>
                      </w:r>
                      <w:r w:rsidR="00CA3264">
                        <w:rPr>
                          <w:rFonts w:cs="Arial"/>
                        </w:rPr>
                        <w:t xml:space="preserve">it is </w:t>
                      </w:r>
                      <w:proofErr w:type="spellStart"/>
                      <w:r w:rsidR="00CA3264">
                        <w:rPr>
                          <w:rFonts w:cs="Arial"/>
                        </w:rPr>
                        <w:t>recognised</w:t>
                      </w:r>
                      <w:proofErr w:type="spellEnd"/>
                      <w:r w:rsidR="00CA3264">
                        <w:rPr>
                          <w:rFonts w:cs="Arial"/>
                        </w:rPr>
                        <w:t xml:space="preserve"> that </w:t>
                      </w:r>
                      <w:r w:rsidR="004D6321" w:rsidRPr="008D0D6A">
                        <w:rPr>
                          <w:rFonts w:cs="Arial"/>
                        </w:rPr>
                        <w:t>offshore wind farms may also impact threatened and CMS-listed migratory species.</w:t>
                      </w:r>
                      <w:r w:rsidR="008D0D6A" w:rsidRPr="008D0D6A">
                        <w:rPr>
                          <w:rFonts w:cs="Arial"/>
                        </w:rPr>
                        <w:t xml:space="preserve"> </w:t>
                      </w:r>
                    </w:p>
                    <w:p w14:paraId="76FC47C9" w14:textId="77777777" w:rsidR="005E1A40" w:rsidRDefault="005E1A40" w:rsidP="005E1A40">
                      <w:pPr>
                        <w:jc w:val="both"/>
                        <w:rPr>
                          <w:rFonts w:cs="Arial"/>
                        </w:rPr>
                      </w:pPr>
                    </w:p>
                    <w:p w14:paraId="3B0227BC" w14:textId="13081B21" w:rsidR="008D0D6A" w:rsidRDefault="008D0D6A" w:rsidP="005E1A40">
                      <w:pPr>
                        <w:jc w:val="both"/>
                        <w:rPr>
                          <w:rFonts w:cs="Arial"/>
                        </w:rPr>
                      </w:pPr>
                      <w:r w:rsidRPr="008D0D6A">
                        <w:rPr>
                          <w:rFonts w:cs="Arial"/>
                        </w:rPr>
                        <w:t xml:space="preserve">A semi-quantitative ecological risk assessment was therefore conducted to assess the potential </w:t>
                      </w:r>
                      <w:r w:rsidR="00955215">
                        <w:rPr>
                          <w:rFonts w:cs="Arial"/>
                        </w:rPr>
                        <w:t>impacts</w:t>
                      </w:r>
                      <w:r w:rsidRPr="008D0D6A">
                        <w:rPr>
                          <w:rFonts w:cs="Arial"/>
                        </w:rPr>
                        <w:t xml:space="preserve"> of offshore wind farms on coastal and marine birds</w:t>
                      </w:r>
                      <w:r w:rsidR="00AE247E">
                        <w:rPr>
                          <w:rFonts w:cs="Arial"/>
                        </w:rPr>
                        <w:t xml:space="preserve"> within Australia’s jurisdiction. </w:t>
                      </w:r>
                      <w:r w:rsidR="00AA7146" w:rsidRPr="005D6B13">
                        <w:rPr>
                          <w:rFonts w:cs="Arial"/>
                        </w:rPr>
                        <w:t>The risk assessment examined 273 bird taxa</w:t>
                      </w:r>
                      <w:r w:rsidR="00AA7146">
                        <w:rPr>
                          <w:rFonts w:cs="Arial"/>
                        </w:rPr>
                        <w:t xml:space="preserve"> that could be </w:t>
                      </w:r>
                      <w:r w:rsidR="00955215">
                        <w:rPr>
                          <w:rFonts w:cs="Arial"/>
                        </w:rPr>
                        <w:t>affected</w:t>
                      </w:r>
                      <w:r w:rsidR="00AA7146">
                        <w:rPr>
                          <w:rFonts w:cs="Arial"/>
                        </w:rPr>
                        <w:t xml:space="preserve"> by </w:t>
                      </w:r>
                      <w:r w:rsidR="00BA6EC2">
                        <w:rPr>
                          <w:rFonts w:cs="Arial"/>
                        </w:rPr>
                        <w:t>the proposed</w:t>
                      </w:r>
                      <w:r w:rsidR="00AA7146">
                        <w:rPr>
                          <w:rFonts w:cs="Arial"/>
                        </w:rPr>
                        <w:t xml:space="preserve"> development</w:t>
                      </w:r>
                      <w:r w:rsidR="000C0E0A">
                        <w:rPr>
                          <w:rFonts w:cs="Arial"/>
                        </w:rPr>
                        <w:t xml:space="preserve"> and included m</w:t>
                      </w:r>
                      <w:r w:rsidRPr="008D0D6A">
                        <w:rPr>
                          <w:rFonts w:cs="Arial"/>
                        </w:rPr>
                        <w:t xml:space="preserve">igratory and CMS-listed species. </w:t>
                      </w:r>
                    </w:p>
                    <w:p w14:paraId="0434B157" w14:textId="77777777" w:rsidR="005E1A40" w:rsidRDefault="005E1A40" w:rsidP="005E1A40">
                      <w:pPr>
                        <w:jc w:val="both"/>
                        <w:rPr>
                          <w:rFonts w:cs="Arial"/>
                        </w:rPr>
                      </w:pPr>
                    </w:p>
                    <w:p w14:paraId="4CDC3969" w14:textId="0B3A1C7C" w:rsidR="001628A5" w:rsidRDefault="005C35CB" w:rsidP="005E1A40">
                      <w:pPr>
                        <w:jc w:val="both"/>
                        <w:rPr>
                          <w:rFonts w:cs="Arial"/>
                        </w:rPr>
                      </w:pPr>
                      <w:r>
                        <w:rPr>
                          <w:rFonts w:cs="Arial"/>
                        </w:rPr>
                        <w:t>The risk assessment</w:t>
                      </w:r>
                      <w:r w:rsidR="00DA6351">
                        <w:rPr>
                          <w:rFonts w:cs="Arial"/>
                        </w:rPr>
                        <w:t xml:space="preserve"> </w:t>
                      </w:r>
                      <w:r w:rsidR="00DA6351" w:rsidRPr="005D6B13">
                        <w:rPr>
                          <w:rFonts w:cs="Arial"/>
                        </w:rPr>
                        <w:t xml:space="preserve">identified 81 high-risk taxa, from which 11 external migrant shorebirds occurred in most regions assessed. </w:t>
                      </w:r>
                      <w:r w:rsidR="00AE5194" w:rsidRPr="005D6B13">
                        <w:rPr>
                          <w:rFonts w:cs="Arial"/>
                        </w:rPr>
                        <w:t xml:space="preserve">High-risk migratory birds </w:t>
                      </w:r>
                      <w:r w:rsidR="000C0E0A">
                        <w:rPr>
                          <w:rFonts w:cs="Arial"/>
                        </w:rPr>
                        <w:t>listed</w:t>
                      </w:r>
                      <w:r w:rsidR="00AE5194" w:rsidRPr="005D6B13">
                        <w:rPr>
                          <w:rFonts w:cs="Arial"/>
                        </w:rPr>
                        <w:t xml:space="preserve"> in CMS Appendices were the far eastern curlew (</w:t>
                      </w:r>
                      <w:r w:rsidR="00AE5194" w:rsidRPr="005D6B13">
                        <w:rPr>
                          <w:rFonts w:cs="Arial"/>
                          <w:i/>
                          <w:iCs/>
                        </w:rPr>
                        <w:t xml:space="preserve">Numenius </w:t>
                      </w:r>
                      <w:proofErr w:type="spellStart"/>
                      <w:r w:rsidR="00AE5194" w:rsidRPr="005D6B13">
                        <w:rPr>
                          <w:rFonts w:cs="Arial"/>
                          <w:i/>
                          <w:iCs/>
                        </w:rPr>
                        <w:t>madagascariensis</w:t>
                      </w:r>
                      <w:proofErr w:type="spellEnd"/>
                      <w:r w:rsidR="00AE5194" w:rsidRPr="005D6B13">
                        <w:rPr>
                          <w:rFonts w:cs="Arial"/>
                          <w:i/>
                          <w:iCs/>
                        </w:rPr>
                        <w:t>;</w:t>
                      </w:r>
                      <w:r w:rsidR="00AE5194" w:rsidRPr="005D6B13">
                        <w:rPr>
                          <w:rFonts w:cs="Arial"/>
                        </w:rPr>
                        <w:t xml:space="preserve"> CMS Appendix I), and nine albatross species (CMS Appendix II). </w:t>
                      </w:r>
                      <w:r w:rsidR="006278CE" w:rsidRPr="005D6B13">
                        <w:rPr>
                          <w:rFonts w:cs="Arial"/>
                        </w:rPr>
                        <w:t>These results enable establishing baseline data and developing mitigation measures</w:t>
                      </w:r>
                      <w:r w:rsidR="003A7C33">
                        <w:rPr>
                          <w:rFonts w:cs="Arial"/>
                        </w:rPr>
                        <w:t>, which could also be applied elsewhere.</w:t>
                      </w:r>
                    </w:p>
                    <w:p w14:paraId="2096F791" w14:textId="77777777" w:rsidR="001628A5" w:rsidRPr="008D0D6A" w:rsidRDefault="001628A5" w:rsidP="008D0D6A">
                      <w:pPr>
                        <w:spacing w:after="160" w:line="259" w:lineRule="auto"/>
                        <w:rPr>
                          <w:rFonts w:cs="Arial"/>
                        </w:rPr>
                      </w:pPr>
                    </w:p>
                    <w:p w14:paraId="18344DFD" w14:textId="5CBB2D17" w:rsidR="004641A5" w:rsidRPr="00C169ED" w:rsidRDefault="004641A5" w:rsidP="004641A5">
                      <w:pPr>
                        <w:rPr>
                          <w:rFonts w:cs="Arial"/>
                          <w:sz w:val="21"/>
                          <w:szCs w:val="21"/>
                        </w:rPr>
                      </w:pPr>
                    </w:p>
                  </w:txbxContent>
                </v:textbox>
                <w10:wrap type="square" anchorx="margin" anchory="margin"/>
              </v:shape>
            </w:pict>
          </mc:Fallback>
        </mc:AlternateContent>
      </w:r>
    </w:p>
    <w:p w14:paraId="0F86B07F" w14:textId="77777777" w:rsidR="004641A5" w:rsidRDefault="004641A5" w:rsidP="004641A5">
      <w:pPr>
        <w:jc w:val="both"/>
        <w:rPr>
          <w:rFonts w:cs="Arial"/>
          <w:lang w:val="en-GB"/>
        </w:rPr>
      </w:pPr>
    </w:p>
    <w:p w14:paraId="3D2DA8FE" w14:textId="77777777" w:rsidR="004641A5" w:rsidRDefault="004641A5" w:rsidP="004641A5">
      <w:pPr>
        <w:jc w:val="both"/>
        <w:rPr>
          <w:rFonts w:cs="Arial"/>
          <w:lang w:val="en-GB"/>
        </w:rPr>
      </w:pPr>
    </w:p>
    <w:p w14:paraId="1BB8DC3C" w14:textId="77777777" w:rsidR="004641A5" w:rsidRDefault="004641A5" w:rsidP="004641A5">
      <w:pPr>
        <w:jc w:val="both"/>
        <w:rPr>
          <w:rFonts w:cs="Arial"/>
          <w:lang w:val="en-GB"/>
        </w:rPr>
      </w:pPr>
    </w:p>
    <w:p w14:paraId="1DE5B9F9" w14:textId="77777777" w:rsidR="004641A5" w:rsidRDefault="004641A5" w:rsidP="004641A5">
      <w:pPr>
        <w:jc w:val="both"/>
        <w:rPr>
          <w:rFonts w:cs="Arial"/>
          <w:lang w:val="en-GB"/>
        </w:rPr>
      </w:pPr>
    </w:p>
    <w:p w14:paraId="111C4693" w14:textId="77777777" w:rsidR="004641A5" w:rsidRDefault="004641A5" w:rsidP="004641A5">
      <w:pPr>
        <w:jc w:val="both"/>
        <w:rPr>
          <w:rFonts w:cs="Arial"/>
          <w:lang w:val="en-GB"/>
        </w:rPr>
      </w:pPr>
    </w:p>
    <w:p w14:paraId="04CC22F6" w14:textId="77777777" w:rsidR="004641A5" w:rsidRDefault="004641A5" w:rsidP="004641A5">
      <w:pPr>
        <w:jc w:val="both"/>
        <w:rPr>
          <w:rFonts w:cs="Arial"/>
          <w:lang w:val="en-GB"/>
        </w:rPr>
      </w:pPr>
    </w:p>
    <w:p w14:paraId="2665FBA1" w14:textId="77777777" w:rsidR="004641A5" w:rsidRDefault="004641A5" w:rsidP="004641A5">
      <w:pPr>
        <w:jc w:val="both"/>
        <w:rPr>
          <w:rFonts w:cs="Arial"/>
          <w:lang w:val="en-GB"/>
        </w:rPr>
      </w:pPr>
    </w:p>
    <w:p w14:paraId="3173152C" w14:textId="77777777" w:rsidR="004641A5" w:rsidRDefault="004641A5" w:rsidP="004641A5">
      <w:pPr>
        <w:jc w:val="both"/>
        <w:rPr>
          <w:rFonts w:cs="Arial"/>
          <w:lang w:val="en-GB"/>
        </w:rPr>
      </w:pPr>
    </w:p>
    <w:p w14:paraId="27000FFA" w14:textId="77777777" w:rsidR="004641A5" w:rsidRDefault="004641A5" w:rsidP="004641A5">
      <w:pPr>
        <w:jc w:val="both"/>
        <w:rPr>
          <w:rFonts w:cs="Arial"/>
          <w:lang w:val="en-GB"/>
        </w:rPr>
      </w:pPr>
    </w:p>
    <w:p w14:paraId="4871BF3D" w14:textId="77777777" w:rsidR="004641A5" w:rsidRDefault="004641A5" w:rsidP="004641A5">
      <w:pPr>
        <w:jc w:val="both"/>
        <w:rPr>
          <w:rFonts w:cs="Arial"/>
          <w:lang w:val="en-GB"/>
        </w:rPr>
      </w:pPr>
    </w:p>
    <w:p w14:paraId="4EC263B2" w14:textId="77777777" w:rsidR="004641A5" w:rsidRDefault="004641A5" w:rsidP="004641A5">
      <w:pPr>
        <w:jc w:val="both"/>
        <w:rPr>
          <w:rFonts w:cs="Arial"/>
          <w:lang w:val="en-GB"/>
        </w:rPr>
      </w:pPr>
    </w:p>
    <w:p w14:paraId="12778A05" w14:textId="77777777" w:rsidR="004641A5" w:rsidRDefault="004641A5" w:rsidP="004641A5">
      <w:pPr>
        <w:jc w:val="both"/>
        <w:rPr>
          <w:rFonts w:cs="Arial"/>
          <w:lang w:val="en-GB"/>
        </w:rPr>
      </w:pPr>
    </w:p>
    <w:p w14:paraId="0EF699F1" w14:textId="77777777" w:rsidR="004641A5" w:rsidRDefault="004641A5" w:rsidP="004641A5">
      <w:pPr>
        <w:jc w:val="both"/>
        <w:rPr>
          <w:rFonts w:cs="Arial"/>
          <w:lang w:val="en-GB"/>
        </w:rPr>
      </w:pPr>
    </w:p>
    <w:p w14:paraId="257C67E7" w14:textId="77777777" w:rsidR="004641A5" w:rsidRDefault="004641A5" w:rsidP="004641A5">
      <w:pPr>
        <w:jc w:val="both"/>
        <w:rPr>
          <w:rFonts w:cs="Arial"/>
          <w:lang w:val="en-GB"/>
        </w:rPr>
      </w:pPr>
    </w:p>
    <w:p w14:paraId="30AAC8FC" w14:textId="77777777" w:rsidR="004641A5" w:rsidRDefault="004641A5" w:rsidP="004641A5">
      <w:pPr>
        <w:jc w:val="both"/>
        <w:rPr>
          <w:rFonts w:cs="Arial"/>
          <w:lang w:val="en-GB"/>
        </w:rPr>
      </w:pPr>
    </w:p>
    <w:p w14:paraId="22ED2AA3" w14:textId="77777777" w:rsidR="004641A5" w:rsidRDefault="004641A5" w:rsidP="004641A5">
      <w:pPr>
        <w:jc w:val="both"/>
        <w:rPr>
          <w:rFonts w:cs="Arial"/>
          <w:lang w:val="en-GB"/>
        </w:rPr>
      </w:pPr>
    </w:p>
    <w:p w14:paraId="7F8986CD" w14:textId="77777777" w:rsidR="004641A5" w:rsidRDefault="004641A5" w:rsidP="004641A5">
      <w:pPr>
        <w:jc w:val="both"/>
        <w:rPr>
          <w:rFonts w:cs="Arial"/>
          <w:lang w:val="en-GB"/>
        </w:rPr>
      </w:pPr>
    </w:p>
    <w:p w14:paraId="5A0573A3" w14:textId="77777777" w:rsidR="004641A5" w:rsidRDefault="004641A5" w:rsidP="004641A5">
      <w:pPr>
        <w:jc w:val="both"/>
        <w:rPr>
          <w:rFonts w:cs="Arial"/>
          <w:lang w:val="en-GB"/>
        </w:rPr>
      </w:pPr>
    </w:p>
    <w:p w14:paraId="1E321626" w14:textId="77777777" w:rsidR="004641A5" w:rsidRDefault="004641A5" w:rsidP="004641A5">
      <w:pPr>
        <w:jc w:val="both"/>
        <w:rPr>
          <w:rFonts w:cs="Arial"/>
          <w:lang w:val="en-GB"/>
        </w:rPr>
      </w:pPr>
    </w:p>
    <w:p w14:paraId="028872CB" w14:textId="77777777" w:rsidR="004641A5" w:rsidRDefault="004641A5" w:rsidP="004641A5">
      <w:pPr>
        <w:jc w:val="both"/>
        <w:rPr>
          <w:rFonts w:cs="Arial"/>
          <w:lang w:val="en-GB"/>
        </w:rPr>
      </w:pPr>
    </w:p>
    <w:p w14:paraId="47A8980F" w14:textId="77777777" w:rsidR="004641A5" w:rsidRDefault="004641A5" w:rsidP="004641A5">
      <w:pPr>
        <w:jc w:val="both"/>
        <w:rPr>
          <w:rFonts w:cs="Arial"/>
          <w:lang w:val="en-GB"/>
        </w:rPr>
      </w:pPr>
    </w:p>
    <w:p w14:paraId="29DE47C7" w14:textId="77777777" w:rsidR="004641A5" w:rsidRDefault="004641A5" w:rsidP="004641A5">
      <w:pPr>
        <w:jc w:val="both"/>
        <w:rPr>
          <w:rFonts w:cs="Arial"/>
          <w:lang w:val="en-GB"/>
        </w:rPr>
      </w:pPr>
    </w:p>
    <w:p w14:paraId="4F745CFB" w14:textId="77777777" w:rsidR="004641A5" w:rsidRDefault="004641A5" w:rsidP="004641A5">
      <w:pPr>
        <w:spacing w:after="160" w:line="256" w:lineRule="auto"/>
        <w:rPr>
          <w:rFonts w:cs="Arial"/>
          <w:lang w:val="en-GB"/>
        </w:rPr>
      </w:pPr>
      <w:r>
        <w:rPr>
          <w:rFonts w:cs="Arial"/>
          <w:lang w:val="en-GB"/>
        </w:rPr>
        <w:br w:type="page"/>
      </w:r>
    </w:p>
    <w:p w14:paraId="3E1FF229" w14:textId="77777777" w:rsidR="004641A5" w:rsidRPr="003056E1" w:rsidRDefault="004641A5" w:rsidP="004641A5">
      <w:pPr>
        <w:jc w:val="both"/>
        <w:rPr>
          <w:rFonts w:cs="Arial"/>
          <w:lang w:val="en-GB"/>
        </w:rPr>
      </w:pPr>
    </w:p>
    <w:p w14:paraId="4987D769" w14:textId="31AF4F7F" w:rsidR="00F726EB" w:rsidRPr="003056E1" w:rsidRDefault="00F726EB" w:rsidP="00F726EB">
      <w:pPr>
        <w:pStyle w:val="Firstnumbering"/>
        <w:numPr>
          <w:ilvl w:val="0"/>
          <w:numId w:val="0"/>
        </w:numPr>
        <w:ind w:left="540" w:hanging="540"/>
        <w:rPr>
          <w:sz w:val="22"/>
          <w:szCs w:val="22"/>
          <w:u w:val="single"/>
        </w:rPr>
      </w:pPr>
      <w:r w:rsidRPr="003056E1">
        <w:rPr>
          <w:sz w:val="22"/>
          <w:szCs w:val="22"/>
          <w:u w:val="single"/>
        </w:rPr>
        <w:t>Background</w:t>
      </w:r>
    </w:p>
    <w:p w14:paraId="0DE0BDA4" w14:textId="77777777" w:rsidR="00F726EB" w:rsidRPr="003056E1" w:rsidRDefault="00F726EB" w:rsidP="00F726EB">
      <w:pPr>
        <w:pStyle w:val="Firstnumbering"/>
        <w:numPr>
          <w:ilvl w:val="0"/>
          <w:numId w:val="0"/>
        </w:numPr>
        <w:ind w:left="540" w:hanging="540"/>
        <w:rPr>
          <w:sz w:val="22"/>
          <w:szCs w:val="22"/>
        </w:rPr>
      </w:pPr>
    </w:p>
    <w:p w14:paraId="1D4B6CE9" w14:textId="32FA5B28" w:rsidR="005A5A2C" w:rsidRDefault="005A5A2C" w:rsidP="005A5A2C">
      <w:pPr>
        <w:pStyle w:val="Firstnumbering"/>
        <w:rPr>
          <w:sz w:val="22"/>
          <w:szCs w:val="22"/>
        </w:rPr>
      </w:pPr>
      <w:r w:rsidRPr="003056E1">
        <w:rPr>
          <w:sz w:val="22"/>
          <w:szCs w:val="22"/>
        </w:rPr>
        <w:t xml:space="preserve">The Australian Government has established domestic arrangements to develop offshore wind farms as part of </w:t>
      </w:r>
      <w:r w:rsidR="00F726EB" w:rsidRPr="003056E1">
        <w:rPr>
          <w:sz w:val="22"/>
          <w:szCs w:val="22"/>
        </w:rPr>
        <w:t>its</w:t>
      </w:r>
      <w:r w:rsidRPr="003056E1">
        <w:rPr>
          <w:sz w:val="22"/>
          <w:szCs w:val="22"/>
        </w:rPr>
        <w:t xml:space="preserve"> renewable energy targets. The aim of these arrangements is to significantly reduce emissions to help Australia reach net zero by 2050. The legislative instruments giving effect to the arrangements are the </w:t>
      </w:r>
      <w:hyperlink r:id="rId11" w:history="1">
        <w:r w:rsidRPr="003056E1">
          <w:rPr>
            <w:rStyle w:val="Hyperlink"/>
            <w:sz w:val="22"/>
            <w:szCs w:val="22"/>
          </w:rPr>
          <w:t>Offshore Electrical Infrastructure Act 2021</w:t>
        </w:r>
      </w:hyperlink>
      <w:r w:rsidRPr="003056E1">
        <w:rPr>
          <w:sz w:val="22"/>
          <w:szCs w:val="22"/>
        </w:rPr>
        <w:t xml:space="preserve"> and associated </w:t>
      </w:r>
      <w:hyperlink r:id="rId12" w:history="1">
        <w:r w:rsidRPr="003056E1">
          <w:rPr>
            <w:rStyle w:val="Hyperlink"/>
            <w:sz w:val="22"/>
            <w:szCs w:val="22"/>
          </w:rPr>
          <w:t>Offshore Electricity Infrastructure Regulations 2022</w:t>
        </w:r>
      </w:hyperlink>
      <w:r w:rsidRPr="003056E1">
        <w:rPr>
          <w:sz w:val="22"/>
          <w:szCs w:val="22"/>
        </w:rPr>
        <w:t xml:space="preserve">. Under the legislation, offshore areas can be declared as suitable for offshore wind farm development. </w:t>
      </w:r>
    </w:p>
    <w:p w14:paraId="1EB4F103" w14:textId="77777777" w:rsidR="003056E1" w:rsidRPr="003056E1" w:rsidRDefault="003056E1" w:rsidP="003056E1">
      <w:pPr>
        <w:pStyle w:val="Firstnumbering"/>
        <w:numPr>
          <w:ilvl w:val="0"/>
          <w:numId w:val="0"/>
        </w:numPr>
        <w:ind w:left="504"/>
        <w:rPr>
          <w:sz w:val="22"/>
          <w:szCs w:val="22"/>
        </w:rPr>
      </w:pPr>
    </w:p>
    <w:p w14:paraId="719DF817" w14:textId="6A346E12" w:rsidR="005A5A2C" w:rsidRDefault="005A5A2C" w:rsidP="005A5A2C">
      <w:pPr>
        <w:pStyle w:val="Firstnumbering"/>
        <w:rPr>
          <w:sz w:val="22"/>
          <w:szCs w:val="22"/>
        </w:rPr>
      </w:pPr>
      <w:r w:rsidRPr="003056E1">
        <w:rPr>
          <w:sz w:val="22"/>
          <w:szCs w:val="22"/>
        </w:rPr>
        <w:t xml:space="preserve">However, it is recognised that offshore wind farms may also impact threatened and CMS-listed migratory species. Offshore wind farm developments have the potential to increase bird mortality, including through mortality from collisions, displacement from preferred habitats, or create a barrier effect to migration routes. </w:t>
      </w:r>
    </w:p>
    <w:p w14:paraId="5E8B574B" w14:textId="77777777" w:rsidR="003056E1" w:rsidRPr="003056E1" w:rsidRDefault="003056E1" w:rsidP="003056E1">
      <w:pPr>
        <w:pStyle w:val="Firstnumbering"/>
        <w:numPr>
          <w:ilvl w:val="0"/>
          <w:numId w:val="0"/>
        </w:numPr>
        <w:rPr>
          <w:sz w:val="22"/>
          <w:szCs w:val="22"/>
        </w:rPr>
      </w:pPr>
    </w:p>
    <w:p w14:paraId="54437534" w14:textId="51C87D39" w:rsidR="005A5A2C" w:rsidRDefault="005A5A2C" w:rsidP="005A5A2C">
      <w:pPr>
        <w:pStyle w:val="Firstnumbering"/>
        <w:rPr>
          <w:sz w:val="22"/>
          <w:szCs w:val="22"/>
        </w:rPr>
      </w:pPr>
      <w:r w:rsidRPr="003056E1">
        <w:rPr>
          <w:sz w:val="22"/>
          <w:szCs w:val="22"/>
        </w:rPr>
        <w:t xml:space="preserve">In late 2022, the Bass Strait region in Victoria was declared as the first offshore wind zone, covering an area of about 15,000 square kilometres. The declaration can be found under </w:t>
      </w:r>
      <w:hyperlink r:id="rId13" w:history="1">
        <w:r w:rsidRPr="003056E1">
          <w:rPr>
            <w:rStyle w:val="Hyperlink"/>
            <w:sz w:val="22"/>
            <w:szCs w:val="22"/>
          </w:rPr>
          <w:t>Offshore Electricity Infrastructure (Declared Area OEI-01-2022) Declaration 2022</w:t>
        </w:r>
      </w:hyperlink>
      <w:r w:rsidRPr="003056E1">
        <w:rPr>
          <w:sz w:val="22"/>
          <w:szCs w:val="22"/>
        </w:rPr>
        <w:t xml:space="preserve">. The Bass Strait region could potentially generate more than 10 GW of year-round wind energy, meeting up to 20 percent of the Victoria’s electricity needs. A number of other regions are being proposed for offshore wind farm projects within Australia, which are important habitat for threatened bird species, including the nationally critically </w:t>
      </w:r>
      <w:proofErr w:type="gramStart"/>
      <w:r w:rsidRPr="003056E1">
        <w:rPr>
          <w:sz w:val="22"/>
          <w:szCs w:val="22"/>
        </w:rPr>
        <w:t>endangered orange-bellied</w:t>
      </w:r>
      <w:proofErr w:type="gramEnd"/>
      <w:r w:rsidRPr="003056E1">
        <w:rPr>
          <w:sz w:val="22"/>
          <w:szCs w:val="22"/>
        </w:rPr>
        <w:t xml:space="preserve"> parrot (</w:t>
      </w:r>
      <w:proofErr w:type="spellStart"/>
      <w:r w:rsidRPr="003056E1">
        <w:rPr>
          <w:i/>
          <w:iCs/>
          <w:sz w:val="22"/>
          <w:szCs w:val="22"/>
        </w:rPr>
        <w:t>Neophema</w:t>
      </w:r>
      <w:proofErr w:type="spellEnd"/>
      <w:r w:rsidRPr="003056E1">
        <w:rPr>
          <w:i/>
          <w:iCs/>
          <w:sz w:val="22"/>
          <w:szCs w:val="22"/>
        </w:rPr>
        <w:t xml:space="preserve"> </w:t>
      </w:r>
      <w:proofErr w:type="spellStart"/>
      <w:r w:rsidRPr="003056E1">
        <w:rPr>
          <w:i/>
          <w:iCs/>
          <w:sz w:val="22"/>
          <w:szCs w:val="22"/>
        </w:rPr>
        <w:t>chrysogaster</w:t>
      </w:r>
      <w:proofErr w:type="spellEnd"/>
      <w:r w:rsidRPr="003056E1">
        <w:rPr>
          <w:sz w:val="22"/>
          <w:szCs w:val="22"/>
        </w:rPr>
        <w:t>), the critically endangered swift parrot (</w:t>
      </w:r>
      <w:proofErr w:type="spellStart"/>
      <w:r w:rsidRPr="003056E1">
        <w:rPr>
          <w:i/>
          <w:iCs/>
          <w:sz w:val="22"/>
          <w:szCs w:val="22"/>
        </w:rPr>
        <w:t>Lathamus</w:t>
      </w:r>
      <w:proofErr w:type="spellEnd"/>
      <w:r w:rsidRPr="003056E1">
        <w:rPr>
          <w:i/>
          <w:iCs/>
          <w:sz w:val="22"/>
          <w:szCs w:val="22"/>
        </w:rPr>
        <w:t xml:space="preserve"> </w:t>
      </w:r>
      <w:proofErr w:type="spellStart"/>
      <w:r w:rsidRPr="003056E1">
        <w:rPr>
          <w:i/>
          <w:iCs/>
          <w:sz w:val="22"/>
          <w:szCs w:val="22"/>
        </w:rPr>
        <w:t>discolor</w:t>
      </w:r>
      <w:proofErr w:type="spellEnd"/>
      <w:r w:rsidRPr="003056E1">
        <w:rPr>
          <w:sz w:val="22"/>
          <w:szCs w:val="22"/>
        </w:rPr>
        <w:t>), and the CMS-listed endangered far eastern curlew (</w:t>
      </w:r>
      <w:r w:rsidRPr="003056E1">
        <w:rPr>
          <w:i/>
          <w:iCs/>
          <w:sz w:val="22"/>
          <w:szCs w:val="22"/>
        </w:rPr>
        <w:t xml:space="preserve">Numenius </w:t>
      </w:r>
      <w:proofErr w:type="spellStart"/>
      <w:r w:rsidRPr="003056E1">
        <w:rPr>
          <w:i/>
          <w:iCs/>
          <w:sz w:val="22"/>
          <w:szCs w:val="22"/>
        </w:rPr>
        <w:t>madagascariensis</w:t>
      </w:r>
      <w:proofErr w:type="spellEnd"/>
      <w:r w:rsidR="006736DF" w:rsidRPr="003056E1">
        <w:rPr>
          <w:sz w:val="22"/>
          <w:szCs w:val="22"/>
        </w:rPr>
        <w:t>)</w:t>
      </w:r>
      <w:r w:rsidRPr="003056E1">
        <w:rPr>
          <w:sz w:val="22"/>
          <w:szCs w:val="22"/>
        </w:rPr>
        <w:t xml:space="preserve">. </w:t>
      </w:r>
    </w:p>
    <w:p w14:paraId="73182039" w14:textId="77777777" w:rsidR="003056E1" w:rsidRPr="003056E1" w:rsidRDefault="003056E1" w:rsidP="003056E1">
      <w:pPr>
        <w:pStyle w:val="Firstnumbering"/>
        <w:numPr>
          <w:ilvl w:val="0"/>
          <w:numId w:val="0"/>
        </w:numPr>
        <w:rPr>
          <w:sz w:val="22"/>
          <w:szCs w:val="22"/>
        </w:rPr>
      </w:pPr>
    </w:p>
    <w:p w14:paraId="3AF426A1" w14:textId="77777777" w:rsidR="005A5A2C" w:rsidRPr="003056E1" w:rsidRDefault="005A5A2C" w:rsidP="005A5A2C">
      <w:pPr>
        <w:pStyle w:val="Firstnumbering"/>
        <w:rPr>
          <w:sz w:val="22"/>
          <w:szCs w:val="22"/>
        </w:rPr>
      </w:pPr>
      <w:r w:rsidRPr="003056E1">
        <w:rPr>
          <w:sz w:val="22"/>
          <w:szCs w:val="22"/>
        </w:rPr>
        <w:t xml:space="preserve">Offshore wind farm risk assessments are well developed in the Northern Hemisphere but had not yet been applied in an Australian context to Australian birds. A semi-quantitative ecological risk assessment was therefore conducted to assess the potential impacts of offshore wind farms on coastal and marine birds, including migratory and CMS-listed species </w:t>
      </w:r>
      <w:hyperlink r:id="rId14" w:history="1">
        <w:r w:rsidRPr="003056E1">
          <w:rPr>
            <w:rStyle w:val="Hyperlink"/>
            <w:sz w:val="22"/>
            <w:szCs w:val="22"/>
          </w:rPr>
          <w:t>(Reid et al. 2023, Annex 1)</w:t>
        </w:r>
      </w:hyperlink>
      <w:r w:rsidRPr="003056E1">
        <w:rPr>
          <w:sz w:val="22"/>
          <w:szCs w:val="22"/>
        </w:rPr>
        <w:t xml:space="preserve">. </w:t>
      </w:r>
    </w:p>
    <w:p w14:paraId="5307676E" w14:textId="77777777" w:rsidR="00F726EB" w:rsidRPr="003056E1" w:rsidRDefault="00F726EB" w:rsidP="00F726EB">
      <w:pPr>
        <w:pStyle w:val="Firstnumbering"/>
        <w:numPr>
          <w:ilvl w:val="0"/>
          <w:numId w:val="0"/>
        </w:numPr>
        <w:ind w:left="540" w:hanging="540"/>
        <w:rPr>
          <w:sz w:val="22"/>
          <w:szCs w:val="22"/>
        </w:rPr>
      </w:pPr>
    </w:p>
    <w:p w14:paraId="53433F01" w14:textId="5D42974F" w:rsidR="00F726EB" w:rsidRPr="003056E1" w:rsidRDefault="00F726EB" w:rsidP="002F2A90">
      <w:pPr>
        <w:suppressAutoHyphens/>
        <w:autoSpaceDE w:val="0"/>
        <w:autoSpaceDN w:val="0"/>
        <w:jc w:val="both"/>
        <w:textAlignment w:val="baseline"/>
        <w:rPr>
          <w:rFonts w:cs="Arial"/>
          <w:u w:val="single"/>
        </w:rPr>
      </w:pPr>
      <w:r w:rsidRPr="003056E1">
        <w:rPr>
          <w:rFonts w:cs="Arial"/>
          <w:u w:val="single"/>
        </w:rPr>
        <w:t>Discussion</w:t>
      </w:r>
    </w:p>
    <w:p w14:paraId="2CB753DF" w14:textId="77777777" w:rsidR="00F726EB" w:rsidRPr="003056E1" w:rsidRDefault="00F726EB" w:rsidP="00F726EB">
      <w:pPr>
        <w:pStyle w:val="Firstnumbering"/>
        <w:numPr>
          <w:ilvl w:val="0"/>
          <w:numId w:val="0"/>
        </w:numPr>
        <w:ind w:left="540" w:hanging="540"/>
        <w:rPr>
          <w:sz w:val="22"/>
          <w:szCs w:val="22"/>
        </w:rPr>
      </w:pPr>
    </w:p>
    <w:p w14:paraId="437AC70E" w14:textId="01D7E8B7" w:rsidR="005A5A2C" w:rsidRDefault="005A5A2C" w:rsidP="005A5A2C">
      <w:pPr>
        <w:pStyle w:val="Firstnumbering"/>
        <w:rPr>
          <w:sz w:val="22"/>
          <w:szCs w:val="22"/>
        </w:rPr>
      </w:pPr>
      <w:r w:rsidRPr="003056E1">
        <w:rPr>
          <w:sz w:val="22"/>
          <w:szCs w:val="22"/>
        </w:rPr>
        <w:t xml:space="preserve">The risk assessment examined 273 bird taxa, including threatened species listed under Australia’s national environmental law, the </w:t>
      </w:r>
      <w:hyperlink r:id="rId15" w:history="1">
        <w:r w:rsidRPr="003056E1">
          <w:rPr>
            <w:rStyle w:val="Hyperlink"/>
            <w:i/>
            <w:iCs/>
            <w:sz w:val="22"/>
            <w:szCs w:val="22"/>
          </w:rPr>
          <w:t>Environment Protection and Biodiversity Conservation Act 1999</w:t>
        </w:r>
      </w:hyperlink>
      <w:r w:rsidRPr="003056E1">
        <w:rPr>
          <w:sz w:val="22"/>
          <w:szCs w:val="22"/>
        </w:rPr>
        <w:t xml:space="preserve"> (EPBC Act). The assessment was based on life-history data and behavioural attributes. The marine area of Australia was divided by state and territory boundaries in eight regions, and subdivided into coastal, inshore, and offshore sub-regions. The regional interest in offshore wind farm proposals and the movement of birds through those regions were also accounted for. Each taxon then received an overall risk score as a combination of a vulnerability score and a conservation score. Attribute scoring was based on peer-reviewed, publicly available data. Variables included in the analyses were productivity risk scores, which were based on conservation status and generation time; and susceptibility risk scores, which were based on flight height, flight manoeuvrability, and habitat specialization. </w:t>
      </w:r>
    </w:p>
    <w:p w14:paraId="4C215ED0" w14:textId="77777777" w:rsidR="003056E1" w:rsidRPr="003056E1" w:rsidRDefault="003056E1" w:rsidP="003056E1">
      <w:pPr>
        <w:pStyle w:val="Firstnumbering"/>
        <w:numPr>
          <w:ilvl w:val="0"/>
          <w:numId w:val="0"/>
        </w:numPr>
        <w:ind w:left="504"/>
        <w:rPr>
          <w:sz w:val="22"/>
          <w:szCs w:val="22"/>
        </w:rPr>
      </w:pPr>
    </w:p>
    <w:p w14:paraId="28DABCE0" w14:textId="35CCE130" w:rsidR="00FB18AB" w:rsidRDefault="00FB18AB" w:rsidP="00FB18AB">
      <w:pPr>
        <w:pStyle w:val="Firstnumbering"/>
        <w:rPr>
          <w:sz w:val="22"/>
          <w:szCs w:val="22"/>
        </w:rPr>
      </w:pPr>
      <w:r w:rsidRPr="003056E1">
        <w:rPr>
          <w:sz w:val="22"/>
          <w:szCs w:val="22"/>
        </w:rPr>
        <w:t>The risk assessment identified 81 high-risk taxa, from which 11 external migrant shorebirds occurred in most regions assessed. High-risk migratory birds included in CMS Appendices were the far eastern curlew (</w:t>
      </w:r>
      <w:r w:rsidRPr="003056E1">
        <w:rPr>
          <w:i/>
          <w:iCs/>
          <w:sz w:val="22"/>
          <w:szCs w:val="22"/>
        </w:rPr>
        <w:t xml:space="preserve">Numenius </w:t>
      </w:r>
      <w:proofErr w:type="spellStart"/>
      <w:r w:rsidRPr="003056E1">
        <w:rPr>
          <w:i/>
          <w:iCs/>
          <w:sz w:val="22"/>
          <w:szCs w:val="22"/>
        </w:rPr>
        <w:t>madagascariensis</w:t>
      </w:r>
      <w:proofErr w:type="spellEnd"/>
      <w:r w:rsidRPr="003056E1">
        <w:rPr>
          <w:i/>
          <w:iCs/>
          <w:sz w:val="22"/>
          <w:szCs w:val="22"/>
        </w:rPr>
        <w:t>;</w:t>
      </w:r>
      <w:r w:rsidRPr="003056E1">
        <w:rPr>
          <w:sz w:val="22"/>
          <w:szCs w:val="22"/>
        </w:rPr>
        <w:t xml:space="preserve"> CMS Appendix I), and nine albatross species (CMS Appendix II). Offshore regions in Victoria, New South Wales, Queensland, South Australia, Tasmania, and South</w:t>
      </w:r>
      <w:r w:rsidR="00EA6DA8" w:rsidRPr="003056E1">
        <w:rPr>
          <w:sz w:val="22"/>
          <w:szCs w:val="22"/>
        </w:rPr>
        <w:t>-west</w:t>
      </w:r>
      <w:r w:rsidRPr="003056E1">
        <w:rPr>
          <w:sz w:val="22"/>
          <w:szCs w:val="22"/>
        </w:rPr>
        <w:t xml:space="preserve"> Western Australia received the highest risk scores. These results enable establishing baseline data and developing mitigation measures. </w:t>
      </w:r>
    </w:p>
    <w:p w14:paraId="10A9DAFA" w14:textId="77777777" w:rsidR="003056E1" w:rsidRPr="003056E1" w:rsidRDefault="003056E1" w:rsidP="003056E1">
      <w:pPr>
        <w:pStyle w:val="Firstnumbering"/>
        <w:numPr>
          <w:ilvl w:val="0"/>
          <w:numId w:val="0"/>
        </w:numPr>
        <w:rPr>
          <w:sz w:val="22"/>
          <w:szCs w:val="22"/>
        </w:rPr>
      </w:pPr>
    </w:p>
    <w:p w14:paraId="6A8CB0D8" w14:textId="74FA73FF" w:rsidR="00FB18AB" w:rsidRDefault="00FB18AB" w:rsidP="00FB18AB">
      <w:pPr>
        <w:pStyle w:val="Firstnumbering"/>
        <w:rPr>
          <w:sz w:val="22"/>
          <w:szCs w:val="22"/>
        </w:rPr>
      </w:pPr>
      <w:r w:rsidRPr="003056E1">
        <w:rPr>
          <w:sz w:val="22"/>
          <w:szCs w:val="22"/>
        </w:rPr>
        <w:t xml:space="preserve">The most effective mitigation measure is to site the wind farms and associated infrastructure in areas of low numbers or low importance for birds. Large-scale bird distribution data is needed for this purpose. Technical measures to mitigate impacts could include changing the timing of turbine operation, for example by shutting down the turbines during migration periods or by developing automated curtailment systems; or building taller turbines that do not interfere with </w:t>
      </w:r>
      <w:r w:rsidRPr="003056E1">
        <w:rPr>
          <w:sz w:val="22"/>
          <w:szCs w:val="22"/>
        </w:rPr>
        <w:lastRenderedPageBreak/>
        <w:t xml:space="preserve">the birds’ flight height. Research, development, and validation of existing and emerging mitigation </w:t>
      </w:r>
      <w:r w:rsidR="009F1217" w:rsidRPr="003056E1">
        <w:rPr>
          <w:sz w:val="22"/>
          <w:szCs w:val="22"/>
        </w:rPr>
        <w:t>measures</w:t>
      </w:r>
      <w:r w:rsidRPr="003056E1">
        <w:rPr>
          <w:sz w:val="22"/>
          <w:szCs w:val="22"/>
        </w:rPr>
        <w:t xml:space="preserve"> is therefore of utmost importance.</w:t>
      </w:r>
    </w:p>
    <w:p w14:paraId="010861A3" w14:textId="77777777" w:rsidR="003056E1" w:rsidRPr="003056E1" w:rsidRDefault="003056E1" w:rsidP="003056E1">
      <w:pPr>
        <w:pStyle w:val="Firstnumbering"/>
        <w:numPr>
          <w:ilvl w:val="0"/>
          <w:numId w:val="0"/>
        </w:numPr>
        <w:rPr>
          <w:sz w:val="22"/>
          <w:szCs w:val="22"/>
        </w:rPr>
      </w:pPr>
    </w:p>
    <w:p w14:paraId="3C04A439" w14:textId="77777777" w:rsidR="007B0D07" w:rsidRDefault="00FB18AB" w:rsidP="008327B1">
      <w:pPr>
        <w:pStyle w:val="Firstnumbering"/>
        <w:rPr>
          <w:sz w:val="22"/>
          <w:szCs w:val="22"/>
        </w:rPr>
      </w:pPr>
      <w:r w:rsidRPr="003056E1">
        <w:rPr>
          <w:sz w:val="22"/>
          <w:szCs w:val="22"/>
        </w:rPr>
        <w:t xml:space="preserve">Future efforts should encompass collecting life history data and behavioural attributes of species likely to be affected by offshore wind farms. The spatial and temporal variability of the affected taxa should also be clear. Research, development, and testing of methods to predict and quantify the impacts on bird populations are needed to determine long-term population viability. The accuracy of ecological risk assessments could be further enhanced by using a combination of standardised monitoring approaches, which enables comparison across studies. </w:t>
      </w:r>
    </w:p>
    <w:p w14:paraId="75378190" w14:textId="77777777" w:rsidR="003056E1" w:rsidRPr="003056E1" w:rsidRDefault="003056E1" w:rsidP="003056E1">
      <w:pPr>
        <w:pStyle w:val="Firstnumbering"/>
        <w:numPr>
          <w:ilvl w:val="0"/>
          <w:numId w:val="0"/>
        </w:numPr>
        <w:rPr>
          <w:sz w:val="22"/>
          <w:szCs w:val="22"/>
        </w:rPr>
      </w:pPr>
    </w:p>
    <w:p w14:paraId="093BD95B" w14:textId="41B0F06F" w:rsidR="00FB18AB" w:rsidRDefault="00FB18AB" w:rsidP="008327B1">
      <w:pPr>
        <w:pStyle w:val="Firstnumbering"/>
        <w:rPr>
          <w:sz w:val="22"/>
          <w:szCs w:val="22"/>
        </w:rPr>
      </w:pPr>
      <w:r w:rsidRPr="003056E1">
        <w:rPr>
          <w:sz w:val="22"/>
          <w:szCs w:val="22"/>
        </w:rPr>
        <w:t xml:space="preserve">Additional recommendations include conducting the sensitivity analyses at regional scales to minimise the confounding effects of regional differences. Sharing of research findings will further enhance the reliability of ecological risk assessments and mitigation </w:t>
      </w:r>
      <w:r w:rsidR="009F1217" w:rsidRPr="003056E1">
        <w:rPr>
          <w:sz w:val="22"/>
          <w:szCs w:val="22"/>
        </w:rPr>
        <w:t>measures</w:t>
      </w:r>
      <w:r w:rsidRPr="003056E1">
        <w:rPr>
          <w:sz w:val="22"/>
          <w:szCs w:val="22"/>
        </w:rPr>
        <w:t xml:space="preserve">. </w:t>
      </w:r>
    </w:p>
    <w:p w14:paraId="1CD98FC3" w14:textId="77777777" w:rsidR="003056E1" w:rsidRPr="003056E1" w:rsidRDefault="003056E1" w:rsidP="003056E1">
      <w:pPr>
        <w:pStyle w:val="Firstnumbering"/>
        <w:numPr>
          <w:ilvl w:val="0"/>
          <w:numId w:val="0"/>
        </w:numPr>
        <w:rPr>
          <w:sz w:val="22"/>
          <w:szCs w:val="22"/>
        </w:rPr>
      </w:pPr>
    </w:p>
    <w:p w14:paraId="580E2670" w14:textId="1F7F8A62" w:rsidR="00FB18AB" w:rsidRDefault="00FB18AB" w:rsidP="00FB18AB">
      <w:pPr>
        <w:pStyle w:val="Firstnumbering"/>
        <w:rPr>
          <w:sz w:val="22"/>
          <w:szCs w:val="22"/>
        </w:rPr>
      </w:pPr>
      <w:r w:rsidRPr="003056E1">
        <w:rPr>
          <w:sz w:val="22"/>
          <w:szCs w:val="22"/>
        </w:rPr>
        <w:t xml:space="preserve">The cumulative impacts of offshore wind farms on bird populations should be considered when developing and </w:t>
      </w:r>
      <w:proofErr w:type="spellStart"/>
      <w:r w:rsidRPr="003056E1">
        <w:rPr>
          <w:sz w:val="22"/>
          <w:szCs w:val="22"/>
        </w:rPr>
        <w:t>assessing</w:t>
      </w:r>
      <w:proofErr w:type="spellEnd"/>
      <w:r w:rsidRPr="003056E1">
        <w:rPr>
          <w:sz w:val="22"/>
          <w:szCs w:val="22"/>
        </w:rPr>
        <w:t xml:space="preserve"> wind farm proposals. Population declines can only be prevented by assessing potential impacts of offshore wind farms, identifying high-risk taxa, and ensuring that appropriate mitigation </w:t>
      </w:r>
      <w:r w:rsidR="009F1217" w:rsidRPr="003056E1">
        <w:rPr>
          <w:sz w:val="22"/>
          <w:szCs w:val="22"/>
        </w:rPr>
        <w:t>measures</w:t>
      </w:r>
      <w:r w:rsidRPr="003056E1">
        <w:rPr>
          <w:sz w:val="22"/>
          <w:szCs w:val="22"/>
        </w:rPr>
        <w:t xml:space="preserve"> are in place.</w:t>
      </w:r>
    </w:p>
    <w:p w14:paraId="6067CD23" w14:textId="77777777" w:rsidR="003056E1" w:rsidRPr="003056E1" w:rsidRDefault="003056E1" w:rsidP="003056E1">
      <w:pPr>
        <w:pStyle w:val="Firstnumbering"/>
        <w:numPr>
          <w:ilvl w:val="0"/>
          <w:numId w:val="0"/>
        </w:numPr>
        <w:rPr>
          <w:sz w:val="22"/>
          <w:szCs w:val="22"/>
        </w:rPr>
      </w:pPr>
    </w:p>
    <w:p w14:paraId="31E5813D" w14:textId="77777777" w:rsidR="00FB18AB" w:rsidRPr="003056E1" w:rsidRDefault="00FB18AB" w:rsidP="00FB18AB">
      <w:pPr>
        <w:pStyle w:val="Firstnumbering"/>
        <w:rPr>
          <w:sz w:val="22"/>
          <w:szCs w:val="22"/>
        </w:rPr>
      </w:pPr>
      <w:r w:rsidRPr="003056E1">
        <w:rPr>
          <w:sz w:val="22"/>
          <w:szCs w:val="22"/>
        </w:rPr>
        <w:t xml:space="preserve">Given the increasing prevalence of offshore windfarms around the globe, it is critical to collaborate and share information, particularly innovative risk assessments that could be applicable elsewhere. </w:t>
      </w:r>
    </w:p>
    <w:p w14:paraId="2A82C880" w14:textId="77777777" w:rsidR="004641A5" w:rsidRPr="003056E1" w:rsidRDefault="004641A5" w:rsidP="004641A5">
      <w:pPr>
        <w:ind w:left="567" w:hanging="567"/>
        <w:jc w:val="both"/>
        <w:rPr>
          <w:rFonts w:cs="Arial"/>
          <w:lang w:val="en-GB"/>
        </w:rPr>
      </w:pPr>
    </w:p>
    <w:p w14:paraId="3668C89D" w14:textId="5FBB87F4" w:rsidR="00F726EB" w:rsidRPr="003056E1" w:rsidRDefault="00F726EB" w:rsidP="00C36EF8">
      <w:pPr>
        <w:suppressAutoHyphens/>
        <w:autoSpaceDE w:val="0"/>
        <w:autoSpaceDN w:val="0"/>
        <w:jc w:val="both"/>
        <w:textAlignment w:val="baseline"/>
        <w:rPr>
          <w:rFonts w:cs="Arial"/>
          <w:u w:val="single"/>
        </w:rPr>
      </w:pPr>
      <w:r w:rsidRPr="003056E1">
        <w:rPr>
          <w:rFonts w:cs="Arial"/>
          <w:u w:val="single"/>
        </w:rPr>
        <w:t>Recommend</w:t>
      </w:r>
      <w:r w:rsidR="00920A24" w:rsidRPr="003056E1">
        <w:rPr>
          <w:rFonts w:cs="Arial"/>
          <w:u w:val="single"/>
        </w:rPr>
        <w:t>ed actions</w:t>
      </w:r>
    </w:p>
    <w:p w14:paraId="100B05CE" w14:textId="77777777" w:rsidR="00F726EB" w:rsidRPr="003056E1" w:rsidRDefault="00F726EB" w:rsidP="00C36EF8">
      <w:pPr>
        <w:suppressAutoHyphens/>
        <w:autoSpaceDE w:val="0"/>
        <w:autoSpaceDN w:val="0"/>
        <w:jc w:val="both"/>
        <w:textAlignment w:val="baseline"/>
        <w:rPr>
          <w:rFonts w:cs="Arial"/>
        </w:rPr>
      </w:pPr>
    </w:p>
    <w:p w14:paraId="39678892" w14:textId="1309011A" w:rsidR="00C36EF8" w:rsidRDefault="00C36EF8" w:rsidP="00920A24">
      <w:pPr>
        <w:pStyle w:val="Firstnumbering"/>
        <w:ind w:left="540" w:hanging="540"/>
        <w:rPr>
          <w:sz w:val="22"/>
          <w:szCs w:val="22"/>
        </w:rPr>
      </w:pPr>
      <w:r w:rsidRPr="003056E1">
        <w:rPr>
          <w:sz w:val="22"/>
          <w:szCs w:val="22"/>
        </w:rPr>
        <w:t xml:space="preserve">The </w:t>
      </w:r>
      <w:r w:rsidR="00F726EB" w:rsidRPr="003056E1">
        <w:rPr>
          <w:sz w:val="22"/>
          <w:szCs w:val="22"/>
        </w:rPr>
        <w:t xml:space="preserve">Sessional Committee of the </w:t>
      </w:r>
      <w:r w:rsidRPr="003056E1">
        <w:rPr>
          <w:sz w:val="22"/>
          <w:szCs w:val="22"/>
        </w:rPr>
        <w:t>Scientific Council is recommended to:</w:t>
      </w:r>
    </w:p>
    <w:p w14:paraId="467F5FE3" w14:textId="77777777" w:rsidR="003056E1" w:rsidRPr="003056E1" w:rsidRDefault="003056E1" w:rsidP="003056E1">
      <w:pPr>
        <w:pStyle w:val="Firstnumbering"/>
        <w:numPr>
          <w:ilvl w:val="0"/>
          <w:numId w:val="0"/>
        </w:numPr>
        <w:ind w:left="540"/>
        <w:rPr>
          <w:sz w:val="22"/>
          <w:szCs w:val="22"/>
        </w:rPr>
      </w:pPr>
    </w:p>
    <w:p w14:paraId="7652A3AC" w14:textId="72E14090" w:rsidR="004641A5" w:rsidRDefault="00C36EF8" w:rsidP="003056E1">
      <w:pPr>
        <w:pStyle w:val="ListParagraph"/>
        <w:numPr>
          <w:ilvl w:val="0"/>
          <w:numId w:val="20"/>
        </w:numPr>
        <w:ind w:left="900"/>
        <w:rPr>
          <w:rFonts w:ascii="Arial" w:hAnsi="Arial" w:cs="Arial"/>
          <w:sz w:val="22"/>
          <w:szCs w:val="22"/>
        </w:rPr>
      </w:pPr>
      <w:r w:rsidRPr="003056E1">
        <w:rPr>
          <w:rFonts w:ascii="Arial" w:hAnsi="Arial" w:cs="Arial"/>
          <w:sz w:val="22"/>
          <w:szCs w:val="22"/>
        </w:rPr>
        <w:t>take note of this document</w:t>
      </w:r>
      <w:r w:rsidR="000F3BF7" w:rsidRPr="003056E1">
        <w:rPr>
          <w:rFonts w:ascii="Arial" w:hAnsi="Arial" w:cs="Arial"/>
          <w:sz w:val="22"/>
          <w:szCs w:val="22"/>
        </w:rPr>
        <w:t>; and</w:t>
      </w:r>
    </w:p>
    <w:p w14:paraId="31B99BB8" w14:textId="77777777" w:rsidR="003056E1" w:rsidRPr="003056E1" w:rsidRDefault="003056E1" w:rsidP="003056E1">
      <w:pPr>
        <w:pStyle w:val="ListParagraph"/>
        <w:ind w:left="900" w:hanging="360"/>
        <w:rPr>
          <w:rFonts w:ascii="Arial" w:hAnsi="Arial" w:cs="Arial"/>
          <w:sz w:val="22"/>
          <w:szCs w:val="22"/>
        </w:rPr>
      </w:pPr>
    </w:p>
    <w:p w14:paraId="730EB552" w14:textId="77777777" w:rsidR="004276A3" w:rsidRPr="003056E1" w:rsidRDefault="004276A3" w:rsidP="003056E1">
      <w:pPr>
        <w:pStyle w:val="Secondnumbering"/>
        <w:numPr>
          <w:ilvl w:val="0"/>
          <w:numId w:val="20"/>
        </w:numPr>
        <w:ind w:left="900"/>
        <w:rPr>
          <w:rFonts w:cs="Arial"/>
          <w:color w:val="000000" w:themeColor="text1"/>
        </w:rPr>
      </w:pPr>
      <w:r w:rsidRPr="003056E1">
        <w:rPr>
          <w:rFonts w:cs="Arial"/>
          <w:color w:val="000000" w:themeColor="text1"/>
        </w:rPr>
        <w:t>share the ecological risk assessment (Annex 1) with the CMS Energy Task Force.</w:t>
      </w:r>
    </w:p>
    <w:p w14:paraId="7E002107" w14:textId="77777777" w:rsidR="0068719C" w:rsidRPr="003056E1" w:rsidRDefault="0068719C" w:rsidP="00F650A9">
      <w:pPr>
        <w:rPr>
          <w:rFonts w:cs="Arial"/>
        </w:rPr>
      </w:pPr>
    </w:p>
    <w:p w14:paraId="76A055BA" w14:textId="7246B690" w:rsidR="00F650A9" w:rsidRPr="003056E1" w:rsidRDefault="00F650A9" w:rsidP="00F650A9">
      <w:pPr>
        <w:rPr>
          <w:rFonts w:cs="Arial"/>
          <w:u w:val="single"/>
        </w:rPr>
      </w:pPr>
      <w:r w:rsidRPr="3A0BD47C">
        <w:rPr>
          <w:rFonts w:cs="Arial"/>
          <w:u w:val="single"/>
        </w:rPr>
        <w:t>References:</w:t>
      </w:r>
    </w:p>
    <w:p w14:paraId="1116CE70" w14:textId="77777777" w:rsidR="00F726EB" w:rsidRPr="003056E1" w:rsidRDefault="00F726EB" w:rsidP="00F650A9">
      <w:pPr>
        <w:rPr>
          <w:rFonts w:cs="Arial"/>
        </w:rPr>
      </w:pPr>
    </w:p>
    <w:p w14:paraId="4ACB50CD" w14:textId="53E64C30" w:rsidR="00D1390A" w:rsidRPr="003056E1" w:rsidRDefault="00F650A9" w:rsidP="00D1390A">
      <w:pPr>
        <w:ind w:left="720" w:hanging="720"/>
        <w:rPr>
          <w:rFonts w:cs="Arial"/>
        </w:rPr>
      </w:pPr>
      <w:r w:rsidRPr="003056E1">
        <w:rPr>
          <w:rFonts w:cs="Arial"/>
        </w:rPr>
        <w:t xml:space="preserve">Australian Government, 1999. </w:t>
      </w:r>
      <w:hyperlink r:id="rId16" w:history="1">
        <w:r w:rsidRPr="003056E1">
          <w:rPr>
            <w:rStyle w:val="Hyperlink"/>
            <w:rFonts w:cs="Arial"/>
          </w:rPr>
          <w:t>Environment Protection and Biodiversity Conservation Act 1999</w:t>
        </w:r>
      </w:hyperlink>
      <w:r w:rsidRPr="003056E1">
        <w:rPr>
          <w:rFonts w:cs="Arial"/>
        </w:rPr>
        <w:t>, Canberra, Australia.</w:t>
      </w:r>
    </w:p>
    <w:p w14:paraId="4620A091" w14:textId="0075CD7B" w:rsidR="00D1390A" w:rsidRPr="003056E1" w:rsidRDefault="00F650A9" w:rsidP="00D1390A">
      <w:pPr>
        <w:ind w:left="720" w:hanging="720"/>
        <w:rPr>
          <w:rFonts w:cs="Arial"/>
        </w:rPr>
      </w:pPr>
      <w:r w:rsidRPr="003056E1">
        <w:rPr>
          <w:rFonts w:cs="Arial"/>
        </w:rPr>
        <w:t xml:space="preserve">DCCEEW, 2022. </w:t>
      </w:r>
      <w:hyperlink r:id="rId17" w:anchor=":~:text=on%20Wind%20Turbines-,Area%20in%20Bass%20Strait%20off%20Gippsland%20declared%20suitable%20for%20offshore,energy%20on%2019%20December%202022." w:history="1">
        <w:r w:rsidRPr="003056E1">
          <w:rPr>
            <w:rStyle w:val="Hyperlink"/>
            <w:rFonts w:cs="Arial"/>
          </w:rPr>
          <w:t>Area in Bass Strait off Gippsland declared suitable for offshore renewable energy.</w:t>
        </w:r>
      </w:hyperlink>
      <w:r w:rsidRPr="003056E1">
        <w:rPr>
          <w:rFonts w:cs="Arial"/>
        </w:rPr>
        <w:t xml:space="preserve"> Department of Climate Change, Energy, the Environment and Water, Canberra, Australia.</w:t>
      </w:r>
    </w:p>
    <w:p w14:paraId="1BB13CCC" w14:textId="3B56D5C7" w:rsidR="00D1390A" w:rsidRPr="003056E1" w:rsidRDefault="00F650A9" w:rsidP="00D1390A">
      <w:pPr>
        <w:ind w:left="720" w:hanging="720"/>
        <w:rPr>
          <w:rFonts w:cs="Arial"/>
        </w:rPr>
      </w:pPr>
      <w:r w:rsidRPr="003056E1">
        <w:rPr>
          <w:rFonts w:cs="Arial"/>
        </w:rPr>
        <w:t xml:space="preserve">NOPSEMA, 2023. </w:t>
      </w:r>
      <w:hyperlink r:id="rId18" w:history="1">
        <w:r w:rsidRPr="003056E1">
          <w:rPr>
            <w:rStyle w:val="Hyperlink"/>
            <w:rFonts w:cs="Arial"/>
          </w:rPr>
          <w:t>NOPSEMA research strategy 2023–2025</w:t>
        </w:r>
      </w:hyperlink>
      <w:r w:rsidRPr="003056E1">
        <w:rPr>
          <w:rFonts w:cs="Arial"/>
        </w:rPr>
        <w:t>. National Offshore Petroleum Safety and Environmental Management Authority, Perth, Australia.</w:t>
      </w:r>
    </w:p>
    <w:p w14:paraId="73E0908B" w14:textId="77777777" w:rsidR="00F650A9" w:rsidRPr="003056E1" w:rsidRDefault="00F650A9" w:rsidP="00D1390A">
      <w:pPr>
        <w:ind w:left="720" w:hanging="720"/>
        <w:rPr>
          <w:rFonts w:cs="Arial"/>
        </w:rPr>
      </w:pPr>
      <w:r w:rsidRPr="3A0BD47C">
        <w:rPr>
          <w:rFonts w:cs="Arial"/>
        </w:rPr>
        <w:t xml:space="preserve">Reid, K., Baker, G.B. and Woehler, E.J., 2023. An ecological risk assessment for the impacts of offshore wind farms on birds in Australia. </w:t>
      </w:r>
      <w:r w:rsidRPr="3A0BD47C">
        <w:rPr>
          <w:rFonts w:cs="Arial"/>
          <w:i/>
          <w:iCs/>
        </w:rPr>
        <w:t>Austral Ecology</w:t>
      </w:r>
      <w:r w:rsidRPr="3A0BD47C">
        <w:rPr>
          <w:rFonts w:cs="Arial"/>
        </w:rPr>
        <w:t xml:space="preserve"> 2023:00: 1–22. </w:t>
      </w:r>
      <w:hyperlink r:id="rId19" w:history="1">
        <w:r w:rsidRPr="3A0BD47C">
          <w:rPr>
            <w:rStyle w:val="Hyperlink"/>
            <w:rFonts w:cs="Arial"/>
          </w:rPr>
          <w:t>https://doi.org/10.1111/aec.13278</w:t>
        </w:r>
      </w:hyperlink>
      <w:r w:rsidRPr="3A0BD47C">
        <w:rPr>
          <w:rFonts w:cs="Arial"/>
        </w:rPr>
        <w:t>.</w:t>
      </w:r>
    </w:p>
    <w:p w14:paraId="4447A7E8" w14:textId="77777777" w:rsidR="00F650A9" w:rsidRPr="003056E1" w:rsidRDefault="00F650A9" w:rsidP="00D1390A">
      <w:pPr>
        <w:pStyle w:val="Secondnumbering"/>
        <w:numPr>
          <w:ilvl w:val="0"/>
          <w:numId w:val="0"/>
        </w:numPr>
        <w:ind w:left="720" w:hanging="720"/>
        <w:rPr>
          <w:rFonts w:cs="Arial"/>
          <w:color w:val="000000" w:themeColor="text1"/>
        </w:rPr>
      </w:pPr>
    </w:p>
    <w:p w14:paraId="40D991D3" w14:textId="77777777" w:rsidR="005872F6" w:rsidRPr="003056E1" w:rsidRDefault="005872F6" w:rsidP="003C1A96">
      <w:pPr>
        <w:suppressAutoHyphens/>
        <w:rPr>
          <w:rFonts w:eastAsia="Times New Roman" w:cs="Arial"/>
          <w:color w:val="000000"/>
          <w:kern w:val="2"/>
          <w:lang w:val="en-GB"/>
        </w:rPr>
      </w:pPr>
    </w:p>
    <w:p w14:paraId="3014C1BE" w14:textId="5B2D8B1C" w:rsidR="00070FEE" w:rsidRPr="003056E1" w:rsidRDefault="00070FEE" w:rsidP="003C1A96">
      <w:pPr>
        <w:suppressAutoHyphens/>
        <w:rPr>
          <w:rFonts w:eastAsia="Times New Roman" w:cs="Arial"/>
          <w:color w:val="000000"/>
          <w:kern w:val="2"/>
          <w:lang w:val="en-GB"/>
        </w:rPr>
      </w:pPr>
    </w:p>
    <w:p w14:paraId="44C27E5A" w14:textId="77777777" w:rsidR="00E556C2" w:rsidRDefault="00E556C2">
      <w:pPr>
        <w:rPr>
          <w:rFonts w:eastAsia="Times New Roman" w:cs="Arial"/>
          <w:color w:val="000000"/>
          <w:kern w:val="2"/>
          <w:lang w:val="en-GB"/>
        </w:rPr>
        <w:sectPr w:rsidR="00E556C2" w:rsidSect="004641A5">
          <w:headerReference w:type="even" r:id="rId20"/>
          <w:headerReference w:type="default" r:id="rId21"/>
          <w:footerReference w:type="even" r:id="rId22"/>
          <w:footerReference w:type="default" r:id="rId23"/>
          <w:headerReference w:type="first" r:id="rId24"/>
          <w:footerReference w:type="first" r:id="rId25"/>
          <w:pgSz w:w="11906" w:h="16838" w:code="9"/>
          <w:pgMar w:top="1134" w:right="1134" w:bottom="1134" w:left="1134" w:header="720" w:footer="580" w:gutter="0"/>
          <w:cols w:space="720"/>
          <w:titlePg/>
          <w:docGrid w:linePitch="360"/>
        </w:sectPr>
      </w:pPr>
    </w:p>
    <w:p w14:paraId="7D3EA109" w14:textId="4083C411" w:rsidR="00537A8F" w:rsidRPr="003056E1" w:rsidRDefault="00537A8F">
      <w:pPr>
        <w:rPr>
          <w:rFonts w:eastAsia="Times New Roman" w:cs="Arial"/>
          <w:color w:val="000000"/>
          <w:kern w:val="2"/>
          <w:lang w:val="en-GB"/>
        </w:rPr>
      </w:pPr>
    </w:p>
    <w:p w14:paraId="50E957A2" w14:textId="24D1F98F" w:rsidR="00595E90" w:rsidRPr="003056E1" w:rsidRDefault="00537A8F" w:rsidP="00495643">
      <w:pPr>
        <w:suppressAutoHyphens/>
        <w:jc w:val="right"/>
        <w:rPr>
          <w:rFonts w:eastAsia="Times New Roman" w:cs="Arial"/>
          <w:b/>
          <w:bCs/>
          <w:color w:val="000000"/>
          <w:kern w:val="2"/>
          <w:u w:val="single"/>
          <w:lang w:val="en-GB"/>
        </w:rPr>
      </w:pPr>
      <w:r w:rsidRPr="003056E1">
        <w:rPr>
          <w:rFonts w:eastAsia="Times New Roman" w:cs="Arial"/>
          <w:b/>
          <w:bCs/>
          <w:color w:val="000000"/>
          <w:kern w:val="2"/>
          <w:lang w:val="en-GB"/>
        </w:rPr>
        <w:t>ANNEX</w:t>
      </w:r>
    </w:p>
    <w:p w14:paraId="2E44B8F3" w14:textId="1D78190C" w:rsidR="00595E90" w:rsidRPr="003056E1" w:rsidRDefault="00595E90" w:rsidP="003C1A96">
      <w:pPr>
        <w:suppressAutoHyphens/>
        <w:rPr>
          <w:rFonts w:eastAsia="Times New Roman" w:cs="Arial"/>
          <w:b/>
          <w:bCs/>
          <w:color w:val="000000"/>
          <w:kern w:val="2"/>
          <w:u w:val="single"/>
          <w:lang w:val="en-GB"/>
        </w:rPr>
      </w:pPr>
    </w:p>
    <w:p w14:paraId="6C60CF1C" w14:textId="77777777" w:rsidR="00537A8F" w:rsidRPr="003056E1" w:rsidRDefault="00537A8F" w:rsidP="003C1A96">
      <w:pPr>
        <w:suppressAutoHyphens/>
        <w:rPr>
          <w:rFonts w:eastAsia="Times New Roman" w:cs="Arial"/>
          <w:color w:val="000000"/>
          <w:kern w:val="2"/>
          <w:lang w:val="en-GB"/>
        </w:rPr>
      </w:pPr>
    </w:p>
    <w:p w14:paraId="2365A1E0" w14:textId="72E593B7" w:rsidR="00595E90" w:rsidRPr="003056E1" w:rsidRDefault="00595E90" w:rsidP="003C1A96">
      <w:pPr>
        <w:suppressAutoHyphens/>
        <w:rPr>
          <w:rFonts w:eastAsia="Times New Roman" w:cs="Arial"/>
          <w:i/>
          <w:iCs/>
          <w:color w:val="000000"/>
          <w:kern w:val="2"/>
          <w:lang w:val="en-GB"/>
        </w:rPr>
      </w:pPr>
      <w:r w:rsidRPr="003056E1">
        <w:rPr>
          <w:rFonts w:eastAsia="Times New Roman" w:cs="Arial"/>
          <w:i/>
          <w:iCs/>
          <w:color w:val="000000"/>
          <w:kern w:val="2"/>
          <w:lang w:val="en-GB"/>
        </w:rPr>
        <w:t>Please click on the open access link below to access to the full paper</w:t>
      </w:r>
    </w:p>
    <w:p w14:paraId="0499CFFF" w14:textId="1BCD2CA0" w:rsidR="00595E90" w:rsidRPr="003056E1" w:rsidRDefault="00595E90" w:rsidP="003C1A96">
      <w:pPr>
        <w:suppressAutoHyphens/>
        <w:rPr>
          <w:rFonts w:eastAsia="Times New Roman" w:cs="Arial"/>
          <w:b/>
          <w:bCs/>
          <w:color w:val="000000"/>
          <w:kern w:val="2"/>
          <w:u w:val="single"/>
          <w:lang w:val="en-GB"/>
        </w:rPr>
      </w:pPr>
    </w:p>
    <w:p w14:paraId="2935B870" w14:textId="6A2330F9" w:rsidR="00595E90" w:rsidRPr="003056E1" w:rsidRDefault="00813648" w:rsidP="003C1A96">
      <w:pPr>
        <w:suppressAutoHyphens/>
        <w:rPr>
          <w:rFonts w:cs="Arial"/>
          <w:lang w:val="en-GB"/>
        </w:rPr>
      </w:pPr>
      <w:hyperlink r:id="rId26" w:history="1">
        <w:r w:rsidR="00595E90" w:rsidRPr="003056E1">
          <w:rPr>
            <w:rStyle w:val="Hyperlink"/>
            <w:rFonts w:cs="Arial"/>
            <w:lang w:val="en-GB"/>
          </w:rPr>
          <w:t>https://onlinelibrary.wiley.com/doi/full/10.1111/aec.13278</w:t>
        </w:r>
      </w:hyperlink>
    </w:p>
    <w:p w14:paraId="631AB498" w14:textId="50839641" w:rsidR="00595E90" w:rsidRPr="003056E1" w:rsidRDefault="00595E90" w:rsidP="003C1A96">
      <w:pPr>
        <w:suppressAutoHyphens/>
        <w:rPr>
          <w:rFonts w:cs="Arial"/>
          <w:lang w:val="en-GB"/>
        </w:rPr>
      </w:pPr>
    </w:p>
    <w:p w14:paraId="22D040D4" w14:textId="162A5987" w:rsidR="00D26471" w:rsidRPr="003056E1" w:rsidRDefault="00D26471" w:rsidP="00D26471">
      <w:pPr>
        <w:rPr>
          <w:rFonts w:cs="Arial"/>
          <w:lang w:val="en-GB"/>
        </w:rPr>
      </w:pPr>
    </w:p>
    <w:sectPr w:rsidR="00D26471" w:rsidRPr="003056E1" w:rsidSect="004641A5">
      <w:headerReference w:type="first" r:id="rId27"/>
      <w:footerReference w:type="first" r:id="rId28"/>
      <w:pgSz w:w="11906" w:h="16838"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1BE10" w14:textId="77777777" w:rsidR="002930C4" w:rsidRDefault="002930C4" w:rsidP="008562CA">
      <w:r>
        <w:separator/>
      </w:r>
    </w:p>
  </w:endnote>
  <w:endnote w:type="continuationSeparator" w:id="0">
    <w:p w14:paraId="585F68E1" w14:textId="77777777" w:rsidR="002930C4" w:rsidRDefault="002930C4" w:rsidP="008562CA">
      <w:r>
        <w:continuationSeparator/>
      </w:r>
    </w:p>
  </w:endnote>
  <w:endnote w:type="continuationNotice" w:id="1">
    <w:p w14:paraId="4F69B2C1" w14:textId="77777777" w:rsidR="002930C4" w:rsidRDefault="002930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0067"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85426" w14:textId="77777777" w:rsidR="003C0FC3" w:rsidRDefault="003C0F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5165" w14:textId="4D30652B" w:rsidR="001D684B" w:rsidRPr="0037416D" w:rsidRDefault="001D684B">
    <w:pPr>
      <w:pStyle w:val="Footer"/>
      <w:jc w:val="center"/>
      <w:rPr>
        <w:sz w:val="18"/>
        <w:szCs w:val="18"/>
      </w:rPr>
    </w:pPr>
    <w:r w:rsidRPr="0037416D">
      <w:rPr>
        <w:sz w:val="18"/>
        <w:szCs w:val="18"/>
      </w:rPr>
      <w:fldChar w:fldCharType="begin"/>
    </w:r>
    <w:r w:rsidRPr="0037416D">
      <w:rPr>
        <w:sz w:val="18"/>
        <w:szCs w:val="18"/>
      </w:rPr>
      <w:instrText xml:space="preserve"> PAGE   \* MERGEFORMAT </w:instrText>
    </w:r>
    <w:r w:rsidRPr="0037416D">
      <w:rPr>
        <w:sz w:val="18"/>
        <w:szCs w:val="18"/>
      </w:rPr>
      <w:fldChar w:fldCharType="separate"/>
    </w:r>
    <w:r w:rsidRPr="0037416D">
      <w:rPr>
        <w:noProof/>
        <w:sz w:val="18"/>
        <w:szCs w:val="18"/>
      </w:rPr>
      <w:t>2</w:t>
    </w:r>
    <w:r w:rsidRPr="0037416D">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BA69F" w14:textId="77777777" w:rsidR="002930C4" w:rsidRDefault="002930C4" w:rsidP="008562CA">
      <w:r>
        <w:separator/>
      </w:r>
    </w:p>
  </w:footnote>
  <w:footnote w:type="continuationSeparator" w:id="0">
    <w:p w14:paraId="274290F1" w14:textId="77777777" w:rsidR="002930C4" w:rsidRDefault="002930C4" w:rsidP="008562CA">
      <w:r>
        <w:continuationSeparator/>
      </w:r>
    </w:p>
  </w:footnote>
  <w:footnote w:type="continuationNotice" w:id="1">
    <w:p w14:paraId="2556D934" w14:textId="77777777" w:rsidR="002930C4" w:rsidRDefault="002930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B1FE" w14:textId="460FA8C9" w:rsidR="004641A5" w:rsidRPr="004641A5" w:rsidRDefault="004641A5" w:rsidP="004641A5">
    <w:pPr>
      <w:pBdr>
        <w:bottom w:val="single" w:sz="4" w:space="1" w:color="auto"/>
      </w:pBdr>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/Doc.</w:t>
    </w:r>
    <w:r w:rsidR="003056E1">
      <w:rPr>
        <w:rFonts w:cs="Arial"/>
        <w:i/>
        <w:iCs/>
        <w:sz w:val="18"/>
        <w:szCs w:val="18"/>
        <w:lang w:val="en-GB"/>
      </w:rPr>
      <w:t>12.3.2.2</w:t>
    </w:r>
  </w:p>
  <w:p w14:paraId="7B68B837" w14:textId="77777777" w:rsidR="004641A5" w:rsidRDefault="00464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BD31" w14:textId="64197054" w:rsidR="004641A5" w:rsidRPr="004641A5" w:rsidRDefault="004641A5" w:rsidP="004641A5">
    <w:pPr>
      <w:pBdr>
        <w:bottom w:val="single" w:sz="4" w:space="1" w:color="auto"/>
      </w:pBdr>
      <w:jc w:val="right"/>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/Doc.</w:t>
    </w:r>
    <w:r w:rsidR="003C0FC3">
      <w:rPr>
        <w:rFonts w:cs="Arial"/>
        <w:i/>
        <w:iCs/>
        <w:sz w:val="18"/>
        <w:szCs w:val="18"/>
        <w:lang w:val="en-GB"/>
      </w:rPr>
      <w:t>12.3.2.2</w:t>
    </w:r>
  </w:p>
  <w:p w14:paraId="60534E8A" w14:textId="77777777" w:rsidR="004641A5" w:rsidRDefault="00464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984E" w14:textId="77777777" w:rsidR="00D3197C" w:rsidRDefault="004F08DB" w:rsidP="00D3197C">
    <w:pPr>
      <w:pStyle w:val="Header"/>
    </w:pPr>
    <w:r>
      <w:rPr>
        <w:noProof/>
      </w:rPr>
      <w:drawing>
        <wp:anchor distT="0" distB="0" distL="114300" distR="114300" simplePos="0" relativeHeight="25165824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7"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0"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9" name="Picture 9"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D40E" w14:textId="3D9B7302" w:rsidR="00E556C2" w:rsidRPr="004641A5" w:rsidRDefault="00E556C2" w:rsidP="00E556C2">
    <w:pPr>
      <w:pBdr>
        <w:bottom w:val="single" w:sz="4" w:space="1" w:color="auto"/>
      </w:pBdr>
      <w:rPr>
        <w:rFonts w:cs="Arial"/>
        <w:i/>
        <w:iCs/>
        <w:sz w:val="18"/>
        <w:szCs w:val="18"/>
        <w:lang w:val="en-GB"/>
      </w:rPr>
    </w:pPr>
    <w:r w:rsidRPr="004641A5">
      <w:rPr>
        <w:rFonts w:cs="Arial"/>
        <w:i/>
        <w:iCs/>
        <w:sz w:val="18"/>
        <w:szCs w:val="18"/>
        <w:lang w:val="en-GB"/>
      </w:rPr>
      <w:t>UNEP/CMS/ScC-SC</w:t>
    </w:r>
    <w:r>
      <w:rPr>
        <w:rFonts w:cs="Arial"/>
        <w:i/>
        <w:iCs/>
        <w:sz w:val="18"/>
        <w:szCs w:val="18"/>
        <w:lang w:val="en-GB"/>
      </w:rPr>
      <w:t>6</w:t>
    </w:r>
    <w:r w:rsidRPr="004641A5">
      <w:rPr>
        <w:rFonts w:cs="Arial"/>
        <w:i/>
        <w:iCs/>
        <w:sz w:val="18"/>
        <w:szCs w:val="18"/>
        <w:lang w:val="en-GB"/>
      </w:rPr>
      <w:t>/Doc.</w:t>
    </w:r>
    <w:r>
      <w:rPr>
        <w:rFonts w:cs="Arial"/>
        <w:i/>
        <w:iCs/>
        <w:sz w:val="18"/>
        <w:szCs w:val="18"/>
        <w:lang w:val="en-GB"/>
      </w:rPr>
      <w:t>12.3.2.2/Annex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87B0D"/>
    <w:multiLevelType w:val="hybridMultilevel"/>
    <w:tmpl w:val="A1C0C350"/>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5554FF"/>
    <w:multiLevelType w:val="hybridMultilevel"/>
    <w:tmpl w:val="75525DA2"/>
    <w:lvl w:ilvl="0" w:tplc="6980EF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0A526B"/>
    <w:multiLevelType w:val="hybridMultilevel"/>
    <w:tmpl w:val="3AD43FCE"/>
    <w:lvl w:ilvl="0" w:tplc="C44666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0C7C3A"/>
    <w:multiLevelType w:val="hybridMultilevel"/>
    <w:tmpl w:val="C6D6865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8"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E638EA"/>
    <w:multiLevelType w:val="hybridMultilevel"/>
    <w:tmpl w:val="5D74A536"/>
    <w:lvl w:ilvl="0" w:tplc="FB404E30">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2"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7921480">
    <w:abstractNumId w:val="17"/>
  </w:num>
  <w:num w:numId="2" w16cid:durableId="1330258007">
    <w:abstractNumId w:val="12"/>
  </w:num>
  <w:num w:numId="3" w16cid:durableId="216629081">
    <w:abstractNumId w:val="22"/>
  </w:num>
  <w:num w:numId="4" w16cid:durableId="2089496676">
    <w:abstractNumId w:val="11"/>
  </w:num>
  <w:num w:numId="5" w16cid:durableId="995305865">
    <w:abstractNumId w:val="7"/>
  </w:num>
  <w:num w:numId="6" w16cid:durableId="1591543126">
    <w:abstractNumId w:val="5"/>
  </w:num>
  <w:num w:numId="7" w16cid:durableId="1509979557">
    <w:abstractNumId w:val="20"/>
  </w:num>
  <w:num w:numId="8" w16cid:durableId="1284387885">
    <w:abstractNumId w:val="15"/>
  </w:num>
  <w:num w:numId="9" w16cid:durableId="1792672819">
    <w:abstractNumId w:val="10"/>
  </w:num>
  <w:num w:numId="10" w16cid:durableId="1602376025">
    <w:abstractNumId w:val="6"/>
  </w:num>
  <w:num w:numId="11" w16cid:durableId="583103219">
    <w:abstractNumId w:val="0"/>
  </w:num>
  <w:num w:numId="12" w16cid:durableId="764500067">
    <w:abstractNumId w:val="1"/>
  </w:num>
  <w:num w:numId="13" w16cid:durableId="241188056">
    <w:abstractNumId w:val="21"/>
  </w:num>
  <w:num w:numId="14" w16cid:durableId="1744138892">
    <w:abstractNumId w:val="13"/>
  </w:num>
  <w:num w:numId="15" w16cid:durableId="512185356">
    <w:abstractNumId w:val="14"/>
  </w:num>
  <w:num w:numId="16" w16cid:durableId="206646908">
    <w:abstractNumId w:val="4"/>
  </w:num>
  <w:num w:numId="17" w16cid:durableId="309864782">
    <w:abstractNumId w:val="18"/>
  </w:num>
  <w:num w:numId="18" w16cid:durableId="569925518">
    <w:abstractNumId w:val="16"/>
  </w:num>
  <w:num w:numId="19" w16cid:durableId="1092772899">
    <w:abstractNumId w:val="9"/>
  </w:num>
  <w:num w:numId="20" w16cid:durableId="172032948">
    <w:abstractNumId w:val="8"/>
  </w:num>
  <w:num w:numId="21" w16cid:durableId="574709241">
    <w:abstractNumId w:val="3"/>
  </w:num>
  <w:num w:numId="22" w16cid:durableId="1045375968">
    <w:abstractNumId w:val="19"/>
  </w:num>
  <w:num w:numId="23" w16cid:durableId="1855999009">
    <w:abstractNumId w:val="2"/>
  </w:num>
  <w:num w:numId="24" w16cid:durableId="20541099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14A9"/>
    <w:rsid w:val="000071F7"/>
    <w:rsid w:val="00034F7E"/>
    <w:rsid w:val="00051664"/>
    <w:rsid w:val="00062598"/>
    <w:rsid w:val="00063003"/>
    <w:rsid w:val="00070FEE"/>
    <w:rsid w:val="000A52F9"/>
    <w:rsid w:val="000C0E0A"/>
    <w:rsid w:val="000C2262"/>
    <w:rsid w:val="000F3BF7"/>
    <w:rsid w:val="000F4744"/>
    <w:rsid w:val="00136B41"/>
    <w:rsid w:val="0015723E"/>
    <w:rsid w:val="001628A5"/>
    <w:rsid w:val="001A2509"/>
    <w:rsid w:val="001B12B6"/>
    <w:rsid w:val="001B7C41"/>
    <w:rsid w:val="001D5985"/>
    <w:rsid w:val="001D684B"/>
    <w:rsid w:val="001F56E8"/>
    <w:rsid w:val="0020115E"/>
    <w:rsid w:val="0023618C"/>
    <w:rsid w:val="002930C4"/>
    <w:rsid w:val="002B4A40"/>
    <w:rsid w:val="002B4C8C"/>
    <w:rsid w:val="002E6CC4"/>
    <w:rsid w:val="002E7E18"/>
    <w:rsid w:val="002F2584"/>
    <w:rsid w:val="002F2A90"/>
    <w:rsid w:val="003056E1"/>
    <w:rsid w:val="003269EB"/>
    <w:rsid w:val="0037416D"/>
    <w:rsid w:val="003A7C33"/>
    <w:rsid w:val="003B1260"/>
    <w:rsid w:val="003C0FC3"/>
    <w:rsid w:val="003C1A96"/>
    <w:rsid w:val="003D7753"/>
    <w:rsid w:val="004276A3"/>
    <w:rsid w:val="00445D56"/>
    <w:rsid w:val="004641A5"/>
    <w:rsid w:val="00490FF8"/>
    <w:rsid w:val="00495643"/>
    <w:rsid w:val="004C23E6"/>
    <w:rsid w:val="004C58D1"/>
    <w:rsid w:val="004D6321"/>
    <w:rsid w:val="004E2CB0"/>
    <w:rsid w:val="004F08DB"/>
    <w:rsid w:val="00511000"/>
    <w:rsid w:val="00537A8F"/>
    <w:rsid w:val="005576EE"/>
    <w:rsid w:val="005872F6"/>
    <w:rsid w:val="00595E90"/>
    <w:rsid w:val="005A5A2C"/>
    <w:rsid w:val="005C31C7"/>
    <w:rsid w:val="005C35CB"/>
    <w:rsid w:val="005D00EE"/>
    <w:rsid w:val="005D178C"/>
    <w:rsid w:val="005E1A0D"/>
    <w:rsid w:val="005E1A40"/>
    <w:rsid w:val="006132DB"/>
    <w:rsid w:val="006278CE"/>
    <w:rsid w:val="00660CF7"/>
    <w:rsid w:val="006736DF"/>
    <w:rsid w:val="0068719C"/>
    <w:rsid w:val="0069349B"/>
    <w:rsid w:val="006B0385"/>
    <w:rsid w:val="006F26E4"/>
    <w:rsid w:val="00711791"/>
    <w:rsid w:val="0071781C"/>
    <w:rsid w:val="00724861"/>
    <w:rsid w:val="00737B5A"/>
    <w:rsid w:val="00763277"/>
    <w:rsid w:val="007A0877"/>
    <w:rsid w:val="007A5704"/>
    <w:rsid w:val="007B0D07"/>
    <w:rsid w:val="007B45DE"/>
    <w:rsid w:val="007D06CA"/>
    <w:rsid w:val="007E238D"/>
    <w:rsid w:val="007E4CF4"/>
    <w:rsid w:val="007F6EBD"/>
    <w:rsid w:val="00813648"/>
    <w:rsid w:val="00822E98"/>
    <w:rsid w:val="008327B1"/>
    <w:rsid w:val="00844F23"/>
    <w:rsid w:val="008561E5"/>
    <w:rsid w:val="008562CA"/>
    <w:rsid w:val="00871401"/>
    <w:rsid w:val="008D0D6A"/>
    <w:rsid w:val="008D7252"/>
    <w:rsid w:val="00903CEB"/>
    <w:rsid w:val="00920A24"/>
    <w:rsid w:val="00955215"/>
    <w:rsid w:val="00966666"/>
    <w:rsid w:val="009A012D"/>
    <w:rsid w:val="009A0DD0"/>
    <w:rsid w:val="009A40F8"/>
    <w:rsid w:val="009C19C3"/>
    <w:rsid w:val="009C7B88"/>
    <w:rsid w:val="009F1217"/>
    <w:rsid w:val="009F415B"/>
    <w:rsid w:val="00A21B78"/>
    <w:rsid w:val="00A258AE"/>
    <w:rsid w:val="00A308E8"/>
    <w:rsid w:val="00A40CC0"/>
    <w:rsid w:val="00A51B0B"/>
    <w:rsid w:val="00A779DC"/>
    <w:rsid w:val="00A8411C"/>
    <w:rsid w:val="00AA7146"/>
    <w:rsid w:val="00AB7979"/>
    <w:rsid w:val="00AE247E"/>
    <w:rsid w:val="00AE5194"/>
    <w:rsid w:val="00B215D7"/>
    <w:rsid w:val="00B43FA1"/>
    <w:rsid w:val="00B66044"/>
    <w:rsid w:val="00B7690E"/>
    <w:rsid w:val="00BA2E43"/>
    <w:rsid w:val="00BA6EC2"/>
    <w:rsid w:val="00BE7C6B"/>
    <w:rsid w:val="00C35BFC"/>
    <w:rsid w:val="00C36EF8"/>
    <w:rsid w:val="00C37847"/>
    <w:rsid w:val="00C51531"/>
    <w:rsid w:val="00C515BD"/>
    <w:rsid w:val="00CA3264"/>
    <w:rsid w:val="00CB655F"/>
    <w:rsid w:val="00D1390A"/>
    <w:rsid w:val="00D15371"/>
    <w:rsid w:val="00D26471"/>
    <w:rsid w:val="00D3197C"/>
    <w:rsid w:val="00D62D74"/>
    <w:rsid w:val="00D6324F"/>
    <w:rsid w:val="00D732DB"/>
    <w:rsid w:val="00DA207A"/>
    <w:rsid w:val="00DA6351"/>
    <w:rsid w:val="00DB4110"/>
    <w:rsid w:val="00DB5F96"/>
    <w:rsid w:val="00DC7969"/>
    <w:rsid w:val="00DD5B36"/>
    <w:rsid w:val="00E129A3"/>
    <w:rsid w:val="00E142E4"/>
    <w:rsid w:val="00E26398"/>
    <w:rsid w:val="00E556C2"/>
    <w:rsid w:val="00E56CCB"/>
    <w:rsid w:val="00E81F85"/>
    <w:rsid w:val="00EA6DA8"/>
    <w:rsid w:val="00ED0D79"/>
    <w:rsid w:val="00F01E83"/>
    <w:rsid w:val="00F4206A"/>
    <w:rsid w:val="00F650A9"/>
    <w:rsid w:val="00F726EB"/>
    <w:rsid w:val="00F82C63"/>
    <w:rsid w:val="00FB18AB"/>
    <w:rsid w:val="00FC641D"/>
    <w:rsid w:val="00FD6AE7"/>
    <w:rsid w:val="00FE7623"/>
    <w:rsid w:val="00FF0D2B"/>
    <w:rsid w:val="00FF1C6D"/>
    <w:rsid w:val="3A0BD4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92147E12-965A-4B38-BBFE-4E4344F0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character" w:styleId="CommentReference">
    <w:name w:val="annotation reference"/>
    <w:basedOn w:val="DefaultParagraphFont"/>
    <w:uiPriority w:val="99"/>
    <w:semiHidden/>
    <w:unhideWhenUsed/>
    <w:rsid w:val="00FB18AB"/>
    <w:rPr>
      <w:sz w:val="16"/>
      <w:szCs w:val="16"/>
    </w:rPr>
  </w:style>
  <w:style w:type="paragraph" w:styleId="CommentText">
    <w:name w:val="annotation text"/>
    <w:basedOn w:val="Normal"/>
    <w:link w:val="CommentTextChar"/>
    <w:uiPriority w:val="99"/>
    <w:unhideWhenUsed/>
    <w:rsid w:val="00FB18AB"/>
    <w:pPr>
      <w:spacing w:after="160"/>
    </w:pPr>
    <w:rPr>
      <w:rFonts w:asciiTheme="minorHAnsi" w:hAnsiTheme="minorHAnsi"/>
      <w:kern w:val="2"/>
      <w:sz w:val="20"/>
      <w:szCs w:val="20"/>
      <w:lang w:val="en-AU"/>
      <w14:ligatures w14:val="standardContextual"/>
    </w:rPr>
  </w:style>
  <w:style w:type="character" w:customStyle="1" w:styleId="CommentTextChar">
    <w:name w:val="Comment Text Char"/>
    <w:basedOn w:val="DefaultParagraphFont"/>
    <w:link w:val="CommentText"/>
    <w:uiPriority w:val="99"/>
    <w:rsid w:val="00FB18AB"/>
    <w:rPr>
      <w:kern w:val="2"/>
      <w:sz w:val="20"/>
      <w:szCs w:val="20"/>
      <w:lang w:val="en-AU"/>
      <w14:ligatures w14:val="standardContextual"/>
    </w:rPr>
  </w:style>
  <w:style w:type="paragraph" w:customStyle="1" w:styleId="Secondnumbering">
    <w:name w:val="Second numbering"/>
    <w:basedOn w:val="Normal"/>
    <w:link w:val="SecondnumberingChar"/>
    <w:qFormat/>
    <w:rsid w:val="004276A3"/>
    <w:pPr>
      <w:numPr>
        <w:numId w:val="21"/>
      </w:numPr>
    </w:pPr>
    <w:rPr>
      <w:lang w:val="en-GB"/>
    </w:rPr>
  </w:style>
  <w:style w:type="character" w:customStyle="1" w:styleId="SecondnumberingChar">
    <w:name w:val="Second numbering Char"/>
    <w:basedOn w:val="DefaultParagraphFont"/>
    <w:link w:val="Secondnumbering"/>
    <w:rsid w:val="004276A3"/>
    <w:rPr>
      <w:rFonts w:ascii="Arial" w:hAnsi="Arial"/>
      <w:lang w:val="en-GB"/>
    </w:rPr>
  </w:style>
  <w:style w:type="paragraph" w:customStyle="1" w:styleId="Title1">
    <w:name w:val="Title1"/>
    <w:basedOn w:val="Normal"/>
    <w:link w:val="TITLEChar"/>
    <w:qFormat/>
    <w:rsid w:val="00903CEB"/>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903CEB"/>
    <w:rPr>
      <w:rFonts w:ascii="Arial" w:eastAsia="Times New Roman" w:hAnsi="Arial" w:cs="Arial"/>
      <w:b/>
      <w:caps/>
      <w:lang w:val="en-GB"/>
    </w:rPr>
  </w:style>
  <w:style w:type="paragraph" w:styleId="CommentSubject">
    <w:name w:val="annotation subject"/>
    <w:basedOn w:val="CommentText"/>
    <w:next w:val="CommentText"/>
    <w:link w:val="CommentSubjectChar"/>
    <w:uiPriority w:val="99"/>
    <w:semiHidden/>
    <w:unhideWhenUsed/>
    <w:rsid w:val="001D5985"/>
    <w:pPr>
      <w:spacing w:after="0"/>
    </w:pPr>
    <w:rPr>
      <w:rFonts w:ascii="Arial" w:hAnsi="Arial"/>
      <w:b/>
      <w:bCs/>
      <w:kern w:val="0"/>
      <w:lang w:val="en-US"/>
      <w14:ligatures w14:val="none"/>
    </w:rPr>
  </w:style>
  <w:style w:type="character" w:customStyle="1" w:styleId="CommentSubjectChar">
    <w:name w:val="Comment Subject Char"/>
    <w:basedOn w:val="CommentTextChar"/>
    <w:link w:val="CommentSubject"/>
    <w:uiPriority w:val="99"/>
    <w:semiHidden/>
    <w:rsid w:val="001D5985"/>
    <w:rPr>
      <w:rFonts w:ascii="Arial" w:hAnsi="Arial"/>
      <w:b/>
      <w:bCs/>
      <w:kern w:val="2"/>
      <w:sz w:val="20"/>
      <w:szCs w:val="20"/>
      <w:lang w:val="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22L01736" TargetMode="External"/><Relationship Id="rId18" Type="http://schemas.openxmlformats.org/officeDocument/2006/relationships/hyperlink" Target="https://www.nopsema.gov.au/sites/default/files/documents/NOPSEMA%20Research%20Strategy%202023-2025.pdf" TargetMode="External"/><Relationship Id="rId26" Type="http://schemas.openxmlformats.org/officeDocument/2006/relationships/hyperlink" Target="https://onlinelibrary.wiley.com/doi/full/10.1111/aec.13278"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legislation.gov.au/Details/F2022L01422" TargetMode="External"/><Relationship Id="rId17" Type="http://schemas.openxmlformats.org/officeDocument/2006/relationships/hyperlink" Target="https://www.dcceew.gov.au/energy/renewable/establishing-offshore-infrastructure/gippsland"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egislation.gov.au/Series/C2004A00485"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C2022C00346"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legislation.gov.au/Details/C2022C00214"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doi.org/10.1111/aec.1327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nlinelibrary.wiley.com/doi/full/10.1111/aec.13278"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66929-160B-45B0-8DCA-4CE74A4326EB}">
  <ds:schemaRefs>
    <ds:schemaRef ds:uri="http://schemas.microsoft.com/office/2006/metadata/properties"/>
    <ds:schemaRef ds:uri="http://purl.org/dc/terms/"/>
    <ds:schemaRef ds:uri="http://schemas.microsoft.com/office/2006/documentManagement/types"/>
    <ds:schemaRef ds:uri="http://purl.org/dc/dcmitype/"/>
    <ds:schemaRef ds:uri="985ec44e-1bab-4c0b-9df0-6ba128686fc9"/>
    <ds:schemaRef ds:uri="http://schemas.microsoft.com/office/infopath/2007/PartnerControls"/>
    <ds:schemaRef ds:uri="c15478a5-0be8-4f5d-8383-b307d5ba8bf6"/>
    <ds:schemaRef ds:uri="http://schemas.openxmlformats.org/package/2006/metadata/core-properties"/>
    <ds:schemaRef ds:uri="a7b50396-0b06-45c1-b28e-46f86d566a10"/>
    <ds:schemaRef ds:uri="http://www.w3.org/XML/1998/namespace"/>
    <ds:schemaRef ds:uri="http://purl.org/dc/elements/1.1/"/>
  </ds:schemaRefs>
</ds:datastoreItem>
</file>

<file path=customXml/itemProps2.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3.xml><?xml version="1.0" encoding="utf-8"?>
<ds:datastoreItem xmlns:ds="http://schemas.openxmlformats.org/officeDocument/2006/customXml" ds:itemID="{65030AD6-B5E9-4E97-91DA-396F18126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DF36CB-F696-4B52-892A-4976EE56F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6647</Characters>
  <Application>Microsoft Office Word</Application>
  <DocSecurity>0</DocSecurity>
  <Lines>55</Lines>
  <Paragraphs>15</Paragraphs>
  <ScaleCrop>false</ScaleCrop>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Offshore wind farms note_cms_scc-sc6_with annex</dc:title>
  <dc:subject/>
  <dc:creator>UNEP/CMS Secretariat</dc:creator>
  <cp:keywords/>
  <dc:description/>
  <cp:lastModifiedBy>Catherine Brueckner</cp:lastModifiedBy>
  <cp:revision>2</cp:revision>
  <cp:lastPrinted>2023-06-23T07:37:00Z</cp:lastPrinted>
  <dcterms:created xsi:type="dcterms:W3CDTF">2023-06-23T07:37:00Z</dcterms:created>
  <dcterms:modified xsi:type="dcterms:W3CDTF">2023-06-23T07:37:00Z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RecordPoint_WorkflowType">
    <vt:lpwstr>ActiveSubmitStub</vt:lpwstr>
  </property>
  <property fmtid="{D5CDD505-2E9C-101B-9397-08002B2CF9AE}" pid="7" name="RecordPoint_ActiveItemSiteId">
    <vt:lpwstr>{8003c3b3-d20c-4e9a-bee9-0e2243d810ee}</vt:lpwstr>
  </property>
  <property fmtid="{D5CDD505-2E9C-101B-9397-08002B2CF9AE}" pid="8" name="RecordPoint_ActiveItemListId">
    <vt:lpwstr>{8f8e95cd-75f6-408e-927c-77860946c209}</vt:lpwstr>
  </property>
  <property fmtid="{D5CDD505-2E9C-101B-9397-08002B2CF9AE}" pid="9" name="RecordPoint_ActiveItemUniqueId">
    <vt:lpwstr>{c41c1359-0a50-4828-8e8a-ddac9f90bf4c}</vt:lpwstr>
  </property>
  <property fmtid="{D5CDD505-2E9C-101B-9397-08002B2CF9AE}" pid="10" name="RecordPoint_ActiveItemWebId">
    <vt:lpwstr>{344c6e69-c594-4ca4-b341-09ae9dfc1422}</vt:lpwstr>
  </property>
  <property fmtid="{D5CDD505-2E9C-101B-9397-08002B2CF9AE}" pid="11" name="RecordPoint_SubmissionDate">
    <vt:lpwstr/>
  </property>
  <property fmtid="{D5CDD505-2E9C-101B-9397-08002B2CF9AE}" pid="12" name="RecordPoint_RecordNumberSubmitted">
    <vt:lpwstr/>
  </property>
  <property fmtid="{D5CDD505-2E9C-101B-9397-08002B2CF9AE}" pid="13" name="RecordPoint_ActiveItemMoved">
    <vt:lpwstr/>
  </property>
  <property fmtid="{D5CDD505-2E9C-101B-9397-08002B2CF9AE}" pid="14" name="RecordPoint_SubmissionCompleted">
    <vt:lpwstr/>
  </property>
  <property fmtid="{D5CDD505-2E9C-101B-9397-08002B2CF9AE}" pid="15" name="RecordPoint_RecordFormat">
    <vt:lpwstr/>
  </property>
</Properties>
</file>