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4A2365AC" w:rsidR="00355BE3" w:rsidRDefault="00567FB0" w:rsidP="00355BE3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In-session version</w:t>
      </w:r>
    </w:p>
    <w:p w14:paraId="678CFFB1" w14:textId="77777777" w:rsidR="00567FB0" w:rsidRPr="00275CED" w:rsidRDefault="00567FB0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268E260F" w14:textId="3145D43C" w:rsidR="007B59A3" w:rsidRPr="00AF6C3F" w:rsidRDefault="00567FB0" w:rsidP="007B59A3">
      <w:pPr>
        <w:jc w:val="center"/>
        <w:rPr>
          <w:b/>
          <w:sz w:val="22"/>
          <w:szCs w:val="22"/>
        </w:rPr>
      </w:pPr>
      <w:hyperlink r:id="rId10" w:history="1">
        <w:r w:rsidR="00AF6C3F" w:rsidRPr="00AF6C3F">
          <w:rPr>
            <w:rStyle w:val="Hyperlink"/>
            <w:b/>
            <w:color w:val="auto"/>
            <w:sz w:val="22"/>
            <w:szCs w:val="22"/>
            <w:u w:val="none"/>
          </w:rPr>
          <w:t>PROPOSAL FOR THE INCLUSION OF THE EURASIAN LYNX (</w:t>
        </w:r>
        <w:r w:rsidR="00382A55" w:rsidRPr="00382A55">
          <w:rPr>
            <w:rStyle w:val="Hyperlink"/>
            <w:b/>
            <w:i/>
            <w:iCs/>
            <w:color w:val="auto"/>
            <w:sz w:val="22"/>
            <w:szCs w:val="22"/>
            <w:u w:val="none"/>
          </w:rPr>
          <w:t>Lynx Lynx</w:t>
        </w:r>
        <w:r w:rsidR="00AF6C3F" w:rsidRPr="00AF6C3F">
          <w:rPr>
            <w:rStyle w:val="Hyperlink"/>
            <w:b/>
            <w:color w:val="auto"/>
            <w:sz w:val="22"/>
            <w:szCs w:val="22"/>
            <w:u w:val="none"/>
          </w:rPr>
          <w:t>) IN APPENDIX II AND BALKAN LYNX (</w:t>
        </w:r>
        <w:r w:rsidR="00382A55" w:rsidRPr="00382A55">
          <w:rPr>
            <w:rStyle w:val="Hyperlink"/>
            <w:b/>
            <w:i/>
            <w:iCs/>
            <w:color w:val="auto"/>
            <w:sz w:val="22"/>
            <w:szCs w:val="22"/>
            <w:u w:val="none"/>
          </w:rPr>
          <w:t xml:space="preserve">Lynx </w:t>
        </w:r>
        <w:proofErr w:type="spellStart"/>
        <w:r w:rsidR="00382A55" w:rsidRPr="00382A55">
          <w:rPr>
            <w:rStyle w:val="Hyperlink"/>
            <w:b/>
            <w:i/>
            <w:iCs/>
            <w:color w:val="auto"/>
            <w:sz w:val="22"/>
            <w:szCs w:val="22"/>
            <w:u w:val="none"/>
          </w:rPr>
          <w:t>Lynx</w:t>
        </w:r>
        <w:proofErr w:type="spellEnd"/>
        <w:r w:rsidR="00382A55" w:rsidRPr="00382A55">
          <w:rPr>
            <w:rStyle w:val="Hyperlink"/>
            <w:b/>
            <w:i/>
            <w:iCs/>
            <w:color w:val="auto"/>
            <w:sz w:val="22"/>
            <w:szCs w:val="22"/>
            <w:u w:val="none"/>
          </w:rPr>
          <w:t xml:space="preserve"> </w:t>
        </w:r>
        <w:proofErr w:type="spellStart"/>
        <w:r w:rsidR="00382A55" w:rsidRPr="00382A55">
          <w:rPr>
            <w:rStyle w:val="Hyperlink"/>
            <w:b/>
            <w:i/>
            <w:iCs/>
            <w:color w:val="auto"/>
            <w:sz w:val="22"/>
            <w:szCs w:val="22"/>
            <w:u w:val="none"/>
          </w:rPr>
          <w:t>Balcanicus</w:t>
        </w:r>
        <w:proofErr w:type="spellEnd"/>
        <w:r w:rsidR="00AF6C3F" w:rsidRPr="00AF6C3F">
          <w:rPr>
            <w:rStyle w:val="Hyperlink"/>
            <w:b/>
            <w:color w:val="auto"/>
            <w:sz w:val="22"/>
            <w:szCs w:val="22"/>
            <w:u w:val="none"/>
          </w:rPr>
          <w:t>) IN APPENDIX I OF THE CONVENTION</w:t>
        </w:r>
      </w:hyperlink>
    </w:p>
    <w:p w14:paraId="18590EEF" w14:textId="77777777" w:rsidR="00AF6C3F" w:rsidRPr="00743376" w:rsidRDefault="00AF6C3F" w:rsidP="007B59A3">
      <w:pPr>
        <w:jc w:val="center"/>
        <w:rPr>
          <w:sz w:val="22"/>
          <w:szCs w:val="22"/>
        </w:rPr>
      </w:pPr>
    </w:p>
    <w:p w14:paraId="5F359992" w14:textId="37E29DB5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163C0">
        <w:rPr>
          <w:rFonts w:cs="Arial"/>
          <w:sz w:val="22"/>
          <w:szCs w:val="22"/>
        </w:rPr>
        <w:t>4</w:t>
      </w:r>
      <w:r w:rsidRPr="00FE4814">
        <w:rPr>
          <w:rFonts w:cs="Arial"/>
          <w:sz w:val="22"/>
          <w:szCs w:val="22"/>
        </w:rPr>
        <w:t>/</w:t>
      </w:r>
      <w:r w:rsidR="00EF6089" w:rsidRPr="00EF6089">
        <w:rPr>
          <w:b w:val="0"/>
          <w:bCs w:val="0"/>
          <w:sz w:val="18"/>
        </w:rPr>
        <w:t xml:space="preserve"> </w:t>
      </w:r>
      <w:r w:rsidR="00EF6089" w:rsidRPr="00EF6089">
        <w:rPr>
          <w:rFonts w:cs="Arial"/>
          <w:sz w:val="22"/>
          <w:szCs w:val="22"/>
        </w:rPr>
        <w:t>Doc.</w:t>
      </w:r>
      <w:r w:rsidR="00FC1F32" w:rsidRPr="00FC1F32">
        <w:rPr>
          <w:rFonts w:ascii="Lato" w:hAnsi="Lato"/>
          <w:b w:val="0"/>
          <w:bCs w:val="0"/>
          <w:color w:val="333333"/>
          <w:sz w:val="20"/>
          <w:szCs w:val="20"/>
          <w:shd w:val="clear" w:color="auto" w:fill="F5F5F5"/>
        </w:rPr>
        <w:t xml:space="preserve"> </w:t>
      </w:r>
      <w:r w:rsidR="00AF6C3F">
        <w:rPr>
          <w:rFonts w:cs="Arial"/>
          <w:sz w:val="22"/>
          <w:szCs w:val="22"/>
        </w:rPr>
        <w:t>31.4.1</w:t>
      </w:r>
    </w:p>
    <w:p w14:paraId="767348B1" w14:textId="77777777" w:rsidR="007753FE" w:rsidRPr="007753FE" w:rsidRDefault="007753FE" w:rsidP="007753FE"/>
    <w:p w14:paraId="26516C5A" w14:textId="38B78CC4" w:rsidR="00355BE3" w:rsidRPr="00AD7AC3" w:rsidRDefault="00533A2C" w:rsidP="00AD7AC3">
      <w:pPr>
        <w:tabs>
          <w:tab w:val="left" w:pos="1020"/>
        </w:tabs>
        <w:jc w:val="center"/>
        <w:rPr>
          <w:rFonts w:cs="Arial"/>
          <w:b/>
          <w:bCs/>
          <w:sz w:val="22"/>
          <w:szCs w:val="22"/>
        </w:rPr>
      </w:pPr>
      <w:r w:rsidRPr="00AD7AC3">
        <w:rPr>
          <w:rFonts w:cs="Arial"/>
          <w:b/>
          <w:bCs/>
          <w:sz w:val="22"/>
          <w:szCs w:val="22"/>
        </w:rPr>
        <w:t>(</w:t>
      </w:r>
      <w:r w:rsidRPr="00AD7AC3">
        <w:rPr>
          <w:rFonts w:cs="Arial"/>
          <w:b/>
          <w:bCs/>
          <w:i/>
          <w:iCs/>
          <w:sz w:val="22"/>
          <w:szCs w:val="22"/>
        </w:rPr>
        <w:t xml:space="preserve">ScC-SC6 Agenda item </w:t>
      </w:r>
      <w:r w:rsidR="00AD7AC3" w:rsidRPr="00AD7AC3">
        <w:rPr>
          <w:rFonts w:cs="Arial"/>
          <w:b/>
          <w:bCs/>
          <w:i/>
          <w:iCs/>
          <w:sz w:val="22"/>
          <w:szCs w:val="22"/>
        </w:rPr>
        <w:t>13.4.1</w:t>
      </w:r>
      <w:r w:rsidR="00AD7AC3" w:rsidRPr="00AD7AC3">
        <w:rPr>
          <w:rFonts w:cs="Arial"/>
          <w:b/>
          <w:bCs/>
          <w:sz w:val="22"/>
          <w:szCs w:val="22"/>
        </w:rPr>
        <w:t>)</w:t>
      </w:r>
    </w:p>
    <w:p w14:paraId="1CB68B45" w14:textId="77777777" w:rsidR="00355BE3" w:rsidRPr="0074337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5B60772A" w14:textId="77777777" w:rsidR="00167370" w:rsidRPr="00743376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Pr="00DF442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6F437AAF" w14:textId="77777777" w:rsidR="00B05251" w:rsidRDefault="00B05251" w:rsidP="00B05251">
      <w:pPr>
        <w:tabs>
          <w:tab w:val="left" w:pos="1020"/>
        </w:tabs>
        <w:rPr>
          <w:rFonts w:cs="Arial"/>
          <w:sz w:val="22"/>
          <w:szCs w:val="22"/>
        </w:rPr>
      </w:pPr>
    </w:p>
    <w:p w14:paraId="52C436A8" w14:textId="52B2BD35" w:rsidR="00B05251" w:rsidRPr="003F2C2E" w:rsidRDefault="00B05251" w:rsidP="00635FCB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Scientific Council</w:t>
      </w:r>
      <w:r w:rsidRPr="00AF3555">
        <w:rPr>
          <w:rFonts w:cs="Arial"/>
          <w:sz w:val="22"/>
          <w:szCs w:val="22"/>
        </w:rPr>
        <w:t xml:space="preserve"> </w:t>
      </w:r>
      <w:r w:rsidR="00B31C0A">
        <w:rPr>
          <w:rFonts w:cs="Arial"/>
          <w:sz w:val="22"/>
          <w:szCs w:val="22"/>
        </w:rPr>
        <w:t>supports the listing of</w:t>
      </w:r>
      <w:r w:rsidRPr="00635FCB">
        <w:rPr>
          <w:rFonts w:cs="Arial"/>
          <w:sz w:val="22"/>
          <w:szCs w:val="22"/>
        </w:rPr>
        <w:t xml:space="preserve"> the </w:t>
      </w:r>
      <w:r w:rsidR="00BF6812" w:rsidRPr="00635FCB">
        <w:rPr>
          <w:rFonts w:cs="Arial"/>
          <w:sz w:val="22"/>
          <w:szCs w:val="22"/>
        </w:rPr>
        <w:t>Balkan Lynx</w:t>
      </w:r>
      <w:r w:rsidRPr="00635FCB">
        <w:rPr>
          <w:rFonts w:cs="Arial"/>
          <w:sz w:val="22"/>
          <w:szCs w:val="22"/>
        </w:rPr>
        <w:t xml:space="preserve"> (</w:t>
      </w:r>
      <w:r w:rsidR="00BF6812" w:rsidRPr="00635FCB">
        <w:rPr>
          <w:rFonts w:cs="Arial"/>
          <w:i/>
          <w:iCs/>
          <w:sz w:val="22"/>
          <w:szCs w:val="22"/>
        </w:rPr>
        <w:t xml:space="preserve">Lynx </w:t>
      </w:r>
      <w:proofErr w:type="spellStart"/>
      <w:r w:rsidR="003F2C2E" w:rsidRPr="00635FCB">
        <w:rPr>
          <w:rFonts w:cs="Arial"/>
          <w:i/>
          <w:iCs/>
          <w:sz w:val="22"/>
          <w:szCs w:val="22"/>
        </w:rPr>
        <w:t>l</w:t>
      </w:r>
      <w:r w:rsidR="00BF6812" w:rsidRPr="00635FCB">
        <w:rPr>
          <w:rFonts w:cs="Arial"/>
          <w:i/>
          <w:iCs/>
          <w:sz w:val="22"/>
          <w:szCs w:val="22"/>
        </w:rPr>
        <w:t>ynx</w:t>
      </w:r>
      <w:proofErr w:type="spellEnd"/>
      <w:r w:rsidR="00BF6812" w:rsidRPr="00635FCB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="003F2C2E" w:rsidRPr="00635FCB">
        <w:rPr>
          <w:rFonts w:cs="Arial"/>
          <w:i/>
          <w:iCs/>
          <w:sz w:val="22"/>
          <w:szCs w:val="22"/>
        </w:rPr>
        <w:t>b</w:t>
      </w:r>
      <w:r w:rsidR="00BF6812" w:rsidRPr="00635FCB">
        <w:rPr>
          <w:rFonts w:cs="Arial"/>
          <w:i/>
          <w:iCs/>
          <w:sz w:val="22"/>
          <w:szCs w:val="22"/>
        </w:rPr>
        <w:t>alcanicus</w:t>
      </w:r>
      <w:proofErr w:type="spellEnd"/>
      <w:r w:rsidRPr="00635FCB">
        <w:rPr>
          <w:rFonts w:cs="Arial"/>
          <w:sz w:val="22"/>
          <w:szCs w:val="22"/>
        </w:rPr>
        <w:t>) on Appendix I</w:t>
      </w:r>
      <w:r w:rsidR="002B1EF6">
        <w:rPr>
          <w:rFonts w:cs="Arial"/>
          <w:sz w:val="22"/>
          <w:szCs w:val="22"/>
        </w:rPr>
        <w:t xml:space="preserve"> </w:t>
      </w:r>
      <w:r w:rsidRPr="00635FCB">
        <w:rPr>
          <w:rFonts w:cs="Arial"/>
          <w:sz w:val="22"/>
          <w:szCs w:val="22"/>
        </w:rPr>
        <w:t>of the Convention</w:t>
      </w:r>
      <w:r w:rsidR="002B1EF6">
        <w:rPr>
          <w:rFonts w:cs="Arial"/>
          <w:sz w:val="22"/>
          <w:szCs w:val="22"/>
        </w:rPr>
        <w:t>.</w:t>
      </w:r>
      <w:r w:rsidR="003F2C2E" w:rsidRPr="00635FCB">
        <w:rPr>
          <w:rFonts w:cs="Arial"/>
          <w:sz w:val="22"/>
          <w:szCs w:val="22"/>
        </w:rPr>
        <w:t xml:space="preserve"> </w:t>
      </w:r>
      <w:r w:rsidR="002B1EF6">
        <w:rPr>
          <w:rFonts w:cs="Arial"/>
          <w:sz w:val="22"/>
          <w:szCs w:val="22"/>
        </w:rPr>
        <w:t xml:space="preserve">It also supports the listing of </w:t>
      </w:r>
      <w:r w:rsidR="00C106D1" w:rsidRPr="00635FCB">
        <w:rPr>
          <w:rFonts w:cs="Arial"/>
          <w:sz w:val="22"/>
          <w:szCs w:val="22"/>
        </w:rPr>
        <w:t>the Balkan Lynx (</w:t>
      </w:r>
      <w:r w:rsidR="00C106D1" w:rsidRPr="00635FCB">
        <w:rPr>
          <w:rFonts w:cs="Arial"/>
          <w:i/>
          <w:iCs/>
          <w:sz w:val="22"/>
          <w:szCs w:val="22"/>
        </w:rPr>
        <w:t xml:space="preserve">Lynx </w:t>
      </w:r>
      <w:proofErr w:type="spellStart"/>
      <w:r w:rsidR="00C106D1" w:rsidRPr="00635FCB">
        <w:rPr>
          <w:rFonts w:cs="Arial"/>
          <w:i/>
          <w:iCs/>
          <w:sz w:val="22"/>
          <w:szCs w:val="22"/>
        </w:rPr>
        <w:t>lynx</w:t>
      </w:r>
      <w:proofErr w:type="spellEnd"/>
      <w:r w:rsidR="00C106D1" w:rsidRPr="00635FCB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="00C106D1" w:rsidRPr="00635FCB">
        <w:rPr>
          <w:rFonts w:cs="Arial"/>
          <w:i/>
          <w:iCs/>
          <w:sz w:val="22"/>
          <w:szCs w:val="22"/>
        </w:rPr>
        <w:t>balcanicus</w:t>
      </w:r>
      <w:proofErr w:type="spellEnd"/>
      <w:r w:rsidR="00C106D1" w:rsidRPr="00635FCB">
        <w:rPr>
          <w:rFonts w:cs="Arial"/>
          <w:sz w:val="22"/>
          <w:szCs w:val="22"/>
        </w:rPr>
        <w:t>)</w:t>
      </w:r>
      <w:r w:rsidR="00C106D1">
        <w:rPr>
          <w:rFonts w:cs="Arial"/>
          <w:sz w:val="22"/>
          <w:szCs w:val="22"/>
        </w:rPr>
        <w:t>,</w:t>
      </w:r>
      <w:r w:rsidR="00635FCB">
        <w:rPr>
          <w:rFonts w:cs="Arial"/>
          <w:sz w:val="22"/>
          <w:szCs w:val="22"/>
        </w:rPr>
        <w:t xml:space="preserve"> </w:t>
      </w:r>
      <w:r w:rsidR="00F1082A">
        <w:rPr>
          <w:rFonts w:cs="Arial"/>
          <w:sz w:val="22"/>
          <w:szCs w:val="22"/>
        </w:rPr>
        <w:t>Carpathian Lynx (</w:t>
      </w:r>
      <w:r w:rsidR="0002599A" w:rsidRPr="000641E8">
        <w:rPr>
          <w:rFonts w:cs="Arial"/>
          <w:i/>
          <w:iCs/>
          <w:sz w:val="22"/>
          <w:szCs w:val="22"/>
        </w:rPr>
        <w:t xml:space="preserve">Lynx </w:t>
      </w:r>
      <w:proofErr w:type="spellStart"/>
      <w:r w:rsidR="0002599A" w:rsidRPr="000641E8">
        <w:rPr>
          <w:rFonts w:cs="Arial"/>
          <w:i/>
          <w:iCs/>
          <w:sz w:val="22"/>
          <w:szCs w:val="22"/>
        </w:rPr>
        <w:t>lynx</w:t>
      </w:r>
      <w:proofErr w:type="spellEnd"/>
      <w:r w:rsidR="0002599A" w:rsidRPr="000641E8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="0002599A" w:rsidRPr="000641E8">
        <w:rPr>
          <w:rFonts w:cs="Arial"/>
          <w:i/>
          <w:iCs/>
          <w:sz w:val="22"/>
          <w:szCs w:val="22"/>
        </w:rPr>
        <w:t>carpathicus</w:t>
      </w:r>
      <w:proofErr w:type="spellEnd"/>
      <w:r w:rsidR="00F1082A">
        <w:rPr>
          <w:rFonts w:cs="Arial"/>
          <w:sz w:val="22"/>
          <w:szCs w:val="22"/>
        </w:rPr>
        <w:t>)</w:t>
      </w:r>
      <w:r w:rsidR="00E071BF">
        <w:rPr>
          <w:rFonts w:cs="Arial"/>
          <w:sz w:val="22"/>
          <w:szCs w:val="22"/>
        </w:rPr>
        <w:t xml:space="preserve">, </w:t>
      </w:r>
      <w:r w:rsidR="00E0082D">
        <w:rPr>
          <w:rFonts w:cs="Arial"/>
          <w:sz w:val="22"/>
          <w:szCs w:val="22"/>
        </w:rPr>
        <w:t>Caucasian Lynx</w:t>
      </w:r>
      <w:r w:rsidR="0002599A" w:rsidRPr="0002599A">
        <w:rPr>
          <w:rFonts w:cs="Arial"/>
          <w:sz w:val="22"/>
          <w:szCs w:val="22"/>
        </w:rPr>
        <w:t xml:space="preserve"> </w:t>
      </w:r>
      <w:r w:rsidR="00E0082D">
        <w:rPr>
          <w:rFonts w:cs="Arial"/>
          <w:sz w:val="22"/>
          <w:szCs w:val="22"/>
        </w:rPr>
        <w:t>(</w:t>
      </w:r>
      <w:r w:rsidR="0002599A" w:rsidRPr="000641E8">
        <w:rPr>
          <w:rFonts w:cs="Arial"/>
          <w:i/>
          <w:iCs/>
          <w:sz w:val="22"/>
          <w:szCs w:val="22"/>
        </w:rPr>
        <w:t xml:space="preserve">Lynx </w:t>
      </w:r>
      <w:proofErr w:type="spellStart"/>
      <w:r w:rsidR="0002599A" w:rsidRPr="000641E8">
        <w:rPr>
          <w:rFonts w:cs="Arial"/>
          <w:i/>
          <w:iCs/>
          <w:sz w:val="22"/>
          <w:szCs w:val="22"/>
        </w:rPr>
        <w:t>lynx</w:t>
      </w:r>
      <w:proofErr w:type="spellEnd"/>
      <w:r w:rsidR="0002599A" w:rsidRPr="000641E8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="0002599A" w:rsidRPr="000641E8">
        <w:rPr>
          <w:rFonts w:cs="Arial"/>
          <w:i/>
          <w:iCs/>
          <w:sz w:val="22"/>
          <w:szCs w:val="22"/>
        </w:rPr>
        <w:t>dinniki</w:t>
      </w:r>
      <w:proofErr w:type="spellEnd"/>
      <w:r w:rsidR="00E0082D">
        <w:rPr>
          <w:rFonts w:cs="Arial"/>
          <w:sz w:val="22"/>
          <w:szCs w:val="22"/>
        </w:rPr>
        <w:t xml:space="preserve">) and </w:t>
      </w:r>
      <w:r w:rsidR="000641E8">
        <w:rPr>
          <w:rFonts w:cs="Arial"/>
          <w:sz w:val="22"/>
          <w:szCs w:val="22"/>
        </w:rPr>
        <w:t>Central Asian</w:t>
      </w:r>
      <w:r w:rsidR="00D24BC9">
        <w:rPr>
          <w:rFonts w:cs="Arial"/>
          <w:sz w:val="22"/>
          <w:szCs w:val="22"/>
        </w:rPr>
        <w:t xml:space="preserve"> Lynx </w:t>
      </w:r>
      <w:r w:rsidR="000641E8">
        <w:rPr>
          <w:rFonts w:cs="Arial"/>
          <w:sz w:val="22"/>
          <w:szCs w:val="22"/>
        </w:rPr>
        <w:t>(</w:t>
      </w:r>
      <w:r w:rsidR="0002599A" w:rsidRPr="000641E8">
        <w:rPr>
          <w:rFonts w:cs="Arial"/>
          <w:i/>
          <w:iCs/>
          <w:sz w:val="22"/>
          <w:szCs w:val="22"/>
        </w:rPr>
        <w:t xml:space="preserve">Lynx </w:t>
      </w:r>
      <w:proofErr w:type="spellStart"/>
      <w:r w:rsidR="0002599A" w:rsidRPr="000641E8">
        <w:rPr>
          <w:rFonts w:cs="Arial"/>
          <w:i/>
          <w:iCs/>
          <w:sz w:val="22"/>
          <w:szCs w:val="22"/>
        </w:rPr>
        <w:t>lynx</w:t>
      </w:r>
      <w:proofErr w:type="spellEnd"/>
      <w:r w:rsidR="0002599A" w:rsidRPr="000641E8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="0002599A" w:rsidRPr="000641E8">
        <w:rPr>
          <w:rFonts w:cs="Arial"/>
          <w:i/>
          <w:iCs/>
          <w:sz w:val="22"/>
          <w:szCs w:val="22"/>
        </w:rPr>
        <w:t>isabellinus</w:t>
      </w:r>
      <w:proofErr w:type="spellEnd"/>
      <w:r w:rsidR="000641E8">
        <w:rPr>
          <w:rFonts w:cs="Arial"/>
          <w:sz w:val="22"/>
          <w:szCs w:val="22"/>
        </w:rPr>
        <w:t>)</w:t>
      </w:r>
      <w:r w:rsidR="006E3016">
        <w:rPr>
          <w:rFonts w:cs="Arial"/>
          <w:sz w:val="22"/>
          <w:szCs w:val="22"/>
        </w:rPr>
        <w:t xml:space="preserve"> on Appendix II of the Convention</w:t>
      </w:r>
      <w:r w:rsidR="00E071BF">
        <w:rPr>
          <w:rFonts w:cs="Arial"/>
          <w:sz w:val="22"/>
          <w:szCs w:val="22"/>
        </w:rPr>
        <w:t>,</w:t>
      </w:r>
      <w:r w:rsidR="006E3016">
        <w:rPr>
          <w:rFonts w:cs="Arial"/>
          <w:sz w:val="22"/>
          <w:szCs w:val="22"/>
        </w:rPr>
        <w:t xml:space="preserve"> </w:t>
      </w:r>
      <w:r w:rsidR="0090030C">
        <w:rPr>
          <w:rFonts w:cs="Arial"/>
          <w:sz w:val="22"/>
          <w:szCs w:val="22"/>
        </w:rPr>
        <w:t xml:space="preserve">either </w:t>
      </w:r>
      <w:r w:rsidR="006E3016">
        <w:rPr>
          <w:rFonts w:cs="Arial"/>
          <w:sz w:val="22"/>
          <w:szCs w:val="22"/>
        </w:rPr>
        <w:t xml:space="preserve">through the listing of the </w:t>
      </w:r>
      <w:r w:rsidR="009E74D5">
        <w:rPr>
          <w:rFonts w:cs="Arial"/>
          <w:sz w:val="22"/>
          <w:szCs w:val="22"/>
        </w:rPr>
        <w:t>Eurasian Lynx (</w:t>
      </w:r>
      <w:r w:rsidR="009E74D5" w:rsidRPr="009E74D5">
        <w:rPr>
          <w:rFonts w:cs="Arial"/>
          <w:i/>
          <w:iCs/>
          <w:sz w:val="22"/>
          <w:szCs w:val="22"/>
        </w:rPr>
        <w:t>Lynx lynx</w:t>
      </w:r>
      <w:r w:rsidR="009E74D5">
        <w:rPr>
          <w:rFonts w:cs="Arial"/>
          <w:sz w:val="22"/>
          <w:szCs w:val="22"/>
        </w:rPr>
        <w:t xml:space="preserve">) species as a whole </w:t>
      </w:r>
      <w:r w:rsidR="002568F7">
        <w:rPr>
          <w:rFonts w:cs="Arial"/>
          <w:sz w:val="22"/>
          <w:szCs w:val="22"/>
        </w:rPr>
        <w:t>or through listing</w:t>
      </w:r>
      <w:r w:rsidR="00635FCB">
        <w:rPr>
          <w:rFonts w:cs="Arial"/>
          <w:sz w:val="22"/>
          <w:szCs w:val="22"/>
        </w:rPr>
        <w:t xml:space="preserve"> of the four </w:t>
      </w:r>
      <w:proofErr w:type="gramStart"/>
      <w:r w:rsidR="00133403">
        <w:rPr>
          <w:rFonts w:cs="Arial"/>
          <w:sz w:val="22"/>
          <w:szCs w:val="22"/>
        </w:rPr>
        <w:t>aforementioned subspecies</w:t>
      </w:r>
      <w:proofErr w:type="gramEnd"/>
      <w:r w:rsidR="00676BE4">
        <w:rPr>
          <w:rFonts w:cs="Arial"/>
          <w:sz w:val="22"/>
          <w:szCs w:val="22"/>
        </w:rPr>
        <w:t xml:space="preserve"> only</w:t>
      </w:r>
      <w:r w:rsidR="00133403">
        <w:rPr>
          <w:rFonts w:cs="Arial"/>
          <w:sz w:val="22"/>
          <w:szCs w:val="22"/>
        </w:rPr>
        <w:t xml:space="preserve">. </w:t>
      </w:r>
    </w:p>
    <w:p w14:paraId="4999E447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38DBE0A1" w14:textId="77777777" w:rsidR="00AD7AC3" w:rsidRDefault="00AD7AC3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FD7480B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6EA79FAB" w14:textId="57B2B3B7" w:rsidR="00043D4E" w:rsidRDefault="00043D4E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03EA3838" w14:textId="4C7A6AEC" w:rsidR="00043D4E" w:rsidRPr="00A261CD" w:rsidRDefault="00C1596B" w:rsidP="00226A28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Due to t</w:t>
      </w:r>
      <w:r w:rsidR="00043D4E">
        <w:rPr>
          <w:rFonts w:cs="Arial"/>
          <w:sz w:val="22"/>
          <w:szCs w:val="22"/>
        </w:rPr>
        <w:t>he Eurasian Lynx</w:t>
      </w:r>
      <w:r w:rsidR="00A261CD">
        <w:rPr>
          <w:rFonts w:cs="Arial"/>
          <w:sz w:val="22"/>
          <w:szCs w:val="22"/>
        </w:rPr>
        <w:t>’s</w:t>
      </w:r>
      <w:r w:rsidR="00043D4E">
        <w:rPr>
          <w:rFonts w:cs="Arial"/>
          <w:sz w:val="22"/>
          <w:szCs w:val="22"/>
        </w:rPr>
        <w:t xml:space="preserve"> (</w:t>
      </w:r>
      <w:r w:rsidR="00043D4E">
        <w:rPr>
          <w:rFonts w:cs="Arial"/>
          <w:i/>
          <w:iCs/>
          <w:sz w:val="22"/>
          <w:szCs w:val="22"/>
        </w:rPr>
        <w:t>Lynx lynx</w:t>
      </w:r>
      <w:r w:rsidR="00043D4E">
        <w:rPr>
          <w:rFonts w:cs="Arial"/>
          <w:sz w:val="22"/>
          <w:szCs w:val="22"/>
        </w:rPr>
        <w:t>)</w:t>
      </w:r>
      <w:r w:rsidR="00A261CD">
        <w:rPr>
          <w:rFonts w:cs="Arial"/>
          <w:sz w:val="22"/>
          <w:szCs w:val="22"/>
        </w:rPr>
        <w:t xml:space="preserve"> IUCN Red List conservation status of Least Concern </w:t>
      </w:r>
      <w:r w:rsidR="00226A28">
        <w:rPr>
          <w:rFonts w:cs="Arial"/>
          <w:sz w:val="22"/>
          <w:szCs w:val="22"/>
        </w:rPr>
        <w:t>the Scientific Council is unsure as to</w:t>
      </w:r>
      <w:r w:rsidR="001F437A">
        <w:rPr>
          <w:rFonts w:cs="Arial"/>
          <w:sz w:val="22"/>
          <w:szCs w:val="22"/>
        </w:rPr>
        <w:t xml:space="preserve"> whether the whole species should be listed on Appendix II of the Convention</w:t>
      </w:r>
      <w:r w:rsidR="008526EE">
        <w:rPr>
          <w:rFonts w:cs="Arial"/>
          <w:sz w:val="22"/>
          <w:szCs w:val="22"/>
        </w:rPr>
        <w:t>, and more information would be required to understand whether the species is in a conservation status which would benefit from cooperation</w:t>
      </w:r>
      <w:r w:rsidR="001F437A">
        <w:rPr>
          <w:rFonts w:cs="Arial"/>
          <w:sz w:val="22"/>
          <w:szCs w:val="22"/>
        </w:rPr>
        <w:t xml:space="preserve">. </w:t>
      </w:r>
    </w:p>
    <w:p w14:paraId="2BDA4C1B" w14:textId="6E49776C" w:rsidR="000024D2" w:rsidRDefault="000024D2" w:rsidP="004F5075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0959E809" w14:textId="3FBC565F" w:rsidR="004F5075" w:rsidRDefault="008526EE" w:rsidP="004F5075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It was noted that</w:t>
      </w:r>
      <w:r w:rsidR="001754C9">
        <w:rPr>
          <w:rFonts w:cs="Arial"/>
          <w:sz w:val="22"/>
          <w:szCs w:val="22"/>
        </w:rPr>
        <w:t xml:space="preserve"> </w:t>
      </w:r>
      <w:r w:rsidR="005A0C00">
        <w:rPr>
          <w:rFonts w:cs="Arial"/>
          <w:sz w:val="22"/>
          <w:szCs w:val="22"/>
        </w:rPr>
        <w:t>Range States of th</w:t>
      </w:r>
      <w:r>
        <w:rPr>
          <w:rFonts w:cs="Arial"/>
          <w:sz w:val="22"/>
          <w:szCs w:val="22"/>
        </w:rPr>
        <w:t>e Northern Lynx (</w:t>
      </w:r>
      <w:r>
        <w:rPr>
          <w:rFonts w:cs="Arial"/>
          <w:i/>
          <w:iCs/>
          <w:sz w:val="22"/>
          <w:szCs w:val="22"/>
        </w:rPr>
        <w:t xml:space="preserve">Lynx </w:t>
      </w:r>
      <w:proofErr w:type="spellStart"/>
      <w:r>
        <w:rPr>
          <w:rFonts w:cs="Arial"/>
          <w:i/>
          <w:iCs/>
          <w:sz w:val="22"/>
          <w:szCs w:val="22"/>
        </w:rPr>
        <w:t>lynx</w:t>
      </w:r>
      <w:proofErr w:type="spellEnd"/>
      <w:r>
        <w:rPr>
          <w:rFonts w:cs="Arial"/>
          <w:i/>
          <w:iCs/>
          <w:sz w:val="22"/>
          <w:szCs w:val="22"/>
        </w:rPr>
        <w:t xml:space="preserve"> lynx</w:t>
      </w:r>
      <w:r>
        <w:rPr>
          <w:rFonts w:cs="Arial"/>
          <w:sz w:val="22"/>
          <w:szCs w:val="22"/>
        </w:rPr>
        <w:t>) and Siberian Lynx (</w:t>
      </w:r>
      <w:r>
        <w:rPr>
          <w:rFonts w:cs="Arial"/>
          <w:i/>
          <w:iCs/>
          <w:sz w:val="22"/>
          <w:szCs w:val="22"/>
        </w:rPr>
        <w:t xml:space="preserve">Lynx </w:t>
      </w:r>
      <w:proofErr w:type="spellStart"/>
      <w:r>
        <w:rPr>
          <w:rFonts w:cs="Arial"/>
          <w:i/>
          <w:iCs/>
          <w:sz w:val="22"/>
          <w:szCs w:val="22"/>
        </w:rPr>
        <w:t>lynx</w:t>
      </w:r>
      <w:proofErr w:type="spellEnd"/>
      <w:r>
        <w:rPr>
          <w:rFonts w:cs="Arial"/>
          <w:i/>
          <w:iCs/>
          <w:sz w:val="22"/>
          <w:szCs w:val="22"/>
        </w:rPr>
        <w:t xml:space="preserve"> </w:t>
      </w:r>
      <w:proofErr w:type="spellStart"/>
      <w:r>
        <w:rPr>
          <w:rFonts w:cs="Arial"/>
          <w:i/>
          <w:iCs/>
          <w:sz w:val="22"/>
          <w:szCs w:val="22"/>
        </w:rPr>
        <w:t>wrangeli</w:t>
      </w:r>
      <w:proofErr w:type="spellEnd"/>
      <w:r>
        <w:rPr>
          <w:rFonts w:cs="Arial"/>
          <w:sz w:val="22"/>
          <w:szCs w:val="22"/>
        </w:rPr>
        <w:t xml:space="preserve">) </w:t>
      </w:r>
      <w:r w:rsidR="005A0C00">
        <w:rPr>
          <w:rFonts w:cs="Arial"/>
          <w:sz w:val="22"/>
          <w:szCs w:val="22"/>
        </w:rPr>
        <w:t xml:space="preserve">subspecies might also have valuable </w:t>
      </w:r>
      <w:r w:rsidR="00CD6268">
        <w:rPr>
          <w:rFonts w:cs="Arial"/>
          <w:sz w:val="22"/>
          <w:szCs w:val="22"/>
        </w:rPr>
        <w:t>advice</w:t>
      </w:r>
      <w:r w:rsidR="00DA45E6">
        <w:rPr>
          <w:rFonts w:cs="Arial"/>
          <w:sz w:val="22"/>
          <w:szCs w:val="22"/>
        </w:rPr>
        <w:t xml:space="preserve"> </w:t>
      </w:r>
      <w:r w:rsidR="00B97C87">
        <w:rPr>
          <w:rFonts w:cs="Arial"/>
          <w:sz w:val="22"/>
          <w:szCs w:val="22"/>
        </w:rPr>
        <w:t>on</w:t>
      </w:r>
      <w:r w:rsidR="0007327B">
        <w:rPr>
          <w:rFonts w:cs="Arial"/>
          <w:sz w:val="22"/>
          <w:szCs w:val="22"/>
        </w:rPr>
        <w:t xml:space="preserve"> </w:t>
      </w:r>
      <w:r w:rsidR="00B97C87">
        <w:rPr>
          <w:rFonts w:cs="Arial"/>
          <w:sz w:val="22"/>
          <w:szCs w:val="22"/>
        </w:rPr>
        <w:t>conservation measures for</w:t>
      </w:r>
      <w:r w:rsidR="0007327B">
        <w:rPr>
          <w:rFonts w:cs="Arial"/>
          <w:sz w:val="22"/>
          <w:szCs w:val="22"/>
        </w:rPr>
        <w:t xml:space="preserve"> the species to share with </w:t>
      </w:r>
      <w:r w:rsidR="00B97C87">
        <w:rPr>
          <w:rFonts w:cs="Arial"/>
          <w:sz w:val="22"/>
          <w:szCs w:val="22"/>
        </w:rPr>
        <w:t>other Range States</w:t>
      </w:r>
      <w:r w:rsidR="00595D79">
        <w:rPr>
          <w:rFonts w:cs="Arial"/>
          <w:sz w:val="22"/>
          <w:szCs w:val="22"/>
        </w:rPr>
        <w:t xml:space="preserve"> </w:t>
      </w:r>
      <w:r w:rsidR="00EA03E4">
        <w:rPr>
          <w:rFonts w:cs="Arial"/>
          <w:sz w:val="22"/>
          <w:szCs w:val="22"/>
        </w:rPr>
        <w:t>of Eurasian Lynx (</w:t>
      </w:r>
      <w:r w:rsidR="00EA03E4" w:rsidRPr="00593F35">
        <w:rPr>
          <w:rFonts w:cs="Arial"/>
          <w:i/>
          <w:iCs/>
          <w:sz w:val="22"/>
          <w:szCs w:val="22"/>
        </w:rPr>
        <w:t>Lynx lynx</w:t>
      </w:r>
      <w:r w:rsidR="00EA03E4">
        <w:rPr>
          <w:rFonts w:cs="Arial"/>
          <w:sz w:val="22"/>
          <w:szCs w:val="22"/>
        </w:rPr>
        <w:t xml:space="preserve">) </w:t>
      </w:r>
      <w:r w:rsidR="00595D79">
        <w:rPr>
          <w:rFonts w:cs="Arial"/>
          <w:sz w:val="22"/>
          <w:szCs w:val="22"/>
        </w:rPr>
        <w:t xml:space="preserve">as part of the </w:t>
      </w:r>
      <w:r w:rsidR="005E43CF">
        <w:rPr>
          <w:rFonts w:cs="Arial"/>
          <w:sz w:val="22"/>
          <w:szCs w:val="22"/>
        </w:rPr>
        <w:t xml:space="preserve">required </w:t>
      </w:r>
      <w:r w:rsidR="006F24D3">
        <w:rPr>
          <w:rFonts w:cs="Arial"/>
          <w:sz w:val="22"/>
          <w:szCs w:val="22"/>
        </w:rPr>
        <w:t xml:space="preserve">international cooperation </w:t>
      </w:r>
      <w:r w:rsidR="005C78E6">
        <w:rPr>
          <w:rFonts w:cs="Arial"/>
          <w:sz w:val="22"/>
          <w:szCs w:val="22"/>
        </w:rPr>
        <w:t>for Appendix II listings</w:t>
      </w:r>
      <w:r w:rsidR="00D1746D">
        <w:rPr>
          <w:rFonts w:cs="Arial"/>
          <w:sz w:val="22"/>
          <w:szCs w:val="22"/>
        </w:rPr>
        <w:t xml:space="preserve">, meaning it </w:t>
      </w:r>
      <w:r w:rsidR="00D448DF">
        <w:rPr>
          <w:rFonts w:cs="Arial"/>
          <w:sz w:val="22"/>
          <w:szCs w:val="22"/>
        </w:rPr>
        <w:t xml:space="preserve">would be </w:t>
      </w:r>
      <w:r w:rsidR="00D1746D">
        <w:rPr>
          <w:rFonts w:cs="Arial"/>
          <w:sz w:val="22"/>
          <w:szCs w:val="22"/>
        </w:rPr>
        <w:t>beneficial for all subspecies to</w:t>
      </w:r>
      <w:r w:rsidR="00D448DF">
        <w:rPr>
          <w:rFonts w:cs="Arial"/>
          <w:sz w:val="22"/>
          <w:szCs w:val="22"/>
        </w:rPr>
        <w:t xml:space="preserve"> list the </w:t>
      </w:r>
      <w:r w:rsidR="00196B6D">
        <w:rPr>
          <w:rFonts w:cs="Arial"/>
          <w:sz w:val="22"/>
          <w:szCs w:val="22"/>
        </w:rPr>
        <w:t xml:space="preserve">whole species on Appendix II. </w:t>
      </w:r>
      <w:r w:rsidR="005C78E6">
        <w:rPr>
          <w:rFonts w:cs="Arial"/>
          <w:sz w:val="22"/>
          <w:szCs w:val="22"/>
        </w:rPr>
        <w:t xml:space="preserve"> </w:t>
      </w:r>
    </w:p>
    <w:p w14:paraId="0D0709CB" w14:textId="77777777" w:rsidR="00C1258C" w:rsidRDefault="00C1258C" w:rsidP="004F5075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0EB54E09" w14:textId="77777777" w:rsidR="00AD7AC3" w:rsidRDefault="00AD7AC3" w:rsidP="004F5075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A9B2817" w14:textId="77777777" w:rsidR="00170AB1" w:rsidRPr="008F20D3" w:rsidRDefault="00170AB1" w:rsidP="006016A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1B193748" w14:textId="77777777" w:rsidR="00170AB1" w:rsidRPr="00133403" w:rsidRDefault="00170AB1" w:rsidP="006016A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638E3620" w14:textId="77777777" w:rsidR="00DD5D10" w:rsidRPr="00DD5D10" w:rsidRDefault="00DD5D10" w:rsidP="006016A8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DD5D10">
        <w:rPr>
          <w:rFonts w:cs="Arial"/>
          <w:sz w:val="22"/>
          <w:szCs w:val="22"/>
        </w:rPr>
        <w:t>To further strengthen the proposal, the proponents are encouraged to add further details on:</w:t>
      </w:r>
    </w:p>
    <w:p w14:paraId="61BF5D9D" w14:textId="77777777" w:rsidR="00DD5D10" w:rsidRPr="00DD5D10" w:rsidRDefault="00DD5D10" w:rsidP="006016A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057730C5" w14:textId="77777777" w:rsidR="00DD5D10" w:rsidRPr="00DB6C30" w:rsidRDefault="00DD5D10" w:rsidP="00AD7AC3">
      <w:pPr>
        <w:numPr>
          <w:ilvl w:val="0"/>
          <w:numId w:val="3"/>
        </w:numPr>
        <w:tabs>
          <w:tab w:val="left" w:pos="1020"/>
        </w:tabs>
        <w:spacing w:after="80"/>
        <w:jc w:val="both"/>
        <w:rPr>
          <w:rFonts w:cs="Arial"/>
          <w:sz w:val="22"/>
          <w:szCs w:val="22"/>
        </w:rPr>
      </w:pPr>
      <w:r w:rsidRPr="00DD5D10">
        <w:rPr>
          <w:rFonts w:cs="Arial"/>
          <w:sz w:val="22"/>
          <w:szCs w:val="22"/>
        </w:rPr>
        <w:t xml:space="preserve">the migratory </w:t>
      </w:r>
      <w:proofErr w:type="spellStart"/>
      <w:r w:rsidRPr="00DB6C30">
        <w:rPr>
          <w:rFonts w:cs="Arial"/>
          <w:sz w:val="22"/>
          <w:szCs w:val="22"/>
        </w:rPr>
        <w:t>behaviour</w:t>
      </w:r>
      <w:proofErr w:type="spellEnd"/>
      <w:r w:rsidRPr="00DB6C30">
        <w:rPr>
          <w:rFonts w:cs="Arial"/>
          <w:sz w:val="22"/>
          <w:szCs w:val="22"/>
        </w:rPr>
        <w:t xml:space="preserve"> of the species, taking into consideration aspects of the cyclical and predictable nature of movements, as interpreted in UNEP/CMS/Resolution 13.7 </w:t>
      </w:r>
      <w:r w:rsidRPr="00DB6C30">
        <w:rPr>
          <w:rFonts w:cs="Arial"/>
          <w:i/>
          <w:sz w:val="22"/>
          <w:szCs w:val="22"/>
        </w:rPr>
        <w:t>Guidelines for Preparing and Assessing Proposals for the Amendment of CMS Appendices</w:t>
      </w:r>
      <w:r w:rsidRPr="00DB6C30">
        <w:rPr>
          <w:rFonts w:cs="Arial"/>
          <w:i/>
          <w:iCs/>
          <w:sz w:val="22"/>
          <w:szCs w:val="22"/>
        </w:rPr>
        <w:t>.</w:t>
      </w:r>
    </w:p>
    <w:p w14:paraId="4896BC26" w14:textId="77777777" w:rsidR="00DD5D10" w:rsidRPr="00DB6C30" w:rsidRDefault="00DD5D10" w:rsidP="006016A8">
      <w:pPr>
        <w:numPr>
          <w:ilvl w:val="0"/>
          <w:numId w:val="3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DB6C30">
        <w:rPr>
          <w:rFonts w:cs="Arial"/>
          <w:sz w:val="22"/>
          <w:szCs w:val="22"/>
        </w:rPr>
        <w:t xml:space="preserve">the proportion of transboundary populations of the global population of the species. </w:t>
      </w:r>
    </w:p>
    <w:p w14:paraId="57990683" w14:textId="77777777" w:rsidR="006016A8" w:rsidRPr="00DB6C30" w:rsidRDefault="006016A8" w:rsidP="00DB6C30">
      <w:pPr>
        <w:tabs>
          <w:tab w:val="left" w:pos="1020"/>
        </w:tabs>
        <w:ind w:left="720"/>
        <w:jc w:val="both"/>
        <w:rPr>
          <w:rFonts w:cs="Arial"/>
          <w:sz w:val="22"/>
          <w:szCs w:val="22"/>
        </w:rPr>
      </w:pPr>
    </w:p>
    <w:p w14:paraId="01ED1126" w14:textId="067C7C64" w:rsidR="007117FE" w:rsidRDefault="00A42194" w:rsidP="00C703C3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DB6C30">
        <w:rPr>
          <w:rFonts w:cs="Arial"/>
          <w:sz w:val="22"/>
          <w:szCs w:val="22"/>
        </w:rPr>
        <w:t xml:space="preserve">The proponents are also </w:t>
      </w:r>
      <w:r w:rsidR="00B44310" w:rsidRPr="00DB6C30">
        <w:rPr>
          <w:rFonts w:cs="Arial"/>
          <w:sz w:val="22"/>
          <w:szCs w:val="22"/>
        </w:rPr>
        <w:t xml:space="preserve">requested to </w:t>
      </w:r>
      <w:r w:rsidR="00E95F7B" w:rsidRPr="00DB6C30">
        <w:rPr>
          <w:rFonts w:cs="Arial"/>
          <w:sz w:val="22"/>
          <w:szCs w:val="22"/>
        </w:rPr>
        <w:t xml:space="preserve">consider whether they wish to amend the proposal to only </w:t>
      </w:r>
      <w:r w:rsidR="00F80739" w:rsidRPr="00DB6C30">
        <w:rPr>
          <w:rFonts w:cs="Arial"/>
          <w:sz w:val="22"/>
          <w:szCs w:val="22"/>
        </w:rPr>
        <w:t xml:space="preserve">focus on the </w:t>
      </w:r>
      <w:r w:rsidR="000F55E8" w:rsidRPr="00DB6C30">
        <w:rPr>
          <w:rFonts w:cs="Arial"/>
          <w:sz w:val="22"/>
          <w:szCs w:val="22"/>
        </w:rPr>
        <w:t>listing of Balkan Lynx (</w:t>
      </w:r>
      <w:r w:rsidR="000F55E8" w:rsidRPr="00DB6C30">
        <w:rPr>
          <w:rFonts w:cs="Arial"/>
          <w:i/>
          <w:iCs/>
          <w:sz w:val="22"/>
          <w:szCs w:val="22"/>
        </w:rPr>
        <w:t xml:space="preserve">Lynx </w:t>
      </w:r>
      <w:proofErr w:type="spellStart"/>
      <w:r w:rsidR="000F55E8" w:rsidRPr="00DB6C30">
        <w:rPr>
          <w:rFonts w:cs="Arial"/>
          <w:i/>
          <w:iCs/>
          <w:sz w:val="22"/>
          <w:szCs w:val="22"/>
        </w:rPr>
        <w:t>lynx</w:t>
      </w:r>
      <w:proofErr w:type="spellEnd"/>
      <w:r w:rsidR="000F55E8" w:rsidRPr="00DB6C30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="000F55E8" w:rsidRPr="000F55E8">
        <w:rPr>
          <w:rFonts w:cs="Arial"/>
          <w:i/>
          <w:iCs/>
          <w:sz w:val="22"/>
          <w:szCs w:val="22"/>
        </w:rPr>
        <w:t>balcanicus</w:t>
      </w:r>
      <w:proofErr w:type="spellEnd"/>
      <w:r w:rsidR="000F55E8" w:rsidRPr="000F55E8">
        <w:rPr>
          <w:rFonts w:cs="Arial"/>
          <w:sz w:val="22"/>
          <w:szCs w:val="22"/>
        </w:rPr>
        <w:t>), Carpathian Lynx (</w:t>
      </w:r>
      <w:r w:rsidR="000F55E8" w:rsidRPr="000F55E8">
        <w:rPr>
          <w:rFonts w:cs="Arial"/>
          <w:i/>
          <w:iCs/>
          <w:sz w:val="22"/>
          <w:szCs w:val="22"/>
        </w:rPr>
        <w:t xml:space="preserve">Lynx </w:t>
      </w:r>
      <w:proofErr w:type="spellStart"/>
      <w:r w:rsidR="000F55E8" w:rsidRPr="000F55E8">
        <w:rPr>
          <w:rFonts w:cs="Arial"/>
          <w:i/>
          <w:iCs/>
          <w:sz w:val="22"/>
          <w:szCs w:val="22"/>
        </w:rPr>
        <w:t>lynx</w:t>
      </w:r>
      <w:proofErr w:type="spellEnd"/>
      <w:r w:rsidR="000F55E8" w:rsidRPr="000F55E8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="000F55E8" w:rsidRPr="000F55E8">
        <w:rPr>
          <w:rFonts w:cs="Arial"/>
          <w:i/>
          <w:iCs/>
          <w:sz w:val="22"/>
          <w:szCs w:val="22"/>
        </w:rPr>
        <w:t>carpathicus</w:t>
      </w:r>
      <w:proofErr w:type="spellEnd"/>
      <w:r w:rsidR="000F55E8" w:rsidRPr="000F55E8">
        <w:rPr>
          <w:rFonts w:cs="Arial"/>
          <w:sz w:val="22"/>
          <w:szCs w:val="22"/>
        </w:rPr>
        <w:t>), Caucasian Lynx (</w:t>
      </w:r>
      <w:r w:rsidR="000F55E8" w:rsidRPr="000F55E8">
        <w:rPr>
          <w:rFonts w:cs="Arial"/>
          <w:i/>
          <w:iCs/>
          <w:sz w:val="22"/>
          <w:szCs w:val="22"/>
        </w:rPr>
        <w:t xml:space="preserve">Lynx </w:t>
      </w:r>
      <w:proofErr w:type="spellStart"/>
      <w:r w:rsidR="000F55E8" w:rsidRPr="000F55E8">
        <w:rPr>
          <w:rFonts w:cs="Arial"/>
          <w:i/>
          <w:iCs/>
          <w:sz w:val="22"/>
          <w:szCs w:val="22"/>
        </w:rPr>
        <w:t>lynx</w:t>
      </w:r>
      <w:proofErr w:type="spellEnd"/>
      <w:r w:rsidR="000F55E8" w:rsidRPr="000F55E8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="000F55E8" w:rsidRPr="000F55E8">
        <w:rPr>
          <w:rFonts w:cs="Arial"/>
          <w:i/>
          <w:iCs/>
          <w:sz w:val="22"/>
          <w:szCs w:val="22"/>
        </w:rPr>
        <w:t>dinniki</w:t>
      </w:r>
      <w:proofErr w:type="spellEnd"/>
      <w:r w:rsidR="000F55E8" w:rsidRPr="000F55E8">
        <w:rPr>
          <w:rFonts w:cs="Arial"/>
          <w:sz w:val="22"/>
          <w:szCs w:val="22"/>
        </w:rPr>
        <w:t>) and Central Asian Lynx (</w:t>
      </w:r>
      <w:r w:rsidR="000F55E8" w:rsidRPr="000F55E8">
        <w:rPr>
          <w:rFonts w:cs="Arial"/>
          <w:i/>
          <w:iCs/>
          <w:sz w:val="22"/>
          <w:szCs w:val="22"/>
        </w:rPr>
        <w:t xml:space="preserve">Lynx </w:t>
      </w:r>
      <w:proofErr w:type="spellStart"/>
      <w:r w:rsidR="000F55E8" w:rsidRPr="000F55E8">
        <w:rPr>
          <w:rFonts w:cs="Arial"/>
          <w:i/>
          <w:iCs/>
          <w:sz w:val="22"/>
          <w:szCs w:val="22"/>
        </w:rPr>
        <w:t>lynx</w:t>
      </w:r>
      <w:proofErr w:type="spellEnd"/>
      <w:r w:rsidR="000F55E8" w:rsidRPr="000F55E8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="000F55E8" w:rsidRPr="000F55E8">
        <w:rPr>
          <w:rFonts w:cs="Arial"/>
          <w:i/>
          <w:iCs/>
          <w:sz w:val="22"/>
          <w:szCs w:val="22"/>
        </w:rPr>
        <w:t>isabellinus</w:t>
      </w:r>
      <w:proofErr w:type="spellEnd"/>
      <w:r w:rsidR="000F55E8" w:rsidRPr="000F55E8">
        <w:rPr>
          <w:rFonts w:cs="Arial"/>
          <w:sz w:val="22"/>
          <w:szCs w:val="22"/>
        </w:rPr>
        <w:t>)</w:t>
      </w:r>
      <w:r w:rsidR="000F55E8">
        <w:rPr>
          <w:rFonts w:cs="Arial"/>
          <w:sz w:val="22"/>
          <w:szCs w:val="22"/>
        </w:rPr>
        <w:t xml:space="preserve"> on Appendix II</w:t>
      </w:r>
      <w:r w:rsidR="00314EB9">
        <w:rPr>
          <w:rFonts w:cs="Arial"/>
          <w:sz w:val="22"/>
          <w:szCs w:val="22"/>
        </w:rPr>
        <w:t xml:space="preserve"> or whether</w:t>
      </w:r>
      <w:r w:rsidR="00157AB0">
        <w:rPr>
          <w:rFonts w:cs="Arial"/>
          <w:sz w:val="22"/>
          <w:szCs w:val="22"/>
        </w:rPr>
        <w:t xml:space="preserve"> they wish to </w:t>
      </w:r>
      <w:r w:rsidR="00406D6D">
        <w:rPr>
          <w:rFonts w:cs="Arial"/>
          <w:sz w:val="22"/>
          <w:szCs w:val="22"/>
        </w:rPr>
        <w:t>further strengthen the argument of also listing the Northern Lynx (</w:t>
      </w:r>
      <w:r w:rsidR="00406D6D" w:rsidRPr="00691076">
        <w:rPr>
          <w:rFonts w:cs="Arial"/>
          <w:i/>
          <w:iCs/>
          <w:sz w:val="22"/>
          <w:szCs w:val="22"/>
        </w:rPr>
        <w:t xml:space="preserve">Lynx </w:t>
      </w:r>
      <w:proofErr w:type="spellStart"/>
      <w:r w:rsidR="00406D6D" w:rsidRPr="00691076">
        <w:rPr>
          <w:rFonts w:cs="Arial"/>
          <w:i/>
          <w:iCs/>
          <w:sz w:val="22"/>
          <w:szCs w:val="22"/>
        </w:rPr>
        <w:t>lynx</w:t>
      </w:r>
      <w:proofErr w:type="spellEnd"/>
      <w:r w:rsidR="00406D6D" w:rsidRPr="00691076">
        <w:rPr>
          <w:rFonts w:cs="Arial"/>
          <w:i/>
          <w:iCs/>
          <w:sz w:val="22"/>
          <w:szCs w:val="22"/>
        </w:rPr>
        <w:t xml:space="preserve"> lynx</w:t>
      </w:r>
      <w:r w:rsidR="00406D6D">
        <w:rPr>
          <w:rFonts w:cs="Arial"/>
          <w:sz w:val="22"/>
          <w:szCs w:val="22"/>
        </w:rPr>
        <w:t>) and Siberian Lynx (</w:t>
      </w:r>
      <w:r w:rsidR="00406D6D" w:rsidRPr="00691076">
        <w:rPr>
          <w:rFonts w:cs="Arial"/>
          <w:i/>
          <w:iCs/>
          <w:sz w:val="22"/>
          <w:szCs w:val="22"/>
        </w:rPr>
        <w:t xml:space="preserve">Lynx </w:t>
      </w:r>
      <w:proofErr w:type="spellStart"/>
      <w:r w:rsidR="00406D6D" w:rsidRPr="00691076">
        <w:rPr>
          <w:rFonts w:cs="Arial"/>
          <w:i/>
          <w:iCs/>
          <w:sz w:val="22"/>
          <w:szCs w:val="22"/>
        </w:rPr>
        <w:t>lynx</w:t>
      </w:r>
      <w:proofErr w:type="spellEnd"/>
      <w:r w:rsidR="00406D6D" w:rsidRPr="00691076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="00406D6D" w:rsidRPr="00691076">
        <w:rPr>
          <w:rFonts w:cs="Arial"/>
          <w:i/>
          <w:iCs/>
          <w:sz w:val="22"/>
          <w:szCs w:val="22"/>
        </w:rPr>
        <w:t>wrangeli</w:t>
      </w:r>
      <w:proofErr w:type="spellEnd"/>
      <w:r w:rsidR="00406D6D">
        <w:rPr>
          <w:rFonts w:cs="Arial"/>
          <w:sz w:val="22"/>
          <w:szCs w:val="22"/>
        </w:rPr>
        <w:t xml:space="preserve">) </w:t>
      </w:r>
      <w:r w:rsidR="00266D08">
        <w:rPr>
          <w:rFonts w:cs="Arial"/>
          <w:sz w:val="22"/>
          <w:szCs w:val="22"/>
        </w:rPr>
        <w:t>on Appendix II</w:t>
      </w:r>
      <w:r w:rsidR="008526EE">
        <w:rPr>
          <w:rFonts w:cs="Arial"/>
          <w:sz w:val="22"/>
          <w:szCs w:val="22"/>
        </w:rPr>
        <w:t>,</w:t>
      </w:r>
      <w:r w:rsidR="00D96BDA">
        <w:rPr>
          <w:rFonts w:cs="Arial"/>
          <w:sz w:val="22"/>
          <w:szCs w:val="22"/>
        </w:rPr>
        <w:t xml:space="preserve"> e.g.</w:t>
      </w:r>
      <w:r w:rsidR="008526EE">
        <w:rPr>
          <w:rFonts w:cs="Arial"/>
          <w:sz w:val="22"/>
          <w:szCs w:val="22"/>
        </w:rPr>
        <w:t xml:space="preserve"> by further demonstrating how the listing of the species as a whole has “a conservation status which would benefit from international cooperation” (Article IV)</w:t>
      </w:r>
      <w:r w:rsidR="00266D08">
        <w:rPr>
          <w:rFonts w:cs="Arial"/>
          <w:sz w:val="22"/>
          <w:szCs w:val="22"/>
        </w:rPr>
        <w:t>.</w:t>
      </w:r>
    </w:p>
    <w:p w14:paraId="30FED010" w14:textId="77777777" w:rsidR="00D96BDA" w:rsidRPr="00855F53" w:rsidRDefault="00D96BDA" w:rsidP="00C703C3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57AA1E69" w14:textId="77777777" w:rsidR="00567FB0" w:rsidRDefault="00567FB0" w:rsidP="00C703C3">
      <w:pPr>
        <w:pStyle w:val="Default"/>
        <w:jc w:val="both"/>
        <w:rPr>
          <w:sz w:val="22"/>
          <w:szCs w:val="22"/>
          <w:lang w:val="en-CA"/>
        </w:rPr>
      </w:pPr>
    </w:p>
    <w:p w14:paraId="02B4D55A" w14:textId="77777777" w:rsidR="00567FB0" w:rsidRDefault="00567FB0" w:rsidP="00C703C3">
      <w:pPr>
        <w:pStyle w:val="Default"/>
        <w:jc w:val="both"/>
        <w:rPr>
          <w:sz w:val="22"/>
          <w:szCs w:val="22"/>
          <w:lang w:val="en-CA"/>
        </w:rPr>
      </w:pPr>
    </w:p>
    <w:p w14:paraId="15B54D5B" w14:textId="345D849A" w:rsidR="00D96BDA" w:rsidRPr="00C703C3" w:rsidRDefault="00D96BDA" w:rsidP="00C703C3">
      <w:pPr>
        <w:pStyle w:val="Default"/>
        <w:jc w:val="both"/>
        <w:rPr>
          <w:sz w:val="22"/>
          <w:szCs w:val="22"/>
          <w:lang w:val="en-CA"/>
        </w:rPr>
      </w:pPr>
      <w:r w:rsidRPr="00855F53">
        <w:rPr>
          <w:sz w:val="22"/>
          <w:szCs w:val="22"/>
          <w:lang w:val="en-CA"/>
        </w:rPr>
        <w:t xml:space="preserve">The Scientific Council recommends </w:t>
      </w:r>
      <w:r w:rsidR="00BB1C33" w:rsidRPr="00855F53">
        <w:rPr>
          <w:sz w:val="22"/>
          <w:szCs w:val="22"/>
          <w:lang w:val="en-CA"/>
        </w:rPr>
        <w:t>using</w:t>
      </w:r>
      <w:r w:rsidRPr="00855F53">
        <w:rPr>
          <w:sz w:val="22"/>
          <w:szCs w:val="22"/>
          <w:lang w:val="en-CA"/>
        </w:rPr>
        <w:t xml:space="preserve"> Kitchener et al. 2017 as taxonomic reference </w:t>
      </w:r>
      <w:r w:rsidR="006D6B03">
        <w:rPr>
          <w:sz w:val="22"/>
          <w:szCs w:val="22"/>
          <w:lang w:val="en-CA"/>
        </w:rPr>
        <w:t xml:space="preserve">for </w:t>
      </w:r>
      <w:r w:rsidR="00C703C3">
        <w:rPr>
          <w:sz w:val="22"/>
          <w:szCs w:val="22"/>
          <w:lang w:val="en-CA"/>
        </w:rPr>
        <w:t>Eurasian lynx (</w:t>
      </w:r>
      <w:r w:rsidR="00C703C3" w:rsidRPr="00C703C3">
        <w:rPr>
          <w:i/>
          <w:iCs/>
          <w:sz w:val="22"/>
          <w:szCs w:val="22"/>
          <w:lang w:val="en-CA"/>
        </w:rPr>
        <w:t>Lynx lynx</w:t>
      </w:r>
      <w:r w:rsidR="00C703C3">
        <w:rPr>
          <w:sz w:val="22"/>
          <w:szCs w:val="22"/>
          <w:lang w:val="en-CA"/>
        </w:rPr>
        <w:t xml:space="preserve">) and its subspecies </w:t>
      </w:r>
      <w:r w:rsidRPr="00855F53">
        <w:rPr>
          <w:sz w:val="22"/>
          <w:szCs w:val="22"/>
          <w:lang w:val="en-CA"/>
        </w:rPr>
        <w:t>as already adopted by CITES through Resolution 12.11 (Rev. CoP19).</w:t>
      </w:r>
    </w:p>
    <w:p w14:paraId="3B048E07" w14:textId="77777777" w:rsidR="00D96BDA" w:rsidRPr="00855F53" w:rsidRDefault="00D96BDA" w:rsidP="00C703C3">
      <w:pPr>
        <w:pStyle w:val="Default"/>
        <w:jc w:val="both"/>
        <w:rPr>
          <w:sz w:val="22"/>
          <w:szCs w:val="22"/>
        </w:rPr>
      </w:pPr>
    </w:p>
    <w:p w14:paraId="189E600D" w14:textId="28E18C05" w:rsidR="00D96BDA" w:rsidRPr="00855F53" w:rsidRDefault="000E3047" w:rsidP="00C703C3">
      <w:pPr>
        <w:pStyle w:val="Default"/>
        <w:jc w:val="both"/>
        <w:rPr>
          <w:sz w:val="22"/>
          <w:szCs w:val="22"/>
        </w:rPr>
      </w:pPr>
      <w:r w:rsidRPr="00855F53">
        <w:rPr>
          <w:sz w:val="22"/>
          <w:szCs w:val="22"/>
        </w:rPr>
        <w:t xml:space="preserve">Kitchener A. C., </w:t>
      </w:r>
      <w:proofErr w:type="spellStart"/>
      <w:r w:rsidRPr="00855F53">
        <w:rPr>
          <w:sz w:val="22"/>
          <w:szCs w:val="22"/>
        </w:rPr>
        <w:t>Breitenmoser-Würsten</w:t>
      </w:r>
      <w:proofErr w:type="spellEnd"/>
      <w:r w:rsidRPr="00855F53">
        <w:rPr>
          <w:sz w:val="22"/>
          <w:szCs w:val="22"/>
        </w:rPr>
        <w:t xml:space="preserve"> C</w:t>
      </w:r>
      <w:r w:rsidR="00595A1D" w:rsidRPr="006D6B03">
        <w:rPr>
          <w:sz w:val="22"/>
          <w:szCs w:val="22"/>
        </w:rPr>
        <w:t>H</w:t>
      </w:r>
      <w:r w:rsidRPr="00855F53">
        <w:rPr>
          <w:sz w:val="22"/>
          <w:szCs w:val="22"/>
        </w:rPr>
        <w:t xml:space="preserve">., </w:t>
      </w:r>
      <w:proofErr w:type="spellStart"/>
      <w:r w:rsidRPr="00855F53">
        <w:rPr>
          <w:sz w:val="22"/>
          <w:szCs w:val="22"/>
        </w:rPr>
        <w:t>Eizirik</w:t>
      </w:r>
      <w:proofErr w:type="spellEnd"/>
      <w:r w:rsidRPr="00855F53">
        <w:rPr>
          <w:sz w:val="22"/>
          <w:szCs w:val="22"/>
        </w:rPr>
        <w:t xml:space="preserve"> E., Gentry A., Werdelin L., Wilting A., Yamaguchi N., Abramov A. V., Christiansen P., Driscoll C., Duckworth J. W., Johnson W., Luo S.-J., </w:t>
      </w:r>
      <w:proofErr w:type="spellStart"/>
      <w:r w:rsidRPr="00855F53">
        <w:rPr>
          <w:sz w:val="22"/>
          <w:szCs w:val="22"/>
        </w:rPr>
        <w:t>Meijaard</w:t>
      </w:r>
      <w:proofErr w:type="spellEnd"/>
      <w:r w:rsidRPr="00855F53">
        <w:rPr>
          <w:sz w:val="22"/>
          <w:szCs w:val="22"/>
        </w:rPr>
        <w:t xml:space="preserve"> E., </w:t>
      </w:r>
      <w:proofErr w:type="spellStart"/>
      <w:r w:rsidRPr="00855F53">
        <w:rPr>
          <w:sz w:val="22"/>
          <w:szCs w:val="22"/>
        </w:rPr>
        <w:t>O’donoghue</w:t>
      </w:r>
      <w:proofErr w:type="spellEnd"/>
      <w:r w:rsidRPr="00855F53">
        <w:rPr>
          <w:sz w:val="22"/>
          <w:szCs w:val="22"/>
        </w:rPr>
        <w:t xml:space="preserve"> P., Sanderson J., Seymour K., Bruford M., Groves C., Hoffmann M., Nowell K., Timmons Z. And </w:t>
      </w:r>
      <w:proofErr w:type="spellStart"/>
      <w:r w:rsidRPr="00855F53">
        <w:rPr>
          <w:sz w:val="22"/>
          <w:szCs w:val="22"/>
        </w:rPr>
        <w:t>Tobe</w:t>
      </w:r>
      <w:proofErr w:type="spellEnd"/>
      <w:r w:rsidRPr="00855F53">
        <w:rPr>
          <w:sz w:val="22"/>
          <w:szCs w:val="22"/>
        </w:rPr>
        <w:t xml:space="preserve"> S. </w:t>
      </w:r>
      <w:r w:rsidR="00D96BDA" w:rsidRPr="00855F53">
        <w:rPr>
          <w:sz w:val="22"/>
          <w:szCs w:val="22"/>
        </w:rPr>
        <w:t xml:space="preserve">(2017): A revised taxonomy of the Felidae. The final report of the Cat Classification Task Force of the IUCN/SSC Cat Specialist Group. </w:t>
      </w:r>
      <w:r w:rsidR="00D96BDA" w:rsidRPr="00855F53">
        <w:rPr>
          <w:i/>
          <w:iCs/>
          <w:sz w:val="22"/>
          <w:szCs w:val="22"/>
        </w:rPr>
        <w:t xml:space="preserve">Cat News </w:t>
      </w:r>
      <w:r w:rsidR="00D96BDA" w:rsidRPr="00855F53">
        <w:rPr>
          <w:sz w:val="22"/>
          <w:szCs w:val="22"/>
        </w:rPr>
        <w:t xml:space="preserve">Special Issue 11, 80 pp. </w:t>
      </w:r>
    </w:p>
    <w:p w14:paraId="286826A8" w14:textId="77777777" w:rsidR="00D96BDA" w:rsidRPr="00743376" w:rsidRDefault="00D96BDA" w:rsidP="006016A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sectPr w:rsidR="00D96BDA" w:rsidRPr="00743376" w:rsidSect="00950CDA">
      <w:headerReference w:type="even" r:id="rId11"/>
      <w:footerReference w:type="even" r:id="rId12"/>
      <w:headerReference w:type="first" r:id="rId13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A08B3" w14:textId="77777777" w:rsidR="00273D71" w:rsidRDefault="00273D71" w:rsidP="00355BE3">
      <w:r>
        <w:separator/>
      </w:r>
    </w:p>
  </w:endnote>
  <w:endnote w:type="continuationSeparator" w:id="0">
    <w:p w14:paraId="4101AD01" w14:textId="77777777" w:rsidR="00273D71" w:rsidRDefault="00273D71" w:rsidP="00355BE3">
      <w:r>
        <w:continuationSeparator/>
      </w:r>
    </w:p>
  </w:endnote>
  <w:endnote w:type="continuationNotice" w:id="1">
    <w:p w14:paraId="36E0112D" w14:textId="77777777" w:rsidR="00273D71" w:rsidRDefault="00273D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43CD" w14:textId="77777777" w:rsidR="00273D71" w:rsidRDefault="00273D71" w:rsidP="00355BE3">
      <w:r>
        <w:separator/>
      </w:r>
    </w:p>
  </w:footnote>
  <w:footnote w:type="continuationSeparator" w:id="0">
    <w:p w14:paraId="0350C7C4" w14:textId="77777777" w:rsidR="00273D71" w:rsidRDefault="00273D71" w:rsidP="00355BE3">
      <w:r>
        <w:continuationSeparator/>
      </w:r>
    </w:p>
  </w:footnote>
  <w:footnote w:type="continuationNotice" w:id="1">
    <w:p w14:paraId="711ECF1A" w14:textId="77777777" w:rsidR="00273D71" w:rsidRDefault="00273D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10C29372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</w:t>
    </w:r>
    <w:r w:rsidR="00567FB0">
      <w:rPr>
        <w:rFonts w:cs="Arial"/>
        <w:i/>
        <w:szCs w:val="18"/>
      </w:rPr>
      <w:t>.31.4.1</w:t>
    </w:r>
    <w:r w:rsidRPr="00567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431C7EAD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163C0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7753FE">
      <w:rPr>
        <w:rFonts w:cs="Arial"/>
        <w:i/>
        <w:szCs w:val="18"/>
      </w:rPr>
      <w:t>31.4.1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C688F"/>
    <w:multiLevelType w:val="hybridMultilevel"/>
    <w:tmpl w:val="6804CD52"/>
    <w:lvl w:ilvl="0" w:tplc="24D08726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4653FB"/>
    <w:multiLevelType w:val="hybridMultilevel"/>
    <w:tmpl w:val="07DAA3FE"/>
    <w:lvl w:ilvl="0" w:tplc="F10E3C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  <w:num w:numId="2" w16cid:durableId="1401058415">
    <w:abstractNumId w:val="1"/>
  </w:num>
  <w:num w:numId="3" w16cid:durableId="1794405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024D2"/>
    <w:rsid w:val="0002599A"/>
    <w:rsid w:val="0003542E"/>
    <w:rsid w:val="00043D4E"/>
    <w:rsid w:val="000641E8"/>
    <w:rsid w:val="0007327B"/>
    <w:rsid w:val="000E01A7"/>
    <w:rsid w:val="000E3047"/>
    <w:rsid w:val="000F55E8"/>
    <w:rsid w:val="00133403"/>
    <w:rsid w:val="00137C5B"/>
    <w:rsid w:val="00157AB0"/>
    <w:rsid w:val="001639F5"/>
    <w:rsid w:val="00167370"/>
    <w:rsid w:val="00170AB1"/>
    <w:rsid w:val="001754C9"/>
    <w:rsid w:val="00196B6D"/>
    <w:rsid w:val="001D1077"/>
    <w:rsid w:val="001F437A"/>
    <w:rsid w:val="00226A28"/>
    <w:rsid w:val="002568F7"/>
    <w:rsid w:val="00261FA8"/>
    <w:rsid w:val="00266D08"/>
    <w:rsid w:val="00273D71"/>
    <w:rsid w:val="00275CED"/>
    <w:rsid w:val="00286B56"/>
    <w:rsid w:val="002A4C52"/>
    <w:rsid w:val="002B0D4B"/>
    <w:rsid w:val="002B1EF6"/>
    <w:rsid w:val="00302D90"/>
    <w:rsid w:val="00314EB9"/>
    <w:rsid w:val="00326C09"/>
    <w:rsid w:val="00355BE3"/>
    <w:rsid w:val="00365F1E"/>
    <w:rsid w:val="00382A55"/>
    <w:rsid w:val="003B3D49"/>
    <w:rsid w:val="003F2C2E"/>
    <w:rsid w:val="00406D6D"/>
    <w:rsid w:val="0043640C"/>
    <w:rsid w:val="004807B8"/>
    <w:rsid w:val="004F5075"/>
    <w:rsid w:val="00512B49"/>
    <w:rsid w:val="005330F7"/>
    <w:rsid w:val="00533A2C"/>
    <w:rsid w:val="00541705"/>
    <w:rsid w:val="005530A2"/>
    <w:rsid w:val="00554991"/>
    <w:rsid w:val="00563598"/>
    <w:rsid w:val="00564AA9"/>
    <w:rsid w:val="00567FB0"/>
    <w:rsid w:val="00593F35"/>
    <w:rsid w:val="00595A1D"/>
    <w:rsid w:val="00595D79"/>
    <w:rsid w:val="005A0C00"/>
    <w:rsid w:val="005A4DEF"/>
    <w:rsid w:val="005B2560"/>
    <w:rsid w:val="005C78E6"/>
    <w:rsid w:val="005E109E"/>
    <w:rsid w:val="005E43CF"/>
    <w:rsid w:val="006016A8"/>
    <w:rsid w:val="006115DD"/>
    <w:rsid w:val="00633127"/>
    <w:rsid w:val="00635FCB"/>
    <w:rsid w:val="00641C1C"/>
    <w:rsid w:val="00664D8B"/>
    <w:rsid w:val="00676BE4"/>
    <w:rsid w:val="006859D1"/>
    <w:rsid w:val="00691076"/>
    <w:rsid w:val="006A19CA"/>
    <w:rsid w:val="006D6B03"/>
    <w:rsid w:val="006E3016"/>
    <w:rsid w:val="006F24D3"/>
    <w:rsid w:val="007117FE"/>
    <w:rsid w:val="0072350E"/>
    <w:rsid w:val="00743376"/>
    <w:rsid w:val="00764FF9"/>
    <w:rsid w:val="007753FE"/>
    <w:rsid w:val="00776B22"/>
    <w:rsid w:val="0079293A"/>
    <w:rsid w:val="007B59A3"/>
    <w:rsid w:val="007B71D6"/>
    <w:rsid w:val="007C6BE3"/>
    <w:rsid w:val="007F6611"/>
    <w:rsid w:val="00807F17"/>
    <w:rsid w:val="00824CE6"/>
    <w:rsid w:val="00834FB0"/>
    <w:rsid w:val="008526EE"/>
    <w:rsid w:val="00855F53"/>
    <w:rsid w:val="00856E6C"/>
    <w:rsid w:val="00882B81"/>
    <w:rsid w:val="008D0322"/>
    <w:rsid w:val="008D0A1F"/>
    <w:rsid w:val="008E6E58"/>
    <w:rsid w:val="0090030C"/>
    <w:rsid w:val="009163C0"/>
    <w:rsid w:val="00935BCC"/>
    <w:rsid w:val="00950CDA"/>
    <w:rsid w:val="009E0C6E"/>
    <w:rsid w:val="009E5236"/>
    <w:rsid w:val="009E74D5"/>
    <w:rsid w:val="00A043BE"/>
    <w:rsid w:val="00A261CD"/>
    <w:rsid w:val="00A42194"/>
    <w:rsid w:val="00AD393D"/>
    <w:rsid w:val="00AD7AC3"/>
    <w:rsid w:val="00AF3B0C"/>
    <w:rsid w:val="00AF6378"/>
    <w:rsid w:val="00AF6C3F"/>
    <w:rsid w:val="00B05251"/>
    <w:rsid w:val="00B31C0A"/>
    <w:rsid w:val="00B44310"/>
    <w:rsid w:val="00B51E83"/>
    <w:rsid w:val="00B97C87"/>
    <w:rsid w:val="00BB1C33"/>
    <w:rsid w:val="00BF6812"/>
    <w:rsid w:val="00C106D1"/>
    <w:rsid w:val="00C1258C"/>
    <w:rsid w:val="00C1596B"/>
    <w:rsid w:val="00C35425"/>
    <w:rsid w:val="00C45F0F"/>
    <w:rsid w:val="00C56813"/>
    <w:rsid w:val="00C703C3"/>
    <w:rsid w:val="00CA46F0"/>
    <w:rsid w:val="00CD6268"/>
    <w:rsid w:val="00D15102"/>
    <w:rsid w:val="00D1746D"/>
    <w:rsid w:val="00D24BC9"/>
    <w:rsid w:val="00D448DF"/>
    <w:rsid w:val="00D84B09"/>
    <w:rsid w:val="00D96BDA"/>
    <w:rsid w:val="00DA45E6"/>
    <w:rsid w:val="00DB6C30"/>
    <w:rsid w:val="00DD2F29"/>
    <w:rsid w:val="00DD5D10"/>
    <w:rsid w:val="00E0082D"/>
    <w:rsid w:val="00E071BF"/>
    <w:rsid w:val="00E632FD"/>
    <w:rsid w:val="00E95F7B"/>
    <w:rsid w:val="00E97884"/>
    <w:rsid w:val="00EA03E4"/>
    <w:rsid w:val="00EA509A"/>
    <w:rsid w:val="00EC72EF"/>
    <w:rsid w:val="00ED5AC6"/>
    <w:rsid w:val="00EF4FBE"/>
    <w:rsid w:val="00EF6089"/>
    <w:rsid w:val="00F1082A"/>
    <w:rsid w:val="00F11E8B"/>
    <w:rsid w:val="00F31A60"/>
    <w:rsid w:val="00F36A65"/>
    <w:rsid w:val="00F43ABD"/>
    <w:rsid w:val="00F47FA4"/>
    <w:rsid w:val="00F7339E"/>
    <w:rsid w:val="00F80739"/>
    <w:rsid w:val="00FA7205"/>
    <w:rsid w:val="00FC1F32"/>
    <w:rsid w:val="00FC2A29"/>
    <w:rsid w:val="00FE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69549"/>
  <w15:chartTrackingRefBased/>
  <w15:docId w15:val="{8E78F532-D9BF-46F8-BFD2-9ED258E8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AF6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C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5F0F"/>
    <w:pPr>
      <w:spacing w:after="0" w:line="240" w:lineRule="auto"/>
    </w:pPr>
    <w:rPr>
      <w:rFonts w:eastAsia="Times New Roman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5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5F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5F0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F0F"/>
    <w:rPr>
      <w:rFonts w:eastAsia="Times New Roman" w:cs="Times New Roman"/>
      <w:b/>
      <w:bCs/>
      <w:sz w:val="20"/>
      <w:szCs w:val="20"/>
    </w:rPr>
  </w:style>
  <w:style w:type="paragraph" w:customStyle="1" w:styleId="Default">
    <w:name w:val="Default"/>
    <w:basedOn w:val="Normal"/>
    <w:rsid w:val="00D96BDA"/>
    <w:pPr>
      <w:widowControl/>
      <w:adjustRightInd/>
    </w:pPr>
    <w:rPr>
      <w:rFonts w:eastAsiaTheme="minorHAnsi" w:cs="Arial"/>
      <w:color w:val="000000"/>
      <w:sz w:val="24"/>
      <w:lang w:val="en-D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ms.int/en/document/proposal-inclusion-eurasian-lynx-lynx-lynx-appendix-ii-and-balkan-lynx-lynx-lynx-balcanic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A17A1213-9263-4564-AB5C-A05EF5743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Links>
    <vt:vector size="6" baseType="variant">
      <vt:variant>
        <vt:i4>2359413</vt:i4>
      </vt:variant>
      <vt:variant>
        <vt:i4>0</vt:i4>
      </vt:variant>
      <vt:variant>
        <vt:i4>0</vt:i4>
      </vt:variant>
      <vt:variant>
        <vt:i4>5</vt:i4>
      </vt:variant>
      <vt:variant>
        <vt:lpwstr>https://www.cms.int/en/document/proposal-inclusion-eurasian-lynx-lynx-lynx-appendix-ii-and-balkan-lynx-lynx-lynx-balcanicus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2</cp:revision>
  <dcterms:created xsi:type="dcterms:W3CDTF">2023-07-20T12:39:00Z</dcterms:created>
  <dcterms:modified xsi:type="dcterms:W3CDTF">2023-07-20T12:39:00Z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