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A6FA" w14:textId="25517E70" w:rsidR="000F1354" w:rsidRPr="00C433E3"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0A28C0" w:rsidRPr="00C433E3">
        <w:rPr>
          <w:rFonts w:cs="Arial"/>
          <w:sz w:val="22"/>
          <w:szCs w:val="22"/>
          <w:lang w:val="en-GB"/>
        </w:rPr>
        <w:t>CRP</w:t>
      </w:r>
      <w:r w:rsidR="00391ADE" w:rsidRPr="00C433E3">
        <w:rPr>
          <w:rFonts w:cs="Arial"/>
          <w:sz w:val="22"/>
          <w:szCs w:val="22"/>
          <w:lang w:val="en-GB"/>
        </w:rPr>
        <w:t xml:space="preserve"> </w:t>
      </w:r>
      <w:r w:rsidR="00744436" w:rsidRPr="00C433E3">
        <w:rPr>
          <w:rFonts w:cs="Arial"/>
          <w:sz w:val="22"/>
          <w:szCs w:val="22"/>
          <w:lang w:val="en-GB"/>
        </w:rPr>
        <w:t>6.4.</w:t>
      </w:r>
      <w:r w:rsidR="0007788C" w:rsidRPr="00C433E3">
        <w:rPr>
          <w:rFonts w:cs="Arial"/>
          <w:sz w:val="22"/>
          <w:szCs w:val="22"/>
          <w:lang w:val="en-GB"/>
        </w:rPr>
        <w:t>2</w:t>
      </w:r>
    </w:p>
    <w:p w14:paraId="4641C672" w14:textId="77777777" w:rsidR="003E24AC" w:rsidRPr="00C433E3" w:rsidRDefault="008648EB" w:rsidP="00BF42FC">
      <w:pPr>
        <w:jc w:val="right"/>
        <w:rPr>
          <w:rFonts w:cs="Arial"/>
          <w:b/>
          <w:sz w:val="22"/>
          <w:szCs w:val="22"/>
          <w:lang w:val="en-GB"/>
        </w:rPr>
      </w:pPr>
      <w:r w:rsidRPr="00C433E3">
        <w:rPr>
          <w:rFonts w:cs="Arial"/>
          <w:b/>
          <w:sz w:val="22"/>
          <w:szCs w:val="22"/>
          <w:lang w:val="en-GB"/>
        </w:rPr>
        <w:t>In</w:t>
      </w:r>
      <w:r w:rsidR="0002655B" w:rsidRPr="00C433E3">
        <w:rPr>
          <w:rFonts w:cs="Arial"/>
          <w:b/>
          <w:sz w:val="22"/>
          <w:szCs w:val="22"/>
          <w:lang w:val="en-GB"/>
        </w:rPr>
        <w:t>-S</w:t>
      </w:r>
      <w:r w:rsidRPr="00C433E3">
        <w:rPr>
          <w:rFonts w:cs="Arial"/>
          <w:b/>
          <w:sz w:val="22"/>
          <w:szCs w:val="22"/>
          <w:lang w:val="en-GB"/>
        </w:rPr>
        <w:t>ession</w:t>
      </w:r>
      <w:r w:rsidR="00BF42FC" w:rsidRPr="00C433E3">
        <w:rPr>
          <w:rFonts w:cs="Arial"/>
          <w:b/>
          <w:sz w:val="22"/>
          <w:szCs w:val="22"/>
          <w:lang w:val="en-GB"/>
        </w:rPr>
        <w:t xml:space="preserve"> Version </w:t>
      </w:r>
    </w:p>
    <w:p w14:paraId="6466E68B" w14:textId="77777777" w:rsidR="00470CA7" w:rsidRPr="00C433E3" w:rsidRDefault="00470CA7" w:rsidP="00BF42FC">
      <w:pPr>
        <w:jc w:val="right"/>
        <w:rPr>
          <w:rFonts w:cs="Arial"/>
          <w:b/>
          <w:sz w:val="22"/>
          <w:szCs w:val="22"/>
          <w:lang w:val="en-GB"/>
        </w:rPr>
      </w:pPr>
    </w:p>
    <w:p w14:paraId="5AA7483F" w14:textId="77777777" w:rsidR="00BF42FC" w:rsidRPr="00C433E3" w:rsidRDefault="00BF42FC" w:rsidP="00BF42FC">
      <w:pPr>
        <w:jc w:val="right"/>
        <w:rPr>
          <w:rFonts w:cs="Arial"/>
          <w:sz w:val="22"/>
          <w:szCs w:val="22"/>
          <w:lang w:val="en-GB"/>
        </w:rPr>
      </w:pPr>
    </w:p>
    <w:p w14:paraId="472360F3" w14:textId="53D12AA1" w:rsidR="000A28C0" w:rsidRPr="00C433E3" w:rsidRDefault="0007788C" w:rsidP="00E858E8">
      <w:pPr>
        <w:pStyle w:val="Heading2"/>
        <w:keepNext w:val="0"/>
        <w:spacing w:after="120"/>
        <w:ind w:left="-86" w:right="-360"/>
        <w:jc w:val="center"/>
        <w:rPr>
          <w:rFonts w:cs="Arial"/>
          <w:sz w:val="22"/>
          <w:szCs w:val="22"/>
          <w:lang w:val="en-GB"/>
        </w:rPr>
      </w:pPr>
      <w:r w:rsidRPr="00C433E3">
        <w:rPr>
          <w:rFonts w:cs="Arial"/>
          <w:sz w:val="22"/>
          <w:szCs w:val="22"/>
          <w:lang w:val="en-GB"/>
        </w:rPr>
        <w:t>INFRASTRUCTURE DEVELOPMENT AND MIGRATORY SPECIES</w:t>
      </w:r>
    </w:p>
    <w:p w14:paraId="39BF2534" w14:textId="502A1AED" w:rsidR="000F1354" w:rsidRPr="00C433E3" w:rsidRDefault="003E24AC" w:rsidP="009C1152">
      <w:pPr>
        <w:pStyle w:val="Heading2"/>
        <w:keepNext w:val="0"/>
        <w:ind w:left="-90" w:right="-367"/>
        <w:jc w:val="center"/>
        <w:rPr>
          <w:rFonts w:cs="Arial"/>
          <w:sz w:val="22"/>
          <w:szCs w:val="22"/>
        </w:rPr>
      </w:pPr>
      <w:bookmarkStart w:id="0" w:name="_Hlk75169186"/>
      <w:r w:rsidRPr="00C433E3">
        <w:rPr>
          <w:rFonts w:cs="Arial"/>
          <w:sz w:val="22"/>
          <w:szCs w:val="22"/>
        </w:rPr>
        <w:t>UNEP/</w:t>
      </w:r>
      <w:r w:rsidR="000A28C0" w:rsidRPr="00C433E3">
        <w:rPr>
          <w:rFonts w:cs="Arial"/>
          <w:sz w:val="22"/>
          <w:szCs w:val="22"/>
        </w:rPr>
        <w:t>ScC-SC5</w:t>
      </w:r>
      <w:r w:rsidRPr="00C433E3">
        <w:rPr>
          <w:rFonts w:cs="Arial"/>
          <w:sz w:val="22"/>
          <w:szCs w:val="22"/>
        </w:rPr>
        <w:t>/</w:t>
      </w:r>
      <w:r w:rsidR="00E56FB6" w:rsidRPr="00C433E3">
        <w:rPr>
          <w:rFonts w:cs="Arial"/>
          <w:sz w:val="22"/>
          <w:szCs w:val="22"/>
        </w:rPr>
        <w:t>Doc.</w:t>
      </w:r>
      <w:r w:rsidR="00744436" w:rsidRPr="00C433E3">
        <w:rPr>
          <w:rFonts w:cs="Arial"/>
          <w:sz w:val="22"/>
          <w:szCs w:val="22"/>
        </w:rPr>
        <w:t>6.4.</w:t>
      </w:r>
      <w:r w:rsidR="0007788C" w:rsidRPr="00C433E3">
        <w:rPr>
          <w:rFonts w:cs="Arial"/>
          <w:sz w:val="22"/>
          <w:szCs w:val="22"/>
        </w:rPr>
        <w:t>2</w:t>
      </w:r>
    </w:p>
    <w:bookmarkEnd w:id="0"/>
    <w:p w14:paraId="7503113B" w14:textId="1637A474" w:rsidR="00470CA7" w:rsidRPr="00C433E3" w:rsidRDefault="00470CA7" w:rsidP="00470CA7">
      <w:pPr>
        <w:rPr>
          <w:rFonts w:cs="Arial"/>
          <w:sz w:val="22"/>
          <w:szCs w:val="22"/>
        </w:rPr>
      </w:pPr>
    </w:p>
    <w:p w14:paraId="3FAEF07E" w14:textId="77777777" w:rsidR="00716CB0" w:rsidRDefault="00716CB0" w:rsidP="00C433E3">
      <w:pPr>
        <w:jc w:val="both"/>
        <w:rPr>
          <w:rFonts w:cs="Arial"/>
          <w:b/>
          <w:bCs/>
          <w:sz w:val="22"/>
          <w:szCs w:val="22"/>
          <w:lang w:val="en-GB"/>
        </w:rPr>
      </w:pPr>
    </w:p>
    <w:p w14:paraId="1912E563" w14:textId="49BBAB7F" w:rsidR="00BB645F" w:rsidRPr="00C433E3" w:rsidRDefault="00BB645F" w:rsidP="00C433E3">
      <w:pPr>
        <w:jc w:val="both"/>
        <w:rPr>
          <w:rFonts w:cs="Arial"/>
          <w:b/>
          <w:bCs/>
          <w:sz w:val="22"/>
          <w:szCs w:val="22"/>
          <w:lang w:val="en-GB"/>
        </w:rPr>
      </w:pPr>
      <w:r w:rsidRPr="00C433E3">
        <w:rPr>
          <w:rFonts w:cs="Arial"/>
          <w:b/>
          <w:bCs/>
          <w:sz w:val="22"/>
          <w:szCs w:val="22"/>
          <w:lang w:val="en-GB"/>
        </w:rPr>
        <w:t>Terms of Reference for the Intersessional, Multi-stakeholder Working Group on Linear Infrastructure</w:t>
      </w:r>
    </w:p>
    <w:p w14:paraId="5F5AAA57" w14:textId="77777777" w:rsidR="00BB645F" w:rsidRPr="00C433E3" w:rsidRDefault="00BB645F" w:rsidP="00C433E3">
      <w:pPr>
        <w:jc w:val="both"/>
        <w:rPr>
          <w:rFonts w:cs="Arial"/>
          <w:sz w:val="22"/>
          <w:szCs w:val="22"/>
        </w:rPr>
      </w:pPr>
    </w:p>
    <w:p w14:paraId="0AA2D879" w14:textId="6C04CAFD" w:rsidR="00BB645F" w:rsidRPr="00C433E3" w:rsidRDefault="00693944" w:rsidP="00C433E3">
      <w:pPr>
        <w:jc w:val="both"/>
        <w:rPr>
          <w:rFonts w:cs="Arial"/>
          <w:sz w:val="22"/>
          <w:szCs w:val="22"/>
        </w:rPr>
      </w:pPr>
      <w:r w:rsidRPr="00C433E3">
        <w:rPr>
          <w:rFonts w:cs="Arial"/>
          <w:sz w:val="22"/>
          <w:szCs w:val="22"/>
        </w:rPr>
        <w:t xml:space="preserve">The Conference of the Parties through </w:t>
      </w:r>
      <w:r w:rsidR="00BB645F" w:rsidRPr="00C433E3">
        <w:rPr>
          <w:rFonts w:cs="Arial"/>
          <w:sz w:val="22"/>
          <w:szCs w:val="22"/>
        </w:rPr>
        <w:t>Decision 13.131 requests t</w:t>
      </w:r>
      <w:r w:rsidR="00BB645F" w:rsidRPr="00C433E3">
        <w:rPr>
          <w:rFonts w:cs="Arial"/>
          <w:sz w:val="22"/>
          <w:szCs w:val="22"/>
          <w:lang w:val="en-GB"/>
        </w:rPr>
        <w:t xml:space="preserve">he Scientific Council, subject to the availability of resources, to establish a multi-stakeholder Working Group on linear infrastructure composed of stakeholders with experience and knowledge on the impact of linear infrastructure development on migratory species and options for mitigation. </w:t>
      </w:r>
      <w:r w:rsidR="00BB645F" w:rsidRPr="00C433E3">
        <w:rPr>
          <w:rFonts w:cs="Arial"/>
          <w:sz w:val="22"/>
          <w:szCs w:val="22"/>
        </w:rPr>
        <w:t xml:space="preserve">The Working Group is asked to: </w:t>
      </w:r>
    </w:p>
    <w:p w14:paraId="788403A6" w14:textId="77777777" w:rsidR="00BB645F" w:rsidRPr="00C433E3" w:rsidRDefault="00BB645F" w:rsidP="00C433E3">
      <w:pPr>
        <w:jc w:val="both"/>
        <w:rPr>
          <w:rFonts w:cs="Arial"/>
          <w:sz w:val="22"/>
          <w:szCs w:val="22"/>
        </w:rPr>
      </w:pPr>
    </w:p>
    <w:p w14:paraId="24575467" w14:textId="5573CB71" w:rsidR="00BB645F" w:rsidRPr="00C433E3" w:rsidRDefault="00BB645F" w:rsidP="00716CB0">
      <w:pPr>
        <w:numPr>
          <w:ilvl w:val="0"/>
          <w:numId w:val="44"/>
        </w:numPr>
        <w:jc w:val="both"/>
        <w:rPr>
          <w:rFonts w:cs="Arial"/>
          <w:i/>
          <w:iCs/>
          <w:sz w:val="22"/>
          <w:szCs w:val="22"/>
          <w:lang w:val="en-GB"/>
        </w:rPr>
      </w:pPr>
      <w:r w:rsidRPr="00C433E3">
        <w:rPr>
          <w:rFonts w:cs="Arial"/>
          <w:i/>
          <w:iCs/>
          <w:sz w:val="22"/>
          <w:szCs w:val="22"/>
          <w:lang w:val="en-GB"/>
        </w:rPr>
        <w:t xml:space="preserve">review available information relevant to linear infrastructure development and potential impacts on migratory species, the compilation of responses received under Decision 13.130 as compiled by the Secretariat in accordance with Decision 13.133 (a), and other relevant </w:t>
      </w:r>
      <w:proofErr w:type="gramStart"/>
      <w:r w:rsidRPr="00C433E3">
        <w:rPr>
          <w:rFonts w:cs="Arial"/>
          <w:i/>
          <w:iCs/>
          <w:sz w:val="22"/>
          <w:szCs w:val="22"/>
          <w:lang w:val="en-GB"/>
        </w:rPr>
        <w:t>information;</w:t>
      </w:r>
      <w:proofErr w:type="gramEnd"/>
      <w:r w:rsidRPr="00C433E3">
        <w:rPr>
          <w:rFonts w:cs="Arial"/>
          <w:i/>
          <w:iCs/>
          <w:sz w:val="22"/>
          <w:szCs w:val="22"/>
          <w:lang w:val="en-GB"/>
        </w:rPr>
        <w:t xml:space="preserve"> </w:t>
      </w:r>
    </w:p>
    <w:p w14:paraId="5650A470" w14:textId="77777777" w:rsidR="00BB645F" w:rsidRPr="00C433E3" w:rsidRDefault="00BB645F" w:rsidP="00716CB0">
      <w:pPr>
        <w:ind w:left="720" w:hanging="360"/>
        <w:jc w:val="both"/>
        <w:rPr>
          <w:rFonts w:cs="Arial"/>
          <w:i/>
          <w:iCs/>
          <w:sz w:val="22"/>
          <w:szCs w:val="22"/>
          <w:lang w:val="en-GB"/>
        </w:rPr>
      </w:pPr>
    </w:p>
    <w:p w14:paraId="454DC0F8" w14:textId="389D1986" w:rsidR="00BB645F" w:rsidRPr="00C433E3" w:rsidRDefault="00BB645F" w:rsidP="00716CB0">
      <w:pPr>
        <w:numPr>
          <w:ilvl w:val="0"/>
          <w:numId w:val="44"/>
        </w:numPr>
        <w:jc w:val="both"/>
        <w:rPr>
          <w:rFonts w:cs="Arial"/>
          <w:i/>
          <w:iCs/>
          <w:sz w:val="22"/>
          <w:szCs w:val="22"/>
          <w:lang w:val="en-GB"/>
        </w:rPr>
      </w:pPr>
      <w:r w:rsidRPr="00C433E3">
        <w:rPr>
          <w:rFonts w:cs="Arial"/>
          <w:i/>
          <w:iCs/>
          <w:sz w:val="22"/>
          <w:szCs w:val="22"/>
          <w:lang w:val="en-GB"/>
        </w:rPr>
        <w:t xml:space="preserve">identify areas where further assistance is needed to enhance the implementation of Resolution 7.2 (Rev.COP12) Impact Assessment and Migratory Species paragraph 2, which urges 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 </w:t>
      </w:r>
    </w:p>
    <w:p w14:paraId="6F303760" w14:textId="77777777" w:rsidR="00BB645F" w:rsidRPr="00C433E3" w:rsidRDefault="00BB645F" w:rsidP="00716CB0">
      <w:pPr>
        <w:pStyle w:val="ListParagraph"/>
        <w:ind w:hanging="360"/>
        <w:jc w:val="both"/>
        <w:rPr>
          <w:rFonts w:cs="Arial"/>
          <w:i/>
          <w:iCs/>
          <w:sz w:val="22"/>
          <w:szCs w:val="22"/>
          <w:lang w:val="en-GB"/>
        </w:rPr>
      </w:pPr>
    </w:p>
    <w:p w14:paraId="52F0C3DB" w14:textId="6AC48122" w:rsidR="00BB645F" w:rsidRPr="00C433E3" w:rsidRDefault="00BB645F" w:rsidP="00716CB0">
      <w:pPr>
        <w:numPr>
          <w:ilvl w:val="0"/>
          <w:numId w:val="44"/>
        </w:numPr>
        <w:jc w:val="both"/>
        <w:rPr>
          <w:rFonts w:cs="Arial"/>
          <w:i/>
          <w:iCs/>
          <w:sz w:val="22"/>
          <w:szCs w:val="22"/>
          <w:lang w:val="en-GB"/>
        </w:rPr>
      </w:pPr>
      <w:bookmarkStart w:id="1" w:name="_Hlk70951299"/>
      <w:r w:rsidRPr="00C433E3">
        <w:rPr>
          <w:rFonts w:cs="Arial"/>
          <w:i/>
          <w:iCs/>
          <w:sz w:val="22"/>
          <w:szCs w:val="22"/>
          <w:lang w:val="en-GB"/>
        </w:rPr>
        <w:t xml:space="preserve">develop a workplan and identify priority tasks for the Working Group based on the existing information, such as standards, guidelines, best practices related to addressing </w:t>
      </w:r>
      <w:bookmarkEnd w:id="1"/>
      <w:r w:rsidRPr="00C433E3">
        <w:rPr>
          <w:rFonts w:cs="Arial"/>
          <w:i/>
          <w:iCs/>
          <w:sz w:val="22"/>
          <w:szCs w:val="22"/>
          <w:lang w:val="en-GB"/>
        </w:rPr>
        <w:t xml:space="preserve">the impact of linear infrastructure development as well as the review of the compilation under paragraph (a); </w:t>
      </w:r>
    </w:p>
    <w:p w14:paraId="4369E12F" w14:textId="77777777" w:rsidR="00BB645F" w:rsidRPr="00C433E3" w:rsidRDefault="00BB645F" w:rsidP="00716CB0">
      <w:pPr>
        <w:pStyle w:val="ListParagraph"/>
        <w:ind w:hanging="360"/>
        <w:jc w:val="both"/>
        <w:rPr>
          <w:rFonts w:cs="Arial"/>
          <w:i/>
          <w:iCs/>
          <w:sz w:val="22"/>
          <w:szCs w:val="22"/>
          <w:lang w:val="en-GB"/>
        </w:rPr>
      </w:pPr>
    </w:p>
    <w:p w14:paraId="7996999F" w14:textId="77777777" w:rsidR="00BB645F" w:rsidRPr="00C433E3" w:rsidRDefault="00BB645F" w:rsidP="00716CB0">
      <w:pPr>
        <w:numPr>
          <w:ilvl w:val="0"/>
          <w:numId w:val="44"/>
        </w:numPr>
        <w:jc w:val="both"/>
        <w:rPr>
          <w:rFonts w:cs="Arial"/>
          <w:i/>
          <w:iCs/>
          <w:sz w:val="22"/>
          <w:szCs w:val="22"/>
          <w:lang w:val="en-GB"/>
        </w:rPr>
      </w:pPr>
      <w:r w:rsidRPr="00C433E3">
        <w:rPr>
          <w:rFonts w:cs="Arial"/>
          <w:i/>
          <w:iCs/>
          <w:sz w:val="22"/>
          <w:szCs w:val="22"/>
          <w:lang w:val="en-GB"/>
        </w:rPr>
        <w:t>provide recommendations on the future direction of work under the Convention to support Parties in addressing the impact of linear infrastructure on migratory species.</w:t>
      </w:r>
    </w:p>
    <w:p w14:paraId="21906CA3" w14:textId="77777777" w:rsidR="00BB645F" w:rsidRPr="00C433E3" w:rsidRDefault="00BB645F" w:rsidP="00716CB0">
      <w:pPr>
        <w:ind w:hanging="360"/>
        <w:jc w:val="both"/>
        <w:rPr>
          <w:rFonts w:cs="Arial"/>
          <w:sz w:val="22"/>
          <w:szCs w:val="22"/>
          <w:lang w:val="en-GB"/>
        </w:rPr>
      </w:pPr>
    </w:p>
    <w:p w14:paraId="3CA47711" w14:textId="77777777" w:rsidR="00BB645F" w:rsidRPr="00C433E3" w:rsidRDefault="00BB645F" w:rsidP="00C433E3">
      <w:pPr>
        <w:jc w:val="both"/>
        <w:rPr>
          <w:rFonts w:cs="Arial"/>
          <w:b/>
          <w:bCs/>
          <w:sz w:val="22"/>
          <w:szCs w:val="22"/>
          <w:lang w:val="en-GB"/>
        </w:rPr>
      </w:pPr>
      <w:r w:rsidRPr="00C433E3">
        <w:rPr>
          <w:rFonts w:cs="Arial"/>
          <w:b/>
          <w:bCs/>
          <w:sz w:val="22"/>
          <w:szCs w:val="22"/>
          <w:lang w:val="en-GB"/>
        </w:rPr>
        <w:t>Membership</w:t>
      </w:r>
    </w:p>
    <w:p w14:paraId="6B7420E2" w14:textId="77777777" w:rsidR="00BB645F" w:rsidRPr="00C433E3" w:rsidRDefault="00BB645F" w:rsidP="00C433E3">
      <w:pPr>
        <w:jc w:val="both"/>
        <w:rPr>
          <w:rFonts w:cs="Arial"/>
          <w:sz w:val="22"/>
          <w:szCs w:val="22"/>
          <w:lang w:val="en-GB"/>
        </w:rPr>
      </w:pPr>
    </w:p>
    <w:p w14:paraId="0C789674" w14:textId="0184DE8D" w:rsidR="00BB645F" w:rsidRPr="00C433E3" w:rsidRDefault="00D302DF" w:rsidP="00E858E8">
      <w:pPr>
        <w:spacing w:after="120"/>
        <w:jc w:val="both"/>
        <w:rPr>
          <w:rFonts w:cs="Arial"/>
          <w:sz w:val="22"/>
          <w:szCs w:val="22"/>
          <w:lang w:val="en-GB"/>
        </w:rPr>
      </w:pPr>
      <w:r w:rsidRPr="00C433E3">
        <w:rPr>
          <w:rFonts w:cs="Arial"/>
          <w:sz w:val="22"/>
          <w:szCs w:val="22"/>
          <w:lang w:val="en-GB"/>
        </w:rPr>
        <w:t>M</w:t>
      </w:r>
      <w:r w:rsidR="00BB645F" w:rsidRPr="00C433E3">
        <w:rPr>
          <w:rFonts w:cs="Arial"/>
          <w:sz w:val="22"/>
          <w:szCs w:val="22"/>
          <w:lang w:val="en-GB"/>
        </w:rPr>
        <w:t xml:space="preserve">embers of the Working Group should </w:t>
      </w:r>
      <w:r w:rsidRPr="00C433E3">
        <w:rPr>
          <w:rFonts w:cs="Arial"/>
          <w:sz w:val="22"/>
          <w:szCs w:val="22"/>
          <w:lang w:val="en-GB"/>
        </w:rPr>
        <w:t>be recruited</w:t>
      </w:r>
      <w:r w:rsidR="00BB645F" w:rsidRPr="00C433E3">
        <w:rPr>
          <w:rFonts w:cs="Arial"/>
          <w:sz w:val="22"/>
          <w:szCs w:val="22"/>
          <w:lang w:val="en-GB"/>
        </w:rPr>
        <w:t xml:space="preserve"> from representatives of the following categories:</w:t>
      </w:r>
    </w:p>
    <w:p w14:paraId="09309A5D" w14:textId="77777777"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Scientific Council members</w:t>
      </w:r>
    </w:p>
    <w:p w14:paraId="289E9A6F" w14:textId="6D084FF7"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Environmental Ministries and Wildlife Agencies</w:t>
      </w:r>
    </w:p>
    <w:p w14:paraId="67975416" w14:textId="77777777"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 xml:space="preserve">CMS Family Working Groups and Task Forces </w:t>
      </w:r>
    </w:p>
    <w:p w14:paraId="3381BFF0" w14:textId="77777777"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Infrastructure sector</w:t>
      </w:r>
    </w:p>
    <w:p w14:paraId="13AD1BE7" w14:textId="6F7BE565"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 xml:space="preserve">Impact assessment community, such as through the </w:t>
      </w:r>
      <w:r w:rsidRPr="00C433E3">
        <w:rPr>
          <w:rFonts w:cs="Arial"/>
          <w:sz w:val="22"/>
          <w:szCs w:val="22"/>
        </w:rPr>
        <w:t>International Association for Impact Assessment</w:t>
      </w:r>
    </w:p>
    <w:p w14:paraId="73142BDB" w14:textId="77777777"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 xml:space="preserve">International Financial Institutions </w:t>
      </w:r>
    </w:p>
    <w:p w14:paraId="67E36093" w14:textId="77777777"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Scientific community involved in migratory species and infrastructure issues</w:t>
      </w:r>
    </w:p>
    <w:p w14:paraId="18FCD686" w14:textId="1D71BAD1"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Global biodiversity data portals, such as the Convention on Biological Diversity, IPBES and infrastructure platforms</w:t>
      </w:r>
    </w:p>
    <w:p w14:paraId="36BE9478" w14:textId="54116658" w:rsidR="00BB645F" w:rsidRPr="00C433E3" w:rsidRDefault="00BB645F" w:rsidP="00E858E8">
      <w:pPr>
        <w:numPr>
          <w:ilvl w:val="0"/>
          <w:numId w:val="45"/>
        </w:numPr>
        <w:spacing w:after="40"/>
        <w:jc w:val="both"/>
        <w:rPr>
          <w:rFonts w:cs="Arial"/>
          <w:sz w:val="22"/>
          <w:szCs w:val="22"/>
          <w:lang w:val="en-GB"/>
        </w:rPr>
      </w:pPr>
      <w:r w:rsidRPr="00C433E3">
        <w:rPr>
          <w:rFonts w:cs="Arial"/>
          <w:sz w:val="22"/>
          <w:szCs w:val="22"/>
          <w:lang w:val="en-GB"/>
        </w:rPr>
        <w:t>National Governments, preferably represented by ministries responsible for the planning of major linear infrastructure works (e.g. transport or energy department)</w:t>
      </w:r>
    </w:p>
    <w:p w14:paraId="59429ECC" w14:textId="05CF669E" w:rsidR="00351173" w:rsidRPr="00C433E3" w:rsidRDefault="00BB645F" w:rsidP="00E82479">
      <w:pPr>
        <w:numPr>
          <w:ilvl w:val="0"/>
          <w:numId w:val="45"/>
        </w:numPr>
        <w:jc w:val="both"/>
        <w:rPr>
          <w:rFonts w:cs="Arial"/>
          <w:b/>
          <w:bCs/>
          <w:sz w:val="22"/>
          <w:szCs w:val="22"/>
          <w:lang w:val="en-GB"/>
        </w:rPr>
      </w:pPr>
      <w:r w:rsidRPr="00C433E3">
        <w:rPr>
          <w:rFonts w:cs="Arial"/>
          <w:sz w:val="22"/>
          <w:szCs w:val="22"/>
          <w:lang w:val="en-GB"/>
        </w:rPr>
        <w:t>International NGOs</w:t>
      </w:r>
      <w:r w:rsidR="00C433E3" w:rsidRPr="00C433E3">
        <w:rPr>
          <w:rFonts w:cs="Arial"/>
          <w:sz w:val="22"/>
          <w:szCs w:val="22"/>
          <w:lang w:val="en-GB"/>
        </w:rPr>
        <w:t>.</w:t>
      </w:r>
    </w:p>
    <w:p w14:paraId="00A065E3" w14:textId="77777777" w:rsidR="00C433E3" w:rsidRPr="00C433E3" w:rsidRDefault="00C433E3" w:rsidP="00C433E3">
      <w:pPr>
        <w:jc w:val="both"/>
        <w:rPr>
          <w:rFonts w:cs="Arial"/>
          <w:b/>
          <w:bCs/>
          <w:sz w:val="22"/>
          <w:szCs w:val="22"/>
          <w:lang w:val="en-GB"/>
        </w:rPr>
      </w:pPr>
    </w:p>
    <w:p w14:paraId="1FA98B01" w14:textId="111477BF" w:rsidR="00BB645F" w:rsidRPr="00C433E3" w:rsidRDefault="00BB645F" w:rsidP="00C433E3">
      <w:pPr>
        <w:jc w:val="both"/>
        <w:rPr>
          <w:rFonts w:cs="Arial"/>
          <w:b/>
          <w:bCs/>
          <w:sz w:val="22"/>
          <w:szCs w:val="22"/>
          <w:lang w:val="en-GB"/>
        </w:rPr>
      </w:pPr>
      <w:r w:rsidRPr="00C433E3">
        <w:rPr>
          <w:rFonts w:cs="Arial"/>
          <w:b/>
          <w:bCs/>
          <w:sz w:val="22"/>
          <w:szCs w:val="22"/>
          <w:lang w:val="en-GB"/>
        </w:rPr>
        <w:t>Governance</w:t>
      </w:r>
    </w:p>
    <w:p w14:paraId="61DEC943" w14:textId="77777777" w:rsidR="00BB645F" w:rsidRPr="00C433E3" w:rsidRDefault="00BB645F" w:rsidP="00C433E3">
      <w:pPr>
        <w:jc w:val="both"/>
        <w:rPr>
          <w:rFonts w:cs="Arial"/>
          <w:sz w:val="22"/>
          <w:szCs w:val="22"/>
          <w:lang w:val="en-GB"/>
        </w:rPr>
      </w:pPr>
    </w:p>
    <w:p w14:paraId="464656F7" w14:textId="2F18B4DA" w:rsidR="00BB645F" w:rsidRPr="00C433E3" w:rsidRDefault="00BB645F" w:rsidP="00C433E3">
      <w:pPr>
        <w:jc w:val="both"/>
        <w:rPr>
          <w:rFonts w:cs="Arial"/>
          <w:sz w:val="22"/>
          <w:szCs w:val="22"/>
          <w:lang w:val="en-GB"/>
        </w:rPr>
      </w:pPr>
      <w:r w:rsidRPr="00C433E3">
        <w:rPr>
          <w:rFonts w:cs="Arial"/>
          <w:sz w:val="22"/>
          <w:szCs w:val="22"/>
          <w:lang w:val="en-GB"/>
        </w:rPr>
        <w:t>The Working Group will select a Chair from among its members. The Working Group will operate by seeking consensus among the Group members. The Working Group will report to the 6</w:t>
      </w:r>
      <w:r w:rsidRPr="00C433E3">
        <w:rPr>
          <w:rFonts w:cs="Arial"/>
          <w:sz w:val="22"/>
          <w:szCs w:val="22"/>
          <w:vertAlign w:val="superscript"/>
          <w:lang w:val="en-GB"/>
        </w:rPr>
        <w:t>th</w:t>
      </w:r>
      <w:r w:rsidRPr="00C433E3">
        <w:rPr>
          <w:rFonts w:cs="Arial"/>
          <w:sz w:val="22"/>
          <w:szCs w:val="22"/>
          <w:lang w:val="en-GB"/>
        </w:rPr>
        <w:t xml:space="preserve"> meeting of the Sessional Committee of the Scientific Council. </w:t>
      </w:r>
    </w:p>
    <w:p w14:paraId="13832503" w14:textId="77777777" w:rsidR="00BB645F" w:rsidRPr="00C433E3" w:rsidRDefault="00BB645F" w:rsidP="00C433E3">
      <w:pPr>
        <w:jc w:val="both"/>
        <w:rPr>
          <w:rFonts w:cs="Arial"/>
          <w:b/>
          <w:bCs/>
          <w:sz w:val="22"/>
          <w:szCs w:val="22"/>
          <w:lang w:val="en-GB"/>
        </w:rPr>
      </w:pPr>
    </w:p>
    <w:p w14:paraId="292FB16B" w14:textId="77777777" w:rsidR="00BB645F" w:rsidRPr="00C433E3" w:rsidRDefault="00BB645F" w:rsidP="00C433E3">
      <w:pPr>
        <w:jc w:val="both"/>
        <w:rPr>
          <w:rFonts w:cs="Arial"/>
          <w:b/>
          <w:bCs/>
          <w:sz w:val="22"/>
          <w:szCs w:val="22"/>
          <w:lang w:val="en-GB"/>
        </w:rPr>
      </w:pPr>
      <w:r w:rsidRPr="00C433E3">
        <w:rPr>
          <w:rFonts w:cs="Arial"/>
          <w:b/>
          <w:bCs/>
          <w:sz w:val="22"/>
          <w:szCs w:val="22"/>
          <w:lang w:val="en-GB"/>
        </w:rPr>
        <w:t>Operation</w:t>
      </w:r>
    </w:p>
    <w:p w14:paraId="25FCC84D" w14:textId="77777777" w:rsidR="00BB645F" w:rsidRPr="00C433E3" w:rsidRDefault="00BB645F" w:rsidP="00C433E3">
      <w:pPr>
        <w:jc w:val="both"/>
        <w:rPr>
          <w:rFonts w:cs="Arial"/>
          <w:sz w:val="22"/>
          <w:szCs w:val="22"/>
          <w:lang w:val="en-GB"/>
        </w:rPr>
      </w:pPr>
    </w:p>
    <w:p w14:paraId="0C474030" w14:textId="34FCEAA5" w:rsidR="00693944" w:rsidRPr="00C433E3" w:rsidRDefault="00693944" w:rsidP="00C433E3">
      <w:pPr>
        <w:jc w:val="both"/>
        <w:rPr>
          <w:rFonts w:cs="Arial"/>
          <w:sz w:val="22"/>
          <w:szCs w:val="22"/>
        </w:rPr>
      </w:pPr>
      <w:r w:rsidRPr="00C433E3">
        <w:rPr>
          <w:rFonts w:cs="Arial"/>
          <w:sz w:val="22"/>
          <w:szCs w:val="22"/>
        </w:rPr>
        <w:t xml:space="preserve">The Working Group should build on existing work done under CMS that is related to linear infrastructure, such as outputs of the Energy Task Force, the </w:t>
      </w:r>
      <w:r w:rsidRPr="00C433E3">
        <w:rPr>
          <w:rFonts w:cs="Arial"/>
          <w:i/>
          <w:iCs/>
          <w:sz w:val="22"/>
          <w:szCs w:val="22"/>
        </w:rPr>
        <w:t>Guidelines for Reducing the Impact of Linear Infrastructure on Migratory Mammals in Central Asia</w:t>
      </w:r>
      <w:r w:rsidRPr="00C433E3">
        <w:rPr>
          <w:rFonts w:cs="Arial"/>
          <w:sz w:val="22"/>
          <w:szCs w:val="22"/>
        </w:rPr>
        <w:t xml:space="preserve">, the </w:t>
      </w:r>
      <w:r w:rsidRPr="00C433E3">
        <w:rPr>
          <w:rFonts w:cs="Arial"/>
          <w:i/>
          <w:iCs/>
          <w:sz w:val="22"/>
          <w:szCs w:val="22"/>
        </w:rPr>
        <w:t>CMS Family Guidelines on Environmental Impact Assessments for Marine Noise-generating Activities</w:t>
      </w:r>
      <w:r w:rsidRPr="00C433E3">
        <w:rPr>
          <w:rFonts w:cs="Arial"/>
          <w:sz w:val="22"/>
          <w:szCs w:val="22"/>
        </w:rPr>
        <w:t>.</w:t>
      </w:r>
    </w:p>
    <w:p w14:paraId="07309C04" w14:textId="77777777" w:rsidR="00693944" w:rsidRPr="00C433E3" w:rsidRDefault="00693944" w:rsidP="00C433E3">
      <w:pPr>
        <w:jc w:val="both"/>
        <w:rPr>
          <w:rFonts w:cs="Arial"/>
          <w:sz w:val="22"/>
          <w:szCs w:val="22"/>
          <w:lang w:val="en-GB"/>
        </w:rPr>
      </w:pPr>
    </w:p>
    <w:p w14:paraId="25B61ABB" w14:textId="655BA0B1" w:rsidR="00BB645F" w:rsidRPr="00C433E3" w:rsidRDefault="00BB645F" w:rsidP="00C433E3">
      <w:pPr>
        <w:jc w:val="both"/>
        <w:rPr>
          <w:rFonts w:cs="Arial"/>
          <w:sz w:val="22"/>
          <w:szCs w:val="22"/>
          <w:lang w:val="en-GB"/>
        </w:rPr>
      </w:pPr>
      <w:r w:rsidRPr="00C433E3">
        <w:rPr>
          <w:rFonts w:cs="Arial"/>
          <w:sz w:val="22"/>
          <w:szCs w:val="22"/>
          <w:lang w:val="en-GB"/>
        </w:rPr>
        <w:t xml:space="preserve">The Working Group will generally work through electronic means. It is envisaged to have one face-to-face meeting, taking place in the second quarter of 2022 in Germany, pending actual travelling possibilities. </w:t>
      </w:r>
    </w:p>
    <w:p w14:paraId="3A4E7998" w14:textId="77777777" w:rsidR="00BB645F" w:rsidRPr="00C433E3" w:rsidRDefault="00BB645F" w:rsidP="00C433E3">
      <w:pPr>
        <w:jc w:val="both"/>
        <w:rPr>
          <w:rFonts w:cs="Arial"/>
          <w:sz w:val="22"/>
          <w:szCs w:val="22"/>
          <w:lang w:val="en-GB"/>
        </w:rPr>
      </w:pPr>
    </w:p>
    <w:p w14:paraId="562C4F00" w14:textId="6D9CFACD" w:rsidR="00BB645F" w:rsidRPr="00C433E3" w:rsidRDefault="00BB645F" w:rsidP="00C433E3">
      <w:pPr>
        <w:jc w:val="both"/>
        <w:rPr>
          <w:rFonts w:cs="Arial"/>
          <w:sz w:val="22"/>
          <w:szCs w:val="22"/>
          <w:lang w:val="en-GB"/>
        </w:rPr>
      </w:pPr>
      <w:r w:rsidRPr="00C433E3">
        <w:rPr>
          <w:rFonts w:cs="Arial"/>
          <w:sz w:val="22"/>
          <w:szCs w:val="22"/>
          <w:lang w:val="en-GB"/>
        </w:rPr>
        <w:t>The CMS Secretariat will assist with organizing meetings and the administration of the Group.</w:t>
      </w:r>
    </w:p>
    <w:p w14:paraId="3B40B882" w14:textId="77777777" w:rsidR="00BB645F" w:rsidRPr="00C433E3" w:rsidRDefault="00BB645F" w:rsidP="00C433E3">
      <w:pPr>
        <w:jc w:val="both"/>
        <w:rPr>
          <w:rFonts w:cs="Arial"/>
          <w:sz w:val="22"/>
          <w:szCs w:val="22"/>
          <w:lang w:val="en-GB"/>
        </w:rPr>
      </w:pPr>
    </w:p>
    <w:p w14:paraId="7CDF8F62" w14:textId="6F9B7E14" w:rsidR="00BB645F" w:rsidRPr="00C433E3" w:rsidRDefault="00BB645F" w:rsidP="00C433E3">
      <w:pPr>
        <w:jc w:val="both"/>
        <w:rPr>
          <w:rFonts w:cs="Arial"/>
          <w:sz w:val="22"/>
          <w:szCs w:val="22"/>
          <w:lang w:val="en-GB"/>
        </w:rPr>
      </w:pPr>
      <w:r w:rsidRPr="00C433E3">
        <w:rPr>
          <w:rFonts w:cs="Arial"/>
          <w:sz w:val="22"/>
          <w:szCs w:val="22"/>
          <w:lang w:val="en-GB"/>
        </w:rPr>
        <w:t>The Chair will coordinate the work with the Secretariat on issues such as outreach and communication.</w:t>
      </w:r>
    </w:p>
    <w:p w14:paraId="6FACA0FF" w14:textId="77777777" w:rsidR="00BB645F" w:rsidRPr="00C433E3" w:rsidRDefault="00BB645F" w:rsidP="00C433E3">
      <w:pPr>
        <w:jc w:val="both"/>
        <w:rPr>
          <w:rFonts w:cs="Arial"/>
          <w:sz w:val="22"/>
          <w:szCs w:val="22"/>
        </w:rPr>
      </w:pPr>
    </w:p>
    <w:sectPr w:rsidR="00BB645F" w:rsidRPr="00C433E3"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80182" w14:textId="77777777" w:rsidR="00C94CF6" w:rsidRDefault="00C94CF6">
      <w:r>
        <w:separator/>
      </w:r>
    </w:p>
  </w:endnote>
  <w:endnote w:type="continuationSeparator" w:id="0">
    <w:p w14:paraId="410FEAD3" w14:textId="77777777" w:rsidR="00C94CF6" w:rsidRDefault="00C9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422007"/>
      <w:docPartObj>
        <w:docPartGallery w:val="Page Numbers (Bottom of Page)"/>
        <w:docPartUnique/>
      </w:docPartObj>
    </w:sdtPr>
    <w:sdtEndPr>
      <w:rPr>
        <w:noProof/>
      </w:rPr>
    </w:sdtEndPr>
    <w:sdtContent>
      <w:p w14:paraId="5BC20432" w14:textId="3DF1CFB2" w:rsidR="000A28C0" w:rsidRDefault="000A2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70C6" w14:textId="77777777" w:rsidR="00F56FA8" w:rsidRDefault="00F56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14AC" w14:textId="77777777" w:rsidR="00F56FA8" w:rsidRDefault="00F5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C550" w14:textId="77777777" w:rsidR="00C94CF6" w:rsidRDefault="00C94CF6">
      <w:r>
        <w:separator/>
      </w:r>
    </w:p>
  </w:footnote>
  <w:footnote w:type="continuationSeparator" w:id="0">
    <w:p w14:paraId="1680698A" w14:textId="77777777" w:rsidR="00C94CF6" w:rsidRDefault="00C9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A374" w14:textId="188047A8" w:rsidR="000A28C0" w:rsidRPr="008648EB" w:rsidRDefault="000A28C0" w:rsidP="000A28C0">
    <w:pPr>
      <w:pStyle w:val="Header"/>
      <w:pBdr>
        <w:bottom w:val="single" w:sz="4" w:space="1" w:color="auto"/>
      </w:pBdr>
      <w:rPr>
        <w:rFonts w:cs="Arial"/>
        <w:i/>
        <w:szCs w:val="18"/>
      </w:rPr>
    </w:pPr>
    <w:r w:rsidRPr="000A28C0">
      <w:rPr>
        <w:rFonts w:cs="Arial"/>
        <w:i/>
        <w:szCs w:val="18"/>
      </w:rPr>
      <w:t>UNEP/ScC-SC5/Doc.</w:t>
    </w:r>
    <w:r w:rsidR="00744436">
      <w:rPr>
        <w:rFonts w:cs="Arial"/>
        <w:i/>
        <w:szCs w:val="18"/>
      </w:rPr>
      <w:t>6.4.</w:t>
    </w:r>
    <w:r w:rsidR="00F56FA8">
      <w:rPr>
        <w:rFonts w:cs="Arial"/>
        <w:i/>
        <w:szCs w:val="18"/>
      </w:rPr>
      <w:t>2</w:t>
    </w:r>
    <w:r w:rsidRPr="008648EB">
      <w:rPr>
        <w:rFonts w:cs="Arial"/>
        <w:i/>
        <w:szCs w:val="18"/>
      </w:rPr>
      <w:t xml:space="preserve"> </w:t>
    </w:r>
  </w:p>
  <w:p w14:paraId="72D2D125" w14:textId="77777777" w:rsidR="000A28C0" w:rsidRDefault="000A2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5C4F" w14:textId="77777777" w:rsidR="00F56FA8" w:rsidRDefault="00F56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6E92" w14:textId="793F1F63" w:rsidR="00BF42FC" w:rsidRPr="008648EB" w:rsidRDefault="000A28C0" w:rsidP="00BF42FC">
    <w:pPr>
      <w:pStyle w:val="Header"/>
      <w:pBdr>
        <w:bottom w:val="single" w:sz="4" w:space="1" w:color="auto"/>
      </w:pBdr>
      <w:jc w:val="right"/>
      <w:rPr>
        <w:rFonts w:cs="Arial"/>
        <w:i/>
        <w:szCs w:val="18"/>
      </w:rPr>
    </w:pPr>
    <w:bookmarkStart w:id="2" w:name="_Hlk75169488"/>
    <w:bookmarkStart w:id="3" w:name="_Hlk75169489"/>
    <w:r w:rsidRPr="000A28C0">
      <w:rPr>
        <w:rFonts w:cs="Arial"/>
        <w:i/>
        <w:szCs w:val="18"/>
      </w:rPr>
      <w:t>UNEP/ScC-SC5/Doc.</w:t>
    </w:r>
    <w:r w:rsidR="00744436">
      <w:rPr>
        <w:rFonts w:cs="Arial"/>
        <w:i/>
        <w:szCs w:val="18"/>
      </w:rPr>
      <w:t>6.4.</w:t>
    </w:r>
    <w:r w:rsidR="0007788C">
      <w:rPr>
        <w:rFonts w:cs="Arial"/>
        <w:i/>
        <w:szCs w:val="18"/>
      </w:rPr>
      <w:t>2</w:t>
    </w:r>
    <w:r w:rsidR="00BF42FC" w:rsidRPr="008648EB">
      <w:rPr>
        <w:rFonts w:cs="Arial"/>
        <w:i/>
        <w:szCs w:val="18"/>
      </w:rPr>
      <w:t xml:space="preserve">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9D2BDA"/>
    <w:multiLevelType w:val="hybridMultilevel"/>
    <w:tmpl w:val="1598B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8D431C"/>
    <w:multiLevelType w:val="multilevel"/>
    <w:tmpl w:val="9362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BAC4962"/>
    <w:multiLevelType w:val="hybridMultilevel"/>
    <w:tmpl w:val="E8C08ED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DD3579B"/>
    <w:multiLevelType w:val="multilevel"/>
    <w:tmpl w:val="9362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2"/>
  </w:num>
  <w:num w:numId="4">
    <w:abstractNumId w:val="25"/>
  </w:num>
  <w:num w:numId="5">
    <w:abstractNumId w:val="13"/>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8"/>
  </w:num>
  <w:num w:numId="10">
    <w:abstractNumId w:val="24"/>
  </w:num>
  <w:num w:numId="11">
    <w:abstractNumId w:val="39"/>
  </w:num>
  <w:num w:numId="12">
    <w:abstractNumId w:val="3"/>
  </w:num>
  <w:num w:numId="13">
    <w:abstractNumId w:val="20"/>
  </w:num>
  <w:num w:numId="14">
    <w:abstractNumId w:val="37"/>
  </w:num>
  <w:num w:numId="15">
    <w:abstractNumId w:val="2"/>
  </w:num>
  <w:num w:numId="16">
    <w:abstractNumId w:val="11"/>
  </w:num>
  <w:num w:numId="17">
    <w:abstractNumId w:val="40"/>
  </w:num>
  <w:num w:numId="18">
    <w:abstractNumId w:val="22"/>
  </w:num>
  <w:num w:numId="19">
    <w:abstractNumId w:val="38"/>
  </w:num>
  <w:num w:numId="20">
    <w:abstractNumId w:val="44"/>
  </w:num>
  <w:num w:numId="21">
    <w:abstractNumId w:val="4"/>
  </w:num>
  <w:num w:numId="22">
    <w:abstractNumId w:val="18"/>
  </w:num>
  <w:num w:numId="23">
    <w:abstractNumId w:val="27"/>
  </w:num>
  <w:num w:numId="24">
    <w:abstractNumId w:val="17"/>
  </w:num>
  <w:num w:numId="25">
    <w:abstractNumId w:val="32"/>
  </w:num>
  <w:num w:numId="26">
    <w:abstractNumId w:val="0"/>
  </w:num>
  <w:num w:numId="27">
    <w:abstractNumId w:val="41"/>
  </w:num>
  <w:num w:numId="28">
    <w:abstractNumId w:val="7"/>
  </w:num>
  <w:num w:numId="29">
    <w:abstractNumId w:val="21"/>
  </w:num>
  <w:num w:numId="30">
    <w:abstractNumId w:val="14"/>
  </w:num>
  <w:num w:numId="31">
    <w:abstractNumId w:val="30"/>
  </w:num>
  <w:num w:numId="32">
    <w:abstractNumId w:val="28"/>
  </w:num>
  <w:num w:numId="33">
    <w:abstractNumId w:val="5"/>
  </w:num>
  <w:num w:numId="34">
    <w:abstractNumId w:val="19"/>
  </w:num>
  <w:num w:numId="35">
    <w:abstractNumId w:val="16"/>
  </w:num>
  <w:num w:numId="36">
    <w:abstractNumId w:val="33"/>
  </w:num>
  <w:num w:numId="37">
    <w:abstractNumId w:val="36"/>
  </w:num>
  <w:num w:numId="38">
    <w:abstractNumId w:val="10"/>
  </w:num>
  <w:num w:numId="39">
    <w:abstractNumId w:val="31"/>
  </w:num>
  <w:num w:numId="40">
    <w:abstractNumId w:val="42"/>
  </w:num>
  <w:num w:numId="41">
    <w:abstractNumId w:val="26"/>
  </w:num>
  <w:num w:numId="42">
    <w:abstractNumId w:val="9"/>
  </w:num>
  <w:num w:numId="43">
    <w:abstractNumId w:val="15"/>
  </w:num>
  <w:num w:numId="44">
    <w:abstractNumId w:val="29"/>
  </w:num>
  <w:num w:numId="45">
    <w:abstractNumId w:val="6"/>
  </w:num>
  <w:num w:numId="46">
    <w:abstractNumId w:val="23"/>
    <w:lvlOverride w:ilvl="0">
      <w:startOverride w:val="2"/>
    </w:lvlOverride>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18C2"/>
    <w:rsid w:val="00056DC1"/>
    <w:rsid w:val="00060156"/>
    <w:rsid w:val="00070BBC"/>
    <w:rsid w:val="00073C92"/>
    <w:rsid w:val="000742A7"/>
    <w:rsid w:val="0007788C"/>
    <w:rsid w:val="00080F03"/>
    <w:rsid w:val="000900E1"/>
    <w:rsid w:val="0009076A"/>
    <w:rsid w:val="000A28C0"/>
    <w:rsid w:val="000B6220"/>
    <w:rsid w:val="000C21B1"/>
    <w:rsid w:val="000C3C87"/>
    <w:rsid w:val="000C7460"/>
    <w:rsid w:val="000E01C1"/>
    <w:rsid w:val="000F1156"/>
    <w:rsid w:val="000F1354"/>
    <w:rsid w:val="000F52BA"/>
    <w:rsid w:val="001151A3"/>
    <w:rsid w:val="0012294F"/>
    <w:rsid w:val="001245DF"/>
    <w:rsid w:val="0012515A"/>
    <w:rsid w:val="00130BFD"/>
    <w:rsid w:val="001419C7"/>
    <w:rsid w:val="00150AC4"/>
    <w:rsid w:val="00162D88"/>
    <w:rsid w:val="00166ABA"/>
    <w:rsid w:val="001743FD"/>
    <w:rsid w:val="001764E6"/>
    <w:rsid w:val="001808F1"/>
    <w:rsid w:val="001A33B6"/>
    <w:rsid w:val="001B24A9"/>
    <w:rsid w:val="001C6038"/>
    <w:rsid w:val="001D7799"/>
    <w:rsid w:val="001F60A1"/>
    <w:rsid w:val="00200A67"/>
    <w:rsid w:val="00201F88"/>
    <w:rsid w:val="00202332"/>
    <w:rsid w:val="002210F4"/>
    <w:rsid w:val="00234857"/>
    <w:rsid w:val="00254721"/>
    <w:rsid w:val="00260772"/>
    <w:rsid w:val="00263159"/>
    <w:rsid w:val="002779F7"/>
    <w:rsid w:val="0029615B"/>
    <w:rsid w:val="002C187A"/>
    <w:rsid w:val="002C20F1"/>
    <w:rsid w:val="002D2863"/>
    <w:rsid w:val="002D5EC0"/>
    <w:rsid w:val="002E3DEA"/>
    <w:rsid w:val="002E7CC2"/>
    <w:rsid w:val="002F6F9B"/>
    <w:rsid w:val="00305783"/>
    <w:rsid w:val="003331C6"/>
    <w:rsid w:val="00345044"/>
    <w:rsid w:val="00351095"/>
    <w:rsid w:val="00351173"/>
    <w:rsid w:val="00354A9C"/>
    <w:rsid w:val="00364973"/>
    <w:rsid w:val="00372347"/>
    <w:rsid w:val="003779D4"/>
    <w:rsid w:val="00382398"/>
    <w:rsid w:val="003909E4"/>
    <w:rsid w:val="00391ADE"/>
    <w:rsid w:val="00397D2C"/>
    <w:rsid w:val="003A0D8F"/>
    <w:rsid w:val="003A3E30"/>
    <w:rsid w:val="003A70FE"/>
    <w:rsid w:val="003B0C35"/>
    <w:rsid w:val="003B219E"/>
    <w:rsid w:val="003B7A1B"/>
    <w:rsid w:val="003E21B3"/>
    <w:rsid w:val="003E24AC"/>
    <w:rsid w:val="00411E65"/>
    <w:rsid w:val="00420040"/>
    <w:rsid w:val="00423388"/>
    <w:rsid w:val="00426D73"/>
    <w:rsid w:val="00430B27"/>
    <w:rsid w:val="00436CD2"/>
    <w:rsid w:val="00454913"/>
    <w:rsid w:val="00457441"/>
    <w:rsid w:val="004579F6"/>
    <w:rsid w:val="004656D0"/>
    <w:rsid w:val="00470CA7"/>
    <w:rsid w:val="00473ABD"/>
    <w:rsid w:val="00482DCA"/>
    <w:rsid w:val="004B6CFD"/>
    <w:rsid w:val="004C204D"/>
    <w:rsid w:val="004D0436"/>
    <w:rsid w:val="004D0936"/>
    <w:rsid w:val="004F243D"/>
    <w:rsid w:val="004F3D8D"/>
    <w:rsid w:val="005076F1"/>
    <w:rsid w:val="00512B91"/>
    <w:rsid w:val="005158EB"/>
    <w:rsid w:val="0052082F"/>
    <w:rsid w:val="00525161"/>
    <w:rsid w:val="00542FCC"/>
    <w:rsid w:val="00553795"/>
    <w:rsid w:val="00554CE5"/>
    <w:rsid w:val="0055762E"/>
    <w:rsid w:val="00565445"/>
    <w:rsid w:val="00575334"/>
    <w:rsid w:val="00593736"/>
    <w:rsid w:val="005B0F06"/>
    <w:rsid w:val="005B2DE1"/>
    <w:rsid w:val="005B6141"/>
    <w:rsid w:val="005C3F15"/>
    <w:rsid w:val="005C7150"/>
    <w:rsid w:val="005D2D20"/>
    <w:rsid w:val="005F3989"/>
    <w:rsid w:val="005F4303"/>
    <w:rsid w:val="00601B52"/>
    <w:rsid w:val="0060280B"/>
    <w:rsid w:val="00604422"/>
    <w:rsid w:val="00606359"/>
    <w:rsid w:val="00616938"/>
    <w:rsid w:val="006356C5"/>
    <w:rsid w:val="00644060"/>
    <w:rsid w:val="00651341"/>
    <w:rsid w:val="00662D1E"/>
    <w:rsid w:val="00667726"/>
    <w:rsid w:val="006815B2"/>
    <w:rsid w:val="00682B31"/>
    <w:rsid w:val="006864E1"/>
    <w:rsid w:val="00693944"/>
    <w:rsid w:val="006B1037"/>
    <w:rsid w:val="006C0FC6"/>
    <w:rsid w:val="006E56AD"/>
    <w:rsid w:val="006E5763"/>
    <w:rsid w:val="006F450A"/>
    <w:rsid w:val="006F6A33"/>
    <w:rsid w:val="007058F6"/>
    <w:rsid w:val="007101BB"/>
    <w:rsid w:val="00713308"/>
    <w:rsid w:val="00716CB0"/>
    <w:rsid w:val="00727E01"/>
    <w:rsid w:val="00744436"/>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648EB"/>
    <w:rsid w:val="00872F67"/>
    <w:rsid w:val="008820EF"/>
    <w:rsid w:val="00893346"/>
    <w:rsid w:val="008A0D8D"/>
    <w:rsid w:val="008B1A69"/>
    <w:rsid w:val="008C1A39"/>
    <w:rsid w:val="008E7DFB"/>
    <w:rsid w:val="008F190D"/>
    <w:rsid w:val="008F20D3"/>
    <w:rsid w:val="008F417E"/>
    <w:rsid w:val="008F7327"/>
    <w:rsid w:val="009076C8"/>
    <w:rsid w:val="00915BBE"/>
    <w:rsid w:val="00921D62"/>
    <w:rsid w:val="00922791"/>
    <w:rsid w:val="00927CD6"/>
    <w:rsid w:val="00933572"/>
    <w:rsid w:val="009363C7"/>
    <w:rsid w:val="00945FFB"/>
    <w:rsid w:val="0095346A"/>
    <w:rsid w:val="00971F31"/>
    <w:rsid w:val="0097221C"/>
    <w:rsid w:val="00972D36"/>
    <w:rsid w:val="00980406"/>
    <w:rsid w:val="00984CB2"/>
    <w:rsid w:val="009A2C8F"/>
    <w:rsid w:val="009A4CD2"/>
    <w:rsid w:val="009A7B65"/>
    <w:rsid w:val="009C1152"/>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164"/>
    <w:rsid w:val="00A73A79"/>
    <w:rsid w:val="00A854E8"/>
    <w:rsid w:val="00A91596"/>
    <w:rsid w:val="00A93C52"/>
    <w:rsid w:val="00AA7368"/>
    <w:rsid w:val="00AA7A90"/>
    <w:rsid w:val="00AB4FF9"/>
    <w:rsid w:val="00AE45FB"/>
    <w:rsid w:val="00AE7B21"/>
    <w:rsid w:val="00AF1980"/>
    <w:rsid w:val="00AF2021"/>
    <w:rsid w:val="00B471BD"/>
    <w:rsid w:val="00B50C2D"/>
    <w:rsid w:val="00B5735E"/>
    <w:rsid w:val="00B64904"/>
    <w:rsid w:val="00BA60CE"/>
    <w:rsid w:val="00BB645F"/>
    <w:rsid w:val="00BC5607"/>
    <w:rsid w:val="00BE0D1D"/>
    <w:rsid w:val="00BE2448"/>
    <w:rsid w:val="00BE24D4"/>
    <w:rsid w:val="00BF2BE7"/>
    <w:rsid w:val="00BF42FC"/>
    <w:rsid w:val="00C05102"/>
    <w:rsid w:val="00C13FA6"/>
    <w:rsid w:val="00C169ED"/>
    <w:rsid w:val="00C433E3"/>
    <w:rsid w:val="00C5484D"/>
    <w:rsid w:val="00C618F2"/>
    <w:rsid w:val="00C73207"/>
    <w:rsid w:val="00C7602A"/>
    <w:rsid w:val="00C82ED9"/>
    <w:rsid w:val="00C87D68"/>
    <w:rsid w:val="00C9281B"/>
    <w:rsid w:val="00C94CF6"/>
    <w:rsid w:val="00CA367A"/>
    <w:rsid w:val="00CB1D26"/>
    <w:rsid w:val="00CC4C21"/>
    <w:rsid w:val="00CC57AD"/>
    <w:rsid w:val="00CE1E7B"/>
    <w:rsid w:val="00CE5B83"/>
    <w:rsid w:val="00CF6EDD"/>
    <w:rsid w:val="00D05922"/>
    <w:rsid w:val="00D24EF1"/>
    <w:rsid w:val="00D302DF"/>
    <w:rsid w:val="00D42AE1"/>
    <w:rsid w:val="00D605A4"/>
    <w:rsid w:val="00D61B13"/>
    <w:rsid w:val="00D7746A"/>
    <w:rsid w:val="00D838FE"/>
    <w:rsid w:val="00D8406F"/>
    <w:rsid w:val="00D859C7"/>
    <w:rsid w:val="00D9021F"/>
    <w:rsid w:val="00DA1080"/>
    <w:rsid w:val="00DA12C2"/>
    <w:rsid w:val="00DA3952"/>
    <w:rsid w:val="00DB30A6"/>
    <w:rsid w:val="00DD6A9E"/>
    <w:rsid w:val="00DF38F9"/>
    <w:rsid w:val="00DF4423"/>
    <w:rsid w:val="00E23367"/>
    <w:rsid w:val="00E30B00"/>
    <w:rsid w:val="00E31B92"/>
    <w:rsid w:val="00E475D4"/>
    <w:rsid w:val="00E56FB6"/>
    <w:rsid w:val="00E74D1C"/>
    <w:rsid w:val="00E858E8"/>
    <w:rsid w:val="00E8776E"/>
    <w:rsid w:val="00E90844"/>
    <w:rsid w:val="00E9237A"/>
    <w:rsid w:val="00E93AEE"/>
    <w:rsid w:val="00EA0B88"/>
    <w:rsid w:val="00EB2285"/>
    <w:rsid w:val="00EB59DD"/>
    <w:rsid w:val="00EC4294"/>
    <w:rsid w:val="00EC681E"/>
    <w:rsid w:val="00ED02D3"/>
    <w:rsid w:val="00ED5E31"/>
    <w:rsid w:val="00EE64C1"/>
    <w:rsid w:val="00EF203B"/>
    <w:rsid w:val="00F05AA0"/>
    <w:rsid w:val="00F061CB"/>
    <w:rsid w:val="00F24050"/>
    <w:rsid w:val="00F248AA"/>
    <w:rsid w:val="00F31539"/>
    <w:rsid w:val="00F444EC"/>
    <w:rsid w:val="00F45FE3"/>
    <w:rsid w:val="00F46143"/>
    <w:rsid w:val="00F54D03"/>
    <w:rsid w:val="00F56FA8"/>
    <w:rsid w:val="00F6347A"/>
    <w:rsid w:val="00F7503A"/>
    <w:rsid w:val="00F81FEF"/>
    <w:rsid w:val="00F901E4"/>
    <w:rsid w:val="00F978B9"/>
    <w:rsid w:val="00FA61AF"/>
    <w:rsid w:val="00FC31E2"/>
    <w:rsid w:val="00FD3A06"/>
    <w:rsid w:val="00FD4E36"/>
    <w:rsid w:val="00FD7D14"/>
    <w:rsid w:val="00FE48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F42E7E"/>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65568">
      <w:bodyDiv w:val="1"/>
      <w:marLeft w:val="0"/>
      <w:marRight w:val="0"/>
      <w:marTop w:val="0"/>
      <w:marBottom w:val="0"/>
      <w:divBdr>
        <w:top w:val="none" w:sz="0" w:space="0" w:color="auto"/>
        <w:left w:val="none" w:sz="0" w:space="0" w:color="auto"/>
        <w:bottom w:val="none" w:sz="0" w:space="0" w:color="auto"/>
        <w:right w:val="none" w:sz="0" w:space="0" w:color="auto"/>
      </w:divBdr>
      <w:divsChild>
        <w:div w:id="365133373">
          <w:marLeft w:val="0"/>
          <w:marRight w:val="0"/>
          <w:marTop w:val="0"/>
          <w:marBottom w:val="0"/>
          <w:divBdr>
            <w:top w:val="none" w:sz="0" w:space="0" w:color="auto"/>
            <w:left w:val="none" w:sz="0" w:space="0" w:color="auto"/>
            <w:bottom w:val="none" w:sz="0" w:space="0" w:color="auto"/>
            <w:right w:val="none" w:sz="0" w:space="0" w:color="auto"/>
          </w:divBdr>
        </w:div>
      </w:divsChild>
    </w:div>
    <w:div w:id="546452177">
      <w:bodyDiv w:val="1"/>
      <w:marLeft w:val="0"/>
      <w:marRight w:val="0"/>
      <w:marTop w:val="0"/>
      <w:marBottom w:val="0"/>
      <w:divBdr>
        <w:top w:val="none" w:sz="0" w:space="0" w:color="auto"/>
        <w:left w:val="none" w:sz="0" w:space="0" w:color="auto"/>
        <w:bottom w:val="none" w:sz="0" w:space="0" w:color="auto"/>
        <w:right w:val="none" w:sz="0" w:space="0" w:color="auto"/>
      </w:divBdr>
    </w:div>
    <w:div w:id="6294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596C-3221-4ADD-BA32-E35B43DE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6</TotalTime>
  <Pages>2</Pages>
  <Words>502</Words>
  <Characters>3107</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Ximena Victoria Cancino Ordenes</cp:lastModifiedBy>
  <cp:revision>4</cp:revision>
  <cp:lastPrinted>2017-07-07T11:51:00Z</cp:lastPrinted>
  <dcterms:created xsi:type="dcterms:W3CDTF">2021-07-08T07:14:00Z</dcterms:created>
  <dcterms:modified xsi:type="dcterms:W3CDTF">2021-07-08T07:16:00Z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