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3A2D3" w14:textId="77777777" w:rsidR="00775125" w:rsidRPr="00F30CE4" w:rsidRDefault="00775125" w:rsidP="003607BB">
      <w:pPr>
        <w:jc w:val="both"/>
        <w:rPr>
          <w:rFonts w:cs="Arial"/>
          <w:sz w:val="20"/>
          <w:szCs w:val="20"/>
        </w:rPr>
      </w:pPr>
    </w:p>
    <w:p w14:paraId="0E9A6CB9" w14:textId="783549CF" w:rsidR="009A012D" w:rsidRPr="00F30CE4" w:rsidRDefault="009A012D" w:rsidP="003607BB">
      <w:pPr>
        <w:jc w:val="both"/>
        <w:rPr>
          <w:rFonts w:cs="Arial"/>
          <w:noProof/>
          <w:spacing w:val="-2"/>
          <w:sz w:val="20"/>
          <w:szCs w:val="20"/>
          <w:lang w:eastAsia="en-GB"/>
        </w:rPr>
      </w:pPr>
    </w:p>
    <w:p w14:paraId="2F5D769F" w14:textId="2F9C854F" w:rsidR="005D00EE" w:rsidRPr="00F30CE4" w:rsidRDefault="005D00EE" w:rsidP="003607BB">
      <w:pPr>
        <w:jc w:val="both"/>
        <w:rPr>
          <w:rFonts w:cs="Arial"/>
          <w:noProof/>
          <w:spacing w:val="-2"/>
          <w:sz w:val="20"/>
          <w:szCs w:val="20"/>
          <w:lang w:eastAsia="en-GB"/>
        </w:rPr>
      </w:pPr>
    </w:p>
    <w:p w14:paraId="2D175649" w14:textId="77777777" w:rsidR="00B04D49" w:rsidRPr="00C379D7" w:rsidRDefault="00B04D49" w:rsidP="003607BB">
      <w:pPr>
        <w:tabs>
          <w:tab w:val="left" w:pos="-1057"/>
          <w:tab w:val="left" w:pos="-720"/>
        </w:tabs>
        <w:jc w:val="center"/>
        <w:rPr>
          <w:rFonts w:cs="Arial"/>
          <w:b/>
          <w:sz w:val="28"/>
          <w:szCs w:val="28"/>
        </w:rPr>
      </w:pPr>
      <w:r w:rsidRPr="00C379D7">
        <w:rPr>
          <w:rFonts w:cs="Arial"/>
          <w:b/>
          <w:sz w:val="28"/>
          <w:szCs w:val="28"/>
        </w:rPr>
        <w:t>December Virtual Meeting of the CMS</w:t>
      </w:r>
    </w:p>
    <w:p w14:paraId="7355EDAE" w14:textId="262B7604" w:rsidR="00B04D49" w:rsidRPr="00C379D7" w:rsidRDefault="00B04D49" w:rsidP="003607BB">
      <w:pPr>
        <w:tabs>
          <w:tab w:val="left" w:pos="-1057"/>
          <w:tab w:val="left" w:pos="-720"/>
        </w:tabs>
        <w:jc w:val="center"/>
        <w:rPr>
          <w:rFonts w:cs="Arial"/>
          <w:b/>
          <w:sz w:val="28"/>
          <w:szCs w:val="28"/>
        </w:rPr>
      </w:pPr>
      <w:r w:rsidRPr="00C379D7">
        <w:rPr>
          <w:rFonts w:cs="Arial"/>
          <w:b/>
          <w:sz w:val="28"/>
          <w:szCs w:val="28"/>
        </w:rPr>
        <w:t>Multi-Stakeholder Energy Task Force</w:t>
      </w:r>
    </w:p>
    <w:p w14:paraId="7B70D4A7" w14:textId="3DBDECCB" w:rsidR="004641A5" w:rsidRPr="00C379D7" w:rsidRDefault="004641A5" w:rsidP="003607BB">
      <w:pPr>
        <w:tabs>
          <w:tab w:val="left" w:pos="-1057"/>
          <w:tab w:val="left" w:pos="-720"/>
        </w:tabs>
        <w:jc w:val="center"/>
        <w:rPr>
          <w:rFonts w:cs="Arial"/>
          <w:b/>
          <w:sz w:val="28"/>
          <w:szCs w:val="28"/>
        </w:rPr>
      </w:pPr>
    </w:p>
    <w:p w14:paraId="329B12F7" w14:textId="1A3E669C" w:rsidR="004641A5" w:rsidRPr="00F30CE4" w:rsidRDefault="00B04D49" w:rsidP="003607BB">
      <w:pPr>
        <w:pBdr>
          <w:bottom w:val="single" w:sz="4" w:space="1" w:color="000000"/>
        </w:pBdr>
        <w:overflowPunct w:val="0"/>
        <w:jc w:val="center"/>
        <w:outlineLvl w:val="0"/>
        <w:rPr>
          <w:rFonts w:cs="Arial"/>
          <w:bCs/>
          <w:i/>
          <w:spacing w:val="-4"/>
          <w:sz w:val="20"/>
          <w:szCs w:val="20"/>
          <w:lang w:val="en-GB"/>
        </w:rPr>
      </w:pPr>
      <w:r w:rsidRPr="00F30CE4">
        <w:rPr>
          <w:rFonts w:cs="Arial"/>
          <w:bCs/>
          <w:i/>
          <w:iCs/>
          <w:spacing w:val="-4"/>
          <w:sz w:val="20"/>
          <w:szCs w:val="20"/>
          <w:lang w:val="en-GB"/>
        </w:rPr>
        <w:t>07 December 2021</w:t>
      </w:r>
    </w:p>
    <w:p w14:paraId="2A96BF7C" w14:textId="1A37917C" w:rsidR="00B04D49" w:rsidRPr="00F30CE4" w:rsidRDefault="00B04D49" w:rsidP="003607BB">
      <w:pPr>
        <w:jc w:val="right"/>
        <w:rPr>
          <w:rFonts w:cs="Arial"/>
          <w:sz w:val="20"/>
          <w:szCs w:val="20"/>
          <w:lang w:val="en-GB"/>
        </w:rPr>
      </w:pPr>
      <w:bookmarkStart w:id="0" w:name="_Hlk10542999"/>
      <w:r w:rsidRPr="00F30CE4">
        <w:rPr>
          <w:rFonts w:cs="Arial"/>
          <w:sz w:val="20"/>
          <w:szCs w:val="20"/>
          <w:lang w:val="en-GB"/>
        </w:rPr>
        <w:t>ETF_VM</w:t>
      </w:r>
      <w:r w:rsidR="00450DD8" w:rsidRPr="00F30CE4">
        <w:rPr>
          <w:rFonts w:cs="Arial"/>
          <w:sz w:val="20"/>
          <w:szCs w:val="20"/>
          <w:lang w:val="en-GB"/>
        </w:rPr>
        <w:t>_Dec</w:t>
      </w:r>
      <w:r w:rsidR="001E6C92" w:rsidRPr="00F30CE4">
        <w:rPr>
          <w:rFonts w:cs="Arial"/>
          <w:sz w:val="20"/>
          <w:szCs w:val="20"/>
          <w:lang w:val="en-GB"/>
        </w:rPr>
        <w:t>21</w:t>
      </w:r>
      <w:r w:rsidRPr="00F30CE4">
        <w:rPr>
          <w:rFonts w:cs="Arial"/>
          <w:sz w:val="20"/>
          <w:szCs w:val="20"/>
          <w:lang w:val="en-GB"/>
        </w:rPr>
        <w:t>/Doc.</w:t>
      </w:r>
      <w:r w:rsidR="002F27F7" w:rsidRPr="00F30CE4">
        <w:rPr>
          <w:rFonts w:cs="Arial"/>
          <w:sz w:val="20"/>
          <w:szCs w:val="20"/>
          <w:lang w:val="en-GB"/>
        </w:rPr>
        <w:t>2</w:t>
      </w:r>
    </w:p>
    <w:bookmarkEnd w:id="0"/>
    <w:p w14:paraId="05AF4508" w14:textId="49004653" w:rsidR="004641A5" w:rsidRPr="00F30CE4" w:rsidRDefault="004641A5" w:rsidP="003607BB">
      <w:pPr>
        <w:jc w:val="center"/>
        <w:rPr>
          <w:rFonts w:cs="Arial"/>
          <w:sz w:val="20"/>
          <w:szCs w:val="20"/>
          <w:lang w:val="en-GB"/>
        </w:rPr>
      </w:pPr>
    </w:p>
    <w:p w14:paraId="2FF7E9C0" w14:textId="77777777" w:rsidR="004641A5" w:rsidRPr="00F30CE4" w:rsidRDefault="004641A5" w:rsidP="003607BB">
      <w:pPr>
        <w:jc w:val="center"/>
        <w:rPr>
          <w:rFonts w:cs="Arial"/>
          <w:sz w:val="20"/>
          <w:szCs w:val="20"/>
          <w:lang w:val="en-GB"/>
        </w:rPr>
      </w:pPr>
    </w:p>
    <w:p w14:paraId="54CF2ACE" w14:textId="77777777" w:rsidR="004641A5" w:rsidRPr="00F30CE4" w:rsidRDefault="004641A5" w:rsidP="003607BB">
      <w:pPr>
        <w:tabs>
          <w:tab w:val="left" w:pos="6285"/>
        </w:tabs>
        <w:jc w:val="center"/>
        <w:rPr>
          <w:rFonts w:cs="Arial"/>
          <w:sz w:val="20"/>
          <w:szCs w:val="20"/>
          <w:lang w:val="en-GB"/>
        </w:rPr>
      </w:pPr>
    </w:p>
    <w:p w14:paraId="2AA9F70B" w14:textId="77777777" w:rsidR="004641A5" w:rsidRPr="00F30CE4" w:rsidRDefault="004641A5" w:rsidP="003607BB">
      <w:pPr>
        <w:tabs>
          <w:tab w:val="left" w:pos="6285"/>
        </w:tabs>
        <w:jc w:val="center"/>
        <w:rPr>
          <w:rFonts w:cs="Arial"/>
          <w:sz w:val="20"/>
          <w:szCs w:val="20"/>
          <w:lang w:val="en-GB"/>
        </w:rPr>
      </w:pPr>
    </w:p>
    <w:p w14:paraId="557726D4" w14:textId="78618E53" w:rsidR="004641A5" w:rsidRPr="00F30CE4" w:rsidRDefault="00B04D49" w:rsidP="003607BB">
      <w:pPr>
        <w:pStyle w:val="Heading2"/>
        <w:keepNext w:val="0"/>
        <w:ind w:left="-86" w:right="-360"/>
        <w:rPr>
          <w:rFonts w:ascii="Arial" w:hAnsi="Arial" w:cs="Arial"/>
          <w:sz w:val="20"/>
        </w:rPr>
      </w:pPr>
      <w:r w:rsidRPr="00F30CE4">
        <w:rPr>
          <w:rFonts w:ascii="Arial" w:hAnsi="Arial" w:cs="Arial"/>
          <w:sz w:val="20"/>
          <w:lang w:val="en-US"/>
        </w:rPr>
        <w:t>MEETING INFORMATION DOCUMENT</w:t>
      </w:r>
    </w:p>
    <w:p w14:paraId="571977F1" w14:textId="0A018339" w:rsidR="004641A5" w:rsidRPr="00F30CE4" w:rsidRDefault="004641A5" w:rsidP="003607BB">
      <w:pPr>
        <w:jc w:val="center"/>
        <w:rPr>
          <w:rFonts w:cs="Arial"/>
          <w:i/>
          <w:sz w:val="20"/>
          <w:szCs w:val="20"/>
        </w:rPr>
      </w:pPr>
      <w:r w:rsidRPr="00F30CE4">
        <w:rPr>
          <w:rFonts w:cs="Arial"/>
          <w:i/>
          <w:sz w:val="20"/>
          <w:szCs w:val="20"/>
        </w:rPr>
        <w:t>(Prepared by</w:t>
      </w:r>
      <w:r w:rsidR="00B04D49" w:rsidRPr="00F30CE4">
        <w:rPr>
          <w:rFonts w:cs="Arial"/>
          <w:i/>
          <w:sz w:val="20"/>
          <w:szCs w:val="20"/>
        </w:rPr>
        <w:t xml:space="preserve"> the ETF Coordinator</w:t>
      </w:r>
      <w:r w:rsidRPr="00F30CE4">
        <w:rPr>
          <w:rFonts w:cs="Arial"/>
          <w:i/>
          <w:sz w:val="20"/>
          <w:szCs w:val="20"/>
        </w:rPr>
        <w:t>)</w:t>
      </w:r>
    </w:p>
    <w:p w14:paraId="3E1FF229" w14:textId="77777777" w:rsidR="004641A5" w:rsidRPr="00F30CE4" w:rsidRDefault="004641A5" w:rsidP="003607BB">
      <w:pPr>
        <w:jc w:val="center"/>
        <w:rPr>
          <w:rFonts w:cs="Arial"/>
          <w:sz w:val="20"/>
          <w:szCs w:val="20"/>
          <w:lang w:val="en-GB"/>
        </w:rPr>
      </w:pPr>
    </w:p>
    <w:p w14:paraId="7652A3AC" w14:textId="77777777" w:rsidR="004641A5" w:rsidRPr="00F30CE4" w:rsidRDefault="004641A5" w:rsidP="003607BB">
      <w:pPr>
        <w:pStyle w:val="Firstnumbering"/>
        <w:numPr>
          <w:ilvl w:val="0"/>
          <w:numId w:val="0"/>
        </w:numPr>
        <w:ind w:left="540" w:hanging="540"/>
        <w:contextualSpacing w:val="0"/>
        <w:rPr>
          <w:sz w:val="20"/>
        </w:rPr>
      </w:pPr>
    </w:p>
    <w:p w14:paraId="37DF7834" w14:textId="713D9D6C" w:rsidR="003C1A96" w:rsidRPr="00F30CE4" w:rsidRDefault="003C1A96" w:rsidP="003607BB">
      <w:pPr>
        <w:suppressAutoHyphens/>
        <w:jc w:val="both"/>
        <w:rPr>
          <w:rFonts w:eastAsia="Times New Roman" w:cs="Arial"/>
          <w:kern w:val="2"/>
          <w:sz w:val="20"/>
          <w:szCs w:val="20"/>
          <w:lang w:val="en-GB"/>
        </w:rPr>
      </w:pPr>
    </w:p>
    <w:p w14:paraId="63CD2301" w14:textId="4FC4D76C" w:rsidR="00B04D49" w:rsidRPr="00F30CE4" w:rsidRDefault="00B04D49" w:rsidP="003607BB">
      <w:pPr>
        <w:suppressAutoHyphens/>
        <w:jc w:val="both"/>
        <w:rPr>
          <w:rFonts w:eastAsia="Times New Roman" w:cs="Arial"/>
          <w:kern w:val="2"/>
          <w:sz w:val="20"/>
          <w:szCs w:val="20"/>
          <w:lang w:val="en-GB"/>
        </w:rPr>
      </w:pPr>
    </w:p>
    <w:p w14:paraId="4D891FF4" w14:textId="209BA5B0" w:rsidR="00B04D49" w:rsidRPr="00F30CE4" w:rsidRDefault="00B04D49" w:rsidP="003607BB">
      <w:pPr>
        <w:suppressAutoHyphens/>
        <w:jc w:val="both"/>
        <w:rPr>
          <w:rFonts w:eastAsia="Times New Roman" w:cs="Arial"/>
          <w:kern w:val="2"/>
          <w:sz w:val="20"/>
          <w:szCs w:val="20"/>
          <w:lang w:val="en-GB"/>
        </w:rPr>
      </w:pPr>
    </w:p>
    <w:p w14:paraId="0E3026CF" w14:textId="684D8CD1" w:rsidR="00B04D49" w:rsidRPr="00F30CE4" w:rsidRDefault="00B04D49" w:rsidP="003607BB">
      <w:pPr>
        <w:suppressAutoHyphens/>
        <w:jc w:val="both"/>
        <w:rPr>
          <w:rFonts w:eastAsia="Times New Roman" w:cs="Arial"/>
          <w:kern w:val="2"/>
          <w:sz w:val="20"/>
          <w:szCs w:val="20"/>
          <w:lang w:val="en-GB"/>
        </w:rPr>
      </w:pPr>
    </w:p>
    <w:p w14:paraId="022021EB" w14:textId="25C1EEBE" w:rsidR="00B04D49" w:rsidRPr="00F30CE4" w:rsidRDefault="00B04D49" w:rsidP="003607BB">
      <w:pPr>
        <w:suppressAutoHyphens/>
        <w:jc w:val="both"/>
        <w:rPr>
          <w:rFonts w:eastAsia="Times New Roman" w:cs="Arial"/>
          <w:kern w:val="2"/>
          <w:sz w:val="20"/>
          <w:szCs w:val="20"/>
          <w:lang w:val="en-GB"/>
        </w:rPr>
      </w:pPr>
    </w:p>
    <w:p w14:paraId="1060FCC8" w14:textId="7EED1E75" w:rsidR="00B04D49" w:rsidRPr="00F30CE4" w:rsidRDefault="00B04D49" w:rsidP="003607BB">
      <w:pPr>
        <w:suppressAutoHyphens/>
        <w:jc w:val="both"/>
        <w:rPr>
          <w:rFonts w:eastAsia="Times New Roman" w:cs="Arial"/>
          <w:kern w:val="2"/>
          <w:sz w:val="20"/>
          <w:szCs w:val="20"/>
          <w:lang w:val="en-GB"/>
        </w:rPr>
      </w:pPr>
    </w:p>
    <w:p w14:paraId="69B666FD" w14:textId="1599D4C0" w:rsidR="00526098" w:rsidRPr="00F30CE4" w:rsidRDefault="00526098" w:rsidP="003607BB">
      <w:pPr>
        <w:suppressAutoHyphens/>
        <w:jc w:val="both"/>
        <w:rPr>
          <w:rFonts w:eastAsia="Times New Roman" w:cs="Arial"/>
          <w:kern w:val="2"/>
          <w:sz w:val="20"/>
          <w:szCs w:val="20"/>
          <w:lang w:val="en-GB"/>
        </w:rPr>
      </w:pPr>
    </w:p>
    <w:p w14:paraId="49837F40" w14:textId="54B58840" w:rsidR="00526098" w:rsidRPr="00F30CE4" w:rsidRDefault="00526098" w:rsidP="003607BB">
      <w:pPr>
        <w:suppressAutoHyphens/>
        <w:jc w:val="both"/>
        <w:rPr>
          <w:rFonts w:eastAsia="Times New Roman" w:cs="Arial"/>
          <w:kern w:val="2"/>
          <w:sz w:val="20"/>
          <w:szCs w:val="20"/>
          <w:lang w:val="en-GB"/>
        </w:rPr>
      </w:pPr>
    </w:p>
    <w:p w14:paraId="5338DC76" w14:textId="476E7335" w:rsidR="00526098" w:rsidRPr="00F30CE4" w:rsidRDefault="00526098" w:rsidP="003607BB">
      <w:pPr>
        <w:suppressAutoHyphens/>
        <w:jc w:val="both"/>
        <w:rPr>
          <w:rFonts w:eastAsia="Times New Roman" w:cs="Arial"/>
          <w:kern w:val="2"/>
          <w:sz w:val="20"/>
          <w:szCs w:val="20"/>
          <w:lang w:val="en-GB"/>
        </w:rPr>
      </w:pPr>
    </w:p>
    <w:p w14:paraId="73469802" w14:textId="76428A2C" w:rsidR="00526098" w:rsidRPr="00F30CE4" w:rsidRDefault="00526098" w:rsidP="003607BB">
      <w:pPr>
        <w:suppressAutoHyphens/>
        <w:jc w:val="both"/>
        <w:rPr>
          <w:rFonts w:eastAsia="Times New Roman" w:cs="Arial"/>
          <w:kern w:val="2"/>
          <w:sz w:val="20"/>
          <w:szCs w:val="20"/>
          <w:lang w:val="en-GB"/>
        </w:rPr>
      </w:pPr>
    </w:p>
    <w:p w14:paraId="2AA4FC48" w14:textId="77777777" w:rsidR="00526098" w:rsidRPr="00F30CE4" w:rsidRDefault="00526098" w:rsidP="003607BB">
      <w:pPr>
        <w:suppressAutoHyphens/>
        <w:jc w:val="both"/>
        <w:rPr>
          <w:rFonts w:eastAsia="Times New Roman" w:cs="Arial"/>
          <w:kern w:val="2"/>
          <w:sz w:val="20"/>
          <w:szCs w:val="20"/>
          <w:lang w:val="en-GB"/>
        </w:rPr>
      </w:pPr>
    </w:p>
    <w:p w14:paraId="4871CBDA" w14:textId="121E9F0B" w:rsidR="00B04D49" w:rsidRPr="00F30CE4" w:rsidRDefault="00B04D49" w:rsidP="003607BB">
      <w:pPr>
        <w:suppressAutoHyphens/>
        <w:jc w:val="both"/>
        <w:rPr>
          <w:rFonts w:eastAsia="Times New Roman" w:cs="Arial"/>
          <w:kern w:val="2"/>
          <w:sz w:val="20"/>
          <w:szCs w:val="20"/>
          <w:lang w:val="en-GB"/>
        </w:rPr>
      </w:pPr>
    </w:p>
    <w:p w14:paraId="1672D499" w14:textId="50B14A1E" w:rsidR="00B04D49" w:rsidRPr="00F30CE4" w:rsidRDefault="00B04D49" w:rsidP="003607BB">
      <w:pPr>
        <w:suppressAutoHyphens/>
        <w:jc w:val="both"/>
        <w:rPr>
          <w:rFonts w:eastAsia="Times New Roman" w:cs="Arial"/>
          <w:kern w:val="2"/>
          <w:sz w:val="20"/>
          <w:szCs w:val="20"/>
          <w:lang w:val="en-GB"/>
        </w:rPr>
      </w:pPr>
    </w:p>
    <w:p w14:paraId="55D7A7FF" w14:textId="5E96386E" w:rsidR="00B04D49" w:rsidRPr="00F30CE4" w:rsidRDefault="00B04D49" w:rsidP="003607BB">
      <w:pPr>
        <w:suppressAutoHyphens/>
        <w:jc w:val="both"/>
        <w:rPr>
          <w:rFonts w:eastAsia="Times New Roman" w:cs="Arial"/>
          <w:kern w:val="2"/>
          <w:sz w:val="20"/>
          <w:szCs w:val="20"/>
          <w:lang w:val="en-GB"/>
        </w:rPr>
      </w:pPr>
    </w:p>
    <w:p w14:paraId="485275DA" w14:textId="1E80097C" w:rsidR="00B04D49" w:rsidRPr="00F30CE4" w:rsidRDefault="00B04D49" w:rsidP="003607BB">
      <w:pPr>
        <w:suppressAutoHyphens/>
        <w:jc w:val="both"/>
        <w:rPr>
          <w:rFonts w:eastAsia="Times New Roman" w:cs="Arial"/>
          <w:kern w:val="2"/>
          <w:sz w:val="20"/>
          <w:szCs w:val="20"/>
          <w:lang w:val="en-GB"/>
        </w:rPr>
      </w:pPr>
    </w:p>
    <w:p w14:paraId="30F892FE" w14:textId="69B9478A" w:rsidR="00B04D49" w:rsidRPr="00F30CE4" w:rsidRDefault="00B04D49" w:rsidP="003607BB">
      <w:pPr>
        <w:suppressAutoHyphens/>
        <w:jc w:val="both"/>
        <w:rPr>
          <w:rFonts w:eastAsia="Times New Roman" w:cs="Arial"/>
          <w:kern w:val="2"/>
          <w:sz w:val="20"/>
          <w:szCs w:val="20"/>
          <w:lang w:val="en-GB"/>
        </w:rPr>
      </w:pPr>
    </w:p>
    <w:p w14:paraId="7085CB1A" w14:textId="2C04E71F" w:rsidR="00B04D49" w:rsidRPr="00F30CE4" w:rsidRDefault="00B04D49" w:rsidP="003607BB">
      <w:pPr>
        <w:suppressAutoHyphens/>
        <w:jc w:val="both"/>
        <w:rPr>
          <w:rFonts w:eastAsia="Times New Roman" w:cs="Arial"/>
          <w:kern w:val="2"/>
          <w:sz w:val="20"/>
          <w:szCs w:val="20"/>
          <w:lang w:val="en-GB"/>
        </w:rPr>
      </w:pPr>
    </w:p>
    <w:p w14:paraId="03CE2D1D" w14:textId="04C81008" w:rsidR="00B04D49" w:rsidRPr="00F30CE4" w:rsidRDefault="00B04D49" w:rsidP="003607BB">
      <w:pPr>
        <w:suppressAutoHyphens/>
        <w:jc w:val="both"/>
        <w:rPr>
          <w:rFonts w:eastAsia="Times New Roman" w:cs="Arial"/>
          <w:kern w:val="2"/>
          <w:sz w:val="20"/>
          <w:szCs w:val="20"/>
          <w:lang w:val="en-GB"/>
        </w:rPr>
      </w:pPr>
    </w:p>
    <w:p w14:paraId="3CE4EF7F" w14:textId="3A5A3724" w:rsidR="00B04D49" w:rsidRPr="00F30CE4" w:rsidRDefault="00B04D49" w:rsidP="003607BB">
      <w:pPr>
        <w:suppressAutoHyphens/>
        <w:jc w:val="both"/>
        <w:rPr>
          <w:rFonts w:eastAsia="Times New Roman" w:cs="Arial"/>
          <w:kern w:val="2"/>
          <w:sz w:val="20"/>
          <w:szCs w:val="20"/>
          <w:lang w:val="en-GB"/>
        </w:rPr>
      </w:pPr>
    </w:p>
    <w:p w14:paraId="320CBFBE" w14:textId="048CC1CE" w:rsidR="00B04D49" w:rsidRPr="00F30CE4" w:rsidRDefault="00B04D49" w:rsidP="003607BB">
      <w:pPr>
        <w:suppressAutoHyphens/>
        <w:jc w:val="both"/>
        <w:rPr>
          <w:rFonts w:eastAsia="Times New Roman" w:cs="Arial"/>
          <w:kern w:val="2"/>
          <w:sz w:val="20"/>
          <w:szCs w:val="20"/>
          <w:lang w:val="en-GB"/>
        </w:rPr>
      </w:pPr>
    </w:p>
    <w:p w14:paraId="5879344F" w14:textId="77AB912F" w:rsidR="00B04D49" w:rsidRPr="00F30CE4" w:rsidRDefault="00B04D49" w:rsidP="003607BB">
      <w:pPr>
        <w:suppressAutoHyphens/>
        <w:jc w:val="both"/>
        <w:rPr>
          <w:rFonts w:eastAsia="Times New Roman" w:cs="Arial"/>
          <w:kern w:val="2"/>
          <w:sz w:val="20"/>
          <w:szCs w:val="20"/>
          <w:lang w:val="en-GB"/>
        </w:rPr>
      </w:pPr>
    </w:p>
    <w:p w14:paraId="5981FBDD" w14:textId="3AA9CE6D" w:rsidR="00B04D49" w:rsidRPr="00F30CE4" w:rsidRDefault="00B04D49" w:rsidP="003607BB">
      <w:pPr>
        <w:suppressAutoHyphens/>
        <w:jc w:val="both"/>
        <w:rPr>
          <w:rFonts w:eastAsia="Times New Roman" w:cs="Arial"/>
          <w:kern w:val="2"/>
          <w:sz w:val="20"/>
          <w:szCs w:val="20"/>
          <w:lang w:val="en-GB"/>
        </w:rPr>
      </w:pPr>
    </w:p>
    <w:p w14:paraId="5B34AA66" w14:textId="4A9AF6AC" w:rsidR="00B04D49" w:rsidRPr="00F30CE4" w:rsidRDefault="00B04D49" w:rsidP="003607BB">
      <w:pPr>
        <w:suppressAutoHyphens/>
        <w:jc w:val="both"/>
        <w:rPr>
          <w:rFonts w:eastAsia="Times New Roman" w:cs="Arial"/>
          <w:kern w:val="2"/>
          <w:sz w:val="20"/>
          <w:szCs w:val="20"/>
          <w:lang w:val="en-GB"/>
        </w:rPr>
      </w:pPr>
    </w:p>
    <w:p w14:paraId="7CC98D27" w14:textId="77777777" w:rsidR="00F57D65" w:rsidRDefault="00F57D65" w:rsidP="003607BB">
      <w:pPr>
        <w:suppressAutoHyphens/>
        <w:jc w:val="both"/>
        <w:rPr>
          <w:rFonts w:eastAsia="Times New Roman" w:cs="Arial"/>
          <w:kern w:val="2"/>
          <w:sz w:val="20"/>
          <w:szCs w:val="20"/>
          <w:lang w:val="en-GB"/>
        </w:rPr>
      </w:pPr>
    </w:p>
    <w:p w14:paraId="33E4034C" w14:textId="77777777" w:rsidR="00F57D65" w:rsidRDefault="00F57D65" w:rsidP="003607BB">
      <w:pPr>
        <w:suppressAutoHyphens/>
        <w:jc w:val="both"/>
        <w:rPr>
          <w:rFonts w:eastAsia="Times New Roman" w:cs="Arial"/>
          <w:kern w:val="2"/>
          <w:sz w:val="20"/>
          <w:szCs w:val="20"/>
          <w:lang w:val="en-GB"/>
        </w:rPr>
      </w:pPr>
    </w:p>
    <w:p w14:paraId="5A99CF95" w14:textId="77777777" w:rsidR="00F57D65" w:rsidRDefault="00F57D65" w:rsidP="003607BB">
      <w:pPr>
        <w:suppressAutoHyphens/>
        <w:jc w:val="both"/>
        <w:rPr>
          <w:rFonts w:eastAsia="Times New Roman" w:cs="Arial"/>
          <w:kern w:val="2"/>
          <w:sz w:val="20"/>
          <w:szCs w:val="20"/>
          <w:lang w:val="en-GB"/>
        </w:rPr>
      </w:pPr>
    </w:p>
    <w:p w14:paraId="5157BA9A" w14:textId="77777777" w:rsidR="00F57D65" w:rsidRDefault="00F57D65" w:rsidP="003607BB">
      <w:pPr>
        <w:suppressAutoHyphens/>
        <w:jc w:val="both"/>
        <w:rPr>
          <w:rFonts w:eastAsia="Times New Roman" w:cs="Arial"/>
          <w:kern w:val="2"/>
          <w:sz w:val="20"/>
          <w:szCs w:val="20"/>
          <w:lang w:val="en-GB"/>
        </w:rPr>
      </w:pPr>
    </w:p>
    <w:p w14:paraId="77FDF7F4" w14:textId="59BD61A4" w:rsidR="00B04D49" w:rsidRPr="00F30CE4" w:rsidRDefault="00CA07B2" w:rsidP="003607BB">
      <w:pPr>
        <w:suppressAutoHyphens/>
        <w:jc w:val="both"/>
        <w:rPr>
          <w:rFonts w:eastAsia="Times New Roman" w:cs="Arial"/>
          <w:kern w:val="2"/>
          <w:sz w:val="20"/>
          <w:szCs w:val="20"/>
          <w:lang w:val="en-GB"/>
        </w:rPr>
      </w:pPr>
      <w:r w:rsidRPr="00F30CE4">
        <w:rPr>
          <w:rFonts w:eastAsia="Times New Roman" w:cs="Arial"/>
          <w:noProof/>
          <w:kern w:val="2"/>
          <w:sz w:val="20"/>
          <w:szCs w:val="20"/>
          <w:lang w:val="en-GB" w:eastAsia="ja-JP"/>
        </w:rPr>
        <w:drawing>
          <wp:anchor distT="0" distB="0" distL="114300" distR="114300" simplePos="0" relativeHeight="251658242" behindDoc="1" locked="0" layoutInCell="1" allowOverlap="1" wp14:anchorId="6786F0E6" wp14:editId="554EEC92">
            <wp:simplePos x="0" y="0"/>
            <wp:positionH relativeFrom="page">
              <wp:posOffset>712470</wp:posOffset>
            </wp:positionH>
            <wp:positionV relativeFrom="paragraph">
              <wp:posOffset>209550</wp:posOffset>
            </wp:positionV>
            <wp:extent cx="6473190" cy="1090295"/>
            <wp:effectExtent l="19050" t="19050" r="22860" b="14605"/>
            <wp:wrapTight wrapText="bothSides">
              <wp:wrapPolygon edited="0">
                <wp:start x="-64" y="-377"/>
                <wp:lineTo x="-64" y="21512"/>
                <wp:lineTo x="21613" y="21512"/>
                <wp:lineTo x="21613" y="-377"/>
                <wp:lineTo x="-64" y="-37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3190" cy="1090295"/>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20" w:tblpY="1927"/>
        <w:tblW w:w="10221"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10" w:type="dxa"/>
          <w:right w:w="10" w:type="dxa"/>
        </w:tblCellMar>
        <w:tblLook w:val="0000" w:firstRow="0" w:lastRow="0" w:firstColumn="0" w:lastColumn="0" w:noHBand="0" w:noVBand="0"/>
      </w:tblPr>
      <w:tblGrid>
        <w:gridCol w:w="2090"/>
        <w:gridCol w:w="6289"/>
        <w:gridCol w:w="1842"/>
      </w:tblGrid>
      <w:tr w:rsidR="00F30CE4" w:rsidRPr="00F30CE4" w14:paraId="70E258B8" w14:textId="77777777" w:rsidTr="003E16D3">
        <w:trPr>
          <w:trHeight w:val="1430"/>
        </w:trPr>
        <w:tc>
          <w:tcPr>
            <w:tcW w:w="2090" w:type="dxa"/>
            <w:shd w:val="clear" w:color="auto" w:fill="auto"/>
            <w:tcMar>
              <w:top w:w="0" w:type="dxa"/>
              <w:left w:w="108" w:type="dxa"/>
              <w:bottom w:w="0" w:type="dxa"/>
              <w:right w:w="108" w:type="dxa"/>
            </w:tcMar>
          </w:tcPr>
          <w:p w14:paraId="18005327" w14:textId="77777777" w:rsidR="00B04D49" w:rsidRPr="00F30CE4" w:rsidRDefault="00B04D49" w:rsidP="003607BB">
            <w:pPr>
              <w:ind w:left="-250"/>
              <w:jc w:val="both"/>
              <w:rPr>
                <w:rFonts w:cs="Arial"/>
                <w:sz w:val="20"/>
                <w:szCs w:val="20"/>
              </w:rPr>
            </w:pPr>
            <w:r w:rsidRPr="00F30CE4">
              <w:rPr>
                <w:rFonts w:eastAsia="Times New Roman" w:cs="Arial"/>
                <w:noProof/>
                <w:sz w:val="20"/>
                <w:szCs w:val="20"/>
                <w:lang w:val="en-GB" w:eastAsia="ja-JP"/>
              </w:rPr>
              <w:drawing>
                <wp:anchor distT="0" distB="0" distL="114300" distR="114300" simplePos="0" relativeHeight="251658240" behindDoc="0" locked="0" layoutInCell="1" allowOverlap="1" wp14:anchorId="36728367" wp14:editId="6C659C71">
                  <wp:simplePos x="0" y="0"/>
                  <wp:positionH relativeFrom="column">
                    <wp:posOffset>92710</wp:posOffset>
                  </wp:positionH>
                  <wp:positionV relativeFrom="paragraph">
                    <wp:posOffset>160020</wp:posOffset>
                  </wp:positionV>
                  <wp:extent cx="1113153" cy="523878"/>
                  <wp:effectExtent l="0" t="0" r="0" b="0"/>
                  <wp:wrapTight wrapText="bothSides">
                    <wp:wrapPolygon edited="0">
                      <wp:start x="0" y="0"/>
                      <wp:lineTo x="0" y="20422"/>
                      <wp:lineTo x="21082" y="20422"/>
                      <wp:lineTo x="21082" y="0"/>
                      <wp:lineTo x="0" y="0"/>
                    </wp:wrapPolygon>
                  </wp:wrapTight>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13153" cy="523878"/>
                          </a:xfrm>
                          <a:prstGeom prst="rect">
                            <a:avLst/>
                          </a:prstGeom>
                          <a:noFill/>
                          <a:ln>
                            <a:noFill/>
                            <a:prstDash/>
                          </a:ln>
                        </pic:spPr>
                      </pic:pic>
                    </a:graphicData>
                  </a:graphic>
                </wp:anchor>
              </w:drawing>
            </w:r>
          </w:p>
        </w:tc>
        <w:tc>
          <w:tcPr>
            <w:tcW w:w="6289" w:type="dxa"/>
            <w:shd w:val="clear" w:color="auto" w:fill="auto"/>
            <w:tcMar>
              <w:top w:w="0" w:type="dxa"/>
              <w:left w:w="108" w:type="dxa"/>
              <w:bottom w:w="0" w:type="dxa"/>
              <w:right w:w="108" w:type="dxa"/>
            </w:tcMar>
          </w:tcPr>
          <w:p w14:paraId="5F82B693" w14:textId="41583ADF" w:rsidR="00B04D49" w:rsidRPr="00F30CE4" w:rsidRDefault="00621858" w:rsidP="00F90F15">
            <w:pPr>
              <w:spacing w:before="240" w:after="120"/>
              <w:ind w:left="58" w:right="58"/>
              <w:jc w:val="both"/>
              <w:rPr>
                <w:rFonts w:cs="Arial"/>
                <w:sz w:val="20"/>
                <w:szCs w:val="20"/>
              </w:rPr>
            </w:pPr>
            <w:r w:rsidRPr="0084357D">
              <w:rPr>
                <w:rFonts w:cs="Arial"/>
                <w:sz w:val="16"/>
                <w:szCs w:val="16"/>
                <w:lang w:val="en-GB"/>
              </w:rPr>
              <w:t>The Government of India, through the Ministry of Environment, Forest and Climate Change were recognized as Champion Plus for their generous support and commitment towards Making energy safe for wildlife for the period 2020-2023. The operations of the Energy Task Force have been funded with the contribution granted by India under the Migratory Species Champion Programme.</w:t>
            </w:r>
          </w:p>
        </w:tc>
        <w:tc>
          <w:tcPr>
            <w:tcW w:w="1842" w:type="dxa"/>
            <w:shd w:val="clear" w:color="auto" w:fill="auto"/>
            <w:tcMar>
              <w:top w:w="0" w:type="dxa"/>
              <w:left w:w="108" w:type="dxa"/>
              <w:bottom w:w="0" w:type="dxa"/>
              <w:right w:w="108" w:type="dxa"/>
            </w:tcMar>
          </w:tcPr>
          <w:p w14:paraId="34A31ED3" w14:textId="77777777" w:rsidR="00B04D49" w:rsidRPr="00F30CE4" w:rsidRDefault="00B04D49" w:rsidP="003607BB">
            <w:pPr>
              <w:jc w:val="both"/>
              <w:rPr>
                <w:rFonts w:cs="Arial"/>
                <w:sz w:val="20"/>
                <w:szCs w:val="20"/>
              </w:rPr>
            </w:pPr>
            <w:r w:rsidRPr="00F30CE4">
              <w:rPr>
                <w:rFonts w:eastAsia="Times New Roman" w:cs="Arial"/>
                <w:noProof/>
                <w:sz w:val="20"/>
                <w:szCs w:val="20"/>
                <w:lang w:val="en-GB" w:eastAsia="ja-JP"/>
              </w:rPr>
              <w:drawing>
                <wp:anchor distT="0" distB="0" distL="114300" distR="114300" simplePos="0" relativeHeight="251658241" behindDoc="0" locked="0" layoutInCell="1" allowOverlap="1" wp14:anchorId="30544452" wp14:editId="6029F1FC">
                  <wp:simplePos x="0" y="0"/>
                  <wp:positionH relativeFrom="column">
                    <wp:posOffset>118745</wp:posOffset>
                  </wp:positionH>
                  <wp:positionV relativeFrom="paragraph">
                    <wp:posOffset>87630</wp:posOffset>
                  </wp:positionV>
                  <wp:extent cx="749300" cy="781050"/>
                  <wp:effectExtent l="0" t="0" r="0" b="0"/>
                  <wp:wrapNone/>
                  <wp:docPr id="6" name="Picture 3"/>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749300" cy="781050"/>
                          </a:xfrm>
                          <a:prstGeom prst="rect">
                            <a:avLst/>
                          </a:prstGeom>
                          <a:noFill/>
                          <a:ln>
                            <a:noFill/>
                            <a:prstDash/>
                          </a:ln>
                        </pic:spPr>
                      </pic:pic>
                    </a:graphicData>
                  </a:graphic>
                  <wp14:sizeRelH relativeFrom="margin">
                    <wp14:pctWidth>0</wp14:pctWidth>
                  </wp14:sizeRelH>
                </wp:anchor>
              </w:drawing>
            </w:r>
          </w:p>
        </w:tc>
      </w:tr>
    </w:tbl>
    <w:p w14:paraId="525F7C88" w14:textId="5B37B154" w:rsidR="00B04D49" w:rsidRPr="00F30CE4" w:rsidRDefault="00B04D49" w:rsidP="003607BB">
      <w:pPr>
        <w:suppressAutoHyphens/>
        <w:jc w:val="both"/>
        <w:rPr>
          <w:rFonts w:eastAsia="Times New Roman" w:cs="Arial"/>
          <w:kern w:val="2"/>
          <w:sz w:val="20"/>
          <w:szCs w:val="20"/>
          <w:lang w:val="en-GB"/>
        </w:rPr>
      </w:pPr>
    </w:p>
    <w:p w14:paraId="2C2E59E7" w14:textId="21C6D325" w:rsidR="00621720" w:rsidRDefault="00621720">
      <w:pPr>
        <w:rPr>
          <w:rFonts w:cs="Arial"/>
          <w:b/>
          <w:bCs/>
          <w:sz w:val="20"/>
          <w:szCs w:val="20"/>
          <w:lang w:val="en-GB"/>
        </w:rPr>
      </w:pPr>
      <w:r>
        <w:rPr>
          <w:rFonts w:cs="Arial"/>
          <w:b/>
          <w:bCs/>
          <w:sz w:val="20"/>
          <w:szCs w:val="20"/>
          <w:lang w:val="en-GB"/>
        </w:rPr>
        <w:br w:type="page"/>
      </w:r>
    </w:p>
    <w:p w14:paraId="53DA50AE" w14:textId="7B5B44C9" w:rsidR="00364356" w:rsidRPr="00F30CE4" w:rsidRDefault="00364356" w:rsidP="003607BB">
      <w:pPr>
        <w:jc w:val="center"/>
        <w:rPr>
          <w:rFonts w:cs="Arial"/>
          <w:b/>
          <w:bCs/>
          <w:sz w:val="20"/>
          <w:szCs w:val="20"/>
          <w:lang w:val="en-GB"/>
        </w:rPr>
      </w:pPr>
      <w:r w:rsidRPr="00F30CE4">
        <w:rPr>
          <w:rFonts w:cs="Arial"/>
          <w:b/>
          <w:bCs/>
          <w:sz w:val="20"/>
          <w:szCs w:val="20"/>
          <w:lang w:val="en-GB"/>
        </w:rPr>
        <w:lastRenderedPageBreak/>
        <w:t>MEETING AIMS AND OBJECTIVES</w:t>
      </w:r>
    </w:p>
    <w:p w14:paraId="795603CA" w14:textId="77777777" w:rsidR="00364356" w:rsidRPr="00F30CE4" w:rsidRDefault="00364356" w:rsidP="003607BB">
      <w:pPr>
        <w:jc w:val="both"/>
        <w:rPr>
          <w:rFonts w:cs="Arial"/>
          <w:sz w:val="20"/>
          <w:szCs w:val="20"/>
          <w:lang w:val="en-GB"/>
        </w:rPr>
      </w:pPr>
    </w:p>
    <w:p w14:paraId="73DC61C1" w14:textId="6A97CBA2" w:rsidR="00364356" w:rsidRPr="00F30CE4" w:rsidRDefault="00364356" w:rsidP="003607BB">
      <w:pPr>
        <w:jc w:val="both"/>
        <w:rPr>
          <w:rFonts w:cs="Arial"/>
          <w:sz w:val="20"/>
          <w:szCs w:val="20"/>
        </w:rPr>
      </w:pPr>
      <w:r w:rsidRPr="00F30CE4">
        <w:rPr>
          <w:rFonts w:cs="Arial"/>
          <w:sz w:val="20"/>
          <w:szCs w:val="20"/>
        </w:rPr>
        <w:t xml:space="preserve">The December </w:t>
      </w:r>
      <w:r w:rsidR="0084357D">
        <w:rPr>
          <w:rFonts w:cs="Arial"/>
          <w:sz w:val="20"/>
          <w:szCs w:val="20"/>
        </w:rPr>
        <w:t xml:space="preserve">2021 </w:t>
      </w:r>
      <w:r w:rsidRPr="00F30CE4">
        <w:rPr>
          <w:rFonts w:cs="Arial"/>
          <w:sz w:val="20"/>
          <w:szCs w:val="20"/>
        </w:rPr>
        <w:t>virtual meeting of the ETF presents the opportunity to provide updates from across the ETF network and to brief the members and observers on upcoming events and opportunities, including the 6</w:t>
      </w:r>
      <w:r w:rsidRPr="00F30CE4">
        <w:rPr>
          <w:rFonts w:cs="Arial"/>
          <w:sz w:val="20"/>
          <w:szCs w:val="20"/>
          <w:vertAlign w:val="superscript"/>
        </w:rPr>
        <w:t>th</w:t>
      </w:r>
      <w:r w:rsidRPr="00F30CE4">
        <w:rPr>
          <w:rFonts w:cs="Arial"/>
          <w:sz w:val="20"/>
          <w:szCs w:val="20"/>
        </w:rPr>
        <w:t xml:space="preserve"> Meeting of the CMS Energy Task Force (ETF6). </w:t>
      </w:r>
    </w:p>
    <w:p w14:paraId="689F0F3D" w14:textId="77777777" w:rsidR="00364356" w:rsidRPr="00F30CE4" w:rsidRDefault="00364356" w:rsidP="003607BB">
      <w:pPr>
        <w:jc w:val="both"/>
        <w:rPr>
          <w:rFonts w:cs="Arial"/>
          <w:sz w:val="20"/>
          <w:szCs w:val="20"/>
        </w:rPr>
      </w:pPr>
    </w:p>
    <w:p w14:paraId="3918872E" w14:textId="4917AB0E" w:rsidR="00364356" w:rsidRDefault="00364356" w:rsidP="003607BB">
      <w:pPr>
        <w:jc w:val="both"/>
        <w:rPr>
          <w:rFonts w:cs="Arial"/>
          <w:b/>
          <w:bCs/>
          <w:sz w:val="20"/>
          <w:szCs w:val="20"/>
        </w:rPr>
      </w:pPr>
      <w:r w:rsidRPr="00F30CE4">
        <w:rPr>
          <w:rFonts w:cs="Arial"/>
          <w:b/>
          <w:bCs/>
          <w:sz w:val="20"/>
          <w:szCs w:val="20"/>
        </w:rPr>
        <w:t>Target Audience</w:t>
      </w:r>
    </w:p>
    <w:p w14:paraId="2C0A014B" w14:textId="77777777" w:rsidR="002917CA" w:rsidRPr="00621720" w:rsidRDefault="002917CA" w:rsidP="003607BB">
      <w:pPr>
        <w:jc w:val="both"/>
        <w:rPr>
          <w:rFonts w:cs="Arial"/>
          <w:sz w:val="20"/>
          <w:szCs w:val="20"/>
        </w:rPr>
      </w:pPr>
    </w:p>
    <w:p w14:paraId="7D06B863" w14:textId="77777777" w:rsidR="00364356" w:rsidRPr="00F30CE4" w:rsidRDefault="00364356" w:rsidP="003607BB">
      <w:pPr>
        <w:pStyle w:val="ListParagraph"/>
        <w:widowControl/>
        <w:numPr>
          <w:ilvl w:val="0"/>
          <w:numId w:val="18"/>
        </w:numPr>
        <w:spacing w:line="252" w:lineRule="auto"/>
        <w:jc w:val="both"/>
        <w:rPr>
          <w:rFonts w:cs="Arial"/>
          <w:sz w:val="20"/>
        </w:rPr>
      </w:pPr>
      <w:r w:rsidRPr="00F30CE4">
        <w:rPr>
          <w:rFonts w:cs="Arial"/>
          <w:sz w:val="20"/>
        </w:rPr>
        <w:t>All ETF members and observers</w:t>
      </w:r>
    </w:p>
    <w:p w14:paraId="05DCB584" w14:textId="77777777" w:rsidR="00364356" w:rsidRPr="00F30CE4" w:rsidRDefault="00364356" w:rsidP="003607BB">
      <w:pPr>
        <w:jc w:val="both"/>
        <w:rPr>
          <w:rFonts w:cs="Arial"/>
          <w:i/>
          <w:iCs/>
          <w:sz w:val="20"/>
          <w:szCs w:val="20"/>
        </w:rPr>
      </w:pPr>
    </w:p>
    <w:p w14:paraId="7F2C2CB1" w14:textId="16E05F7C" w:rsidR="00364356" w:rsidRDefault="00364356" w:rsidP="003607BB">
      <w:pPr>
        <w:jc w:val="both"/>
        <w:rPr>
          <w:rFonts w:cs="Arial"/>
          <w:b/>
          <w:bCs/>
          <w:sz w:val="20"/>
          <w:szCs w:val="20"/>
        </w:rPr>
      </w:pPr>
      <w:r w:rsidRPr="00F30CE4">
        <w:rPr>
          <w:rFonts w:cs="Arial"/>
          <w:b/>
          <w:bCs/>
          <w:sz w:val="20"/>
          <w:szCs w:val="20"/>
        </w:rPr>
        <w:t>Objectives</w:t>
      </w:r>
    </w:p>
    <w:p w14:paraId="38BBC53B" w14:textId="77777777" w:rsidR="002917CA" w:rsidRPr="00621720" w:rsidRDefault="002917CA" w:rsidP="003607BB">
      <w:pPr>
        <w:jc w:val="both"/>
        <w:rPr>
          <w:rFonts w:cs="Arial"/>
          <w:sz w:val="20"/>
          <w:szCs w:val="20"/>
        </w:rPr>
      </w:pPr>
    </w:p>
    <w:p w14:paraId="5CBB74CA" w14:textId="77777777" w:rsidR="00364356" w:rsidRPr="00F30CE4" w:rsidRDefault="00364356" w:rsidP="003607BB">
      <w:pPr>
        <w:pStyle w:val="ListParagraph"/>
        <w:widowControl/>
        <w:numPr>
          <w:ilvl w:val="0"/>
          <w:numId w:val="19"/>
        </w:numPr>
        <w:spacing w:line="252" w:lineRule="auto"/>
        <w:jc w:val="both"/>
        <w:rPr>
          <w:rFonts w:cs="Arial"/>
          <w:sz w:val="20"/>
        </w:rPr>
      </w:pPr>
      <w:r w:rsidRPr="00F30CE4">
        <w:rPr>
          <w:rFonts w:cs="Arial"/>
          <w:sz w:val="20"/>
        </w:rPr>
        <w:t>Share updates from the CMS and ETF Coordination Team</w:t>
      </w:r>
    </w:p>
    <w:p w14:paraId="1E7C5834" w14:textId="77777777" w:rsidR="00364356" w:rsidRPr="00F30CE4" w:rsidRDefault="00364356" w:rsidP="003607BB">
      <w:pPr>
        <w:pStyle w:val="ListParagraph"/>
        <w:widowControl/>
        <w:numPr>
          <w:ilvl w:val="0"/>
          <w:numId w:val="19"/>
        </w:numPr>
        <w:spacing w:line="252" w:lineRule="auto"/>
        <w:jc w:val="both"/>
        <w:rPr>
          <w:rFonts w:cs="Arial"/>
          <w:sz w:val="20"/>
        </w:rPr>
      </w:pPr>
      <w:r w:rsidRPr="00F30CE4">
        <w:rPr>
          <w:rFonts w:cs="Arial"/>
          <w:sz w:val="20"/>
        </w:rPr>
        <w:t>Update the ETF network on upcoming events and opportunities</w:t>
      </w:r>
    </w:p>
    <w:p w14:paraId="23508F2B" w14:textId="77777777" w:rsidR="00364356" w:rsidRPr="00F30CE4" w:rsidRDefault="00364356" w:rsidP="003607BB">
      <w:pPr>
        <w:pStyle w:val="ListParagraph"/>
        <w:widowControl/>
        <w:numPr>
          <w:ilvl w:val="0"/>
          <w:numId w:val="19"/>
        </w:numPr>
        <w:spacing w:line="252" w:lineRule="auto"/>
        <w:jc w:val="both"/>
        <w:rPr>
          <w:rFonts w:cs="Arial"/>
          <w:sz w:val="20"/>
        </w:rPr>
      </w:pPr>
      <w:r w:rsidRPr="00F30CE4">
        <w:rPr>
          <w:rFonts w:cs="Arial"/>
          <w:sz w:val="20"/>
        </w:rPr>
        <w:t>Enable ETF members and observers to provide updates and share learnings on key matters</w:t>
      </w:r>
    </w:p>
    <w:p w14:paraId="64913B03" w14:textId="77777777" w:rsidR="00364356" w:rsidRPr="00F30CE4" w:rsidRDefault="00364356" w:rsidP="003607BB">
      <w:pPr>
        <w:pStyle w:val="ListParagraph"/>
        <w:widowControl/>
        <w:numPr>
          <w:ilvl w:val="0"/>
          <w:numId w:val="19"/>
        </w:numPr>
        <w:spacing w:line="252" w:lineRule="auto"/>
        <w:jc w:val="both"/>
        <w:rPr>
          <w:rFonts w:cs="Arial"/>
          <w:sz w:val="20"/>
        </w:rPr>
      </w:pPr>
      <w:r w:rsidRPr="00F30CE4">
        <w:rPr>
          <w:rFonts w:cs="Arial"/>
          <w:sz w:val="20"/>
        </w:rPr>
        <w:t>Brief the ETF network on the ETF6 meeting.</w:t>
      </w:r>
    </w:p>
    <w:p w14:paraId="3291CC7D" w14:textId="1FC0B63A" w:rsidR="00364356" w:rsidRPr="00F30CE4" w:rsidRDefault="00364356" w:rsidP="003607BB">
      <w:pPr>
        <w:jc w:val="both"/>
        <w:rPr>
          <w:rFonts w:cs="Arial"/>
          <w:sz w:val="20"/>
          <w:szCs w:val="20"/>
        </w:rPr>
      </w:pPr>
    </w:p>
    <w:p w14:paraId="3F1B907C" w14:textId="23934947" w:rsidR="00487A2E" w:rsidRPr="00F30CE4" w:rsidRDefault="00487A2E" w:rsidP="003607BB">
      <w:pPr>
        <w:jc w:val="both"/>
        <w:rPr>
          <w:rFonts w:cs="Arial"/>
          <w:sz w:val="20"/>
          <w:szCs w:val="20"/>
        </w:rPr>
      </w:pPr>
      <w:r w:rsidRPr="00F30CE4">
        <w:rPr>
          <w:rFonts w:cs="Arial"/>
          <w:sz w:val="20"/>
          <w:szCs w:val="20"/>
        </w:rPr>
        <w:br w:type="page"/>
      </w:r>
    </w:p>
    <w:p w14:paraId="242EC024" w14:textId="07FDD2EA" w:rsidR="00487A2E" w:rsidRPr="003607BB" w:rsidRDefault="003607BB" w:rsidP="003607BB">
      <w:pPr>
        <w:tabs>
          <w:tab w:val="left" w:pos="2694"/>
        </w:tabs>
        <w:rPr>
          <w:rFonts w:cs="Arial"/>
          <w:b/>
          <w:bCs/>
          <w:sz w:val="20"/>
          <w:szCs w:val="20"/>
          <w:u w:val="single"/>
          <w:lang w:val="en-GB"/>
        </w:rPr>
      </w:pPr>
      <w:r w:rsidRPr="003607BB">
        <w:rPr>
          <w:rFonts w:cs="Arial"/>
          <w:b/>
          <w:bCs/>
          <w:sz w:val="20"/>
          <w:szCs w:val="20"/>
          <w:u w:val="single"/>
          <w:lang w:val="en-GB"/>
        </w:rPr>
        <w:lastRenderedPageBreak/>
        <w:t>CMS Secretariat and ETF Coordinator Activities undertaken since the April 2021 Meeting of the CMS Energy Task Force</w:t>
      </w:r>
    </w:p>
    <w:p w14:paraId="308DEF09" w14:textId="77777777" w:rsidR="00487A2E" w:rsidRPr="00F30CE4" w:rsidRDefault="00487A2E" w:rsidP="003607BB">
      <w:pPr>
        <w:tabs>
          <w:tab w:val="left" w:pos="2694"/>
        </w:tabs>
        <w:jc w:val="both"/>
        <w:rPr>
          <w:rFonts w:cs="Arial"/>
          <w:sz w:val="20"/>
          <w:szCs w:val="20"/>
          <w:lang w:val="en-GB"/>
        </w:rPr>
      </w:pPr>
    </w:p>
    <w:p w14:paraId="060B8577" w14:textId="77777777" w:rsidR="002018B7" w:rsidRPr="00D433B9" w:rsidRDefault="002018B7" w:rsidP="003607BB">
      <w:pPr>
        <w:pStyle w:val="ListParagraph"/>
        <w:numPr>
          <w:ilvl w:val="0"/>
          <w:numId w:val="26"/>
        </w:numPr>
        <w:jc w:val="both"/>
        <w:rPr>
          <w:rFonts w:cs="Arial"/>
          <w:b/>
          <w:bCs/>
          <w:sz w:val="20"/>
        </w:rPr>
      </w:pPr>
      <w:r w:rsidRPr="00D433B9">
        <w:rPr>
          <w:rFonts w:cs="Arial"/>
          <w:b/>
          <w:bCs/>
          <w:sz w:val="20"/>
        </w:rPr>
        <w:t>Iván Ramírez - Head of Avian Team, CMS</w:t>
      </w:r>
    </w:p>
    <w:p w14:paraId="030BDB5C" w14:textId="77777777" w:rsidR="002018B7" w:rsidRDefault="002018B7" w:rsidP="003607BB">
      <w:pPr>
        <w:jc w:val="both"/>
        <w:rPr>
          <w:rFonts w:cs="Arial"/>
          <w:sz w:val="20"/>
          <w:szCs w:val="20"/>
          <w:lang w:val="en-GB"/>
        </w:rPr>
      </w:pPr>
    </w:p>
    <w:p w14:paraId="1015E27C" w14:textId="63DB51F1" w:rsidR="0BCA816E" w:rsidRDefault="0BCA816E" w:rsidP="003607BB">
      <w:pPr>
        <w:spacing w:line="259" w:lineRule="auto"/>
        <w:jc w:val="both"/>
        <w:rPr>
          <w:rFonts w:eastAsia="Calibri" w:cs="Arial"/>
          <w:sz w:val="20"/>
          <w:szCs w:val="20"/>
          <w:lang w:val="en-GB"/>
        </w:rPr>
      </w:pPr>
      <w:r w:rsidRPr="298ED18C">
        <w:rPr>
          <w:rFonts w:eastAsia="Calibri" w:cs="Arial"/>
          <w:sz w:val="20"/>
          <w:szCs w:val="20"/>
          <w:lang w:val="en-GB"/>
        </w:rPr>
        <w:t>The</w:t>
      </w:r>
      <w:r w:rsidR="1174AC71" w:rsidRPr="298ED18C">
        <w:rPr>
          <w:rFonts w:eastAsia="Calibri" w:cs="Arial"/>
          <w:sz w:val="20"/>
          <w:szCs w:val="20"/>
          <w:lang w:val="en-GB"/>
        </w:rPr>
        <w:t xml:space="preserve"> CMS</w:t>
      </w:r>
      <w:r w:rsidRPr="298ED18C">
        <w:rPr>
          <w:rFonts w:eastAsia="Calibri" w:cs="Arial"/>
          <w:sz w:val="20"/>
          <w:szCs w:val="20"/>
          <w:lang w:val="en-GB"/>
        </w:rPr>
        <w:t xml:space="preserve"> Avian Unit has reorganised itself and </w:t>
      </w:r>
      <w:r w:rsidR="138CFF75" w:rsidRPr="298ED18C">
        <w:rPr>
          <w:rFonts w:eastAsia="Calibri" w:cs="Arial"/>
          <w:sz w:val="20"/>
          <w:szCs w:val="20"/>
          <w:lang w:val="en-GB"/>
        </w:rPr>
        <w:t>launch</w:t>
      </w:r>
      <w:r w:rsidRPr="298ED18C">
        <w:rPr>
          <w:rFonts w:eastAsia="Calibri" w:cs="Arial"/>
          <w:sz w:val="20"/>
          <w:szCs w:val="20"/>
          <w:lang w:val="en-GB"/>
        </w:rPr>
        <w:t xml:space="preserve">ed </w:t>
      </w:r>
      <w:r w:rsidR="138CFF75" w:rsidRPr="298ED18C">
        <w:rPr>
          <w:rFonts w:eastAsia="Calibri" w:cs="Arial"/>
          <w:sz w:val="20"/>
          <w:szCs w:val="20"/>
          <w:lang w:val="en-GB"/>
        </w:rPr>
        <w:t xml:space="preserve">a series of internal consultations that should improve the prioritisation and delivery of its current mandate. Special focus will be given to achieving </w:t>
      </w:r>
      <w:r w:rsidR="480E0DE8" w:rsidRPr="298ED18C">
        <w:rPr>
          <w:rFonts w:eastAsia="Calibri" w:cs="Arial"/>
          <w:sz w:val="20"/>
          <w:szCs w:val="20"/>
          <w:lang w:val="en-GB"/>
        </w:rPr>
        <w:t>measurable</w:t>
      </w:r>
      <w:r w:rsidR="138CFF75" w:rsidRPr="298ED18C">
        <w:rPr>
          <w:rFonts w:eastAsia="Calibri" w:cs="Arial"/>
          <w:sz w:val="20"/>
          <w:szCs w:val="20"/>
          <w:lang w:val="en-GB"/>
        </w:rPr>
        <w:t xml:space="preserve"> targets and to improving synergies and joint initiatives with other UN and Non</w:t>
      </w:r>
      <w:r w:rsidR="008D660D" w:rsidRPr="298ED18C">
        <w:rPr>
          <w:rFonts w:eastAsia="Calibri" w:cs="Arial"/>
          <w:sz w:val="20"/>
          <w:szCs w:val="20"/>
          <w:lang w:val="en-GB"/>
        </w:rPr>
        <w:t>-</w:t>
      </w:r>
      <w:r w:rsidR="138CFF75" w:rsidRPr="298ED18C">
        <w:rPr>
          <w:rFonts w:eastAsia="Calibri" w:cs="Arial"/>
          <w:sz w:val="20"/>
          <w:szCs w:val="20"/>
          <w:lang w:val="en-GB"/>
        </w:rPr>
        <w:t xml:space="preserve">UN bodies. </w:t>
      </w:r>
    </w:p>
    <w:p w14:paraId="6FE36390" w14:textId="77777777" w:rsidR="00975E2E" w:rsidRDefault="00975E2E" w:rsidP="003607BB">
      <w:pPr>
        <w:spacing w:line="259" w:lineRule="auto"/>
        <w:jc w:val="both"/>
        <w:rPr>
          <w:rFonts w:eastAsia="Calibri" w:cs="Arial"/>
          <w:sz w:val="20"/>
          <w:szCs w:val="20"/>
          <w:lang w:val="en-GB"/>
        </w:rPr>
      </w:pPr>
    </w:p>
    <w:p w14:paraId="0F0744D6" w14:textId="6053DCF8" w:rsidR="70825684" w:rsidRDefault="70825684" w:rsidP="003607BB">
      <w:pPr>
        <w:spacing w:line="259" w:lineRule="auto"/>
        <w:jc w:val="both"/>
        <w:rPr>
          <w:rFonts w:eastAsia="Calibri" w:cs="Arial"/>
          <w:sz w:val="20"/>
          <w:szCs w:val="20"/>
          <w:lang w:val="en-GB"/>
        </w:rPr>
      </w:pPr>
      <w:r w:rsidRPr="543846F8">
        <w:rPr>
          <w:rFonts w:eastAsia="Calibri" w:cs="Arial"/>
          <w:sz w:val="20"/>
          <w:szCs w:val="20"/>
          <w:lang w:val="en-GB"/>
        </w:rPr>
        <w:t>I</w:t>
      </w:r>
      <w:r w:rsidR="3B463637" w:rsidRPr="543846F8">
        <w:rPr>
          <w:rFonts w:eastAsia="Calibri" w:cs="Arial"/>
          <w:sz w:val="20"/>
          <w:szCs w:val="20"/>
          <w:lang w:val="en-GB"/>
        </w:rPr>
        <w:t xml:space="preserve">ván Ramírez </w:t>
      </w:r>
      <w:r w:rsidRPr="543846F8">
        <w:rPr>
          <w:rFonts w:eastAsia="Calibri" w:cs="Arial"/>
          <w:sz w:val="20"/>
          <w:szCs w:val="20"/>
          <w:lang w:val="en-GB"/>
        </w:rPr>
        <w:t xml:space="preserve">joined the CMS </w:t>
      </w:r>
      <w:r w:rsidR="00E402C1">
        <w:rPr>
          <w:rFonts w:eastAsia="Calibri" w:cs="Arial"/>
          <w:sz w:val="20"/>
          <w:szCs w:val="20"/>
          <w:lang w:val="en-GB"/>
        </w:rPr>
        <w:t xml:space="preserve">Secretariat </w:t>
      </w:r>
      <w:r w:rsidRPr="543846F8">
        <w:rPr>
          <w:rFonts w:eastAsia="Calibri" w:cs="Arial"/>
          <w:sz w:val="20"/>
          <w:szCs w:val="20"/>
          <w:lang w:val="en-GB"/>
        </w:rPr>
        <w:t xml:space="preserve">in June as Head of the Avian Team and in August Tilman Schneider joined as Associate Programme Officer. For a full update of the CMS </w:t>
      </w:r>
      <w:r w:rsidR="00E402C1">
        <w:rPr>
          <w:rFonts w:eastAsia="Calibri" w:cs="Arial"/>
          <w:sz w:val="20"/>
          <w:szCs w:val="20"/>
          <w:lang w:val="en-GB"/>
        </w:rPr>
        <w:t>S</w:t>
      </w:r>
      <w:r w:rsidRPr="543846F8">
        <w:rPr>
          <w:rFonts w:eastAsia="Calibri" w:cs="Arial"/>
          <w:sz w:val="20"/>
          <w:szCs w:val="20"/>
          <w:lang w:val="en-GB"/>
        </w:rPr>
        <w:t xml:space="preserve">ecretariat and the composition of the </w:t>
      </w:r>
      <w:r w:rsidR="6866BE69" w:rsidRPr="543846F8">
        <w:rPr>
          <w:rFonts w:eastAsia="Calibri" w:cs="Arial"/>
          <w:sz w:val="20"/>
          <w:szCs w:val="20"/>
          <w:lang w:val="en-GB"/>
        </w:rPr>
        <w:t xml:space="preserve">Avian Team, please check </w:t>
      </w:r>
      <w:hyperlink r:id="rId13">
        <w:r w:rsidR="6866BE69" w:rsidRPr="543846F8">
          <w:rPr>
            <w:rStyle w:val="Hyperlink"/>
            <w:rFonts w:eastAsia="Calibri" w:cs="Arial"/>
            <w:sz w:val="20"/>
            <w:szCs w:val="20"/>
            <w:lang w:val="en-GB"/>
          </w:rPr>
          <w:t>this link</w:t>
        </w:r>
      </w:hyperlink>
      <w:r w:rsidR="358DD21A" w:rsidRPr="543846F8">
        <w:rPr>
          <w:rFonts w:eastAsia="Calibri" w:cs="Arial"/>
          <w:sz w:val="20"/>
          <w:szCs w:val="20"/>
          <w:lang w:val="en-GB"/>
        </w:rPr>
        <w:t>.</w:t>
      </w:r>
    </w:p>
    <w:p w14:paraId="34B9E84E" w14:textId="77777777" w:rsidR="00E90B6B" w:rsidRDefault="00E90B6B" w:rsidP="003607BB">
      <w:pPr>
        <w:jc w:val="both"/>
        <w:rPr>
          <w:rFonts w:eastAsia="Calibri" w:cs="Arial"/>
          <w:sz w:val="20"/>
          <w:szCs w:val="20"/>
          <w:lang w:val="en-GB"/>
        </w:rPr>
      </w:pPr>
    </w:p>
    <w:p w14:paraId="0FFFDC18" w14:textId="54EB9599" w:rsidR="3FE45582" w:rsidRDefault="3FE45582" w:rsidP="003607BB">
      <w:pPr>
        <w:jc w:val="both"/>
        <w:rPr>
          <w:rFonts w:eastAsia="Arial" w:cs="Arial"/>
          <w:sz w:val="20"/>
          <w:szCs w:val="20"/>
          <w:lang w:val="en-GB"/>
        </w:rPr>
      </w:pPr>
      <w:r w:rsidRPr="543846F8">
        <w:rPr>
          <w:rFonts w:eastAsia="Calibri" w:cs="Arial"/>
          <w:sz w:val="20"/>
          <w:szCs w:val="20"/>
          <w:lang w:val="en-GB"/>
        </w:rPr>
        <w:t xml:space="preserve">The fifth meeting of the Sessional Committee of the </w:t>
      </w:r>
      <w:r w:rsidR="00137096">
        <w:rPr>
          <w:rFonts w:eastAsia="Calibri" w:cs="Arial"/>
          <w:sz w:val="20"/>
          <w:szCs w:val="20"/>
          <w:lang w:val="en-GB"/>
        </w:rPr>
        <w:t xml:space="preserve">CMS </w:t>
      </w:r>
      <w:r w:rsidRPr="543846F8">
        <w:rPr>
          <w:rFonts w:eastAsia="Calibri" w:cs="Arial"/>
          <w:sz w:val="20"/>
          <w:szCs w:val="20"/>
          <w:lang w:val="en-GB"/>
        </w:rPr>
        <w:t xml:space="preserve">Scientific Council </w:t>
      </w:r>
      <w:r w:rsidR="00E90B6B">
        <w:rPr>
          <w:rFonts w:eastAsia="Calibri" w:cs="Arial"/>
          <w:sz w:val="20"/>
          <w:szCs w:val="20"/>
          <w:lang w:val="en-GB"/>
        </w:rPr>
        <w:t>(</w:t>
      </w:r>
      <w:hyperlink r:id="rId14" w:history="1">
        <w:r w:rsidR="00E90B6B" w:rsidRPr="00E90B6B">
          <w:rPr>
            <w:rStyle w:val="Hyperlink"/>
            <w:rFonts w:eastAsia="Calibri" w:cs="Arial"/>
            <w:sz w:val="20"/>
            <w:szCs w:val="20"/>
            <w:lang w:val="en-GB"/>
          </w:rPr>
          <w:t>ScC-SC5</w:t>
        </w:r>
      </w:hyperlink>
      <w:r w:rsidR="00E90B6B">
        <w:rPr>
          <w:rFonts w:eastAsia="Calibri" w:cs="Arial"/>
          <w:sz w:val="20"/>
          <w:szCs w:val="20"/>
          <w:lang w:val="en-GB"/>
        </w:rPr>
        <w:t xml:space="preserve">) </w:t>
      </w:r>
      <w:r w:rsidR="00137096">
        <w:rPr>
          <w:rFonts w:eastAsia="Calibri" w:cs="Arial"/>
          <w:sz w:val="20"/>
          <w:szCs w:val="20"/>
          <w:lang w:val="en-GB"/>
        </w:rPr>
        <w:t>was held online</w:t>
      </w:r>
      <w:r w:rsidRPr="543846F8">
        <w:rPr>
          <w:rFonts w:eastAsia="Calibri" w:cs="Arial"/>
          <w:sz w:val="20"/>
          <w:szCs w:val="20"/>
          <w:lang w:val="en-GB"/>
        </w:rPr>
        <w:t xml:space="preserve"> </w:t>
      </w:r>
      <w:r w:rsidR="00137096">
        <w:rPr>
          <w:rFonts w:eastAsia="Calibri" w:cs="Arial"/>
          <w:sz w:val="20"/>
          <w:szCs w:val="20"/>
          <w:lang w:val="en-GB"/>
        </w:rPr>
        <w:t>from 28</w:t>
      </w:r>
      <w:r w:rsidRPr="543846F8">
        <w:rPr>
          <w:rFonts w:eastAsia="Calibri" w:cs="Arial"/>
          <w:sz w:val="20"/>
          <w:szCs w:val="20"/>
          <w:lang w:val="en-GB"/>
        </w:rPr>
        <w:t xml:space="preserve"> June </w:t>
      </w:r>
      <w:r w:rsidR="00137096">
        <w:rPr>
          <w:rFonts w:eastAsia="Calibri" w:cs="Arial"/>
          <w:sz w:val="20"/>
          <w:szCs w:val="20"/>
          <w:lang w:val="en-GB"/>
        </w:rPr>
        <w:t xml:space="preserve">to </w:t>
      </w:r>
      <w:r w:rsidR="0046772C">
        <w:rPr>
          <w:rFonts w:eastAsia="Calibri" w:cs="Arial"/>
          <w:sz w:val="20"/>
          <w:szCs w:val="20"/>
          <w:lang w:val="en-GB"/>
        </w:rPr>
        <w:t>9 July 2021. The meeting</w:t>
      </w:r>
      <w:r w:rsidRPr="543846F8">
        <w:rPr>
          <w:rFonts w:eastAsia="Calibri" w:cs="Arial"/>
          <w:sz w:val="20"/>
          <w:szCs w:val="20"/>
          <w:lang w:val="en-GB"/>
        </w:rPr>
        <w:t xml:space="preserve"> revised the </w:t>
      </w:r>
      <w:r w:rsidR="00CD1F0B">
        <w:rPr>
          <w:rFonts w:eastAsia="Calibri" w:cs="Arial"/>
          <w:sz w:val="20"/>
          <w:szCs w:val="20"/>
          <w:lang w:val="en-GB"/>
        </w:rPr>
        <w:t xml:space="preserve">CMS </w:t>
      </w:r>
      <w:r w:rsidRPr="543846F8">
        <w:rPr>
          <w:rFonts w:eastAsia="Calibri" w:cs="Arial"/>
          <w:sz w:val="20"/>
          <w:szCs w:val="20"/>
          <w:lang w:val="en-GB"/>
        </w:rPr>
        <w:t xml:space="preserve">Avian Programme of Work. During the discussions, further support was given to the work of the ETF and </w:t>
      </w:r>
      <w:r w:rsidR="004E4F23">
        <w:rPr>
          <w:rFonts w:eastAsia="Calibri" w:cs="Arial"/>
          <w:sz w:val="20"/>
          <w:szCs w:val="20"/>
          <w:lang w:val="en-GB"/>
        </w:rPr>
        <w:t xml:space="preserve">the </w:t>
      </w:r>
      <w:hyperlink r:id="rId15" w:history="1">
        <w:r w:rsidR="004E4F23" w:rsidRPr="00CE06BF">
          <w:rPr>
            <w:rStyle w:val="Hyperlink"/>
            <w:rFonts w:eastAsia="Calibri" w:cs="Arial"/>
            <w:sz w:val="20"/>
            <w:szCs w:val="20"/>
            <w:lang w:val="en-GB"/>
          </w:rPr>
          <w:t>R</w:t>
        </w:r>
        <w:r w:rsidRPr="00CE06BF">
          <w:rPr>
            <w:rStyle w:val="Hyperlink"/>
            <w:rFonts w:eastAsia="Calibri" w:cs="Arial"/>
            <w:sz w:val="20"/>
            <w:szCs w:val="20"/>
            <w:lang w:val="en-GB"/>
          </w:rPr>
          <w:t>esolution</w:t>
        </w:r>
        <w:r w:rsidR="004E4F23" w:rsidRPr="00CE06BF">
          <w:rPr>
            <w:rStyle w:val="Hyperlink"/>
            <w:rFonts w:eastAsia="Calibri" w:cs="Arial"/>
            <w:sz w:val="20"/>
            <w:szCs w:val="20"/>
            <w:lang w:val="en-GB"/>
          </w:rPr>
          <w:t xml:space="preserve"> </w:t>
        </w:r>
        <w:r w:rsidRPr="00CE06BF">
          <w:rPr>
            <w:rStyle w:val="Hyperlink"/>
            <w:rFonts w:eastAsia="Arial" w:cs="Arial"/>
            <w:sz w:val="20"/>
            <w:szCs w:val="20"/>
            <w:lang w:val="en-GB"/>
          </w:rPr>
          <w:t xml:space="preserve">10.11 (Rev.COP13) </w:t>
        </w:r>
        <w:r w:rsidR="004E4F23" w:rsidRPr="00CE06BF">
          <w:rPr>
            <w:rStyle w:val="Hyperlink"/>
            <w:rFonts w:eastAsia="Arial" w:cs="Arial"/>
            <w:i/>
            <w:iCs/>
            <w:sz w:val="20"/>
            <w:szCs w:val="20"/>
            <w:lang w:val="en-GB"/>
          </w:rPr>
          <w:t>Power Lines and Migratory Birds</w:t>
        </w:r>
      </w:hyperlink>
      <w:r w:rsidR="004E4F23">
        <w:rPr>
          <w:rFonts w:eastAsia="Arial" w:cs="Arial"/>
          <w:sz w:val="20"/>
          <w:szCs w:val="20"/>
          <w:lang w:val="en-GB"/>
        </w:rPr>
        <w:t xml:space="preserve"> </w:t>
      </w:r>
      <w:r w:rsidRPr="543846F8">
        <w:rPr>
          <w:rFonts w:eastAsia="Arial" w:cs="Arial"/>
          <w:sz w:val="20"/>
          <w:szCs w:val="20"/>
          <w:lang w:val="en-GB"/>
        </w:rPr>
        <w:t xml:space="preserve">and </w:t>
      </w:r>
      <w:hyperlink r:id="rId16" w:history="1">
        <w:r w:rsidRPr="00E04B9C">
          <w:rPr>
            <w:rStyle w:val="Hyperlink"/>
            <w:rFonts w:eastAsia="Arial" w:cs="Arial"/>
            <w:sz w:val="20"/>
            <w:szCs w:val="20"/>
            <w:lang w:val="en-GB"/>
          </w:rPr>
          <w:t>Decision 13.108</w:t>
        </w:r>
        <w:r w:rsidR="00E04B9C" w:rsidRPr="00E04B9C">
          <w:rPr>
            <w:rStyle w:val="Hyperlink"/>
            <w:rFonts w:eastAsia="Arial" w:cs="Arial"/>
            <w:sz w:val="20"/>
            <w:szCs w:val="20"/>
            <w:lang w:val="en-GB"/>
          </w:rPr>
          <w:t xml:space="preserve"> </w:t>
        </w:r>
        <w:r w:rsidR="00E04B9C" w:rsidRPr="00E04B9C">
          <w:rPr>
            <w:rStyle w:val="Hyperlink"/>
            <w:rFonts w:eastAsia="Arial" w:cs="Arial"/>
            <w:i/>
            <w:iCs/>
            <w:sz w:val="20"/>
            <w:szCs w:val="20"/>
            <w:lang w:val="en-GB"/>
          </w:rPr>
          <w:t>Support to the Energy Task Force</w:t>
        </w:r>
      </w:hyperlink>
      <w:r w:rsidRPr="543846F8">
        <w:rPr>
          <w:rFonts w:eastAsia="Arial" w:cs="Arial"/>
          <w:sz w:val="20"/>
          <w:szCs w:val="20"/>
          <w:lang w:val="en-GB"/>
        </w:rPr>
        <w:t xml:space="preserve">. </w:t>
      </w:r>
    </w:p>
    <w:p w14:paraId="71114464" w14:textId="050639BF" w:rsidR="543846F8" w:rsidRDefault="543846F8" w:rsidP="003607BB">
      <w:pPr>
        <w:jc w:val="both"/>
        <w:rPr>
          <w:rFonts w:eastAsia="Calibri" w:cs="Arial"/>
          <w:sz w:val="20"/>
          <w:szCs w:val="20"/>
          <w:lang w:val="en-GB"/>
        </w:rPr>
      </w:pPr>
    </w:p>
    <w:p w14:paraId="589646B5" w14:textId="2A36487A" w:rsidR="007A4DE5" w:rsidRDefault="007A4DE5" w:rsidP="003607BB">
      <w:pPr>
        <w:spacing w:line="259" w:lineRule="auto"/>
        <w:jc w:val="both"/>
        <w:rPr>
          <w:rFonts w:eastAsia="Calibri" w:cs="Arial"/>
          <w:sz w:val="20"/>
          <w:szCs w:val="20"/>
          <w:lang w:val="en-GB"/>
        </w:rPr>
      </w:pPr>
      <w:r>
        <w:rPr>
          <w:rFonts w:eastAsia="Calibri" w:cs="Arial"/>
          <w:sz w:val="20"/>
          <w:szCs w:val="20"/>
          <w:lang w:val="en-GB"/>
        </w:rPr>
        <w:t xml:space="preserve">The </w:t>
      </w:r>
      <w:r w:rsidR="00A351CC">
        <w:rPr>
          <w:rFonts w:eastAsia="Calibri" w:cs="Arial"/>
          <w:sz w:val="20"/>
          <w:szCs w:val="20"/>
          <w:lang w:val="en-GB"/>
        </w:rPr>
        <w:t>status and achievements of the ETF work were also reported to the 52</w:t>
      </w:r>
      <w:r w:rsidR="00A351CC" w:rsidRPr="00A351CC">
        <w:rPr>
          <w:rFonts w:eastAsia="Calibri" w:cs="Arial"/>
          <w:sz w:val="20"/>
          <w:szCs w:val="20"/>
          <w:vertAlign w:val="superscript"/>
          <w:lang w:val="en-GB"/>
        </w:rPr>
        <w:t>n</w:t>
      </w:r>
      <w:r w:rsidR="00D91A47">
        <w:rPr>
          <w:rFonts w:eastAsia="Calibri" w:cs="Arial"/>
          <w:sz w:val="20"/>
          <w:szCs w:val="20"/>
          <w:vertAlign w:val="superscript"/>
          <w:lang w:val="en-GB"/>
        </w:rPr>
        <w:t xml:space="preserve">d </w:t>
      </w:r>
      <w:r w:rsidR="00D91A47">
        <w:rPr>
          <w:rFonts w:eastAsia="Calibri" w:cs="Arial"/>
          <w:sz w:val="20"/>
          <w:szCs w:val="20"/>
          <w:lang w:val="en-GB"/>
        </w:rPr>
        <w:t xml:space="preserve">meeting of the CMS Standing Committee, held online from </w:t>
      </w:r>
      <w:r w:rsidR="00B22433">
        <w:rPr>
          <w:rFonts w:eastAsia="Calibri" w:cs="Arial"/>
          <w:sz w:val="20"/>
          <w:szCs w:val="20"/>
          <w:lang w:val="en-GB"/>
        </w:rPr>
        <w:t xml:space="preserve">21 to 29 September 2021 in </w:t>
      </w:r>
      <w:r w:rsidR="00FD42DC">
        <w:rPr>
          <w:rFonts w:eastAsia="Calibri" w:cs="Arial"/>
          <w:sz w:val="20"/>
          <w:szCs w:val="20"/>
          <w:lang w:val="en-GB"/>
        </w:rPr>
        <w:t xml:space="preserve">the report on the </w:t>
      </w:r>
      <w:hyperlink r:id="rId17" w:history="1">
        <w:r w:rsidR="00FD42DC" w:rsidRPr="00FD42DC">
          <w:rPr>
            <w:rStyle w:val="Hyperlink"/>
            <w:rFonts w:eastAsia="Calibri" w:cs="Arial"/>
            <w:sz w:val="20"/>
            <w:szCs w:val="20"/>
            <w:lang w:val="en-GB"/>
          </w:rPr>
          <w:t>Implementation of the programme of work (2020-2023)</w:t>
        </w:r>
      </w:hyperlink>
      <w:r w:rsidR="00FD42DC">
        <w:rPr>
          <w:rFonts w:eastAsia="Calibri" w:cs="Arial"/>
          <w:sz w:val="20"/>
          <w:szCs w:val="20"/>
          <w:lang w:val="en-GB"/>
        </w:rPr>
        <w:t xml:space="preserve">. </w:t>
      </w:r>
    </w:p>
    <w:p w14:paraId="2332C4E9" w14:textId="77777777" w:rsidR="007A4DE5" w:rsidRDefault="007A4DE5" w:rsidP="003607BB">
      <w:pPr>
        <w:spacing w:line="259" w:lineRule="auto"/>
        <w:jc w:val="both"/>
        <w:rPr>
          <w:rFonts w:eastAsia="Calibri" w:cs="Arial"/>
          <w:sz w:val="20"/>
          <w:szCs w:val="20"/>
          <w:lang w:val="en-GB"/>
        </w:rPr>
      </w:pPr>
    </w:p>
    <w:p w14:paraId="2574A5EB" w14:textId="18237456" w:rsidR="58B95BDF" w:rsidRDefault="58B95BDF" w:rsidP="003607BB">
      <w:pPr>
        <w:spacing w:line="259" w:lineRule="auto"/>
        <w:jc w:val="both"/>
        <w:rPr>
          <w:rFonts w:eastAsia="Calibri" w:cs="Arial"/>
          <w:sz w:val="20"/>
          <w:szCs w:val="20"/>
          <w:lang w:val="en-GB"/>
        </w:rPr>
      </w:pPr>
      <w:r w:rsidRPr="543846F8">
        <w:rPr>
          <w:rFonts w:eastAsia="Calibri" w:cs="Arial"/>
          <w:sz w:val="20"/>
          <w:szCs w:val="20"/>
          <w:lang w:val="en-GB"/>
        </w:rPr>
        <w:t xml:space="preserve">Over the </w:t>
      </w:r>
      <w:r w:rsidR="5D2E9BC1" w:rsidRPr="543846F8">
        <w:rPr>
          <w:rFonts w:eastAsia="Calibri" w:cs="Arial"/>
          <w:sz w:val="20"/>
          <w:szCs w:val="20"/>
          <w:lang w:val="en-GB"/>
        </w:rPr>
        <w:t>following</w:t>
      </w:r>
      <w:r w:rsidRPr="543846F8">
        <w:rPr>
          <w:rFonts w:eastAsia="Calibri" w:cs="Arial"/>
          <w:sz w:val="20"/>
          <w:szCs w:val="20"/>
          <w:lang w:val="en-GB"/>
        </w:rPr>
        <w:t xml:space="preserve"> months the CMS Secretariat will: </w:t>
      </w:r>
    </w:p>
    <w:p w14:paraId="5832C7F3" w14:textId="03FFA93C" w:rsidR="543846F8" w:rsidRDefault="543846F8" w:rsidP="003607BB">
      <w:pPr>
        <w:spacing w:line="259" w:lineRule="auto"/>
        <w:jc w:val="both"/>
        <w:rPr>
          <w:rFonts w:eastAsia="Calibri" w:cs="Arial"/>
          <w:sz w:val="20"/>
          <w:szCs w:val="20"/>
          <w:lang w:val="en-GB"/>
        </w:rPr>
      </w:pPr>
    </w:p>
    <w:p w14:paraId="33E5F2F7" w14:textId="1F21159F" w:rsidR="358DD21A" w:rsidRPr="00BB42B7" w:rsidRDefault="009D5DA4" w:rsidP="003607BB">
      <w:pPr>
        <w:pStyle w:val="ListParagraph"/>
        <w:numPr>
          <w:ilvl w:val="0"/>
          <w:numId w:val="30"/>
        </w:numPr>
        <w:spacing w:line="259" w:lineRule="auto"/>
        <w:jc w:val="both"/>
        <w:rPr>
          <w:rFonts w:eastAsia="Calibri" w:cs="Arial"/>
          <w:sz w:val="20"/>
        </w:rPr>
      </w:pPr>
      <w:r>
        <w:rPr>
          <w:rFonts w:eastAsia="Calibri" w:cs="Arial"/>
          <w:sz w:val="20"/>
        </w:rPr>
        <w:t>r</w:t>
      </w:r>
      <w:r w:rsidR="2B46D341" w:rsidRPr="00BB42B7">
        <w:rPr>
          <w:rFonts w:eastAsia="Calibri" w:cs="Arial"/>
          <w:sz w:val="20"/>
        </w:rPr>
        <w:t>enew and expand the agreement with BLI to coordinate the ETF</w:t>
      </w:r>
    </w:p>
    <w:p w14:paraId="47DDF59E" w14:textId="47D78619" w:rsidR="358DD21A" w:rsidRPr="00BB42B7" w:rsidRDefault="009D5DA4" w:rsidP="003607BB">
      <w:pPr>
        <w:pStyle w:val="ListParagraph"/>
        <w:numPr>
          <w:ilvl w:val="0"/>
          <w:numId w:val="30"/>
        </w:numPr>
        <w:spacing w:line="259" w:lineRule="auto"/>
        <w:jc w:val="both"/>
        <w:rPr>
          <w:rFonts w:eastAsia="Calibri" w:cs="Arial"/>
          <w:sz w:val="20"/>
        </w:rPr>
      </w:pPr>
      <w:r>
        <w:rPr>
          <w:rFonts w:eastAsia="Calibri" w:cs="Arial"/>
          <w:sz w:val="20"/>
        </w:rPr>
        <w:t>c</w:t>
      </w:r>
      <w:r w:rsidR="79EB1B68" w:rsidRPr="00BB42B7">
        <w:rPr>
          <w:rFonts w:eastAsia="Calibri" w:cs="Arial"/>
          <w:sz w:val="20"/>
        </w:rPr>
        <w:t>arry out an overview of the existing Renewable Energy and Biodiversity Platforms and identify how the CMS Mandate fits within these</w:t>
      </w:r>
      <w:r w:rsidR="358DD21A" w:rsidRPr="00BB42B7">
        <w:rPr>
          <w:rFonts w:eastAsia="Calibri" w:cs="Arial"/>
          <w:sz w:val="20"/>
        </w:rPr>
        <w:t xml:space="preserve"> </w:t>
      </w:r>
    </w:p>
    <w:p w14:paraId="2C846C43" w14:textId="66AE6040" w:rsidR="358DD21A" w:rsidRPr="00BB42B7" w:rsidRDefault="009D5DA4" w:rsidP="003607BB">
      <w:pPr>
        <w:pStyle w:val="ListParagraph"/>
        <w:numPr>
          <w:ilvl w:val="0"/>
          <w:numId w:val="30"/>
        </w:numPr>
        <w:spacing w:line="259" w:lineRule="auto"/>
        <w:jc w:val="both"/>
        <w:rPr>
          <w:rFonts w:eastAsia="Calibri" w:cs="Arial"/>
          <w:sz w:val="20"/>
        </w:rPr>
      </w:pPr>
      <w:r>
        <w:rPr>
          <w:rFonts w:eastAsia="Calibri" w:cs="Arial"/>
          <w:sz w:val="20"/>
        </w:rPr>
        <w:t>w</w:t>
      </w:r>
      <w:r w:rsidR="6926148B" w:rsidRPr="00BB42B7">
        <w:rPr>
          <w:rFonts w:eastAsia="Calibri" w:cs="Arial"/>
          <w:sz w:val="20"/>
        </w:rPr>
        <w:t xml:space="preserve">ork alongside ETF </w:t>
      </w:r>
      <w:r w:rsidR="00F27129" w:rsidRPr="00BB42B7">
        <w:rPr>
          <w:rFonts w:eastAsia="Calibri" w:cs="Arial"/>
          <w:sz w:val="20"/>
        </w:rPr>
        <w:t>M</w:t>
      </w:r>
      <w:r w:rsidR="6926148B" w:rsidRPr="00BB42B7">
        <w:rPr>
          <w:rFonts w:eastAsia="Calibri" w:cs="Arial"/>
          <w:sz w:val="20"/>
        </w:rPr>
        <w:t xml:space="preserve">embers and stakeholders to agree on workplan priorities and next steps, that will </w:t>
      </w:r>
      <w:r w:rsidR="461255C2" w:rsidRPr="00BB42B7">
        <w:rPr>
          <w:rFonts w:eastAsia="Calibri" w:cs="Arial"/>
          <w:sz w:val="20"/>
        </w:rPr>
        <w:t>necessarily</w:t>
      </w:r>
      <w:r w:rsidR="6926148B" w:rsidRPr="00BB42B7">
        <w:rPr>
          <w:rFonts w:eastAsia="Calibri" w:cs="Arial"/>
          <w:sz w:val="20"/>
        </w:rPr>
        <w:t xml:space="preserve"> include a</w:t>
      </w:r>
      <w:r w:rsidR="30DE09DD" w:rsidRPr="00BB42B7">
        <w:rPr>
          <w:rFonts w:eastAsia="Calibri" w:cs="Arial"/>
          <w:sz w:val="20"/>
        </w:rPr>
        <w:t xml:space="preserve">n implementation and fundraising plan. </w:t>
      </w:r>
    </w:p>
    <w:p w14:paraId="2DBCF856" w14:textId="77777777" w:rsidR="00E671AE" w:rsidRDefault="00E671AE" w:rsidP="003607BB">
      <w:pPr>
        <w:spacing w:line="259" w:lineRule="auto"/>
        <w:jc w:val="both"/>
        <w:rPr>
          <w:rFonts w:eastAsia="Calibri" w:cs="Arial"/>
          <w:sz w:val="20"/>
          <w:szCs w:val="20"/>
          <w:lang w:val="en-GB"/>
        </w:rPr>
      </w:pPr>
    </w:p>
    <w:p w14:paraId="3908D21B" w14:textId="680D4C16" w:rsidR="48C8FE30" w:rsidRDefault="48C8FE30" w:rsidP="003607BB">
      <w:pPr>
        <w:spacing w:line="259" w:lineRule="auto"/>
        <w:jc w:val="both"/>
        <w:rPr>
          <w:rFonts w:eastAsia="Calibri" w:cs="Arial"/>
          <w:sz w:val="20"/>
          <w:szCs w:val="20"/>
          <w:lang w:val="en-GB"/>
        </w:rPr>
      </w:pPr>
      <w:r w:rsidRPr="298ED18C">
        <w:rPr>
          <w:rFonts w:eastAsia="Calibri" w:cs="Arial"/>
          <w:sz w:val="20"/>
          <w:szCs w:val="20"/>
          <w:lang w:val="en-GB"/>
        </w:rPr>
        <w:t xml:space="preserve">We encourage you to </w:t>
      </w:r>
      <w:r w:rsidR="00BB42B7">
        <w:rPr>
          <w:rFonts w:eastAsia="Calibri" w:cs="Arial"/>
          <w:sz w:val="20"/>
          <w:szCs w:val="20"/>
          <w:lang w:val="en-GB"/>
        </w:rPr>
        <w:t>review</w:t>
      </w:r>
      <w:r w:rsidRPr="298ED18C">
        <w:rPr>
          <w:rFonts w:eastAsia="Calibri" w:cs="Arial"/>
          <w:sz w:val="20"/>
          <w:szCs w:val="20"/>
          <w:lang w:val="en-GB"/>
        </w:rPr>
        <w:t xml:space="preserve"> the </w:t>
      </w:r>
      <w:hyperlink r:id="rId18">
        <w:r w:rsidRPr="298ED18C">
          <w:rPr>
            <w:rStyle w:val="Hyperlink"/>
            <w:rFonts w:eastAsia="Calibri" w:cs="Arial"/>
            <w:sz w:val="20"/>
            <w:szCs w:val="20"/>
            <w:lang w:val="en-GB"/>
          </w:rPr>
          <w:t>ETF Workplan</w:t>
        </w:r>
      </w:hyperlink>
      <w:r w:rsidRPr="298ED18C">
        <w:rPr>
          <w:rFonts w:eastAsia="Calibri" w:cs="Arial"/>
          <w:sz w:val="20"/>
          <w:szCs w:val="20"/>
          <w:lang w:val="en-GB"/>
        </w:rPr>
        <w:t xml:space="preserve"> and communicate to us your areas of interest. We are particularly keen to expand</w:t>
      </w:r>
      <w:r w:rsidR="00834274">
        <w:rPr>
          <w:rFonts w:eastAsia="Calibri" w:cs="Arial"/>
          <w:sz w:val="20"/>
          <w:szCs w:val="20"/>
          <w:lang w:val="en-GB"/>
        </w:rPr>
        <w:t xml:space="preserve"> beyond</w:t>
      </w:r>
      <w:r w:rsidRPr="298ED18C">
        <w:rPr>
          <w:rFonts w:eastAsia="Calibri" w:cs="Arial"/>
          <w:sz w:val="20"/>
          <w:szCs w:val="20"/>
          <w:lang w:val="en-GB"/>
        </w:rPr>
        <w:t xml:space="preserve"> the traditional geographic scope of the ETF (Euro</w:t>
      </w:r>
      <w:r w:rsidR="518DED33" w:rsidRPr="298ED18C">
        <w:rPr>
          <w:rFonts w:eastAsia="Calibri" w:cs="Arial"/>
          <w:sz w:val="20"/>
          <w:szCs w:val="20"/>
          <w:lang w:val="en-GB"/>
        </w:rPr>
        <w:t>pe and Middle E</w:t>
      </w:r>
      <w:r w:rsidR="647BB645" w:rsidRPr="298ED18C">
        <w:rPr>
          <w:rFonts w:eastAsia="Calibri" w:cs="Arial"/>
          <w:sz w:val="20"/>
          <w:szCs w:val="20"/>
          <w:lang w:val="en-GB"/>
        </w:rPr>
        <w:t>ast)</w:t>
      </w:r>
      <w:r w:rsidR="5A1B1F55" w:rsidRPr="298ED18C">
        <w:rPr>
          <w:rFonts w:eastAsia="Calibri" w:cs="Arial"/>
          <w:sz w:val="20"/>
          <w:szCs w:val="20"/>
          <w:lang w:val="en-GB"/>
        </w:rPr>
        <w:t xml:space="preserve">, to better implement our given mandate by increasing </w:t>
      </w:r>
      <w:r w:rsidR="6A778728" w:rsidRPr="298ED18C">
        <w:rPr>
          <w:rFonts w:eastAsia="Calibri" w:cs="Arial"/>
          <w:sz w:val="20"/>
          <w:szCs w:val="20"/>
          <w:lang w:val="en-GB"/>
        </w:rPr>
        <w:t>best practice</w:t>
      </w:r>
      <w:r w:rsidR="5A1B1F55" w:rsidRPr="298ED18C">
        <w:rPr>
          <w:rFonts w:eastAsia="Calibri" w:cs="Arial"/>
          <w:sz w:val="20"/>
          <w:szCs w:val="20"/>
          <w:lang w:val="en-GB"/>
        </w:rPr>
        <w:t xml:space="preserve"> sharing and influencing national policies and to expand the ETF work to currently unrepresented geographies and sectors. </w:t>
      </w:r>
    </w:p>
    <w:p w14:paraId="6A7A463C" w14:textId="53AD41A6" w:rsidR="543846F8" w:rsidRDefault="543846F8" w:rsidP="003607BB">
      <w:pPr>
        <w:spacing w:line="259" w:lineRule="auto"/>
        <w:jc w:val="both"/>
        <w:rPr>
          <w:rFonts w:eastAsia="Calibri" w:cs="Arial"/>
          <w:sz w:val="20"/>
          <w:szCs w:val="20"/>
          <w:lang w:val="en-GB"/>
        </w:rPr>
      </w:pPr>
    </w:p>
    <w:p w14:paraId="5C3BDF99" w14:textId="77777777" w:rsidR="002018B7" w:rsidRPr="00D433B9" w:rsidRDefault="002018B7" w:rsidP="003607BB">
      <w:pPr>
        <w:pStyle w:val="ListParagraph"/>
        <w:numPr>
          <w:ilvl w:val="0"/>
          <w:numId w:val="26"/>
        </w:numPr>
        <w:jc w:val="both"/>
        <w:rPr>
          <w:rFonts w:cs="Arial"/>
          <w:b/>
          <w:bCs/>
          <w:sz w:val="20"/>
        </w:rPr>
      </w:pPr>
      <w:r w:rsidRPr="00D433B9">
        <w:rPr>
          <w:rFonts w:cs="Arial"/>
          <w:b/>
          <w:bCs/>
          <w:sz w:val="20"/>
        </w:rPr>
        <w:t xml:space="preserve">Rhiannon Niven, </w:t>
      </w:r>
      <w:r>
        <w:rPr>
          <w:rFonts w:cs="Arial"/>
          <w:b/>
          <w:bCs/>
          <w:sz w:val="20"/>
        </w:rPr>
        <w:t xml:space="preserve">Global </w:t>
      </w:r>
      <w:r w:rsidRPr="00D433B9">
        <w:rPr>
          <w:rFonts w:cs="Arial"/>
          <w:b/>
          <w:bCs/>
          <w:sz w:val="20"/>
        </w:rPr>
        <w:t xml:space="preserve">Climate Change Policy Coordinator, </w:t>
      </w:r>
      <w:proofErr w:type="spellStart"/>
      <w:r w:rsidRPr="00D433B9">
        <w:rPr>
          <w:rFonts w:cs="Arial"/>
          <w:b/>
          <w:bCs/>
          <w:sz w:val="20"/>
        </w:rPr>
        <w:t>BirdLife</w:t>
      </w:r>
      <w:proofErr w:type="spellEnd"/>
      <w:r w:rsidRPr="00D433B9">
        <w:rPr>
          <w:rFonts w:cs="Arial"/>
          <w:b/>
          <w:bCs/>
          <w:sz w:val="20"/>
        </w:rPr>
        <w:t xml:space="preserve"> International</w:t>
      </w:r>
    </w:p>
    <w:p w14:paraId="7FFDD8F4" w14:textId="77777777" w:rsidR="002018B7" w:rsidRPr="00F30CE4" w:rsidRDefault="002018B7" w:rsidP="003607BB">
      <w:pPr>
        <w:pStyle w:val="Heading3"/>
        <w:shd w:val="clear" w:color="auto" w:fill="FFFFFF"/>
        <w:spacing w:before="0"/>
        <w:jc w:val="both"/>
        <w:rPr>
          <w:rFonts w:ascii="Arial" w:hAnsi="Arial" w:cs="Arial"/>
          <w:color w:val="auto"/>
          <w:sz w:val="20"/>
          <w:szCs w:val="20"/>
          <w:lang w:val="en-GB"/>
        </w:rPr>
      </w:pPr>
    </w:p>
    <w:p w14:paraId="487909D1" w14:textId="29BB1D10" w:rsidR="002018B7" w:rsidRPr="00F30CE4" w:rsidRDefault="002018B7" w:rsidP="003607BB">
      <w:pPr>
        <w:jc w:val="both"/>
        <w:rPr>
          <w:rFonts w:cs="Arial"/>
          <w:sz w:val="20"/>
          <w:szCs w:val="20"/>
        </w:rPr>
      </w:pPr>
      <w:r w:rsidRPr="00F30CE4">
        <w:rPr>
          <w:rFonts w:cs="Arial"/>
          <w:sz w:val="20"/>
          <w:szCs w:val="20"/>
        </w:rPr>
        <w:t>2021 has proven a busy year for the ETF with</w:t>
      </w:r>
      <w:r>
        <w:rPr>
          <w:rFonts w:cs="Arial"/>
          <w:sz w:val="20"/>
          <w:szCs w:val="20"/>
        </w:rPr>
        <w:t xml:space="preserve"> good progress against the</w:t>
      </w:r>
      <w:r w:rsidRPr="00F30CE4">
        <w:rPr>
          <w:rFonts w:cs="Arial"/>
          <w:sz w:val="20"/>
          <w:szCs w:val="20"/>
        </w:rPr>
        <w:t xml:space="preserve"> workplan. </w:t>
      </w:r>
      <w:r w:rsidR="3DA78551" w:rsidRPr="6C040291">
        <w:rPr>
          <w:rFonts w:cs="Arial"/>
          <w:sz w:val="20"/>
          <w:szCs w:val="20"/>
        </w:rPr>
        <w:t xml:space="preserve">Updates from the first part of the year can </w:t>
      </w:r>
      <w:r w:rsidR="3DA78551" w:rsidRPr="00B20B22">
        <w:rPr>
          <w:rFonts w:cs="Arial"/>
          <w:sz w:val="20"/>
          <w:szCs w:val="20"/>
        </w:rPr>
        <w:t xml:space="preserve">be found </w:t>
      </w:r>
      <w:hyperlink r:id="rId19" w:history="1">
        <w:r w:rsidR="3DA78551" w:rsidRPr="00B20B22">
          <w:rPr>
            <w:rStyle w:val="Hyperlink"/>
            <w:rFonts w:cs="Arial"/>
            <w:sz w:val="20"/>
            <w:szCs w:val="20"/>
          </w:rPr>
          <w:t>here</w:t>
        </w:r>
      </w:hyperlink>
      <w:r w:rsidR="3DA78551" w:rsidRPr="00B20B22">
        <w:rPr>
          <w:rFonts w:cs="Arial"/>
          <w:sz w:val="20"/>
          <w:szCs w:val="20"/>
        </w:rPr>
        <w:t>.</w:t>
      </w:r>
      <w:r w:rsidR="3DA78551" w:rsidRPr="6C040291">
        <w:rPr>
          <w:rFonts w:cs="Arial"/>
          <w:sz w:val="20"/>
          <w:szCs w:val="20"/>
        </w:rPr>
        <w:t xml:space="preserve"> </w:t>
      </w:r>
      <w:r w:rsidRPr="00F30CE4">
        <w:rPr>
          <w:rFonts w:cs="Arial"/>
          <w:sz w:val="20"/>
          <w:szCs w:val="20"/>
        </w:rPr>
        <w:t xml:space="preserve">A key focus has been the promotion of the ETF and engagement with external networks to broaden the </w:t>
      </w:r>
      <w:r>
        <w:rPr>
          <w:rFonts w:cs="Arial"/>
          <w:sz w:val="20"/>
          <w:szCs w:val="20"/>
        </w:rPr>
        <w:t>reach</w:t>
      </w:r>
      <w:r w:rsidRPr="00F30CE4">
        <w:rPr>
          <w:rFonts w:cs="Arial"/>
          <w:sz w:val="20"/>
          <w:szCs w:val="20"/>
        </w:rPr>
        <w:t xml:space="preserve"> and increase the awareness of the ETF </w:t>
      </w:r>
      <w:r>
        <w:rPr>
          <w:rFonts w:cs="Arial"/>
          <w:sz w:val="20"/>
          <w:szCs w:val="20"/>
        </w:rPr>
        <w:t>across</w:t>
      </w:r>
      <w:r w:rsidRPr="00F30CE4">
        <w:rPr>
          <w:rFonts w:cs="Arial"/>
          <w:sz w:val="20"/>
          <w:szCs w:val="20"/>
        </w:rPr>
        <w:t xml:space="preserve"> governments and industry with presentations at</w:t>
      </w:r>
      <w:r>
        <w:rPr>
          <w:rFonts w:cs="Arial"/>
          <w:sz w:val="20"/>
          <w:szCs w:val="20"/>
        </w:rPr>
        <w:t xml:space="preserve"> high-profile events, including</w:t>
      </w:r>
      <w:r w:rsidRPr="00F30CE4">
        <w:rPr>
          <w:rFonts w:cs="Arial"/>
          <w:sz w:val="20"/>
          <w:szCs w:val="20"/>
        </w:rPr>
        <w:t>:</w:t>
      </w:r>
    </w:p>
    <w:p w14:paraId="42C11F36" w14:textId="6F4FDDD3" w:rsidR="6C4DED7D" w:rsidRPr="008935AE" w:rsidRDefault="008935AE" w:rsidP="003607BB">
      <w:pPr>
        <w:pStyle w:val="ListParagraph"/>
        <w:numPr>
          <w:ilvl w:val="0"/>
          <w:numId w:val="25"/>
        </w:numPr>
        <w:jc w:val="both"/>
        <w:rPr>
          <w:rFonts w:cs="Arial"/>
          <w:sz w:val="20"/>
        </w:rPr>
      </w:pPr>
      <w:r w:rsidRPr="008935AE">
        <w:rPr>
          <w:rFonts w:cs="Arial"/>
          <w:sz w:val="20"/>
        </w:rPr>
        <w:t>IUCN World Congress, 3-11 September</w:t>
      </w:r>
    </w:p>
    <w:p w14:paraId="667A7675" w14:textId="77777777" w:rsidR="002018B7" w:rsidRPr="00F30CE4" w:rsidRDefault="002018B7" w:rsidP="003607BB">
      <w:pPr>
        <w:pStyle w:val="ListParagraph"/>
        <w:numPr>
          <w:ilvl w:val="0"/>
          <w:numId w:val="25"/>
        </w:numPr>
        <w:jc w:val="both"/>
        <w:rPr>
          <w:rFonts w:cs="Arial"/>
          <w:sz w:val="20"/>
        </w:rPr>
      </w:pPr>
      <w:r w:rsidRPr="00F30CE4">
        <w:rPr>
          <w:rFonts w:cs="Arial"/>
          <w:sz w:val="20"/>
        </w:rPr>
        <w:t>New York Climate Week</w:t>
      </w:r>
      <w:r>
        <w:rPr>
          <w:rFonts w:cs="Arial"/>
          <w:sz w:val="20"/>
        </w:rPr>
        <w:t xml:space="preserve">, 20-26th September </w:t>
      </w:r>
    </w:p>
    <w:p w14:paraId="031F570D" w14:textId="77777777" w:rsidR="002018B7" w:rsidRPr="00F30CE4" w:rsidRDefault="002018B7" w:rsidP="003607BB">
      <w:pPr>
        <w:pStyle w:val="ListParagraph"/>
        <w:numPr>
          <w:ilvl w:val="0"/>
          <w:numId w:val="25"/>
        </w:numPr>
        <w:jc w:val="both"/>
        <w:rPr>
          <w:rFonts w:cs="Arial"/>
          <w:sz w:val="20"/>
        </w:rPr>
      </w:pPr>
      <w:r w:rsidRPr="00F30CE4">
        <w:rPr>
          <w:rFonts w:cs="Arial"/>
          <w:sz w:val="20"/>
        </w:rPr>
        <w:t>United Nations Framework Convention on Climate Change 26</w:t>
      </w:r>
      <w:r w:rsidRPr="00F30CE4">
        <w:rPr>
          <w:rFonts w:cs="Arial"/>
          <w:sz w:val="20"/>
          <w:vertAlign w:val="superscript"/>
        </w:rPr>
        <w:t>th</w:t>
      </w:r>
      <w:r w:rsidRPr="00F30CE4">
        <w:rPr>
          <w:rFonts w:cs="Arial"/>
          <w:sz w:val="20"/>
        </w:rPr>
        <w:t xml:space="preserve"> Conference of the Parties (UNFCCC COP26)</w:t>
      </w:r>
      <w:r>
        <w:rPr>
          <w:rFonts w:cs="Arial"/>
          <w:sz w:val="20"/>
        </w:rPr>
        <w:t>, 31</w:t>
      </w:r>
      <w:r w:rsidRPr="000127E2">
        <w:rPr>
          <w:rFonts w:cs="Arial"/>
          <w:sz w:val="20"/>
          <w:vertAlign w:val="superscript"/>
        </w:rPr>
        <w:t>st</w:t>
      </w:r>
      <w:r>
        <w:rPr>
          <w:rFonts w:cs="Arial"/>
          <w:sz w:val="20"/>
        </w:rPr>
        <w:t xml:space="preserve"> October – 13th November</w:t>
      </w:r>
    </w:p>
    <w:p w14:paraId="645B3A74" w14:textId="0DF0B3EA" w:rsidR="002018B7" w:rsidRPr="00F30CE4" w:rsidRDefault="002018B7" w:rsidP="003607BB">
      <w:pPr>
        <w:pStyle w:val="ListParagraph"/>
        <w:numPr>
          <w:ilvl w:val="0"/>
          <w:numId w:val="25"/>
        </w:numPr>
        <w:jc w:val="both"/>
        <w:rPr>
          <w:rFonts w:cs="Arial"/>
          <w:sz w:val="20"/>
        </w:rPr>
      </w:pPr>
      <w:r w:rsidRPr="00F30CE4">
        <w:rPr>
          <w:rFonts w:cs="Arial"/>
          <w:sz w:val="20"/>
        </w:rPr>
        <w:t>12</w:t>
      </w:r>
      <w:r w:rsidRPr="00F30CE4">
        <w:rPr>
          <w:rFonts w:cs="Arial"/>
          <w:sz w:val="20"/>
          <w:vertAlign w:val="superscript"/>
        </w:rPr>
        <w:t>th</w:t>
      </w:r>
      <w:r w:rsidRPr="00F30CE4">
        <w:rPr>
          <w:rFonts w:cs="Arial"/>
          <w:sz w:val="20"/>
        </w:rPr>
        <w:t xml:space="preserve"> MAVIR Bird Conservation Conference</w:t>
      </w:r>
      <w:r>
        <w:rPr>
          <w:rFonts w:cs="Arial"/>
          <w:sz w:val="20"/>
        </w:rPr>
        <w:t>, 25</w:t>
      </w:r>
      <w:r w:rsidRPr="001C4CA8">
        <w:rPr>
          <w:rFonts w:cs="Arial"/>
          <w:sz w:val="20"/>
          <w:vertAlign w:val="superscript"/>
        </w:rPr>
        <w:t>th</w:t>
      </w:r>
      <w:r>
        <w:rPr>
          <w:rFonts w:cs="Arial"/>
          <w:sz w:val="20"/>
        </w:rPr>
        <w:t xml:space="preserve"> November</w:t>
      </w:r>
      <w:r w:rsidRPr="00F30CE4">
        <w:rPr>
          <w:rFonts w:cs="Arial"/>
          <w:sz w:val="20"/>
        </w:rPr>
        <w:t>.</w:t>
      </w:r>
    </w:p>
    <w:p w14:paraId="1ADE5ED8" w14:textId="5A3E64E9" w:rsidR="002018B7" w:rsidRPr="00F30CE4" w:rsidRDefault="005F2C43" w:rsidP="003607BB">
      <w:pPr>
        <w:jc w:val="both"/>
        <w:rPr>
          <w:rFonts w:cs="Arial"/>
          <w:sz w:val="20"/>
          <w:szCs w:val="20"/>
        </w:rPr>
      </w:pPr>
      <w:r>
        <w:rPr>
          <w:rFonts w:cs="Arial"/>
          <w:sz w:val="20"/>
          <w:szCs w:val="20"/>
        </w:rPr>
        <w:t xml:space="preserve"> </w:t>
      </w:r>
      <w:r w:rsidR="002018B7" w:rsidRPr="00F30CE4">
        <w:rPr>
          <w:rFonts w:cs="Arial"/>
          <w:sz w:val="20"/>
          <w:szCs w:val="20"/>
        </w:rPr>
        <w:t xml:space="preserve"> </w:t>
      </w:r>
    </w:p>
    <w:p w14:paraId="5FE941C2" w14:textId="5FE1DEB6" w:rsidR="002018B7" w:rsidRPr="00F30CE4" w:rsidRDefault="002018B7" w:rsidP="003607BB">
      <w:pPr>
        <w:jc w:val="both"/>
        <w:rPr>
          <w:rFonts w:cs="Arial"/>
          <w:sz w:val="20"/>
          <w:szCs w:val="20"/>
        </w:rPr>
      </w:pPr>
      <w:r>
        <w:rPr>
          <w:rFonts w:cs="Arial"/>
          <w:sz w:val="20"/>
          <w:szCs w:val="20"/>
        </w:rPr>
        <w:t xml:space="preserve">Since their establishment </w:t>
      </w:r>
      <w:r w:rsidR="0AF8508E" w:rsidRPr="79C96A3A">
        <w:rPr>
          <w:rFonts w:cs="Arial"/>
          <w:sz w:val="20"/>
          <w:szCs w:val="20"/>
        </w:rPr>
        <w:t xml:space="preserve">at the </w:t>
      </w:r>
      <w:hyperlink r:id="rId20" w:history="1">
        <w:r w:rsidR="0AF8508E" w:rsidRPr="00F57D65">
          <w:rPr>
            <w:rStyle w:val="Hyperlink"/>
            <w:rFonts w:cs="Arial"/>
            <w:sz w:val="20"/>
            <w:szCs w:val="20"/>
          </w:rPr>
          <w:t>Fifth Meeting of the ETF (ETF5)</w:t>
        </w:r>
      </w:hyperlink>
      <w:r w:rsidR="0AF8508E" w:rsidRPr="79C96A3A">
        <w:rPr>
          <w:rFonts w:cs="Arial"/>
          <w:sz w:val="20"/>
          <w:szCs w:val="20"/>
        </w:rPr>
        <w:t xml:space="preserve"> </w:t>
      </w:r>
      <w:r>
        <w:rPr>
          <w:rFonts w:cs="Arial"/>
          <w:sz w:val="20"/>
          <w:szCs w:val="20"/>
        </w:rPr>
        <w:t xml:space="preserve">in </w:t>
      </w:r>
      <w:r w:rsidR="0AF8508E" w:rsidRPr="79C96A3A">
        <w:rPr>
          <w:rFonts w:cs="Arial"/>
          <w:sz w:val="20"/>
          <w:szCs w:val="20"/>
        </w:rPr>
        <w:t xml:space="preserve">December </w:t>
      </w:r>
      <w:r>
        <w:rPr>
          <w:rFonts w:cs="Arial"/>
          <w:sz w:val="20"/>
          <w:szCs w:val="20"/>
        </w:rPr>
        <w:t>2020,</w:t>
      </w:r>
      <w:r w:rsidRPr="00F30CE4">
        <w:rPr>
          <w:rFonts w:cs="Arial"/>
          <w:sz w:val="20"/>
          <w:szCs w:val="20"/>
        </w:rPr>
        <w:t xml:space="preserve"> the </w:t>
      </w:r>
      <w:r w:rsidR="007C1611">
        <w:rPr>
          <w:rFonts w:cs="Arial"/>
          <w:sz w:val="20"/>
          <w:szCs w:val="20"/>
        </w:rPr>
        <w:t>P</w:t>
      </w:r>
      <w:r w:rsidRPr="00F30CE4">
        <w:rPr>
          <w:rFonts w:cs="Arial"/>
          <w:sz w:val="20"/>
          <w:szCs w:val="20"/>
        </w:rPr>
        <w:t xml:space="preserve">owerline and </w:t>
      </w:r>
      <w:r w:rsidR="007C1611" w:rsidRPr="00F30CE4">
        <w:rPr>
          <w:rFonts w:cs="Arial"/>
          <w:sz w:val="20"/>
          <w:szCs w:val="20"/>
        </w:rPr>
        <w:t>Technical Working Groups</w:t>
      </w:r>
      <w:r w:rsidR="007C1611">
        <w:rPr>
          <w:rFonts w:cs="Arial"/>
          <w:sz w:val="20"/>
          <w:szCs w:val="20"/>
        </w:rPr>
        <w:t xml:space="preserve"> </w:t>
      </w:r>
      <w:r>
        <w:rPr>
          <w:rFonts w:cs="Arial"/>
          <w:sz w:val="20"/>
          <w:szCs w:val="20"/>
        </w:rPr>
        <w:t>are progressing key tasks</w:t>
      </w:r>
      <w:r w:rsidRPr="00F30CE4">
        <w:rPr>
          <w:rFonts w:cs="Arial"/>
          <w:sz w:val="20"/>
          <w:szCs w:val="20"/>
        </w:rPr>
        <w:t>, including</w:t>
      </w:r>
      <w:r w:rsidR="00890890">
        <w:rPr>
          <w:rFonts w:cs="Arial"/>
          <w:sz w:val="20"/>
          <w:szCs w:val="20"/>
        </w:rPr>
        <w:t xml:space="preserve"> </w:t>
      </w:r>
      <w:r w:rsidR="4C8B2C5C" w:rsidRPr="79C96A3A">
        <w:rPr>
          <w:rFonts w:cs="Arial"/>
          <w:sz w:val="20"/>
          <w:szCs w:val="20"/>
        </w:rPr>
        <w:t>engaging on</w:t>
      </w:r>
      <w:r w:rsidR="00890890">
        <w:rPr>
          <w:rFonts w:cs="Arial"/>
          <w:sz w:val="20"/>
          <w:szCs w:val="20"/>
        </w:rPr>
        <w:t xml:space="preserve"> a </w:t>
      </w:r>
      <w:r w:rsidR="4C8B2C5C" w:rsidRPr="79C96A3A">
        <w:rPr>
          <w:rFonts w:cs="Arial"/>
          <w:sz w:val="20"/>
          <w:szCs w:val="20"/>
        </w:rPr>
        <w:t xml:space="preserve">number of virtual events, stakeholder mapping </w:t>
      </w:r>
      <w:r w:rsidR="0585C463" w:rsidRPr="79C96A3A">
        <w:rPr>
          <w:rFonts w:cs="Arial"/>
          <w:sz w:val="20"/>
          <w:szCs w:val="20"/>
        </w:rPr>
        <w:t>exercises</w:t>
      </w:r>
      <w:r w:rsidR="00890890">
        <w:rPr>
          <w:rFonts w:cs="Arial"/>
          <w:sz w:val="20"/>
          <w:szCs w:val="20"/>
        </w:rPr>
        <w:t xml:space="preserve"> and</w:t>
      </w:r>
      <w:r>
        <w:rPr>
          <w:rFonts w:cs="Arial"/>
          <w:sz w:val="20"/>
          <w:szCs w:val="20"/>
        </w:rPr>
        <w:t xml:space="preserve"> </w:t>
      </w:r>
      <w:r w:rsidR="5ED26BC4" w:rsidRPr="79C96A3A">
        <w:rPr>
          <w:rFonts w:cs="Arial"/>
          <w:sz w:val="20"/>
          <w:szCs w:val="20"/>
        </w:rPr>
        <w:t xml:space="preserve">the </w:t>
      </w:r>
      <w:r>
        <w:rPr>
          <w:rFonts w:cs="Arial"/>
          <w:sz w:val="20"/>
          <w:szCs w:val="20"/>
        </w:rPr>
        <w:t>identification of a series of technical notes</w:t>
      </w:r>
      <w:r w:rsidRPr="79C96A3A">
        <w:rPr>
          <w:rFonts w:cs="Arial"/>
          <w:sz w:val="20"/>
          <w:szCs w:val="20"/>
        </w:rPr>
        <w:t>.</w:t>
      </w:r>
      <w:r>
        <w:rPr>
          <w:rFonts w:cs="Arial"/>
          <w:sz w:val="20"/>
          <w:szCs w:val="20"/>
        </w:rPr>
        <w:t xml:space="preserve"> The group is also </w:t>
      </w:r>
      <w:r w:rsidR="009A5FD9">
        <w:rPr>
          <w:rFonts w:cs="Arial"/>
          <w:sz w:val="20"/>
          <w:szCs w:val="20"/>
        </w:rPr>
        <w:t>identifying a calendar of key events for impact and awareness</w:t>
      </w:r>
      <w:r w:rsidR="00D210D9">
        <w:rPr>
          <w:rFonts w:cs="Arial"/>
          <w:sz w:val="20"/>
          <w:szCs w:val="20"/>
        </w:rPr>
        <w:t>.</w:t>
      </w:r>
    </w:p>
    <w:p w14:paraId="128C9FA6" w14:textId="77777777" w:rsidR="002018B7" w:rsidRDefault="002018B7" w:rsidP="003607BB">
      <w:pPr>
        <w:jc w:val="both"/>
        <w:rPr>
          <w:rFonts w:cs="Arial"/>
          <w:b/>
          <w:bCs/>
          <w:sz w:val="20"/>
          <w:szCs w:val="20"/>
          <w:lang w:val="en-GB"/>
        </w:rPr>
      </w:pPr>
    </w:p>
    <w:p w14:paraId="37D5538F" w14:textId="6632CCAE" w:rsidR="002018B7" w:rsidRDefault="002018B7" w:rsidP="003607BB">
      <w:pPr>
        <w:jc w:val="both"/>
        <w:rPr>
          <w:rFonts w:cs="Arial"/>
          <w:b/>
          <w:bCs/>
          <w:sz w:val="20"/>
          <w:szCs w:val="20"/>
          <w:lang w:val="en-GB"/>
        </w:rPr>
      </w:pPr>
      <w:r w:rsidRPr="0046707E">
        <w:rPr>
          <w:rFonts w:cs="Arial"/>
          <w:sz w:val="20"/>
          <w:szCs w:val="20"/>
        </w:rPr>
        <w:t xml:space="preserve">We welcome </w:t>
      </w:r>
      <w:proofErr w:type="gramStart"/>
      <w:r w:rsidRPr="0046707E">
        <w:rPr>
          <w:rFonts w:cs="Arial"/>
          <w:sz w:val="20"/>
          <w:szCs w:val="20"/>
        </w:rPr>
        <w:t>a number of</w:t>
      </w:r>
      <w:proofErr w:type="gramEnd"/>
      <w:r w:rsidRPr="0046707E">
        <w:rPr>
          <w:rFonts w:cs="Arial"/>
          <w:sz w:val="20"/>
          <w:szCs w:val="20"/>
        </w:rPr>
        <w:t xml:space="preserve"> new ETF members and observers to the network, including:</w:t>
      </w:r>
    </w:p>
    <w:p w14:paraId="4BE6C567" w14:textId="0F70F44A" w:rsidR="20133339" w:rsidRDefault="20133339" w:rsidP="003607BB">
      <w:pPr>
        <w:pStyle w:val="ListParagraph"/>
        <w:numPr>
          <w:ilvl w:val="0"/>
          <w:numId w:val="28"/>
        </w:numPr>
        <w:jc w:val="both"/>
        <w:rPr>
          <w:rFonts w:asciiTheme="minorHAnsi" w:eastAsiaTheme="minorEastAsia" w:hAnsiTheme="minorHAnsi" w:cstheme="minorBidi"/>
          <w:b/>
          <w:bCs/>
          <w:sz w:val="20"/>
        </w:rPr>
      </w:pPr>
      <w:r w:rsidRPr="79C96A3A">
        <w:rPr>
          <w:sz w:val="20"/>
        </w:rPr>
        <w:t xml:space="preserve">The Spanish Ministry for the Ecological Transition and the Demographic Challenge (MITECO), represented by Dr Borja Heredia (member) </w:t>
      </w:r>
    </w:p>
    <w:p w14:paraId="65973078" w14:textId="31CF617C" w:rsidR="20133339" w:rsidRDefault="20133339" w:rsidP="003607BB">
      <w:pPr>
        <w:pStyle w:val="ListParagraph"/>
        <w:numPr>
          <w:ilvl w:val="0"/>
          <w:numId w:val="28"/>
        </w:numPr>
        <w:jc w:val="both"/>
        <w:rPr>
          <w:rFonts w:asciiTheme="minorHAnsi" w:eastAsiaTheme="minorEastAsia" w:hAnsiTheme="minorHAnsi" w:cstheme="minorBidi"/>
          <w:sz w:val="20"/>
        </w:rPr>
      </w:pPr>
      <w:r w:rsidRPr="79C96A3A">
        <w:rPr>
          <w:sz w:val="20"/>
        </w:rPr>
        <w:t>The Greek Ministry of Environment and Energy, General Secretariat of Natural Environment and Water, represented Dr</w:t>
      </w:r>
      <w:r w:rsidR="00CD2E36">
        <w:rPr>
          <w:sz w:val="20"/>
        </w:rPr>
        <w:t xml:space="preserve"> </w:t>
      </w:r>
      <w:proofErr w:type="spellStart"/>
      <w:r w:rsidRPr="79C96A3A">
        <w:rPr>
          <w:sz w:val="20"/>
        </w:rPr>
        <w:t>Charalampos</w:t>
      </w:r>
      <w:proofErr w:type="spellEnd"/>
      <w:r w:rsidRPr="79C96A3A">
        <w:rPr>
          <w:sz w:val="20"/>
        </w:rPr>
        <w:t xml:space="preserve"> </w:t>
      </w:r>
      <w:proofErr w:type="spellStart"/>
      <w:r w:rsidRPr="79C96A3A">
        <w:rPr>
          <w:sz w:val="20"/>
        </w:rPr>
        <w:t>Ververis</w:t>
      </w:r>
      <w:proofErr w:type="spellEnd"/>
      <w:r w:rsidRPr="79C96A3A">
        <w:rPr>
          <w:sz w:val="20"/>
        </w:rPr>
        <w:t xml:space="preserve"> (member) </w:t>
      </w:r>
    </w:p>
    <w:p w14:paraId="3AE80139" w14:textId="1613B3B8" w:rsidR="20133339" w:rsidRDefault="20133339" w:rsidP="003607BB">
      <w:pPr>
        <w:pStyle w:val="ListParagraph"/>
        <w:numPr>
          <w:ilvl w:val="0"/>
          <w:numId w:val="28"/>
        </w:numPr>
        <w:jc w:val="both"/>
        <w:rPr>
          <w:rFonts w:asciiTheme="minorHAnsi" w:eastAsiaTheme="minorEastAsia" w:hAnsiTheme="minorHAnsi" w:cstheme="minorBidi"/>
          <w:sz w:val="20"/>
        </w:rPr>
      </w:pPr>
      <w:r w:rsidRPr="79C96A3A">
        <w:rPr>
          <w:sz w:val="20"/>
        </w:rPr>
        <w:t>Groupe de Recherche</w:t>
      </w:r>
      <w:r w:rsidR="006413C3">
        <w:rPr>
          <w:sz w:val="20"/>
        </w:rPr>
        <w:t xml:space="preserve"> </w:t>
      </w:r>
      <w:r w:rsidRPr="79C96A3A">
        <w:rPr>
          <w:sz w:val="20"/>
        </w:rPr>
        <w:t xml:space="preserve">pour la Protection des </w:t>
      </w:r>
      <w:proofErr w:type="spellStart"/>
      <w:r w:rsidRPr="79C96A3A">
        <w:rPr>
          <w:sz w:val="20"/>
        </w:rPr>
        <w:t>Oiseaux</w:t>
      </w:r>
      <w:proofErr w:type="spellEnd"/>
      <w:r w:rsidRPr="79C96A3A">
        <w:rPr>
          <w:sz w:val="20"/>
        </w:rPr>
        <w:t xml:space="preserve"> au Maroc (GREPOM/</w:t>
      </w:r>
      <w:proofErr w:type="spellStart"/>
      <w:r w:rsidRPr="79C96A3A">
        <w:rPr>
          <w:sz w:val="20"/>
        </w:rPr>
        <w:t>BirdLife</w:t>
      </w:r>
      <w:proofErr w:type="spellEnd"/>
      <w:r w:rsidRPr="79C96A3A">
        <w:rPr>
          <w:sz w:val="20"/>
        </w:rPr>
        <w:t xml:space="preserve"> Morocco), represented by Ms. Khadija </w:t>
      </w:r>
      <w:proofErr w:type="spellStart"/>
      <w:r w:rsidRPr="79C96A3A">
        <w:rPr>
          <w:sz w:val="20"/>
        </w:rPr>
        <w:t>Bourass</w:t>
      </w:r>
      <w:proofErr w:type="spellEnd"/>
      <w:r w:rsidRPr="79C96A3A">
        <w:rPr>
          <w:sz w:val="20"/>
        </w:rPr>
        <w:t xml:space="preserve"> and Mr. Mohammed </w:t>
      </w:r>
      <w:proofErr w:type="spellStart"/>
      <w:r w:rsidRPr="79C96A3A">
        <w:rPr>
          <w:sz w:val="20"/>
        </w:rPr>
        <w:t>Ameziane</w:t>
      </w:r>
      <w:proofErr w:type="spellEnd"/>
      <w:r w:rsidRPr="79C96A3A">
        <w:rPr>
          <w:sz w:val="20"/>
        </w:rPr>
        <w:t xml:space="preserve"> (observer)</w:t>
      </w:r>
    </w:p>
    <w:p w14:paraId="4ECB8E9B" w14:textId="77777777" w:rsidR="002018B7" w:rsidRDefault="002018B7" w:rsidP="003607BB">
      <w:pPr>
        <w:jc w:val="both"/>
        <w:rPr>
          <w:rFonts w:cs="Arial"/>
          <w:b/>
          <w:bCs/>
          <w:sz w:val="20"/>
          <w:szCs w:val="20"/>
          <w:lang w:val="en-GB"/>
        </w:rPr>
      </w:pPr>
    </w:p>
    <w:p w14:paraId="722AB4C9" w14:textId="0EF2DE79" w:rsidR="002018B7" w:rsidRPr="00077D3A" w:rsidRDefault="20133339" w:rsidP="003607BB">
      <w:pPr>
        <w:jc w:val="both"/>
        <w:rPr>
          <w:rFonts w:cs="Arial"/>
          <w:sz w:val="20"/>
          <w:szCs w:val="20"/>
          <w:lang w:val="en-GB"/>
        </w:rPr>
      </w:pPr>
      <w:r w:rsidRPr="79C96A3A">
        <w:rPr>
          <w:rFonts w:cs="Arial"/>
          <w:sz w:val="20"/>
          <w:szCs w:val="20"/>
          <w:lang w:val="en-GB"/>
        </w:rPr>
        <w:lastRenderedPageBreak/>
        <w:t xml:space="preserve">Further information on recent </w:t>
      </w:r>
      <w:r w:rsidR="00254642" w:rsidRPr="79C96A3A">
        <w:rPr>
          <w:rFonts w:cs="Arial"/>
          <w:sz w:val="20"/>
          <w:szCs w:val="20"/>
          <w:lang w:val="en-GB"/>
        </w:rPr>
        <w:t>activities</w:t>
      </w:r>
      <w:r w:rsidRPr="79C96A3A">
        <w:rPr>
          <w:rFonts w:cs="Arial"/>
          <w:sz w:val="20"/>
          <w:szCs w:val="20"/>
          <w:lang w:val="en-GB"/>
        </w:rPr>
        <w:t xml:space="preserve"> can be found in the </w:t>
      </w:r>
      <w:r w:rsidR="20B01794" w:rsidRPr="79C96A3A">
        <w:rPr>
          <w:rFonts w:cs="Arial"/>
          <w:sz w:val="20"/>
          <w:szCs w:val="20"/>
          <w:lang w:val="en-GB"/>
        </w:rPr>
        <w:t xml:space="preserve">ETF </w:t>
      </w:r>
      <w:r w:rsidRPr="79C96A3A">
        <w:rPr>
          <w:rFonts w:cs="Arial"/>
          <w:sz w:val="20"/>
          <w:szCs w:val="20"/>
          <w:lang w:val="en-GB"/>
        </w:rPr>
        <w:t xml:space="preserve">October </w:t>
      </w:r>
      <w:r w:rsidR="593CF65D" w:rsidRPr="79C96A3A">
        <w:rPr>
          <w:rFonts w:cs="Arial"/>
          <w:sz w:val="20"/>
          <w:szCs w:val="20"/>
          <w:lang w:val="en-GB"/>
        </w:rPr>
        <w:t>2021 Issue</w:t>
      </w:r>
      <w:r w:rsidR="007B6888">
        <w:rPr>
          <w:rFonts w:cs="Arial"/>
          <w:sz w:val="20"/>
          <w:szCs w:val="20"/>
          <w:lang w:val="en-GB"/>
        </w:rPr>
        <w:t xml:space="preserve"> of the newsletter</w:t>
      </w:r>
      <w:r w:rsidR="76A78623" w:rsidRPr="79C96A3A">
        <w:rPr>
          <w:rFonts w:cs="Arial"/>
          <w:sz w:val="20"/>
          <w:szCs w:val="20"/>
          <w:lang w:val="en-GB"/>
        </w:rPr>
        <w:t>, which can be found</w:t>
      </w:r>
      <w:r w:rsidRPr="79C96A3A">
        <w:rPr>
          <w:rFonts w:cs="Arial"/>
          <w:sz w:val="20"/>
          <w:szCs w:val="20"/>
          <w:lang w:val="en-GB"/>
        </w:rPr>
        <w:t xml:space="preserve"> </w:t>
      </w:r>
      <w:hyperlink r:id="rId21">
        <w:r w:rsidRPr="79C96A3A">
          <w:rPr>
            <w:rStyle w:val="Hyperlink"/>
            <w:rFonts w:cs="Arial"/>
            <w:sz w:val="20"/>
            <w:szCs w:val="20"/>
            <w:lang w:val="en-GB"/>
          </w:rPr>
          <w:t>here</w:t>
        </w:r>
      </w:hyperlink>
      <w:r w:rsidRPr="79C96A3A">
        <w:rPr>
          <w:rFonts w:cs="Arial"/>
          <w:sz w:val="20"/>
          <w:szCs w:val="20"/>
          <w:lang w:val="en-GB"/>
        </w:rPr>
        <w:t xml:space="preserve">. </w:t>
      </w:r>
      <w:r w:rsidR="002018B7" w:rsidRPr="79C96A3A">
        <w:rPr>
          <w:rFonts w:cs="Arial"/>
          <w:sz w:val="20"/>
          <w:szCs w:val="20"/>
          <w:lang w:val="en-GB"/>
        </w:rPr>
        <w:t>We will</w:t>
      </w:r>
      <w:r w:rsidR="032897E1" w:rsidRPr="79C96A3A">
        <w:rPr>
          <w:rFonts w:cs="Arial"/>
          <w:sz w:val="20"/>
          <w:szCs w:val="20"/>
          <w:lang w:val="en-GB"/>
        </w:rPr>
        <w:t xml:space="preserve"> also</w:t>
      </w:r>
      <w:r w:rsidR="002018B7" w:rsidRPr="00077D3A">
        <w:rPr>
          <w:rFonts w:cs="Arial"/>
          <w:sz w:val="20"/>
          <w:szCs w:val="20"/>
          <w:lang w:val="en-GB"/>
        </w:rPr>
        <w:t xml:space="preserve"> provide a further, more detailed report of activities at the ETF6 meeting in early 2022.</w:t>
      </w:r>
    </w:p>
    <w:p w14:paraId="408A8191" w14:textId="77777777" w:rsidR="00487A2E" w:rsidRPr="00F30CE4" w:rsidRDefault="00487A2E" w:rsidP="003607BB">
      <w:pPr>
        <w:tabs>
          <w:tab w:val="left" w:pos="2694"/>
        </w:tabs>
        <w:jc w:val="both"/>
        <w:rPr>
          <w:rFonts w:cs="Arial"/>
          <w:sz w:val="20"/>
          <w:szCs w:val="20"/>
          <w:lang w:val="en-GB"/>
        </w:rPr>
      </w:pPr>
    </w:p>
    <w:p w14:paraId="1C996335" w14:textId="77777777" w:rsidR="00487A2E" w:rsidRPr="00F30CE4" w:rsidRDefault="00487A2E" w:rsidP="003607BB">
      <w:pPr>
        <w:tabs>
          <w:tab w:val="left" w:pos="2694"/>
        </w:tabs>
        <w:jc w:val="both"/>
        <w:rPr>
          <w:rFonts w:cs="Arial"/>
          <w:sz w:val="20"/>
          <w:szCs w:val="20"/>
          <w:lang w:val="en-GB"/>
        </w:rPr>
      </w:pPr>
    </w:p>
    <w:p w14:paraId="437F9F54" w14:textId="548B1B42" w:rsidR="00487A2E" w:rsidRPr="003607BB" w:rsidRDefault="003607BB" w:rsidP="003607BB">
      <w:pPr>
        <w:tabs>
          <w:tab w:val="left" w:pos="2694"/>
        </w:tabs>
        <w:jc w:val="both"/>
        <w:rPr>
          <w:rFonts w:cs="Arial"/>
          <w:b/>
          <w:bCs/>
          <w:sz w:val="20"/>
          <w:szCs w:val="20"/>
          <w:u w:val="single"/>
        </w:rPr>
      </w:pPr>
      <w:r w:rsidRPr="003607BB">
        <w:rPr>
          <w:rFonts w:cs="Arial"/>
          <w:b/>
          <w:bCs/>
          <w:sz w:val="20"/>
          <w:szCs w:val="20"/>
          <w:u w:val="single"/>
          <w:lang w:val="en-GB"/>
        </w:rPr>
        <w:t>CMS Energy Task Force Member Updates</w:t>
      </w:r>
    </w:p>
    <w:p w14:paraId="646EE5DC" w14:textId="77777777" w:rsidR="00487A2E" w:rsidRPr="00F30CE4" w:rsidRDefault="00487A2E" w:rsidP="003607BB">
      <w:pPr>
        <w:jc w:val="both"/>
        <w:rPr>
          <w:rFonts w:cs="Arial"/>
          <w:sz w:val="20"/>
          <w:szCs w:val="20"/>
        </w:rPr>
      </w:pPr>
    </w:p>
    <w:p w14:paraId="24618760" w14:textId="27D9E139" w:rsidR="00DE3CA4" w:rsidRPr="00F30CE4" w:rsidRDefault="00DE3CA4" w:rsidP="003607BB">
      <w:pPr>
        <w:pStyle w:val="ListParagraph"/>
        <w:numPr>
          <w:ilvl w:val="0"/>
          <w:numId w:val="26"/>
        </w:numPr>
        <w:jc w:val="both"/>
        <w:rPr>
          <w:rFonts w:cs="Arial"/>
          <w:b/>
          <w:bCs/>
          <w:sz w:val="20"/>
        </w:rPr>
      </w:pPr>
      <w:proofErr w:type="spellStart"/>
      <w:r w:rsidRPr="00D433B9">
        <w:rPr>
          <w:rFonts w:cs="Arial"/>
          <w:b/>
          <w:sz w:val="20"/>
        </w:rPr>
        <w:t>Aonghais</w:t>
      </w:r>
      <w:proofErr w:type="spellEnd"/>
      <w:r w:rsidRPr="00D433B9">
        <w:rPr>
          <w:rFonts w:cs="Arial"/>
          <w:b/>
          <w:sz w:val="20"/>
        </w:rPr>
        <w:t xml:space="preserve"> Cook, Senior Research Ecologist, British Trust for Ornithology (BTO)</w:t>
      </w:r>
    </w:p>
    <w:p w14:paraId="50E093E7" w14:textId="34EF12A3" w:rsidR="00E62D70" w:rsidRPr="00F30CE4" w:rsidRDefault="00E62D70" w:rsidP="003607BB">
      <w:pPr>
        <w:jc w:val="both"/>
        <w:rPr>
          <w:rFonts w:cs="Arial"/>
          <w:sz w:val="20"/>
          <w:szCs w:val="20"/>
          <w:lang w:val="en-GB"/>
        </w:rPr>
      </w:pPr>
    </w:p>
    <w:p w14:paraId="31597672" w14:textId="1F5A0DC7" w:rsidR="00D1132C" w:rsidRPr="00F30CE4" w:rsidRDefault="00D1132C" w:rsidP="003607BB">
      <w:pPr>
        <w:spacing w:line="254" w:lineRule="auto"/>
        <w:jc w:val="both"/>
        <w:rPr>
          <w:rFonts w:cs="Arial"/>
          <w:sz w:val="20"/>
          <w:szCs w:val="20"/>
        </w:rPr>
      </w:pPr>
      <w:r w:rsidRPr="00F30CE4">
        <w:rPr>
          <w:rFonts w:cs="Arial"/>
          <w:sz w:val="20"/>
          <w:szCs w:val="20"/>
        </w:rPr>
        <w:t>The 6</w:t>
      </w:r>
      <w:r w:rsidRPr="00F30CE4">
        <w:rPr>
          <w:rFonts w:cs="Arial"/>
          <w:sz w:val="20"/>
          <w:szCs w:val="20"/>
          <w:vertAlign w:val="superscript"/>
        </w:rPr>
        <w:t>th</w:t>
      </w:r>
      <w:r w:rsidRPr="00F30CE4">
        <w:rPr>
          <w:rFonts w:cs="Arial"/>
          <w:sz w:val="20"/>
          <w:szCs w:val="20"/>
        </w:rPr>
        <w:t xml:space="preserve"> Conference on Wind Energy and Wildlife Impacts (CWW) will be held at Hotel </w:t>
      </w:r>
      <w:proofErr w:type="spellStart"/>
      <w:r w:rsidRPr="00F30CE4">
        <w:rPr>
          <w:rFonts w:cs="Arial"/>
          <w:sz w:val="20"/>
          <w:szCs w:val="20"/>
        </w:rPr>
        <w:t>Zuiderduin</w:t>
      </w:r>
      <w:proofErr w:type="spellEnd"/>
      <w:r w:rsidRPr="00F30CE4">
        <w:rPr>
          <w:rFonts w:cs="Arial"/>
          <w:sz w:val="20"/>
          <w:szCs w:val="20"/>
        </w:rPr>
        <w:t xml:space="preserve"> in </w:t>
      </w:r>
      <w:proofErr w:type="spellStart"/>
      <w:r w:rsidRPr="00F30CE4">
        <w:rPr>
          <w:rFonts w:cs="Arial"/>
          <w:sz w:val="20"/>
          <w:szCs w:val="20"/>
        </w:rPr>
        <w:t>Egmond</w:t>
      </w:r>
      <w:proofErr w:type="spellEnd"/>
      <w:r w:rsidRPr="00F30CE4">
        <w:rPr>
          <w:rFonts w:cs="Arial"/>
          <w:sz w:val="20"/>
          <w:szCs w:val="20"/>
        </w:rPr>
        <w:t xml:space="preserve"> </w:t>
      </w:r>
      <w:proofErr w:type="spellStart"/>
      <w:r w:rsidRPr="00F30CE4">
        <w:rPr>
          <w:rFonts w:cs="Arial"/>
          <w:sz w:val="20"/>
          <w:szCs w:val="20"/>
        </w:rPr>
        <w:t>aan</w:t>
      </w:r>
      <w:proofErr w:type="spellEnd"/>
      <w:r w:rsidRPr="00F30CE4">
        <w:rPr>
          <w:rFonts w:cs="Arial"/>
          <w:sz w:val="20"/>
          <w:szCs w:val="20"/>
        </w:rPr>
        <w:t xml:space="preserve"> Zee in the Netherlands from 4</w:t>
      </w:r>
      <w:r w:rsidRPr="00F30CE4">
        <w:rPr>
          <w:rFonts w:cs="Arial"/>
          <w:sz w:val="20"/>
          <w:szCs w:val="20"/>
          <w:vertAlign w:val="superscript"/>
        </w:rPr>
        <w:t>th</w:t>
      </w:r>
      <w:r w:rsidRPr="00F30CE4">
        <w:rPr>
          <w:rFonts w:cs="Arial"/>
          <w:sz w:val="20"/>
          <w:szCs w:val="20"/>
        </w:rPr>
        <w:t>-8</w:t>
      </w:r>
      <w:r w:rsidRPr="00F30CE4">
        <w:rPr>
          <w:rFonts w:cs="Arial"/>
          <w:sz w:val="20"/>
          <w:szCs w:val="20"/>
          <w:vertAlign w:val="superscript"/>
        </w:rPr>
        <w:t>th</w:t>
      </w:r>
      <w:r w:rsidRPr="00F30CE4">
        <w:rPr>
          <w:rFonts w:cs="Arial"/>
          <w:sz w:val="20"/>
          <w:szCs w:val="20"/>
        </w:rPr>
        <w:t xml:space="preserve"> April 2022, with options to attend in person and online. As well as a chance to hear about the latest research on issues related to wind energy and wildlife, the conference offers fantastic networking opportunities with representatives from governments, industry, funders, </w:t>
      </w:r>
      <w:proofErr w:type="gramStart"/>
      <w:r w:rsidRPr="00F30CE4">
        <w:rPr>
          <w:rFonts w:cs="Arial"/>
          <w:sz w:val="20"/>
          <w:szCs w:val="20"/>
        </w:rPr>
        <w:t>NGOs</w:t>
      </w:r>
      <w:proofErr w:type="gramEnd"/>
      <w:r w:rsidRPr="00F30CE4">
        <w:rPr>
          <w:rFonts w:cs="Arial"/>
          <w:sz w:val="20"/>
          <w:szCs w:val="20"/>
        </w:rPr>
        <w:t xml:space="preserve"> and academia present. </w:t>
      </w:r>
    </w:p>
    <w:p w14:paraId="5021B9C5" w14:textId="47B6B7AA" w:rsidR="00D1132C" w:rsidRPr="00F30CE4" w:rsidRDefault="00D1132C" w:rsidP="003607BB">
      <w:pPr>
        <w:spacing w:line="254" w:lineRule="auto"/>
        <w:jc w:val="both"/>
        <w:rPr>
          <w:rFonts w:cs="Arial"/>
          <w:sz w:val="20"/>
          <w:szCs w:val="20"/>
        </w:rPr>
      </w:pPr>
      <w:r w:rsidRPr="00F30CE4">
        <w:rPr>
          <w:rFonts w:cs="Arial"/>
          <w:sz w:val="20"/>
          <w:szCs w:val="20"/>
        </w:rPr>
        <w:t xml:space="preserve">Of particular interest to members of the Energy Task Force may be planned sessions on the challenges faced in emerging markets for wind energy. We have planned a plenary session with a speaker giving an overview of some of the challenges faced when trying </w:t>
      </w:r>
      <w:r w:rsidR="0044177E">
        <w:rPr>
          <w:rFonts w:cs="Arial"/>
          <w:sz w:val="20"/>
          <w:szCs w:val="20"/>
        </w:rPr>
        <w:t xml:space="preserve">to </w:t>
      </w:r>
      <w:r w:rsidRPr="00F30CE4">
        <w:rPr>
          <w:rFonts w:cs="Arial"/>
          <w:sz w:val="20"/>
          <w:szCs w:val="20"/>
        </w:rPr>
        <w:t xml:space="preserve">apply methods developed for the US and Europe in new countries. Alongside this, we hope to have a short video featuring some key stakeholders from these countries outlining the challenges they have faced and how these have been overcome. Following the plenary session, we have planned a special session focusing on solutions to some of these problems featuring talks by the ETF, </w:t>
      </w:r>
      <w:proofErr w:type="spellStart"/>
      <w:r w:rsidRPr="00F30CE4">
        <w:rPr>
          <w:rFonts w:cs="Arial"/>
          <w:sz w:val="20"/>
          <w:szCs w:val="20"/>
        </w:rPr>
        <w:t>BirdLife</w:t>
      </w:r>
      <w:proofErr w:type="spellEnd"/>
      <w:r w:rsidRPr="00F30CE4">
        <w:rPr>
          <w:rFonts w:cs="Arial"/>
          <w:sz w:val="20"/>
          <w:szCs w:val="20"/>
        </w:rPr>
        <w:t xml:space="preserve"> International, IFC, West, RCREEE and Lekela Power. </w:t>
      </w:r>
    </w:p>
    <w:p w14:paraId="52AAC896" w14:textId="1EC59758" w:rsidR="00D1132C" w:rsidRPr="00F30CE4" w:rsidRDefault="00D1132C" w:rsidP="003607BB">
      <w:pPr>
        <w:jc w:val="both"/>
        <w:rPr>
          <w:rFonts w:cs="Arial"/>
          <w:sz w:val="20"/>
          <w:szCs w:val="20"/>
          <w:lang w:val="en-GB"/>
        </w:rPr>
      </w:pPr>
    </w:p>
    <w:p w14:paraId="662AFDA1" w14:textId="18E3A469" w:rsidR="00ED260B" w:rsidRPr="00F30CE4" w:rsidRDefault="00ED260B" w:rsidP="003607BB">
      <w:pPr>
        <w:pStyle w:val="ListParagraph"/>
        <w:numPr>
          <w:ilvl w:val="0"/>
          <w:numId w:val="26"/>
        </w:numPr>
        <w:jc w:val="both"/>
        <w:rPr>
          <w:rFonts w:cs="Arial"/>
          <w:b/>
          <w:bCs/>
          <w:sz w:val="20"/>
        </w:rPr>
      </w:pPr>
      <w:r w:rsidRPr="00D433B9">
        <w:rPr>
          <w:rFonts w:cs="Arial"/>
          <w:b/>
          <w:sz w:val="20"/>
        </w:rPr>
        <w:t xml:space="preserve">András Schmidt, </w:t>
      </w:r>
      <w:r w:rsidR="00BF28B8" w:rsidRPr="00F30CE4">
        <w:rPr>
          <w:rFonts w:cs="Arial"/>
          <w:b/>
          <w:bCs/>
          <w:sz w:val="20"/>
        </w:rPr>
        <w:t xml:space="preserve">Deputy Head of Department for Nature Conservation, </w:t>
      </w:r>
      <w:r w:rsidRPr="00F30CE4">
        <w:rPr>
          <w:rFonts w:cs="Arial"/>
          <w:b/>
          <w:bCs/>
          <w:sz w:val="20"/>
        </w:rPr>
        <w:t>Hungary Ministry of Agriculture</w:t>
      </w:r>
      <w:r w:rsidR="005F2C43">
        <w:rPr>
          <w:rFonts w:cs="Arial"/>
          <w:b/>
          <w:bCs/>
          <w:sz w:val="20"/>
        </w:rPr>
        <w:t xml:space="preserve"> </w:t>
      </w:r>
    </w:p>
    <w:p w14:paraId="4DD8A453" w14:textId="0B24E4D0" w:rsidR="002334FB" w:rsidRPr="00F30CE4" w:rsidRDefault="002334FB" w:rsidP="003607BB">
      <w:pPr>
        <w:jc w:val="both"/>
        <w:rPr>
          <w:rFonts w:cs="Arial"/>
          <w:sz w:val="20"/>
          <w:szCs w:val="20"/>
        </w:rPr>
      </w:pPr>
    </w:p>
    <w:p w14:paraId="67CE8403" w14:textId="482ED8F5" w:rsidR="002334FB" w:rsidRPr="00D33DE2" w:rsidRDefault="002334FB" w:rsidP="003607BB">
      <w:pPr>
        <w:pStyle w:val="ListParagraph"/>
        <w:numPr>
          <w:ilvl w:val="0"/>
          <w:numId w:val="32"/>
        </w:numPr>
        <w:ind w:left="426" w:hanging="426"/>
        <w:jc w:val="both"/>
        <w:rPr>
          <w:rFonts w:cs="Arial"/>
          <w:sz w:val="20"/>
        </w:rPr>
      </w:pPr>
      <w:r w:rsidRPr="00D33DE2">
        <w:rPr>
          <w:rFonts w:cs="Arial"/>
          <w:sz w:val="20"/>
        </w:rPr>
        <w:t>‘Accessible Sky’ agreement and its implementation in Hungary:</w:t>
      </w:r>
    </w:p>
    <w:p w14:paraId="31AE9317" w14:textId="0ADBE1F1" w:rsidR="00ED260B" w:rsidRPr="00F30CE4" w:rsidRDefault="00ED260B" w:rsidP="003607BB">
      <w:pPr>
        <w:jc w:val="both"/>
        <w:rPr>
          <w:rFonts w:cs="Arial"/>
          <w:sz w:val="20"/>
          <w:szCs w:val="20"/>
        </w:rPr>
      </w:pPr>
      <w:r w:rsidRPr="00F30CE4">
        <w:rPr>
          <w:rFonts w:cs="Arial"/>
          <w:sz w:val="20"/>
          <w:szCs w:val="20"/>
        </w:rPr>
        <w:t>Work on the birds vs. powerline conflict was institutionali</w:t>
      </w:r>
      <w:r w:rsidR="00A95BD7">
        <w:rPr>
          <w:rFonts w:cs="Arial"/>
          <w:sz w:val="20"/>
          <w:szCs w:val="20"/>
        </w:rPr>
        <w:t>z</w:t>
      </w:r>
      <w:r w:rsidRPr="00F30CE4">
        <w:rPr>
          <w:rFonts w:cs="Arial"/>
          <w:sz w:val="20"/>
          <w:szCs w:val="20"/>
        </w:rPr>
        <w:t xml:space="preserve">ed in Hungary when the </w:t>
      </w:r>
      <w:r w:rsidR="00926030">
        <w:rPr>
          <w:rFonts w:cs="Arial"/>
          <w:sz w:val="20"/>
          <w:szCs w:val="20"/>
        </w:rPr>
        <w:t>‘</w:t>
      </w:r>
      <w:r w:rsidRPr="00F30CE4">
        <w:rPr>
          <w:rFonts w:cs="Arial"/>
          <w:sz w:val="20"/>
          <w:szCs w:val="20"/>
        </w:rPr>
        <w:t>Accessible Sky</w:t>
      </w:r>
      <w:r w:rsidR="00926030">
        <w:rPr>
          <w:rFonts w:cs="Arial"/>
          <w:sz w:val="20"/>
          <w:szCs w:val="20"/>
        </w:rPr>
        <w:t>’</w:t>
      </w:r>
      <w:r w:rsidRPr="00F30CE4">
        <w:rPr>
          <w:rFonts w:cs="Arial"/>
          <w:sz w:val="20"/>
          <w:szCs w:val="20"/>
        </w:rPr>
        <w:t xml:space="preserve"> agreement was signed by the </w:t>
      </w:r>
      <w:r w:rsidR="00926030">
        <w:rPr>
          <w:rFonts w:cs="Arial"/>
          <w:sz w:val="20"/>
          <w:szCs w:val="20"/>
        </w:rPr>
        <w:t>M</w:t>
      </w:r>
      <w:r w:rsidRPr="00F30CE4">
        <w:rPr>
          <w:rFonts w:cs="Arial"/>
          <w:sz w:val="20"/>
          <w:szCs w:val="20"/>
        </w:rPr>
        <w:t>inistry responsible for nature conservation, MME/</w:t>
      </w:r>
      <w:proofErr w:type="spellStart"/>
      <w:r w:rsidRPr="00F30CE4">
        <w:rPr>
          <w:rFonts w:cs="Arial"/>
          <w:sz w:val="20"/>
          <w:szCs w:val="20"/>
        </w:rPr>
        <w:t>BirdLife</w:t>
      </w:r>
      <w:proofErr w:type="spellEnd"/>
      <w:r w:rsidRPr="00F30CE4">
        <w:rPr>
          <w:rFonts w:cs="Arial"/>
          <w:sz w:val="20"/>
          <w:szCs w:val="20"/>
        </w:rPr>
        <w:t xml:space="preserve"> Hungary on one hand and all three distribution companies and the transmission company on the other. </w:t>
      </w:r>
    </w:p>
    <w:p w14:paraId="57255BDC" w14:textId="77777777" w:rsidR="005E6301" w:rsidRDefault="005E6301" w:rsidP="003607BB">
      <w:pPr>
        <w:jc w:val="both"/>
        <w:rPr>
          <w:rFonts w:cs="Arial"/>
          <w:sz w:val="20"/>
          <w:szCs w:val="20"/>
        </w:rPr>
      </w:pPr>
    </w:p>
    <w:p w14:paraId="114DAEB4" w14:textId="1D2E0DF1" w:rsidR="00ED260B" w:rsidRPr="00F30CE4" w:rsidRDefault="00ED260B" w:rsidP="003607BB">
      <w:pPr>
        <w:jc w:val="both"/>
        <w:rPr>
          <w:rFonts w:cs="Arial"/>
          <w:sz w:val="20"/>
          <w:szCs w:val="20"/>
        </w:rPr>
      </w:pPr>
      <w:r w:rsidRPr="00F30CE4">
        <w:rPr>
          <w:rFonts w:cs="Arial"/>
          <w:sz w:val="20"/>
          <w:szCs w:val="20"/>
        </w:rPr>
        <w:t>The target was to eliminate the conflict by 2020, which was only partially achieved</w:t>
      </w:r>
      <w:r w:rsidR="00B11D38">
        <w:rPr>
          <w:rFonts w:cs="Arial"/>
          <w:sz w:val="20"/>
          <w:szCs w:val="20"/>
        </w:rPr>
        <w:t>. I</w:t>
      </w:r>
      <w:r w:rsidRPr="00F30CE4">
        <w:rPr>
          <w:rFonts w:cs="Arial"/>
          <w:sz w:val="20"/>
          <w:szCs w:val="20"/>
        </w:rPr>
        <w:t>mportant steps taken</w:t>
      </w:r>
      <w:r w:rsidR="00B11D38">
        <w:rPr>
          <w:rFonts w:cs="Arial"/>
          <w:sz w:val="20"/>
          <w:szCs w:val="20"/>
        </w:rPr>
        <w:t xml:space="preserve"> include</w:t>
      </w:r>
      <w:r w:rsidRPr="00F30CE4">
        <w:rPr>
          <w:rFonts w:cs="Arial"/>
          <w:sz w:val="20"/>
          <w:szCs w:val="20"/>
        </w:rPr>
        <w:t>:</w:t>
      </w:r>
    </w:p>
    <w:p w14:paraId="6C33DE98" w14:textId="77777777" w:rsidR="00ED260B" w:rsidRPr="00F30CE4" w:rsidRDefault="00ED260B" w:rsidP="003607BB">
      <w:pPr>
        <w:pStyle w:val="ListParagraph"/>
        <w:widowControl/>
        <w:numPr>
          <w:ilvl w:val="0"/>
          <w:numId w:val="21"/>
        </w:numPr>
        <w:spacing w:line="276" w:lineRule="auto"/>
        <w:jc w:val="both"/>
        <w:rPr>
          <w:rFonts w:cs="Arial"/>
          <w:sz w:val="20"/>
        </w:rPr>
      </w:pPr>
      <w:r w:rsidRPr="00F30CE4">
        <w:rPr>
          <w:rFonts w:cs="Arial"/>
          <w:sz w:val="20"/>
        </w:rPr>
        <w:t>legislation amended in 2008 to only allow bird-friendly technologies in new or fully renewed power lines</w:t>
      </w:r>
    </w:p>
    <w:p w14:paraId="1CEF57B2" w14:textId="77777777" w:rsidR="00ED260B" w:rsidRPr="00F30CE4" w:rsidRDefault="00ED260B" w:rsidP="003607BB">
      <w:pPr>
        <w:pStyle w:val="ListParagraph"/>
        <w:widowControl/>
        <w:numPr>
          <w:ilvl w:val="0"/>
          <w:numId w:val="21"/>
        </w:numPr>
        <w:spacing w:line="276" w:lineRule="auto"/>
        <w:jc w:val="both"/>
        <w:rPr>
          <w:rFonts w:cs="Arial"/>
          <w:sz w:val="20"/>
        </w:rPr>
      </w:pPr>
      <w:r w:rsidRPr="00F30CE4">
        <w:rPr>
          <w:rFonts w:cs="Arial"/>
          <w:sz w:val="20"/>
        </w:rPr>
        <w:t>a conflict map was produced by MME/</w:t>
      </w:r>
      <w:proofErr w:type="spellStart"/>
      <w:r w:rsidRPr="00F30CE4">
        <w:rPr>
          <w:rFonts w:cs="Arial"/>
          <w:sz w:val="20"/>
        </w:rPr>
        <w:t>BirdLife</w:t>
      </w:r>
      <w:proofErr w:type="spellEnd"/>
      <w:r w:rsidRPr="00F30CE4">
        <w:rPr>
          <w:rFonts w:cs="Arial"/>
          <w:sz w:val="20"/>
        </w:rPr>
        <w:t xml:space="preserve"> Hungary using distribution maps of bird species most threatened by powerlines</w:t>
      </w:r>
    </w:p>
    <w:p w14:paraId="2503FF7D" w14:textId="77777777" w:rsidR="00ED260B" w:rsidRPr="00F30CE4" w:rsidRDefault="00ED260B" w:rsidP="003607BB">
      <w:pPr>
        <w:pStyle w:val="ListParagraph"/>
        <w:widowControl/>
        <w:numPr>
          <w:ilvl w:val="0"/>
          <w:numId w:val="21"/>
        </w:numPr>
        <w:spacing w:line="276" w:lineRule="auto"/>
        <w:jc w:val="both"/>
        <w:rPr>
          <w:rFonts w:cs="Arial"/>
          <w:sz w:val="20"/>
        </w:rPr>
      </w:pPr>
      <w:r w:rsidRPr="00F30CE4">
        <w:rPr>
          <w:rFonts w:cs="Arial"/>
          <w:sz w:val="20"/>
        </w:rPr>
        <w:t>mainly EU-funded, large-scale projects were launched to retrofit powerlines in some priority areas</w:t>
      </w:r>
    </w:p>
    <w:p w14:paraId="256D1E40" w14:textId="77777777" w:rsidR="00ED260B" w:rsidRPr="00F30CE4" w:rsidRDefault="00ED260B" w:rsidP="003607BB">
      <w:pPr>
        <w:pStyle w:val="ListParagraph"/>
        <w:widowControl/>
        <w:numPr>
          <w:ilvl w:val="0"/>
          <w:numId w:val="21"/>
        </w:numPr>
        <w:spacing w:line="276" w:lineRule="auto"/>
        <w:jc w:val="both"/>
        <w:rPr>
          <w:rFonts w:cs="Arial"/>
          <w:sz w:val="20"/>
        </w:rPr>
      </w:pPr>
      <w:r w:rsidRPr="00F30CE4">
        <w:rPr>
          <w:rFonts w:cs="Arial"/>
          <w:sz w:val="20"/>
        </w:rPr>
        <w:t>BAT guidance was produced in 2011 and updated in 2020</w:t>
      </w:r>
    </w:p>
    <w:p w14:paraId="662E4DCC" w14:textId="74516291" w:rsidR="00ED260B" w:rsidRPr="00F30CE4" w:rsidRDefault="00926030" w:rsidP="003607BB">
      <w:pPr>
        <w:pStyle w:val="ListParagraph"/>
        <w:widowControl/>
        <w:numPr>
          <w:ilvl w:val="0"/>
          <w:numId w:val="21"/>
        </w:numPr>
        <w:spacing w:line="276" w:lineRule="auto"/>
        <w:jc w:val="both"/>
        <w:rPr>
          <w:rFonts w:cs="Arial"/>
          <w:sz w:val="20"/>
        </w:rPr>
      </w:pPr>
      <w:r>
        <w:rPr>
          <w:rFonts w:cs="Arial"/>
          <w:sz w:val="20"/>
        </w:rPr>
        <w:t>s</w:t>
      </w:r>
      <w:r w:rsidR="00ED260B" w:rsidRPr="00F30CE4">
        <w:rPr>
          <w:rFonts w:cs="Arial"/>
          <w:sz w:val="20"/>
        </w:rPr>
        <w:t xml:space="preserve">tocktaking exercise in 2020: renewed conflict map, </w:t>
      </w:r>
      <w:proofErr w:type="gramStart"/>
      <w:r w:rsidR="00ED260B" w:rsidRPr="00F30CE4">
        <w:rPr>
          <w:rFonts w:cs="Arial"/>
          <w:sz w:val="20"/>
        </w:rPr>
        <w:t>taking into account</w:t>
      </w:r>
      <w:proofErr w:type="gramEnd"/>
      <w:r w:rsidR="00ED260B" w:rsidRPr="00F30CE4">
        <w:rPr>
          <w:rFonts w:cs="Arial"/>
          <w:sz w:val="20"/>
        </w:rPr>
        <w:t xml:space="preserve"> retrofitting projects, updated bird distribution maps and actual powerline network: using modelling, each pylon can be prioritised based on its threat factor</w:t>
      </w:r>
    </w:p>
    <w:p w14:paraId="196B6F11" w14:textId="2526B362" w:rsidR="00ED260B" w:rsidRDefault="00926030" w:rsidP="003607BB">
      <w:pPr>
        <w:pStyle w:val="ListParagraph"/>
        <w:widowControl/>
        <w:numPr>
          <w:ilvl w:val="0"/>
          <w:numId w:val="21"/>
        </w:numPr>
        <w:spacing w:line="276" w:lineRule="auto"/>
        <w:jc w:val="both"/>
        <w:rPr>
          <w:rFonts w:cs="Arial"/>
          <w:sz w:val="20"/>
        </w:rPr>
      </w:pPr>
      <w:r>
        <w:rPr>
          <w:rFonts w:cs="Arial"/>
          <w:sz w:val="20"/>
        </w:rPr>
        <w:t>i</w:t>
      </w:r>
      <w:r w:rsidR="00ED260B" w:rsidRPr="00F30CE4">
        <w:rPr>
          <w:rFonts w:cs="Arial"/>
          <w:sz w:val="20"/>
        </w:rPr>
        <w:t>n 2021, guidance (BAT and more general) is distributed to utility companies in video clip packages, field manuals and a comprehensive document designed for powerline technicians on one hand and powerline engineers and technologists on the other</w:t>
      </w:r>
      <w:r w:rsidR="00D511BE">
        <w:rPr>
          <w:rFonts w:cs="Arial"/>
          <w:sz w:val="20"/>
        </w:rPr>
        <w:t>.</w:t>
      </w:r>
    </w:p>
    <w:p w14:paraId="252A3F55" w14:textId="77777777" w:rsidR="00667E74" w:rsidRPr="00F30CE4" w:rsidRDefault="00667E74" w:rsidP="003607BB">
      <w:pPr>
        <w:pStyle w:val="ListParagraph"/>
        <w:widowControl/>
        <w:spacing w:line="276" w:lineRule="auto"/>
        <w:jc w:val="both"/>
        <w:rPr>
          <w:rFonts w:cs="Arial"/>
          <w:sz w:val="20"/>
        </w:rPr>
      </w:pPr>
    </w:p>
    <w:p w14:paraId="49909E7D" w14:textId="77777777" w:rsidR="00ED260B" w:rsidRPr="00D33DE2" w:rsidRDefault="00ED260B" w:rsidP="003607BB">
      <w:pPr>
        <w:pStyle w:val="ListParagraph"/>
        <w:numPr>
          <w:ilvl w:val="0"/>
          <w:numId w:val="32"/>
        </w:numPr>
        <w:ind w:left="426" w:hanging="426"/>
        <w:jc w:val="both"/>
        <w:rPr>
          <w:rFonts w:cs="Arial"/>
          <w:sz w:val="20"/>
        </w:rPr>
      </w:pPr>
      <w:r w:rsidRPr="00D33DE2">
        <w:rPr>
          <w:rFonts w:cs="Arial"/>
          <w:sz w:val="20"/>
        </w:rPr>
        <w:t>Challenges for the future:</w:t>
      </w:r>
    </w:p>
    <w:p w14:paraId="4C1D0DE8" w14:textId="77777777" w:rsidR="00ED260B" w:rsidRPr="00F30CE4" w:rsidRDefault="00ED260B" w:rsidP="003607BB">
      <w:pPr>
        <w:pStyle w:val="ListParagraph"/>
        <w:widowControl/>
        <w:numPr>
          <w:ilvl w:val="0"/>
          <w:numId w:val="22"/>
        </w:numPr>
        <w:spacing w:line="276" w:lineRule="auto"/>
        <w:jc w:val="both"/>
        <w:rPr>
          <w:rFonts w:cs="Arial"/>
          <w:sz w:val="20"/>
        </w:rPr>
      </w:pPr>
      <w:r w:rsidRPr="00F30CE4">
        <w:rPr>
          <w:rFonts w:cs="Arial"/>
          <w:sz w:val="20"/>
        </w:rPr>
        <w:t>to establish a more focussed and more coordinated bird mortality survey system along powerlines</w:t>
      </w:r>
    </w:p>
    <w:p w14:paraId="11AB57B9" w14:textId="77777777" w:rsidR="00ED260B" w:rsidRPr="00F30CE4" w:rsidRDefault="00ED260B" w:rsidP="003607BB">
      <w:pPr>
        <w:pStyle w:val="ListParagraph"/>
        <w:widowControl/>
        <w:numPr>
          <w:ilvl w:val="0"/>
          <w:numId w:val="22"/>
        </w:numPr>
        <w:spacing w:line="276" w:lineRule="auto"/>
        <w:jc w:val="both"/>
        <w:rPr>
          <w:rFonts w:cs="Arial"/>
          <w:sz w:val="20"/>
        </w:rPr>
      </w:pPr>
      <w:r w:rsidRPr="00F30CE4">
        <w:rPr>
          <w:rFonts w:cs="Arial"/>
          <w:sz w:val="20"/>
        </w:rPr>
        <w:t>to set up a database that collects data on bird mortality surveys and on retrofitting of powerlines</w:t>
      </w:r>
    </w:p>
    <w:p w14:paraId="7966F0A2" w14:textId="77777777" w:rsidR="00E146EF" w:rsidRDefault="00ED260B" w:rsidP="003607BB">
      <w:pPr>
        <w:pStyle w:val="ListParagraph"/>
        <w:widowControl/>
        <w:numPr>
          <w:ilvl w:val="0"/>
          <w:numId w:val="22"/>
        </w:numPr>
        <w:spacing w:line="276" w:lineRule="auto"/>
        <w:jc w:val="both"/>
        <w:rPr>
          <w:rFonts w:cs="Arial"/>
          <w:sz w:val="20"/>
        </w:rPr>
      </w:pPr>
      <w:r w:rsidRPr="00F30CE4">
        <w:rPr>
          <w:rFonts w:cs="Arial"/>
          <w:sz w:val="20"/>
        </w:rPr>
        <w:t>to launch further projects for retrofitting.</w:t>
      </w:r>
    </w:p>
    <w:p w14:paraId="755110E5" w14:textId="6AC3ECF9" w:rsidR="00ED260B" w:rsidRPr="00F30CE4" w:rsidRDefault="00ED260B" w:rsidP="003607BB">
      <w:pPr>
        <w:pStyle w:val="ListParagraph"/>
        <w:widowControl/>
        <w:spacing w:line="276" w:lineRule="auto"/>
        <w:jc w:val="both"/>
        <w:rPr>
          <w:rFonts w:cs="Arial"/>
          <w:sz w:val="20"/>
        </w:rPr>
      </w:pPr>
      <w:r w:rsidRPr="00F30CE4">
        <w:rPr>
          <w:rFonts w:cs="Arial"/>
          <w:sz w:val="20"/>
        </w:rPr>
        <w:t xml:space="preserve"> </w:t>
      </w:r>
    </w:p>
    <w:p w14:paraId="16978759" w14:textId="78FFE28E" w:rsidR="00BF28B8" w:rsidRPr="00F30CE4" w:rsidRDefault="00BF28B8" w:rsidP="003607BB">
      <w:pPr>
        <w:pStyle w:val="ListParagraph"/>
        <w:numPr>
          <w:ilvl w:val="0"/>
          <w:numId w:val="26"/>
        </w:numPr>
        <w:jc w:val="both"/>
        <w:rPr>
          <w:rFonts w:cs="Arial"/>
          <w:b/>
          <w:bCs/>
          <w:sz w:val="20"/>
        </w:rPr>
      </w:pPr>
      <w:r w:rsidRPr="00D433B9">
        <w:rPr>
          <w:rFonts w:cs="Arial"/>
          <w:b/>
          <w:sz w:val="20"/>
        </w:rPr>
        <w:t xml:space="preserve">Oliver Hillel, </w:t>
      </w:r>
      <w:r w:rsidR="0075357E" w:rsidRPr="00F30CE4">
        <w:rPr>
          <w:rFonts w:cs="Arial"/>
          <w:b/>
          <w:bCs/>
          <w:sz w:val="20"/>
        </w:rPr>
        <w:t xml:space="preserve">Programme Officer, </w:t>
      </w:r>
      <w:r w:rsidRPr="00F30CE4">
        <w:rPr>
          <w:rFonts w:cs="Arial"/>
          <w:b/>
          <w:bCs/>
          <w:sz w:val="20"/>
        </w:rPr>
        <w:t>C</w:t>
      </w:r>
      <w:r w:rsidR="0075357E" w:rsidRPr="00F30CE4">
        <w:rPr>
          <w:rFonts w:cs="Arial"/>
          <w:b/>
          <w:bCs/>
          <w:sz w:val="20"/>
        </w:rPr>
        <w:t xml:space="preserve">onvention of </w:t>
      </w:r>
      <w:r w:rsidRPr="00F30CE4">
        <w:rPr>
          <w:rFonts w:cs="Arial"/>
          <w:b/>
          <w:bCs/>
          <w:sz w:val="20"/>
        </w:rPr>
        <w:t>B</w:t>
      </w:r>
      <w:r w:rsidR="0075357E" w:rsidRPr="00F30CE4">
        <w:rPr>
          <w:rFonts w:cs="Arial"/>
          <w:b/>
          <w:bCs/>
          <w:sz w:val="20"/>
        </w:rPr>
        <w:t xml:space="preserve">iological </w:t>
      </w:r>
      <w:r w:rsidRPr="00F30CE4">
        <w:rPr>
          <w:rFonts w:cs="Arial"/>
          <w:b/>
          <w:bCs/>
          <w:sz w:val="20"/>
        </w:rPr>
        <w:t>D</w:t>
      </w:r>
      <w:r w:rsidR="0075357E" w:rsidRPr="00F30CE4">
        <w:rPr>
          <w:rFonts w:cs="Arial"/>
          <w:b/>
          <w:bCs/>
          <w:sz w:val="20"/>
        </w:rPr>
        <w:t>iversity (CBD)</w:t>
      </w:r>
      <w:r w:rsidRPr="00F30CE4">
        <w:rPr>
          <w:rFonts w:cs="Arial"/>
          <w:b/>
          <w:bCs/>
          <w:sz w:val="20"/>
        </w:rPr>
        <w:t xml:space="preserve"> Secretariat</w:t>
      </w:r>
    </w:p>
    <w:p w14:paraId="27599425" w14:textId="77777777" w:rsidR="00A22159" w:rsidRPr="00D433B9" w:rsidRDefault="00A22159" w:rsidP="003607BB">
      <w:pPr>
        <w:pStyle w:val="ListParagraph"/>
        <w:jc w:val="both"/>
        <w:rPr>
          <w:rFonts w:cs="Arial"/>
          <w:b/>
          <w:bCs/>
          <w:sz w:val="20"/>
        </w:rPr>
      </w:pPr>
    </w:p>
    <w:p w14:paraId="4E301D0D" w14:textId="58BC7145" w:rsidR="00BF28B8" w:rsidRPr="00F30CE4" w:rsidRDefault="00BF28B8" w:rsidP="003607BB">
      <w:pPr>
        <w:pStyle w:val="ListParagraph"/>
        <w:widowControl/>
        <w:numPr>
          <w:ilvl w:val="0"/>
          <w:numId w:val="24"/>
        </w:numPr>
        <w:contextualSpacing w:val="0"/>
        <w:jc w:val="both"/>
        <w:rPr>
          <w:rFonts w:cs="Arial"/>
          <w:sz w:val="20"/>
          <w:lang w:val="en-US"/>
        </w:rPr>
      </w:pPr>
      <w:r w:rsidRPr="00F30CE4">
        <w:rPr>
          <w:rFonts w:cs="Arial"/>
          <w:sz w:val="20"/>
          <w:lang w:val="en-US"/>
        </w:rPr>
        <w:t>Ultimate goals and status of</w:t>
      </w:r>
      <w:r>
        <w:rPr>
          <w:rFonts w:cs="Arial"/>
          <w:sz w:val="20"/>
          <w:lang w:val="en-US"/>
        </w:rPr>
        <w:t xml:space="preserve"> </w:t>
      </w:r>
      <w:r w:rsidR="00790056">
        <w:rPr>
          <w:rFonts w:cs="Arial"/>
          <w:sz w:val="20"/>
          <w:lang w:val="en-US"/>
        </w:rPr>
        <w:t>CBD</w:t>
      </w:r>
      <w:r w:rsidRPr="00F30CE4">
        <w:rPr>
          <w:rFonts w:cs="Arial"/>
          <w:sz w:val="20"/>
          <w:lang w:val="en-US"/>
        </w:rPr>
        <w:t xml:space="preserve"> COP15 deliberations in general (legal text and “deliverables” from subsidiary bodies and legacy commitments to date); highlight those of relevance/implications to the energy sector, such as SBI/3’s text (long-term approach on mainstreaming with an action plan, </w:t>
      </w:r>
      <w:proofErr w:type="spellStart"/>
      <w:r w:rsidRPr="00F30CE4">
        <w:rPr>
          <w:rFonts w:cs="Arial"/>
          <w:sz w:val="20"/>
          <w:lang w:val="en-US"/>
        </w:rPr>
        <w:t>ResMob</w:t>
      </w:r>
      <w:proofErr w:type="spellEnd"/>
      <w:r w:rsidRPr="00F30CE4">
        <w:rPr>
          <w:rFonts w:cs="Arial"/>
          <w:sz w:val="20"/>
          <w:lang w:val="en-US"/>
        </w:rPr>
        <w:t>, capacity building)</w:t>
      </w:r>
      <w:r w:rsidR="00926030">
        <w:rPr>
          <w:rFonts w:cs="Arial"/>
          <w:sz w:val="20"/>
          <w:lang w:val="en-US"/>
        </w:rPr>
        <w:t>.</w:t>
      </w:r>
    </w:p>
    <w:p w14:paraId="26D74CA6" w14:textId="77777777" w:rsidR="00BF28B8" w:rsidRPr="00F30CE4" w:rsidRDefault="00BF28B8" w:rsidP="003607BB">
      <w:pPr>
        <w:pStyle w:val="ListParagraph"/>
        <w:widowControl/>
        <w:numPr>
          <w:ilvl w:val="0"/>
          <w:numId w:val="24"/>
        </w:numPr>
        <w:contextualSpacing w:val="0"/>
        <w:jc w:val="both"/>
        <w:rPr>
          <w:rFonts w:cs="Arial"/>
          <w:sz w:val="20"/>
          <w:lang w:val="en-US"/>
        </w:rPr>
      </w:pPr>
      <w:r w:rsidRPr="00F30CE4">
        <w:rPr>
          <w:rFonts w:cs="Arial"/>
          <w:sz w:val="20"/>
          <w:lang w:val="en-US"/>
        </w:rPr>
        <w:t xml:space="preserve">Substantive asks to the sector from the Working Group’s post-2020 framework (targets 1-3 on area management but also 7, 8, 10, 11, 14, 15, 16, 18 and possibly 19). </w:t>
      </w:r>
    </w:p>
    <w:p w14:paraId="2CA43660" w14:textId="77777777" w:rsidR="00BF28B8" w:rsidRPr="00F30CE4" w:rsidRDefault="00BF28B8" w:rsidP="003607BB">
      <w:pPr>
        <w:pStyle w:val="ListParagraph"/>
        <w:widowControl/>
        <w:numPr>
          <w:ilvl w:val="0"/>
          <w:numId w:val="24"/>
        </w:numPr>
        <w:contextualSpacing w:val="0"/>
        <w:jc w:val="both"/>
        <w:rPr>
          <w:rFonts w:cs="Arial"/>
          <w:sz w:val="20"/>
          <w:lang w:val="en-US"/>
        </w:rPr>
      </w:pPr>
      <w:r w:rsidRPr="00F30CE4">
        <w:rPr>
          <w:rFonts w:cs="Arial"/>
          <w:sz w:val="20"/>
          <w:lang w:val="en-US"/>
        </w:rPr>
        <w:t>Options for further cross-MEA articulation on the issue:</w:t>
      </w:r>
    </w:p>
    <w:p w14:paraId="32C6D1F3" w14:textId="77777777" w:rsidR="00BF28B8" w:rsidRPr="00F30CE4" w:rsidRDefault="00BF28B8" w:rsidP="003607BB">
      <w:pPr>
        <w:pStyle w:val="ListParagraph"/>
        <w:widowControl/>
        <w:numPr>
          <w:ilvl w:val="1"/>
          <w:numId w:val="24"/>
        </w:numPr>
        <w:contextualSpacing w:val="0"/>
        <w:jc w:val="both"/>
        <w:rPr>
          <w:rFonts w:cs="Arial"/>
          <w:sz w:val="20"/>
          <w:lang w:val="en-US"/>
        </w:rPr>
      </w:pPr>
      <w:r w:rsidRPr="00F30CE4">
        <w:rPr>
          <w:rFonts w:cs="Arial"/>
          <w:sz w:val="20"/>
          <w:lang w:val="en-US"/>
        </w:rPr>
        <w:lastRenderedPageBreak/>
        <w:t xml:space="preserve">UNFCCC+: draft target 8 of the GBF looks at the impact of climate change on biodiversity and vice-versa. It states that nature/ecosystems contribute to mitigation and adaptation through ecosystem-based approaches, </w:t>
      </w:r>
      <w:r w:rsidRPr="00F30CE4">
        <w:rPr>
          <w:rFonts w:cs="Arial"/>
          <w:sz w:val="20"/>
          <w:u w:val="single"/>
          <w:lang w:val="en-US"/>
        </w:rPr>
        <w:t>but also,</w:t>
      </w:r>
      <w:r w:rsidRPr="00F30CE4">
        <w:rPr>
          <w:rFonts w:cs="Arial"/>
          <w:sz w:val="20"/>
          <w:lang w:val="en-US"/>
        </w:rPr>
        <w:t xml:space="preserve"> importantly, calls to ensure that </w:t>
      </w:r>
      <w:r w:rsidRPr="00F30CE4">
        <w:rPr>
          <w:rFonts w:cs="Arial"/>
          <w:sz w:val="20"/>
          <w:u w:val="single"/>
          <w:lang w:val="en-US"/>
        </w:rPr>
        <w:t>all mitigation and adaptation efforts avoid negative impacts on biodiversity</w:t>
      </w:r>
      <w:r w:rsidRPr="00F30CE4">
        <w:rPr>
          <w:rFonts w:cs="Arial"/>
          <w:sz w:val="20"/>
          <w:lang w:val="en-US"/>
        </w:rPr>
        <w:t>. This refers to biodiversity safeguards; it is relevant to CMS in that when designing climate change related measures (some of which could be related to energy), Parties should, for coherence and synergies, also avoid negative/incentivize positive impacts on biodiversity.</w:t>
      </w:r>
    </w:p>
    <w:p w14:paraId="10711F49" w14:textId="50524686" w:rsidR="00BF28B8" w:rsidRPr="00F30CE4" w:rsidRDefault="00BF28B8" w:rsidP="003607BB">
      <w:pPr>
        <w:pStyle w:val="ListParagraph"/>
        <w:widowControl/>
        <w:numPr>
          <w:ilvl w:val="1"/>
          <w:numId w:val="24"/>
        </w:numPr>
        <w:contextualSpacing w:val="0"/>
        <w:jc w:val="both"/>
        <w:rPr>
          <w:rFonts w:cs="Arial"/>
          <w:sz w:val="20"/>
          <w:lang w:val="en-US"/>
        </w:rPr>
      </w:pPr>
      <w:r w:rsidRPr="00F30CE4">
        <w:rPr>
          <w:rFonts w:cs="Arial"/>
          <w:sz w:val="20"/>
          <w:lang w:val="en-US"/>
        </w:rPr>
        <w:t>Ramsar/CMS: some MEAs have called for the coordinated management of coastal wetlands and associated ecosystems of relevance for migratory species: energy (hydro/wind/solar but also land-use and resource use planning for extractives and biofuels) provides options for decentralized cooperation of local and subnational governments aligned with revised post-2020 NBSAPs</w:t>
      </w:r>
      <w:r w:rsidR="00926030">
        <w:rPr>
          <w:rFonts w:cs="Arial"/>
          <w:sz w:val="20"/>
          <w:lang w:val="en-US"/>
        </w:rPr>
        <w:t>.</w:t>
      </w:r>
    </w:p>
    <w:p w14:paraId="5EC9FC59" w14:textId="77777777" w:rsidR="00BF28B8" w:rsidRDefault="00BF28B8" w:rsidP="003607BB">
      <w:pPr>
        <w:pStyle w:val="ListParagraph"/>
        <w:widowControl/>
        <w:numPr>
          <w:ilvl w:val="0"/>
          <w:numId w:val="24"/>
        </w:numPr>
        <w:contextualSpacing w:val="0"/>
        <w:jc w:val="both"/>
        <w:rPr>
          <w:rFonts w:cs="Arial"/>
          <w:sz w:val="20"/>
          <w:lang w:val="en-US"/>
        </w:rPr>
      </w:pPr>
      <w:r w:rsidRPr="00F30CE4">
        <w:rPr>
          <w:rFonts w:cs="Arial"/>
          <w:sz w:val="20"/>
          <w:lang w:val="en-US"/>
        </w:rPr>
        <w:t xml:space="preserve">How the sector can engage further (AHTEG mainstreaming, BBF, GBPP, energy action at subnational level with the UN DESA Hydro WG, and there are many other global or sectoral platforms for the business sector such as Business4Nature and the Finance for Biodiversity networks), </w:t>
      </w:r>
    </w:p>
    <w:p w14:paraId="1CF65C82" w14:textId="77777777" w:rsidR="00ED260B" w:rsidRPr="00F30CE4" w:rsidRDefault="00ED260B" w:rsidP="003607BB">
      <w:pPr>
        <w:pStyle w:val="ListParagraph"/>
        <w:widowControl/>
        <w:contextualSpacing w:val="0"/>
        <w:jc w:val="both"/>
        <w:rPr>
          <w:rFonts w:cs="Arial"/>
          <w:sz w:val="20"/>
          <w:lang w:val="en-US"/>
        </w:rPr>
      </w:pPr>
    </w:p>
    <w:p w14:paraId="2D832336" w14:textId="36C57FBF" w:rsidR="006D4110" w:rsidRPr="00F30CE4" w:rsidRDefault="006D4110" w:rsidP="003607BB">
      <w:pPr>
        <w:pStyle w:val="ListParagraph"/>
        <w:numPr>
          <w:ilvl w:val="0"/>
          <w:numId w:val="26"/>
        </w:numPr>
        <w:jc w:val="both"/>
        <w:rPr>
          <w:rFonts w:cs="Arial"/>
          <w:b/>
          <w:bCs/>
          <w:sz w:val="20"/>
        </w:rPr>
      </w:pPr>
      <w:r w:rsidRPr="00D433B9">
        <w:rPr>
          <w:rFonts w:cs="Arial"/>
          <w:b/>
          <w:sz w:val="20"/>
        </w:rPr>
        <w:t>Lori Anna Conzo, Global Biodiversity Lead, I</w:t>
      </w:r>
      <w:r w:rsidR="00632509" w:rsidRPr="00F30CE4">
        <w:rPr>
          <w:rFonts w:cs="Arial"/>
          <w:b/>
          <w:bCs/>
          <w:sz w:val="20"/>
        </w:rPr>
        <w:t xml:space="preserve">nternational </w:t>
      </w:r>
      <w:r w:rsidRPr="00F30CE4">
        <w:rPr>
          <w:rFonts w:cs="Arial"/>
          <w:b/>
          <w:bCs/>
          <w:sz w:val="20"/>
        </w:rPr>
        <w:t>F</w:t>
      </w:r>
      <w:r w:rsidR="00632509" w:rsidRPr="00F30CE4">
        <w:rPr>
          <w:rFonts w:cs="Arial"/>
          <w:b/>
          <w:bCs/>
          <w:sz w:val="20"/>
        </w:rPr>
        <w:t xml:space="preserve">inance </w:t>
      </w:r>
      <w:r w:rsidRPr="00F30CE4">
        <w:rPr>
          <w:rFonts w:cs="Arial"/>
          <w:b/>
          <w:bCs/>
          <w:sz w:val="20"/>
        </w:rPr>
        <w:t>C</w:t>
      </w:r>
      <w:r w:rsidR="00632509" w:rsidRPr="00F30CE4">
        <w:rPr>
          <w:rFonts w:cs="Arial"/>
          <w:b/>
          <w:bCs/>
          <w:sz w:val="20"/>
        </w:rPr>
        <w:t>orporation (World Bank Group)</w:t>
      </w:r>
    </w:p>
    <w:p w14:paraId="7FE43E9C" w14:textId="77777777" w:rsidR="00A22159" w:rsidRPr="00D433B9" w:rsidRDefault="00A22159" w:rsidP="003607BB">
      <w:pPr>
        <w:pStyle w:val="ListParagraph"/>
        <w:jc w:val="both"/>
        <w:rPr>
          <w:rFonts w:cs="Arial"/>
          <w:b/>
          <w:bCs/>
          <w:sz w:val="20"/>
        </w:rPr>
      </w:pPr>
    </w:p>
    <w:p w14:paraId="36C1FB19" w14:textId="7B3DD804" w:rsidR="006D4110" w:rsidRPr="00F30CE4" w:rsidRDefault="006D4110" w:rsidP="003607BB">
      <w:pPr>
        <w:jc w:val="both"/>
        <w:rPr>
          <w:rFonts w:cs="Arial"/>
          <w:sz w:val="20"/>
          <w:szCs w:val="20"/>
        </w:rPr>
      </w:pPr>
      <w:r w:rsidRPr="00F30CE4">
        <w:rPr>
          <w:rFonts w:cs="Arial"/>
          <w:sz w:val="20"/>
          <w:szCs w:val="20"/>
        </w:rPr>
        <w:t xml:space="preserve">The draft </w:t>
      </w:r>
      <w:r w:rsidRPr="00F30CE4">
        <w:rPr>
          <w:rFonts w:cs="Arial"/>
          <w:i/>
          <w:iCs/>
          <w:sz w:val="20"/>
          <w:szCs w:val="20"/>
        </w:rPr>
        <w:t>Good Practice Handbook on Post-construction Bird and Bat Fatality Monitoring (PCFM) for Onshore Wind Energy Projects in Emerging Market Countries</w:t>
      </w:r>
      <w:r w:rsidRPr="00F30CE4">
        <w:rPr>
          <w:rFonts w:cs="Arial"/>
          <w:sz w:val="20"/>
          <w:szCs w:val="20"/>
        </w:rPr>
        <w:t xml:space="preserve"> being developed by IFC, EBRD and </w:t>
      </w:r>
      <w:proofErr w:type="spellStart"/>
      <w:r w:rsidRPr="00F30CE4">
        <w:rPr>
          <w:rFonts w:cs="Arial"/>
          <w:sz w:val="20"/>
          <w:szCs w:val="20"/>
        </w:rPr>
        <w:t>KfW</w:t>
      </w:r>
      <w:proofErr w:type="spellEnd"/>
      <w:r w:rsidRPr="00F30CE4">
        <w:rPr>
          <w:rFonts w:cs="Arial"/>
          <w:sz w:val="20"/>
          <w:szCs w:val="20"/>
        </w:rPr>
        <w:t xml:space="preserve"> was distributed to the ETF for comment on November 23</w:t>
      </w:r>
      <w:r w:rsidRPr="00F30CE4">
        <w:rPr>
          <w:rFonts w:cs="Arial"/>
          <w:sz w:val="20"/>
          <w:szCs w:val="20"/>
          <w:vertAlign w:val="superscript"/>
        </w:rPr>
        <w:t>rd</w:t>
      </w:r>
      <w:r w:rsidRPr="00F30CE4">
        <w:rPr>
          <w:rFonts w:cs="Arial"/>
          <w:sz w:val="20"/>
          <w:szCs w:val="20"/>
        </w:rPr>
        <w:t>. The Handbook and its accompanying spreadsheet-based Decision Support Tool (DST) is available for comment by Friday December 10th.</w:t>
      </w:r>
      <w:r w:rsidR="008D702D">
        <w:rPr>
          <w:rFonts w:cs="Arial"/>
          <w:sz w:val="20"/>
          <w:szCs w:val="20"/>
        </w:rPr>
        <w:t xml:space="preserve"> </w:t>
      </w:r>
      <w:r w:rsidRPr="00F30CE4">
        <w:rPr>
          <w:rFonts w:cs="Arial"/>
          <w:sz w:val="20"/>
          <w:szCs w:val="20"/>
        </w:rPr>
        <w:t>The ETF is requested to respond to the questions provided in the e-mail message and reply to Rhiannon Niven. We are especially interested in perspectives from colleagues working in emerging markets.”</w:t>
      </w:r>
    </w:p>
    <w:p w14:paraId="4ACAC825" w14:textId="77777777" w:rsidR="006D4110" w:rsidRPr="00F30CE4" w:rsidRDefault="006D4110" w:rsidP="003607BB">
      <w:pPr>
        <w:jc w:val="both"/>
        <w:rPr>
          <w:rFonts w:cs="Arial"/>
          <w:sz w:val="20"/>
          <w:szCs w:val="20"/>
        </w:rPr>
      </w:pPr>
    </w:p>
    <w:p w14:paraId="606D1A04" w14:textId="655809CA" w:rsidR="006D4110" w:rsidRPr="00F30CE4" w:rsidRDefault="006D4110" w:rsidP="003607BB">
      <w:pPr>
        <w:jc w:val="both"/>
        <w:rPr>
          <w:rFonts w:cs="Arial"/>
          <w:sz w:val="20"/>
          <w:szCs w:val="20"/>
        </w:rPr>
      </w:pPr>
      <w:r w:rsidRPr="00F30CE4">
        <w:rPr>
          <w:rFonts w:cs="Arial"/>
          <w:sz w:val="20"/>
          <w:szCs w:val="20"/>
        </w:rPr>
        <w:t xml:space="preserve">“IFC is in the process of developing a short “Tip Sheet” entitled </w:t>
      </w:r>
      <w:r w:rsidRPr="00F30CE4">
        <w:rPr>
          <w:rFonts w:cs="Arial"/>
          <w:i/>
          <w:iCs/>
          <w:sz w:val="20"/>
          <w:szCs w:val="20"/>
        </w:rPr>
        <w:t>Preventing bird electrocution on power distribution lines</w:t>
      </w:r>
      <w:r w:rsidRPr="00F30CE4">
        <w:rPr>
          <w:rFonts w:cs="Arial"/>
          <w:sz w:val="20"/>
          <w:szCs w:val="20"/>
        </w:rPr>
        <w:t>. This document will build on the former version circulated by the International Association for Falconry and Conservation of Birds of Prey and should be available in Q1 2022.”</w:t>
      </w:r>
    </w:p>
    <w:p w14:paraId="58518A95" w14:textId="44FA44C8" w:rsidR="006D4110" w:rsidRPr="00F30CE4" w:rsidRDefault="006D4110" w:rsidP="003607BB">
      <w:pPr>
        <w:jc w:val="both"/>
        <w:rPr>
          <w:rFonts w:cs="Arial"/>
          <w:sz w:val="20"/>
          <w:szCs w:val="20"/>
          <w:lang w:val="en-GB"/>
        </w:rPr>
      </w:pPr>
    </w:p>
    <w:p w14:paraId="72714B73" w14:textId="1E72D4F1" w:rsidR="0016332F" w:rsidRPr="00F30CE4" w:rsidRDefault="0016332F" w:rsidP="003607BB">
      <w:pPr>
        <w:pStyle w:val="ListParagraph"/>
        <w:numPr>
          <w:ilvl w:val="0"/>
          <w:numId w:val="26"/>
        </w:numPr>
        <w:jc w:val="both"/>
        <w:rPr>
          <w:rFonts w:cs="Arial"/>
          <w:b/>
          <w:bCs/>
          <w:sz w:val="20"/>
        </w:rPr>
      </w:pPr>
      <w:r w:rsidRPr="00D433B9">
        <w:rPr>
          <w:rFonts w:cs="Arial"/>
          <w:b/>
          <w:sz w:val="20"/>
        </w:rPr>
        <w:t xml:space="preserve">Catherine Numa, </w:t>
      </w:r>
      <w:r w:rsidR="00E96346" w:rsidRPr="00F30CE4">
        <w:rPr>
          <w:rFonts w:cs="Arial"/>
          <w:b/>
          <w:bCs/>
          <w:sz w:val="20"/>
        </w:rPr>
        <w:t xml:space="preserve">Program Coordinator, </w:t>
      </w:r>
      <w:r w:rsidRPr="00F30CE4">
        <w:rPr>
          <w:rFonts w:cs="Arial"/>
          <w:b/>
          <w:bCs/>
          <w:sz w:val="20"/>
        </w:rPr>
        <w:t>IUCN Mediterranean Center</w:t>
      </w:r>
      <w:r w:rsidRPr="00F30CE4">
        <w:rPr>
          <w:rFonts w:cs="Arial"/>
          <w:b/>
          <w:bCs/>
          <w:sz w:val="20"/>
        </w:rPr>
        <w:tab/>
      </w:r>
    </w:p>
    <w:p w14:paraId="502D98C7" w14:textId="77777777" w:rsidR="0016332F" w:rsidRPr="00F30CE4" w:rsidRDefault="0016332F" w:rsidP="003607BB">
      <w:pPr>
        <w:jc w:val="both"/>
        <w:rPr>
          <w:rFonts w:cs="Arial"/>
          <w:sz w:val="20"/>
          <w:szCs w:val="20"/>
          <w:lang w:val="en-GB"/>
        </w:rPr>
      </w:pPr>
    </w:p>
    <w:p w14:paraId="564D67F7" w14:textId="1004C977" w:rsidR="000D3816" w:rsidRPr="000D3816" w:rsidRDefault="000D3816" w:rsidP="003607BB">
      <w:pPr>
        <w:jc w:val="both"/>
        <w:rPr>
          <w:rFonts w:cs="Arial"/>
          <w:sz w:val="20"/>
          <w:szCs w:val="20"/>
        </w:rPr>
      </w:pPr>
      <w:r w:rsidRPr="000D3816">
        <w:rPr>
          <w:rFonts w:cs="Arial"/>
          <w:sz w:val="20"/>
          <w:szCs w:val="20"/>
        </w:rPr>
        <w:t xml:space="preserve">The IUCN Centre for Mediterranean Cooperation has been busy with the </w:t>
      </w:r>
      <w:proofErr w:type="spellStart"/>
      <w:r w:rsidRPr="000D3816">
        <w:rPr>
          <w:rFonts w:cs="Arial"/>
          <w:sz w:val="20"/>
          <w:szCs w:val="20"/>
        </w:rPr>
        <w:t>finalisation</w:t>
      </w:r>
      <w:proofErr w:type="spellEnd"/>
      <w:r w:rsidRPr="000D3816">
        <w:rPr>
          <w:rFonts w:cs="Arial"/>
          <w:sz w:val="20"/>
          <w:szCs w:val="20"/>
        </w:rPr>
        <w:t xml:space="preserve"> of the English version of the IUCN Guidelines for Powerline and Wildlife. The Guidelines and their contents will be briefly discussed. In addition to this, the IUCN will share updates on:</w:t>
      </w:r>
    </w:p>
    <w:p w14:paraId="729A651D" w14:textId="22B18A69" w:rsidR="000D3816" w:rsidRPr="000D3816" w:rsidRDefault="000D3816" w:rsidP="003607BB">
      <w:pPr>
        <w:pStyle w:val="ListParagraph"/>
        <w:widowControl/>
        <w:numPr>
          <w:ilvl w:val="0"/>
          <w:numId w:val="29"/>
        </w:numPr>
        <w:contextualSpacing w:val="0"/>
        <w:jc w:val="both"/>
        <w:rPr>
          <w:rFonts w:eastAsiaTheme="minorHAnsi" w:cs="Arial"/>
          <w:snapToGrid/>
          <w:sz w:val="20"/>
          <w:lang w:val="en-US"/>
        </w:rPr>
      </w:pPr>
      <w:r w:rsidRPr="000D3816">
        <w:rPr>
          <w:rFonts w:eastAsiaTheme="minorHAnsi" w:cs="Arial"/>
          <w:snapToGrid/>
          <w:sz w:val="20"/>
          <w:lang w:val="en-US"/>
        </w:rPr>
        <w:t>An analysis of blackspots in Morocco</w:t>
      </w:r>
    </w:p>
    <w:p w14:paraId="28260971" w14:textId="4DF3FF77" w:rsidR="000D3816" w:rsidRDefault="000D3816" w:rsidP="003607BB">
      <w:pPr>
        <w:pStyle w:val="ListParagraph"/>
        <w:widowControl/>
        <w:numPr>
          <w:ilvl w:val="0"/>
          <w:numId w:val="29"/>
        </w:numPr>
        <w:contextualSpacing w:val="0"/>
        <w:jc w:val="both"/>
        <w:rPr>
          <w:rFonts w:eastAsiaTheme="minorHAnsi" w:cs="Arial"/>
          <w:snapToGrid/>
          <w:sz w:val="20"/>
          <w:lang w:val="en-US"/>
        </w:rPr>
      </w:pPr>
      <w:r w:rsidRPr="000D3816">
        <w:rPr>
          <w:rFonts w:eastAsiaTheme="minorHAnsi" w:cs="Arial"/>
          <w:snapToGrid/>
          <w:sz w:val="20"/>
          <w:lang w:val="en-US"/>
        </w:rPr>
        <w:t>The update of the e-fauna alert app with new functionalities</w:t>
      </w:r>
    </w:p>
    <w:p w14:paraId="249C6015" w14:textId="01BAD627" w:rsidR="00C23B45" w:rsidRPr="000D3816" w:rsidRDefault="00C23B45" w:rsidP="003607BB">
      <w:pPr>
        <w:pStyle w:val="ListParagraph"/>
        <w:widowControl/>
        <w:numPr>
          <w:ilvl w:val="0"/>
          <w:numId w:val="29"/>
        </w:numPr>
        <w:contextualSpacing w:val="0"/>
        <w:jc w:val="both"/>
        <w:rPr>
          <w:rFonts w:eastAsiaTheme="minorHAnsi" w:cs="Arial"/>
          <w:snapToGrid/>
          <w:sz w:val="20"/>
          <w:lang w:val="en-US"/>
        </w:rPr>
      </w:pPr>
      <w:r>
        <w:rPr>
          <w:rFonts w:eastAsiaTheme="minorHAnsi" w:cs="Arial"/>
          <w:snapToGrid/>
          <w:sz w:val="20"/>
          <w:lang w:val="en-US"/>
        </w:rPr>
        <w:t>R</w:t>
      </w:r>
      <w:r w:rsidRPr="00C23B45">
        <w:rPr>
          <w:rFonts w:eastAsiaTheme="minorHAnsi" w:cs="Arial"/>
          <w:snapToGrid/>
          <w:sz w:val="20"/>
          <w:lang w:val="en-US"/>
        </w:rPr>
        <w:t>ecently launched Red List of North African breeding raptors</w:t>
      </w:r>
    </w:p>
    <w:p w14:paraId="5644E9EC" w14:textId="77777777" w:rsidR="000D3816" w:rsidRPr="000D3816" w:rsidRDefault="000D3816" w:rsidP="003607BB">
      <w:pPr>
        <w:pStyle w:val="ListParagraph"/>
        <w:widowControl/>
        <w:numPr>
          <w:ilvl w:val="0"/>
          <w:numId w:val="29"/>
        </w:numPr>
        <w:contextualSpacing w:val="0"/>
        <w:jc w:val="both"/>
        <w:rPr>
          <w:rFonts w:eastAsiaTheme="minorHAnsi" w:cs="Arial"/>
          <w:snapToGrid/>
          <w:sz w:val="20"/>
          <w:lang w:val="en-US"/>
        </w:rPr>
      </w:pPr>
      <w:r w:rsidRPr="000D3816">
        <w:rPr>
          <w:rFonts w:eastAsiaTheme="minorHAnsi" w:cs="Arial"/>
          <w:snapToGrid/>
          <w:sz w:val="20"/>
          <w:lang w:val="en-US"/>
        </w:rPr>
        <w:t>A Massive Open Online Course (MOOC) in French to identify impacts of powerlines on wildlife.</w:t>
      </w:r>
    </w:p>
    <w:p w14:paraId="4BCF0753" w14:textId="13B89464" w:rsidR="00B20A2B" w:rsidRPr="00F30CE4" w:rsidRDefault="00B20A2B" w:rsidP="003607BB">
      <w:pPr>
        <w:jc w:val="both"/>
        <w:rPr>
          <w:rFonts w:cs="Arial"/>
          <w:sz w:val="20"/>
          <w:szCs w:val="20"/>
          <w:lang w:val="en-GB"/>
        </w:rPr>
      </w:pPr>
    </w:p>
    <w:p w14:paraId="2B218184" w14:textId="77777777" w:rsidR="00EA37CD" w:rsidRPr="00F30CE4" w:rsidRDefault="00EA37CD" w:rsidP="003607BB">
      <w:pPr>
        <w:jc w:val="both"/>
        <w:rPr>
          <w:rFonts w:cs="Arial"/>
          <w:sz w:val="20"/>
          <w:szCs w:val="20"/>
          <w:lang w:val="en-GB"/>
        </w:rPr>
      </w:pPr>
    </w:p>
    <w:sectPr w:rsidR="00EA37CD" w:rsidRPr="00F30CE4" w:rsidSect="004641A5">
      <w:headerReference w:type="even" r:id="rId22"/>
      <w:headerReference w:type="default" r:id="rId23"/>
      <w:footerReference w:type="even" r:id="rId24"/>
      <w:footerReference w:type="default" r:id="rId25"/>
      <w:headerReference w:type="first" r:id="rId26"/>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B515E" w14:textId="77777777" w:rsidR="00952A01" w:rsidRDefault="00952A01" w:rsidP="008562CA">
      <w:r>
        <w:separator/>
      </w:r>
    </w:p>
  </w:endnote>
  <w:endnote w:type="continuationSeparator" w:id="0">
    <w:p w14:paraId="7748288F" w14:textId="77777777" w:rsidR="00952A01" w:rsidRDefault="00952A01" w:rsidP="008562CA">
      <w:r>
        <w:continuationSeparator/>
      </w:r>
    </w:p>
  </w:endnote>
  <w:endnote w:type="continuationNotice" w:id="1">
    <w:p w14:paraId="5488D0FC" w14:textId="77777777" w:rsidR="00952A01" w:rsidRDefault="00952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501848836"/>
      <w:docPartObj>
        <w:docPartGallery w:val="Page Numbers (Bottom of Page)"/>
        <w:docPartUnique/>
      </w:docPartObj>
    </w:sdtPr>
    <w:sdtEndPr>
      <w:rPr>
        <w:noProof/>
      </w:rPr>
    </w:sdtEndPr>
    <w:sdtContent>
      <w:p w14:paraId="0BA60067" w14:textId="62325E95"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F6223C">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2089192853"/>
      <w:docPartObj>
        <w:docPartGallery w:val="Page Numbers (Bottom of Page)"/>
        <w:docPartUnique/>
      </w:docPartObj>
    </w:sdtPr>
    <w:sdtEndPr>
      <w:rPr>
        <w:noProof/>
      </w:rPr>
    </w:sdtEndPr>
    <w:sdtContent>
      <w:p w14:paraId="552578B9" w14:textId="27C290E2"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F6223C">
          <w:rPr>
            <w:noProof/>
            <w:sz w:val="18"/>
            <w:szCs w:val="18"/>
          </w:rPr>
          <w:t>3</w:t>
        </w:r>
        <w:r w:rsidRPr="004641A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48799" w14:textId="77777777" w:rsidR="00952A01" w:rsidRDefault="00952A01" w:rsidP="008562CA">
      <w:r>
        <w:separator/>
      </w:r>
    </w:p>
  </w:footnote>
  <w:footnote w:type="continuationSeparator" w:id="0">
    <w:p w14:paraId="15BD29A2" w14:textId="77777777" w:rsidR="00952A01" w:rsidRDefault="00952A01" w:rsidP="008562CA">
      <w:r>
        <w:continuationSeparator/>
      </w:r>
    </w:p>
  </w:footnote>
  <w:footnote w:type="continuationNotice" w:id="1">
    <w:p w14:paraId="44EFC55E" w14:textId="77777777" w:rsidR="00952A01" w:rsidRDefault="00952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9B1FE" w14:textId="1781B61A" w:rsidR="004641A5" w:rsidRPr="004641A5" w:rsidRDefault="00364356" w:rsidP="004641A5">
    <w:pPr>
      <w:pBdr>
        <w:bottom w:val="single" w:sz="4" w:space="1" w:color="auto"/>
      </w:pBdr>
      <w:rPr>
        <w:rFonts w:cs="Arial"/>
        <w:i/>
        <w:iCs/>
        <w:sz w:val="18"/>
        <w:szCs w:val="18"/>
        <w:lang w:val="en-GB"/>
      </w:rPr>
    </w:pPr>
    <w:r>
      <w:rPr>
        <w:rFonts w:cs="Arial"/>
        <w:i/>
        <w:iCs/>
        <w:sz w:val="18"/>
        <w:szCs w:val="18"/>
        <w:lang w:val="en-GB"/>
      </w:rPr>
      <w:t>ETF_VM</w:t>
    </w:r>
    <w:r w:rsidR="004050E4">
      <w:rPr>
        <w:rFonts w:cs="Arial"/>
        <w:i/>
        <w:iCs/>
        <w:sz w:val="18"/>
        <w:szCs w:val="18"/>
        <w:lang w:val="en-GB"/>
      </w:rPr>
      <w:t>_Dec21</w:t>
    </w:r>
    <w:r w:rsidR="004641A5" w:rsidRPr="004641A5">
      <w:rPr>
        <w:rFonts w:cs="Arial"/>
        <w:i/>
        <w:iCs/>
        <w:sz w:val="18"/>
        <w:szCs w:val="18"/>
        <w:lang w:val="en-GB"/>
      </w:rPr>
      <w:t>/Doc.</w:t>
    </w:r>
    <w:r w:rsidR="002917CA">
      <w:rPr>
        <w:rFonts w:cs="Arial"/>
        <w:i/>
        <w:iCs/>
        <w:sz w:val="18"/>
        <w:szCs w:val="18"/>
        <w:lang w:val="en-GB"/>
      </w:rPr>
      <w:t>2</w:t>
    </w:r>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FBD31" w14:textId="0CF96CAF" w:rsidR="004641A5" w:rsidRPr="004641A5" w:rsidRDefault="00364356" w:rsidP="004641A5">
    <w:pPr>
      <w:pBdr>
        <w:bottom w:val="single" w:sz="4" w:space="1" w:color="auto"/>
      </w:pBdr>
      <w:jc w:val="right"/>
      <w:rPr>
        <w:rFonts w:cs="Arial"/>
        <w:i/>
        <w:iCs/>
        <w:sz w:val="18"/>
        <w:szCs w:val="18"/>
        <w:lang w:val="en-GB"/>
      </w:rPr>
    </w:pPr>
    <w:r>
      <w:rPr>
        <w:rFonts w:cs="Arial"/>
        <w:i/>
        <w:iCs/>
        <w:sz w:val="18"/>
        <w:szCs w:val="18"/>
        <w:lang w:val="en-GB"/>
      </w:rPr>
      <w:t>ETF_VM</w:t>
    </w:r>
    <w:r w:rsidR="004050E4">
      <w:rPr>
        <w:rFonts w:cs="Arial"/>
        <w:i/>
        <w:iCs/>
        <w:sz w:val="18"/>
        <w:szCs w:val="18"/>
        <w:lang w:val="en-GB"/>
      </w:rPr>
      <w:t>_Dec21</w:t>
    </w:r>
    <w:r w:rsidRPr="004641A5">
      <w:rPr>
        <w:rFonts w:cs="Arial"/>
        <w:i/>
        <w:iCs/>
        <w:sz w:val="18"/>
        <w:szCs w:val="18"/>
        <w:lang w:val="en-GB"/>
      </w:rPr>
      <w:t>/Doc.</w:t>
    </w:r>
    <w:r w:rsidR="002917CA">
      <w:rPr>
        <w:rFonts w:cs="Arial"/>
        <w:i/>
        <w:iCs/>
        <w:sz w:val="18"/>
        <w:szCs w:val="18"/>
        <w:lang w:val="en-GB"/>
      </w:rPr>
      <w:t>2</w:t>
    </w:r>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1984E" w14:textId="77777777" w:rsidR="00D3197C" w:rsidRDefault="004F08DB" w:rsidP="00D3197C">
    <w:pPr>
      <w:pStyle w:val="Header"/>
    </w:pPr>
    <w:r>
      <w:rPr>
        <w:noProof/>
        <w:lang w:val="en-GB" w:eastAsia="ja-JP"/>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ja-JP"/>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6"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lang w:val="en-GB" w:eastAsia="ja-JP"/>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9"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C51D0"/>
    <w:multiLevelType w:val="hybridMultilevel"/>
    <w:tmpl w:val="5B68F9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622C67"/>
    <w:multiLevelType w:val="hybridMultilevel"/>
    <w:tmpl w:val="0F745558"/>
    <w:lvl w:ilvl="0" w:tplc="04090001">
      <w:start w:val="1"/>
      <w:numFmt w:val="bullet"/>
      <w:lvlText w:val=""/>
      <w:lvlJc w:val="left"/>
      <w:pPr>
        <w:ind w:left="720" w:hanging="360"/>
      </w:pPr>
      <w:rPr>
        <w:rFonts w:ascii="Symbol" w:hAnsi="Symbol" w:hint="default"/>
      </w:rPr>
    </w:lvl>
    <w:lvl w:ilvl="1" w:tplc="F364088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41C09"/>
    <w:multiLevelType w:val="hybridMultilevel"/>
    <w:tmpl w:val="40103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3C613F"/>
    <w:multiLevelType w:val="hybridMultilevel"/>
    <w:tmpl w:val="1062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30671"/>
    <w:multiLevelType w:val="hybridMultilevel"/>
    <w:tmpl w:val="970C20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59D697B"/>
    <w:multiLevelType w:val="hybridMultilevel"/>
    <w:tmpl w:val="1F80E364"/>
    <w:lvl w:ilvl="0" w:tplc="F50C974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44BE5"/>
    <w:multiLevelType w:val="hybridMultilevel"/>
    <w:tmpl w:val="188069AA"/>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1D33CA"/>
    <w:multiLevelType w:val="hybridMultilevel"/>
    <w:tmpl w:val="2BD058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1" w15:restartNumberingAfterBreak="0">
    <w:nsid w:val="57E95991"/>
    <w:multiLevelType w:val="hybridMultilevel"/>
    <w:tmpl w:val="A0984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E205B3"/>
    <w:multiLevelType w:val="hybridMultilevel"/>
    <w:tmpl w:val="C78E1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C450256"/>
    <w:multiLevelType w:val="hybridMultilevel"/>
    <w:tmpl w:val="782CB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7261C8"/>
    <w:multiLevelType w:val="hybridMultilevel"/>
    <w:tmpl w:val="DC3E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756738BC"/>
    <w:multiLevelType w:val="hybridMultilevel"/>
    <w:tmpl w:val="78A0FF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00396B"/>
    <w:multiLevelType w:val="hybridMultilevel"/>
    <w:tmpl w:val="E586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29"/>
  </w:num>
  <w:num w:numId="4">
    <w:abstractNumId w:val="13"/>
  </w:num>
  <w:num w:numId="5">
    <w:abstractNumId w:val="8"/>
  </w:num>
  <w:num w:numId="6">
    <w:abstractNumId w:val="6"/>
  </w:num>
  <w:num w:numId="7">
    <w:abstractNumId w:val="25"/>
  </w:num>
  <w:num w:numId="8">
    <w:abstractNumId w:val="18"/>
  </w:num>
  <w:num w:numId="9">
    <w:abstractNumId w:val="11"/>
  </w:num>
  <w:num w:numId="10">
    <w:abstractNumId w:val="7"/>
  </w:num>
  <w:num w:numId="11">
    <w:abstractNumId w:val="0"/>
  </w:num>
  <w:num w:numId="12">
    <w:abstractNumId w:val="3"/>
  </w:num>
  <w:num w:numId="13">
    <w:abstractNumId w:val="27"/>
  </w:num>
  <w:num w:numId="14">
    <w:abstractNumId w:val="15"/>
  </w:num>
  <w:num w:numId="15">
    <w:abstractNumId w:val="17"/>
  </w:num>
  <w:num w:numId="16">
    <w:abstractNumId w:val="4"/>
  </w:num>
  <w:num w:numId="17">
    <w:abstractNumId w:val="24"/>
  </w:num>
  <w:num w:numId="18">
    <w:abstractNumId w:val="21"/>
  </w:num>
  <w:num w:numId="19">
    <w:abstractNumId w:val="5"/>
  </w:num>
  <w:num w:numId="20">
    <w:abstractNumId w:val="2"/>
  </w:num>
  <w:num w:numId="21">
    <w:abstractNumId w:val="28"/>
  </w:num>
  <w:num w:numId="22">
    <w:abstractNumId w:val="19"/>
  </w:num>
  <w:num w:numId="23">
    <w:abstractNumId w:val="26"/>
  </w:num>
  <w:num w:numId="24">
    <w:abstractNumId w:val="2"/>
  </w:num>
  <w:num w:numId="25">
    <w:abstractNumId w:val="30"/>
  </w:num>
  <w:num w:numId="26">
    <w:abstractNumId w:val="1"/>
  </w:num>
  <w:num w:numId="27">
    <w:abstractNumId w:val="23"/>
  </w:num>
  <w:num w:numId="28">
    <w:abstractNumId w:val="9"/>
  </w:num>
  <w:num w:numId="29">
    <w:abstractNumId w:val="22"/>
  </w:num>
  <w:num w:numId="30">
    <w:abstractNumId w:val="10"/>
  </w:num>
  <w:num w:numId="31">
    <w:abstractNumId w:val="1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4887"/>
    <w:rsid w:val="00005686"/>
    <w:rsid w:val="000127E2"/>
    <w:rsid w:val="0001687F"/>
    <w:rsid w:val="00021416"/>
    <w:rsid w:val="00027997"/>
    <w:rsid w:val="00034F7E"/>
    <w:rsid w:val="00051664"/>
    <w:rsid w:val="00056C0A"/>
    <w:rsid w:val="00063003"/>
    <w:rsid w:val="000634D9"/>
    <w:rsid w:val="00077D3A"/>
    <w:rsid w:val="000A52F9"/>
    <w:rsid w:val="000C2262"/>
    <w:rsid w:val="000D2CA2"/>
    <w:rsid w:val="000D3816"/>
    <w:rsid w:val="000F4744"/>
    <w:rsid w:val="000F535B"/>
    <w:rsid w:val="00137096"/>
    <w:rsid w:val="0016332F"/>
    <w:rsid w:val="0019680C"/>
    <w:rsid w:val="00197CFF"/>
    <w:rsid w:val="001A0467"/>
    <w:rsid w:val="001B12B6"/>
    <w:rsid w:val="001B7C41"/>
    <w:rsid w:val="001C400D"/>
    <w:rsid w:val="001C4051"/>
    <w:rsid w:val="001C4CA8"/>
    <w:rsid w:val="001D763C"/>
    <w:rsid w:val="001E463B"/>
    <w:rsid w:val="001E6C92"/>
    <w:rsid w:val="001F56E8"/>
    <w:rsid w:val="002018B7"/>
    <w:rsid w:val="002043D8"/>
    <w:rsid w:val="002247C7"/>
    <w:rsid w:val="00226F49"/>
    <w:rsid w:val="002334FB"/>
    <w:rsid w:val="00254642"/>
    <w:rsid w:val="00283DD3"/>
    <w:rsid w:val="002917CA"/>
    <w:rsid w:val="002938E4"/>
    <w:rsid w:val="002959F3"/>
    <w:rsid w:val="002A1BD9"/>
    <w:rsid w:val="002E2DC0"/>
    <w:rsid w:val="002F2584"/>
    <w:rsid w:val="002F27F7"/>
    <w:rsid w:val="00300F2B"/>
    <w:rsid w:val="00322CDA"/>
    <w:rsid w:val="003607BB"/>
    <w:rsid w:val="00364356"/>
    <w:rsid w:val="003B1347"/>
    <w:rsid w:val="003B5739"/>
    <w:rsid w:val="003C1A96"/>
    <w:rsid w:val="003C66F6"/>
    <w:rsid w:val="003D7753"/>
    <w:rsid w:val="003E16D3"/>
    <w:rsid w:val="004050E4"/>
    <w:rsid w:val="004128AE"/>
    <w:rsid w:val="00432E91"/>
    <w:rsid w:val="0043499A"/>
    <w:rsid w:val="0044177E"/>
    <w:rsid w:val="00442BC4"/>
    <w:rsid w:val="00450DD8"/>
    <w:rsid w:val="00455E4E"/>
    <w:rsid w:val="004624E3"/>
    <w:rsid w:val="004641A5"/>
    <w:rsid w:val="0046707E"/>
    <w:rsid w:val="0046772C"/>
    <w:rsid w:val="004821A3"/>
    <w:rsid w:val="00487A2E"/>
    <w:rsid w:val="00490FF8"/>
    <w:rsid w:val="004A42FA"/>
    <w:rsid w:val="004E4F23"/>
    <w:rsid w:val="004F08DB"/>
    <w:rsid w:val="004F1337"/>
    <w:rsid w:val="004F2739"/>
    <w:rsid w:val="005117B6"/>
    <w:rsid w:val="00526098"/>
    <w:rsid w:val="0053052C"/>
    <w:rsid w:val="005576EE"/>
    <w:rsid w:val="005A693F"/>
    <w:rsid w:val="005D00EE"/>
    <w:rsid w:val="005E1A0D"/>
    <w:rsid w:val="005E6301"/>
    <w:rsid w:val="005F2C43"/>
    <w:rsid w:val="006122CC"/>
    <w:rsid w:val="00621151"/>
    <w:rsid w:val="00621720"/>
    <w:rsid w:val="00621858"/>
    <w:rsid w:val="00632509"/>
    <w:rsid w:val="006361C8"/>
    <w:rsid w:val="006413C3"/>
    <w:rsid w:val="006429AA"/>
    <w:rsid w:val="00667E74"/>
    <w:rsid w:val="006923C9"/>
    <w:rsid w:val="006B0385"/>
    <w:rsid w:val="006D4110"/>
    <w:rsid w:val="006E02D5"/>
    <w:rsid w:val="006F18CB"/>
    <w:rsid w:val="006F26E4"/>
    <w:rsid w:val="0070669C"/>
    <w:rsid w:val="0071781C"/>
    <w:rsid w:val="00720368"/>
    <w:rsid w:val="00723D89"/>
    <w:rsid w:val="00741919"/>
    <w:rsid w:val="0075357E"/>
    <w:rsid w:val="00763277"/>
    <w:rsid w:val="00775125"/>
    <w:rsid w:val="00790056"/>
    <w:rsid w:val="007A4DE5"/>
    <w:rsid w:val="007B6888"/>
    <w:rsid w:val="007B6B0C"/>
    <w:rsid w:val="007C1611"/>
    <w:rsid w:val="007C1D6D"/>
    <w:rsid w:val="007D24D5"/>
    <w:rsid w:val="007E238D"/>
    <w:rsid w:val="007F6EBD"/>
    <w:rsid w:val="00807A55"/>
    <w:rsid w:val="00822E98"/>
    <w:rsid w:val="00834274"/>
    <w:rsid w:val="0084357D"/>
    <w:rsid w:val="00844F23"/>
    <w:rsid w:val="008562CA"/>
    <w:rsid w:val="00890890"/>
    <w:rsid w:val="008935AE"/>
    <w:rsid w:val="008947ED"/>
    <w:rsid w:val="008A1CB1"/>
    <w:rsid w:val="008D660D"/>
    <w:rsid w:val="008D702D"/>
    <w:rsid w:val="008D7252"/>
    <w:rsid w:val="008F2959"/>
    <w:rsid w:val="008F2DDD"/>
    <w:rsid w:val="008F32EF"/>
    <w:rsid w:val="00926030"/>
    <w:rsid w:val="009316B0"/>
    <w:rsid w:val="00952A01"/>
    <w:rsid w:val="00960632"/>
    <w:rsid w:val="00966666"/>
    <w:rsid w:val="00975E2E"/>
    <w:rsid w:val="009A012D"/>
    <w:rsid w:val="009A0DD0"/>
    <w:rsid w:val="009A40F8"/>
    <w:rsid w:val="009A5FD9"/>
    <w:rsid w:val="009B4A23"/>
    <w:rsid w:val="009C19C3"/>
    <w:rsid w:val="009D515F"/>
    <w:rsid w:val="009D5DA4"/>
    <w:rsid w:val="009E5321"/>
    <w:rsid w:val="009E7E9A"/>
    <w:rsid w:val="009F415B"/>
    <w:rsid w:val="00A1004B"/>
    <w:rsid w:val="00A21B78"/>
    <w:rsid w:val="00A22159"/>
    <w:rsid w:val="00A258AE"/>
    <w:rsid w:val="00A351CC"/>
    <w:rsid w:val="00A40CC0"/>
    <w:rsid w:val="00A51B0B"/>
    <w:rsid w:val="00A63C54"/>
    <w:rsid w:val="00A95BD7"/>
    <w:rsid w:val="00AB7979"/>
    <w:rsid w:val="00AD409C"/>
    <w:rsid w:val="00AF70B4"/>
    <w:rsid w:val="00B01040"/>
    <w:rsid w:val="00B04D49"/>
    <w:rsid w:val="00B11D38"/>
    <w:rsid w:val="00B20A2B"/>
    <w:rsid w:val="00B20B22"/>
    <w:rsid w:val="00B215D7"/>
    <w:rsid w:val="00B22433"/>
    <w:rsid w:val="00B3759D"/>
    <w:rsid w:val="00B43FA1"/>
    <w:rsid w:val="00B74A9A"/>
    <w:rsid w:val="00B81DCF"/>
    <w:rsid w:val="00B857F4"/>
    <w:rsid w:val="00B87570"/>
    <w:rsid w:val="00B87EDD"/>
    <w:rsid w:val="00B93013"/>
    <w:rsid w:val="00B94DF6"/>
    <w:rsid w:val="00BA1EEA"/>
    <w:rsid w:val="00BB42B7"/>
    <w:rsid w:val="00BC5D76"/>
    <w:rsid w:val="00BE48B7"/>
    <w:rsid w:val="00BE7C6B"/>
    <w:rsid w:val="00BF04C3"/>
    <w:rsid w:val="00BF28B8"/>
    <w:rsid w:val="00BF4D94"/>
    <w:rsid w:val="00C00DB1"/>
    <w:rsid w:val="00C04673"/>
    <w:rsid w:val="00C23B45"/>
    <w:rsid w:val="00C37847"/>
    <w:rsid w:val="00C379D7"/>
    <w:rsid w:val="00C40870"/>
    <w:rsid w:val="00C51531"/>
    <w:rsid w:val="00C515BD"/>
    <w:rsid w:val="00C80CD8"/>
    <w:rsid w:val="00C86EF7"/>
    <w:rsid w:val="00C93201"/>
    <w:rsid w:val="00C94F71"/>
    <w:rsid w:val="00CA07B2"/>
    <w:rsid w:val="00CB62DF"/>
    <w:rsid w:val="00CB655F"/>
    <w:rsid w:val="00CD1F0B"/>
    <w:rsid w:val="00CD2E36"/>
    <w:rsid w:val="00CD33F4"/>
    <w:rsid w:val="00CE06BF"/>
    <w:rsid w:val="00CF6211"/>
    <w:rsid w:val="00D1132C"/>
    <w:rsid w:val="00D15371"/>
    <w:rsid w:val="00D157CC"/>
    <w:rsid w:val="00D16425"/>
    <w:rsid w:val="00D210D9"/>
    <w:rsid w:val="00D3197C"/>
    <w:rsid w:val="00D33DE2"/>
    <w:rsid w:val="00D4196E"/>
    <w:rsid w:val="00D433B9"/>
    <w:rsid w:val="00D511BE"/>
    <w:rsid w:val="00D6324F"/>
    <w:rsid w:val="00D91A47"/>
    <w:rsid w:val="00DA207A"/>
    <w:rsid w:val="00DA498A"/>
    <w:rsid w:val="00DB5F96"/>
    <w:rsid w:val="00DC7969"/>
    <w:rsid w:val="00DD26F8"/>
    <w:rsid w:val="00DD4F51"/>
    <w:rsid w:val="00DD5B36"/>
    <w:rsid w:val="00DE3CA4"/>
    <w:rsid w:val="00E04B9C"/>
    <w:rsid w:val="00E125C8"/>
    <w:rsid w:val="00E146EF"/>
    <w:rsid w:val="00E24AC0"/>
    <w:rsid w:val="00E402C1"/>
    <w:rsid w:val="00E50C11"/>
    <w:rsid w:val="00E62D70"/>
    <w:rsid w:val="00E671AE"/>
    <w:rsid w:val="00E7426E"/>
    <w:rsid w:val="00E90B6B"/>
    <w:rsid w:val="00E96064"/>
    <w:rsid w:val="00E96346"/>
    <w:rsid w:val="00EA37CD"/>
    <w:rsid w:val="00ED260B"/>
    <w:rsid w:val="00ED7BDC"/>
    <w:rsid w:val="00EE4BD3"/>
    <w:rsid w:val="00EE6DE6"/>
    <w:rsid w:val="00EE795A"/>
    <w:rsid w:val="00EF7791"/>
    <w:rsid w:val="00F01E83"/>
    <w:rsid w:val="00F0334E"/>
    <w:rsid w:val="00F2582E"/>
    <w:rsid w:val="00F27129"/>
    <w:rsid w:val="00F30CE4"/>
    <w:rsid w:val="00F30FE6"/>
    <w:rsid w:val="00F4206A"/>
    <w:rsid w:val="00F57D65"/>
    <w:rsid w:val="00F6223C"/>
    <w:rsid w:val="00F64D3E"/>
    <w:rsid w:val="00F70A63"/>
    <w:rsid w:val="00F90DCA"/>
    <w:rsid w:val="00F90F15"/>
    <w:rsid w:val="00FB7995"/>
    <w:rsid w:val="00FC641D"/>
    <w:rsid w:val="00FD42DC"/>
    <w:rsid w:val="0105657D"/>
    <w:rsid w:val="02E9B442"/>
    <w:rsid w:val="032897E1"/>
    <w:rsid w:val="0366998E"/>
    <w:rsid w:val="05443587"/>
    <w:rsid w:val="0585C463"/>
    <w:rsid w:val="06EAB923"/>
    <w:rsid w:val="079EC810"/>
    <w:rsid w:val="09AA0C80"/>
    <w:rsid w:val="09CC3356"/>
    <w:rsid w:val="0A48AF9B"/>
    <w:rsid w:val="0AF8508E"/>
    <w:rsid w:val="0B06966B"/>
    <w:rsid w:val="0B83E364"/>
    <w:rsid w:val="0BA8D759"/>
    <w:rsid w:val="0BCA816E"/>
    <w:rsid w:val="0DAF631F"/>
    <w:rsid w:val="0E4788A0"/>
    <w:rsid w:val="10552978"/>
    <w:rsid w:val="1127EF6D"/>
    <w:rsid w:val="11286E00"/>
    <w:rsid w:val="115747B9"/>
    <w:rsid w:val="1174AC71"/>
    <w:rsid w:val="127E24B4"/>
    <w:rsid w:val="138CFF75"/>
    <w:rsid w:val="1444B1B9"/>
    <w:rsid w:val="146E9F2F"/>
    <w:rsid w:val="15B4F65B"/>
    <w:rsid w:val="16853589"/>
    <w:rsid w:val="16B62A41"/>
    <w:rsid w:val="16F7C172"/>
    <w:rsid w:val="170B2758"/>
    <w:rsid w:val="17121364"/>
    <w:rsid w:val="178550F4"/>
    <w:rsid w:val="17C839D6"/>
    <w:rsid w:val="18725C56"/>
    <w:rsid w:val="1AF9AF1A"/>
    <w:rsid w:val="1AFDAF89"/>
    <w:rsid w:val="1D78DE92"/>
    <w:rsid w:val="1D7F93DB"/>
    <w:rsid w:val="1E9D450C"/>
    <w:rsid w:val="1F1D2549"/>
    <w:rsid w:val="1F9062D9"/>
    <w:rsid w:val="1FB332F2"/>
    <w:rsid w:val="20133339"/>
    <w:rsid w:val="2022E268"/>
    <w:rsid w:val="20B01794"/>
    <w:rsid w:val="20FDA221"/>
    <w:rsid w:val="22A5454D"/>
    <w:rsid w:val="23B92109"/>
    <w:rsid w:val="25185480"/>
    <w:rsid w:val="28EE1514"/>
    <w:rsid w:val="2948F341"/>
    <w:rsid w:val="29716BDB"/>
    <w:rsid w:val="298ED18C"/>
    <w:rsid w:val="2A0DD21B"/>
    <w:rsid w:val="2A87F86E"/>
    <w:rsid w:val="2B0CE2E7"/>
    <w:rsid w:val="2B46D341"/>
    <w:rsid w:val="2CFC2287"/>
    <w:rsid w:val="2D15C55A"/>
    <w:rsid w:val="2D73D874"/>
    <w:rsid w:val="2DB9FE53"/>
    <w:rsid w:val="2E8B3BA5"/>
    <w:rsid w:val="2F351E73"/>
    <w:rsid w:val="2FAE7429"/>
    <w:rsid w:val="30DE09DD"/>
    <w:rsid w:val="31369B0B"/>
    <w:rsid w:val="3420BBD4"/>
    <w:rsid w:val="3510A83E"/>
    <w:rsid w:val="358DD21A"/>
    <w:rsid w:val="372BA7B4"/>
    <w:rsid w:val="37B06A93"/>
    <w:rsid w:val="37CA1E36"/>
    <w:rsid w:val="37DBBEAF"/>
    <w:rsid w:val="3907A78F"/>
    <w:rsid w:val="393C2E12"/>
    <w:rsid w:val="3B463637"/>
    <w:rsid w:val="3BAEEFD5"/>
    <w:rsid w:val="3C445943"/>
    <w:rsid w:val="3C73CED4"/>
    <w:rsid w:val="3D3D414E"/>
    <w:rsid w:val="3DA78551"/>
    <w:rsid w:val="3F73488C"/>
    <w:rsid w:val="3FE45582"/>
    <w:rsid w:val="4117CA66"/>
    <w:rsid w:val="41233FAA"/>
    <w:rsid w:val="418CEE8E"/>
    <w:rsid w:val="41BFD7D4"/>
    <w:rsid w:val="426FD2C8"/>
    <w:rsid w:val="42814F68"/>
    <w:rsid w:val="42888869"/>
    <w:rsid w:val="44AC92B5"/>
    <w:rsid w:val="44C2A8B8"/>
    <w:rsid w:val="461255C2"/>
    <w:rsid w:val="470B3710"/>
    <w:rsid w:val="476F2C27"/>
    <w:rsid w:val="480E0DE8"/>
    <w:rsid w:val="48A01705"/>
    <w:rsid w:val="48C8FE30"/>
    <w:rsid w:val="4B7B100B"/>
    <w:rsid w:val="4C7CF342"/>
    <w:rsid w:val="4C8B2C5C"/>
    <w:rsid w:val="4CA30FC4"/>
    <w:rsid w:val="4DB8DAD2"/>
    <w:rsid w:val="4F5ED015"/>
    <w:rsid w:val="4F6C432E"/>
    <w:rsid w:val="518DED33"/>
    <w:rsid w:val="51A91946"/>
    <w:rsid w:val="5230B5F7"/>
    <w:rsid w:val="52E5EB3E"/>
    <w:rsid w:val="5379B985"/>
    <w:rsid w:val="543846F8"/>
    <w:rsid w:val="5459837A"/>
    <w:rsid w:val="549A3C35"/>
    <w:rsid w:val="56090F14"/>
    <w:rsid w:val="56F95586"/>
    <w:rsid w:val="57B7C8CA"/>
    <w:rsid w:val="582A21E2"/>
    <w:rsid w:val="58B95BDF"/>
    <w:rsid w:val="593CF65D"/>
    <w:rsid w:val="5A1B1F55"/>
    <w:rsid w:val="5B7A5389"/>
    <w:rsid w:val="5C8D96D2"/>
    <w:rsid w:val="5D2E9BC1"/>
    <w:rsid w:val="5ED26BC4"/>
    <w:rsid w:val="5EF4C02B"/>
    <w:rsid w:val="5FF695CC"/>
    <w:rsid w:val="603F1430"/>
    <w:rsid w:val="60E36853"/>
    <w:rsid w:val="63654CA5"/>
    <w:rsid w:val="647BB645"/>
    <w:rsid w:val="6486A492"/>
    <w:rsid w:val="65D3656F"/>
    <w:rsid w:val="6657F678"/>
    <w:rsid w:val="669CED67"/>
    <w:rsid w:val="66B6433A"/>
    <w:rsid w:val="66DBC0F0"/>
    <w:rsid w:val="6831CD5C"/>
    <w:rsid w:val="6866BE69"/>
    <w:rsid w:val="6926148B"/>
    <w:rsid w:val="6A778728"/>
    <w:rsid w:val="6AB6F943"/>
    <w:rsid w:val="6B89B45D"/>
    <w:rsid w:val="6C040291"/>
    <w:rsid w:val="6C4DED7D"/>
    <w:rsid w:val="6C75386E"/>
    <w:rsid w:val="70825684"/>
    <w:rsid w:val="71F8F5E1"/>
    <w:rsid w:val="72E73826"/>
    <w:rsid w:val="754211A8"/>
    <w:rsid w:val="76A78623"/>
    <w:rsid w:val="78B9311D"/>
    <w:rsid w:val="795ECB2D"/>
    <w:rsid w:val="79C96A3A"/>
    <w:rsid w:val="79DB3C89"/>
    <w:rsid w:val="79EB1B68"/>
    <w:rsid w:val="7BA89DF3"/>
    <w:rsid w:val="7CFDBD2F"/>
    <w:rsid w:val="7DD06A3F"/>
    <w:rsid w:val="7E8584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BAD32C"/>
  <w15:chartTrackingRefBased/>
  <w15:docId w15:val="{62CB4808-6F17-466B-8A7E-0694E21E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unhideWhenUsed/>
    <w:qFormat/>
    <w:rsid w:val="00197CF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D433B9"/>
    <w:pPr>
      <w:widowControl w:val="0"/>
      <w:ind w:left="720"/>
      <w:contextualSpacing/>
    </w:pPr>
    <w:rPr>
      <w:rFonts w:eastAsia="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Arial" w:eastAsia="Times New Roman" w:hAnsi="Arial"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customStyle="1" w:styleId="UnresolvedMention1">
    <w:name w:val="Unresolved Mention1"/>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styleId="CommentReference">
    <w:name w:val="annotation reference"/>
    <w:basedOn w:val="DefaultParagraphFont"/>
    <w:uiPriority w:val="99"/>
    <w:semiHidden/>
    <w:unhideWhenUsed/>
    <w:rsid w:val="00B04D49"/>
    <w:rPr>
      <w:sz w:val="16"/>
      <w:szCs w:val="16"/>
    </w:rPr>
  </w:style>
  <w:style w:type="paragraph" w:styleId="CommentText">
    <w:name w:val="annotation text"/>
    <w:basedOn w:val="Normal"/>
    <w:link w:val="CommentTextChar"/>
    <w:uiPriority w:val="99"/>
    <w:semiHidden/>
    <w:unhideWhenUsed/>
    <w:rsid w:val="00B04D49"/>
    <w:pPr>
      <w:suppressAutoHyphens/>
      <w:autoSpaceDN w:val="0"/>
      <w:spacing w:after="160"/>
      <w:textAlignment w:val="baseline"/>
    </w:pPr>
    <w:rPr>
      <w:rFonts w:eastAsia="Calibri" w:cs="Times New Roman"/>
      <w:sz w:val="20"/>
      <w:szCs w:val="20"/>
    </w:rPr>
  </w:style>
  <w:style w:type="character" w:customStyle="1" w:styleId="CommentTextChar">
    <w:name w:val="Comment Text Char"/>
    <w:basedOn w:val="DefaultParagraphFont"/>
    <w:link w:val="CommentText"/>
    <w:uiPriority w:val="99"/>
    <w:semiHidden/>
    <w:rsid w:val="00B04D49"/>
    <w:rPr>
      <w:rFonts w:ascii="Arial" w:eastAsia="Calibri" w:hAnsi="Arial" w:cs="Times New Roman"/>
      <w:sz w:val="20"/>
      <w:szCs w:val="20"/>
    </w:rPr>
  </w:style>
  <w:style w:type="paragraph" w:styleId="BalloonText">
    <w:name w:val="Balloon Text"/>
    <w:basedOn w:val="Normal"/>
    <w:link w:val="BalloonTextChar"/>
    <w:uiPriority w:val="99"/>
    <w:semiHidden/>
    <w:unhideWhenUsed/>
    <w:rsid w:val="00487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A2E"/>
    <w:rPr>
      <w:rFonts w:ascii="Segoe UI" w:hAnsi="Segoe UI" w:cs="Segoe UI"/>
      <w:sz w:val="18"/>
      <w:szCs w:val="18"/>
    </w:rPr>
  </w:style>
  <w:style w:type="character" w:customStyle="1" w:styleId="Heading3Char">
    <w:name w:val="Heading 3 Char"/>
    <w:basedOn w:val="DefaultParagraphFont"/>
    <w:link w:val="Heading3"/>
    <w:uiPriority w:val="9"/>
    <w:rsid w:val="00197CFF"/>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455E4E"/>
    <w:pPr>
      <w:suppressAutoHyphens w:val="0"/>
      <w:autoSpaceDN/>
      <w:spacing w:after="0"/>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455E4E"/>
    <w:rPr>
      <w:rFonts w:ascii="Arial" w:eastAsia="Calibri" w:hAnsi="Arial" w:cs="Times New Roman"/>
      <w:b/>
      <w:bCs/>
      <w:sz w:val="20"/>
      <w:szCs w:val="20"/>
    </w:rPr>
  </w:style>
  <w:style w:type="character" w:styleId="UnresolvedMention">
    <w:name w:val="Unresolved Mention"/>
    <w:basedOn w:val="DefaultParagraphFont"/>
    <w:uiPriority w:val="99"/>
    <w:unhideWhenUsed/>
    <w:rsid w:val="00455E4E"/>
    <w:rPr>
      <w:color w:val="605E5C"/>
      <w:shd w:val="clear" w:color="auto" w:fill="E1DFDD"/>
    </w:rPr>
  </w:style>
  <w:style w:type="character" w:styleId="Mention">
    <w:name w:val="Mention"/>
    <w:basedOn w:val="DefaultParagraphFont"/>
    <w:uiPriority w:val="99"/>
    <w:unhideWhenUsed/>
    <w:rsid w:val="00455E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24927">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867793173">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518736945">
      <w:bodyDiv w:val="1"/>
      <w:marLeft w:val="0"/>
      <w:marRight w:val="0"/>
      <w:marTop w:val="0"/>
      <w:marBottom w:val="0"/>
      <w:divBdr>
        <w:top w:val="none" w:sz="0" w:space="0" w:color="auto"/>
        <w:left w:val="none" w:sz="0" w:space="0" w:color="auto"/>
        <w:bottom w:val="none" w:sz="0" w:space="0" w:color="auto"/>
        <w:right w:val="none" w:sz="0" w:space="0" w:color="auto"/>
      </w:divBdr>
    </w:div>
    <w:div w:id="1756390310">
      <w:bodyDiv w:val="1"/>
      <w:marLeft w:val="0"/>
      <w:marRight w:val="0"/>
      <w:marTop w:val="0"/>
      <w:marBottom w:val="0"/>
      <w:divBdr>
        <w:top w:val="none" w:sz="0" w:space="0" w:color="auto"/>
        <w:left w:val="none" w:sz="0" w:space="0" w:color="auto"/>
        <w:bottom w:val="none" w:sz="0" w:space="0" w:color="auto"/>
        <w:right w:val="none" w:sz="0" w:space="0" w:color="auto"/>
      </w:divBdr>
    </w:div>
    <w:div w:id="18432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s.int/en/convention-bodies/secretariat/staff" TargetMode="External"/><Relationship Id="rId18" Type="http://schemas.openxmlformats.org/officeDocument/2006/relationships/hyperlink" Target="https://www.cms.int/sites/default/files/uploads/ETF%20Workplan%202021-2024.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mailchi.mp/31206e65a4b1/cms-energy-task-force-october-2021-newsletter-6204889"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ms.int/en/document/implementation-programme-work-2020-202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ms.int/en/page/decisions-13106-13108-support-energy-taskforce" TargetMode="External"/><Relationship Id="rId20" Type="http://schemas.openxmlformats.org/officeDocument/2006/relationships/hyperlink" Target="https://www.cms.int/en/meeting/fifth-meeting-multi-stakeholder-energy-task-force-virtual-meet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ms.int/en/document/power-lines-and-migratory-birds-3"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cms.int/en/document/interim-progress-report-cms-secretariat-and-etf-coordinator-activities-etf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ms.int/en/meeting/fifth-meeting-sessional-committee-scientific-council-scc-sc5"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EB2C41D22634C47A591EEDC4F2AE233" ma:contentTypeVersion="4" ma:contentTypeDescription="Crear nuevo documento." ma:contentTypeScope="" ma:versionID="475b2b9a5b478a43ae2c2c289997c4e1">
  <xsd:schema xmlns:xsd="http://www.w3.org/2001/XMLSchema" xmlns:xs="http://www.w3.org/2001/XMLSchema" xmlns:p="http://schemas.microsoft.com/office/2006/metadata/properties" xmlns:ns2="c4b3724c-9ed3-4468-a0f0-ecf165b7b8e4" targetNamespace="http://schemas.microsoft.com/office/2006/metadata/properties" ma:root="true" ma:fieldsID="86dfdf7c2d636845dbaffce583384793" ns2:_="">
    <xsd:import namespace="c4b3724c-9ed3-4468-a0f0-ecf165b7b8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3724c-9ed3-4468-a0f0-ecf165b7b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A2154-9099-420C-9258-2CC60B9161E9}">
  <ds:schemaRef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c4b3724c-9ed3-4468-a0f0-ecf165b7b8e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95A4BD2-D1DF-4E1E-8B50-3E26CCE92845}">
  <ds:schemaRefs>
    <ds:schemaRef ds:uri="http://schemas.microsoft.com/sharepoint/v3/contenttype/forms"/>
  </ds:schemaRefs>
</ds:datastoreItem>
</file>

<file path=customXml/itemProps3.xml><?xml version="1.0" encoding="utf-8"?>
<ds:datastoreItem xmlns:ds="http://schemas.openxmlformats.org/officeDocument/2006/customXml" ds:itemID="{AB5CF334-C415-42AE-8202-4904FE9EB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3724c-9ed3-4468-a0f0-ecf165b7b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10597</Characters>
  <Application>Microsoft Office Word</Application>
  <DocSecurity>0</DocSecurity>
  <Lines>88</Lines>
  <Paragraphs>24</Paragraphs>
  <ScaleCrop>false</ScaleCrop>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Tilman Schneider</cp:lastModifiedBy>
  <cp:revision>2</cp:revision>
  <cp:lastPrinted>2019-12-06T11:21:00Z</cp:lastPrinted>
  <dcterms:created xsi:type="dcterms:W3CDTF">2021-12-03T16:36:00Z</dcterms:created>
  <dcterms:modified xsi:type="dcterms:W3CDTF">2021-12-03T16:36:00Z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0x0101004EB2C41D22634C47A591EEDC4F2AE233</vt:lpwstr>
  </property>
</Properties>
</file>