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4A20353E"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0F4BDA" w:rsidRPr="00457C8A">
              <w:rPr>
                <w:rFonts w:eastAsia="Times New Roman" w:cs="Arial"/>
                <w:szCs w:val="24"/>
                <w:lang w:val="fr-FR" w:eastAsia="es-ES"/>
              </w:rPr>
              <w:t>4</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2B6A54">
              <w:rPr>
                <w:rFonts w:eastAsia="Times New Roman" w:cs="Arial"/>
                <w:szCs w:val="24"/>
                <w:lang w:val="fr-FR" w:eastAsia="es-ES"/>
              </w:rPr>
              <w:t>31.3</w:t>
            </w:r>
          </w:p>
          <w:p w14:paraId="5F9B9DE6" w14:textId="31573777" w:rsidR="00002A97" w:rsidRPr="00E80EA2" w:rsidRDefault="00D1581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27 de julio</w:t>
            </w:r>
            <w:r w:rsidR="00EF1D13" w:rsidRPr="00E80EA2">
              <w:rPr>
                <w:rFonts w:eastAsia="Times New Roman" w:cs="Arial"/>
                <w:szCs w:val="24"/>
                <w:lang w:val="fr-FR" w:eastAsia="es-ES"/>
              </w:rPr>
              <w:t xml:space="preserve"> </w:t>
            </w:r>
            <w:r w:rsidR="00002A97" w:rsidRPr="00E80EA2">
              <w:rPr>
                <w:rFonts w:eastAsia="Times New Roman" w:cs="Arial"/>
                <w:szCs w:val="24"/>
                <w:lang w:val="fr-FR" w:eastAsia="es-ES"/>
              </w:rPr>
              <w:t>20</w:t>
            </w:r>
            <w:r w:rsidR="000F4BDA" w:rsidRPr="00E80EA2">
              <w:rPr>
                <w:rFonts w:eastAsia="Times New Roman" w:cs="Arial"/>
                <w:szCs w:val="24"/>
                <w:lang w:val="fr-FR" w:eastAsia="es-ES"/>
              </w:rPr>
              <w:t>2</w:t>
            </w:r>
            <w:r w:rsidR="00C664E8" w:rsidRPr="00E80EA2">
              <w:rPr>
                <w:rFonts w:eastAsia="Times New Roman" w:cs="Arial"/>
                <w:szCs w:val="24"/>
                <w:lang w:val="fr-FR"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599FEA9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B6A54">
        <w:rPr>
          <w:rFonts w:eastAsia="Times New Roman" w:cs="Arial"/>
          <w:szCs w:val="24"/>
          <w:lang w:val="es-ES" w:eastAsia="es-ES"/>
        </w:rPr>
        <w:t>31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6C6452F4" w:rsidR="00002A97" w:rsidRPr="00790422" w:rsidRDefault="00700B24"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700B24">
        <w:rPr>
          <w:rFonts w:eastAsia="Times New Roman" w:cs="Arial"/>
          <w:b/>
          <w:bCs/>
          <w:caps/>
          <w:lang w:val="es-ES" w:eastAsia="es-ES"/>
        </w:rPr>
        <w:t xml:space="preserve">TAXONES </w:t>
      </w:r>
      <w:r>
        <w:rPr>
          <w:rFonts w:eastAsia="Times New Roman" w:cs="Arial"/>
          <w:b/>
          <w:bCs/>
          <w:caps/>
          <w:lang w:val="es-ES" w:eastAsia="es-ES"/>
        </w:rPr>
        <w:t xml:space="preserve">de </w:t>
      </w:r>
      <w:r w:rsidRPr="00700B24">
        <w:rPr>
          <w:rFonts w:eastAsia="Times New Roman" w:cs="Arial"/>
          <w:b/>
          <w:bCs/>
          <w:caps/>
          <w:lang w:val="es-ES" w:eastAsia="es-ES"/>
        </w:rPr>
        <w:t>AV</w:t>
      </w:r>
      <w:r>
        <w:rPr>
          <w:rFonts w:eastAsia="Times New Roman" w:cs="Arial"/>
          <w:b/>
          <w:bCs/>
          <w:caps/>
          <w:lang w:val="es-ES" w:eastAsia="es-ES"/>
        </w:rPr>
        <w:t>es</w:t>
      </w:r>
      <w:r w:rsidRPr="00700B24">
        <w:rPr>
          <w:rFonts w:eastAsia="Times New Roman" w:cs="Arial"/>
          <w:b/>
          <w:bCs/>
          <w:caps/>
          <w:lang w:val="es-ES" w:eastAsia="es-ES"/>
        </w:rPr>
        <w:t xml:space="preserve"> POTENCIALES PARA SU INCLUSIÓN EN L</w:t>
      </w:r>
      <w:r w:rsidR="002D7CF5">
        <w:rPr>
          <w:rFonts w:eastAsia="Times New Roman" w:cs="Arial"/>
          <w:b/>
          <w:bCs/>
          <w:caps/>
          <w:lang w:val="es-ES" w:eastAsia="es-ES"/>
        </w:rPr>
        <w:t>os Apéndices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DAE09DE">
                <wp:simplePos x="0" y="0"/>
                <wp:positionH relativeFrom="column">
                  <wp:posOffset>971550</wp:posOffset>
                </wp:positionH>
                <wp:positionV relativeFrom="paragraph">
                  <wp:posOffset>147320</wp:posOffset>
                </wp:positionV>
                <wp:extent cx="4304666" cy="21621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162175"/>
                        </a:xfrm>
                        <a:prstGeom prst="rect">
                          <a:avLst/>
                        </a:prstGeom>
                        <a:solidFill>
                          <a:srgbClr val="FFFFFF"/>
                        </a:solidFill>
                        <a:ln w="3172">
                          <a:solidFill>
                            <a:srgbClr val="000000"/>
                          </a:solidFill>
                          <a:prstDash val="solid"/>
                        </a:ln>
                      </wps:spPr>
                      <wps:txbx>
                        <w:txbxContent>
                          <w:p w14:paraId="78EFDF6D" w14:textId="1DCE26E8" w:rsidR="002D5F2A" w:rsidRPr="00EB42BF" w:rsidRDefault="002D5F2A" w:rsidP="00B76263">
                            <w:pPr>
                              <w:spacing w:after="0" w:line="240" w:lineRule="auto"/>
                              <w:jc w:val="both"/>
                              <w:rPr>
                                <w:lang w:val="es-ES"/>
                              </w:rPr>
                            </w:pPr>
                            <w:r w:rsidRPr="00EB42BF">
                              <w:rPr>
                                <w:rFonts w:eastAsia="Arial" w:cs="Arial"/>
                                <w:lang w:val="es-ES"/>
                              </w:rPr>
                              <w:t>Resumen:</w:t>
                            </w:r>
                          </w:p>
                          <w:p w14:paraId="255B4E63" w14:textId="77777777" w:rsidR="002D5F2A" w:rsidRPr="00EB42BF" w:rsidRDefault="002D5F2A" w:rsidP="00B76263">
                            <w:pPr>
                              <w:spacing w:after="0" w:line="240" w:lineRule="auto"/>
                              <w:jc w:val="both"/>
                              <w:rPr>
                                <w:rFonts w:cs="Arial"/>
                                <w:lang w:val="es-ES"/>
                              </w:rPr>
                            </w:pPr>
                          </w:p>
                          <w:p w14:paraId="63C637B4" w14:textId="28F15F34" w:rsidR="00E80EA2" w:rsidRDefault="00D4459E" w:rsidP="00B76263">
                            <w:pPr>
                              <w:spacing w:after="0" w:line="240" w:lineRule="auto"/>
                              <w:jc w:val="both"/>
                              <w:rPr>
                                <w:rFonts w:cs="Arial"/>
                                <w:iCs/>
                                <w:lang w:val="es-ES"/>
                              </w:rPr>
                            </w:pPr>
                            <w:r>
                              <w:rPr>
                                <w:rFonts w:cs="Arial"/>
                                <w:iCs/>
                                <w:lang w:val="es-ES"/>
                              </w:rPr>
                              <w:t>Se han emprendido trabajos para identificar</w:t>
                            </w:r>
                            <w:r w:rsidR="00155EA8">
                              <w:rPr>
                                <w:rFonts w:cs="Arial"/>
                                <w:iCs/>
                                <w:lang w:val="es-ES"/>
                              </w:rPr>
                              <w:t xml:space="preserve"> los taxones de aves que actualmente no figuran ni el Apéndice I ni en el Apéndice II</w:t>
                            </w:r>
                            <w:r w:rsidR="00E80EA2" w:rsidRPr="006E2DBB">
                              <w:rPr>
                                <w:rFonts w:cs="Arial"/>
                                <w:iCs/>
                                <w:lang w:val="es-ES"/>
                              </w:rPr>
                              <w:t>, pero que podrían cumplir los requisitos para su inclusión en los mismos.  La presente lista se facilita a título informativo para las Partes que deseen considerar la posibilidad de presentar propuestas de inclusión para la COP15 y posteriores.</w:t>
                            </w:r>
                          </w:p>
                          <w:p w14:paraId="5F53667D" w14:textId="77777777" w:rsidR="00B76263" w:rsidRPr="006E2DBB" w:rsidRDefault="00B76263" w:rsidP="00B76263">
                            <w:pPr>
                              <w:spacing w:after="0" w:line="240" w:lineRule="auto"/>
                              <w:jc w:val="both"/>
                              <w:rPr>
                                <w:rFonts w:cs="Arial"/>
                                <w:iCs/>
                                <w:lang w:val="es-ES"/>
                              </w:rPr>
                            </w:pPr>
                          </w:p>
                          <w:p w14:paraId="3438028A" w14:textId="2806ACDC" w:rsidR="00E80EA2" w:rsidRPr="00E80EA2" w:rsidRDefault="00B76263" w:rsidP="00B76263">
                            <w:pPr>
                              <w:spacing w:after="0" w:line="240" w:lineRule="auto"/>
                              <w:jc w:val="both"/>
                              <w:rPr>
                                <w:rFonts w:cs="Arial"/>
                                <w:lang w:val="es-ES"/>
                              </w:rPr>
                            </w:pPr>
                            <w:r w:rsidRPr="00B76263">
                              <w:rPr>
                                <w:rFonts w:cs="Arial"/>
                                <w:lang w:val="es-ES"/>
                              </w:rPr>
                              <w:t>Este documento se ha preparado basándose en el documento UNEP/CMS/ScC-SC6/Doc.13.3, que se debatió en la sexta reunión del Comité del período de sesiones del Consejo Científico.</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7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" strokeweight=".08811mm">
                <v:textbox>
                  <w:txbxContent>
                    <w:p w14:paraId="78EFDF6D" w14:textId="1DCE26E8" w:rsidR="002D5F2A" w:rsidRPr="00EB42BF" w:rsidRDefault="002D5F2A" w:rsidP="00B76263">
                      <w:pPr>
                        <w:spacing w:after="0" w:line="240" w:lineRule="auto"/>
                        <w:jc w:val="both"/>
                        <w:rPr>
                          <w:lang w:val="es-ES"/>
                        </w:rPr>
                      </w:pPr>
                      <w:r w:rsidRPr="00EB42BF">
                        <w:rPr>
                          <w:rFonts w:eastAsia="Arial" w:cs="Arial"/>
                          <w:lang w:val="es-ES"/>
                        </w:rPr>
                        <w:t>Resumen:</w:t>
                      </w:r>
                    </w:p>
                    <w:p w14:paraId="255B4E63" w14:textId="77777777" w:rsidR="002D5F2A" w:rsidRPr="00EB42BF" w:rsidRDefault="002D5F2A" w:rsidP="00B76263">
                      <w:pPr>
                        <w:spacing w:after="0" w:line="240" w:lineRule="auto"/>
                        <w:jc w:val="both"/>
                        <w:rPr>
                          <w:rFonts w:cs="Arial"/>
                          <w:lang w:val="es-ES"/>
                        </w:rPr>
                      </w:pPr>
                    </w:p>
                    <w:p w14:paraId="63C637B4" w14:textId="28F15F34" w:rsidR="00E80EA2" w:rsidRDefault="00D4459E" w:rsidP="00B76263">
                      <w:pPr>
                        <w:spacing w:after="0" w:line="240" w:lineRule="auto"/>
                        <w:jc w:val="both"/>
                        <w:rPr>
                          <w:rFonts w:cs="Arial"/>
                          <w:iCs/>
                          <w:lang w:val="es-ES"/>
                        </w:rPr>
                      </w:pPr>
                      <w:r>
                        <w:rPr>
                          <w:rFonts w:cs="Arial"/>
                          <w:iCs/>
                          <w:lang w:val="es-ES"/>
                        </w:rPr>
                        <w:t>Se han emprendido trabajos para identificar</w:t>
                      </w:r>
                      <w:r w:rsidR="00155EA8">
                        <w:rPr>
                          <w:rFonts w:cs="Arial"/>
                          <w:iCs/>
                          <w:lang w:val="es-ES"/>
                        </w:rPr>
                        <w:t xml:space="preserve"> los taxones de aves que actualmente no figuran ni el Apéndice I ni en el Apéndice II</w:t>
                      </w:r>
                      <w:r w:rsidR="00E80EA2" w:rsidRPr="006E2DBB">
                        <w:rPr>
                          <w:rFonts w:cs="Arial"/>
                          <w:iCs/>
                          <w:lang w:val="es-ES"/>
                        </w:rPr>
                        <w:t>, pero que podrían cumplir los requisitos para su inclusión en los mismos.  La presente lista se facilita a título informativo para las Partes que deseen considerar la posibilidad de presentar propuestas de inclusión para la COP15 y posteriores.</w:t>
                      </w:r>
                    </w:p>
                    <w:p w14:paraId="5F53667D" w14:textId="77777777" w:rsidR="00B76263" w:rsidRPr="006E2DBB" w:rsidRDefault="00B76263" w:rsidP="00B76263">
                      <w:pPr>
                        <w:spacing w:after="0" w:line="240" w:lineRule="auto"/>
                        <w:jc w:val="both"/>
                        <w:rPr>
                          <w:rFonts w:cs="Arial"/>
                          <w:iCs/>
                          <w:lang w:val="es-ES"/>
                        </w:rPr>
                      </w:pPr>
                    </w:p>
                    <w:p w14:paraId="3438028A" w14:textId="2806ACDC" w:rsidR="00E80EA2" w:rsidRPr="00E80EA2" w:rsidRDefault="00B76263" w:rsidP="00B76263">
                      <w:pPr>
                        <w:spacing w:after="0" w:line="240" w:lineRule="auto"/>
                        <w:jc w:val="both"/>
                        <w:rPr>
                          <w:rFonts w:cs="Arial"/>
                          <w:lang w:val="es-ES"/>
                        </w:rPr>
                      </w:pPr>
                      <w:r w:rsidRPr="00B76263">
                        <w:rPr>
                          <w:rFonts w:cs="Arial"/>
                          <w:lang w:val="es-ES"/>
                        </w:rPr>
                        <w:t>Este documento se ha preparado basándose en el documento UNEP/CMS/ScC-SC6/Doc.13.3, que se debatió en la sexta reunión del Comité del período de sesiones del Consejo Científico.</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7318A80" w14:textId="77777777" w:rsidR="00ED4D26" w:rsidRPr="00ED4D26" w:rsidRDefault="00ED4D26" w:rsidP="00ED4D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D4D26">
        <w:rPr>
          <w:rFonts w:eastAsia="Times New Roman" w:cs="Arial"/>
          <w:b/>
          <w:bCs/>
          <w:lang w:val="es-ES"/>
        </w:rPr>
        <w:lastRenderedPageBreak/>
        <w:t>TAXONES DE AVES POTENCIALES PARA SU INCLUSIÓN EN LOS APÉNDICES</w:t>
      </w:r>
    </w:p>
    <w:p w14:paraId="029B2A1E" w14:textId="77777777" w:rsidR="00ED4D26" w:rsidRPr="00ED4D26" w:rsidRDefault="00ED4D26" w:rsidP="00ED4D26">
      <w:pPr>
        <w:suppressAutoHyphens/>
        <w:autoSpaceDN w:val="0"/>
        <w:spacing w:after="0" w:line="240" w:lineRule="auto"/>
        <w:textAlignment w:val="baseline"/>
        <w:rPr>
          <w:rFonts w:eastAsia="Calibri" w:cs="Arial"/>
          <w:lang w:val="es-ES"/>
        </w:rPr>
      </w:pPr>
    </w:p>
    <w:p w14:paraId="15AB7DAB" w14:textId="77777777" w:rsidR="00ED4D26" w:rsidRPr="00ED4D26" w:rsidRDefault="00ED4D26" w:rsidP="00ED4D26">
      <w:pPr>
        <w:suppressAutoHyphens/>
        <w:autoSpaceDN w:val="0"/>
        <w:spacing w:after="0" w:line="240" w:lineRule="auto"/>
        <w:textAlignment w:val="baseline"/>
        <w:rPr>
          <w:rFonts w:eastAsia="Calibri" w:cs="Arial"/>
          <w:lang w:val="es-ES"/>
        </w:rPr>
      </w:pPr>
    </w:p>
    <w:p w14:paraId="6F00C883" w14:textId="77777777" w:rsidR="00ED4D26" w:rsidRPr="00ED4D26" w:rsidRDefault="00ED4D26" w:rsidP="00ED4D26">
      <w:pPr>
        <w:suppressAutoHyphens/>
        <w:autoSpaceDN w:val="0"/>
        <w:spacing w:after="0" w:line="240" w:lineRule="auto"/>
        <w:textAlignment w:val="baseline"/>
        <w:rPr>
          <w:rFonts w:eastAsia="Calibri" w:cs="Arial"/>
          <w:u w:val="single"/>
          <w:lang w:val="es-ES"/>
        </w:rPr>
      </w:pPr>
      <w:r w:rsidRPr="00ED4D26">
        <w:rPr>
          <w:rFonts w:eastAsia="Calibri" w:cs="Arial"/>
          <w:u w:val="single"/>
          <w:lang w:val="es-ES"/>
        </w:rPr>
        <w:t>Antecedentes</w:t>
      </w:r>
    </w:p>
    <w:p w14:paraId="0C192DB3" w14:textId="77777777" w:rsidR="00ED4D26" w:rsidRPr="00ED4D26" w:rsidRDefault="00ED4D26" w:rsidP="00ED4D26">
      <w:pPr>
        <w:spacing w:after="0" w:line="240" w:lineRule="auto"/>
        <w:rPr>
          <w:lang w:val="es-ES"/>
        </w:rPr>
      </w:pPr>
    </w:p>
    <w:p w14:paraId="3CFAD2EA" w14:textId="77777777" w:rsidR="00ED4D26" w:rsidRPr="00ED4D26" w:rsidRDefault="00ED4D26" w:rsidP="00ED4D26">
      <w:pPr>
        <w:widowControl w:val="0"/>
        <w:numPr>
          <w:ilvl w:val="0"/>
          <w:numId w:val="13"/>
        </w:numPr>
        <w:autoSpaceDE w:val="0"/>
        <w:autoSpaceDN w:val="0"/>
        <w:adjustRightInd w:val="0"/>
        <w:spacing w:after="0" w:line="240" w:lineRule="auto"/>
        <w:ind w:left="567" w:hanging="567"/>
        <w:contextualSpacing/>
        <w:jc w:val="both"/>
        <w:rPr>
          <w:rFonts w:cs="Arial"/>
          <w:lang w:val="es-ES"/>
        </w:rPr>
      </w:pPr>
      <w:bookmarkStart w:id="0" w:name="_Hlk19517251"/>
      <w:r w:rsidRPr="00ED4D26">
        <w:rPr>
          <w:rFonts w:cs="Arial"/>
          <w:lang w:val="es-ES"/>
        </w:rPr>
        <w:t xml:space="preserve">Se invita a las Partes, en cada reunión de la Conferencia de las Partes, a que presenten propuestas para la adición de especies a los Apéndices de la Convención. A menudo, este proceso se ve facilitado por las entidades interesadas que realizan sugerencias a las Partes y que contribuyen a la redacción de las propuestas. </w:t>
      </w:r>
    </w:p>
    <w:p w14:paraId="7D7A3F42" w14:textId="77777777" w:rsidR="00ED4D26" w:rsidRPr="00ED4D26" w:rsidRDefault="00ED4D26" w:rsidP="00ED4D26">
      <w:pPr>
        <w:widowControl w:val="0"/>
        <w:autoSpaceDE w:val="0"/>
        <w:autoSpaceDN w:val="0"/>
        <w:adjustRightInd w:val="0"/>
        <w:spacing w:after="0" w:line="240" w:lineRule="auto"/>
        <w:contextualSpacing/>
        <w:jc w:val="both"/>
        <w:rPr>
          <w:rFonts w:cs="Arial"/>
          <w:lang w:val="es-ES"/>
        </w:rPr>
      </w:pPr>
    </w:p>
    <w:bookmarkEnd w:id="0"/>
    <w:p w14:paraId="55D9C887" w14:textId="7050E8CC" w:rsidR="00ED4D26" w:rsidRPr="00ED4D26" w:rsidRDefault="00ED4D26" w:rsidP="00ED4D26">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ED4D26">
        <w:rPr>
          <w:rFonts w:cs="Arial"/>
          <w:lang w:val="es-ES"/>
        </w:rPr>
        <w:t>Sin embargo, este proceso depende de las sugerencias de los individuos sobre las especies en las que tienen un interés particular.</w:t>
      </w:r>
      <w:r w:rsidR="00BF0B6B">
        <w:rPr>
          <w:rFonts w:cs="Arial"/>
          <w:lang w:val="es-ES"/>
        </w:rPr>
        <w:t xml:space="preserve"> Un</w:t>
      </w:r>
      <w:r w:rsidRPr="00ED4D26">
        <w:rPr>
          <w:rFonts w:cs="Arial"/>
          <w:lang w:val="es-ES"/>
        </w:rPr>
        <w:t xml:space="preserve"> enfoque más estratégico, </w:t>
      </w:r>
      <w:r w:rsidR="00115628">
        <w:rPr>
          <w:rFonts w:cs="Arial"/>
          <w:lang w:val="es-ES"/>
        </w:rPr>
        <w:t xml:space="preserve">podría ser más </w:t>
      </w:r>
      <w:r w:rsidR="00DE4C84">
        <w:rPr>
          <w:rFonts w:cs="Arial"/>
          <w:lang w:val="es-ES"/>
        </w:rPr>
        <w:t xml:space="preserve">beneficioso </w:t>
      </w:r>
      <w:r w:rsidRPr="00ED4D26">
        <w:rPr>
          <w:rFonts w:cs="Arial"/>
          <w:lang w:val="es-ES"/>
        </w:rPr>
        <w:t xml:space="preserve">identificando las especies que cumplirían con los criterios definidos en las directrices, para preparar y evaluar las propuestas de enmienda de los Apéndices de la CMS en la </w:t>
      </w:r>
      <w:hyperlink r:id="rId12" w:history="1">
        <w:r w:rsidRPr="00ED4D26">
          <w:rPr>
            <w:rFonts w:cs="Arial"/>
            <w:color w:val="0000FF"/>
            <w:u w:val="single"/>
            <w:lang w:val="es-ES"/>
          </w:rPr>
          <w:t>Resolución 13.7</w:t>
        </w:r>
      </w:hyperlink>
      <w:r w:rsidRPr="00ED4D26">
        <w:rPr>
          <w:rFonts w:cs="Arial"/>
          <w:lang w:val="es-ES"/>
        </w:rPr>
        <w:t xml:space="preserve">. Esto permitiría a las Partes dar prioridad a las especies que más se beneficiarían de la inclusión en las listas y del trabajo cooperativo de conservación en el marco de la Convención, por ejemplo, como parte de una Acción Concertada. </w:t>
      </w:r>
    </w:p>
    <w:p w14:paraId="1EEEBF22" w14:textId="77777777" w:rsidR="00ED4D26" w:rsidRPr="00ED4D26" w:rsidRDefault="00ED4D26" w:rsidP="00ED4D26">
      <w:pPr>
        <w:widowControl w:val="0"/>
        <w:suppressAutoHyphens/>
        <w:autoSpaceDE w:val="0"/>
        <w:autoSpaceDN w:val="0"/>
        <w:spacing w:after="0" w:line="240" w:lineRule="auto"/>
        <w:contextualSpacing/>
        <w:jc w:val="both"/>
        <w:textAlignment w:val="baseline"/>
        <w:rPr>
          <w:rFonts w:eastAsia="Times New Roman" w:cs="Arial"/>
          <w:sz w:val="24"/>
          <w:szCs w:val="20"/>
          <w:lang w:val="es-ES"/>
        </w:rPr>
      </w:pPr>
    </w:p>
    <w:p w14:paraId="482737E5" w14:textId="66E00EE6" w:rsidR="00ED4D26" w:rsidRPr="00ED4D26" w:rsidRDefault="00ED4D26" w:rsidP="00ED4D26">
      <w:pPr>
        <w:spacing w:after="0" w:line="240" w:lineRule="auto"/>
        <w:rPr>
          <w:rFonts w:cs="Arial"/>
          <w:u w:val="single"/>
          <w:lang w:val="es-ES"/>
        </w:rPr>
      </w:pPr>
      <w:r w:rsidRPr="00ED4D26">
        <w:rPr>
          <w:rFonts w:cs="Arial"/>
          <w:u w:val="single"/>
          <w:lang w:val="es-ES"/>
        </w:rPr>
        <w:t xml:space="preserve">Una lista estratégica para las </w:t>
      </w:r>
      <w:r w:rsidR="00DE4C84">
        <w:rPr>
          <w:rFonts w:cs="Arial"/>
          <w:u w:val="single"/>
          <w:lang w:val="es-ES"/>
        </w:rPr>
        <w:t xml:space="preserve">especies de </w:t>
      </w:r>
      <w:r w:rsidRPr="00ED4D26">
        <w:rPr>
          <w:rFonts w:cs="Arial"/>
          <w:u w:val="single"/>
          <w:lang w:val="es-ES"/>
        </w:rPr>
        <w:t>aves</w:t>
      </w:r>
    </w:p>
    <w:p w14:paraId="23981D0B" w14:textId="77777777" w:rsidR="00ED4D26" w:rsidRPr="00ED4D26" w:rsidRDefault="00ED4D26" w:rsidP="00ED4D26">
      <w:pPr>
        <w:spacing w:after="0" w:line="240" w:lineRule="auto"/>
        <w:rPr>
          <w:rFonts w:cs="Arial"/>
          <w:u w:val="single"/>
          <w:lang w:val="es-ES"/>
        </w:rPr>
      </w:pPr>
    </w:p>
    <w:p w14:paraId="1D9EE21A" w14:textId="08AE9C49" w:rsidR="00ED4D26" w:rsidRPr="00ED4D26" w:rsidRDefault="00A84155" w:rsidP="00ED4D26">
      <w:pPr>
        <w:widowControl w:val="0"/>
        <w:numPr>
          <w:ilvl w:val="0"/>
          <w:numId w:val="13"/>
        </w:numPr>
        <w:autoSpaceDE w:val="0"/>
        <w:autoSpaceDN w:val="0"/>
        <w:adjustRightInd w:val="0"/>
        <w:spacing w:after="0" w:line="240" w:lineRule="auto"/>
        <w:ind w:left="567" w:hanging="567"/>
        <w:contextualSpacing/>
        <w:jc w:val="both"/>
        <w:rPr>
          <w:rFonts w:cs="Arial"/>
          <w:lang w:val="es-ES"/>
        </w:rPr>
      </w:pPr>
      <w:r>
        <w:rPr>
          <w:rFonts w:cs="Arial"/>
          <w:lang w:val="es-ES"/>
        </w:rPr>
        <w:t xml:space="preserve">Muchas especies de aves, </w:t>
      </w:r>
      <w:r w:rsidR="00ED4D26" w:rsidRPr="00ED4D26">
        <w:rPr>
          <w:rFonts w:cs="Arial"/>
          <w:lang w:val="es-ES"/>
        </w:rPr>
        <w:t>una proporción significativa de cuyos miembros cruzan cíclica y previsiblemente una o más fronteras jurisdiccionales nacionales y que tienen un estado de conservación desfavorable</w:t>
      </w:r>
      <w:r w:rsidR="00E63A24">
        <w:rPr>
          <w:rFonts w:cs="Arial"/>
          <w:lang w:val="es-ES"/>
        </w:rPr>
        <w:t xml:space="preserve"> </w:t>
      </w:r>
      <w:r w:rsidR="00ED4D26" w:rsidRPr="00ED4D26">
        <w:rPr>
          <w:rFonts w:cs="Arial"/>
          <w:lang w:val="es-ES"/>
        </w:rPr>
        <w:t xml:space="preserve">no están incluidas individualmente en el Apéndice I o en el II y no son miembros de una familia o género agregados en el Apéndice II. Se sugiere que esta lista pueda ayudar a las Partes a priorizar sus futuras propuestas de inclusión de las especies de aves. </w:t>
      </w:r>
    </w:p>
    <w:p w14:paraId="7354AE46" w14:textId="77777777" w:rsidR="00ED4D26" w:rsidRPr="00ED4D26" w:rsidRDefault="00ED4D26" w:rsidP="00ED4D26">
      <w:pPr>
        <w:widowControl w:val="0"/>
        <w:autoSpaceDE w:val="0"/>
        <w:autoSpaceDN w:val="0"/>
        <w:adjustRightInd w:val="0"/>
        <w:spacing w:after="0" w:line="240" w:lineRule="auto"/>
        <w:contextualSpacing/>
        <w:jc w:val="both"/>
        <w:rPr>
          <w:rFonts w:cs="Arial"/>
          <w:lang w:val="es-ES"/>
        </w:rPr>
      </w:pPr>
    </w:p>
    <w:p w14:paraId="12AEA16D" w14:textId="7569F9A8"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rPr>
        <w:t xml:space="preserve">También pueden ser de utilidad listas similares para otros grupos taxonómicos, y se </w:t>
      </w:r>
      <w:r w:rsidR="00105045">
        <w:rPr>
          <w:rFonts w:cs="Arial"/>
          <w:lang w:val="es-ES"/>
        </w:rPr>
        <w:t>solicita</w:t>
      </w:r>
      <w:r w:rsidRPr="00ED4D26">
        <w:rPr>
          <w:rFonts w:cs="Arial"/>
          <w:lang w:val="es-ES"/>
        </w:rPr>
        <w:t xml:space="preserve"> al Consejo Científico</w:t>
      </w:r>
      <w:r w:rsidR="00105045">
        <w:rPr>
          <w:rFonts w:cs="Arial"/>
          <w:lang w:val="es-ES"/>
        </w:rPr>
        <w:t>, a través de un Proyecto de Deci</w:t>
      </w:r>
      <w:r w:rsidR="00CF7835">
        <w:rPr>
          <w:rFonts w:cs="Arial"/>
          <w:lang w:val="es-ES"/>
        </w:rPr>
        <w:t>sión,</w:t>
      </w:r>
      <w:r w:rsidRPr="00ED4D26">
        <w:rPr>
          <w:rFonts w:cs="Arial"/>
          <w:lang w:val="es-ES"/>
        </w:rPr>
        <w:t xml:space="preserve"> que lleve a cabo trabajos para ayudar a las Partes a tomar decisiones estratégicas sobre sus futuras propuestas de inclusión con respecto a todos los taxones. </w:t>
      </w:r>
    </w:p>
    <w:p w14:paraId="50739EF3" w14:textId="77777777" w:rsidR="00ED4D26" w:rsidRPr="00ED4D26" w:rsidRDefault="00ED4D26" w:rsidP="00ED4D26">
      <w:pPr>
        <w:spacing w:after="0" w:line="240" w:lineRule="auto"/>
        <w:rPr>
          <w:rFonts w:cs="Arial"/>
          <w:lang w:val="es-ES"/>
        </w:rPr>
      </w:pPr>
    </w:p>
    <w:p w14:paraId="7EA5ADA2" w14:textId="77777777" w:rsidR="00ED4D26" w:rsidRPr="00ED4D26" w:rsidRDefault="00ED4D26" w:rsidP="00ED4D26">
      <w:pPr>
        <w:spacing w:after="0" w:line="240" w:lineRule="auto"/>
        <w:rPr>
          <w:rFonts w:cs="Arial"/>
          <w:u w:val="single"/>
          <w:lang w:val="es-ES"/>
        </w:rPr>
      </w:pPr>
      <w:r w:rsidRPr="00ED4D26">
        <w:rPr>
          <w:rFonts w:cs="Arial"/>
          <w:u w:val="single"/>
          <w:lang w:val="es-ES"/>
        </w:rPr>
        <w:t>Debate y análisis</w:t>
      </w:r>
    </w:p>
    <w:p w14:paraId="35032C7E" w14:textId="77777777" w:rsidR="00ED4D26" w:rsidRPr="00ED4D26" w:rsidRDefault="00ED4D26" w:rsidP="00ED4D26">
      <w:pPr>
        <w:spacing w:after="0" w:line="240" w:lineRule="auto"/>
        <w:rPr>
          <w:rFonts w:cs="Arial"/>
          <w:lang w:val="es-ES"/>
        </w:rPr>
      </w:pPr>
    </w:p>
    <w:p w14:paraId="55CEB55D" w14:textId="77777777"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rPr>
        <w:t xml:space="preserve">Hasta la fecha, el proceso para la enmienda de los Apéndices de la Convención ha sido bastante ad hoc. A la luz de la actual crisis de la biodiversidad, se necesita un enfoque más estratégico para orientar la acción urgente necesaria para evitar futuras extinciones y alentar a las Partes para que trabajen juntas con el fin de alcanzar mejoras en el estado de conservación de las especies migratorias individuales. </w:t>
      </w:r>
    </w:p>
    <w:p w14:paraId="76109795" w14:textId="77777777" w:rsidR="00ED4D26" w:rsidRPr="00ED4D26" w:rsidRDefault="00ED4D26" w:rsidP="00ED4D26">
      <w:pPr>
        <w:widowControl w:val="0"/>
        <w:autoSpaceDE w:val="0"/>
        <w:autoSpaceDN w:val="0"/>
        <w:adjustRightInd w:val="0"/>
        <w:spacing w:after="0" w:line="240" w:lineRule="auto"/>
        <w:jc w:val="both"/>
        <w:rPr>
          <w:rFonts w:cs="Arial"/>
          <w:lang w:val="es-ES"/>
        </w:rPr>
      </w:pPr>
    </w:p>
    <w:p w14:paraId="7594376C" w14:textId="77777777"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rPr>
        <w:t xml:space="preserve">Conocer qué especies podrían incluirse en las listas de la Convención es un primer paso para decidir cuáles serían las más beneficiadas de esta inclusión. Se ha convertido en una buena práctica de la Convención el hecho de que las propuestas de inclusión en las listas vayan acompañadas de Acciones Concertadas. Las ventajas de este planteamiento son evidentes: una propuesta de acciones inmediatas para hacer frente a las necesidades de las especies, al tiempo que se añaden a los Apéndices de la Convención. La pieza que falta en este rompecabezas es la identificación inicial de las especies que se beneficiarían de ser incluidas en los Apéndices de la Convención. </w:t>
      </w:r>
    </w:p>
    <w:p w14:paraId="521F13A8" w14:textId="77777777" w:rsidR="00ED4D26" w:rsidRPr="00ED4D26" w:rsidRDefault="00ED4D26" w:rsidP="00ED4D26">
      <w:pPr>
        <w:widowControl w:val="0"/>
        <w:spacing w:after="0" w:line="240" w:lineRule="auto"/>
        <w:ind w:left="720"/>
        <w:contextualSpacing/>
        <w:jc w:val="both"/>
        <w:rPr>
          <w:rFonts w:ascii="Times New Roman" w:eastAsia="Times New Roman" w:hAnsi="Times New Roman" w:cs="Times New Roman"/>
          <w:snapToGrid w:val="0"/>
          <w:sz w:val="24"/>
          <w:szCs w:val="20"/>
          <w:lang w:val="es-ES"/>
        </w:rPr>
      </w:pPr>
    </w:p>
    <w:p w14:paraId="0D4203C1" w14:textId="24DBC816"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rPr>
        <w:t xml:space="preserve">Por consiguiente, la lista del Anexo 1 del proyecto de Resolución puede ayudar a las Partes a tomar decisiones sobre qué especies de aves necesitan de medidas más urgentes, de acuerdo con su estado migratorio y de conservación. Es posible que las Partes prefieran dirigir sus esfuerzos iniciales a aquellas especies que la UICN </w:t>
      </w:r>
      <w:r w:rsidRPr="00ED4D26">
        <w:rPr>
          <w:rFonts w:cs="Arial"/>
          <w:lang w:val="es-ES"/>
        </w:rPr>
        <w:lastRenderedPageBreak/>
        <w:t xml:space="preserve">considera </w:t>
      </w:r>
      <w:r w:rsidR="00680C79">
        <w:rPr>
          <w:rFonts w:cs="Arial"/>
          <w:lang w:val="es-ES"/>
        </w:rPr>
        <w:t>E</w:t>
      </w:r>
      <w:r w:rsidRPr="00ED4D26">
        <w:rPr>
          <w:rFonts w:cs="Arial"/>
          <w:lang w:val="es-ES"/>
        </w:rPr>
        <w:t xml:space="preserve">n </w:t>
      </w:r>
      <w:r w:rsidR="00680C79">
        <w:rPr>
          <w:rFonts w:cs="Arial"/>
          <w:lang w:val="es-ES"/>
        </w:rPr>
        <w:t>P</w:t>
      </w:r>
      <w:r w:rsidRPr="00ED4D26">
        <w:rPr>
          <w:rFonts w:cs="Arial"/>
          <w:lang w:val="es-ES"/>
        </w:rPr>
        <w:t xml:space="preserve">eligro </w:t>
      </w:r>
      <w:r w:rsidR="00680C79">
        <w:rPr>
          <w:rFonts w:cs="Arial"/>
          <w:lang w:val="es-ES"/>
        </w:rPr>
        <w:t>C</w:t>
      </w:r>
      <w:r w:rsidRPr="00ED4D26">
        <w:rPr>
          <w:rFonts w:cs="Arial"/>
          <w:lang w:val="es-ES"/>
        </w:rPr>
        <w:t xml:space="preserve">rítico o </w:t>
      </w:r>
      <w:r w:rsidR="00680C79">
        <w:rPr>
          <w:rFonts w:cs="Arial"/>
          <w:lang w:val="es-ES"/>
        </w:rPr>
        <w:t>E</w:t>
      </w:r>
      <w:r w:rsidRPr="00ED4D26">
        <w:rPr>
          <w:rFonts w:cs="Arial"/>
          <w:lang w:val="es-ES"/>
        </w:rPr>
        <w:t xml:space="preserve">n </w:t>
      </w:r>
      <w:r w:rsidR="00680C79">
        <w:rPr>
          <w:rFonts w:cs="Arial"/>
          <w:lang w:val="es-ES"/>
        </w:rPr>
        <w:t>P</w:t>
      </w:r>
      <w:r w:rsidRPr="00ED4D26">
        <w:rPr>
          <w:rFonts w:cs="Arial"/>
          <w:lang w:val="es-ES"/>
        </w:rPr>
        <w:t xml:space="preserve">eligro. </w:t>
      </w:r>
    </w:p>
    <w:p w14:paraId="3896AFEC" w14:textId="77777777" w:rsidR="00ED4D26" w:rsidRPr="00ED4D26" w:rsidRDefault="00ED4D26" w:rsidP="00ED4D26">
      <w:pPr>
        <w:widowControl w:val="0"/>
        <w:spacing w:after="0" w:line="240" w:lineRule="auto"/>
        <w:ind w:left="720"/>
        <w:contextualSpacing/>
        <w:jc w:val="both"/>
        <w:rPr>
          <w:rFonts w:ascii="Times New Roman" w:eastAsia="Times New Roman" w:hAnsi="Times New Roman" w:cs="Arial"/>
          <w:snapToGrid w:val="0"/>
          <w:sz w:val="24"/>
          <w:szCs w:val="20"/>
          <w:lang w:val="es-ES"/>
        </w:rPr>
      </w:pPr>
    </w:p>
    <w:p w14:paraId="07E7BC0B" w14:textId="77777777"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rPr>
        <w:t>También se proponen decisiones dirigidas al Consejo Científico, a la Secretaría y a las Partes.</w:t>
      </w:r>
    </w:p>
    <w:p w14:paraId="60259429" w14:textId="77777777" w:rsidR="00ED4D26" w:rsidRPr="00ED4D26" w:rsidRDefault="00ED4D26" w:rsidP="00ED4D26">
      <w:pPr>
        <w:spacing w:after="0" w:line="240" w:lineRule="auto"/>
        <w:jc w:val="both"/>
        <w:rPr>
          <w:rFonts w:cs="Arial"/>
          <w:lang w:val="es-ES"/>
        </w:rPr>
      </w:pPr>
    </w:p>
    <w:p w14:paraId="1CB1E281" w14:textId="77777777" w:rsidR="00ED4D26" w:rsidRPr="00ED4D26" w:rsidRDefault="00ED4D26" w:rsidP="00ED4D26">
      <w:pPr>
        <w:keepNext/>
        <w:spacing w:after="0" w:line="240" w:lineRule="auto"/>
        <w:rPr>
          <w:rFonts w:cs="Arial"/>
          <w:lang w:val="es-ES"/>
        </w:rPr>
      </w:pPr>
      <w:r w:rsidRPr="00ED4D26">
        <w:rPr>
          <w:rFonts w:cs="Arial"/>
          <w:u w:val="single"/>
          <w:lang w:val="es-ES"/>
        </w:rPr>
        <w:t>Acciones recomendadas</w:t>
      </w:r>
    </w:p>
    <w:p w14:paraId="6F4B4122" w14:textId="77777777" w:rsidR="00ED4D26" w:rsidRPr="00ED4D26" w:rsidRDefault="00ED4D26" w:rsidP="00ED4D26">
      <w:pPr>
        <w:keepNext/>
        <w:spacing w:after="0" w:line="240" w:lineRule="auto"/>
        <w:rPr>
          <w:rFonts w:cs="Arial"/>
          <w:lang w:val="es-ES"/>
        </w:rPr>
      </w:pPr>
    </w:p>
    <w:p w14:paraId="350EA020" w14:textId="134073D6" w:rsidR="00ED4D26" w:rsidRPr="00ED4D26" w:rsidRDefault="00ED4D26" w:rsidP="00ED4D26">
      <w:pPr>
        <w:widowControl w:val="0"/>
        <w:numPr>
          <w:ilvl w:val="0"/>
          <w:numId w:val="13"/>
        </w:numPr>
        <w:autoSpaceDE w:val="0"/>
        <w:autoSpaceDN w:val="0"/>
        <w:adjustRightInd w:val="0"/>
        <w:spacing w:after="0" w:line="240" w:lineRule="auto"/>
        <w:ind w:left="567" w:hanging="567"/>
        <w:jc w:val="both"/>
        <w:rPr>
          <w:rFonts w:cs="Arial"/>
          <w:lang w:val="es-ES"/>
        </w:rPr>
      </w:pPr>
      <w:r w:rsidRPr="00ED4D26">
        <w:rPr>
          <w:rFonts w:cs="Arial"/>
          <w:lang w:val="es-ES" w:eastAsia="es-ES"/>
        </w:rPr>
        <w:t>Se recomienda a</w:t>
      </w:r>
      <w:r w:rsidR="00680C79">
        <w:rPr>
          <w:rFonts w:cs="Arial"/>
          <w:lang w:val="es-ES" w:eastAsia="es-ES"/>
        </w:rPr>
        <w:t xml:space="preserve"> </w:t>
      </w:r>
      <w:r w:rsidRPr="00ED4D26">
        <w:rPr>
          <w:rFonts w:cs="Arial"/>
          <w:lang w:val="es-ES" w:eastAsia="es-ES"/>
        </w:rPr>
        <w:t>l</w:t>
      </w:r>
      <w:r w:rsidR="00680C79">
        <w:rPr>
          <w:rFonts w:cs="Arial"/>
          <w:lang w:val="es-ES" w:eastAsia="es-ES"/>
        </w:rPr>
        <w:t>a Conferencia de las Partes</w:t>
      </w:r>
      <w:r w:rsidRPr="00ED4D26">
        <w:rPr>
          <w:rFonts w:cs="Arial"/>
          <w:lang w:val="es-ES" w:eastAsia="es-ES"/>
        </w:rPr>
        <w:t>:</w:t>
      </w:r>
    </w:p>
    <w:p w14:paraId="0D21BF53" w14:textId="77777777" w:rsidR="00ED4D26" w:rsidRPr="00ED4D26" w:rsidRDefault="00ED4D26" w:rsidP="00ED4D26">
      <w:pPr>
        <w:spacing w:after="0" w:line="240" w:lineRule="auto"/>
        <w:rPr>
          <w:lang w:val="es-ES"/>
        </w:rPr>
      </w:pPr>
    </w:p>
    <w:p w14:paraId="62B58281" w14:textId="604480D2" w:rsidR="00ED4D26" w:rsidRPr="00ED4D26" w:rsidRDefault="00680C79" w:rsidP="00ED4D26">
      <w:pPr>
        <w:numPr>
          <w:ilvl w:val="0"/>
          <w:numId w:val="14"/>
        </w:numPr>
        <w:spacing w:after="0" w:line="240" w:lineRule="auto"/>
        <w:ind w:left="900"/>
        <w:contextualSpacing/>
        <w:jc w:val="both"/>
        <w:rPr>
          <w:rFonts w:eastAsia="Times New Roman" w:cs="Arial"/>
          <w:lang w:val="es-ES"/>
        </w:rPr>
      </w:pPr>
      <w:r>
        <w:rPr>
          <w:rFonts w:eastAsia="Times New Roman" w:cs="Arial"/>
          <w:lang w:val="es-ES"/>
        </w:rPr>
        <w:t>adoptar</w:t>
      </w:r>
      <w:r w:rsidR="00ED4D26" w:rsidRPr="00ED4D26">
        <w:rPr>
          <w:rFonts w:eastAsia="Times New Roman" w:cs="Arial"/>
          <w:lang w:val="es-ES"/>
        </w:rPr>
        <w:t xml:space="preserve"> el proyecto de Resolución contenido en el Anexo 1 de este documento. </w:t>
      </w:r>
    </w:p>
    <w:p w14:paraId="685C8745" w14:textId="77777777" w:rsidR="00ED4D26" w:rsidRPr="00ED4D26" w:rsidRDefault="00ED4D26" w:rsidP="00ED4D26">
      <w:pPr>
        <w:spacing w:after="0" w:line="240" w:lineRule="auto"/>
        <w:ind w:left="900" w:hanging="360"/>
        <w:jc w:val="both"/>
        <w:rPr>
          <w:rFonts w:eastAsia="Times New Roman" w:cs="Arial"/>
          <w:lang w:val="es-ES"/>
        </w:rPr>
      </w:pPr>
    </w:p>
    <w:p w14:paraId="40BE5E4C" w14:textId="4CF61713" w:rsidR="00ED4D26" w:rsidRPr="00ED4D26" w:rsidRDefault="00AF1A08" w:rsidP="00ED4D26">
      <w:pPr>
        <w:numPr>
          <w:ilvl w:val="0"/>
          <w:numId w:val="14"/>
        </w:numPr>
        <w:spacing w:after="0" w:line="240" w:lineRule="auto"/>
        <w:ind w:left="900"/>
        <w:contextualSpacing/>
        <w:jc w:val="both"/>
        <w:rPr>
          <w:lang w:val="es-ES"/>
        </w:rPr>
      </w:pPr>
      <w:r>
        <w:rPr>
          <w:lang w:val="es-ES"/>
        </w:rPr>
        <w:t>adoptar</w:t>
      </w:r>
      <w:r w:rsidR="00ED4D26" w:rsidRPr="00ED4D26">
        <w:rPr>
          <w:lang w:val="es-ES"/>
        </w:rPr>
        <w:t xml:space="preserve"> el proyecto de Decisiones contenido en el Anexo 2 de este documento.</w:t>
      </w:r>
    </w:p>
    <w:p w14:paraId="6D6C99A4" w14:textId="77777777" w:rsidR="00002A97" w:rsidRDefault="00002A97"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4A040FB4" w14:textId="77777777" w:rsidR="00ED4D26" w:rsidRDefault="00ED4D26" w:rsidP="00B40E07">
      <w:pPr>
        <w:pStyle w:val="Firstnumbering1"/>
        <w:numPr>
          <w:ilvl w:val="0"/>
          <w:numId w:val="0"/>
        </w:numPr>
        <w:ind w:left="567"/>
        <w:sectPr w:rsidR="00ED4D26"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568EA189" w14:textId="77777777" w:rsidR="00B40B5D" w:rsidRPr="00B40B5D" w:rsidRDefault="00B40B5D" w:rsidP="00B40B5D">
      <w:pPr>
        <w:spacing w:after="0" w:line="240" w:lineRule="auto"/>
        <w:jc w:val="right"/>
        <w:rPr>
          <w:rFonts w:eastAsia="Times New Roman" w:cs="Arial"/>
          <w:sz w:val="24"/>
          <w:szCs w:val="20"/>
          <w:lang w:val="es-ES"/>
        </w:rPr>
      </w:pPr>
      <w:r w:rsidRPr="00B40B5D">
        <w:rPr>
          <w:rFonts w:eastAsia="Times New Roman" w:cs="Arial"/>
          <w:b/>
          <w:caps/>
          <w:sz w:val="24"/>
          <w:szCs w:val="20"/>
          <w:lang w:val="es-ES"/>
        </w:rPr>
        <w:lastRenderedPageBreak/>
        <w:t>Anexo 1</w:t>
      </w:r>
    </w:p>
    <w:p w14:paraId="38D7F95C" w14:textId="77777777" w:rsidR="00B40B5D" w:rsidRPr="00B40B5D" w:rsidRDefault="00B40B5D" w:rsidP="00B40B5D">
      <w:pPr>
        <w:spacing w:after="0" w:line="240" w:lineRule="auto"/>
        <w:rPr>
          <w:rFonts w:eastAsia="Times New Roman" w:cs="Arial"/>
          <w:sz w:val="24"/>
          <w:szCs w:val="20"/>
          <w:lang w:val="es-ES"/>
        </w:rPr>
      </w:pPr>
    </w:p>
    <w:p w14:paraId="50860A2C" w14:textId="77777777" w:rsidR="00B40B5D" w:rsidRPr="00B40B5D" w:rsidRDefault="00B40B5D" w:rsidP="00B40B5D">
      <w:pPr>
        <w:spacing w:after="0" w:line="240" w:lineRule="auto"/>
        <w:rPr>
          <w:rFonts w:eastAsia="Times New Roman" w:cs="Arial"/>
          <w:sz w:val="24"/>
          <w:szCs w:val="20"/>
          <w:lang w:val="es-ES"/>
        </w:rPr>
      </w:pPr>
    </w:p>
    <w:p w14:paraId="41412C53" w14:textId="77777777" w:rsidR="00B40B5D" w:rsidRPr="00B40B5D" w:rsidRDefault="00B40B5D" w:rsidP="00B40B5D">
      <w:pPr>
        <w:widowControl w:val="0"/>
        <w:autoSpaceDE w:val="0"/>
        <w:autoSpaceDN w:val="0"/>
        <w:adjustRightInd w:val="0"/>
        <w:spacing w:after="0" w:line="240" w:lineRule="auto"/>
        <w:jc w:val="center"/>
        <w:rPr>
          <w:rFonts w:eastAsia="Times New Roman" w:cs="Arial"/>
          <w:lang w:val="es-ES"/>
        </w:rPr>
      </w:pPr>
      <w:r w:rsidRPr="00B40B5D">
        <w:rPr>
          <w:rFonts w:eastAsia="Times New Roman" w:cs="Arial"/>
          <w:lang w:val="es-ES"/>
        </w:rPr>
        <w:t>[PROYECTO DE RESOLUCIÓN]</w:t>
      </w:r>
    </w:p>
    <w:p w14:paraId="7C4E4D08" w14:textId="77777777" w:rsidR="00B40B5D" w:rsidRPr="00B40B5D" w:rsidRDefault="00B40B5D" w:rsidP="00B40B5D">
      <w:pPr>
        <w:widowControl w:val="0"/>
        <w:autoSpaceDE w:val="0"/>
        <w:autoSpaceDN w:val="0"/>
        <w:adjustRightInd w:val="0"/>
        <w:spacing w:after="0" w:line="240" w:lineRule="auto"/>
        <w:jc w:val="center"/>
        <w:rPr>
          <w:rFonts w:eastAsia="Times New Roman" w:cs="Arial"/>
          <w:lang w:val="es-ES"/>
        </w:rPr>
      </w:pPr>
    </w:p>
    <w:p w14:paraId="62EE26C9" w14:textId="77777777" w:rsidR="00B40B5D" w:rsidRPr="00B40B5D" w:rsidRDefault="00B40B5D" w:rsidP="00B40B5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B40B5D">
        <w:rPr>
          <w:rFonts w:eastAsia="Times New Roman" w:cs="Arial"/>
          <w:b/>
          <w:bCs/>
          <w:lang w:val="es-ES"/>
        </w:rPr>
        <w:t>TAXONES POTENCIALES PARA SU INCLUSIÓN EN LOS APÉNDICES</w:t>
      </w:r>
    </w:p>
    <w:p w14:paraId="6552E906" w14:textId="77777777" w:rsidR="00B40B5D" w:rsidRPr="00B40B5D" w:rsidRDefault="00B40B5D" w:rsidP="00B40B5D">
      <w:pPr>
        <w:widowControl w:val="0"/>
        <w:autoSpaceDE w:val="0"/>
        <w:autoSpaceDN w:val="0"/>
        <w:adjustRightInd w:val="0"/>
        <w:spacing w:after="0" w:line="240" w:lineRule="auto"/>
        <w:jc w:val="both"/>
        <w:rPr>
          <w:rFonts w:eastAsia="MS Mincho" w:cs="Arial"/>
          <w:lang w:val="es-ES"/>
        </w:rPr>
      </w:pPr>
    </w:p>
    <w:p w14:paraId="38C27C9F" w14:textId="77777777"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Recordando </w:t>
      </w:r>
      <w:r w:rsidRPr="00B40B5D">
        <w:rPr>
          <w:rFonts w:eastAsia="Times New Roman" w:cs="Arial"/>
          <w:iCs/>
          <w:lang w:val="es-ES"/>
        </w:rPr>
        <w:t xml:space="preserve">las </w:t>
      </w:r>
      <w:r w:rsidRPr="00B40B5D">
        <w:rPr>
          <w:rFonts w:cs="Arial"/>
          <w:lang w:val="es-ES"/>
        </w:rPr>
        <w:t>Directrices para preparar y evaluar las propuestas de enmienda a los Apéndices de la CMS de la Resolución 13.7 y las Directrices para la aplicación del proceso relativo a las Acciones Concertadas de la Resolución 12.28 (Rev.COP13)</w:t>
      </w:r>
      <w:r w:rsidRPr="00B40B5D">
        <w:rPr>
          <w:rFonts w:eastAsia="Times New Roman" w:cs="Arial"/>
          <w:iCs/>
          <w:lang w:val="es-ES"/>
        </w:rPr>
        <w:t>,</w:t>
      </w:r>
    </w:p>
    <w:p w14:paraId="1833B9C1" w14:textId="77777777"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p>
    <w:p w14:paraId="1369DA5D" w14:textId="77777777"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Reafirmando </w:t>
      </w:r>
      <w:r w:rsidRPr="00B40B5D">
        <w:rPr>
          <w:rFonts w:eastAsia="Times New Roman" w:cs="Arial"/>
          <w:iCs/>
          <w:lang w:val="es-ES"/>
        </w:rPr>
        <w:t>la importancia de la colaboración para mejorar el estado de conservación de las especies migratorias,</w:t>
      </w:r>
    </w:p>
    <w:p w14:paraId="5EEACC91" w14:textId="77777777" w:rsidR="00B40B5D" w:rsidRDefault="00B40B5D" w:rsidP="00B40B5D">
      <w:pPr>
        <w:widowControl w:val="0"/>
        <w:autoSpaceDE w:val="0"/>
        <w:autoSpaceDN w:val="0"/>
        <w:adjustRightInd w:val="0"/>
        <w:spacing w:after="0" w:line="240" w:lineRule="auto"/>
        <w:jc w:val="both"/>
        <w:rPr>
          <w:rFonts w:eastAsia="Times New Roman" w:cs="Arial"/>
          <w:i/>
          <w:lang w:val="es-ES"/>
        </w:rPr>
      </w:pPr>
    </w:p>
    <w:p w14:paraId="5C7E50A5" w14:textId="38385A58" w:rsidR="007F2920" w:rsidRDefault="007F2920" w:rsidP="00B40B5D">
      <w:pPr>
        <w:widowControl w:val="0"/>
        <w:autoSpaceDE w:val="0"/>
        <w:autoSpaceDN w:val="0"/>
        <w:adjustRightInd w:val="0"/>
        <w:spacing w:after="0" w:line="240" w:lineRule="auto"/>
        <w:jc w:val="both"/>
        <w:rPr>
          <w:rFonts w:eastAsia="Times New Roman" w:cs="Arial"/>
          <w:iCs/>
          <w:lang w:val="es-ES"/>
        </w:rPr>
      </w:pPr>
      <w:r w:rsidRPr="007F2920">
        <w:rPr>
          <w:rFonts w:eastAsia="Times New Roman" w:cs="Arial"/>
          <w:i/>
          <w:lang w:val="es-ES"/>
        </w:rPr>
        <w:t xml:space="preserve">Tomando nota </w:t>
      </w:r>
      <w:r w:rsidRPr="007F2920">
        <w:rPr>
          <w:rFonts w:eastAsia="Times New Roman" w:cs="Arial"/>
          <w:iCs/>
          <w:lang w:val="es-ES"/>
        </w:rPr>
        <w:t>del texto de la Convención en el Artículo VIII 5.c), que establece que el Consejo Científico debe hacer recomendaciones a la Conferencia de las Partes sobre las especies migratorias que deben incluirse en los Apéndices I o II, junto con una indicación del área de distribución de dichas especies migratorias,</w:t>
      </w:r>
    </w:p>
    <w:p w14:paraId="354D5D84" w14:textId="77777777" w:rsidR="007F2920" w:rsidRPr="00B40B5D" w:rsidRDefault="007F2920" w:rsidP="00B40B5D">
      <w:pPr>
        <w:widowControl w:val="0"/>
        <w:autoSpaceDE w:val="0"/>
        <w:autoSpaceDN w:val="0"/>
        <w:adjustRightInd w:val="0"/>
        <w:spacing w:after="0" w:line="240" w:lineRule="auto"/>
        <w:jc w:val="both"/>
        <w:rPr>
          <w:rFonts w:eastAsia="Times New Roman" w:cs="Arial"/>
          <w:i/>
          <w:lang w:val="es-ES"/>
        </w:rPr>
      </w:pPr>
    </w:p>
    <w:p w14:paraId="70B6CC03" w14:textId="48A888DE"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Tomando nota </w:t>
      </w:r>
      <w:r w:rsidRPr="00B40B5D">
        <w:rPr>
          <w:rFonts w:eastAsia="Times New Roman" w:cs="Arial"/>
          <w:iCs/>
          <w:lang w:val="es-ES"/>
        </w:rPr>
        <w:t>de la importancia de adoptar un enfoque estratégico a la hora de elaborar propuestas para la inclusión en la lista, con el fin de centrarse en aquellas especies que más se beneficiarían</w:t>
      </w:r>
      <w:r w:rsidR="00C8380E">
        <w:rPr>
          <w:rFonts w:eastAsia="Times New Roman" w:cs="Arial"/>
          <w:iCs/>
          <w:lang w:val="es-ES"/>
        </w:rPr>
        <w:t>,</w:t>
      </w:r>
    </w:p>
    <w:p w14:paraId="2FBD7A2A" w14:textId="77777777"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p>
    <w:p w14:paraId="01BADF75" w14:textId="34866712" w:rsidR="00EB42BF" w:rsidRPr="00EB42BF" w:rsidRDefault="00B40B5D" w:rsidP="00EB42BF">
      <w:pPr>
        <w:widowControl w:val="0"/>
        <w:autoSpaceDE w:val="0"/>
        <w:autoSpaceDN w:val="0"/>
        <w:adjustRightInd w:val="0"/>
        <w:spacing w:after="0" w:line="240" w:lineRule="auto"/>
        <w:jc w:val="both"/>
        <w:rPr>
          <w:rFonts w:eastAsia="Times New Roman" w:cs="Arial"/>
          <w:iCs/>
          <w:lang w:val="es-ES"/>
        </w:rPr>
      </w:pPr>
      <w:r w:rsidRPr="00B40B5D">
        <w:rPr>
          <w:rFonts w:eastAsia="Times New Roman" w:cs="Arial"/>
          <w:i/>
          <w:lang w:val="es-ES"/>
        </w:rPr>
        <w:t xml:space="preserve">Acogiendo con beneplácito </w:t>
      </w:r>
      <w:r w:rsidRPr="00B40B5D">
        <w:rPr>
          <w:rFonts w:eastAsia="Times New Roman" w:cs="Arial"/>
          <w:iCs/>
          <w:lang w:val="es-ES"/>
        </w:rPr>
        <w:t xml:space="preserve">el trabajo del Comité del período de sesiones </w:t>
      </w:r>
      <w:r w:rsidRPr="00B40B5D">
        <w:rPr>
          <w:lang w:val="es-ES"/>
        </w:rPr>
        <w:t>en el período entre sesiones entre la COP13 y la COP14 sobre taxones de aves</w:t>
      </w:r>
      <w:r w:rsidRPr="00B40B5D">
        <w:rPr>
          <w:rFonts w:eastAsia="Times New Roman" w:cs="Arial"/>
          <w:iCs/>
          <w:lang w:val="es-ES"/>
        </w:rPr>
        <w:t>,</w:t>
      </w:r>
      <w:r w:rsidR="00EB42BF" w:rsidRPr="00EB42BF">
        <w:rPr>
          <w:lang w:val="es-ES"/>
        </w:rPr>
        <w:t xml:space="preserve"> </w:t>
      </w:r>
      <w:r w:rsidR="00EB42BF" w:rsidRPr="00EB42BF">
        <w:rPr>
          <w:rFonts w:eastAsia="Times New Roman" w:cs="Arial"/>
          <w:iCs/>
          <w:lang w:val="es-ES"/>
        </w:rPr>
        <w:t>así como el trabajo realizado sobre todos los taxones como parte del desarrollo del Estado de las Especies Migratorias del Mundo, y</w:t>
      </w:r>
    </w:p>
    <w:p w14:paraId="791B4D4A" w14:textId="77777777" w:rsidR="00EB42BF" w:rsidRPr="00EB42BF" w:rsidRDefault="00EB42BF" w:rsidP="00EB42BF">
      <w:pPr>
        <w:widowControl w:val="0"/>
        <w:autoSpaceDE w:val="0"/>
        <w:autoSpaceDN w:val="0"/>
        <w:adjustRightInd w:val="0"/>
        <w:spacing w:after="0" w:line="240" w:lineRule="auto"/>
        <w:jc w:val="both"/>
        <w:rPr>
          <w:rFonts w:eastAsia="Times New Roman" w:cs="Arial"/>
          <w:iCs/>
          <w:lang w:val="es-ES"/>
        </w:rPr>
      </w:pPr>
    </w:p>
    <w:p w14:paraId="13046677" w14:textId="2770FC29" w:rsidR="00B40B5D" w:rsidRPr="00B40B5D" w:rsidRDefault="00EB42BF" w:rsidP="00EB42BF">
      <w:pPr>
        <w:widowControl w:val="0"/>
        <w:autoSpaceDE w:val="0"/>
        <w:autoSpaceDN w:val="0"/>
        <w:adjustRightInd w:val="0"/>
        <w:spacing w:after="0" w:line="240" w:lineRule="auto"/>
        <w:jc w:val="both"/>
        <w:rPr>
          <w:rFonts w:eastAsia="Times New Roman" w:cs="Arial"/>
          <w:i/>
          <w:lang w:val="es-ES"/>
        </w:rPr>
      </w:pPr>
      <w:r w:rsidRPr="00C8380E">
        <w:rPr>
          <w:rFonts w:eastAsia="Times New Roman" w:cs="Arial"/>
          <w:i/>
          <w:lang w:val="es-ES"/>
        </w:rPr>
        <w:t>Siendo conscientes</w:t>
      </w:r>
      <w:r w:rsidRPr="00EB42BF">
        <w:rPr>
          <w:rFonts w:eastAsia="Times New Roman" w:cs="Arial"/>
          <w:iCs/>
          <w:lang w:val="es-ES"/>
        </w:rPr>
        <w:t xml:space="preserve"> del hecho de que algunas especies de aves carecen de datos suficientes y de que se necesitan esfuerzos significativos para mejorar el nivel de conocimiento de estos taxones con el fin de evitar el riesgo de pasar por alto taxones que merecen esfuerzos de conservación, las listas aquí propuestas deben considerarse como taxones que necesitan medidas basadas en el nivel actual de conocimiento, pero no abarcan necesariamente todos los taxones que necesitan iniciativas de conservación,</w:t>
      </w:r>
    </w:p>
    <w:p w14:paraId="2ADBA877" w14:textId="77777777" w:rsidR="00B40B5D" w:rsidRPr="00B40B5D" w:rsidRDefault="00B40B5D" w:rsidP="00B40B5D">
      <w:pPr>
        <w:widowControl w:val="0"/>
        <w:autoSpaceDE w:val="0"/>
        <w:autoSpaceDN w:val="0"/>
        <w:adjustRightInd w:val="0"/>
        <w:spacing w:after="0" w:line="240" w:lineRule="auto"/>
        <w:jc w:val="both"/>
        <w:rPr>
          <w:rFonts w:eastAsia="Times New Roman" w:cs="Arial"/>
          <w:i/>
          <w:lang w:val="es-ES"/>
        </w:rPr>
      </w:pPr>
    </w:p>
    <w:p w14:paraId="2BBC8A13" w14:textId="77777777" w:rsidR="00B40B5D" w:rsidRPr="00B40B5D" w:rsidRDefault="00B40B5D" w:rsidP="00B40B5D">
      <w:pPr>
        <w:widowControl w:val="0"/>
        <w:autoSpaceDE w:val="0"/>
        <w:autoSpaceDN w:val="0"/>
        <w:adjustRightInd w:val="0"/>
        <w:spacing w:after="0" w:line="240" w:lineRule="auto"/>
        <w:jc w:val="center"/>
        <w:rPr>
          <w:rFonts w:eastAsia="Times New Roman" w:cs="Arial"/>
          <w:i/>
          <w:lang w:val="es-ES"/>
        </w:rPr>
      </w:pPr>
      <w:r w:rsidRPr="00B40B5D">
        <w:rPr>
          <w:rFonts w:eastAsia="Times New Roman" w:cs="Arial"/>
          <w:i/>
          <w:lang w:val="es-ES"/>
        </w:rPr>
        <w:t>La Conferencia de las Partes en la</w:t>
      </w:r>
    </w:p>
    <w:p w14:paraId="7B09D530" w14:textId="77777777" w:rsidR="00B40B5D" w:rsidRPr="00B40B5D" w:rsidRDefault="00B40B5D" w:rsidP="00B40B5D">
      <w:pPr>
        <w:widowControl w:val="0"/>
        <w:autoSpaceDE w:val="0"/>
        <w:autoSpaceDN w:val="0"/>
        <w:adjustRightInd w:val="0"/>
        <w:spacing w:after="0" w:line="240" w:lineRule="auto"/>
        <w:jc w:val="center"/>
        <w:rPr>
          <w:rFonts w:eastAsia="Times New Roman" w:cs="Arial"/>
          <w:i/>
          <w:lang w:val="es-ES"/>
        </w:rPr>
      </w:pPr>
      <w:r w:rsidRPr="00B40B5D">
        <w:rPr>
          <w:rFonts w:eastAsia="Times New Roman" w:cs="Arial"/>
          <w:i/>
          <w:lang w:val="es-ES"/>
        </w:rPr>
        <w:t>Convención sobre la Conservación de las Especies Migratorias de Animales Silvestres</w:t>
      </w:r>
    </w:p>
    <w:p w14:paraId="43448DEB" w14:textId="77777777" w:rsidR="00B40B5D" w:rsidRPr="00B40B5D" w:rsidRDefault="00B40B5D" w:rsidP="00B40B5D">
      <w:pPr>
        <w:widowControl w:val="0"/>
        <w:autoSpaceDE w:val="0"/>
        <w:autoSpaceDN w:val="0"/>
        <w:adjustRightInd w:val="0"/>
        <w:spacing w:after="0" w:line="240" w:lineRule="auto"/>
        <w:jc w:val="both"/>
        <w:rPr>
          <w:rFonts w:eastAsia="Times New Roman" w:cs="Arial"/>
          <w:lang w:val="es-ES"/>
        </w:rPr>
      </w:pPr>
    </w:p>
    <w:p w14:paraId="38055766" w14:textId="15C78C8F" w:rsidR="00B40B5D" w:rsidRPr="00B40B5D" w:rsidRDefault="00B40B5D" w:rsidP="00B40B5D">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B40B5D">
        <w:rPr>
          <w:rFonts w:eastAsia="Times New Roman" w:cs="Arial"/>
          <w:i/>
          <w:lang w:val="es-ES"/>
        </w:rPr>
        <w:t>A</w:t>
      </w:r>
      <w:r w:rsidR="0042113A">
        <w:rPr>
          <w:rFonts w:eastAsia="Times New Roman" w:cs="Arial"/>
          <w:i/>
          <w:lang w:val="es-ES"/>
        </w:rPr>
        <w:t>prueba</w:t>
      </w:r>
      <w:r w:rsidRPr="00B40B5D">
        <w:rPr>
          <w:rFonts w:eastAsia="Times New Roman" w:cs="Arial"/>
          <w:i/>
          <w:lang w:val="es-ES"/>
        </w:rPr>
        <w:t xml:space="preserve"> </w:t>
      </w:r>
      <w:r w:rsidRPr="00B40B5D">
        <w:rPr>
          <w:rFonts w:eastAsia="Times New Roman" w:cs="Arial"/>
          <w:iCs/>
          <w:lang w:val="es-ES"/>
        </w:rPr>
        <w:t xml:space="preserve">la lista de las especies de aves que </w:t>
      </w:r>
      <w:r w:rsidR="00F56454">
        <w:rPr>
          <w:rFonts w:eastAsia="Times New Roman" w:cs="Arial"/>
          <w:iCs/>
          <w:lang w:val="es-ES"/>
        </w:rPr>
        <w:t>probablemente cum</w:t>
      </w:r>
      <w:r w:rsidR="00DF3A80">
        <w:rPr>
          <w:rFonts w:eastAsia="Times New Roman" w:cs="Arial"/>
          <w:iCs/>
          <w:lang w:val="es-ES"/>
        </w:rPr>
        <w:t>plan los criterios</w:t>
      </w:r>
      <w:r w:rsidRPr="00B40B5D">
        <w:rPr>
          <w:rFonts w:eastAsia="Times New Roman" w:cs="Arial"/>
          <w:iCs/>
          <w:lang w:val="es-ES"/>
        </w:rPr>
        <w:t xml:space="preserve"> para su inclusión en los Apéndices de la Convención, anexa a esta resolución, como paso estratégico para centrar la atención de la Convención en las especies que más se beneficiarían de las medidas de conservación; </w:t>
      </w:r>
    </w:p>
    <w:p w14:paraId="3FF6B487" w14:textId="77777777" w:rsidR="00B40B5D" w:rsidRPr="00B40B5D" w:rsidRDefault="00B40B5D" w:rsidP="00B40B5D">
      <w:pPr>
        <w:widowControl w:val="0"/>
        <w:autoSpaceDE w:val="0"/>
        <w:autoSpaceDN w:val="0"/>
        <w:adjustRightInd w:val="0"/>
        <w:spacing w:after="0" w:line="240" w:lineRule="auto"/>
        <w:ind w:left="567" w:hanging="567"/>
        <w:jc w:val="both"/>
        <w:rPr>
          <w:rFonts w:eastAsia="Times New Roman" w:cs="Arial"/>
          <w:lang w:val="es-ES"/>
        </w:rPr>
      </w:pPr>
    </w:p>
    <w:p w14:paraId="76787C07" w14:textId="53D8ED3D" w:rsidR="00B40B5D" w:rsidRDefault="00B40B5D" w:rsidP="00B40B5D">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B40B5D">
        <w:rPr>
          <w:rFonts w:eastAsia="Times New Roman" w:cs="Arial"/>
          <w:i/>
          <w:lang w:val="es-ES"/>
        </w:rPr>
        <w:t xml:space="preserve">Invita </w:t>
      </w:r>
      <w:r w:rsidRPr="00B40B5D">
        <w:rPr>
          <w:rFonts w:eastAsia="Times New Roman" w:cs="Arial"/>
          <w:lang w:val="es-ES"/>
        </w:rPr>
        <w:t xml:space="preserve">a las Partes, a las organizaciones no gubernamentales, a las organizaciones intergubernamentales y a otras partes interesadas a que consideren trabajar de forma colaborativa para desarrollar propuestas de inclusión y Acciones Concertadas </w:t>
      </w:r>
      <w:r w:rsidR="007D00B6">
        <w:rPr>
          <w:rFonts w:eastAsia="Times New Roman" w:cs="Arial"/>
          <w:lang w:val="es-ES"/>
        </w:rPr>
        <w:t xml:space="preserve">y otras </w:t>
      </w:r>
      <w:r w:rsidR="00024AA9">
        <w:rPr>
          <w:rFonts w:eastAsia="Times New Roman" w:cs="Arial"/>
          <w:lang w:val="es-ES"/>
        </w:rPr>
        <w:t xml:space="preserve">intervenciones </w:t>
      </w:r>
      <w:r w:rsidR="009A7CC4">
        <w:rPr>
          <w:rFonts w:eastAsia="Times New Roman" w:cs="Arial"/>
          <w:lang w:val="es-ES"/>
        </w:rPr>
        <w:t>de conservación de multi</w:t>
      </w:r>
      <w:r w:rsidR="004B6781">
        <w:rPr>
          <w:rFonts w:eastAsia="Times New Roman" w:cs="Arial"/>
          <w:lang w:val="es-ES"/>
        </w:rPr>
        <w:t xml:space="preserve"> </w:t>
      </w:r>
      <w:r w:rsidR="009A7CC4">
        <w:rPr>
          <w:rFonts w:eastAsia="Times New Roman" w:cs="Arial"/>
          <w:lang w:val="es-ES"/>
        </w:rPr>
        <w:t xml:space="preserve">especies o de hábitat más amplios </w:t>
      </w:r>
      <w:r w:rsidR="00263F8A">
        <w:rPr>
          <w:rFonts w:eastAsia="Times New Roman" w:cs="Arial"/>
          <w:lang w:val="es-ES"/>
        </w:rPr>
        <w:t xml:space="preserve">para las </w:t>
      </w:r>
      <w:r w:rsidRPr="00B40B5D">
        <w:rPr>
          <w:rFonts w:eastAsia="Times New Roman" w:cs="Arial"/>
          <w:lang w:val="es-ES"/>
        </w:rPr>
        <w:t xml:space="preserve">especies del Anexo, para su consideración en futuras reuniones de la Conferencia de las Partes; </w:t>
      </w:r>
    </w:p>
    <w:p w14:paraId="251D3EDC" w14:textId="77777777" w:rsidR="00506131" w:rsidRDefault="00506131" w:rsidP="00506131">
      <w:pPr>
        <w:pStyle w:val="ListParagraph"/>
        <w:rPr>
          <w:rFonts w:eastAsia="Times New Roman" w:cs="Arial"/>
          <w:lang w:val="es-ES"/>
        </w:rPr>
      </w:pPr>
    </w:p>
    <w:p w14:paraId="6E10C141" w14:textId="5A5F8368" w:rsidR="002D5F2A" w:rsidRPr="0063405A" w:rsidRDefault="00B40B5D" w:rsidP="0063405A">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63405A">
        <w:rPr>
          <w:i/>
          <w:lang w:val="es-ES"/>
        </w:rPr>
        <w:t xml:space="preserve">Pide </w:t>
      </w:r>
      <w:r w:rsidRPr="0063405A">
        <w:rPr>
          <w:iCs/>
          <w:lang w:val="es-ES"/>
        </w:rPr>
        <w:t>al Consejo Científico que</w:t>
      </w:r>
      <w:r w:rsidR="00FB2C72" w:rsidRPr="0063405A">
        <w:rPr>
          <w:iCs/>
          <w:lang w:val="es-ES"/>
        </w:rPr>
        <w:t xml:space="preserve">, en coordinación con las autoridades de la Lista </w:t>
      </w:r>
      <w:r w:rsidR="00B60CE9" w:rsidRPr="0063405A">
        <w:rPr>
          <w:iCs/>
          <w:lang w:val="es-ES"/>
        </w:rPr>
        <w:t>Roja de la UICN,</w:t>
      </w:r>
      <w:r w:rsidRPr="0063405A">
        <w:rPr>
          <w:iCs/>
          <w:lang w:val="es-ES"/>
        </w:rPr>
        <w:t xml:space="preserve"> revise</w:t>
      </w:r>
      <w:r w:rsidR="00B60CE9" w:rsidRPr="0063405A">
        <w:rPr>
          <w:iCs/>
          <w:lang w:val="es-ES"/>
        </w:rPr>
        <w:t>, incluyendo las especies con datos insuficientes</w:t>
      </w:r>
      <w:r w:rsidR="00CF7A12" w:rsidRPr="0063405A">
        <w:rPr>
          <w:iCs/>
          <w:lang w:val="es-ES"/>
        </w:rPr>
        <w:t>, y actualice</w:t>
      </w:r>
      <w:r w:rsidRPr="0063405A">
        <w:rPr>
          <w:iCs/>
          <w:lang w:val="es-ES"/>
        </w:rPr>
        <w:t xml:space="preserve"> la lista del Anexo en el período entre las reuniones de la Conferencia de las Partes</w:t>
      </w:r>
      <w:r w:rsidRPr="0063405A">
        <w:rPr>
          <w:i/>
          <w:lang w:val="es-ES"/>
        </w:rPr>
        <w:t>.</w:t>
      </w:r>
    </w:p>
    <w:p w14:paraId="7325F9D0" w14:textId="77777777" w:rsidR="00B40B5D" w:rsidRDefault="00B40B5D" w:rsidP="00B40B5D">
      <w:pPr>
        <w:pStyle w:val="Firstnumbering1"/>
        <w:numPr>
          <w:ilvl w:val="0"/>
          <w:numId w:val="0"/>
        </w:numPr>
        <w:ind w:left="567"/>
        <w:sectPr w:rsidR="00B40B5D" w:rsidSect="00323406">
          <w:headerReference w:type="first" r:id="rId19"/>
          <w:footerReference w:type="first" r:id="rId20"/>
          <w:pgSz w:w="11906" w:h="16838" w:code="9"/>
          <w:pgMar w:top="1440" w:right="1440" w:bottom="1440" w:left="1440" w:header="720" w:footer="720" w:gutter="0"/>
          <w:cols w:space="720"/>
          <w:titlePg/>
          <w:docGrid w:linePitch="360"/>
        </w:sectPr>
      </w:pPr>
    </w:p>
    <w:p w14:paraId="7CC6558B" w14:textId="77777777" w:rsidR="000A00AE" w:rsidRPr="000A00AE" w:rsidRDefault="000A00AE" w:rsidP="000A00AE">
      <w:pPr>
        <w:widowControl w:val="0"/>
        <w:spacing w:after="120" w:line="240" w:lineRule="auto"/>
        <w:contextualSpacing/>
        <w:jc w:val="both"/>
        <w:rPr>
          <w:rFonts w:eastAsia="Times New Roman" w:cs="Arial"/>
          <w:snapToGrid w:val="0"/>
          <w:lang w:val="es-ES"/>
        </w:rPr>
      </w:pPr>
      <w:r w:rsidRPr="000A00AE">
        <w:rPr>
          <w:rFonts w:eastAsia="Times New Roman" w:cs="Arial"/>
          <w:b/>
          <w:bCs/>
          <w:i/>
          <w:snapToGrid w:val="0"/>
          <w:lang w:val="es-ES"/>
        </w:rPr>
        <w:lastRenderedPageBreak/>
        <w:t xml:space="preserve">Anexo a la Resolución 14.xx. </w:t>
      </w:r>
      <w:r w:rsidRPr="000A00AE">
        <w:rPr>
          <w:rFonts w:eastAsia="Times New Roman" w:cs="Arial"/>
          <w:snapToGrid w:val="0"/>
          <w:lang w:val="es-ES"/>
        </w:rPr>
        <w:t>Lista de las especies de aves que cumplen con los criterios de movimiento, que cuentan con un estado de conservación desfavorable y que no están incluidas en las familias agregadas, ni individualmente, ni en el Apéndice I ni en el Apéndice II de la CMS. Los taxones en negrita se encuentran amenazados: En Peligro Crítico (CR, 14 spp.), En Peligro (EN, 31 spp.), Vulnerable (VU, 53 spp.). o con Datos Insuficientes (DD, 2 spp.). Las especies del tipo llano están Casi Amenazadas (NT, 58 spp.). Total 158 especies (de 1443 especies que por lo demás cumplen con los criterios de movimiento de la CMS).</w:t>
      </w:r>
    </w:p>
    <w:tbl>
      <w:tblPr>
        <w:tblW w:w="15210" w:type="dxa"/>
        <w:tblInd w:w="-720" w:type="dxa"/>
        <w:tblLayout w:type="fixed"/>
        <w:tblLook w:val="0000" w:firstRow="0" w:lastRow="0" w:firstColumn="0" w:lastColumn="0" w:noHBand="0" w:noVBand="0"/>
      </w:tblPr>
      <w:tblGrid>
        <w:gridCol w:w="1610"/>
        <w:gridCol w:w="1964"/>
        <w:gridCol w:w="2126"/>
        <w:gridCol w:w="1413"/>
        <w:gridCol w:w="8097"/>
      </w:tblGrid>
      <w:tr w:rsidR="000A00AE" w:rsidRPr="00D1581E" w14:paraId="5B22B1EA" w14:textId="77777777" w:rsidTr="00FC7FD8">
        <w:trPr>
          <w:cantSplit/>
          <w:tblHeader/>
        </w:trPr>
        <w:tc>
          <w:tcPr>
            <w:tcW w:w="1610" w:type="dxa"/>
            <w:tcBorders>
              <w:bottom w:val="single" w:sz="4" w:space="0" w:color="auto"/>
            </w:tcBorders>
            <w:shd w:val="clear" w:color="auto" w:fill="auto"/>
            <w:vAlign w:val="bottom"/>
          </w:tcPr>
          <w:p w14:paraId="5FCCA36A" w14:textId="77777777" w:rsidR="000A00AE" w:rsidRPr="00FC4B7A" w:rsidRDefault="000A00AE" w:rsidP="00FC7FD8">
            <w:pPr>
              <w:autoSpaceDE w:val="0"/>
              <w:autoSpaceDN w:val="0"/>
              <w:adjustRightInd w:val="0"/>
              <w:spacing w:after="0" w:line="240" w:lineRule="auto"/>
              <w:ind w:firstLine="8"/>
              <w:rPr>
                <w:rFonts w:cs="Arial"/>
                <w:b/>
                <w:bCs/>
                <w:color w:val="000000"/>
                <w:sz w:val="20"/>
                <w:szCs w:val="20"/>
                <w:lang w:val="es-ES"/>
              </w:rPr>
            </w:pPr>
            <w:r w:rsidRPr="00FC4B7A">
              <w:rPr>
                <w:rFonts w:cs="Arial"/>
                <w:b/>
                <w:bCs/>
                <w:color w:val="000000"/>
                <w:sz w:val="20"/>
                <w:szCs w:val="20"/>
                <w:lang w:val="es-ES"/>
              </w:rPr>
              <w:t>Nombre de la familia</w:t>
            </w:r>
          </w:p>
        </w:tc>
        <w:tc>
          <w:tcPr>
            <w:tcW w:w="1964" w:type="dxa"/>
            <w:tcBorders>
              <w:bottom w:val="single" w:sz="4" w:space="0" w:color="auto"/>
            </w:tcBorders>
            <w:shd w:val="clear" w:color="auto" w:fill="auto"/>
            <w:vAlign w:val="bottom"/>
          </w:tcPr>
          <w:p w14:paraId="48A6055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Nombre común</w:t>
            </w:r>
          </w:p>
        </w:tc>
        <w:tc>
          <w:tcPr>
            <w:tcW w:w="2126" w:type="dxa"/>
            <w:tcBorders>
              <w:bottom w:val="single" w:sz="4" w:space="0" w:color="auto"/>
            </w:tcBorders>
            <w:shd w:val="clear" w:color="auto" w:fill="auto"/>
            <w:vAlign w:val="bottom"/>
          </w:tcPr>
          <w:p w14:paraId="24274FF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Nombre científico</w:t>
            </w:r>
          </w:p>
        </w:tc>
        <w:tc>
          <w:tcPr>
            <w:tcW w:w="1413" w:type="dxa"/>
            <w:tcBorders>
              <w:bottom w:val="single" w:sz="4" w:space="0" w:color="auto"/>
            </w:tcBorders>
            <w:shd w:val="clear" w:color="auto" w:fill="auto"/>
            <w:vAlign w:val="bottom"/>
          </w:tcPr>
          <w:p w14:paraId="1333988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Categoría de la Lista Roja de la UICN en 2023</w:t>
            </w:r>
          </w:p>
        </w:tc>
        <w:tc>
          <w:tcPr>
            <w:tcW w:w="8097" w:type="dxa"/>
            <w:tcBorders>
              <w:bottom w:val="single" w:sz="4" w:space="0" w:color="auto"/>
            </w:tcBorders>
            <w:shd w:val="clear" w:color="auto" w:fill="auto"/>
            <w:vAlign w:val="bottom"/>
          </w:tcPr>
          <w:p w14:paraId="3D6EB501" w14:textId="77777777" w:rsidR="000A00AE" w:rsidRPr="00FC4B7A" w:rsidRDefault="000A00AE" w:rsidP="000A00AE">
            <w:pPr>
              <w:autoSpaceDE w:val="0"/>
              <w:autoSpaceDN w:val="0"/>
              <w:adjustRightInd w:val="0"/>
              <w:spacing w:after="0" w:line="240" w:lineRule="auto"/>
              <w:jc w:val="both"/>
              <w:rPr>
                <w:rFonts w:cs="Arial"/>
                <w:b/>
                <w:bCs/>
                <w:color w:val="000000"/>
                <w:sz w:val="20"/>
                <w:szCs w:val="20"/>
                <w:lang w:val="es-ES"/>
              </w:rPr>
            </w:pPr>
            <w:r w:rsidRPr="00FC4B7A">
              <w:rPr>
                <w:rFonts w:cs="Arial"/>
                <w:b/>
                <w:bCs/>
                <w:color w:val="000000"/>
                <w:sz w:val="20"/>
                <w:szCs w:val="20"/>
                <w:lang w:val="es-ES"/>
              </w:rPr>
              <w:t>Texto resumido de los movimientos</w:t>
            </w:r>
          </w:p>
        </w:tc>
      </w:tr>
      <w:tr w:rsidR="000A00AE" w:rsidRPr="00FC4B7A" w14:paraId="0AAD06D1" w14:textId="77777777" w:rsidTr="00FC7FD8">
        <w:trPr>
          <w:cantSplit/>
        </w:trPr>
        <w:tc>
          <w:tcPr>
            <w:tcW w:w="1610" w:type="dxa"/>
            <w:tcBorders>
              <w:top w:val="single" w:sz="4" w:space="0" w:color="auto"/>
            </w:tcBorders>
            <w:shd w:val="clear" w:color="auto" w:fill="auto"/>
          </w:tcPr>
          <w:p w14:paraId="5D1053F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Phasianidae</w:t>
            </w:r>
          </w:p>
        </w:tc>
        <w:tc>
          <w:tcPr>
            <w:tcW w:w="1964" w:type="dxa"/>
            <w:tcBorders>
              <w:top w:val="single" w:sz="4" w:space="0" w:color="auto"/>
            </w:tcBorders>
            <w:shd w:val="clear" w:color="auto" w:fill="auto"/>
          </w:tcPr>
          <w:p w14:paraId="5671410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Codorniz japonesa</w:t>
            </w:r>
          </w:p>
        </w:tc>
        <w:tc>
          <w:tcPr>
            <w:tcW w:w="2126" w:type="dxa"/>
            <w:tcBorders>
              <w:top w:val="single" w:sz="4" w:space="0" w:color="auto"/>
            </w:tcBorders>
            <w:shd w:val="clear" w:color="auto" w:fill="auto"/>
          </w:tcPr>
          <w:p w14:paraId="51D7B84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Coturnix japonica</w:t>
            </w:r>
          </w:p>
        </w:tc>
        <w:tc>
          <w:tcPr>
            <w:tcW w:w="1413" w:type="dxa"/>
            <w:tcBorders>
              <w:top w:val="single" w:sz="4" w:space="0" w:color="auto"/>
            </w:tcBorders>
            <w:shd w:val="clear" w:color="auto" w:fill="auto"/>
          </w:tcPr>
          <w:p w14:paraId="5BC456E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tcBorders>
              <w:top w:val="single" w:sz="4" w:space="0" w:color="auto"/>
            </w:tcBorders>
            <w:shd w:val="clear" w:color="auto" w:fill="auto"/>
          </w:tcPr>
          <w:p w14:paraId="1645B13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0EBC23F" w14:textId="77777777" w:rsidTr="00FC7FD8">
        <w:trPr>
          <w:cantSplit/>
        </w:trPr>
        <w:tc>
          <w:tcPr>
            <w:tcW w:w="1610" w:type="dxa"/>
            <w:shd w:val="clear" w:color="auto" w:fill="auto"/>
          </w:tcPr>
          <w:p w14:paraId="6293A4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Columbidae</w:t>
            </w:r>
          </w:p>
        </w:tc>
        <w:tc>
          <w:tcPr>
            <w:tcW w:w="1964" w:type="dxa"/>
            <w:shd w:val="clear" w:color="auto" w:fill="auto"/>
          </w:tcPr>
          <w:p w14:paraId="5516138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Paloma del Tursquestán</w:t>
            </w:r>
          </w:p>
        </w:tc>
        <w:tc>
          <w:tcPr>
            <w:tcW w:w="2126" w:type="dxa"/>
            <w:shd w:val="clear" w:color="auto" w:fill="auto"/>
          </w:tcPr>
          <w:p w14:paraId="4AF8DAC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Columba eversmanni</w:t>
            </w:r>
          </w:p>
        </w:tc>
        <w:tc>
          <w:tcPr>
            <w:tcW w:w="1413" w:type="dxa"/>
            <w:shd w:val="clear" w:color="auto" w:fill="auto"/>
          </w:tcPr>
          <w:p w14:paraId="47EE7E0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365BC0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&gt;1000 km de norte a sur; algunos movimientos son como mínimo principalmente altitudinales; al menos una subpoblación se separa de la ruta migratoria considerada sedentaria. Cumple con los criterios de movimiento de la CMS.</w:t>
            </w:r>
          </w:p>
        </w:tc>
      </w:tr>
      <w:tr w:rsidR="000A00AE" w:rsidRPr="00FC4B7A" w14:paraId="4C45BC86" w14:textId="77777777" w:rsidTr="00FC7FD8">
        <w:trPr>
          <w:cantSplit/>
        </w:trPr>
        <w:tc>
          <w:tcPr>
            <w:tcW w:w="1610" w:type="dxa"/>
            <w:shd w:val="clear" w:color="auto" w:fill="auto"/>
          </w:tcPr>
          <w:p w14:paraId="3F87B2F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Columbidae</w:t>
            </w:r>
          </w:p>
        </w:tc>
        <w:tc>
          <w:tcPr>
            <w:tcW w:w="1964" w:type="dxa"/>
            <w:shd w:val="clear" w:color="auto" w:fill="auto"/>
          </w:tcPr>
          <w:p w14:paraId="53E9A3E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Paloma de Nicobar</w:t>
            </w:r>
          </w:p>
        </w:tc>
        <w:tc>
          <w:tcPr>
            <w:tcW w:w="2126" w:type="dxa"/>
            <w:shd w:val="clear" w:color="auto" w:fill="auto"/>
          </w:tcPr>
          <w:p w14:paraId="45414CD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Caloenas nicobarica</w:t>
            </w:r>
          </w:p>
        </w:tc>
        <w:tc>
          <w:tcPr>
            <w:tcW w:w="1413" w:type="dxa"/>
            <w:shd w:val="clear" w:color="auto" w:fill="auto"/>
          </w:tcPr>
          <w:p w14:paraId="752D232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FAB5E1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los lugares de reproducción y de no reproducción rara vez son los mismos entre las estaciones; los individuos suelen recorrer entre 100 y 1000 km, aunque sin una dirección consistente. Cumple con los criterios de movimiento de la CMS.</w:t>
            </w:r>
          </w:p>
        </w:tc>
      </w:tr>
      <w:tr w:rsidR="000A00AE" w:rsidRPr="00FC4B7A" w14:paraId="27C6685A" w14:textId="77777777" w:rsidTr="00FC7FD8">
        <w:trPr>
          <w:cantSplit/>
        </w:trPr>
        <w:tc>
          <w:tcPr>
            <w:tcW w:w="1610" w:type="dxa"/>
            <w:shd w:val="clear" w:color="auto" w:fill="auto"/>
          </w:tcPr>
          <w:p w14:paraId="2A5E398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Columbidae</w:t>
            </w:r>
          </w:p>
        </w:tc>
        <w:tc>
          <w:tcPr>
            <w:tcW w:w="1964" w:type="dxa"/>
            <w:shd w:val="clear" w:color="auto" w:fill="auto"/>
          </w:tcPr>
          <w:p w14:paraId="7BD273A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Tilopo jambú</w:t>
            </w:r>
          </w:p>
        </w:tc>
        <w:tc>
          <w:tcPr>
            <w:tcW w:w="2126" w:type="dxa"/>
            <w:shd w:val="clear" w:color="auto" w:fill="auto"/>
          </w:tcPr>
          <w:p w14:paraId="53AC4FB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Ramphiculus jambu</w:t>
            </w:r>
          </w:p>
        </w:tc>
        <w:tc>
          <w:tcPr>
            <w:tcW w:w="1413" w:type="dxa"/>
            <w:shd w:val="clear" w:color="auto" w:fill="auto"/>
          </w:tcPr>
          <w:p w14:paraId="147B3591"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5C2A87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moderadamente nómada tanto en la época reproductora como en la no reproductora; los individuos suelen recorrer entre 100 y 1000 km, aunque sin una dirección consistente. Cumple con los criterios de movimiento de la CMS.</w:t>
            </w:r>
          </w:p>
        </w:tc>
      </w:tr>
      <w:tr w:rsidR="000A00AE" w:rsidRPr="00FC4B7A" w14:paraId="503C649A" w14:textId="77777777" w:rsidTr="00FC7FD8">
        <w:trPr>
          <w:cantSplit/>
        </w:trPr>
        <w:tc>
          <w:tcPr>
            <w:tcW w:w="1610" w:type="dxa"/>
            <w:shd w:val="clear" w:color="auto" w:fill="auto"/>
          </w:tcPr>
          <w:p w14:paraId="019E0D3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Caprimulgidae</w:t>
            </w:r>
          </w:p>
        </w:tc>
        <w:tc>
          <w:tcPr>
            <w:tcW w:w="1964" w:type="dxa"/>
            <w:shd w:val="clear" w:color="auto" w:fill="auto"/>
          </w:tcPr>
          <w:p w14:paraId="276E3D5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Chotacabras pantanero</w:t>
            </w:r>
          </w:p>
        </w:tc>
        <w:tc>
          <w:tcPr>
            <w:tcW w:w="2126" w:type="dxa"/>
            <w:shd w:val="clear" w:color="auto" w:fill="auto"/>
          </w:tcPr>
          <w:p w14:paraId="4B331EB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Eleothreptus anomalus</w:t>
            </w:r>
          </w:p>
        </w:tc>
        <w:tc>
          <w:tcPr>
            <w:tcW w:w="1413" w:type="dxa"/>
            <w:shd w:val="clear" w:color="auto" w:fill="auto"/>
          </w:tcPr>
          <w:p w14:paraId="032D88F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EB417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2581629D" w14:textId="77777777" w:rsidTr="00FC7FD8">
        <w:trPr>
          <w:cantSplit/>
        </w:trPr>
        <w:tc>
          <w:tcPr>
            <w:tcW w:w="1610" w:type="dxa"/>
            <w:shd w:val="clear" w:color="auto" w:fill="auto"/>
          </w:tcPr>
          <w:p w14:paraId="37EC530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Caprimulgidae</w:t>
            </w:r>
          </w:p>
        </w:tc>
        <w:tc>
          <w:tcPr>
            <w:tcW w:w="1964" w:type="dxa"/>
            <w:shd w:val="clear" w:color="auto" w:fill="auto"/>
          </w:tcPr>
          <w:p w14:paraId="003953F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Chotacabras cuerporruín</w:t>
            </w:r>
          </w:p>
        </w:tc>
        <w:tc>
          <w:tcPr>
            <w:tcW w:w="2126" w:type="dxa"/>
            <w:shd w:val="clear" w:color="auto" w:fill="auto"/>
          </w:tcPr>
          <w:p w14:paraId="3255DA5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Antrostomus vociferus</w:t>
            </w:r>
          </w:p>
        </w:tc>
        <w:tc>
          <w:tcPr>
            <w:tcW w:w="1413" w:type="dxa"/>
            <w:shd w:val="clear" w:color="auto" w:fill="auto"/>
          </w:tcPr>
          <w:p w14:paraId="22A6A96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EBEB70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28CE73C" w14:textId="77777777" w:rsidTr="00FC7FD8">
        <w:trPr>
          <w:cantSplit/>
        </w:trPr>
        <w:tc>
          <w:tcPr>
            <w:tcW w:w="1610" w:type="dxa"/>
            <w:shd w:val="clear" w:color="auto" w:fill="auto"/>
          </w:tcPr>
          <w:p w14:paraId="6FB0E24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Caprimulgidae</w:t>
            </w:r>
          </w:p>
        </w:tc>
        <w:tc>
          <w:tcPr>
            <w:tcW w:w="1964" w:type="dxa"/>
            <w:shd w:val="clear" w:color="auto" w:fill="auto"/>
          </w:tcPr>
          <w:p w14:paraId="6FE65F7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Chotacabras de paso</w:t>
            </w:r>
          </w:p>
        </w:tc>
        <w:tc>
          <w:tcPr>
            <w:tcW w:w="2126" w:type="dxa"/>
            <w:shd w:val="clear" w:color="auto" w:fill="auto"/>
          </w:tcPr>
          <w:p w14:paraId="73E93AC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Antrostomus carolinensis</w:t>
            </w:r>
          </w:p>
        </w:tc>
        <w:tc>
          <w:tcPr>
            <w:tcW w:w="1413" w:type="dxa"/>
            <w:shd w:val="clear" w:color="auto" w:fill="auto"/>
          </w:tcPr>
          <w:p w14:paraId="55801F4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F3D024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&gt;1000 km de norte a sur; los individuos inmaduros pueden migrar más allá del área de distribución normal de los adultos antes de regresar para reproducirse. Cumple con los criterios de movimiento de la CMS.</w:t>
            </w:r>
          </w:p>
        </w:tc>
      </w:tr>
      <w:tr w:rsidR="000A00AE" w:rsidRPr="00FC4B7A" w14:paraId="5472ADC4" w14:textId="77777777" w:rsidTr="00FC7FD8">
        <w:trPr>
          <w:cantSplit/>
        </w:trPr>
        <w:tc>
          <w:tcPr>
            <w:tcW w:w="1610" w:type="dxa"/>
            <w:shd w:val="clear" w:color="auto" w:fill="auto"/>
          </w:tcPr>
          <w:p w14:paraId="028FBE4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Caprimulgidae</w:t>
            </w:r>
          </w:p>
        </w:tc>
        <w:tc>
          <w:tcPr>
            <w:tcW w:w="1964" w:type="dxa"/>
            <w:shd w:val="clear" w:color="auto" w:fill="auto"/>
          </w:tcPr>
          <w:p w14:paraId="5F84006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Chotacabras cuellirrojo</w:t>
            </w:r>
          </w:p>
        </w:tc>
        <w:tc>
          <w:tcPr>
            <w:tcW w:w="2126" w:type="dxa"/>
            <w:shd w:val="clear" w:color="auto" w:fill="auto"/>
          </w:tcPr>
          <w:p w14:paraId="660FB83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Caprimulgus ruficollis</w:t>
            </w:r>
          </w:p>
        </w:tc>
        <w:tc>
          <w:tcPr>
            <w:tcW w:w="1413" w:type="dxa"/>
            <w:shd w:val="clear" w:color="auto" w:fill="auto"/>
          </w:tcPr>
          <w:p w14:paraId="041A4C0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FE377A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4A7AC859" w14:textId="77777777" w:rsidTr="00FC7FD8">
        <w:trPr>
          <w:cantSplit/>
        </w:trPr>
        <w:tc>
          <w:tcPr>
            <w:tcW w:w="1610" w:type="dxa"/>
            <w:shd w:val="clear" w:color="auto" w:fill="auto"/>
          </w:tcPr>
          <w:p w14:paraId="4E811F8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Apodidae</w:t>
            </w:r>
          </w:p>
        </w:tc>
        <w:tc>
          <w:tcPr>
            <w:tcW w:w="1964" w:type="dxa"/>
            <w:shd w:val="clear" w:color="auto" w:fill="auto"/>
          </w:tcPr>
          <w:p w14:paraId="4AA36A6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Vencejo negro</w:t>
            </w:r>
          </w:p>
        </w:tc>
        <w:tc>
          <w:tcPr>
            <w:tcW w:w="2126" w:type="dxa"/>
            <w:shd w:val="clear" w:color="auto" w:fill="auto"/>
          </w:tcPr>
          <w:p w14:paraId="7A354AD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Cypseloides niger</w:t>
            </w:r>
          </w:p>
        </w:tc>
        <w:tc>
          <w:tcPr>
            <w:tcW w:w="1413" w:type="dxa"/>
            <w:shd w:val="clear" w:color="auto" w:fill="auto"/>
          </w:tcPr>
          <w:p w14:paraId="6984925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DEDE51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14CE7CCB" w14:textId="77777777" w:rsidTr="00FC7FD8">
        <w:trPr>
          <w:cantSplit/>
        </w:trPr>
        <w:tc>
          <w:tcPr>
            <w:tcW w:w="1610" w:type="dxa"/>
            <w:shd w:val="clear" w:color="auto" w:fill="auto"/>
          </w:tcPr>
          <w:p w14:paraId="6364D71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Apodidae</w:t>
            </w:r>
          </w:p>
        </w:tc>
        <w:tc>
          <w:tcPr>
            <w:tcW w:w="1964" w:type="dxa"/>
            <w:shd w:val="clear" w:color="auto" w:fill="auto"/>
          </w:tcPr>
          <w:p w14:paraId="2E9DA37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Vencejo parduzco</w:t>
            </w:r>
          </w:p>
        </w:tc>
        <w:tc>
          <w:tcPr>
            <w:tcW w:w="2126" w:type="dxa"/>
            <w:shd w:val="clear" w:color="auto" w:fill="auto"/>
          </w:tcPr>
          <w:p w14:paraId="7094F8F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Cypseloides rothschildi</w:t>
            </w:r>
          </w:p>
        </w:tc>
        <w:tc>
          <w:tcPr>
            <w:tcW w:w="1413" w:type="dxa"/>
            <w:shd w:val="clear" w:color="auto" w:fill="auto"/>
          </w:tcPr>
          <w:p w14:paraId="1E1F71A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756B79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00AE" w:rsidRPr="00FC4B7A" w14:paraId="642FFD1D" w14:textId="77777777" w:rsidTr="00FC7FD8">
        <w:trPr>
          <w:cantSplit/>
        </w:trPr>
        <w:tc>
          <w:tcPr>
            <w:tcW w:w="1610" w:type="dxa"/>
            <w:shd w:val="clear" w:color="auto" w:fill="auto"/>
          </w:tcPr>
          <w:p w14:paraId="5096362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Apodidae</w:t>
            </w:r>
          </w:p>
        </w:tc>
        <w:tc>
          <w:tcPr>
            <w:tcW w:w="1964" w:type="dxa"/>
            <w:shd w:val="clear" w:color="auto" w:fill="auto"/>
          </w:tcPr>
          <w:p w14:paraId="2DA8A88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Vencejo de chimenea</w:t>
            </w:r>
          </w:p>
        </w:tc>
        <w:tc>
          <w:tcPr>
            <w:tcW w:w="2126" w:type="dxa"/>
            <w:shd w:val="clear" w:color="auto" w:fill="auto"/>
          </w:tcPr>
          <w:p w14:paraId="3A54F5AA"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Chaetura pelagica</w:t>
            </w:r>
          </w:p>
        </w:tc>
        <w:tc>
          <w:tcPr>
            <w:tcW w:w="1413" w:type="dxa"/>
            <w:shd w:val="clear" w:color="auto" w:fill="auto"/>
          </w:tcPr>
          <w:p w14:paraId="6861595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9AC5B1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1AF9DEA" w14:textId="77777777" w:rsidTr="00FC7FD8">
        <w:trPr>
          <w:cantSplit/>
        </w:trPr>
        <w:tc>
          <w:tcPr>
            <w:tcW w:w="1610" w:type="dxa"/>
            <w:shd w:val="clear" w:color="auto" w:fill="auto"/>
          </w:tcPr>
          <w:p w14:paraId="200E275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Apodidae</w:t>
            </w:r>
          </w:p>
        </w:tc>
        <w:tc>
          <w:tcPr>
            <w:tcW w:w="1964" w:type="dxa"/>
            <w:shd w:val="clear" w:color="auto" w:fill="auto"/>
          </w:tcPr>
          <w:p w14:paraId="5A08EED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Vencejo de los Khasi</w:t>
            </w:r>
          </w:p>
        </w:tc>
        <w:tc>
          <w:tcPr>
            <w:tcW w:w="2126" w:type="dxa"/>
            <w:shd w:val="clear" w:color="auto" w:fill="auto"/>
          </w:tcPr>
          <w:p w14:paraId="23C019C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Apus acuticauda</w:t>
            </w:r>
          </w:p>
        </w:tc>
        <w:tc>
          <w:tcPr>
            <w:tcW w:w="1413" w:type="dxa"/>
            <w:shd w:val="clear" w:color="auto" w:fill="auto"/>
          </w:tcPr>
          <w:p w14:paraId="1BA8E4E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962E31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Cumple con los criterios de movimiento de la CMS.</w:t>
            </w:r>
          </w:p>
        </w:tc>
      </w:tr>
      <w:tr w:rsidR="000A00AE" w:rsidRPr="00FC4B7A" w14:paraId="1F11BAFE" w14:textId="77777777" w:rsidTr="00FC7FD8">
        <w:trPr>
          <w:cantSplit/>
        </w:trPr>
        <w:tc>
          <w:tcPr>
            <w:tcW w:w="1610" w:type="dxa"/>
            <w:shd w:val="clear" w:color="auto" w:fill="auto"/>
          </w:tcPr>
          <w:p w14:paraId="6949CD5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Trochilidae</w:t>
            </w:r>
          </w:p>
        </w:tc>
        <w:tc>
          <w:tcPr>
            <w:tcW w:w="1964" w:type="dxa"/>
            <w:shd w:val="clear" w:color="auto" w:fill="auto"/>
          </w:tcPr>
          <w:p w14:paraId="4F571FF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Colibrí rufo</w:t>
            </w:r>
          </w:p>
        </w:tc>
        <w:tc>
          <w:tcPr>
            <w:tcW w:w="2126" w:type="dxa"/>
            <w:shd w:val="clear" w:color="auto" w:fill="auto"/>
          </w:tcPr>
          <w:p w14:paraId="5C729B7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Selasphorus rufus</w:t>
            </w:r>
          </w:p>
        </w:tc>
        <w:tc>
          <w:tcPr>
            <w:tcW w:w="1413" w:type="dxa"/>
            <w:shd w:val="clear" w:color="auto" w:fill="auto"/>
          </w:tcPr>
          <w:p w14:paraId="33C27E9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780463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30AD7A4" w14:textId="77777777" w:rsidTr="00FC7FD8">
        <w:trPr>
          <w:cantSplit/>
        </w:trPr>
        <w:tc>
          <w:tcPr>
            <w:tcW w:w="1610" w:type="dxa"/>
            <w:shd w:val="clear" w:color="auto" w:fill="auto"/>
          </w:tcPr>
          <w:p w14:paraId="063F590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Cuculidae</w:t>
            </w:r>
          </w:p>
        </w:tc>
        <w:tc>
          <w:tcPr>
            <w:tcW w:w="1964" w:type="dxa"/>
            <w:shd w:val="clear" w:color="auto" w:fill="auto"/>
          </w:tcPr>
          <w:p w14:paraId="4747F2B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Cuco bigotudo</w:t>
            </w:r>
          </w:p>
        </w:tc>
        <w:tc>
          <w:tcPr>
            <w:tcW w:w="2126" w:type="dxa"/>
            <w:shd w:val="clear" w:color="auto" w:fill="auto"/>
          </w:tcPr>
          <w:p w14:paraId="2E37D3D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Hierococcyx vagans</w:t>
            </w:r>
          </w:p>
        </w:tc>
        <w:tc>
          <w:tcPr>
            <w:tcW w:w="1413" w:type="dxa"/>
            <w:shd w:val="clear" w:color="auto" w:fill="auto"/>
          </w:tcPr>
          <w:p w14:paraId="2EC5B14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12E94A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0A00AE" w:rsidRPr="00FC4B7A" w14:paraId="3FE4022B" w14:textId="77777777" w:rsidTr="00FC7FD8">
        <w:trPr>
          <w:cantSplit/>
        </w:trPr>
        <w:tc>
          <w:tcPr>
            <w:tcW w:w="1610" w:type="dxa"/>
            <w:shd w:val="clear" w:color="auto" w:fill="auto"/>
          </w:tcPr>
          <w:p w14:paraId="71FF6EF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Rallidae</w:t>
            </w:r>
          </w:p>
        </w:tc>
        <w:tc>
          <w:tcPr>
            <w:tcW w:w="1964" w:type="dxa"/>
            <w:shd w:val="clear" w:color="auto" w:fill="auto"/>
          </w:tcPr>
          <w:p w14:paraId="6F4FEE8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Polluela exquisita</w:t>
            </w:r>
          </w:p>
        </w:tc>
        <w:tc>
          <w:tcPr>
            <w:tcW w:w="2126" w:type="dxa"/>
            <w:shd w:val="clear" w:color="auto" w:fill="auto"/>
          </w:tcPr>
          <w:p w14:paraId="687E053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Coturnicops exquisitus</w:t>
            </w:r>
          </w:p>
        </w:tc>
        <w:tc>
          <w:tcPr>
            <w:tcW w:w="1413" w:type="dxa"/>
            <w:shd w:val="clear" w:color="auto" w:fill="auto"/>
          </w:tcPr>
          <w:p w14:paraId="459AB89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BA7653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00AE" w:rsidRPr="00FC4B7A" w14:paraId="7E385910" w14:textId="77777777" w:rsidTr="00FC7FD8">
        <w:trPr>
          <w:cantSplit/>
        </w:trPr>
        <w:tc>
          <w:tcPr>
            <w:tcW w:w="1610" w:type="dxa"/>
            <w:shd w:val="clear" w:color="auto" w:fill="auto"/>
          </w:tcPr>
          <w:p w14:paraId="2934151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Rallidae</w:t>
            </w:r>
          </w:p>
        </w:tc>
        <w:tc>
          <w:tcPr>
            <w:tcW w:w="1964" w:type="dxa"/>
            <w:shd w:val="clear" w:color="auto" w:fill="auto"/>
          </w:tcPr>
          <w:p w14:paraId="4E1B168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Polluela negruzca</w:t>
            </w:r>
          </w:p>
        </w:tc>
        <w:tc>
          <w:tcPr>
            <w:tcW w:w="2126" w:type="dxa"/>
            <w:shd w:val="clear" w:color="auto" w:fill="auto"/>
          </w:tcPr>
          <w:p w14:paraId="003B67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Laterallus jamaicensis</w:t>
            </w:r>
          </w:p>
        </w:tc>
        <w:tc>
          <w:tcPr>
            <w:tcW w:w="1413" w:type="dxa"/>
            <w:shd w:val="clear" w:color="auto" w:fill="auto"/>
          </w:tcPr>
          <w:p w14:paraId="020501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50F122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0AE82020" w14:textId="77777777" w:rsidTr="00FC7FD8">
        <w:trPr>
          <w:cantSplit/>
        </w:trPr>
        <w:tc>
          <w:tcPr>
            <w:tcW w:w="1610" w:type="dxa"/>
            <w:shd w:val="clear" w:color="auto" w:fill="auto"/>
          </w:tcPr>
          <w:p w14:paraId="52BDC5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Rallidae</w:t>
            </w:r>
          </w:p>
        </w:tc>
        <w:tc>
          <w:tcPr>
            <w:tcW w:w="1964" w:type="dxa"/>
            <w:shd w:val="clear" w:color="auto" w:fill="auto"/>
          </w:tcPr>
          <w:p w14:paraId="5544B8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Rascón elegante</w:t>
            </w:r>
          </w:p>
        </w:tc>
        <w:tc>
          <w:tcPr>
            <w:tcW w:w="2126" w:type="dxa"/>
            <w:shd w:val="clear" w:color="auto" w:fill="auto"/>
          </w:tcPr>
          <w:p w14:paraId="48673D0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Rallus elegans</w:t>
            </w:r>
          </w:p>
        </w:tc>
        <w:tc>
          <w:tcPr>
            <w:tcW w:w="1413" w:type="dxa"/>
            <w:shd w:val="clear" w:color="auto" w:fill="auto"/>
          </w:tcPr>
          <w:p w14:paraId="3B9CFB4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06196F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00AE" w:rsidRPr="00FC4B7A" w14:paraId="26A06F1D" w14:textId="77777777" w:rsidTr="00FC7FD8">
        <w:trPr>
          <w:cantSplit/>
        </w:trPr>
        <w:tc>
          <w:tcPr>
            <w:tcW w:w="1610" w:type="dxa"/>
            <w:shd w:val="clear" w:color="auto" w:fill="auto"/>
          </w:tcPr>
          <w:p w14:paraId="0625222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Rallidae</w:t>
            </w:r>
          </w:p>
        </w:tc>
        <w:tc>
          <w:tcPr>
            <w:tcW w:w="1964" w:type="dxa"/>
            <w:shd w:val="clear" w:color="auto" w:fill="auto"/>
          </w:tcPr>
          <w:p w14:paraId="599CD4D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Rascón pidén</w:t>
            </w:r>
          </w:p>
        </w:tc>
        <w:tc>
          <w:tcPr>
            <w:tcW w:w="2126" w:type="dxa"/>
            <w:shd w:val="clear" w:color="auto" w:fill="auto"/>
          </w:tcPr>
          <w:p w14:paraId="709D1FC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Rallus antarcticus</w:t>
            </w:r>
          </w:p>
        </w:tc>
        <w:tc>
          <w:tcPr>
            <w:tcW w:w="1413" w:type="dxa"/>
            <w:shd w:val="clear" w:color="auto" w:fill="auto"/>
          </w:tcPr>
          <w:p w14:paraId="56D9FF6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28A72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7F6E3EF1" w14:textId="77777777" w:rsidTr="00FC7FD8">
        <w:trPr>
          <w:cantSplit/>
        </w:trPr>
        <w:tc>
          <w:tcPr>
            <w:tcW w:w="1610" w:type="dxa"/>
            <w:shd w:val="clear" w:color="auto" w:fill="auto"/>
          </w:tcPr>
          <w:p w14:paraId="73D3620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Rallidae</w:t>
            </w:r>
          </w:p>
        </w:tc>
        <w:tc>
          <w:tcPr>
            <w:tcW w:w="1964" w:type="dxa"/>
            <w:shd w:val="clear" w:color="auto" w:fill="auto"/>
          </w:tcPr>
          <w:p w14:paraId="0F63C29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Polluela mandarín</w:t>
            </w:r>
          </w:p>
        </w:tc>
        <w:tc>
          <w:tcPr>
            <w:tcW w:w="2126" w:type="dxa"/>
            <w:shd w:val="clear" w:color="auto" w:fill="auto"/>
          </w:tcPr>
          <w:p w14:paraId="012CE90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Zapornia paykullii</w:t>
            </w:r>
          </w:p>
        </w:tc>
        <w:tc>
          <w:tcPr>
            <w:tcW w:w="1413" w:type="dxa"/>
            <w:shd w:val="clear" w:color="auto" w:fill="auto"/>
          </w:tcPr>
          <w:p w14:paraId="32F3B68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AAD8FB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61D7E33" w14:textId="77777777" w:rsidTr="00FC7FD8">
        <w:trPr>
          <w:cantSplit/>
        </w:trPr>
        <w:tc>
          <w:tcPr>
            <w:tcW w:w="1610" w:type="dxa"/>
            <w:shd w:val="clear" w:color="auto" w:fill="auto"/>
          </w:tcPr>
          <w:p w14:paraId="4371B09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Gruidae</w:t>
            </w:r>
          </w:p>
        </w:tc>
        <w:tc>
          <w:tcPr>
            <w:tcW w:w="1964" w:type="dxa"/>
            <w:shd w:val="clear" w:color="auto" w:fill="auto"/>
          </w:tcPr>
          <w:p w14:paraId="7B8F7ED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Grulla coronada cuellinegra​</w:t>
            </w:r>
          </w:p>
        </w:tc>
        <w:tc>
          <w:tcPr>
            <w:tcW w:w="2126" w:type="dxa"/>
            <w:shd w:val="clear" w:color="auto" w:fill="auto"/>
          </w:tcPr>
          <w:p w14:paraId="4B01177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Balearica pavonina</w:t>
            </w:r>
          </w:p>
        </w:tc>
        <w:tc>
          <w:tcPr>
            <w:tcW w:w="1413" w:type="dxa"/>
            <w:shd w:val="clear" w:color="auto" w:fill="auto"/>
          </w:tcPr>
          <w:p w14:paraId="03ED9CF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DABE28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5D282FFA" w14:textId="77777777" w:rsidTr="00FC7FD8">
        <w:trPr>
          <w:cantSplit/>
        </w:trPr>
        <w:tc>
          <w:tcPr>
            <w:tcW w:w="1610" w:type="dxa"/>
            <w:shd w:val="clear" w:color="auto" w:fill="auto"/>
          </w:tcPr>
          <w:p w14:paraId="447F56B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Otididae</w:t>
            </w:r>
          </w:p>
        </w:tc>
        <w:tc>
          <w:tcPr>
            <w:tcW w:w="1964" w:type="dxa"/>
            <w:shd w:val="clear" w:color="auto" w:fill="auto"/>
          </w:tcPr>
          <w:p w14:paraId="642EDC2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Avutarda de Namibia</w:t>
            </w:r>
          </w:p>
        </w:tc>
        <w:tc>
          <w:tcPr>
            <w:tcW w:w="2126" w:type="dxa"/>
            <w:shd w:val="clear" w:color="auto" w:fill="auto"/>
          </w:tcPr>
          <w:p w14:paraId="74BFF7E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Neotis ludwigii</w:t>
            </w:r>
          </w:p>
        </w:tc>
        <w:tc>
          <w:tcPr>
            <w:tcW w:w="1413" w:type="dxa"/>
            <w:shd w:val="clear" w:color="auto" w:fill="auto"/>
          </w:tcPr>
          <w:p w14:paraId="0395C31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36B0EE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0C248EAB" w14:textId="77777777" w:rsidTr="00FC7FD8">
        <w:trPr>
          <w:cantSplit/>
        </w:trPr>
        <w:tc>
          <w:tcPr>
            <w:tcW w:w="1610" w:type="dxa"/>
            <w:shd w:val="clear" w:color="auto" w:fill="auto"/>
          </w:tcPr>
          <w:p w14:paraId="69C565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Otididae</w:t>
            </w:r>
          </w:p>
        </w:tc>
        <w:tc>
          <w:tcPr>
            <w:tcW w:w="1964" w:type="dxa"/>
            <w:shd w:val="clear" w:color="auto" w:fill="auto"/>
          </w:tcPr>
          <w:p w14:paraId="54C6997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Avutarda cafre</w:t>
            </w:r>
          </w:p>
        </w:tc>
        <w:tc>
          <w:tcPr>
            <w:tcW w:w="2126" w:type="dxa"/>
            <w:shd w:val="clear" w:color="auto" w:fill="auto"/>
          </w:tcPr>
          <w:p w14:paraId="61FAD76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Neotis denhami</w:t>
            </w:r>
          </w:p>
        </w:tc>
        <w:tc>
          <w:tcPr>
            <w:tcW w:w="1413" w:type="dxa"/>
            <w:shd w:val="clear" w:color="auto" w:fill="auto"/>
          </w:tcPr>
          <w:p w14:paraId="6F2579F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BC47E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Cumple con los criterios de movimiento de la CMS.</w:t>
            </w:r>
          </w:p>
        </w:tc>
      </w:tr>
      <w:tr w:rsidR="000A00AE" w:rsidRPr="00FC4B7A" w14:paraId="7A5FA07A" w14:textId="77777777" w:rsidTr="00FC7FD8">
        <w:trPr>
          <w:cantSplit/>
        </w:trPr>
        <w:tc>
          <w:tcPr>
            <w:tcW w:w="1610" w:type="dxa"/>
            <w:shd w:val="clear" w:color="auto" w:fill="auto"/>
          </w:tcPr>
          <w:p w14:paraId="7181F6B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Otididae</w:t>
            </w:r>
          </w:p>
        </w:tc>
        <w:tc>
          <w:tcPr>
            <w:tcW w:w="1964" w:type="dxa"/>
            <w:shd w:val="clear" w:color="auto" w:fill="auto"/>
          </w:tcPr>
          <w:p w14:paraId="21E26D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Avutarda núbica</w:t>
            </w:r>
          </w:p>
        </w:tc>
        <w:tc>
          <w:tcPr>
            <w:tcW w:w="2126" w:type="dxa"/>
            <w:shd w:val="clear" w:color="auto" w:fill="auto"/>
          </w:tcPr>
          <w:p w14:paraId="06944DF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Neotis nuba</w:t>
            </w:r>
          </w:p>
        </w:tc>
        <w:tc>
          <w:tcPr>
            <w:tcW w:w="1413" w:type="dxa"/>
            <w:shd w:val="clear" w:color="auto" w:fill="auto"/>
          </w:tcPr>
          <w:p w14:paraId="027F06F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E3A371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4154C0BD" w14:textId="77777777" w:rsidTr="00FC7FD8">
        <w:trPr>
          <w:cantSplit/>
        </w:trPr>
        <w:tc>
          <w:tcPr>
            <w:tcW w:w="1610" w:type="dxa"/>
            <w:shd w:val="clear" w:color="auto" w:fill="auto"/>
          </w:tcPr>
          <w:p w14:paraId="419C719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Otididae</w:t>
            </w:r>
          </w:p>
        </w:tc>
        <w:tc>
          <w:tcPr>
            <w:tcW w:w="1964" w:type="dxa"/>
            <w:shd w:val="clear" w:color="auto" w:fill="auto"/>
          </w:tcPr>
          <w:p w14:paraId="29BE7EB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Avutarda árabe</w:t>
            </w:r>
          </w:p>
        </w:tc>
        <w:tc>
          <w:tcPr>
            <w:tcW w:w="2126" w:type="dxa"/>
            <w:shd w:val="clear" w:color="auto" w:fill="auto"/>
          </w:tcPr>
          <w:p w14:paraId="0C0F98D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Ardeotis arabs</w:t>
            </w:r>
          </w:p>
        </w:tc>
        <w:tc>
          <w:tcPr>
            <w:tcW w:w="1413" w:type="dxa"/>
            <w:shd w:val="clear" w:color="auto" w:fill="auto"/>
          </w:tcPr>
          <w:p w14:paraId="4D67DEC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4D959B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4981804F" w14:textId="77777777" w:rsidTr="00FC7FD8">
        <w:trPr>
          <w:cantSplit/>
        </w:trPr>
        <w:tc>
          <w:tcPr>
            <w:tcW w:w="1610" w:type="dxa"/>
            <w:shd w:val="clear" w:color="auto" w:fill="auto"/>
          </w:tcPr>
          <w:p w14:paraId="6B72F00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Otididae</w:t>
            </w:r>
          </w:p>
        </w:tc>
        <w:tc>
          <w:tcPr>
            <w:tcW w:w="1964" w:type="dxa"/>
            <w:shd w:val="clear" w:color="auto" w:fill="auto"/>
          </w:tcPr>
          <w:p w14:paraId="336ED61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Sisón de penacho</w:t>
            </w:r>
          </w:p>
        </w:tc>
        <w:tc>
          <w:tcPr>
            <w:tcW w:w="2126" w:type="dxa"/>
            <w:shd w:val="clear" w:color="auto" w:fill="auto"/>
          </w:tcPr>
          <w:p w14:paraId="3E182E4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Sypheotides indicus</w:t>
            </w:r>
          </w:p>
        </w:tc>
        <w:tc>
          <w:tcPr>
            <w:tcW w:w="1413" w:type="dxa"/>
            <w:shd w:val="clear" w:color="auto" w:fill="auto"/>
          </w:tcPr>
          <w:p w14:paraId="40B5738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C1CD76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y moderadamente nómada tanto en la época reproductora como en la no reproductora; los individuos suelen recorrer entre 100 y 1000 km, aunque sin una dirección consistente. Cumple con los criterios de movimiento de la CMS.</w:t>
            </w:r>
          </w:p>
        </w:tc>
      </w:tr>
      <w:tr w:rsidR="000A00AE" w:rsidRPr="00FC4B7A" w14:paraId="6FAC6620" w14:textId="77777777" w:rsidTr="00FC7FD8">
        <w:trPr>
          <w:cantSplit/>
        </w:trPr>
        <w:tc>
          <w:tcPr>
            <w:tcW w:w="1610" w:type="dxa"/>
            <w:shd w:val="clear" w:color="auto" w:fill="auto"/>
          </w:tcPr>
          <w:p w14:paraId="08243F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Spheniscidae</w:t>
            </w:r>
          </w:p>
        </w:tc>
        <w:tc>
          <w:tcPr>
            <w:tcW w:w="1964" w:type="dxa"/>
            <w:shd w:val="clear" w:color="auto" w:fill="auto"/>
          </w:tcPr>
          <w:p w14:paraId="71A0163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Pingüino emperador</w:t>
            </w:r>
          </w:p>
        </w:tc>
        <w:tc>
          <w:tcPr>
            <w:tcW w:w="2126" w:type="dxa"/>
            <w:shd w:val="clear" w:color="auto" w:fill="auto"/>
          </w:tcPr>
          <w:p w14:paraId="258071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Aptenodytes forsteri</w:t>
            </w:r>
          </w:p>
        </w:tc>
        <w:tc>
          <w:tcPr>
            <w:tcW w:w="1413" w:type="dxa"/>
            <w:shd w:val="clear" w:color="auto" w:fill="auto"/>
          </w:tcPr>
          <w:p w14:paraId="4B92068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C10E84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0F6BFEA" w14:textId="77777777" w:rsidTr="00FC7FD8">
        <w:trPr>
          <w:cantSplit/>
        </w:trPr>
        <w:tc>
          <w:tcPr>
            <w:tcW w:w="1610" w:type="dxa"/>
            <w:shd w:val="clear" w:color="auto" w:fill="auto"/>
          </w:tcPr>
          <w:p w14:paraId="43D6D4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Spheniscidae</w:t>
            </w:r>
          </w:p>
        </w:tc>
        <w:tc>
          <w:tcPr>
            <w:tcW w:w="1964" w:type="dxa"/>
            <w:shd w:val="clear" w:color="auto" w:fill="auto"/>
          </w:tcPr>
          <w:p w14:paraId="23A354D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Pingüino macaroni</w:t>
            </w:r>
          </w:p>
        </w:tc>
        <w:tc>
          <w:tcPr>
            <w:tcW w:w="2126" w:type="dxa"/>
            <w:shd w:val="clear" w:color="auto" w:fill="auto"/>
          </w:tcPr>
          <w:p w14:paraId="4BFBBA1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Eudyptes chrysolophus</w:t>
            </w:r>
          </w:p>
        </w:tc>
        <w:tc>
          <w:tcPr>
            <w:tcW w:w="1413" w:type="dxa"/>
            <w:shd w:val="clear" w:color="auto" w:fill="auto"/>
          </w:tcPr>
          <w:p w14:paraId="131EDE5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244B59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7E0A7D76" w14:textId="77777777" w:rsidTr="00FC7FD8">
        <w:trPr>
          <w:cantSplit/>
        </w:trPr>
        <w:tc>
          <w:tcPr>
            <w:tcW w:w="1610" w:type="dxa"/>
            <w:shd w:val="clear" w:color="auto" w:fill="auto"/>
          </w:tcPr>
          <w:p w14:paraId="552D42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Spheniscidae</w:t>
            </w:r>
          </w:p>
        </w:tc>
        <w:tc>
          <w:tcPr>
            <w:tcW w:w="1964" w:type="dxa"/>
            <w:shd w:val="clear" w:color="auto" w:fill="auto"/>
          </w:tcPr>
          <w:p w14:paraId="446F824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Pingüino saltarrocas norteño</w:t>
            </w:r>
          </w:p>
        </w:tc>
        <w:tc>
          <w:tcPr>
            <w:tcW w:w="2126" w:type="dxa"/>
            <w:shd w:val="clear" w:color="auto" w:fill="auto"/>
          </w:tcPr>
          <w:p w14:paraId="04E4E71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Eudyptes moseleyi</w:t>
            </w:r>
          </w:p>
        </w:tc>
        <w:tc>
          <w:tcPr>
            <w:tcW w:w="1413" w:type="dxa"/>
            <w:shd w:val="clear" w:color="auto" w:fill="auto"/>
          </w:tcPr>
          <w:p w14:paraId="5C82DB7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3292F5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5E609CE" w14:textId="77777777" w:rsidTr="00FC7FD8">
        <w:trPr>
          <w:cantSplit/>
        </w:trPr>
        <w:tc>
          <w:tcPr>
            <w:tcW w:w="1610" w:type="dxa"/>
            <w:shd w:val="clear" w:color="auto" w:fill="auto"/>
          </w:tcPr>
          <w:p w14:paraId="737C1C0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Spheniscidae</w:t>
            </w:r>
          </w:p>
        </w:tc>
        <w:tc>
          <w:tcPr>
            <w:tcW w:w="1964" w:type="dxa"/>
            <w:shd w:val="clear" w:color="auto" w:fill="auto"/>
          </w:tcPr>
          <w:p w14:paraId="7B4C955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Pingüino de penacho amarillo</w:t>
            </w:r>
          </w:p>
        </w:tc>
        <w:tc>
          <w:tcPr>
            <w:tcW w:w="2126" w:type="dxa"/>
            <w:shd w:val="clear" w:color="auto" w:fill="auto"/>
          </w:tcPr>
          <w:p w14:paraId="440AA94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Eudyptes chrysocome</w:t>
            </w:r>
          </w:p>
        </w:tc>
        <w:tc>
          <w:tcPr>
            <w:tcW w:w="1413" w:type="dxa"/>
            <w:shd w:val="clear" w:color="auto" w:fill="auto"/>
          </w:tcPr>
          <w:p w14:paraId="680D3EA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F2913B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034E4C0B" w14:textId="77777777" w:rsidTr="00FC7FD8">
        <w:trPr>
          <w:cantSplit/>
        </w:trPr>
        <w:tc>
          <w:tcPr>
            <w:tcW w:w="1610" w:type="dxa"/>
            <w:shd w:val="clear" w:color="auto" w:fill="auto"/>
          </w:tcPr>
          <w:p w14:paraId="2512F1C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Oceanitidae</w:t>
            </w:r>
          </w:p>
        </w:tc>
        <w:tc>
          <w:tcPr>
            <w:tcW w:w="1964" w:type="dxa"/>
            <w:shd w:val="clear" w:color="auto" w:fill="auto"/>
          </w:tcPr>
          <w:p w14:paraId="62D19C1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Elliot</w:t>
            </w:r>
          </w:p>
        </w:tc>
        <w:tc>
          <w:tcPr>
            <w:tcW w:w="2126" w:type="dxa"/>
            <w:shd w:val="clear" w:color="auto" w:fill="auto"/>
          </w:tcPr>
          <w:p w14:paraId="1E5DAE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Oceanites gracilis</w:t>
            </w:r>
          </w:p>
        </w:tc>
        <w:tc>
          <w:tcPr>
            <w:tcW w:w="1413" w:type="dxa"/>
            <w:shd w:val="clear" w:color="auto" w:fill="auto"/>
          </w:tcPr>
          <w:p w14:paraId="0AEC87B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DD</w:t>
            </w:r>
          </w:p>
        </w:tc>
        <w:tc>
          <w:tcPr>
            <w:tcW w:w="8097" w:type="dxa"/>
            <w:shd w:val="clear" w:color="auto" w:fill="auto"/>
          </w:tcPr>
          <w:p w14:paraId="2F20404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2B63713C" w14:textId="77777777" w:rsidTr="00FC7FD8">
        <w:trPr>
          <w:cantSplit/>
        </w:trPr>
        <w:tc>
          <w:tcPr>
            <w:tcW w:w="1610" w:type="dxa"/>
            <w:shd w:val="clear" w:color="auto" w:fill="auto"/>
          </w:tcPr>
          <w:p w14:paraId="6DC8059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Oceanitidae</w:t>
            </w:r>
          </w:p>
        </w:tc>
        <w:tc>
          <w:tcPr>
            <w:tcW w:w="1964" w:type="dxa"/>
            <w:shd w:val="clear" w:color="auto" w:fill="auto"/>
          </w:tcPr>
          <w:p w14:paraId="2D8AF8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Nueva Zelanda</w:t>
            </w:r>
          </w:p>
        </w:tc>
        <w:tc>
          <w:tcPr>
            <w:tcW w:w="2126" w:type="dxa"/>
            <w:shd w:val="clear" w:color="auto" w:fill="auto"/>
          </w:tcPr>
          <w:p w14:paraId="4778A36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Fregetta maoriana</w:t>
            </w:r>
          </w:p>
        </w:tc>
        <w:tc>
          <w:tcPr>
            <w:tcW w:w="1413" w:type="dxa"/>
            <w:shd w:val="clear" w:color="auto" w:fill="auto"/>
          </w:tcPr>
          <w:p w14:paraId="7A2062D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477D42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6FB08DF0" w14:textId="77777777" w:rsidTr="00FC7FD8">
        <w:trPr>
          <w:cantSplit/>
        </w:trPr>
        <w:tc>
          <w:tcPr>
            <w:tcW w:w="1610" w:type="dxa"/>
            <w:shd w:val="clear" w:color="auto" w:fill="auto"/>
          </w:tcPr>
          <w:p w14:paraId="20FBD86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Oceanitidae</w:t>
            </w:r>
          </w:p>
        </w:tc>
        <w:tc>
          <w:tcPr>
            <w:tcW w:w="1964" w:type="dxa"/>
            <w:shd w:val="clear" w:color="auto" w:fill="auto"/>
          </w:tcPr>
          <w:p w14:paraId="78AA87F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gorjiblanco</w:t>
            </w:r>
          </w:p>
        </w:tc>
        <w:tc>
          <w:tcPr>
            <w:tcW w:w="2126" w:type="dxa"/>
            <w:shd w:val="clear" w:color="auto" w:fill="auto"/>
          </w:tcPr>
          <w:p w14:paraId="412EFB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Nesofregetta fuliginosa</w:t>
            </w:r>
          </w:p>
        </w:tc>
        <w:tc>
          <w:tcPr>
            <w:tcW w:w="1413" w:type="dxa"/>
            <w:shd w:val="clear" w:color="auto" w:fill="auto"/>
          </w:tcPr>
          <w:p w14:paraId="4279F9E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C742B5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fuertemente nómada en la estación no reproductora; los individuos suelen recorrer &gt;1000 km, aunque sin una dirección consistente. Cumple con los criterios de movimiento de la CMS.</w:t>
            </w:r>
          </w:p>
        </w:tc>
      </w:tr>
      <w:tr w:rsidR="000A00AE" w:rsidRPr="00FC4B7A" w14:paraId="0F1CC072" w14:textId="77777777" w:rsidTr="00FC7FD8">
        <w:trPr>
          <w:cantSplit/>
        </w:trPr>
        <w:tc>
          <w:tcPr>
            <w:tcW w:w="1610" w:type="dxa"/>
            <w:shd w:val="clear" w:color="auto" w:fill="auto"/>
          </w:tcPr>
          <w:p w14:paraId="6342136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78EED00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Matsudaira</w:t>
            </w:r>
          </w:p>
        </w:tc>
        <w:tc>
          <w:tcPr>
            <w:tcW w:w="2126" w:type="dxa"/>
            <w:shd w:val="clear" w:color="auto" w:fill="auto"/>
          </w:tcPr>
          <w:p w14:paraId="7CB04BB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Hydrobates matsudairae</w:t>
            </w:r>
          </w:p>
        </w:tc>
        <w:tc>
          <w:tcPr>
            <w:tcW w:w="1413" w:type="dxa"/>
            <w:shd w:val="clear" w:color="auto" w:fill="auto"/>
          </w:tcPr>
          <w:p w14:paraId="12550F3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436385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34FBC88A" w14:textId="77777777" w:rsidTr="00FC7FD8">
        <w:trPr>
          <w:cantSplit/>
        </w:trPr>
        <w:tc>
          <w:tcPr>
            <w:tcW w:w="1610" w:type="dxa"/>
            <w:shd w:val="clear" w:color="auto" w:fill="auto"/>
          </w:tcPr>
          <w:p w14:paraId="5D0F90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3928974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Townsend</w:t>
            </w:r>
          </w:p>
        </w:tc>
        <w:tc>
          <w:tcPr>
            <w:tcW w:w="2126" w:type="dxa"/>
            <w:shd w:val="clear" w:color="auto" w:fill="auto"/>
          </w:tcPr>
          <w:p w14:paraId="65418CB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Hydrobates socorroensis</w:t>
            </w:r>
          </w:p>
        </w:tc>
        <w:tc>
          <w:tcPr>
            <w:tcW w:w="1413" w:type="dxa"/>
            <w:shd w:val="clear" w:color="auto" w:fill="auto"/>
          </w:tcPr>
          <w:p w14:paraId="1EC0FCB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CAC9C7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28242EBE" w14:textId="77777777" w:rsidTr="00FC7FD8">
        <w:trPr>
          <w:cantSplit/>
        </w:trPr>
        <w:tc>
          <w:tcPr>
            <w:tcW w:w="1610" w:type="dxa"/>
            <w:shd w:val="clear" w:color="auto" w:fill="auto"/>
          </w:tcPr>
          <w:p w14:paraId="3A49364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25B3AA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Ainley</w:t>
            </w:r>
          </w:p>
        </w:tc>
        <w:tc>
          <w:tcPr>
            <w:tcW w:w="2126" w:type="dxa"/>
            <w:shd w:val="clear" w:color="auto" w:fill="auto"/>
          </w:tcPr>
          <w:p w14:paraId="7897CB3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Hydrobates cheimomnestes</w:t>
            </w:r>
          </w:p>
        </w:tc>
        <w:tc>
          <w:tcPr>
            <w:tcW w:w="1413" w:type="dxa"/>
            <w:shd w:val="clear" w:color="auto" w:fill="auto"/>
          </w:tcPr>
          <w:p w14:paraId="725B047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8C852F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C891C25" w14:textId="77777777" w:rsidTr="00FC7FD8">
        <w:trPr>
          <w:cantSplit/>
        </w:trPr>
        <w:tc>
          <w:tcPr>
            <w:tcW w:w="1610" w:type="dxa"/>
            <w:shd w:val="clear" w:color="auto" w:fill="auto"/>
          </w:tcPr>
          <w:p w14:paraId="0F21F46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Hydrobatidae</w:t>
            </w:r>
          </w:p>
        </w:tc>
        <w:tc>
          <w:tcPr>
            <w:tcW w:w="1964" w:type="dxa"/>
            <w:shd w:val="clear" w:color="auto" w:fill="auto"/>
          </w:tcPr>
          <w:p w14:paraId="24AA1B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boreal</w:t>
            </w:r>
          </w:p>
        </w:tc>
        <w:tc>
          <w:tcPr>
            <w:tcW w:w="2126" w:type="dxa"/>
            <w:shd w:val="clear" w:color="auto" w:fill="auto"/>
          </w:tcPr>
          <w:p w14:paraId="2CE4BF3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Hydrobates leucorhous</w:t>
            </w:r>
          </w:p>
        </w:tc>
        <w:tc>
          <w:tcPr>
            <w:tcW w:w="1413" w:type="dxa"/>
            <w:shd w:val="clear" w:color="auto" w:fill="auto"/>
          </w:tcPr>
          <w:p w14:paraId="5E89888F"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D48CA6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4E2BAAE" w14:textId="77777777" w:rsidTr="00FC7FD8">
        <w:trPr>
          <w:cantSplit/>
        </w:trPr>
        <w:tc>
          <w:tcPr>
            <w:tcW w:w="1610" w:type="dxa"/>
            <w:shd w:val="clear" w:color="auto" w:fill="auto"/>
          </w:tcPr>
          <w:p w14:paraId="43098B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603FB28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Paíño de Swinhoe</w:t>
            </w:r>
          </w:p>
        </w:tc>
        <w:tc>
          <w:tcPr>
            <w:tcW w:w="2126" w:type="dxa"/>
            <w:shd w:val="clear" w:color="auto" w:fill="auto"/>
          </w:tcPr>
          <w:p w14:paraId="06B0C09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Hydrobates monorhis</w:t>
            </w:r>
          </w:p>
        </w:tc>
        <w:tc>
          <w:tcPr>
            <w:tcW w:w="1413" w:type="dxa"/>
            <w:shd w:val="clear" w:color="auto" w:fill="auto"/>
          </w:tcPr>
          <w:p w14:paraId="45D9D2C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078C9C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BB717F6" w14:textId="77777777" w:rsidTr="00FC7FD8">
        <w:trPr>
          <w:cantSplit/>
        </w:trPr>
        <w:tc>
          <w:tcPr>
            <w:tcW w:w="1610" w:type="dxa"/>
            <w:shd w:val="clear" w:color="auto" w:fill="auto"/>
          </w:tcPr>
          <w:p w14:paraId="49206CB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7BF6A71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Paíño de Guadalupe</w:t>
            </w:r>
          </w:p>
        </w:tc>
        <w:tc>
          <w:tcPr>
            <w:tcW w:w="2126" w:type="dxa"/>
            <w:shd w:val="clear" w:color="auto" w:fill="auto"/>
          </w:tcPr>
          <w:p w14:paraId="40748FD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Hydrobates macrodactylus</w:t>
            </w:r>
          </w:p>
        </w:tc>
        <w:tc>
          <w:tcPr>
            <w:tcW w:w="1413" w:type="dxa"/>
            <w:shd w:val="clear" w:color="auto" w:fill="auto"/>
          </w:tcPr>
          <w:p w14:paraId="52C01D2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F2C25E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00AE" w:rsidRPr="00FC4B7A" w14:paraId="17A84481" w14:textId="77777777" w:rsidTr="00FC7FD8">
        <w:trPr>
          <w:cantSplit/>
        </w:trPr>
        <w:tc>
          <w:tcPr>
            <w:tcW w:w="1610" w:type="dxa"/>
            <w:shd w:val="clear" w:color="auto" w:fill="auto"/>
          </w:tcPr>
          <w:p w14:paraId="4A1F1AA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264F1E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Paíño ahumado</w:t>
            </w:r>
          </w:p>
        </w:tc>
        <w:tc>
          <w:tcPr>
            <w:tcW w:w="2126" w:type="dxa"/>
            <w:shd w:val="clear" w:color="auto" w:fill="auto"/>
          </w:tcPr>
          <w:p w14:paraId="444AB72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Hydrobates markhami</w:t>
            </w:r>
          </w:p>
        </w:tc>
        <w:tc>
          <w:tcPr>
            <w:tcW w:w="1413" w:type="dxa"/>
            <w:shd w:val="clear" w:color="auto" w:fill="auto"/>
          </w:tcPr>
          <w:p w14:paraId="0160658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A248FA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y contracción,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00AE" w:rsidRPr="00FC4B7A" w14:paraId="1CF4358D" w14:textId="77777777" w:rsidTr="00FC7FD8">
        <w:trPr>
          <w:cantSplit/>
        </w:trPr>
        <w:tc>
          <w:tcPr>
            <w:tcW w:w="1610" w:type="dxa"/>
            <w:shd w:val="clear" w:color="auto" w:fill="auto"/>
          </w:tcPr>
          <w:p w14:paraId="2D58BC5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Hydrobatidae</w:t>
            </w:r>
          </w:p>
        </w:tc>
        <w:tc>
          <w:tcPr>
            <w:tcW w:w="1964" w:type="dxa"/>
            <w:shd w:val="clear" w:color="auto" w:fill="auto"/>
          </w:tcPr>
          <w:p w14:paraId="403E27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Paíño acollarado​</w:t>
            </w:r>
          </w:p>
        </w:tc>
        <w:tc>
          <w:tcPr>
            <w:tcW w:w="2126" w:type="dxa"/>
            <w:shd w:val="clear" w:color="auto" w:fill="auto"/>
          </w:tcPr>
          <w:p w14:paraId="2B75A82F"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Hydrobates hornbyi</w:t>
            </w:r>
          </w:p>
        </w:tc>
        <w:tc>
          <w:tcPr>
            <w:tcW w:w="1413" w:type="dxa"/>
            <w:shd w:val="clear" w:color="auto" w:fill="auto"/>
          </w:tcPr>
          <w:p w14:paraId="5BC1E14C"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7ED12B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360110ED" w14:textId="77777777" w:rsidTr="00FC7FD8">
        <w:trPr>
          <w:cantSplit/>
        </w:trPr>
        <w:tc>
          <w:tcPr>
            <w:tcW w:w="1610" w:type="dxa"/>
            <w:shd w:val="clear" w:color="auto" w:fill="auto"/>
          </w:tcPr>
          <w:p w14:paraId="5FB71C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ED6798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ballena de Gough</w:t>
            </w:r>
          </w:p>
        </w:tc>
        <w:tc>
          <w:tcPr>
            <w:tcW w:w="2126" w:type="dxa"/>
            <w:shd w:val="clear" w:color="auto" w:fill="auto"/>
          </w:tcPr>
          <w:p w14:paraId="55019F2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Pachyptila macgillivrayi</w:t>
            </w:r>
          </w:p>
        </w:tc>
        <w:tc>
          <w:tcPr>
            <w:tcW w:w="1413" w:type="dxa"/>
            <w:shd w:val="clear" w:color="auto" w:fill="auto"/>
          </w:tcPr>
          <w:p w14:paraId="3A42F32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35771F8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entre 100 y 1000 km de este a oeste. Cumple con los criterios de movimiento de la CMS.</w:t>
            </w:r>
          </w:p>
        </w:tc>
      </w:tr>
      <w:tr w:rsidR="000A00AE" w:rsidRPr="00FC4B7A" w14:paraId="7C036B0B" w14:textId="77777777" w:rsidTr="00FC7FD8">
        <w:trPr>
          <w:cantSplit/>
        </w:trPr>
        <w:tc>
          <w:tcPr>
            <w:tcW w:w="1610" w:type="dxa"/>
            <w:shd w:val="clear" w:color="auto" w:fill="auto"/>
          </w:tcPr>
          <w:p w14:paraId="61F325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47E8B0D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Gould</w:t>
            </w:r>
          </w:p>
        </w:tc>
        <w:tc>
          <w:tcPr>
            <w:tcW w:w="2126" w:type="dxa"/>
            <w:shd w:val="clear" w:color="auto" w:fill="auto"/>
          </w:tcPr>
          <w:p w14:paraId="44D5D2F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leucoptera</w:t>
            </w:r>
          </w:p>
        </w:tc>
        <w:tc>
          <w:tcPr>
            <w:tcW w:w="1413" w:type="dxa"/>
            <w:shd w:val="clear" w:color="auto" w:fill="auto"/>
          </w:tcPr>
          <w:p w14:paraId="5A0C49C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476C8D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044545C2" w14:textId="77777777" w:rsidTr="00FC7FD8">
        <w:trPr>
          <w:cantSplit/>
        </w:trPr>
        <w:tc>
          <w:tcPr>
            <w:tcW w:w="1610" w:type="dxa"/>
            <w:shd w:val="clear" w:color="auto" w:fill="auto"/>
          </w:tcPr>
          <w:p w14:paraId="2A2E72C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52F5A71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acollarado</w:t>
            </w:r>
          </w:p>
        </w:tc>
        <w:tc>
          <w:tcPr>
            <w:tcW w:w="2126" w:type="dxa"/>
            <w:shd w:val="clear" w:color="auto" w:fill="auto"/>
          </w:tcPr>
          <w:p w14:paraId="3517E7A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brevipes</w:t>
            </w:r>
          </w:p>
        </w:tc>
        <w:tc>
          <w:tcPr>
            <w:tcW w:w="1413" w:type="dxa"/>
            <w:shd w:val="clear" w:color="auto" w:fill="auto"/>
          </w:tcPr>
          <w:p w14:paraId="7120059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483EDC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00AE" w:rsidRPr="00FC4B7A" w14:paraId="42ABC54D" w14:textId="77777777" w:rsidTr="00FC7FD8">
        <w:trPr>
          <w:cantSplit/>
        </w:trPr>
        <w:tc>
          <w:tcPr>
            <w:tcW w:w="1610" w:type="dxa"/>
            <w:shd w:val="clear" w:color="auto" w:fill="auto"/>
          </w:tcPr>
          <w:p w14:paraId="7091D6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Procellariidae</w:t>
            </w:r>
          </w:p>
        </w:tc>
        <w:tc>
          <w:tcPr>
            <w:tcW w:w="1964" w:type="dxa"/>
            <w:shd w:val="clear" w:color="auto" w:fill="auto"/>
          </w:tcPr>
          <w:p w14:paraId="25F0205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chileno</w:t>
            </w:r>
          </w:p>
        </w:tc>
        <w:tc>
          <w:tcPr>
            <w:tcW w:w="2126" w:type="dxa"/>
            <w:shd w:val="clear" w:color="auto" w:fill="auto"/>
          </w:tcPr>
          <w:p w14:paraId="0814769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defilippiana</w:t>
            </w:r>
          </w:p>
        </w:tc>
        <w:tc>
          <w:tcPr>
            <w:tcW w:w="1413" w:type="dxa"/>
            <w:shd w:val="clear" w:color="auto" w:fill="auto"/>
          </w:tcPr>
          <w:p w14:paraId="1416CE1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9EDCBA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F735991" w14:textId="77777777" w:rsidTr="00FC7FD8">
        <w:trPr>
          <w:cantSplit/>
        </w:trPr>
        <w:tc>
          <w:tcPr>
            <w:tcW w:w="1610" w:type="dxa"/>
            <w:shd w:val="clear" w:color="auto" w:fill="auto"/>
          </w:tcPr>
          <w:p w14:paraId="52BCF4D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608A13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Más Afuera</w:t>
            </w:r>
          </w:p>
        </w:tc>
        <w:tc>
          <w:tcPr>
            <w:tcW w:w="2126" w:type="dxa"/>
            <w:shd w:val="clear" w:color="auto" w:fill="auto"/>
          </w:tcPr>
          <w:p w14:paraId="041E543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longirostris</w:t>
            </w:r>
          </w:p>
        </w:tc>
        <w:tc>
          <w:tcPr>
            <w:tcW w:w="1413" w:type="dxa"/>
            <w:shd w:val="clear" w:color="auto" w:fill="auto"/>
          </w:tcPr>
          <w:p w14:paraId="1A9083A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517DC8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AE97CC8" w14:textId="77777777" w:rsidTr="00FC7FD8">
        <w:trPr>
          <w:cantSplit/>
        </w:trPr>
        <w:tc>
          <w:tcPr>
            <w:tcW w:w="1610" w:type="dxa"/>
            <w:shd w:val="clear" w:color="auto" w:fill="auto"/>
          </w:tcPr>
          <w:p w14:paraId="373FF08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2AFC728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Cook</w:t>
            </w:r>
          </w:p>
        </w:tc>
        <w:tc>
          <w:tcPr>
            <w:tcW w:w="2126" w:type="dxa"/>
            <w:shd w:val="clear" w:color="auto" w:fill="auto"/>
          </w:tcPr>
          <w:p w14:paraId="31C31B1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cookii</w:t>
            </w:r>
          </w:p>
        </w:tc>
        <w:tc>
          <w:tcPr>
            <w:tcW w:w="1413" w:type="dxa"/>
            <w:shd w:val="clear" w:color="auto" w:fill="auto"/>
          </w:tcPr>
          <w:p w14:paraId="24F3C82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51745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75173B76" w14:textId="77777777" w:rsidTr="00FC7FD8">
        <w:trPr>
          <w:cantSplit/>
        </w:trPr>
        <w:tc>
          <w:tcPr>
            <w:tcW w:w="1610" w:type="dxa"/>
            <w:shd w:val="clear" w:color="auto" w:fill="auto"/>
          </w:tcPr>
          <w:p w14:paraId="7A64E78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C14502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Pycroft</w:t>
            </w:r>
          </w:p>
        </w:tc>
        <w:tc>
          <w:tcPr>
            <w:tcW w:w="2126" w:type="dxa"/>
            <w:shd w:val="clear" w:color="auto" w:fill="auto"/>
          </w:tcPr>
          <w:p w14:paraId="02540E7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pycrofti</w:t>
            </w:r>
          </w:p>
        </w:tc>
        <w:tc>
          <w:tcPr>
            <w:tcW w:w="1413" w:type="dxa"/>
            <w:shd w:val="clear" w:color="auto" w:fill="auto"/>
          </w:tcPr>
          <w:p w14:paraId="6DBA947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9DF42E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5CB212BA" w14:textId="77777777" w:rsidTr="00FC7FD8">
        <w:trPr>
          <w:cantSplit/>
        </w:trPr>
        <w:tc>
          <w:tcPr>
            <w:tcW w:w="1610" w:type="dxa"/>
            <w:shd w:val="clear" w:color="auto" w:fill="auto"/>
          </w:tcPr>
          <w:p w14:paraId="1751150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1C9F9A0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Chatham</w:t>
            </w:r>
          </w:p>
        </w:tc>
        <w:tc>
          <w:tcPr>
            <w:tcW w:w="2126" w:type="dxa"/>
            <w:shd w:val="clear" w:color="auto" w:fill="auto"/>
          </w:tcPr>
          <w:p w14:paraId="31E425F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axillaris</w:t>
            </w:r>
          </w:p>
        </w:tc>
        <w:tc>
          <w:tcPr>
            <w:tcW w:w="1413" w:type="dxa"/>
            <w:shd w:val="clear" w:color="auto" w:fill="auto"/>
          </w:tcPr>
          <w:p w14:paraId="1891CD3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C79EE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FBF6493" w14:textId="77777777" w:rsidTr="00FC7FD8">
        <w:trPr>
          <w:cantSplit/>
        </w:trPr>
        <w:tc>
          <w:tcPr>
            <w:tcW w:w="1610" w:type="dxa"/>
            <w:shd w:val="clear" w:color="auto" w:fill="auto"/>
          </w:tcPr>
          <w:p w14:paraId="36854B2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29FF77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 Trindade</w:t>
            </w:r>
          </w:p>
        </w:tc>
        <w:tc>
          <w:tcPr>
            <w:tcW w:w="2126" w:type="dxa"/>
            <w:shd w:val="clear" w:color="auto" w:fill="auto"/>
          </w:tcPr>
          <w:p w14:paraId="3DE69A0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arminjoniana</w:t>
            </w:r>
          </w:p>
        </w:tc>
        <w:tc>
          <w:tcPr>
            <w:tcW w:w="1413" w:type="dxa"/>
            <w:shd w:val="clear" w:color="auto" w:fill="auto"/>
          </w:tcPr>
          <w:p w14:paraId="52B0D98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5963D6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05FB9469" w14:textId="77777777" w:rsidTr="00FC7FD8">
        <w:trPr>
          <w:cantSplit/>
        </w:trPr>
        <w:tc>
          <w:tcPr>
            <w:tcW w:w="1610" w:type="dxa"/>
            <w:shd w:val="clear" w:color="auto" w:fill="auto"/>
          </w:tcPr>
          <w:p w14:paraId="7C823D6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2B7AAF1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Fénix</w:t>
            </w:r>
          </w:p>
        </w:tc>
        <w:tc>
          <w:tcPr>
            <w:tcW w:w="2126" w:type="dxa"/>
            <w:shd w:val="clear" w:color="auto" w:fill="auto"/>
          </w:tcPr>
          <w:p w14:paraId="1C9C36B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alba</w:t>
            </w:r>
          </w:p>
        </w:tc>
        <w:tc>
          <w:tcPr>
            <w:tcW w:w="1413" w:type="dxa"/>
            <w:shd w:val="clear" w:color="auto" w:fill="auto"/>
          </w:tcPr>
          <w:p w14:paraId="2FEBBBC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18FD56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aunque sin una dirección consistente. Cumple con los criterios de movimiento de la CMS.</w:t>
            </w:r>
          </w:p>
        </w:tc>
      </w:tr>
      <w:tr w:rsidR="000A00AE" w:rsidRPr="00FC4B7A" w14:paraId="7CA52205" w14:textId="77777777" w:rsidTr="00FC7FD8">
        <w:trPr>
          <w:cantSplit/>
        </w:trPr>
        <w:tc>
          <w:tcPr>
            <w:tcW w:w="1610" w:type="dxa"/>
            <w:shd w:val="clear" w:color="auto" w:fill="auto"/>
          </w:tcPr>
          <w:p w14:paraId="1F7943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A1F9C8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Barau</w:t>
            </w:r>
          </w:p>
        </w:tc>
        <w:tc>
          <w:tcPr>
            <w:tcW w:w="2126" w:type="dxa"/>
            <w:shd w:val="clear" w:color="auto" w:fill="auto"/>
          </w:tcPr>
          <w:p w14:paraId="79C436A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baraui</w:t>
            </w:r>
          </w:p>
        </w:tc>
        <w:tc>
          <w:tcPr>
            <w:tcW w:w="1413" w:type="dxa"/>
            <w:shd w:val="clear" w:color="auto" w:fill="auto"/>
          </w:tcPr>
          <w:p w14:paraId="77726E5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7BFEE5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D65A106" w14:textId="77777777" w:rsidTr="00FC7FD8">
        <w:trPr>
          <w:cantSplit/>
        </w:trPr>
        <w:tc>
          <w:tcPr>
            <w:tcW w:w="1610" w:type="dxa"/>
            <w:shd w:val="clear" w:color="auto" w:fill="auto"/>
          </w:tcPr>
          <w:p w14:paraId="661709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1CE6DF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moteado</w:t>
            </w:r>
          </w:p>
        </w:tc>
        <w:tc>
          <w:tcPr>
            <w:tcW w:w="2126" w:type="dxa"/>
            <w:shd w:val="clear" w:color="auto" w:fill="auto"/>
          </w:tcPr>
          <w:p w14:paraId="600F0711"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Pterodroma inexpectata</w:t>
            </w:r>
          </w:p>
        </w:tc>
        <w:tc>
          <w:tcPr>
            <w:tcW w:w="1413" w:type="dxa"/>
            <w:shd w:val="clear" w:color="auto" w:fill="auto"/>
          </w:tcPr>
          <w:p w14:paraId="3B8F043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8A0D70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69FBC717" w14:textId="77777777" w:rsidTr="00FC7FD8">
        <w:trPr>
          <w:cantSplit/>
        </w:trPr>
        <w:tc>
          <w:tcPr>
            <w:tcW w:w="1610" w:type="dxa"/>
            <w:shd w:val="clear" w:color="auto" w:fill="auto"/>
          </w:tcPr>
          <w:p w14:paraId="4EDF44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6659ED4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cuelliblanco</w:t>
            </w:r>
          </w:p>
        </w:tc>
        <w:tc>
          <w:tcPr>
            <w:tcW w:w="2126" w:type="dxa"/>
            <w:shd w:val="clear" w:color="auto" w:fill="auto"/>
          </w:tcPr>
          <w:p w14:paraId="22F157A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cervicalis</w:t>
            </w:r>
          </w:p>
        </w:tc>
        <w:tc>
          <w:tcPr>
            <w:tcW w:w="1413" w:type="dxa"/>
            <w:shd w:val="clear" w:color="auto" w:fill="auto"/>
          </w:tcPr>
          <w:p w14:paraId="1FBC496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557F2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416A4BB" w14:textId="77777777" w:rsidTr="00FC7FD8">
        <w:trPr>
          <w:cantSplit/>
        </w:trPr>
        <w:tc>
          <w:tcPr>
            <w:tcW w:w="1610" w:type="dxa"/>
            <w:shd w:val="clear" w:color="auto" w:fill="auto"/>
          </w:tcPr>
          <w:p w14:paraId="7B119D7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Procellariidae</w:t>
            </w:r>
          </w:p>
        </w:tc>
        <w:tc>
          <w:tcPr>
            <w:tcW w:w="1964" w:type="dxa"/>
            <w:shd w:val="clear" w:color="auto" w:fill="auto"/>
          </w:tcPr>
          <w:p w14:paraId="6DD39FF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Juan Fernández</w:t>
            </w:r>
          </w:p>
        </w:tc>
        <w:tc>
          <w:tcPr>
            <w:tcW w:w="2126" w:type="dxa"/>
            <w:shd w:val="clear" w:color="auto" w:fill="auto"/>
          </w:tcPr>
          <w:p w14:paraId="6AACEC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externa</w:t>
            </w:r>
          </w:p>
        </w:tc>
        <w:tc>
          <w:tcPr>
            <w:tcW w:w="1413" w:type="dxa"/>
            <w:shd w:val="clear" w:color="auto" w:fill="auto"/>
          </w:tcPr>
          <w:p w14:paraId="06EA506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61C3B2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35770FA" w14:textId="77777777" w:rsidTr="00FC7FD8">
        <w:trPr>
          <w:cantSplit/>
        </w:trPr>
        <w:tc>
          <w:tcPr>
            <w:tcW w:w="1610" w:type="dxa"/>
            <w:shd w:val="clear" w:color="auto" w:fill="auto"/>
          </w:tcPr>
          <w:p w14:paraId="53BA780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39C1D3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antillano</w:t>
            </w:r>
          </w:p>
        </w:tc>
        <w:tc>
          <w:tcPr>
            <w:tcW w:w="2126" w:type="dxa"/>
            <w:shd w:val="clear" w:color="auto" w:fill="auto"/>
          </w:tcPr>
          <w:p w14:paraId="071A351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hasitata</w:t>
            </w:r>
          </w:p>
        </w:tc>
        <w:tc>
          <w:tcPr>
            <w:tcW w:w="1413" w:type="dxa"/>
            <w:shd w:val="clear" w:color="auto" w:fill="auto"/>
          </w:tcPr>
          <w:p w14:paraId="13740A0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5B171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59CA3C0D" w14:textId="77777777" w:rsidTr="00FC7FD8">
        <w:trPr>
          <w:cantSplit/>
        </w:trPr>
        <w:tc>
          <w:tcPr>
            <w:tcW w:w="1610" w:type="dxa"/>
            <w:shd w:val="clear" w:color="auto" w:fill="auto"/>
          </w:tcPr>
          <w:p w14:paraId="2C95FF6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1173474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jamaicano</w:t>
            </w:r>
          </w:p>
        </w:tc>
        <w:tc>
          <w:tcPr>
            <w:tcW w:w="2126" w:type="dxa"/>
            <w:shd w:val="clear" w:color="auto" w:fill="auto"/>
          </w:tcPr>
          <w:p w14:paraId="0E81CE6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caribbaea</w:t>
            </w:r>
          </w:p>
        </w:tc>
        <w:tc>
          <w:tcPr>
            <w:tcW w:w="1413" w:type="dxa"/>
            <w:shd w:val="clear" w:color="auto" w:fill="auto"/>
          </w:tcPr>
          <w:p w14:paraId="24D8F37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32008A6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53F64062" w14:textId="77777777" w:rsidTr="00FC7FD8">
        <w:trPr>
          <w:cantSplit/>
        </w:trPr>
        <w:tc>
          <w:tcPr>
            <w:tcW w:w="1610" w:type="dxa"/>
            <w:shd w:val="clear" w:color="auto" w:fill="auto"/>
          </w:tcPr>
          <w:p w14:paraId="3E6EA62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5E7E69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gon-gon</w:t>
            </w:r>
          </w:p>
        </w:tc>
        <w:tc>
          <w:tcPr>
            <w:tcW w:w="2126" w:type="dxa"/>
            <w:shd w:val="clear" w:color="auto" w:fill="auto"/>
          </w:tcPr>
          <w:p w14:paraId="1C85842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Pterodroma feae</w:t>
            </w:r>
          </w:p>
        </w:tc>
        <w:tc>
          <w:tcPr>
            <w:tcW w:w="1413" w:type="dxa"/>
            <w:shd w:val="clear" w:color="auto" w:fill="auto"/>
          </w:tcPr>
          <w:p w14:paraId="492B6B1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1B9120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E084E96" w14:textId="77777777" w:rsidTr="00FC7FD8">
        <w:trPr>
          <w:cantSplit/>
        </w:trPr>
        <w:tc>
          <w:tcPr>
            <w:tcW w:w="1610" w:type="dxa"/>
            <w:shd w:val="clear" w:color="auto" w:fill="auto"/>
          </w:tcPr>
          <w:p w14:paraId="2910CA4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42C644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Desertas</w:t>
            </w:r>
          </w:p>
        </w:tc>
        <w:tc>
          <w:tcPr>
            <w:tcW w:w="2126" w:type="dxa"/>
            <w:shd w:val="clear" w:color="auto" w:fill="auto"/>
          </w:tcPr>
          <w:p w14:paraId="3610B06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deserta</w:t>
            </w:r>
          </w:p>
        </w:tc>
        <w:tc>
          <w:tcPr>
            <w:tcW w:w="1413" w:type="dxa"/>
            <w:shd w:val="clear" w:color="auto" w:fill="auto"/>
          </w:tcPr>
          <w:p w14:paraId="394BE50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F9E7C0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11E855F5" w14:textId="77777777" w:rsidTr="00FC7FD8">
        <w:trPr>
          <w:cantSplit/>
        </w:trPr>
        <w:tc>
          <w:tcPr>
            <w:tcW w:w="1610" w:type="dxa"/>
            <w:shd w:val="clear" w:color="auto" w:fill="auto"/>
          </w:tcPr>
          <w:p w14:paraId="4FBBC5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71A700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freira</w:t>
            </w:r>
          </w:p>
        </w:tc>
        <w:tc>
          <w:tcPr>
            <w:tcW w:w="2126" w:type="dxa"/>
            <w:shd w:val="clear" w:color="auto" w:fill="auto"/>
          </w:tcPr>
          <w:p w14:paraId="2ED7AC4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madeira</w:t>
            </w:r>
          </w:p>
        </w:tc>
        <w:tc>
          <w:tcPr>
            <w:tcW w:w="1413" w:type="dxa"/>
            <w:shd w:val="clear" w:color="auto" w:fill="auto"/>
          </w:tcPr>
          <w:p w14:paraId="22F8923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350EBFF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11CBB24F" w14:textId="77777777" w:rsidTr="00FC7FD8">
        <w:trPr>
          <w:cantSplit/>
        </w:trPr>
        <w:tc>
          <w:tcPr>
            <w:tcW w:w="1610" w:type="dxa"/>
            <w:shd w:val="clear" w:color="auto" w:fill="auto"/>
          </w:tcPr>
          <w:p w14:paraId="193653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543F50B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taiko</w:t>
            </w:r>
          </w:p>
        </w:tc>
        <w:tc>
          <w:tcPr>
            <w:tcW w:w="2126" w:type="dxa"/>
            <w:shd w:val="clear" w:color="auto" w:fill="auto"/>
          </w:tcPr>
          <w:p w14:paraId="1C095D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magentae</w:t>
            </w:r>
          </w:p>
        </w:tc>
        <w:tc>
          <w:tcPr>
            <w:tcW w:w="1413" w:type="dxa"/>
            <w:shd w:val="clear" w:color="auto" w:fill="auto"/>
          </w:tcPr>
          <w:p w14:paraId="2E4533E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FE57BD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28C31DA" w14:textId="77777777" w:rsidTr="00FC7FD8">
        <w:trPr>
          <w:cantSplit/>
        </w:trPr>
        <w:tc>
          <w:tcPr>
            <w:tcW w:w="1610" w:type="dxa"/>
            <w:shd w:val="clear" w:color="auto" w:fill="auto"/>
          </w:tcPr>
          <w:p w14:paraId="4E8428B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F1AA7C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Schlegel</w:t>
            </w:r>
          </w:p>
        </w:tc>
        <w:tc>
          <w:tcPr>
            <w:tcW w:w="2126" w:type="dxa"/>
            <w:shd w:val="clear" w:color="auto" w:fill="auto"/>
          </w:tcPr>
          <w:p w14:paraId="7CA473E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Pterodroma incerta</w:t>
            </w:r>
          </w:p>
        </w:tc>
        <w:tc>
          <w:tcPr>
            <w:tcW w:w="1413" w:type="dxa"/>
            <w:shd w:val="clear" w:color="auto" w:fill="auto"/>
          </w:tcPr>
          <w:p w14:paraId="4C00797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49404B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00AE" w:rsidRPr="00FC4B7A" w14:paraId="6520B83C" w14:textId="77777777" w:rsidTr="00FC7FD8">
        <w:trPr>
          <w:cantSplit/>
        </w:trPr>
        <w:tc>
          <w:tcPr>
            <w:tcW w:w="1610" w:type="dxa"/>
            <w:shd w:val="clear" w:color="auto" w:fill="auto"/>
          </w:tcPr>
          <w:p w14:paraId="176142E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9504F1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Fardela dorsigris</w:t>
            </w:r>
          </w:p>
        </w:tc>
        <w:tc>
          <w:tcPr>
            <w:tcW w:w="2126" w:type="dxa"/>
            <w:shd w:val="clear" w:color="auto" w:fill="auto"/>
          </w:tcPr>
          <w:p w14:paraId="68F60D0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Ardenna bulleri</w:t>
            </w:r>
          </w:p>
        </w:tc>
        <w:tc>
          <w:tcPr>
            <w:tcW w:w="1413" w:type="dxa"/>
            <w:shd w:val="clear" w:color="auto" w:fill="auto"/>
          </w:tcPr>
          <w:p w14:paraId="425E94D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17FF68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los individuos inmaduros pueden migrar más allá del área de distribución normal de los adultos antes de regresar para reproducirse. Cumple con los criterios de movimiento de la CMS.</w:t>
            </w:r>
          </w:p>
        </w:tc>
      </w:tr>
      <w:tr w:rsidR="000A00AE" w:rsidRPr="00FC4B7A" w14:paraId="5DEF1F90" w14:textId="77777777" w:rsidTr="00FC7FD8">
        <w:trPr>
          <w:cantSplit/>
        </w:trPr>
        <w:tc>
          <w:tcPr>
            <w:tcW w:w="1610" w:type="dxa"/>
            <w:shd w:val="clear" w:color="auto" w:fill="auto"/>
          </w:tcPr>
          <w:p w14:paraId="3348BBE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Procellariidae</w:t>
            </w:r>
          </w:p>
        </w:tc>
        <w:tc>
          <w:tcPr>
            <w:tcW w:w="1964" w:type="dxa"/>
            <w:shd w:val="clear" w:color="auto" w:fill="auto"/>
          </w:tcPr>
          <w:p w14:paraId="085E3CA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sombría</w:t>
            </w:r>
          </w:p>
        </w:tc>
        <w:tc>
          <w:tcPr>
            <w:tcW w:w="2126" w:type="dxa"/>
            <w:shd w:val="clear" w:color="auto" w:fill="auto"/>
          </w:tcPr>
          <w:p w14:paraId="224AA0E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Ardenna grisea</w:t>
            </w:r>
          </w:p>
        </w:tc>
        <w:tc>
          <w:tcPr>
            <w:tcW w:w="1413" w:type="dxa"/>
            <w:shd w:val="clear" w:color="auto" w:fill="auto"/>
          </w:tcPr>
          <w:p w14:paraId="240C630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A40404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09B80C7" w14:textId="77777777" w:rsidTr="00FC7FD8">
        <w:trPr>
          <w:cantSplit/>
        </w:trPr>
        <w:tc>
          <w:tcPr>
            <w:tcW w:w="1610" w:type="dxa"/>
            <w:shd w:val="clear" w:color="auto" w:fill="auto"/>
          </w:tcPr>
          <w:p w14:paraId="399AB87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7FA4AA2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paticlara</w:t>
            </w:r>
          </w:p>
        </w:tc>
        <w:tc>
          <w:tcPr>
            <w:tcW w:w="2126" w:type="dxa"/>
            <w:shd w:val="clear" w:color="auto" w:fill="auto"/>
          </w:tcPr>
          <w:p w14:paraId="6B20F8C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Ardenna carneipes</w:t>
            </w:r>
          </w:p>
        </w:tc>
        <w:tc>
          <w:tcPr>
            <w:tcW w:w="1413" w:type="dxa"/>
            <w:shd w:val="clear" w:color="auto" w:fill="auto"/>
          </w:tcPr>
          <w:p w14:paraId="6AF4DD4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EDAF2A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55AD6F5" w14:textId="77777777" w:rsidTr="00FC7FD8">
        <w:trPr>
          <w:cantSplit/>
        </w:trPr>
        <w:tc>
          <w:tcPr>
            <w:tcW w:w="1610" w:type="dxa"/>
            <w:shd w:val="clear" w:color="auto" w:fill="auto"/>
          </w:tcPr>
          <w:p w14:paraId="28A82E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56FF82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canosa</w:t>
            </w:r>
          </w:p>
        </w:tc>
        <w:tc>
          <w:tcPr>
            <w:tcW w:w="2126" w:type="dxa"/>
            <w:shd w:val="clear" w:color="auto" w:fill="auto"/>
          </w:tcPr>
          <w:p w14:paraId="233F789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Calonectris leucomelas</w:t>
            </w:r>
          </w:p>
        </w:tc>
        <w:tc>
          <w:tcPr>
            <w:tcW w:w="1413" w:type="dxa"/>
            <w:shd w:val="clear" w:color="auto" w:fill="auto"/>
          </w:tcPr>
          <w:p w14:paraId="55031DB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398BB6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2B28A909" w14:textId="77777777" w:rsidTr="00FC7FD8">
        <w:trPr>
          <w:cantSplit/>
        </w:trPr>
        <w:tc>
          <w:tcPr>
            <w:tcW w:w="1610" w:type="dxa"/>
            <w:shd w:val="clear" w:color="auto" w:fill="auto"/>
          </w:tcPr>
          <w:p w14:paraId="48F53BD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30466F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de Cabo Verde</w:t>
            </w:r>
          </w:p>
        </w:tc>
        <w:tc>
          <w:tcPr>
            <w:tcW w:w="2126" w:type="dxa"/>
            <w:shd w:val="clear" w:color="auto" w:fill="auto"/>
          </w:tcPr>
          <w:p w14:paraId="5AEFDC3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Calonectris edwardsii</w:t>
            </w:r>
          </w:p>
        </w:tc>
        <w:tc>
          <w:tcPr>
            <w:tcW w:w="1413" w:type="dxa"/>
            <w:shd w:val="clear" w:color="auto" w:fill="auto"/>
          </w:tcPr>
          <w:p w14:paraId="3EE0F25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6BCFC5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2D01F161" w14:textId="77777777" w:rsidTr="00FC7FD8">
        <w:trPr>
          <w:cantSplit/>
        </w:trPr>
        <w:tc>
          <w:tcPr>
            <w:tcW w:w="1610" w:type="dxa"/>
            <w:shd w:val="clear" w:color="auto" w:fill="auto"/>
          </w:tcPr>
          <w:p w14:paraId="51E9908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085AE8E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Hutton</w:t>
            </w:r>
          </w:p>
        </w:tc>
        <w:tc>
          <w:tcPr>
            <w:tcW w:w="2126" w:type="dxa"/>
            <w:shd w:val="clear" w:color="auto" w:fill="auto"/>
          </w:tcPr>
          <w:p w14:paraId="22A5DFE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huttoni</w:t>
            </w:r>
          </w:p>
        </w:tc>
        <w:tc>
          <w:tcPr>
            <w:tcW w:w="1413" w:type="dxa"/>
            <w:shd w:val="clear" w:color="auto" w:fill="auto"/>
          </w:tcPr>
          <w:p w14:paraId="508B6FA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047C94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5B13CE5A" w14:textId="77777777" w:rsidTr="00FC7FD8">
        <w:trPr>
          <w:cantSplit/>
        </w:trPr>
        <w:tc>
          <w:tcPr>
            <w:tcW w:w="1610" w:type="dxa"/>
            <w:shd w:val="clear" w:color="auto" w:fill="auto"/>
          </w:tcPr>
          <w:p w14:paraId="3E95D3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14DB127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culinegra</w:t>
            </w:r>
          </w:p>
        </w:tc>
        <w:tc>
          <w:tcPr>
            <w:tcW w:w="2126" w:type="dxa"/>
            <w:shd w:val="clear" w:color="auto" w:fill="auto"/>
          </w:tcPr>
          <w:p w14:paraId="3360647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Puffinus opisthomelas</w:t>
            </w:r>
          </w:p>
        </w:tc>
        <w:tc>
          <w:tcPr>
            <w:tcW w:w="1413" w:type="dxa"/>
            <w:shd w:val="clear" w:color="auto" w:fill="auto"/>
          </w:tcPr>
          <w:p w14:paraId="13FA8E5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E3324B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00AE" w:rsidRPr="00FC4B7A" w14:paraId="436259E1" w14:textId="77777777" w:rsidTr="00FC7FD8">
        <w:trPr>
          <w:cantSplit/>
        </w:trPr>
        <w:tc>
          <w:tcPr>
            <w:tcW w:w="1610" w:type="dxa"/>
            <w:shd w:val="clear" w:color="auto" w:fill="auto"/>
          </w:tcPr>
          <w:p w14:paraId="21E03F0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2DF558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Bryan</w:t>
            </w:r>
          </w:p>
        </w:tc>
        <w:tc>
          <w:tcPr>
            <w:tcW w:w="2126" w:type="dxa"/>
            <w:shd w:val="clear" w:color="auto" w:fill="auto"/>
          </w:tcPr>
          <w:p w14:paraId="3CDFD46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bryani</w:t>
            </w:r>
          </w:p>
        </w:tc>
        <w:tc>
          <w:tcPr>
            <w:tcW w:w="1413" w:type="dxa"/>
            <w:shd w:val="clear" w:color="auto" w:fill="auto"/>
          </w:tcPr>
          <w:p w14:paraId="71E5845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D1395B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229C73B3" w14:textId="77777777" w:rsidTr="00FC7FD8">
        <w:trPr>
          <w:cantSplit/>
        </w:trPr>
        <w:tc>
          <w:tcPr>
            <w:tcW w:w="1610" w:type="dxa"/>
            <w:shd w:val="clear" w:color="auto" w:fill="auto"/>
          </w:tcPr>
          <w:p w14:paraId="2F1ED78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4D3EC76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Newell</w:t>
            </w:r>
          </w:p>
        </w:tc>
        <w:tc>
          <w:tcPr>
            <w:tcW w:w="2126" w:type="dxa"/>
            <w:shd w:val="clear" w:color="auto" w:fill="auto"/>
          </w:tcPr>
          <w:p w14:paraId="7C75B70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newelli</w:t>
            </w:r>
          </w:p>
        </w:tc>
        <w:tc>
          <w:tcPr>
            <w:tcW w:w="1413" w:type="dxa"/>
            <w:shd w:val="clear" w:color="auto" w:fill="auto"/>
          </w:tcPr>
          <w:p w14:paraId="4AFC63B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4F8B006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00AE" w:rsidRPr="00FC4B7A" w14:paraId="57A676F8" w14:textId="77777777" w:rsidTr="00FC7FD8">
        <w:trPr>
          <w:cantSplit/>
        </w:trPr>
        <w:tc>
          <w:tcPr>
            <w:tcW w:w="1610" w:type="dxa"/>
            <w:shd w:val="clear" w:color="auto" w:fill="auto"/>
          </w:tcPr>
          <w:p w14:paraId="670F578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529E4E3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Townsend</w:t>
            </w:r>
          </w:p>
        </w:tc>
        <w:tc>
          <w:tcPr>
            <w:tcW w:w="2126" w:type="dxa"/>
            <w:shd w:val="clear" w:color="auto" w:fill="auto"/>
          </w:tcPr>
          <w:p w14:paraId="1E2B118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auricularis</w:t>
            </w:r>
          </w:p>
        </w:tc>
        <w:tc>
          <w:tcPr>
            <w:tcW w:w="1413" w:type="dxa"/>
            <w:shd w:val="clear" w:color="auto" w:fill="auto"/>
          </w:tcPr>
          <w:p w14:paraId="754B82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6CD2377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3BC65D50" w14:textId="77777777" w:rsidTr="00FC7FD8">
        <w:trPr>
          <w:cantSplit/>
        </w:trPr>
        <w:tc>
          <w:tcPr>
            <w:tcW w:w="1610" w:type="dxa"/>
            <w:shd w:val="clear" w:color="auto" w:fill="auto"/>
          </w:tcPr>
          <w:p w14:paraId="282EDE7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Procellariidae</w:t>
            </w:r>
          </w:p>
        </w:tc>
        <w:tc>
          <w:tcPr>
            <w:tcW w:w="1964" w:type="dxa"/>
            <w:shd w:val="clear" w:color="auto" w:fill="auto"/>
          </w:tcPr>
          <w:p w14:paraId="291A257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mediterránea</w:t>
            </w:r>
          </w:p>
        </w:tc>
        <w:tc>
          <w:tcPr>
            <w:tcW w:w="2126" w:type="dxa"/>
            <w:shd w:val="clear" w:color="auto" w:fill="auto"/>
          </w:tcPr>
          <w:p w14:paraId="6B1B5D8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yelkouan</w:t>
            </w:r>
          </w:p>
        </w:tc>
        <w:tc>
          <w:tcPr>
            <w:tcW w:w="1413" w:type="dxa"/>
            <w:shd w:val="clear" w:color="auto" w:fill="auto"/>
          </w:tcPr>
          <w:p w14:paraId="13E0F3F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FB38F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36A44E4" w14:textId="77777777" w:rsidTr="00FC7FD8">
        <w:trPr>
          <w:cantSplit/>
        </w:trPr>
        <w:tc>
          <w:tcPr>
            <w:tcW w:w="1610" w:type="dxa"/>
            <w:shd w:val="clear" w:color="auto" w:fill="auto"/>
          </w:tcPr>
          <w:p w14:paraId="43F6954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65C904F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Heinroth</w:t>
            </w:r>
          </w:p>
        </w:tc>
        <w:tc>
          <w:tcPr>
            <w:tcW w:w="2126" w:type="dxa"/>
            <w:shd w:val="clear" w:color="auto" w:fill="auto"/>
          </w:tcPr>
          <w:p w14:paraId="6BCFE7C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Puffinus heinrothi</w:t>
            </w:r>
          </w:p>
        </w:tc>
        <w:tc>
          <w:tcPr>
            <w:tcW w:w="1413" w:type="dxa"/>
            <w:shd w:val="clear" w:color="auto" w:fill="auto"/>
          </w:tcPr>
          <w:p w14:paraId="21FB565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22B550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01D66389" w14:textId="77777777" w:rsidTr="00FC7FD8">
        <w:trPr>
          <w:cantSplit/>
        </w:trPr>
        <w:tc>
          <w:tcPr>
            <w:tcW w:w="1610" w:type="dxa"/>
            <w:shd w:val="clear" w:color="auto" w:fill="auto"/>
          </w:tcPr>
          <w:p w14:paraId="6EE193A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5EEA49A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Fiyi</w:t>
            </w:r>
          </w:p>
        </w:tc>
        <w:tc>
          <w:tcPr>
            <w:tcW w:w="2126" w:type="dxa"/>
            <w:shd w:val="clear" w:color="auto" w:fill="auto"/>
          </w:tcPr>
          <w:p w14:paraId="5D19742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Pseudobulweria macgillivrayi</w:t>
            </w:r>
          </w:p>
        </w:tc>
        <w:tc>
          <w:tcPr>
            <w:tcW w:w="1413" w:type="dxa"/>
            <w:shd w:val="clear" w:color="auto" w:fill="auto"/>
          </w:tcPr>
          <w:p w14:paraId="3489AAC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06947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75205F96" w14:textId="77777777" w:rsidTr="00FC7FD8">
        <w:trPr>
          <w:cantSplit/>
        </w:trPr>
        <w:tc>
          <w:tcPr>
            <w:tcW w:w="1610" w:type="dxa"/>
            <w:shd w:val="clear" w:color="auto" w:fill="auto"/>
          </w:tcPr>
          <w:p w14:paraId="18B534A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7AB1686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Beck</w:t>
            </w:r>
          </w:p>
        </w:tc>
        <w:tc>
          <w:tcPr>
            <w:tcW w:w="2126" w:type="dxa"/>
            <w:shd w:val="clear" w:color="auto" w:fill="auto"/>
          </w:tcPr>
          <w:p w14:paraId="02FFD6D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Pseudobulweria becki</w:t>
            </w:r>
          </w:p>
        </w:tc>
        <w:tc>
          <w:tcPr>
            <w:tcW w:w="1413" w:type="dxa"/>
            <w:shd w:val="clear" w:color="auto" w:fill="auto"/>
          </w:tcPr>
          <w:p w14:paraId="2BE1ED9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156595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696E3470" w14:textId="77777777" w:rsidTr="00FC7FD8">
        <w:trPr>
          <w:cantSplit/>
        </w:trPr>
        <w:tc>
          <w:tcPr>
            <w:tcW w:w="1610" w:type="dxa"/>
            <w:shd w:val="clear" w:color="auto" w:fill="auto"/>
          </w:tcPr>
          <w:p w14:paraId="75FFE3E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74D793E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de Tahití</w:t>
            </w:r>
          </w:p>
        </w:tc>
        <w:tc>
          <w:tcPr>
            <w:tcW w:w="2126" w:type="dxa"/>
            <w:shd w:val="clear" w:color="auto" w:fill="auto"/>
          </w:tcPr>
          <w:p w14:paraId="0D51BD31"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Pseudobulweria rostrata</w:t>
            </w:r>
          </w:p>
        </w:tc>
        <w:tc>
          <w:tcPr>
            <w:tcW w:w="1413" w:type="dxa"/>
            <w:shd w:val="clear" w:color="auto" w:fill="auto"/>
          </w:tcPr>
          <w:p w14:paraId="13D3C42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E193E0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00AE" w:rsidRPr="00FC4B7A" w14:paraId="78E85A37" w14:textId="77777777" w:rsidTr="00FC7FD8">
        <w:trPr>
          <w:cantSplit/>
        </w:trPr>
        <w:tc>
          <w:tcPr>
            <w:tcW w:w="1610" w:type="dxa"/>
            <w:shd w:val="clear" w:color="auto" w:fill="auto"/>
          </w:tcPr>
          <w:p w14:paraId="43DEA3F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4F4567E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de Jouanin</w:t>
            </w:r>
          </w:p>
        </w:tc>
        <w:tc>
          <w:tcPr>
            <w:tcW w:w="2126" w:type="dxa"/>
            <w:shd w:val="clear" w:color="auto" w:fill="auto"/>
          </w:tcPr>
          <w:p w14:paraId="34AF66E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Bulweria fallax</w:t>
            </w:r>
          </w:p>
        </w:tc>
        <w:tc>
          <w:tcPr>
            <w:tcW w:w="1413" w:type="dxa"/>
            <w:shd w:val="clear" w:color="auto" w:fill="auto"/>
          </w:tcPr>
          <w:p w14:paraId="480B73E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A6B13E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D4109D4" w14:textId="77777777" w:rsidTr="00FC7FD8">
        <w:trPr>
          <w:cantSplit/>
        </w:trPr>
        <w:tc>
          <w:tcPr>
            <w:tcW w:w="1610" w:type="dxa"/>
            <w:shd w:val="clear" w:color="auto" w:fill="auto"/>
          </w:tcPr>
          <w:p w14:paraId="04D9D83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Procellariidae</w:t>
            </w:r>
          </w:p>
        </w:tc>
        <w:tc>
          <w:tcPr>
            <w:tcW w:w="1964" w:type="dxa"/>
            <w:shd w:val="clear" w:color="auto" w:fill="auto"/>
          </w:tcPr>
          <w:p w14:paraId="3448363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buceador Whenua Hou</w:t>
            </w:r>
          </w:p>
        </w:tc>
        <w:tc>
          <w:tcPr>
            <w:tcW w:w="2126" w:type="dxa"/>
            <w:shd w:val="clear" w:color="auto" w:fill="auto"/>
          </w:tcPr>
          <w:p w14:paraId="515457A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Pelecanoides whenuahouensis</w:t>
            </w:r>
          </w:p>
        </w:tc>
        <w:tc>
          <w:tcPr>
            <w:tcW w:w="1413" w:type="dxa"/>
            <w:shd w:val="clear" w:color="auto" w:fill="auto"/>
          </w:tcPr>
          <w:p w14:paraId="2BB2CD8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583683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0DB6CAA1" w14:textId="77777777" w:rsidTr="00FC7FD8">
        <w:trPr>
          <w:cantSplit/>
        </w:trPr>
        <w:tc>
          <w:tcPr>
            <w:tcW w:w="1610" w:type="dxa"/>
            <w:shd w:val="clear" w:color="auto" w:fill="auto"/>
          </w:tcPr>
          <w:p w14:paraId="6322BE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Ciconiidae</w:t>
            </w:r>
          </w:p>
        </w:tc>
        <w:tc>
          <w:tcPr>
            <w:tcW w:w="1964" w:type="dxa"/>
            <w:shd w:val="clear" w:color="auto" w:fill="auto"/>
          </w:tcPr>
          <w:p w14:paraId="46EBFB0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Marabú argala</w:t>
            </w:r>
          </w:p>
        </w:tc>
        <w:tc>
          <w:tcPr>
            <w:tcW w:w="2126" w:type="dxa"/>
            <w:shd w:val="clear" w:color="auto" w:fill="auto"/>
          </w:tcPr>
          <w:p w14:paraId="6609E79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Leptoptilos dubius</w:t>
            </w:r>
          </w:p>
        </w:tc>
        <w:tc>
          <w:tcPr>
            <w:tcW w:w="1413" w:type="dxa"/>
            <w:shd w:val="clear" w:color="auto" w:fill="auto"/>
          </w:tcPr>
          <w:p w14:paraId="2506D14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197F5A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expansión sustancial,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00AE" w:rsidRPr="00FC4B7A" w14:paraId="2ED9EF0E" w14:textId="77777777" w:rsidTr="00FC7FD8">
        <w:trPr>
          <w:cantSplit/>
        </w:trPr>
        <w:tc>
          <w:tcPr>
            <w:tcW w:w="1610" w:type="dxa"/>
            <w:shd w:val="clear" w:color="auto" w:fill="auto"/>
          </w:tcPr>
          <w:p w14:paraId="38882B4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Ciconiidae</w:t>
            </w:r>
          </w:p>
        </w:tc>
        <w:tc>
          <w:tcPr>
            <w:tcW w:w="1964" w:type="dxa"/>
            <w:shd w:val="clear" w:color="auto" w:fill="auto"/>
          </w:tcPr>
          <w:p w14:paraId="5AF008E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Marabú menor</w:t>
            </w:r>
          </w:p>
        </w:tc>
        <w:tc>
          <w:tcPr>
            <w:tcW w:w="2126" w:type="dxa"/>
            <w:shd w:val="clear" w:color="auto" w:fill="auto"/>
          </w:tcPr>
          <w:p w14:paraId="4592207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Leptoptilos javanicus</w:t>
            </w:r>
          </w:p>
        </w:tc>
        <w:tc>
          <w:tcPr>
            <w:tcW w:w="1413" w:type="dxa"/>
            <w:shd w:val="clear" w:color="auto" w:fill="auto"/>
          </w:tcPr>
          <w:p w14:paraId="11F3746F"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3C6709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712A8E2" w14:textId="77777777" w:rsidTr="00FC7FD8">
        <w:trPr>
          <w:cantSplit/>
        </w:trPr>
        <w:tc>
          <w:tcPr>
            <w:tcW w:w="1610" w:type="dxa"/>
            <w:shd w:val="clear" w:color="auto" w:fill="auto"/>
          </w:tcPr>
          <w:p w14:paraId="79B4A7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Ciconiidae</w:t>
            </w:r>
          </w:p>
        </w:tc>
        <w:tc>
          <w:tcPr>
            <w:tcW w:w="1964" w:type="dxa"/>
            <w:shd w:val="clear" w:color="auto" w:fill="auto"/>
          </w:tcPr>
          <w:p w14:paraId="22823BA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Tántalo indio​</w:t>
            </w:r>
          </w:p>
        </w:tc>
        <w:tc>
          <w:tcPr>
            <w:tcW w:w="2126" w:type="dxa"/>
            <w:shd w:val="clear" w:color="auto" w:fill="auto"/>
          </w:tcPr>
          <w:p w14:paraId="7937BFBF"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Mycteria leucocephala</w:t>
            </w:r>
          </w:p>
        </w:tc>
        <w:tc>
          <w:tcPr>
            <w:tcW w:w="1413" w:type="dxa"/>
            <w:shd w:val="clear" w:color="auto" w:fill="auto"/>
          </w:tcPr>
          <w:p w14:paraId="6AC3FE2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BFA94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00AE" w:rsidRPr="00FC4B7A" w14:paraId="56D6396F" w14:textId="77777777" w:rsidTr="00FC7FD8">
        <w:trPr>
          <w:cantSplit/>
        </w:trPr>
        <w:tc>
          <w:tcPr>
            <w:tcW w:w="1610" w:type="dxa"/>
            <w:shd w:val="clear" w:color="auto" w:fill="auto"/>
          </w:tcPr>
          <w:p w14:paraId="01E5C4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Ciconiidae</w:t>
            </w:r>
          </w:p>
        </w:tc>
        <w:tc>
          <w:tcPr>
            <w:tcW w:w="1964" w:type="dxa"/>
            <w:shd w:val="clear" w:color="auto" w:fill="auto"/>
          </w:tcPr>
          <w:p w14:paraId="66B949F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Tántalo malayo</w:t>
            </w:r>
          </w:p>
        </w:tc>
        <w:tc>
          <w:tcPr>
            <w:tcW w:w="2126" w:type="dxa"/>
            <w:shd w:val="clear" w:color="auto" w:fill="auto"/>
          </w:tcPr>
          <w:p w14:paraId="6D56A71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Mycteria cinerea</w:t>
            </w:r>
          </w:p>
        </w:tc>
        <w:tc>
          <w:tcPr>
            <w:tcW w:w="1413" w:type="dxa"/>
            <w:shd w:val="clear" w:color="auto" w:fill="auto"/>
          </w:tcPr>
          <w:p w14:paraId="305567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768497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2C5CF959" w14:textId="77777777" w:rsidTr="00FC7FD8">
        <w:trPr>
          <w:cantSplit/>
        </w:trPr>
        <w:tc>
          <w:tcPr>
            <w:tcW w:w="1610" w:type="dxa"/>
            <w:shd w:val="clear" w:color="auto" w:fill="auto"/>
          </w:tcPr>
          <w:p w14:paraId="736638C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Ciconiidae</w:t>
            </w:r>
          </w:p>
        </w:tc>
        <w:tc>
          <w:tcPr>
            <w:tcW w:w="1964" w:type="dxa"/>
            <w:shd w:val="clear" w:color="auto" w:fill="auto"/>
          </w:tcPr>
          <w:p w14:paraId="339E1C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Jabirú asiático​</w:t>
            </w:r>
          </w:p>
        </w:tc>
        <w:tc>
          <w:tcPr>
            <w:tcW w:w="2126" w:type="dxa"/>
            <w:shd w:val="clear" w:color="auto" w:fill="auto"/>
          </w:tcPr>
          <w:p w14:paraId="53C159B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Ephippiorhynchus asiaticus</w:t>
            </w:r>
          </w:p>
        </w:tc>
        <w:tc>
          <w:tcPr>
            <w:tcW w:w="1413" w:type="dxa"/>
            <w:shd w:val="clear" w:color="auto" w:fill="auto"/>
          </w:tcPr>
          <w:p w14:paraId="3B9AF61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2E027A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4B4F52C8" w14:textId="77777777" w:rsidTr="00FC7FD8">
        <w:trPr>
          <w:cantSplit/>
        </w:trPr>
        <w:tc>
          <w:tcPr>
            <w:tcW w:w="1610" w:type="dxa"/>
            <w:shd w:val="clear" w:color="auto" w:fill="auto"/>
          </w:tcPr>
          <w:p w14:paraId="05D6851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Threskiornithidae</w:t>
            </w:r>
          </w:p>
        </w:tc>
        <w:tc>
          <w:tcPr>
            <w:tcW w:w="1964" w:type="dxa"/>
            <w:shd w:val="clear" w:color="auto" w:fill="auto"/>
          </w:tcPr>
          <w:p w14:paraId="11BD120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Ibis cabecinegro</w:t>
            </w:r>
          </w:p>
        </w:tc>
        <w:tc>
          <w:tcPr>
            <w:tcW w:w="2126" w:type="dxa"/>
            <w:shd w:val="clear" w:color="auto" w:fill="auto"/>
          </w:tcPr>
          <w:p w14:paraId="1D68AF3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Threskiornis melanocephalus</w:t>
            </w:r>
          </w:p>
        </w:tc>
        <w:tc>
          <w:tcPr>
            <w:tcW w:w="1413" w:type="dxa"/>
            <w:shd w:val="clear" w:color="auto" w:fill="auto"/>
          </w:tcPr>
          <w:p w14:paraId="5416BEA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9DC9B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799942EA" w14:textId="77777777" w:rsidTr="00FC7FD8">
        <w:trPr>
          <w:cantSplit/>
        </w:trPr>
        <w:tc>
          <w:tcPr>
            <w:tcW w:w="1610" w:type="dxa"/>
            <w:shd w:val="clear" w:color="auto" w:fill="auto"/>
          </w:tcPr>
          <w:p w14:paraId="3D27A76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Ardeidae</w:t>
            </w:r>
          </w:p>
        </w:tc>
        <w:tc>
          <w:tcPr>
            <w:tcW w:w="1964" w:type="dxa"/>
            <w:shd w:val="clear" w:color="auto" w:fill="auto"/>
          </w:tcPr>
          <w:p w14:paraId="354F32E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Garza agamí</w:t>
            </w:r>
          </w:p>
        </w:tc>
        <w:tc>
          <w:tcPr>
            <w:tcW w:w="2126" w:type="dxa"/>
            <w:shd w:val="clear" w:color="auto" w:fill="auto"/>
          </w:tcPr>
          <w:p w14:paraId="3A6193A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Agamia agami</w:t>
            </w:r>
          </w:p>
        </w:tc>
        <w:tc>
          <w:tcPr>
            <w:tcW w:w="1413" w:type="dxa"/>
            <w:shd w:val="clear" w:color="auto" w:fill="auto"/>
          </w:tcPr>
          <w:p w14:paraId="4C693FAF"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CBCFF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10E55A0D" w14:textId="77777777" w:rsidTr="00FC7FD8">
        <w:trPr>
          <w:cantSplit/>
        </w:trPr>
        <w:tc>
          <w:tcPr>
            <w:tcW w:w="1610" w:type="dxa"/>
            <w:shd w:val="clear" w:color="auto" w:fill="auto"/>
          </w:tcPr>
          <w:p w14:paraId="07A9173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Ardeidae</w:t>
            </w:r>
          </w:p>
        </w:tc>
        <w:tc>
          <w:tcPr>
            <w:tcW w:w="1964" w:type="dxa"/>
            <w:shd w:val="clear" w:color="auto" w:fill="auto"/>
          </w:tcPr>
          <w:p w14:paraId="7CEBD3A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Martinete magnífico</w:t>
            </w:r>
          </w:p>
        </w:tc>
        <w:tc>
          <w:tcPr>
            <w:tcW w:w="2126" w:type="dxa"/>
            <w:shd w:val="clear" w:color="auto" w:fill="auto"/>
          </w:tcPr>
          <w:p w14:paraId="7E2446A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Oroanassa magnifica</w:t>
            </w:r>
          </w:p>
        </w:tc>
        <w:tc>
          <w:tcPr>
            <w:tcW w:w="1413" w:type="dxa"/>
            <w:shd w:val="clear" w:color="auto" w:fill="auto"/>
          </w:tcPr>
          <w:p w14:paraId="50B72E2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E71DAD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entre 100 y 1000 km de norte a sur; al menos algunos movimientos son principalmente altitudinales. Cumple con los criterios de movimiento de la CMS.</w:t>
            </w:r>
          </w:p>
        </w:tc>
      </w:tr>
      <w:tr w:rsidR="000A00AE" w:rsidRPr="00FC4B7A" w14:paraId="13147843" w14:textId="77777777" w:rsidTr="00FC7FD8">
        <w:trPr>
          <w:cantSplit/>
        </w:trPr>
        <w:tc>
          <w:tcPr>
            <w:tcW w:w="1610" w:type="dxa"/>
            <w:shd w:val="clear" w:color="auto" w:fill="auto"/>
          </w:tcPr>
          <w:p w14:paraId="49BC666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Ardeidae</w:t>
            </w:r>
          </w:p>
        </w:tc>
        <w:tc>
          <w:tcPr>
            <w:tcW w:w="1964" w:type="dxa"/>
            <w:shd w:val="clear" w:color="auto" w:fill="auto"/>
          </w:tcPr>
          <w:p w14:paraId="5BB295A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Garza morena</w:t>
            </w:r>
          </w:p>
        </w:tc>
        <w:tc>
          <w:tcPr>
            <w:tcW w:w="2126" w:type="dxa"/>
            <w:shd w:val="clear" w:color="auto" w:fill="auto"/>
          </w:tcPr>
          <w:p w14:paraId="6D230B2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Ardea occidentalis</w:t>
            </w:r>
          </w:p>
        </w:tc>
        <w:tc>
          <w:tcPr>
            <w:tcW w:w="1413" w:type="dxa"/>
            <w:shd w:val="clear" w:color="auto" w:fill="auto"/>
          </w:tcPr>
          <w:p w14:paraId="746F531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DD4AD9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y de no reproducción se ocupan de forma probada en todas las estaciones. Cumple con los criterios de movimiento de la CMS.</w:t>
            </w:r>
          </w:p>
        </w:tc>
      </w:tr>
      <w:tr w:rsidR="000A00AE" w:rsidRPr="00FC4B7A" w14:paraId="3684CCCD" w14:textId="77777777" w:rsidTr="00FC7FD8">
        <w:trPr>
          <w:cantSplit/>
        </w:trPr>
        <w:tc>
          <w:tcPr>
            <w:tcW w:w="1610" w:type="dxa"/>
            <w:shd w:val="clear" w:color="auto" w:fill="auto"/>
          </w:tcPr>
          <w:p w14:paraId="1356664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Ardeidae</w:t>
            </w:r>
          </w:p>
        </w:tc>
        <w:tc>
          <w:tcPr>
            <w:tcW w:w="1964" w:type="dxa"/>
            <w:shd w:val="clear" w:color="auto" w:fill="auto"/>
          </w:tcPr>
          <w:p w14:paraId="749F682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Garceta rojiza</w:t>
            </w:r>
          </w:p>
        </w:tc>
        <w:tc>
          <w:tcPr>
            <w:tcW w:w="2126" w:type="dxa"/>
            <w:shd w:val="clear" w:color="auto" w:fill="auto"/>
          </w:tcPr>
          <w:p w14:paraId="226B3AE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Egretta rufescens</w:t>
            </w:r>
          </w:p>
        </w:tc>
        <w:tc>
          <w:tcPr>
            <w:tcW w:w="1413" w:type="dxa"/>
            <w:shd w:val="clear" w:color="auto" w:fill="auto"/>
          </w:tcPr>
          <w:p w14:paraId="06C01D5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3336A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00AE" w:rsidRPr="00FC4B7A" w14:paraId="260E7528" w14:textId="77777777" w:rsidTr="00FC7FD8">
        <w:trPr>
          <w:cantSplit/>
        </w:trPr>
        <w:tc>
          <w:tcPr>
            <w:tcW w:w="1610" w:type="dxa"/>
            <w:shd w:val="clear" w:color="auto" w:fill="auto"/>
          </w:tcPr>
          <w:p w14:paraId="1FB1ABD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Pelecanidae</w:t>
            </w:r>
          </w:p>
        </w:tc>
        <w:tc>
          <w:tcPr>
            <w:tcW w:w="1964" w:type="dxa"/>
            <w:shd w:val="clear" w:color="auto" w:fill="auto"/>
          </w:tcPr>
          <w:p w14:paraId="7E1A290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Pelícano oriental​</w:t>
            </w:r>
          </w:p>
        </w:tc>
        <w:tc>
          <w:tcPr>
            <w:tcW w:w="2126" w:type="dxa"/>
            <w:shd w:val="clear" w:color="auto" w:fill="auto"/>
          </w:tcPr>
          <w:p w14:paraId="4CA3D34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Pelecanus philippensis</w:t>
            </w:r>
          </w:p>
        </w:tc>
        <w:tc>
          <w:tcPr>
            <w:tcW w:w="1413" w:type="dxa"/>
            <w:shd w:val="clear" w:color="auto" w:fill="auto"/>
          </w:tcPr>
          <w:p w14:paraId="43EDCC79"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CA0AD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44471950" w14:textId="77777777" w:rsidTr="00FC7FD8">
        <w:trPr>
          <w:cantSplit/>
        </w:trPr>
        <w:tc>
          <w:tcPr>
            <w:tcW w:w="1610" w:type="dxa"/>
            <w:shd w:val="clear" w:color="auto" w:fill="auto"/>
          </w:tcPr>
          <w:p w14:paraId="13B148F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Sulidae</w:t>
            </w:r>
          </w:p>
        </w:tc>
        <w:tc>
          <w:tcPr>
            <w:tcW w:w="1964" w:type="dxa"/>
            <w:shd w:val="clear" w:color="auto" w:fill="auto"/>
          </w:tcPr>
          <w:p w14:paraId="1348DF8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Alcatraz de Abbott</w:t>
            </w:r>
          </w:p>
        </w:tc>
        <w:tc>
          <w:tcPr>
            <w:tcW w:w="2126" w:type="dxa"/>
            <w:shd w:val="clear" w:color="auto" w:fill="auto"/>
          </w:tcPr>
          <w:p w14:paraId="6DB3456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Papasula abbotti</w:t>
            </w:r>
          </w:p>
        </w:tc>
        <w:tc>
          <w:tcPr>
            <w:tcW w:w="1413" w:type="dxa"/>
            <w:shd w:val="clear" w:color="auto" w:fill="auto"/>
          </w:tcPr>
          <w:p w14:paraId="117A960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6DB408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00AE" w:rsidRPr="00FC4B7A" w14:paraId="4A53D7ED" w14:textId="77777777" w:rsidTr="00FC7FD8">
        <w:trPr>
          <w:cantSplit/>
        </w:trPr>
        <w:tc>
          <w:tcPr>
            <w:tcW w:w="1610" w:type="dxa"/>
            <w:shd w:val="clear" w:color="auto" w:fill="auto"/>
          </w:tcPr>
          <w:p w14:paraId="76A2FA9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Sulidae</w:t>
            </w:r>
          </w:p>
        </w:tc>
        <w:tc>
          <w:tcPr>
            <w:tcW w:w="1964" w:type="dxa"/>
            <w:shd w:val="clear" w:color="auto" w:fill="auto"/>
          </w:tcPr>
          <w:p w14:paraId="6574353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Alcatraz de El Cabo</w:t>
            </w:r>
          </w:p>
        </w:tc>
        <w:tc>
          <w:tcPr>
            <w:tcW w:w="2126" w:type="dxa"/>
            <w:shd w:val="clear" w:color="auto" w:fill="auto"/>
          </w:tcPr>
          <w:p w14:paraId="362B62F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Morus capensis</w:t>
            </w:r>
          </w:p>
        </w:tc>
        <w:tc>
          <w:tcPr>
            <w:tcW w:w="1413" w:type="dxa"/>
            <w:shd w:val="clear" w:color="auto" w:fill="auto"/>
          </w:tcPr>
          <w:p w14:paraId="3980769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0528F6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tanto lugares de reproducción como de no reproducción; los individuos suelen recorrer entre 100 y 1000 km de norte a sur; los individuos inmaduros pueden migrar más allá del área de distribución normal de los adultos antes de regresar para reproducirse. Cumple con los criterios de movimiento de la CMS.</w:t>
            </w:r>
          </w:p>
        </w:tc>
      </w:tr>
      <w:tr w:rsidR="000A00AE" w:rsidRPr="00FC4B7A" w14:paraId="7FC37BDF" w14:textId="77777777" w:rsidTr="00FC7FD8">
        <w:trPr>
          <w:cantSplit/>
        </w:trPr>
        <w:tc>
          <w:tcPr>
            <w:tcW w:w="1610" w:type="dxa"/>
            <w:shd w:val="clear" w:color="auto" w:fill="auto"/>
          </w:tcPr>
          <w:p w14:paraId="0D8F8ED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Phalacrocoracidae</w:t>
            </w:r>
          </w:p>
        </w:tc>
        <w:tc>
          <w:tcPr>
            <w:tcW w:w="1964" w:type="dxa"/>
            <w:shd w:val="clear" w:color="auto" w:fill="auto"/>
          </w:tcPr>
          <w:p w14:paraId="5766BB1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Cormorán guanay</w:t>
            </w:r>
          </w:p>
        </w:tc>
        <w:tc>
          <w:tcPr>
            <w:tcW w:w="2126" w:type="dxa"/>
            <w:shd w:val="clear" w:color="auto" w:fill="auto"/>
          </w:tcPr>
          <w:p w14:paraId="1B24796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Leucocarbo bougainvilliorum</w:t>
            </w:r>
          </w:p>
        </w:tc>
        <w:tc>
          <w:tcPr>
            <w:tcW w:w="1413" w:type="dxa"/>
            <w:shd w:val="clear" w:color="auto" w:fill="auto"/>
          </w:tcPr>
          <w:p w14:paraId="6151937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194426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a veces irrumpe más allá de su área de distribución normal en números significativos. Cumple con los criterios de movimiento de la CMS.</w:t>
            </w:r>
          </w:p>
        </w:tc>
      </w:tr>
      <w:tr w:rsidR="000A00AE" w:rsidRPr="00FC4B7A" w14:paraId="4DDCB60D" w14:textId="77777777" w:rsidTr="00FC7FD8">
        <w:trPr>
          <w:cantSplit/>
        </w:trPr>
        <w:tc>
          <w:tcPr>
            <w:tcW w:w="1610" w:type="dxa"/>
            <w:shd w:val="clear" w:color="auto" w:fill="auto"/>
          </w:tcPr>
          <w:p w14:paraId="097404C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Phalacrocoracidae</w:t>
            </w:r>
          </w:p>
        </w:tc>
        <w:tc>
          <w:tcPr>
            <w:tcW w:w="1964" w:type="dxa"/>
            <w:shd w:val="clear" w:color="auto" w:fill="auto"/>
          </w:tcPr>
          <w:p w14:paraId="42E866B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Cormorán de El Cabo</w:t>
            </w:r>
          </w:p>
        </w:tc>
        <w:tc>
          <w:tcPr>
            <w:tcW w:w="2126" w:type="dxa"/>
            <w:shd w:val="clear" w:color="auto" w:fill="auto"/>
          </w:tcPr>
          <w:p w14:paraId="68B9503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Phalacrocorax capensis</w:t>
            </w:r>
          </w:p>
        </w:tc>
        <w:tc>
          <w:tcPr>
            <w:tcW w:w="1413" w:type="dxa"/>
            <w:shd w:val="clear" w:color="auto" w:fill="auto"/>
          </w:tcPr>
          <w:p w14:paraId="2846869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34A58B4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00AE" w:rsidRPr="00FC4B7A" w14:paraId="2207165A" w14:textId="77777777" w:rsidTr="00FC7FD8">
        <w:trPr>
          <w:cantSplit/>
        </w:trPr>
        <w:tc>
          <w:tcPr>
            <w:tcW w:w="1610" w:type="dxa"/>
            <w:shd w:val="clear" w:color="auto" w:fill="auto"/>
          </w:tcPr>
          <w:p w14:paraId="2740DE5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Phalacrocoracidae</w:t>
            </w:r>
          </w:p>
        </w:tc>
        <w:tc>
          <w:tcPr>
            <w:tcW w:w="1964" w:type="dxa"/>
            <w:shd w:val="clear" w:color="auto" w:fill="auto"/>
          </w:tcPr>
          <w:p w14:paraId="7E9EDD1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Cormorán de bajío</w:t>
            </w:r>
          </w:p>
        </w:tc>
        <w:tc>
          <w:tcPr>
            <w:tcW w:w="2126" w:type="dxa"/>
            <w:shd w:val="clear" w:color="auto" w:fill="auto"/>
          </w:tcPr>
          <w:p w14:paraId="2F939BC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Phalacrocorax neglectus</w:t>
            </w:r>
          </w:p>
        </w:tc>
        <w:tc>
          <w:tcPr>
            <w:tcW w:w="1413" w:type="dxa"/>
            <w:shd w:val="clear" w:color="auto" w:fill="auto"/>
          </w:tcPr>
          <w:p w14:paraId="4CCB3F8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C505CD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se ocupan de forma probada en todas las estaciones, pero es moderadamente nómada en época no reproductora; los individuos suelen recorrer &lt;100 km de norte a sur; los individuos inmaduros pueden migrar más allá del área de distribución normal de los adultos antes de regresar para reproducirse. Cumple con los criterios de movimiento de la CMS.</w:t>
            </w:r>
          </w:p>
        </w:tc>
      </w:tr>
      <w:tr w:rsidR="000A00AE" w:rsidRPr="00FC4B7A" w14:paraId="76658EE9" w14:textId="77777777" w:rsidTr="00FC7FD8">
        <w:trPr>
          <w:cantSplit/>
        </w:trPr>
        <w:tc>
          <w:tcPr>
            <w:tcW w:w="1610" w:type="dxa"/>
            <w:shd w:val="clear" w:color="auto" w:fill="auto"/>
          </w:tcPr>
          <w:p w14:paraId="04F1378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Glareolidae</w:t>
            </w:r>
          </w:p>
        </w:tc>
        <w:tc>
          <w:tcPr>
            <w:tcW w:w="1964" w:type="dxa"/>
            <w:shd w:val="clear" w:color="auto" w:fill="auto"/>
          </w:tcPr>
          <w:p w14:paraId="34EC6F7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Canastera malgache</w:t>
            </w:r>
          </w:p>
        </w:tc>
        <w:tc>
          <w:tcPr>
            <w:tcW w:w="2126" w:type="dxa"/>
            <w:shd w:val="clear" w:color="auto" w:fill="auto"/>
          </w:tcPr>
          <w:p w14:paraId="6D7DFDC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Glareola ocularis</w:t>
            </w:r>
          </w:p>
        </w:tc>
        <w:tc>
          <w:tcPr>
            <w:tcW w:w="1413" w:type="dxa"/>
            <w:shd w:val="clear" w:color="auto" w:fill="auto"/>
          </w:tcPr>
          <w:p w14:paraId="157CABC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AD7DDD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de este-oeste. Cumple con los criterios de movimiento de la CMS.</w:t>
            </w:r>
          </w:p>
        </w:tc>
      </w:tr>
      <w:tr w:rsidR="000A00AE" w:rsidRPr="00FC4B7A" w14:paraId="32E65098" w14:textId="77777777" w:rsidTr="00FC7FD8">
        <w:trPr>
          <w:cantSplit/>
        </w:trPr>
        <w:tc>
          <w:tcPr>
            <w:tcW w:w="1610" w:type="dxa"/>
            <w:shd w:val="clear" w:color="auto" w:fill="auto"/>
          </w:tcPr>
          <w:p w14:paraId="312887B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7AEC4AA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Rayador indio</w:t>
            </w:r>
          </w:p>
        </w:tc>
        <w:tc>
          <w:tcPr>
            <w:tcW w:w="2126" w:type="dxa"/>
            <w:shd w:val="clear" w:color="auto" w:fill="auto"/>
          </w:tcPr>
          <w:p w14:paraId="55F9DA1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Rynchops albicollis</w:t>
            </w:r>
          </w:p>
        </w:tc>
        <w:tc>
          <w:tcPr>
            <w:tcW w:w="1413" w:type="dxa"/>
            <w:shd w:val="clear" w:color="auto" w:fill="auto"/>
          </w:tcPr>
          <w:p w14:paraId="6D2F848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2FC44C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4E70DBD0" w14:textId="77777777" w:rsidTr="00FC7FD8">
        <w:trPr>
          <w:cantSplit/>
        </w:trPr>
        <w:tc>
          <w:tcPr>
            <w:tcW w:w="1610" w:type="dxa"/>
            <w:shd w:val="clear" w:color="auto" w:fill="auto"/>
          </w:tcPr>
          <w:p w14:paraId="48AE9EB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6E0B1DC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Gaviota marfileña</w:t>
            </w:r>
          </w:p>
        </w:tc>
        <w:tc>
          <w:tcPr>
            <w:tcW w:w="2126" w:type="dxa"/>
            <w:shd w:val="clear" w:color="auto" w:fill="auto"/>
          </w:tcPr>
          <w:p w14:paraId="3B834D7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Pagophila eburnea</w:t>
            </w:r>
          </w:p>
        </w:tc>
        <w:tc>
          <w:tcPr>
            <w:tcW w:w="1413" w:type="dxa"/>
            <w:shd w:val="clear" w:color="auto" w:fill="auto"/>
          </w:tcPr>
          <w:p w14:paraId="373EA73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9A1C78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0B95C7B3" w14:textId="77777777" w:rsidTr="00FC7FD8">
        <w:trPr>
          <w:cantSplit/>
        </w:trPr>
        <w:tc>
          <w:tcPr>
            <w:tcW w:w="1610" w:type="dxa"/>
            <w:shd w:val="clear" w:color="auto" w:fill="auto"/>
          </w:tcPr>
          <w:p w14:paraId="5AAD9C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516AB65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Gaviota piquicorta</w:t>
            </w:r>
          </w:p>
        </w:tc>
        <w:tc>
          <w:tcPr>
            <w:tcW w:w="2126" w:type="dxa"/>
            <w:shd w:val="clear" w:color="auto" w:fill="auto"/>
          </w:tcPr>
          <w:p w14:paraId="05E2444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Rissa brevirostris</w:t>
            </w:r>
          </w:p>
        </w:tc>
        <w:tc>
          <w:tcPr>
            <w:tcW w:w="1413" w:type="dxa"/>
            <w:shd w:val="clear" w:color="auto" w:fill="auto"/>
          </w:tcPr>
          <w:p w14:paraId="546250B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ABFCFD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00AE" w:rsidRPr="00FC4B7A" w14:paraId="25DD9B4C" w14:textId="77777777" w:rsidTr="00FC7FD8">
        <w:trPr>
          <w:cantSplit/>
        </w:trPr>
        <w:tc>
          <w:tcPr>
            <w:tcW w:w="1610" w:type="dxa"/>
            <w:shd w:val="clear" w:color="auto" w:fill="auto"/>
          </w:tcPr>
          <w:p w14:paraId="0C1AC7E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7A74241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Gaviota tridáctila</w:t>
            </w:r>
          </w:p>
        </w:tc>
        <w:tc>
          <w:tcPr>
            <w:tcW w:w="2126" w:type="dxa"/>
            <w:shd w:val="clear" w:color="auto" w:fill="auto"/>
          </w:tcPr>
          <w:p w14:paraId="5499562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Rissa tridactyla</w:t>
            </w:r>
          </w:p>
        </w:tc>
        <w:tc>
          <w:tcPr>
            <w:tcW w:w="1413" w:type="dxa"/>
            <w:shd w:val="clear" w:color="auto" w:fill="auto"/>
          </w:tcPr>
          <w:p w14:paraId="198B013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BB70A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B15DB55" w14:textId="77777777" w:rsidTr="00FC7FD8">
        <w:trPr>
          <w:cantSplit/>
        </w:trPr>
        <w:tc>
          <w:tcPr>
            <w:tcW w:w="1610" w:type="dxa"/>
            <w:shd w:val="clear" w:color="auto" w:fill="auto"/>
          </w:tcPr>
          <w:p w14:paraId="419B8A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07148D3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Gaviota mexicana</w:t>
            </w:r>
          </w:p>
        </w:tc>
        <w:tc>
          <w:tcPr>
            <w:tcW w:w="2126" w:type="dxa"/>
            <w:shd w:val="clear" w:color="auto" w:fill="auto"/>
          </w:tcPr>
          <w:p w14:paraId="3A79BB5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Larus heermanni</w:t>
            </w:r>
          </w:p>
        </w:tc>
        <w:tc>
          <w:tcPr>
            <w:tcW w:w="1413" w:type="dxa"/>
            <w:shd w:val="clear" w:color="auto" w:fill="auto"/>
          </w:tcPr>
          <w:p w14:paraId="6B14BBF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57BD7E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de norte a sur. Cumple con los criterios de movimiento de la CMS.</w:t>
            </w:r>
          </w:p>
        </w:tc>
      </w:tr>
      <w:tr w:rsidR="000A00AE" w:rsidRPr="00FC4B7A" w14:paraId="38A462F4" w14:textId="77777777" w:rsidTr="00FC7FD8">
        <w:trPr>
          <w:cantSplit/>
        </w:trPr>
        <w:tc>
          <w:tcPr>
            <w:tcW w:w="1610" w:type="dxa"/>
            <w:shd w:val="clear" w:color="auto" w:fill="auto"/>
          </w:tcPr>
          <w:p w14:paraId="208C2AB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3C506CD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Charrán aleutiano</w:t>
            </w:r>
          </w:p>
        </w:tc>
        <w:tc>
          <w:tcPr>
            <w:tcW w:w="2126" w:type="dxa"/>
            <w:shd w:val="clear" w:color="auto" w:fill="auto"/>
          </w:tcPr>
          <w:p w14:paraId="746CB90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Onychoprion aleuticus</w:t>
            </w:r>
          </w:p>
        </w:tc>
        <w:tc>
          <w:tcPr>
            <w:tcW w:w="1413" w:type="dxa"/>
            <w:shd w:val="clear" w:color="auto" w:fill="auto"/>
          </w:tcPr>
          <w:p w14:paraId="0A02B5C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5047FB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7B2FE3DD" w14:textId="77777777" w:rsidTr="00FC7FD8">
        <w:trPr>
          <w:cantSplit/>
        </w:trPr>
        <w:tc>
          <w:tcPr>
            <w:tcW w:w="1610" w:type="dxa"/>
            <w:shd w:val="clear" w:color="auto" w:fill="auto"/>
          </w:tcPr>
          <w:p w14:paraId="1574EB7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41799F8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Charrán maorí​</w:t>
            </w:r>
          </w:p>
        </w:tc>
        <w:tc>
          <w:tcPr>
            <w:tcW w:w="2126" w:type="dxa"/>
            <w:shd w:val="clear" w:color="auto" w:fill="auto"/>
          </w:tcPr>
          <w:p w14:paraId="71EAB8F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Sterna striata</w:t>
            </w:r>
          </w:p>
        </w:tc>
        <w:tc>
          <w:tcPr>
            <w:tcW w:w="1413" w:type="dxa"/>
            <w:shd w:val="clear" w:color="auto" w:fill="auto"/>
          </w:tcPr>
          <w:p w14:paraId="54C6C64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8B1770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00AE" w:rsidRPr="00FC4B7A" w14:paraId="0EF0D395" w14:textId="77777777" w:rsidTr="00FC7FD8">
        <w:trPr>
          <w:cantSplit/>
        </w:trPr>
        <w:tc>
          <w:tcPr>
            <w:tcW w:w="1610" w:type="dxa"/>
            <w:shd w:val="clear" w:color="auto" w:fill="auto"/>
          </w:tcPr>
          <w:p w14:paraId="7745887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Laridae</w:t>
            </w:r>
          </w:p>
        </w:tc>
        <w:tc>
          <w:tcPr>
            <w:tcW w:w="1964" w:type="dxa"/>
            <w:shd w:val="clear" w:color="auto" w:fill="auto"/>
          </w:tcPr>
          <w:p w14:paraId="419084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Charrán elegante</w:t>
            </w:r>
          </w:p>
        </w:tc>
        <w:tc>
          <w:tcPr>
            <w:tcW w:w="2126" w:type="dxa"/>
            <w:shd w:val="clear" w:color="auto" w:fill="auto"/>
          </w:tcPr>
          <w:p w14:paraId="603E1BF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Thalasseus elegans</w:t>
            </w:r>
          </w:p>
        </w:tc>
        <w:tc>
          <w:tcPr>
            <w:tcW w:w="1413" w:type="dxa"/>
            <w:shd w:val="clear" w:color="auto" w:fill="auto"/>
          </w:tcPr>
          <w:p w14:paraId="49C4958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5A8FCA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78B0056F" w14:textId="77777777" w:rsidTr="00FC7FD8">
        <w:trPr>
          <w:cantSplit/>
        </w:trPr>
        <w:tc>
          <w:tcPr>
            <w:tcW w:w="1610" w:type="dxa"/>
            <w:shd w:val="clear" w:color="auto" w:fill="auto"/>
          </w:tcPr>
          <w:p w14:paraId="47F1B0D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Alcidae</w:t>
            </w:r>
          </w:p>
        </w:tc>
        <w:tc>
          <w:tcPr>
            <w:tcW w:w="1964" w:type="dxa"/>
            <w:shd w:val="clear" w:color="auto" w:fill="auto"/>
          </w:tcPr>
          <w:p w14:paraId="1E1A7E1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Frailecillo atlántico</w:t>
            </w:r>
          </w:p>
        </w:tc>
        <w:tc>
          <w:tcPr>
            <w:tcW w:w="2126" w:type="dxa"/>
            <w:shd w:val="clear" w:color="auto" w:fill="auto"/>
          </w:tcPr>
          <w:p w14:paraId="79647C4A"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Fratercula arctica</w:t>
            </w:r>
          </w:p>
        </w:tc>
        <w:tc>
          <w:tcPr>
            <w:tcW w:w="1413" w:type="dxa"/>
            <w:shd w:val="clear" w:color="auto" w:fill="auto"/>
          </w:tcPr>
          <w:p w14:paraId="1F0122B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99D75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y moderadamente nómada tanto en la época reproductora como en la no reproductora; los individuos suelen recorrer &gt;1000 km de norte a sur. Cumple con los criterios de movimiento de la CMS.</w:t>
            </w:r>
          </w:p>
        </w:tc>
      </w:tr>
      <w:tr w:rsidR="000A00AE" w:rsidRPr="00FC4B7A" w14:paraId="62F4F96E" w14:textId="77777777" w:rsidTr="00FC7FD8">
        <w:trPr>
          <w:cantSplit/>
        </w:trPr>
        <w:tc>
          <w:tcPr>
            <w:tcW w:w="1610" w:type="dxa"/>
            <w:shd w:val="clear" w:color="auto" w:fill="auto"/>
          </w:tcPr>
          <w:p w14:paraId="13CD5DC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4894394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Mérgulo sombrío</w:t>
            </w:r>
          </w:p>
        </w:tc>
        <w:tc>
          <w:tcPr>
            <w:tcW w:w="2126" w:type="dxa"/>
            <w:shd w:val="clear" w:color="auto" w:fill="auto"/>
          </w:tcPr>
          <w:p w14:paraId="7966D87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Ptychoramphus aleuticus</w:t>
            </w:r>
          </w:p>
        </w:tc>
        <w:tc>
          <w:tcPr>
            <w:tcW w:w="1413" w:type="dxa"/>
            <w:shd w:val="clear" w:color="auto" w:fill="auto"/>
          </w:tcPr>
          <w:p w14:paraId="798A845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203482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al menos una subpoblación separada de la vía migratoria se considera sedentaria. Cumple con los criterios de movimiento de la CMS.</w:t>
            </w:r>
          </w:p>
        </w:tc>
      </w:tr>
      <w:tr w:rsidR="000A00AE" w:rsidRPr="00FC4B7A" w14:paraId="200A9325" w14:textId="77777777" w:rsidTr="00FC7FD8">
        <w:trPr>
          <w:cantSplit/>
        </w:trPr>
        <w:tc>
          <w:tcPr>
            <w:tcW w:w="1610" w:type="dxa"/>
            <w:shd w:val="clear" w:color="auto" w:fill="auto"/>
          </w:tcPr>
          <w:p w14:paraId="6B11E04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27D6E70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Mérgulo piquilargo</w:t>
            </w:r>
          </w:p>
        </w:tc>
        <w:tc>
          <w:tcPr>
            <w:tcW w:w="2126" w:type="dxa"/>
            <w:shd w:val="clear" w:color="auto" w:fill="auto"/>
          </w:tcPr>
          <w:p w14:paraId="7A69D78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Brachyramphus perdix</w:t>
            </w:r>
          </w:p>
        </w:tc>
        <w:tc>
          <w:tcPr>
            <w:tcW w:w="1413" w:type="dxa"/>
            <w:shd w:val="clear" w:color="auto" w:fill="auto"/>
          </w:tcPr>
          <w:p w14:paraId="497E23AB"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2B37D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F394097" w14:textId="77777777" w:rsidTr="00FC7FD8">
        <w:trPr>
          <w:cantSplit/>
        </w:trPr>
        <w:tc>
          <w:tcPr>
            <w:tcW w:w="1610" w:type="dxa"/>
            <w:shd w:val="clear" w:color="auto" w:fill="auto"/>
          </w:tcPr>
          <w:p w14:paraId="50BBA9F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4A74330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Mérgulo jaspeado</w:t>
            </w:r>
          </w:p>
        </w:tc>
        <w:tc>
          <w:tcPr>
            <w:tcW w:w="2126" w:type="dxa"/>
            <w:shd w:val="clear" w:color="auto" w:fill="auto"/>
          </w:tcPr>
          <w:p w14:paraId="66D7A77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Brachyramphus marmoratus</w:t>
            </w:r>
          </w:p>
        </w:tc>
        <w:tc>
          <w:tcPr>
            <w:tcW w:w="1413" w:type="dxa"/>
            <w:shd w:val="clear" w:color="auto" w:fill="auto"/>
          </w:tcPr>
          <w:p w14:paraId="7A40FC2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A15BE7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720F46E1" w14:textId="77777777" w:rsidTr="00FC7FD8">
        <w:trPr>
          <w:cantSplit/>
        </w:trPr>
        <w:tc>
          <w:tcPr>
            <w:tcW w:w="1610" w:type="dxa"/>
            <w:shd w:val="clear" w:color="auto" w:fill="auto"/>
          </w:tcPr>
          <w:p w14:paraId="726F946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3D9D326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Mérgulo piquicorto</w:t>
            </w:r>
          </w:p>
        </w:tc>
        <w:tc>
          <w:tcPr>
            <w:tcW w:w="2126" w:type="dxa"/>
            <w:shd w:val="clear" w:color="auto" w:fill="auto"/>
          </w:tcPr>
          <w:p w14:paraId="52A42E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Brachyramphus brevirostris</w:t>
            </w:r>
          </w:p>
        </w:tc>
        <w:tc>
          <w:tcPr>
            <w:tcW w:w="1413" w:type="dxa"/>
            <w:shd w:val="clear" w:color="auto" w:fill="auto"/>
          </w:tcPr>
          <w:p w14:paraId="7F9BB95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21DC5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31D0143C" w14:textId="77777777" w:rsidTr="00FC7FD8">
        <w:trPr>
          <w:cantSplit/>
        </w:trPr>
        <w:tc>
          <w:tcPr>
            <w:tcW w:w="1610" w:type="dxa"/>
            <w:shd w:val="clear" w:color="auto" w:fill="auto"/>
          </w:tcPr>
          <w:p w14:paraId="4F1F0B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7519ED1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Mérgulo de Scripps</w:t>
            </w:r>
          </w:p>
        </w:tc>
        <w:tc>
          <w:tcPr>
            <w:tcW w:w="2126" w:type="dxa"/>
            <w:shd w:val="clear" w:color="auto" w:fill="auto"/>
          </w:tcPr>
          <w:p w14:paraId="7EA9BC0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Synthliboramphus scrippsi</w:t>
            </w:r>
          </w:p>
        </w:tc>
        <w:tc>
          <w:tcPr>
            <w:tcW w:w="1413" w:type="dxa"/>
            <w:shd w:val="clear" w:color="auto" w:fill="auto"/>
          </w:tcPr>
          <w:p w14:paraId="509F8B1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3A8123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4F74A19C" w14:textId="77777777" w:rsidTr="00FC7FD8">
        <w:trPr>
          <w:cantSplit/>
        </w:trPr>
        <w:tc>
          <w:tcPr>
            <w:tcW w:w="1610" w:type="dxa"/>
            <w:shd w:val="clear" w:color="auto" w:fill="auto"/>
          </w:tcPr>
          <w:p w14:paraId="16A5217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580243C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Mérgulo californiano aliclaro</w:t>
            </w:r>
          </w:p>
        </w:tc>
        <w:tc>
          <w:tcPr>
            <w:tcW w:w="2126" w:type="dxa"/>
            <w:shd w:val="clear" w:color="auto" w:fill="auto"/>
          </w:tcPr>
          <w:p w14:paraId="69EFDA5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Synthliboramphus hypoleucus</w:t>
            </w:r>
          </w:p>
        </w:tc>
        <w:tc>
          <w:tcPr>
            <w:tcW w:w="1413" w:type="dxa"/>
            <w:shd w:val="clear" w:color="auto" w:fill="auto"/>
          </w:tcPr>
          <w:p w14:paraId="31978D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E20128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7C96B8D" w14:textId="77777777" w:rsidTr="00FC7FD8">
        <w:trPr>
          <w:cantSplit/>
        </w:trPr>
        <w:tc>
          <w:tcPr>
            <w:tcW w:w="1610" w:type="dxa"/>
            <w:shd w:val="clear" w:color="auto" w:fill="auto"/>
          </w:tcPr>
          <w:p w14:paraId="4868B73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Alcidae</w:t>
            </w:r>
          </w:p>
        </w:tc>
        <w:tc>
          <w:tcPr>
            <w:tcW w:w="1964" w:type="dxa"/>
            <w:shd w:val="clear" w:color="auto" w:fill="auto"/>
          </w:tcPr>
          <w:p w14:paraId="74496EC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Mérgulo californiano alioscuro</w:t>
            </w:r>
          </w:p>
        </w:tc>
        <w:tc>
          <w:tcPr>
            <w:tcW w:w="2126" w:type="dxa"/>
            <w:shd w:val="clear" w:color="auto" w:fill="auto"/>
          </w:tcPr>
          <w:p w14:paraId="402BB22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Synthliboramphus craveri</w:t>
            </w:r>
          </w:p>
        </w:tc>
        <w:tc>
          <w:tcPr>
            <w:tcW w:w="1413" w:type="dxa"/>
            <w:shd w:val="clear" w:color="auto" w:fill="auto"/>
          </w:tcPr>
          <w:p w14:paraId="675EE86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F07580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20C082D1" w14:textId="77777777" w:rsidTr="00FC7FD8">
        <w:trPr>
          <w:cantSplit/>
        </w:trPr>
        <w:tc>
          <w:tcPr>
            <w:tcW w:w="1610" w:type="dxa"/>
            <w:shd w:val="clear" w:color="auto" w:fill="auto"/>
          </w:tcPr>
          <w:p w14:paraId="252FB3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Strigidae</w:t>
            </w:r>
          </w:p>
        </w:tc>
        <w:tc>
          <w:tcPr>
            <w:tcW w:w="1964" w:type="dxa"/>
            <w:shd w:val="clear" w:color="auto" w:fill="auto"/>
          </w:tcPr>
          <w:p w14:paraId="320ACB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Búho nival</w:t>
            </w:r>
          </w:p>
        </w:tc>
        <w:tc>
          <w:tcPr>
            <w:tcW w:w="2126" w:type="dxa"/>
            <w:shd w:val="clear" w:color="auto" w:fill="auto"/>
          </w:tcPr>
          <w:p w14:paraId="633A618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Bubo scandiacus</w:t>
            </w:r>
          </w:p>
        </w:tc>
        <w:tc>
          <w:tcPr>
            <w:tcW w:w="1413" w:type="dxa"/>
            <w:shd w:val="clear" w:color="auto" w:fill="auto"/>
          </w:tcPr>
          <w:p w14:paraId="51BC45E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ED231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fuertemente nómada tanto en la época reproductora como en la no reproductora; los individuos suelen recorrer &gt;1000 km de norte a sur; a veces irrumpe más allá del área de distribución normal en cantidades significativas; los individuos inmaduros pueden migrar más allá del área de distribución normal de los adultos antes de regresar para reproducirse. Cumple con los criterios de movimiento de la CMS.</w:t>
            </w:r>
          </w:p>
        </w:tc>
      </w:tr>
      <w:tr w:rsidR="000A00AE" w:rsidRPr="00FC4B7A" w14:paraId="561353E7" w14:textId="77777777" w:rsidTr="00FC7FD8">
        <w:trPr>
          <w:cantSplit/>
        </w:trPr>
        <w:tc>
          <w:tcPr>
            <w:tcW w:w="1610" w:type="dxa"/>
            <w:shd w:val="clear" w:color="auto" w:fill="auto"/>
          </w:tcPr>
          <w:p w14:paraId="1467449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Bucerotidae</w:t>
            </w:r>
          </w:p>
        </w:tc>
        <w:tc>
          <w:tcPr>
            <w:tcW w:w="1964" w:type="dxa"/>
            <w:shd w:val="clear" w:color="auto" w:fill="auto"/>
          </w:tcPr>
          <w:p w14:paraId="58BE7B2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Cálao casquigualdo</w:t>
            </w:r>
          </w:p>
        </w:tc>
        <w:tc>
          <w:tcPr>
            <w:tcW w:w="2126" w:type="dxa"/>
            <w:shd w:val="clear" w:color="auto" w:fill="auto"/>
          </w:tcPr>
          <w:p w14:paraId="1E87EA3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Ceratogymna elata</w:t>
            </w:r>
          </w:p>
        </w:tc>
        <w:tc>
          <w:tcPr>
            <w:tcW w:w="1413" w:type="dxa"/>
            <w:shd w:val="clear" w:color="auto" w:fill="auto"/>
          </w:tcPr>
          <w:p w14:paraId="5F308E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4DB8F3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en la época de reproducción y fuertemente nómada en la época no reproductora; los individuos suelen recorrer entre 100 y 1000 km, aunque sin una dirección consistente. Cumple con los criterios de movimiento de la CMS.</w:t>
            </w:r>
          </w:p>
        </w:tc>
      </w:tr>
      <w:tr w:rsidR="000A00AE" w:rsidRPr="00FC4B7A" w14:paraId="4F7E3D00" w14:textId="77777777" w:rsidTr="00FC7FD8">
        <w:trPr>
          <w:cantSplit/>
        </w:trPr>
        <w:tc>
          <w:tcPr>
            <w:tcW w:w="1610" w:type="dxa"/>
            <w:shd w:val="clear" w:color="auto" w:fill="auto"/>
          </w:tcPr>
          <w:p w14:paraId="3E86B3F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Bucerotidae</w:t>
            </w:r>
          </w:p>
        </w:tc>
        <w:tc>
          <w:tcPr>
            <w:tcW w:w="1964" w:type="dxa"/>
            <w:shd w:val="clear" w:color="auto" w:fill="auto"/>
          </w:tcPr>
          <w:p w14:paraId="50B2C58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Cálao caripardo</w:t>
            </w:r>
          </w:p>
        </w:tc>
        <w:tc>
          <w:tcPr>
            <w:tcW w:w="2126" w:type="dxa"/>
            <w:shd w:val="clear" w:color="auto" w:fill="auto"/>
          </w:tcPr>
          <w:p w14:paraId="75517C4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Bycanistes cylindricus</w:t>
            </w:r>
          </w:p>
        </w:tc>
        <w:tc>
          <w:tcPr>
            <w:tcW w:w="1413" w:type="dxa"/>
            <w:shd w:val="clear" w:color="auto" w:fill="auto"/>
          </w:tcPr>
          <w:p w14:paraId="52188EC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32A0E9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00AE" w:rsidRPr="00FC4B7A" w14:paraId="2DF8A6DD" w14:textId="77777777" w:rsidTr="00FC7FD8">
        <w:trPr>
          <w:cantSplit/>
        </w:trPr>
        <w:tc>
          <w:tcPr>
            <w:tcW w:w="1610" w:type="dxa"/>
            <w:shd w:val="clear" w:color="auto" w:fill="auto"/>
          </w:tcPr>
          <w:p w14:paraId="38F6FEC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Alcedinidae</w:t>
            </w:r>
          </w:p>
        </w:tc>
        <w:tc>
          <w:tcPr>
            <w:tcW w:w="1964" w:type="dxa"/>
            <w:shd w:val="clear" w:color="auto" w:fill="auto"/>
          </w:tcPr>
          <w:p w14:paraId="76998AC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Alción capirotado</w:t>
            </w:r>
          </w:p>
        </w:tc>
        <w:tc>
          <w:tcPr>
            <w:tcW w:w="2126" w:type="dxa"/>
            <w:shd w:val="clear" w:color="auto" w:fill="auto"/>
          </w:tcPr>
          <w:p w14:paraId="7B6D2C9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Halcyon pileata</w:t>
            </w:r>
          </w:p>
        </w:tc>
        <w:tc>
          <w:tcPr>
            <w:tcW w:w="1413" w:type="dxa"/>
            <w:shd w:val="clear" w:color="auto" w:fill="auto"/>
          </w:tcPr>
          <w:p w14:paraId="265456E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C9793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1064AD17" w14:textId="77777777" w:rsidTr="00FC7FD8">
        <w:trPr>
          <w:cantSplit/>
        </w:trPr>
        <w:tc>
          <w:tcPr>
            <w:tcW w:w="1610" w:type="dxa"/>
            <w:shd w:val="clear" w:color="auto" w:fill="auto"/>
          </w:tcPr>
          <w:p w14:paraId="372630F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4F326FC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Loro timneh</w:t>
            </w:r>
          </w:p>
        </w:tc>
        <w:tc>
          <w:tcPr>
            <w:tcW w:w="2126" w:type="dxa"/>
            <w:shd w:val="clear" w:color="auto" w:fill="auto"/>
          </w:tcPr>
          <w:p w14:paraId="5CF696D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Psittacus timneh</w:t>
            </w:r>
          </w:p>
        </w:tc>
        <w:tc>
          <w:tcPr>
            <w:tcW w:w="1413" w:type="dxa"/>
            <w:shd w:val="clear" w:color="auto" w:fill="auto"/>
          </w:tcPr>
          <w:p w14:paraId="7B05410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39D30C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0A00AE" w:rsidRPr="00FC4B7A" w14:paraId="3B51F0D0" w14:textId="77777777" w:rsidTr="00FC7FD8">
        <w:trPr>
          <w:cantSplit/>
        </w:trPr>
        <w:tc>
          <w:tcPr>
            <w:tcW w:w="1610" w:type="dxa"/>
            <w:shd w:val="clear" w:color="auto" w:fill="auto"/>
          </w:tcPr>
          <w:p w14:paraId="015115B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1EB9BB9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Loro vináceo</w:t>
            </w:r>
          </w:p>
        </w:tc>
        <w:tc>
          <w:tcPr>
            <w:tcW w:w="2126" w:type="dxa"/>
            <w:shd w:val="clear" w:color="auto" w:fill="auto"/>
          </w:tcPr>
          <w:p w14:paraId="565F0BC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Amazona vinacea</w:t>
            </w:r>
          </w:p>
        </w:tc>
        <w:tc>
          <w:tcPr>
            <w:tcW w:w="1413" w:type="dxa"/>
            <w:shd w:val="clear" w:color="auto" w:fill="auto"/>
          </w:tcPr>
          <w:p w14:paraId="1753371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E75E15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EE22C3D" w14:textId="77777777" w:rsidTr="00FC7FD8">
        <w:trPr>
          <w:cantSplit/>
        </w:trPr>
        <w:tc>
          <w:tcPr>
            <w:tcW w:w="1610" w:type="dxa"/>
            <w:shd w:val="clear" w:color="auto" w:fill="auto"/>
          </w:tcPr>
          <w:p w14:paraId="5190364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2480008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Amazona frentiazul</w:t>
            </w:r>
          </w:p>
        </w:tc>
        <w:tc>
          <w:tcPr>
            <w:tcW w:w="2126" w:type="dxa"/>
            <w:shd w:val="clear" w:color="auto" w:fill="auto"/>
          </w:tcPr>
          <w:p w14:paraId="5DA17C6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Amazona aestiva</w:t>
            </w:r>
          </w:p>
        </w:tc>
        <w:tc>
          <w:tcPr>
            <w:tcW w:w="1413" w:type="dxa"/>
            <w:shd w:val="clear" w:color="auto" w:fill="auto"/>
          </w:tcPr>
          <w:p w14:paraId="172F810C"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76713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de este a oeste; al menos algunos movimientos principalmente altitudinales, al menos una subpoblación que se separa de la ruta migratoria se considera sedentaria. Cumple con los criterios de movimiento de la CMS.</w:t>
            </w:r>
          </w:p>
        </w:tc>
      </w:tr>
      <w:tr w:rsidR="000A00AE" w:rsidRPr="00FC4B7A" w14:paraId="7FF3900B" w14:textId="77777777" w:rsidTr="00FC7FD8">
        <w:trPr>
          <w:cantSplit/>
        </w:trPr>
        <w:tc>
          <w:tcPr>
            <w:tcW w:w="1610" w:type="dxa"/>
            <w:shd w:val="clear" w:color="auto" w:fill="auto"/>
          </w:tcPr>
          <w:p w14:paraId="65C7F1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427B72E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Cotorra serrana occidental</w:t>
            </w:r>
          </w:p>
        </w:tc>
        <w:tc>
          <w:tcPr>
            <w:tcW w:w="2126" w:type="dxa"/>
            <w:shd w:val="clear" w:color="auto" w:fill="auto"/>
          </w:tcPr>
          <w:p w14:paraId="14F507C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Rhynchopsitta pachyrhyncha</w:t>
            </w:r>
          </w:p>
        </w:tc>
        <w:tc>
          <w:tcPr>
            <w:tcW w:w="1413" w:type="dxa"/>
            <w:shd w:val="clear" w:color="auto" w:fill="auto"/>
          </w:tcPr>
          <w:p w14:paraId="173825A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00A232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aunque los lugares de reproducción y de no reproducción rara vez son los mismos entre las estaciones; los individuos suelen recorrer entre 100 y 1000 km, pero sin una dirección consistente; a veces irrumpe más allá de su área de distribución normal en cantidades significativas. Cumple con los criterios de movimiento de la CMS.</w:t>
            </w:r>
          </w:p>
        </w:tc>
      </w:tr>
      <w:tr w:rsidR="000A00AE" w:rsidRPr="00FC4B7A" w14:paraId="19CFD149" w14:textId="77777777" w:rsidTr="00FC7FD8">
        <w:trPr>
          <w:cantSplit/>
        </w:trPr>
        <w:tc>
          <w:tcPr>
            <w:tcW w:w="1610" w:type="dxa"/>
            <w:shd w:val="clear" w:color="auto" w:fill="auto"/>
          </w:tcPr>
          <w:p w14:paraId="3DE9E00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Psittacidae</w:t>
            </w:r>
          </w:p>
        </w:tc>
        <w:tc>
          <w:tcPr>
            <w:tcW w:w="1964" w:type="dxa"/>
            <w:shd w:val="clear" w:color="auto" w:fill="auto"/>
          </w:tcPr>
          <w:p w14:paraId="5043FA8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Loro de cabeza roja</w:t>
            </w:r>
          </w:p>
        </w:tc>
        <w:tc>
          <w:tcPr>
            <w:tcW w:w="2126" w:type="dxa"/>
            <w:shd w:val="clear" w:color="auto" w:fill="auto"/>
          </w:tcPr>
          <w:p w14:paraId="5AEFF22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Psittacara erythrogenys</w:t>
            </w:r>
          </w:p>
        </w:tc>
        <w:tc>
          <w:tcPr>
            <w:tcW w:w="1413" w:type="dxa"/>
            <w:shd w:val="clear" w:color="auto" w:fill="auto"/>
          </w:tcPr>
          <w:p w14:paraId="4229907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F981E5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78A754D0" w14:textId="77777777" w:rsidTr="00FC7FD8">
        <w:trPr>
          <w:cantSplit/>
        </w:trPr>
        <w:tc>
          <w:tcPr>
            <w:tcW w:w="1610" w:type="dxa"/>
            <w:shd w:val="clear" w:color="auto" w:fill="auto"/>
          </w:tcPr>
          <w:p w14:paraId="549C986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168FEB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Cotorra de Derby</w:t>
            </w:r>
          </w:p>
        </w:tc>
        <w:tc>
          <w:tcPr>
            <w:tcW w:w="2126" w:type="dxa"/>
            <w:shd w:val="clear" w:color="auto" w:fill="auto"/>
          </w:tcPr>
          <w:p w14:paraId="2A4A9B4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Psittacula derbiana</w:t>
            </w:r>
          </w:p>
        </w:tc>
        <w:tc>
          <w:tcPr>
            <w:tcW w:w="1413" w:type="dxa"/>
            <w:shd w:val="clear" w:color="auto" w:fill="auto"/>
          </w:tcPr>
          <w:p w14:paraId="0B334CA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A10916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415BAB45" w14:textId="77777777" w:rsidTr="00FC7FD8">
        <w:trPr>
          <w:cantSplit/>
        </w:trPr>
        <w:tc>
          <w:tcPr>
            <w:tcW w:w="1610" w:type="dxa"/>
            <w:shd w:val="clear" w:color="auto" w:fill="auto"/>
          </w:tcPr>
          <w:p w14:paraId="466DB07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Psittacidae</w:t>
            </w:r>
          </w:p>
        </w:tc>
        <w:tc>
          <w:tcPr>
            <w:tcW w:w="1964" w:type="dxa"/>
            <w:shd w:val="clear" w:color="auto" w:fill="auto"/>
          </w:tcPr>
          <w:p w14:paraId="7916A2B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Cotorra colilarga</w:t>
            </w:r>
          </w:p>
        </w:tc>
        <w:tc>
          <w:tcPr>
            <w:tcW w:w="2126" w:type="dxa"/>
            <w:shd w:val="clear" w:color="auto" w:fill="auto"/>
          </w:tcPr>
          <w:p w14:paraId="746CFAC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Belocercus longicaudus</w:t>
            </w:r>
          </w:p>
        </w:tc>
        <w:tc>
          <w:tcPr>
            <w:tcW w:w="1413" w:type="dxa"/>
            <w:shd w:val="clear" w:color="auto" w:fill="auto"/>
          </w:tcPr>
          <w:p w14:paraId="13DD9C6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C5FBD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fuertemente nómada tanto en la época reproductora como en la no reproductora; los individuos suelen recorrer entre 100 y 1000 km, aunque sin una dirección consistente. Cumple con los criterios de movimiento de la CMS.</w:t>
            </w:r>
          </w:p>
        </w:tc>
      </w:tr>
      <w:tr w:rsidR="000A00AE" w:rsidRPr="00FC4B7A" w14:paraId="728684F1" w14:textId="77777777" w:rsidTr="00FC7FD8">
        <w:trPr>
          <w:cantSplit/>
        </w:trPr>
        <w:tc>
          <w:tcPr>
            <w:tcW w:w="1610" w:type="dxa"/>
            <w:shd w:val="clear" w:color="auto" w:fill="auto"/>
          </w:tcPr>
          <w:p w14:paraId="74C63E1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Pittidae</w:t>
            </w:r>
          </w:p>
        </w:tc>
        <w:tc>
          <w:tcPr>
            <w:tcW w:w="1964" w:type="dxa"/>
            <w:shd w:val="clear" w:color="auto" w:fill="auto"/>
          </w:tcPr>
          <w:p w14:paraId="744827B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Pita ninfa</w:t>
            </w:r>
          </w:p>
        </w:tc>
        <w:tc>
          <w:tcPr>
            <w:tcW w:w="2126" w:type="dxa"/>
            <w:shd w:val="clear" w:color="auto" w:fill="auto"/>
          </w:tcPr>
          <w:p w14:paraId="0F29200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Pitta nympha</w:t>
            </w:r>
          </w:p>
        </w:tc>
        <w:tc>
          <w:tcPr>
            <w:tcW w:w="1413" w:type="dxa"/>
            <w:shd w:val="clear" w:color="auto" w:fill="auto"/>
          </w:tcPr>
          <w:p w14:paraId="37BF7AF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7DC89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150B7F3" w14:textId="77777777" w:rsidTr="00FC7FD8">
        <w:trPr>
          <w:cantSplit/>
        </w:trPr>
        <w:tc>
          <w:tcPr>
            <w:tcW w:w="1610" w:type="dxa"/>
            <w:shd w:val="clear" w:color="auto" w:fill="auto"/>
          </w:tcPr>
          <w:p w14:paraId="2DA7015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Cotingidae</w:t>
            </w:r>
          </w:p>
        </w:tc>
        <w:tc>
          <w:tcPr>
            <w:tcW w:w="1964" w:type="dxa"/>
            <w:shd w:val="clear" w:color="auto" w:fill="auto"/>
          </w:tcPr>
          <w:p w14:paraId="7AEB671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Paragüero cuellicalvo</w:t>
            </w:r>
          </w:p>
        </w:tc>
        <w:tc>
          <w:tcPr>
            <w:tcW w:w="2126" w:type="dxa"/>
            <w:shd w:val="clear" w:color="auto" w:fill="auto"/>
          </w:tcPr>
          <w:p w14:paraId="33DF645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Cephalopterus glabricollis</w:t>
            </w:r>
          </w:p>
        </w:tc>
        <w:tc>
          <w:tcPr>
            <w:tcW w:w="1413" w:type="dxa"/>
            <w:shd w:val="clear" w:color="auto" w:fill="auto"/>
          </w:tcPr>
          <w:p w14:paraId="1C19C01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2EBF63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00AE" w:rsidRPr="00FC4B7A" w14:paraId="0B36225D" w14:textId="77777777" w:rsidTr="00FC7FD8">
        <w:trPr>
          <w:cantSplit/>
        </w:trPr>
        <w:tc>
          <w:tcPr>
            <w:tcW w:w="1610" w:type="dxa"/>
            <w:shd w:val="clear" w:color="auto" w:fill="auto"/>
          </w:tcPr>
          <w:p w14:paraId="20ADD2A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Cotingidae</w:t>
            </w:r>
          </w:p>
        </w:tc>
        <w:tc>
          <w:tcPr>
            <w:tcW w:w="1964" w:type="dxa"/>
            <w:shd w:val="clear" w:color="auto" w:fill="auto"/>
          </w:tcPr>
          <w:p w14:paraId="4777F1D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Campanero tricarunculado</w:t>
            </w:r>
          </w:p>
        </w:tc>
        <w:tc>
          <w:tcPr>
            <w:tcW w:w="2126" w:type="dxa"/>
            <w:shd w:val="clear" w:color="auto" w:fill="auto"/>
          </w:tcPr>
          <w:p w14:paraId="5F84B6E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Procnias tricarunculatus</w:t>
            </w:r>
          </w:p>
        </w:tc>
        <w:tc>
          <w:tcPr>
            <w:tcW w:w="1413" w:type="dxa"/>
            <w:shd w:val="clear" w:color="auto" w:fill="auto"/>
          </w:tcPr>
          <w:p w14:paraId="01692C1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ACDFB8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00AE" w:rsidRPr="00FC4B7A" w14:paraId="0BB3F12F" w14:textId="77777777" w:rsidTr="00FC7FD8">
        <w:trPr>
          <w:cantSplit/>
        </w:trPr>
        <w:tc>
          <w:tcPr>
            <w:tcW w:w="1610" w:type="dxa"/>
            <w:shd w:val="clear" w:color="auto" w:fill="auto"/>
          </w:tcPr>
          <w:p w14:paraId="36D105F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Cotingidae</w:t>
            </w:r>
          </w:p>
        </w:tc>
        <w:tc>
          <w:tcPr>
            <w:tcW w:w="1964" w:type="dxa"/>
            <w:shd w:val="clear" w:color="auto" w:fill="auto"/>
          </w:tcPr>
          <w:p w14:paraId="0BDE360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Pájaro campana</w:t>
            </w:r>
          </w:p>
        </w:tc>
        <w:tc>
          <w:tcPr>
            <w:tcW w:w="2126" w:type="dxa"/>
            <w:shd w:val="clear" w:color="auto" w:fill="auto"/>
          </w:tcPr>
          <w:p w14:paraId="66CAD8C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Procnias nudicollis</w:t>
            </w:r>
          </w:p>
        </w:tc>
        <w:tc>
          <w:tcPr>
            <w:tcW w:w="1413" w:type="dxa"/>
            <w:shd w:val="clear" w:color="auto" w:fill="auto"/>
          </w:tcPr>
          <w:p w14:paraId="0EEBDD6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99A9E3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Cumple con los criterios de movimiento de la CMS.</w:t>
            </w:r>
          </w:p>
        </w:tc>
      </w:tr>
      <w:tr w:rsidR="000A00AE" w:rsidRPr="00FC4B7A" w14:paraId="3DA8CF94" w14:textId="77777777" w:rsidTr="00FC7FD8">
        <w:trPr>
          <w:cantSplit/>
        </w:trPr>
        <w:tc>
          <w:tcPr>
            <w:tcW w:w="1610" w:type="dxa"/>
            <w:shd w:val="clear" w:color="auto" w:fill="auto"/>
          </w:tcPr>
          <w:p w14:paraId="113845B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Tyrannidae</w:t>
            </w:r>
          </w:p>
        </w:tc>
        <w:tc>
          <w:tcPr>
            <w:tcW w:w="1964" w:type="dxa"/>
            <w:shd w:val="clear" w:color="auto" w:fill="auto"/>
          </w:tcPr>
          <w:p w14:paraId="36D6FBF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Pibí boreal​</w:t>
            </w:r>
          </w:p>
        </w:tc>
        <w:tc>
          <w:tcPr>
            <w:tcW w:w="2126" w:type="dxa"/>
            <w:shd w:val="clear" w:color="auto" w:fill="auto"/>
          </w:tcPr>
          <w:p w14:paraId="708DB41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Contopus cooperi</w:t>
            </w:r>
          </w:p>
        </w:tc>
        <w:tc>
          <w:tcPr>
            <w:tcW w:w="1413" w:type="dxa"/>
            <w:shd w:val="clear" w:color="auto" w:fill="auto"/>
          </w:tcPr>
          <w:p w14:paraId="07436D8B"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0CE192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62778E8" w14:textId="77777777" w:rsidTr="00FC7FD8">
        <w:trPr>
          <w:cantSplit/>
        </w:trPr>
        <w:tc>
          <w:tcPr>
            <w:tcW w:w="1610" w:type="dxa"/>
            <w:shd w:val="clear" w:color="auto" w:fill="auto"/>
          </w:tcPr>
          <w:p w14:paraId="103040C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Laniidae</w:t>
            </w:r>
          </w:p>
        </w:tc>
        <w:tc>
          <w:tcPr>
            <w:tcW w:w="1964" w:type="dxa"/>
            <w:shd w:val="clear" w:color="auto" w:fill="auto"/>
          </w:tcPr>
          <w:p w14:paraId="2630D3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Alcaudón americano</w:t>
            </w:r>
          </w:p>
        </w:tc>
        <w:tc>
          <w:tcPr>
            <w:tcW w:w="2126" w:type="dxa"/>
            <w:shd w:val="clear" w:color="auto" w:fill="auto"/>
          </w:tcPr>
          <w:p w14:paraId="3A29EA9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Lanius ludovicianus</w:t>
            </w:r>
          </w:p>
        </w:tc>
        <w:tc>
          <w:tcPr>
            <w:tcW w:w="1413" w:type="dxa"/>
            <w:shd w:val="clear" w:color="auto" w:fill="auto"/>
          </w:tcPr>
          <w:p w14:paraId="751A294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AD808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22F668ED" w14:textId="77777777" w:rsidTr="00FC7FD8">
        <w:trPr>
          <w:cantSplit/>
        </w:trPr>
        <w:tc>
          <w:tcPr>
            <w:tcW w:w="1610" w:type="dxa"/>
            <w:shd w:val="clear" w:color="auto" w:fill="auto"/>
          </w:tcPr>
          <w:p w14:paraId="53561DE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Laniidae</w:t>
            </w:r>
          </w:p>
        </w:tc>
        <w:tc>
          <w:tcPr>
            <w:tcW w:w="1964" w:type="dxa"/>
            <w:shd w:val="clear" w:color="auto" w:fill="auto"/>
          </w:tcPr>
          <w:p w14:paraId="29C69EB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Alcaudón real</w:t>
            </w:r>
          </w:p>
        </w:tc>
        <w:tc>
          <w:tcPr>
            <w:tcW w:w="2126" w:type="dxa"/>
            <w:shd w:val="clear" w:color="auto" w:fill="auto"/>
          </w:tcPr>
          <w:p w14:paraId="43C3538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Lanius meridionalis</w:t>
            </w:r>
          </w:p>
        </w:tc>
        <w:tc>
          <w:tcPr>
            <w:tcW w:w="1413" w:type="dxa"/>
            <w:shd w:val="clear" w:color="auto" w:fill="auto"/>
          </w:tcPr>
          <w:p w14:paraId="376850B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ED3AD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5D92A95A" w14:textId="77777777" w:rsidTr="00FC7FD8">
        <w:trPr>
          <w:cantSplit/>
        </w:trPr>
        <w:tc>
          <w:tcPr>
            <w:tcW w:w="1610" w:type="dxa"/>
            <w:shd w:val="clear" w:color="auto" w:fill="auto"/>
          </w:tcPr>
          <w:p w14:paraId="62240F6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Laniidae</w:t>
            </w:r>
          </w:p>
        </w:tc>
        <w:tc>
          <w:tcPr>
            <w:tcW w:w="1964" w:type="dxa"/>
            <w:shd w:val="clear" w:color="auto" w:fill="auto"/>
          </w:tcPr>
          <w:p w14:paraId="1C6F00C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Alcaudón común</w:t>
            </w:r>
          </w:p>
        </w:tc>
        <w:tc>
          <w:tcPr>
            <w:tcW w:w="2126" w:type="dxa"/>
            <w:shd w:val="clear" w:color="auto" w:fill="auto"/>
          </w:tcPr>
          <w:p w14:paraId="697E053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Lanius senator</w:t>
            </w:r>
          </w:p>
        </w:tc>
        <w:tc>
          <w:tcPr>
            <w:tcW w:w="1413" w:type="dxa"/>
            <w:shd w:val="clear" w:color="auto" w:fill="auto"/>
          </w:tcPr>
          <w:p w14:paraId="229B2C4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5FD9D9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B82428A" w14:textId="77777777" w:rsidTr="00FC7FD8">
        <w:trPr>
          <w:cantSplit/>
        </w:trPr>
        <w:tc>
          <w:tcPr>
            <w:tcW w:w="1610" w:type="dxa"/>
            <w:shd w:val="clear" w:color="auto" w:fill="auto"/>
          </w:tcPr>
          <w:p w14:paraId="5E77CE3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Corvidae</w:t>
            </w:r>
          </w:p>
        </w:tc>
        <w:tc>
          <w:tcPr>
            <w:tcW w:w="1964" w:type="dxa"/>
            <w:shd w:val="clear" w:color="auto" w:fill="auto"/>
          </w:tcPr>
          <w:p w14:paraId="352E083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Cuervo acollardo</w:t>
            </w:r>
          </w:p>
        </w:tc>
        <w:tc>
          <w:tcPr>
            <w:tcW w:w="2126" w:type="dxa"/>
            <w:shd w:val="clear" w:color="auto" w:fill="auto"/>
          </w:tcPr>
          <w:p w14:paraId="41FEEF3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Corvus pectoralis</w:t>
            </w:r>
          </w:p>
        </w:tc>
        <w:tc>
          <w:tcPr>
            <w:tcW w:w="1413" w:type="dxa"/>
            <w:shd w:val="clear" w:color="auto" w:fill="auto"/>
          </w:tcPr>
          <w:p w14:paraId="6C2BEFC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C9A03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2F134BB5" w14:textId="77777777" w:rsidTr="00FC7FD8">
        <w:trPr>
          <w:cantSplit/>
        </w:trPr>
        <w:tc>
          <w:tcPr>
            <w:tcW w:w="1610" w:type="dxa"/>
            <w:shd w:val="clear" w:color="auto" w:fill="auto"/>
          </w:tcPr>
          <w:p w14:paraId="7F3F8F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Alaudidae</w:t>
            </w:r>
          </w:p>
        </w:tc>
        <w:tc>
          <w:tcPr>
            <w:tcW w:w="1964" w:type="dxa"/>
            <w:shd w:val="clear" w:color="auto" w:fill="auto"/>
          </w:tcPr>
          <w:p w14:paraId="4463E87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Alondra ricotí</w:t>
            </w:r>
          </w:p>
        </w:tc>
        <w:tc>
          <w:tcPr>
            <w:tcW w:w="2126" w:type="dxa"/>
            <w:shd w:val="clear" w:color="auto" w:fill="auto"/>
          </w:tcPr>
          <w:p w14:paraId="47D91B1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Chersophilus duponti</w:t>
            </w:r>
          </w:p>
        </w:tc>
        <w:tc>
          <w:tcPr>
            <w:tcW w:w="1413" w:type="dxa"/>
            <w:shd w:val="clear" w:color="auto" w:fill="auto"/>
          </w:tcPr>
          <w:p w14:paraId="6EF0BAE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43F65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5C854D0" w14:textId="77777777" w:rsidTr="00FC7FD8">
        <w:trPr>
          <w:cantSplit/>
        </w:trPr>
        <w:tc>
          <w:tcPr>
            <w:tcW w:w="1610" w:type="dxa"/>
            <w:shd w:val="clear" w:color="auto" w:fill="auto"/>
          </w:tcPr>
          <w:p w14:paraId="124C1EE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Hirundinidae</w:t>
            </w:r>
          </w:p>
        </w:tc>
        <w:tc>
          <w:tcPr>
            <w:tcW w:w="1964" w:type="dxa"/>
            <w:shd w:val="clear" w:color="auto" w:fill="auto"/>
          </w:tcPr>
          <w:p w14:paraId="0D49FD4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Avión ribereño africano</w:t>
            </w:r>
          </w:p>
        </w:tc>
        <w:tc>
          <w:tcPr>
            <w:tcW w:w="2126" w:type="dxa"/>
            <w:shd w:val="clear" w:color="auto" w:fill="auto"/>
          </w:tcPr>
          <w:p w14:paraId="6A8553B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Pseudochelidon eurystomina</w:t>
            </w:r>
          </w:p>
        </w:tc>
        <w:tc>
          <w:tcPr>
            <w:tcW w:w="1413" w:type="dxa"/>
            <w:shd w:val="clear" w:color="auto" w:fill="auto"/>
          </w:tcPr>
          <w:p w14:paraId="17E9A10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DD</w:t>
            </w:r>
          </w:p>
        </w:tc>
        <w:tc>
          <w:tcPr>
            <w:tcW w:w="8097" w:type="dxa"/>
            <w:shd w:val="clear" w:color="auto" w:fill="auto"/>
          </w:tcPr>
          <w:p w14:paraId="78D31B3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y es moderadamente nómada tanto en la época reproductora como en la no reproductora; los individuos suelen recorrer entre 100 y 1000 km de este a oeste. Cumple con los criterios de movimiento de la CMS.</w:t>
            </w:r>
          </w:p>
        </w:tc>
      </w:tr>
      <w:tr w:rsidR="000A00AE" w:rsidRPr="00FC4B7A" w14:paraId="13037575" w14:textId="77777777" w:rsidTr="00FC7FD8">
        <w:trPr>
          <w:cantSplit/>
        </w:trPr>
        <w:tc>
          <w:tcPr>
            <w:tcW w:w="1610" w:type="dxa"/>
            <w:shd w:val="clear" w:color="auto" w:fill="auto"/>
          </w:tcPr>
          <w:p w14:paraId="016A9A3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Hirundinidae</w:t>
            </w:r>
          </w:p>
        </w:tc>
        <w:tc>
          <w:tcPr>
            <w:tcW w:w="1964" w:type="dxa"/>
            <w:shd w:val="clear" w:color="auto" w:fill="auto"/>
          </w:tcPr>
          <w:p w14:paraId="71A9E91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Golondrina de las Bahamas</w:t>
            </w:r>
          </w:p>
        </w:tc>
        <w:tc>
          <w:tcPr>
            <w:tcW w:w="2126" w:type="dxa"/>
            <w:shd w:val="clear" w:color="auto" w:fill="auto"/>
          </w:tcPr>
          <w:p w14:paraId="1E61214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Tachycineta cyaneoviridis</w:t>
            </w:r>
          </w:p>
        </w:tc>
        <w:tc>
          <w:tcPr>
            <w:tcW w:w="1413" w:type="dxa"/>
            <w:shd w:val="clear" w:color="auto" w:fill="auto"/>
          </w:tcPr>
          <w:p w14:paraId="0F459BA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7C70EB6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19F70F3" w14:textId="77777777" w:rsidTr="00FC7FD8">
        <w:trPr>
          <w:cantSplit/>
        </w:trPr>
        <w:tc>
          <w:tcPr>
            <w:tcW w:w="1610" w:type="dxa"/>
            <w:shd w:val="clear" w:color="auto" w:fill="auto"/>
          </w:tcPr>
          <w:p w14:paraId="06BDD56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Hirundinidae</w:t>
            </w:r>
          </w:p>
        </w:tc>
        <w:tc>
          <w:tcPr>
            <w:tcW w:w="1964" w:type="dxa"/>
            <w:shd w:val="clear" w:color="auto" w:fill="auto"/>
          </w:tcPr>
          <w:p w14:paraId="3BB0D0B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Golondrina sinaloense</w:t>
            </w:r>
          </w:p>
        </w:tc>
        <w:tc>
          <w:tcPr>
            <w:tcW w:w="2126" w:type="dxa"/>
            <w:shd w:val="clear" w:color="auto" w:fill="auto"/>
          </w:tcPr>
          <w:p w14:paraId="0943154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Progne sinaloae</w:t>
            </w:r>
          </w:p>
        </w:tc>
        <w:tc>
          <w:tcPr>
            <w:tcW w:w="1413" w:type="dxa"/>
            <w:shd w:val="clear" w:color="auto" w:fill="auto"/>
          </w:tcPr>
          <w:p w14:paraId="6D9526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DF6D6E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5B2C326A" w14:textId="77777777" w:rsidTr="00FC7FD8">
        <w:trPr>
          <w:cantSplit/>
        </w:trPr>
        <w:tc>
          <w:tcPr>
            <w:tcW w:w="1610" w:type="dxa"/>
            <w:shd w:val="clear" w:color="auto" w:fill="auto"/>
          </w:tcPr>
          <w:p w14:paraId="6CBCFE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Mimidae</w:t>
            </w:r>
          </w:p>
        </w:tc>
        <w:tc>
          <w:tcPr>
            <w:tcW w:w="1964" w:type="dxa"/>
            <w:shd w:val="clear" w:color="auto" w:fill="auto"/>
          </w:tcPr>
          <w:p w14:paraId="298EC1D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Cuitlacoche piquicorto</w:t>
            </w:r>
          </w:p>
        </w:tc>
        <w:tc>
          <w:tcPr>
            <w:tcW w:w="2126" w:type="dxa"/>
            <w:shd w:val="clear" w:color="auto" w:fill="auto"/>
          </w:tcPr>
          <w:p w14:paraId="64AE58A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Toxostoma bendirei</w:t>
            </w:r>
          </w:p>
        </w:tc>
        <w:tc>
          <w:tcPr>
            <w:tcW w:w="1413" w:type="dxa"/>
            <w:shd w:val="clear" w:color="auto" w:fill="auto"/>
          </w:tcPr>
          <w:p w14:paraId="0F8BBD7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EF0139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5BDD912A" w14:textId="77777777" w:rsidTr="00FC7FD8">
        <w:trPr>
          <w:cantSplit/>
        </w:trPr>
        <w:tc>
          <w:tcPr>
            <w:tcW w:w="1610" w:type="dxa"/>
            <w:shd w:val="clear" w:color="auto" w:fill="auto"/>
          </w:tcPr>
          <w:p w14:paraId="4996EC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Bombycillidae</w:t>
            </w:r>
          </w:p>
        </w:tc>
        <w:tc>
          <w:tcPr>
            <w:tcW w:w="1964" w:type="dxa"/>
            <w:shd w:val="clear" w:color="auto" w:fill="auto"/>
          </w:tcPr>
          <w:p w14:paraId="3E0CAA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Ampelis japonés</w:t>
            </w:r>
          </w:p>
        </w:tc>
        <w:tc>
          <w:tcPr>
            <w:tcW w:w="2126" w:type="dxa"/>
            <w:shd w:val="clear" w:color="auto" w:fill="auto"/>
          </w:tcPr>
          <w:p w14:paraId="06FA842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Bombycilla japonica</w:t>
            </w:r>
          </w:p>
        </w:tc>
        <w:tc>
          <w:tcPr>
            <w:tcW w:w="1413" w:type="dxa"/>
            <w:shd w:val="clear" w:color="auto" w:fill="auto"/>
          </w:tcPr>
          <w:p w14:paraId="53ABD52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21E34D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5EB636A" w14:textId="77777777" w:rsidTr="00FC7FD8">
        <w:trPr>
          <w:cantSplit/>
        </w:trPr>
        <w:tc>
          <w:tcPr>
            <w:tcW w:w="1610" w:type="dxa"/>
            <w:shd w:val="clear" w:color="auto" w:fill="auto"/>
          </w:tcPr>
          <w:p w14:paraId="5E16E4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Nectariniidae</w:t>
            </w:r>
          </w:p>
        </w:tc>
        <w:tc>
          <w:tcPr>
            <w:tcW w:w="1964" w:type="dxa"/>
            <w:shd w:val="clear" w:color="auto" w:fill="auto"/>
          </w:tcPr>
          <w:p w14:paraId="2F4A11F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Suimanga de Neergaard</w:t>
            </w:r>
          </w:p>
        </w:tc>
        <w:tc>
          <w:tcPr>
            <w:tcW w:w="2126" w:type="dxa"/>
            <w:shd w:val="clear" w:color="auto" w:fill="auto"/>
          </w:tcPr>
          <w:p w14:paraId="479F30E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Cinnyris neergaardi</w:t>
            </w:r>
          </w:p>
        </w:tc>
        <w:tc>
          <w:tcPr>
            <w:tcW w:w="1413" w:type="dxa"/>
            <w:shd w:val="clear" w:color="auto" w:fill="auto"/>
          </w:tcPr>
          <w:p w14:paraId="4123EC6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A31072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00AE" w:rsidRPr="00FC4B7A" w14:paraId="281CDCE6" w14:textId="77777777" w:rsidTr="00FC7FD8">
        <w:trPr>
          <w:cantSplit/>
        </w:trPr>
        <w:tc>
          <w:tcPr>
            <w:tcW w:w="1610" w:type="dxa"/>
            <w:shd w:val="clear" w:color="auto" w:fill="auto"/>
          </w:tcPr>
          <w:p w14:paraId="1251BEF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Ploceidae</w:t>
            </w:r>
          </w:p>
        </w:tc>
        <w:tc>
          <w:tcPr>
            <w:tcW w:w="1964" w:type="dxa"/>
            <w:shd w:val="clear" w:color="auto" w:fill="auto"/>
          </w:tcPr>
          <w:p w14:paraId="6517BAF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Tejedor de Finn</w:t>
            </w:r>
          </w:p>
        </w:tc>
        <w:tc>
          <w:tcPr>
            <w:tcW w:w="2126" w:type="dxa"/>
            <w:shd w:val="clear" w:color="auto" w:fill="auto"/>
          </w:tcPr>
          <w:p w14:paraId="5A6C2FC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Ploceus megarhynchus</w:t>
            </w:r>
          </w:p>
        </w:tc>
        <w:tc>
          <w:tcPr>
            <w:tcW w:w="1413" w:type="dxa"/>
            <w:shd w:val="clear" w:color="auto" w:fill="auto"/>
          </w:tcPr>
          <w:p w14:paraId="0372D3C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732EF8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y es moderadamente nómada tanto en la época reproductora como en la no reproductora; los individuos suelen recorrer &lt;100 km, aunque sin una dirección consistente. Cumple con los criterios de movimiento de la CMS.</w:t>
            </w:r>
          </w:p>
        </w:tc>
      </w:tr>
      <w:tr w:rsidR="000A00AE" w:rsidRPr="00FC4B7A" w14:paraId="6FFF807B" w14:textId="77777777" w:rsidTr="00FC7FD8">
        <w:trPr>
          <w:cantSplit/>
        </w:trPr>
        <w:tc>
          <w:tcPr>
            <w:tcW w:w="1610" w:type="dxa"/>
            <w:shd w:val="clear" w:color="auto" w:fill="auto"/>
          </w:tcPr>
          <w:p w14:paraId="765333E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Fringillidae</w:t>
            </w:r>
          </w:p>
        </w:tc>
        <w:tc>
          <w:tcPr>
            <w:tcW w:w="1964" w:type="dxa"/>
            <w:shd w:val="clear" w:color="auto" w:fill="auto"/>
          </w:tcPr>
          <w:p w14:paraId="70FA0DC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Pepitero norteño</w:t>
            </w:r>
          </w:p>
        </w:tc>
        <w:tc>
          <w:tcPr>
            <w:tcW w:w="2126" w:type="dxa"/>
            <w:shd w:val="clear" w:color="auto" w:fill="auto"/>
          </w:tcPr>
          <w:p w14:paraId="43EFCA2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Hesperiphona vespertina</w:t>
            </w:r>
          </w:p>
        </w:tc>
        <w:tc>
          <w:tcPr>
            <w:tcW w:w="1413" w:type="dxa"/>
            <w:shd w:val="clear" w:color="auto" w:fill="auto"/>
          </w:tcPr>
          <w:p w14:paraId="612A6CC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39B83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al menos algunos movimientos son principalmente altitudinales; a veces irrumpe más allá de su área de distribución normal en un número significativo. Cumple con los criterios de movimiento de la CMS.</w:t>
            </w:r>
          </w:p>
        </w:tc>
      </w:tr>
      <w:tr w:rsidR="000A00AE" w:rsidRPr="00FC4B7A" w14:paraId="2BC27CEE" w14:textId="77777777" w:rsidTr="00FC7FD8">
        <w:trPr>
          <w:cantSplit/>
        </w:trPr>
        <w:tc>
          <w:tcPr>
            <w:tcW w:w="1610" w:type="dxa"/>
            <w:shd w:val="clear" w:color="auto" w:fill="auto"/>
          </w:tcPr>
          <w:p w14:paraId="37F0EB1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Fringillidae</w:t>
            </w:r>
          </w:p>
        </w:tc>
        <w:tc>
          <w:tcPr>
            <w:tcW w:w="1964" w:type="dxa"/>
            <w:shd w:val="clear" w:color="auto" w:fill="auto"/>
          </w:tcPr>
          <w:p w14:paraId="3076B2B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Picogordo árabe</w:t>
            </w:r>
          </w:p>
        </w:tc>
        <w:tc>
          <w:tcPr>
            <w:tcW w:w="2126" w:type="dxa"/>
            <w:shd w:val="clear" w:color="auto" w:fill="auto"/>
          </w:tcPr>
          <w:p w14:paraId="54B39BA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Rhynchostruthus percivali</w:t>
            </w:r>
          </w:p>
        </w:tc>
        <w:tc>
          <w:tcPr>
            <w:tcW w:w="1413" w:type="dxa"/>
            <w:shd w:val="clear" w:color="auto" w:fill="auto"/>
          </w:tcPr>
          <w:p w14:paraId="096843B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FF9C33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00AE" w:rsidRPr="00FC4B7A" w14:paraId="3C3252E3" w14:textId="77777777" w:rsidTr="00FC7FD8">
        <w:trPr>
          <w:cantSplit/>
        </w:trPr>
        <w:tc>
          <w:tcPr>
            <w:tcW w:w="1610" w:type="dxa"/>
            <w:shd w:val="clear" w:color="auto" w:fill="auto"/>
          </w:tcPr>
          <w:p w14:paraId="5F3F849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Calcariidae</w:t>
            </w:r>
          </w:p>
        </w:tc>
        <w:tc>
          <w:tcPr>
            <w:tcW w:w="1964" w:type="dxa"/>
            <w:shd w:val="clear" w:color="auto" w:fill="auto"/>
          </w:tcPr>
          <w:p w14:paraId="22CF3FD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Escribano collarejo</w:t>
            </w:r>
          </w:p>
        </w:tc>
        <w:tc>
          <w:tcPr>
            <w:tcW w:w="2126" w:type="dxa"/>
            <w:shd w:val="clear" w:color="auto" w:fill="auto"/>
          </w:tcPr>
          <w:p w14:paraId="03D02B6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Calcarius ornatus</w:t>
            </w:r>
          </w:p>
        </w:tc>
        <w:tc>
          <w:tcPr>
            <w:tcW w:w="1413" w:type="dxa"/>
            <w:shd w:val="clear" w:color="auto" w:fill="auto"/>
          </w:tcPr>
          <w:p w14:paraId="641D557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464DAF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EE107FC" w14:textId="77777777" w:rsidTr="00FC7FD8">
        <w:trPr>
          <w:cantSplit/>
        </w:trPr>
        <w:tc>
          <w:tcPr>
            <w:tcW w:w="1610" w:type="dxa"/>
            <w:shd w:val="clear" w:color="auto" w:fill="auto"/>
          </w:tcPr>
          <w:p w14:paraId="71A297A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Emberizidae</w:t>
            </w:r>
          </w:p>
        </w:tc>
        <w:tc>
          <w:tcPr>
            <w:tcW w:w="1964" w:type="dxa"/>
            <w:shd w:val="clear" w:color="auto" w:fill="auto"/>
          </w:tcPr>
          <w:p w14:paraId="05A166B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Escribano de Jankowski</w:t>
            </w:r>
          </w:p>
        </w:tc>
        <w:tc>
          <w:tcPr>
            <w:tcW w:w="2126" w:type="dxa"/>
            <w:shd w:val="clear" w:color="auto" w:fill="auto"/>
          </w:tcPr>
          <w:p w14:paraId="1BEE746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Emberiza jankowskii</w:t>
            </w:r>
          </w:p>
        </w:tc>
        <w:tc>
          <w:tcPr>
            <w:tcW w:w="1413" w:type="dxa"/>
            <w:shd w:val="clear" w:color="auto" w:fill="auto"/>
          </w:tcPr>
          <w:p w14:paraId="25F3E81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91C54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&lt;100 km, aunque sin una dirección consistente. Cumple con los criterios de movimiento de la CMS.</w:t>
            </w:r>
          </w:p>
        </w:tc>
      </w:tr>
      <w:tr w:rsidR="000A00AE" w:rsidRPr="00FC4B7A" w14:paraId="493E9736" w14:textId="77777777" w:rsidTr="00FC7FD8">
        <w:trPr>
          <w:cantSplit/>
        </w:trPr>
        <w:tc>
          <w:tcPr>
            <w:tcW w:w="1610" w:type="dxa"/>
            <w:shd w:val="clear" w:color="auto" w:fill="auto"/>
          </w:tcPr>
          <w:p w14:paraId="49FC359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Emberizidae</w:t>
            </w:r>
          </w:p>
        </w:tc>
        <w:tc>
          <w:tcPr>
            <w:tcW w:w="1964" w:type="dxa"/>
            <w:shd w:val="clear" w:color="auto" w:fill="auto"/>
          </w:tcPr>
          <w:p w14:paraId="6BA018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Escribano cinéreo</w:t>
            </w:r>
          </w:p>
        </w:tc>
        <w:tc>
          <w:tcPr>
            <w:tcW w:w="2126" w:type="dxa"/>
            <w:shd w:val="clear" w:color="auto" w:fill="auto"/>
          </w:tcPr>
          <w:p w14:paraId="77EA063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Emberiza cineracea</w:t>
            </w:r>
          </w:p>
        </w:tc>
        <w:tc>
          <w:tcPr>
            <w:tcW w:w="1413" w:type="dxa"/>
            <w:shd w:val="clear" w:color="auto" w:fill="auto"/>
          </w:tcPr>
          <w:p w14:paraId="67FDEB4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3373D7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C2EA913" w14:textId="77777777" w:rsidTr="00FC7FD8">
        <w:trPr>
          <w:cantSplit/>
        </w:trPr>
        <w:tc>
          <w:tcPr>
            <w:tcW w:w="1610" w:type="dxa"/>
            <w:shd w:val="clear" w:color="auto" w:fill="auto"/>
          </w:tcPr>
          <w:p w14:paraId="013BD24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Emberizidae</w:t>
            </w:r>
          </w:p>
        </w:tc>
        <w:tc>
          <w:tcPr>
            <w:tcW w:w="1964" w:type="dxa"/>
            <w:shd w:val="clear" w:color="auto" w:fill="auto"/>
          </w:tcPr>
          <w:p w14:paraId="6EFFAC1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Escribano culiocre</w:t>
            </w:r>
          </w:p>
        </w:tc>
        <w:tc>
          <w:tcPr>
            <w:tcW w:w="2126" w:type="dxa"/>
            <w:shd w:val="clear" w:color="auto" w:fill="auto"/>
          </w:tcPr>
          <w:p w14:paraId="6179B935"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Emberiza yessoensis</w:t>
            </w:r>
          </w:p>
        </w:tc>
        <w:tc>
          <w:tcPr>
            <w:tcW w:w="1413" w:type="dxa"/>
            <w:shd w:val="clear" w:color="auto" w:fill="auto"/>
          </w:tcPr>
          <w:p w14:paraId="15C31D51"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94877F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02A742F3" w14:textId="77777777" w:rsidTr="00FC7FD8">
        <w:trPr>
          <w:cantSplit/>
        </w:trPr>
        <w:tc>
          <w:tcPr>
            <w:tcW w:w="1610" w:type="dxa"/>
            <w:shd w:val="clear" w:color="auto" w:fill="auto"/>
          </w:tcPr>
          <w:p w14:paraId="55192B3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Emberizidae</w:t>
            </w:r>
          </w:p>
        </w:tc>
        <w:tc>
          <w:tcPr>
            <w:tcW w:w="1964" w:type="dxa"/>
            <w:shd w:val="clear" w:color="auto" w:fill="auto"/>
          </w:tcPr>
          <w:p w14:paraId="419C042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Escribano rústico</w:t>
            </w:r>
          </w:p>
        </w:tc>
        <w:tc>
          <w:tcPr>
            <w:tcW w:w="2126" w:type="dxa"/>
            <w:shd w:val="clear" w:color="auto" w:fill="auto"/>
          </w:tcPr>
          <w:p w14:paraId="1957E28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Emberiza rustica</w:t>
            </w:r>
          </w:p>
        </w:tc>
        <w:tc>
          <w:tcPr>
            <w:tcW w:w="1413" w:type="dxa"/>
            <w:shd w:val="clear" w:color="auto" w:fill="auto"/>
          </w:tcPr>
          <w:p w14:paraId="5B9900E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7C52EF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3A43594D" w14:textId="77777777" w:rsidTr="00FC7FD8">
        <w:trPr>
          <w:cantSplit/>
        </w:trPr>
        <w:tc>
          <w:tcPr>
            <w:tcW w:w="1610" w:type="dxa"/>
            <w:shd w:val="clear" w:color="auto" w:fill="auto"/>
          </w:tcPr>
          <w:p w14:paraId="65C024D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Passerellidae</w:t>
            </w:r>
          </w:p>
        </w:tc>
        <w:tc>
          <w:tcPr>
            <w:tcW w:w="1964" w:type="dxa"/>
            <w:shd w:val="clear" w:color="auto" w:fill="auto"/>
          </w:tcPr>
          <w:p w14:paraId="1753222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Chingolo de Harris</w:t>
            </w:r>
          </w:p>
        </w:tc>
        <w:tc>
          <w:tcPr>
            <w:tcW w:w="2126" w:type="dxa"/>
            <w:shd w:val="clear" w:color="auto" w:fill="auto"/>
          </w:tcPr>
          <w:p w14:paraId="6B522A4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Zonotrichia querula</w:t>
            </w:r>
          </w:p>
        </w:tc>
        <w:tc>
          <w:tcPr>
            <w:tcW w:w="1413" w:type="dxa"/>
            <w:shd w:val="clear" w:color="auto" w:fill="auto"/>
          </w:tcPr>
          <w:p w14:paraId="4A2CC62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2BA90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F2CB553" w14:textId="77777777" w:rsidTr="00FC7FD8">
        <w:trPr>
          <w:cantSplit/>
        </w:trPr>
        <w:tc>
          <w:tcPr>
            <w:tcW w:w="1610" w:type="dxa"/>
            <w:shd w:val="clear" w:color="auto" w:fill="auto"/>
          </w:tcPr>
          <w:p w14:paraId="44C59F3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Icteridae</w:t>
            </w:r>
          </w:p>
        </w:tc>
        <w:tc>
          <w:tcPr>
            <w:tcW w:w="1964" w:type="dxa"/>
            <w:shd w:val="clear" w:color="auto" w:fill="auto"/>
          </w:tcPr>
          <w:p w14:paraId="6C78C17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Turpial oriental</w:t>
            </w:r>
          </w:p>
        </w:tc>
        <w:tc>
          <w:tcPr>
            <w:tcW w:w="2126" w:type="dxa"/>
            <w:shd w:val="clear" w:color="auto" w:fill="auto"/>
          </w:tcPr>
          <w:p w14:paraId="6FA2C1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Sturnella magna</w:t>
            </w:r>
          </w:p>
        </w:tc>
        <w:tc>
          <w:tcPr>
            <w:tcW w:w="1413" w:type="dxa"/>
            <w:shd w:val="clear" w:color="auto" w:fill="auto"/>
          </w:tcPr>
          <w:p w14:paraId="51E9326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A3F084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Cumple con los criterios de movimiento de la CMS.</w:t>
            </w:r>
          </w:p>
        </w:tc>
      </w:tr>
      <w:tr w:rsidR="000A00AE" w:rsidRPr="00FC4B7A" w14:paraId="74585954" w14:textId="77777777" w:rsidTr="00FC7FD8">
        <w:trPr>
          <w:cantSplit/>
        </w:trPr>
        <w:tc>
          <w:tcPr>
            <w:tcW w:w="1610" w:type="dxa"/>
            <w:shd w:val="clear" w:color="auto" w:fill="auto"/>
          </w:tcPr>
          <w:p w14:paraId="513519F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Icteridae</w:t>
            </w:r>
          </w:p>
        </w:tc>
        <w:tc>
          <w:tcPr>
            <w:tcW w:w="1964" w:type="dxa"/>
            <w:shd w:val="clear" w:color="auto" w:fill="auto"/>
          </w:tcPr>
          <w:p w14:paraId="7D326A1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Sargento tricolor</w:t>
            </w:r>
          </w:p>
        </w:tc>
        <w:tc>
          <w:tcPr>
            <w:tcW w:w="2126" w:type="dxa"/>
            <w:shd w:val="clear" w:color="auto" w:fill="auto"/>
          </w:tcPr>
          <w:p w14:paraId="121C6E7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Agelaius tricolor</w:t>
            </w:r>
          </w:p>
        </w:tc>
        <w:tc>
          <w:tcPr>
            <w:tcW w:w="1413" w:type="dxa"/>
            <w:shd w:val="clear" w:color="auto" w:fill="auto"/>
          </w:tcPr>
          <w:p w14:paraId="67C58B3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0799BB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moderadamente nómada en la época reproductora y fuertemente en la no reproductora; los individuos suelen recorrer entre 100 y 1000 km, aunque sin una dirección consistente. Cumple con los criterios de movimiento de la CMS.</w:t>
            </w:r>
          </w:p>
        </w:tc>
      </w:tr>
      <w:tr w:rsidR="000A00AE" w:rsidRPr="00FC4B7A" w14:paraId="69E6D054" w14:textId="77777777" w:rsidTr="00FC7FD8">
        <w:trPr>
          <w:cantSplit/>
        </w:trPr>
        <w:tc>
          <w:tcPr>
            <w:tcW w:w="1610" w:type="dxa"/>
            <w:shd w:val="clear" w:color="auto" w:fill="auto"/>
          </w:tcPr>
          <w:p w14:paraId="7C67EA2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Icteridae</w:t>
            </w:r>
          </w:p>
        </w:tc>
        <w:tc>
          <w:tcPr>
            <w:tcW w:w="1964" w:type="dxa"/>
            <w:shd w:val="clear" w:color="auto" w:fill="auto"/>
          </w:tcPr>
          <w:p w14:paraId="398E666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Zanate canadiense</w:t>
            </w:r>
          </w:p>
        </w:tc>
        <w:tc>
          <w:tcPr>
            <w:tcW w:w="2126" w:type="dxa"/>
            <w:shd w:val="clear" w:color="auto" w:fill="auto"/>
          </w:tcPr>
          <w:p w14:paraId="26FA887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Euphagus carolinus</w:t>
            </w:r>
          </w:p>
        </w:tc>
        <w:tc>
          <w:tcPr>
            <w:tcW w:w="1413" w:type="dxa"/>
            <w:shd w:val="clear" w:color="auto" w:fill="auto"/>
          </w:tcPr>
          <w:p w14:paraId="7451B59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DB0277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E0A0CB8" w14:textId="77777777" w:rsidTr="00FC7FD8">
        <w:trPr>
          <w:cantSplit/>
        </w:trPr>
        <w:tc>
          <w:tcPr>
            <w:tcW w:w="1610" w:type="dxa"/>
            <w:shd w:val="clear" w:color="auto" w:fill="auto"/>
          </w:tcPr>
          <w:p w14:paraId="56D3071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Icteridae</w:t>
            </w:r>
          </w:p>
        </w:tc>
        <w:tc>
          <w:tcPr>
            <w:tcW w:w="1964" w:type="dxa"/>
            <w:shd w:val="clear" w:color="auto" w:fill="auto"/>
          </w:tcPr>
          <w:p w14:paraId="78C4291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Zanate común</w:t>
            </w:r>
          </w:p>
        </w:tc>
        <w:tc>
          <w:tcPr>
            <w:tcW w:w="2126" w:type="dxa"/>
            <w:shd w:val="clear" w:color="auto" w:fill="auto"/>
          </w:tcPr>
          <w:p w14:paraId="18693D7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Quiscalus quiscula</w:t>
            </w:r>
          </w:p>
        </w:tc>
        <w:tc>
          <w:tcPr>
            <w:tcW w:w="1413" w:type="dxa"/>
            <w:shd w:val="clear" w:color="auto" w:fill="auto"/>
          </w:tcPr>
          <w:p w14:paraId="186887B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D2ACD1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138CE814" w14:textId="77777777" w:rsidTr="00FC7FD8">
        <w:trPr>
          <w:cantSplit/>
        </w:trPr>
        <w:tc>
          <w:tcPr>
            <w:tcW w:w="1610" w:type="dxa"/>
            <w:shd w:val="clear" w:color="auto" w:fill="auto"/>
          </w:tcPr>
          <w:p w14:paraId="1296DF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Parulidae</w:t>
            </w:r>
          </w:p>
        </w:tc>
        <w:tc>
          <w:tcPr>
            <w:tcW w:w="1964" w:type="dxa"/>
            <w:shd w:val="clear" w:color="auto" w:fill="auto"/>
          </w:tcPr>
          <w:p w14:paraId="4101CC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Reinita de Bachman</w:t>
            </w:r>
          </w:p>
        </w:tc>
        <w:tc>
          <w:tcPr>
            <w:tcW w:w="2126" w:type="dxa"/>
            <w:shd w:val="clear" w:color="auto" w:fill="auto"/>
          </w:tcPr>
          <w:p w14:paraId="7D061C2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Vermivora bachmanii</w:t>
            </w:r>
          </w:p>
        </w:tc>
        <w:tc>
          <w:tcPr>
            <w:tcW w:w="1413" w:type="dxa"/>
            <w:shd w:val="clear" w:color="auto" w:fill="auto"/>
          </w:tcPr>
          <w:p w14:paraId="6E71E62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296F04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00AE" w:rsidRPr="00FC4B7A" w14:paraId="3207158B" w14:textId="77777777" w:rsidTr="00FC7FD8">
        <w:trPr>
          <w:cantSplit/>
        </w:trPr>
        <w:tc>
          <w:tcPr>
            <w:tcW w:w="1610" w:type="dxa"/>
            <w:shd w:val="clear" w:color="auto" w:fill="auto"/>
          </w:tcPr>
          <w:p w14:paraId="1FB00CA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Parulidae</w:t>
            </w:r>
          </w:p>
        </w:tc>
        <w:tc>
          <w:tcPr>
            <w:tcW w:w="1964" w:type="dxa"/>
            <w:shd w:val="clear" w:color="auto" w:fill="auto"/>
          </w:tcPr>
          <w:p w14:paraId="3FE21DC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Reinita alidorada</w:t>
            </w:r>
          </w:p>
        </w:tc>
        <w:tc>
          <w:tcPr>
            <w:tcW w:w="2126" w:type="dxa"/>
            <w:shd w:val="clear" w:color="auto" w:fill="auto"/>
          </w:tcPr>
          <w:p w14:paraId="609D8DE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Vermivora chrysoptera</w:t>
            </w:r>
          </w:p>
        </w:tc>
        <w:tc>
          <w:tcPr>
            <w:tcW w:w="1413" w:type="dxa"/>
            <w:shd w:val="clear" w:color="auto" w:fill="auto"/>
          </w:tcPr>
          <w:p w14:paraId="175A71C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3CB870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2D0F5A3" w14:textId="77777777" w:rsidTr="00FC7FD8">
        <w:trPr>
          <w:cantSplit/>
        </w:trPr>
        <w:tc>
          <w:tcPr>
            <w:tcW w:w="1610" w:type="dxa"/>
            <w:shd w:val="clear" w:color="auto" w:fill="auto"/>
          </w:tcPr>
          <w:p w14:paraId="54D249B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Parulidae</w:t>
            </w:r>
          </w:p>
        </w:tc>
        <w:tc>
          <w:tcPr>
            <w:tcW w:w="1964" w:type="dxa"/>
            <w:shd w:val="clear" w:color="auto" w:fill="auto"/>
          </w:tcPr>
          <w:p w14:paraId="2262D19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Reinita estriada</w:t>
            </w:r>
          </w:p>
        </w:tc>
        <w:tc>
          <w:tcPr>
            <w:tcW w:w="2126" w:type="dxa"/>
            <w:shd w:val="clear" w:color="auto" w:fill="auto"/>
          </w:tcPr>
          <w:p w14:paraId="44104F99"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Setophaga striata</w:t>
            </w:r>
          </w:p>
        </w:tc>
        <w:tc>
          <w:tcPr>
            <w:tcW w:w="1413" w:type="dxa"/>
            <w:shd w:val="clear" w:color="auto" w:fill="auto"/>
          </w:tcPr>
          <w:p w14:paraId="40CA791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293953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71B0B9FC" w14:textId="77777777" w:rsidTr="00FC7FD8">
        <w:trPr>
          <w:cantSplit/>
        </w:trPr>
        <w:tc>
          <w:tcPr>
            <w:tcW w:w="1610" w:type="dxa"/>
            <w:shd w:val="clear" w:color="auto" w:fill="auto"/>
          </w:tcPr>
          <w:p w14:paraId="056C5C1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Parulidae</w:t>
            </w:r>
          </w:p>
        </w:tc>
        <w:tc>
          <w:tcPr>
            <w:tcW w:w="1964" w:type="dxa"/>
            <w:shd w:val="clear" w:color="auto" w:fill="auto"/>
          </w:tcPr>
          <w:p w14:paraId="2914903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Reinita caridorada</w:t>
            </w:r>
          </w:p>
        </w:tc>
        <w:tc>
          <w:tcPr>
            <w:tcW w:w="2126" w:type="dxa"/>
            <w:shd w:val="clear" w:color="auto" w:fill="auto"/>
          </w:tcPr>
          <w:p w14:paraId="14EDE6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Setophaga chrysoparia</w:t>
            </w:r>
          </w:p>
        </w:tc>
        <w:tc>
          <w:tcPr>
            <w:tcW w:w="1413" w:type="dxa"/>
            <w:shd w:val="clear" w:color="auto" w:fill="auto"/>
          </w:tcPr>
          <w:p w14:paraId="05B73A0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13963A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5CBF716" w14:textId="77777777" w:rsidTr="00FC7FD8">
        <w:trPr>
          <w:cantSplit/>
        </w:trPr>
        <w:tc>
          <w:tcPr>
            <w:tcW w:w="1610" w:type="dxa"/>
            <w:shd w:val="clear" w:color="auto" w:fill="auto"/>
          </w:tcPr>
          <w:p w14:paraId="23DBDAD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Thraupidae</w:t>
            </w:r>
          </w:p>
        </w:tc>
        <w:tc>
          <w:tcPr>
            <w:tcW w:w="1964" w:type="dxa"/>
            <w:shd w:val="clear" w:color="auto" w:fill="auto"/>
          </w:tcPr>
          <w:p w14:paraId="4467C30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Capuchino del Pantanal</w:t>
            </w:r>
          </w:p>
        </w:tc>
        <w:tc>
          <w:tcPr>
            <w:tcW w:w="2126" w:type="dxa"/>
            <w:shd w:val="clear" w:color="auto" w:fill="auto"/>
          </w:tcPr>
          <w:p w14:paraId="5BB1913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Sporophila nigrorufa</w:t>
            </w:r>
          </w:p>
        </w:tc>
        <w:tc>
          <w:tcPr>
            <w:tcW w:w="1413" w:type="dxa"/>
            <w:shd w:val="clear" w:color="auto" w:fill="auto"/>
          </w:tcPr>
          <w:p w14:paraId="461E167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B4FF73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aunque sin una dirección consistente. Cumple con los criterios de movimiento de la CMS.</w:t>
            </w:r>
          </w:p>
        </w:tc>
      </w:tr>
      <w:tr w:rsidR="000A00AE" w:rsidRPr="00D1581E" w14:paraId="7A5A8982" w14:textId="77777777" w:rsidTr="00FC7FD8">
        <w:trPr>
          <w:cantSplit/>
          <w:trHeight w:val="792"/>
        </w:trPr>
        <w:tc>
          <w:tcPr>
            <w:tcW w:w="1610" w:type="dxa"/>
            <w:tcBorders>
              <w:bottom w:val="single" w:sz="4" w:space="0" w:color="auto"/>
            </w:tcBorders>
            <w:shd w:val="clear" w:color="auto" w:fill="auto"/>
          </w:tcPr>
          <w:p w14:paraId="4CD2D55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lastRenderedPageBreak/>
              <w:t>Thraupidae</w:t>
            </w:r>
          </w:p>
        </w:tc>
        <w:tc>
          <w:tcPr>
            <w:tcW w:w="1964" w:type="dxa"/>
            <w:tcBorders>
              <w:bottom w:val="single" w:sz="4" w:space="0" w:color="auto"/>
            </w:tcBorders>
            <w:shd w:val="clear" w:color="auto" w:fill="auto"/>
          </w:tcPr>
          <w:p w14:paraId="4F5050D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Capuchino Iberá</w:t>
            </w:r>
          </w:p>
        </w:tc>
        <w:tc>
          <w:tcPr>
            <w:tcW w:w="2126" w:type="dxa"/>
            <w:tcBorders>
              <w:bottom w:val="single" w:sz="4" w:space="0" w:color="auto"/>
            </w:tcBorders>
            <w:shd w:val="clear" w:color="auto" w:fill="auto"/>
          </w:tcPr>
          <w:p w14:paraId="573A0BD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Sporophila iberaensis</w:t>
            </w:r>
          </w:p>
        </w:tc>
        <w:tc>
          <w:tcPr>
            <w:tcW w:w="1413" w:type="dxa"/>
            <w:tcBorders>
              <w:bottom w:val="single" w:sz="4" w:space="0" w:color="auto"/>
            </w:tcBorders>
            <w:shd w:val="clear" w:color="auto" w:fill="auto"/>
          </w:tcPr>
          <w:p w14:paraId="68E518B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tcBorders>
              <w:bottom w:val="single" w:sz="4" w:space="0" w:color="auto"/>
            </w:tcBorders>
            <w:shd w:val="clear" w:color="auto" w:fill="auto"/>
          </w:tcPr>
          <w:p w14:paraId="37F2D82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Patrones de movilidad desconocidos y sin análogos evidentes. Cumple con los criterios de movimiento de la CMS.</w:t>
            </w:r>
          </w:p>
        </w:tc>
      </w:tr>
    </w:tbl>
    <w:p w14:paraId="1F574CB2" w14:textId="77777777" w:rsidR="00B40B5D" w:rsidRPr="00FC7FD8" w:rsidRDefault="00B40B5D" w:rsidP="00B40B5D">
      <w:pPr>
        <w:pStyle w:val="Firstnumbering1"/>
        <w:numPr>
          <w:ilvl w:val="0"/>
          <w:numId w:val="0"/>
        </w:numPr>
        <w:ind w:left="567"/>
        <w:rPr>
          <w:sz w:val="2"/>
          <w:szCs w:val="2"/>
        </w:rPr>
      </w:pPr>
    </w:p>
    <w:p w14:paraId="56C51666" w14:textId="77777777" w:rsidR="000A00AE" w:rsidRDefault="000A00AE" w:rsidP="00B40B5D">
      <w:pPr>
        <w:pStyle w:val="Firstnumbering1"/>
        <w:numPr>
          <w:ilvl w:val="0"/>
          <w:numId w:val="0"/>
        </w:numPr>
        <w:ind w:left="567"/>
        <w:sectPr w:rsidR="000A00AE" w:rsidSect="00FC7FD8">
          <w:headerReference w:type="even" r:id="rId21"/>
          <w:headerReference w:type="default" r:id="rId22"/>
          <w:headerReference w:type="first" r:id="rId23"/>
          <w:pgSz w:w="16838" w:h="11906" w:orient="landscape" w:code="9"/>
          <w:pgMar w:top="1440" w:right="1440" w:bottom="270" w:left="1440" w:header="720" w:footer="720" w:gutter="0"/>
          <w:cols w:space="720"/>
          <w:titlePg/>
          <w:docGrid w:linePitch="360"/>
        </w:sectPr>
      </w:pPr>
    </w:p>
    <w:p w14:paraId="795273AC" w14:textId="77777777" w:rsidR="005524F6" w:rsidRPr="005524F6" w:rsidRDefault="005524F6" w:rsidP="005524F6">
      <w:pPr>
        <w:spacing w:after="0" w:line="240" w:lineRule="auto"/>
        <w:jc w:val="right"/>
        <w:rPr>
          <w:rFonts w:cs="Arial"/>
          <w:b/>
          <w:bCs/>
          <w:caps/>
          <w:lang w:val="es-ES"/>
        </w:rPr>
      </w:pPr>
      <w:r w:rsidRPr="005524F6">
        <w:rPr>
          <w:rFonts w:cs="Arial"/>
          <w:b/>
          <w:caps/>
          <w:lang w:val="es-ES"/>
        </w:rPr>
        <w:lastRenderedPageBreak/>
        <w:t>Anexo 2</w:t>
      </w:r>
    </w:p>
    <w:p w14:paraId="6B2C8E49" w14:textId="77777777" w:rsidR="005524F6" w:rsidRPr="005524F6" w:rsidRDefault="005524F6" w:rsidP="005524F6">
      <w:pPr>
        <w:spacing w:after="0" w:line="240" w:lineRule="auto"/>
        <w:rPr>
          <w:rFonts w:cs="Arial"/>
          <w:lang w:val="es-ES"/>
        </w:rPr>
      </w:pPr>
    </w:p>
    <w:p w14:paraId="275B69A7" w14:textId="77777777" w:rsidR="005524F6" w:rsidRPr="005524F6" w:rsidRDefault="005524F6" w:rsidP="005524F6">
      <w:pPr>
        <w:spacing w:after="0" w:line="240" w:lineRule="auto"/>
        <w:jc w:val="center"/>
        <w:rPr>
          <w:rFonts w:cs="Arial"/>
          <w:lang w:val="es-ES"/>
        </w:rPr>
      </w:pPr>
      <w:r w:rsidRPr="005524F6">
        <w:rPr>
          <w:rFonts w:cs="Arial"/>
          <w:lang w:val="es-ES"/>
        </w:rPr>
        <w:t xml:space="preserve">PROYECTO DE DECISIONES </w:t>
      </w:r>
    </w:p>
    <w:p w14:paraId="78F0EB21" w14:textId="77777777" w:rsidR="005524F6" w:rsidRPr="005524F6" w:rsidRDefault="005524F6" w:rsidP="005524F6">
      <w:pPr>
        <w:spacing w:after="0" w:line="240" w:lineRule="auto"/>
        <w:jc w:val="center"/>
        <w:rPr>
          <w:rFonts w:cs="Arial"/>
          <w:lang w:val="es-ES"/>
        </w:rPr>
      </w:pPr>
    </w:p>
    <w:p w14:paraId="4D794B6C" w14:textId="77777777" w:rsidR="005524F6" w:rsidRPr="005524F6" w:rsidRDefault="005524F6" w:rsidP="005524F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5524F6">
        <w:rPr>
          <w:rFonts w:eastAsia="Times New Roman" w:cs="Arial"/>
          <w:b/>
          <w:bCs/>
          <w:lang w:val="es-ES"/>
        </w:rPr>
        <w:t>TAXONES DE AVES POTENCIALES PARA SU INCLUSIÓN EN LOS APÉNDICES</w:t>
      </w:r>
    </w:p>
    <w:p w14:paraId="414F4095" w14:textId="77777777" w:rsidR="005524F6" w:rsidRPr="005524F6" w:rsidRDefault="005524F6" w:rsidP="005524F6">
      <w:pPr>
        <w:spacing w:after="0" w:line="240" w:lineRule="auto"/>
        <w:jc w:val="both"/>
        <w:rPr>
          <w:rFonts w:cs="Arial"/>
          <w:lang w:val="es-ES"/>
        </w:rPr>
      </w:pPr>
    </w:p>
    <w:p w14:paraId="186D5F82" w14:textId="77777777" w:rsidR="005524F6" w:rsidRPr="005524F6" w:rsidRDefault="005524F6" w:rsidP="005524F6">
      <w:pPr>
        <w:spacing w:after="0" w:line="240" w:lineRule="auto"/>
        <w:jc w:val="both"/>
        <w:rPr>
          <w:rFonts w:cs="Arial"/>
          <w:lang w:val="es-ES"/>
        </w:rPr>
      </w:pPr>
    </w:p>
    <w:p w14:paraId="36F5CDBA" w14:textId="77777777" w:rsidR="005524F6" w:rsidRPr="005524F6" w:rsidRDefault="005524F6" w:rsidP="005524F6">
      <w:pPr>
        <w:spacing w:after="0" w:line="240" w:lineRule="auto"/>
        <w:jc w:val="both"/>
        <w:rPr>
          <w:rFonts w:cs="Arial"/>
          <w:b/>
          <w:i/>
          <w:lang w:val="es-ES"/>
        </w:rPr>
      </w:pPr>
      <w:r w:rsidRPr="005524F6">
        <w:rPr>
          <w:rFonts w:cs="Arial"/>
          <w:b/>
          <w:i/>
          <w:lang w:val="es-ES"/>
        </w:rPr>
        <w:t>Dirigido a las Partes, organizaciones intergubernamentales y no gubernamentales</w:t>
      </w:r>
    </w:p>
    <w:p w14:paraId="0EE227B3" w14:textId="77777777" w:rsidR="005524F6" w:rsidRPr="005524F6" w:rsidRDefault="005524F6" w:rsidP="005524F6">
      <w:pPr>
        <w:spacing w:after="0" w:line="240" w:lineRule="auto"/>
        <w:jc w:val="both"/>
        <w:rPr>
          <w:rFonts w:cs="Arial"/>
          <w:lang w:val="es-ES"/>
        </w:rPr>
      </w:pPr>
    </w:p>
    <w:p w14:paraId="1519AA50" w14:textId="75DE8018" w:rsidR="005524F6" w:rsidRPr="005524F6" w:rsidRDefault="005524F6" w:rsidP="005524F6">
      <w:pPr>
        <w:spacing w:after="0" w:line="240" w:lineRule="auto"/>
        <w:ind w:left="851" w:hanging="851"/>
        <w:jc w:val="both"/>
        <w:rPr>
          <w:rFonts w:cs="Arial"/>
          <w:lang w:val="es-ES"/>
        </w:rPr>
      </w:pPr>
      <w:r w:rsidRPr="005524F6">
        <w:rPr>
          <w:rFonts w:cs="Arial"/>
          <w:lang w:val="es-ES"/>
        </w:rPr>
        <w:t>14.BB</w:t>
      </w:r>
      <w:r w:rsidRPr="005524F6">
        <w:rPr>
          <w:rFonts w:cs="Arial"/>
          <w:lang w:val="es-ES"/>
        </w:rPr>
        <w:tab/>
        <w:t>Se alienta a las Partes y a las organizaciones intergubernamentales y no gubernamentales a que consideren la posibilidad de trabajar de forma colaborativa para desarrollar propuestas de inclusión, de acuerdo con las directrices de la Resolución 13.7, y Acciones Concertadas, de acuerdo con las directrices de la Resolución 12.28 (Rev. COP13), para las especies enumeradas en el Anexo 1 de la Resolución 14.</w:t>
      </w:r>
      <w:r w:rsidR="00145A9B">
        <w:rPr>
          <w:rFonts w:cs="Arial"/>
          <w:lang w:val="es-ES"/>
        </w:rPr>
        <w:t>xx</w:t>
      </w:r>
      <w:r w:rsidRPr="005524F6">
        <w:rPr>
          <w:rFonts w:cs="Arial"/>
          <w:lang w:val="es-ES"/>
        </w:rPr>
        <w:t>, y a que sometan estas propuestas de inclusión y de Acciones Concertadas a la consideración de la 15.</w:t>
      </w:r>
      <w:r w:rsidRPr="005524F6">
        <w:rPr>
          <w:rFonts w:cs="Arial"/>
          <w:vertAlign w:val="superscript"/>
          <w:lang w:val="es-ES"/>
        </w:rPr>
        <w:t>ª</w:t>
      </w:r>
      <w:r w:rsidRPr="005524F6">
        <w:rPr>
          <w:rFonts w:cs="Arial"/>
          <w:lang w:val="es-ES"/>
        </w:rPr>
        <w:t xml:space="preserve"> reunión de la Conferencia de las Partes. </w:t>
      </w:r>
    </w:p>
    <w:p w14:paraId="14A77FF4" w14:textId="77777777" w:rsidR="005524F6" w:rsidRPr="005524F6" w:rsidRDefault="005524F6" w:rsidP="005524F6">
      <w:pPr>
        <w:spacing w:after="0" w:line="240" w:lineRule="auto"/>
        <w:jc w:val="both"/>
        <w:rPr>
          <w:rFonts w:cs="Arial"/>
          <w:b/>
          <w:i/>
          <w:lang w:val="es-ES"/>
        </w:rPr>
      </w:pPr>
    </w:p>
    <w:p w14:paraId="78E472A7" w14:textId="77777777" w:rsidR="005524F6" w:rsidRPr="005524F6" w:rsidRDefault="005524F6" w:rsidP="005524F6">
      <w:pPr>
        <w:spacing w:after="0" w:line="240" w:lineRule="auto"/>
        <w:jc w:val="both"/>
        <w:rPr>
          <w:rFonts w:cs="Arial"/>
          <w:lang w:val="es-ES"/>
        </w:rPr>
      </w:pPr>
    </w:p>
    <w:p w14:paraId="6F0F67A7" w14:textId="77777777" w:rsidR="005524F6" w:rsidRPr="005524F6" w:rsidRDefault="005524F6" w:rsidP="005524F6">
      <w:pPr>
        <w:spacing w:after="0" w:line="240" w:lineRule="auto"/>
        <w:jc w:val="both"/>
        <w:rPr>
          <w:rFonts w:cs="Arial"/>
          <w:lang w:val="es-ES"/>
        </w:rPr>
      </w:pPr>
      <w:r w:rsidRPr="005524F6">
        <w:rPr>
          <w:rFonts w:cs="Arial"/>
          <w:b/>
          <w:i/>
          <w:lang w:val="es-ES"/>
        </w:rPr>
        <w:t xml:space="preserve">Dirigido al Consejo Científico </w:t>
      </w:r>
    </w:p>
    <w:p w14:paraId="3D085C97" w14:textId="77777777" w:rsidR="005524F6" w:rsidRPr="005524F6" w:rsidRDefault="005524F6" w:rsidP="005524F6">
      <w:pPr>
        <w:spacing w:after="0" w:line="240" w:lineRule="auto"/>
        <w:jc w:val="both"/>
        <w:rPr>
          <w:rFonts w:cs="Arial"/>
          <w:lang w:val="es-ES"/>
        </w:rPr>
      </w:pPr>
    </w:p>
    <w:p w14:paraId="04D4EE7E" w14:textId="07F54736" w:rsidR="005524F6" w:rsidRPr="005524F6" w:rsidRDefault="005524F6" w:rsidP="005524F6">
      <w:pPr>
        <w:spacing w:after="0" w:line="240" w:lineRule="auto"/>
        <w:ind w:left="851" w:hanging="851"/>
        <w:jc w:val="both"/>
        <w:rPr>
          <w:rFonts w:cs="Arial"/>
          <w:lang w:val="es-ES"/>
        </w:rPr>
      </w:pPr>
      <w:r w:rsidRPr="005524F6">
        <w:rPr>
          <w:rFonts w:cs="Arial"/>
          <w:lang w:val="es-ES"/>
        </w:rPr>
        <w:t>14.DD</w:t>
      </w:r>
      <w:r w:rsidRPr="005524F6">
        <w:rPr>
          <w:rFonts w:cs="Arial"/>
          <w:lang w:val="es-ES"/>
        </w:rPr>
        <w:tab/>
        <w:t>Se solicita al Consejo Científico, sujeto a la disponibilidad de recursos:</w:t>
      </w:r>
    </w:p>
    <w:p w14:paraId="77CDFEE2" w14:textId="77777777" w:rsidR="005524F6" w:rsidRPr="005524F6" w:rsidRDefault="005524F6" w:rsidP="005524F6">
      <w:pPr>
        <w:spacing w:after="0" w:line="240" w:lineRule="auto"/>
        <w:ind w:left="720" w:hanging="720"/>
        <w:jc w:val="both"/>
        <w:rPr>
          <w:rFonts w:cs="Arial"/>
          <w:lang w:val="es-ES"/>
        </w:rPr>
      </w:pPr>
    </w:p>
    <w:p w14:paraId="34B81D43" w14:textId="058C43B8" w:rsidR="005524F6" w:rsidRPr="002B5D36" w:rsidRDefault="00405E8D" w:rsidP="002B5D36">
      <w:pPr>
        <w:pStyle w:val="ListParagraph"/>
        <w:widowControl w:val="0"/>
        <w:numPr>
          <w:ilvl w:val="0"/>
          <w:numId w:val="21"/>
        </w:numPr>
        <w:autoSpaceDE w:val="0"/>
        <w:autoSpaceDN w:val="0"/>
        <w:adjustRightInd w:val="0"/>
        <w:spacing w:after="0" w:line="240" w:lineRule="auto"/>
        <w:ind w:left="1260"/>
        <w:jc w:val="both"/>
        <w:rPr>
          <w:rFonts w:cs="Arial"/>
          <w:lang w:val="es-ES"/>
        </w:rPr>
      </w:pPr>
      <w:r w:rsidRPr="002B5D36">
        <w:rPr>
          <w:rFonts w:cs="Arial"/>
          <w:lang w:val="es-ES"/>
        </w:rPr>
        <w:t>r</w:t>
      </w:r>
      <w:r w:rsidR="005524F6" w:rsidRPr="002B5D36">
        <w:rPr>
          <w:rFonts w:cs="Arial"/>
          <w:lang w:val="es-ES"/>
        </w:rPr>
        <w:t>evis</w:t>
      </w:r>
      <w:r w:rsidRPr="002B5D36">
        <w:rPr>
          <w:rFonts w:cs="Arial"/>
          <w:lang w:val="es-ES"/>
        </w:rPr>
        <w:t>ar</w:t>
      </w:r>
      <w:r w:rsidR="005524F6" w:rsidRPr="002B5D36">
        <w:rPr>
          <w:rFonts w:cs="Arial"/>
          <w:lang w:val="es-ES"/>
        </w:rPr>
        <w:t xml:space="preserve"> la lista de especies del Anexo 1 de la Resolución 14.xx antes de la COP15 y realice propuestas para cualquier revisión;</w:t>
      </w:r>
    </w:p>
    <w:p w14:paraId="1647623E" w14:textId="77777777" w:rsidR="005524F6" w:rsidRPr="005524F6" w:rsidRDefault="005524F6" w:rsidP="002B5D36">
      <w:pPr>
        <w:widowControl w:val="0"/>
        <w:autoSpaceDE w:val="0"/>
        <w:autoSpaceDN w:val="0"/>
        <w:adjustRightInd w:val="0"/>
        <w:spacing w:after="0" w:line="240" w:lineRule="auto"/>
        <w:ind w:left="1260" w:hanging="360"/>
        <w:jc w:val="both"/>
        <w:rPr>
          <w:rFonts w:cs="Arial"/>
          <w:lang w:val="es-ES"/>
        </w:rPr>
      </w:pPr>
    </w:p>
    <w:p w14:paraId="1F290BB0" w14:textId="6E3B1F2A" w:rsidR="00333F9D" w:rsidRPr="002B5D36" w:rsidRDefault="002B5D36" w:rsidP="002B5D36">
      <w:pPr>
        <w:pStyle w:val="ListParagraph"/>
        <w:numPr>
          <w:ilvl w:val="0"/>
          <w:numId w:val="21"/>
        </w:numPr>
        <w:spacing w:after="0" w:line="240" w:lineRule="auto"/>
        <w:ind w:left="1260"/>
        <w:jc w:val="both"/>
        <w:rPr>
          <w:rFonts w:cs="Arial"/>
          <w:lang w:val="es-ES"/>
        </w:rPr>
      </w:pPr>
      <w:r>
        <w:rPr>
          <w:rFonts w:cs="Arial"/>
          <w:lang w:val="es-ES"/>
        </w:rPr>
        <w:t>d</w:t>
      </w:r>
      <w:r w:rsidR="00333F9D" w:rsidRPr="002B5D36">
        <w:rPr>
          <w:rFonts w:cs="Arial"/>
          <w:lang w:val="es-ES"/>
        </w:rPr>
        <w:t>esarrollar listas equivalentes para otros grupos taxonómicos para su adopción en la COP15;</w:t>
      </w:r>
    </w:p>
    <w:p w14:paraId="04B220BA" w14:textId="77777777" w:rsidR="00333F9D" w:rsidRPr="00333F9D" w:rsidRDefault="00333F9D" w:rsidP="002B5D36">
      <w:pPr>
        <w:spacing w:after="0" w:line="240" w:lineRule="auto"/>
        <w:ind w:left="1260" w:hanging="360"/>
        <w:jc w:val="both"/>
        <w:rPr>
          <w:rFonts w:cs="Arial"/>
          <w:lang w:val="es-ES"/>
        </w:rPr>
      </w:pPr>
    </w:p>
    <w:p w14:paraId="409E457B" w14:textId="1DE520D5" w:rsidR="00333F9D" w:rsidRPr="002B5D36" w:rsidRDefault="002B5D36" w:rsidP="002B5D36">
      <w:pPr>
        <w:pStyle w:val="ListParagraph"/>
        <w:numPr>
          <w:ilvl w:val="0"/>
          <w:numId w:val="21"/>
        </w:numPr>
        <w:spacing w:after="0" w:line="240" w:lineRule="auto"/>
        <w:ind w:left="1260"/>
        <w:jc w:val="both"/>
        <w:rPr>
          <w:rFonts w:cs="Arial"/>
          <w:lang w:val="es-ES"/>
        </w:rPr>
      </w:pPr>
      <w:r>
        <w:rPr>
          <w:rFonts w:cs="Arial"/>
          <w:lang w:val="es-ES"/>
        </w:rPr>
        <w:t>a</w:t>
      </w:r>
      <w:r w:rsidR="00333F9D" w:rsidRPr="002B5D36">
        <w:rPr>
          <w:rFonts w:cs="Arial"/>
          <w:lang w:val="es-ES"/>
        </w:rPr>
        <w:t>sesorar con respecto a los taxones de aves prioritarios para su inclusión en los Apéndices I y/o II de la CMS;</w:t>
      </w:r>
    </w:p>
    <w:p w14:paraId="12DC4538" w14:textId="77777777" w:rsidR="00333F9D" w:rsidRPr="00333F9D" w:rsidRDefault="00333F9D" w:rsidP="002B5D36">
      <w:pPr>
        <w:spacing w:after="0" w:line="240" w:lineRule="auto"/>
        <w:ind w:left="1260" w:hanging="360"/>
        <w:jc w:val="both"/>
        <w:rPr>
          <w:rFonts w:cs="Arial"/>
          <w:lang w:val="es-ES"/>
        </w:rPr>
      </w:pPr>
    </w:p>
    <w:p w14:paraId="27583E67" w14:textId="1C09A179" w:rsidR="00333F9D" w:rsidRPr="002B5D36" w:rsidRDefault="002B5D36" w:rsidP="002B5D36">
      <w:pPr>
        <w:pStyle w:val="ListParagraph"/>
        <w:numPr>
          <w:ilvl w:val="0"/>
          <w:numId w:val="21"/>
        </w:numPr>
        <w:spacing w:after="0" w:line="240" w:lineRule="auto"/>
        <w:ind w:left="1260"/>
        <w:jc w:val="both"/>
        <w:rPr>
          <w:rFonts w:cs="Arial"/>
          <w:lang w:val="es-ES"/>
        </w:rPr>
      </w:pPr>
      <w:r>
        <w:rPr>
          <w:rFonts w:cs="Arial"/>
          <w:lang w:val="es-ES"/>
        </w:rPr>
        <w:t>d</w:t>
      </w:r>
      <w:r w:rsidR="00333F9D" w:rsidRPr="002B5D36">
        <w:rPr>
          <w:rFonts w:cs="Arial"/>
          <w:lang w:val="es-ES"/>
        </w:rPr>
        <w:t>esarrollar asesoramiento a las Partes sobre un enfoque estratégico para maximizar la conservación de los taxones aviares prioritarios;</w:t>
      </w:r>
    </w:p>
    <w:p w14:paraId="7F5EACB6" w14:textId="77777777" w:rsidR="00333F9D" w:rsidRPr="00333F9D" w:rsidRDefault="00333F9D" w:rsidP="002B5D36">
      <w:pPr>
        <w:spacing w:after="0" w:line="240" w:lineRule="auto"/>
        <w:ind w:left="1260" w:hanging="360"/>
        <w:jc w:val="both"/>
        <w:rPr>
          <w:rFonts w:cs="Arial"/>
          <w:lang w:val="es-ES"/>
        </w:rPr>
      </w:pPr>
    </w:p>
    <w:p w14:paraId="0A9BA841" w14:textId="4A8019C9" w:rsidR="005524F6" w:rsidRPr="002B5D36" w:rsidRDefault="002B5D36" w:rsidP="002B5D36">
      <w:pPr>
        <w:pStyle w:val="ListParagraph"/>
        <w:numPr>
          <w:ilvl w:val="0"/>
          <w:numId w:val="21"/>
        </w:numPr>
        <w:spacing w:after="0" w:line="240" w:lineRule="auto"/>
        <w:ind w:left="1260"/>
        <w:jc w:val="both"/>
        <w:rPr>
          <w:rFonts w:eastAsia="Times New Roman" w:cs="Arial"/>
          <w:sz w:val="24"/>
          <w:szCs w:val="20"/>
          <w:lang w:val="es-ES"/>
        </w:rPr>
      </w:pPr>
      <w:r>
        <w:rPr>
          <w:rFonts w:cs="Arial"/>
          <w:lang w:val="es-ES"/>
        </w:rPr>
        <w:t>i</w:t>
      </w:r>
      <w:r w:rsidR="00333F9D" w:rsidRPr="002B5D36">
        <w:rPr>
          <w:rFonts w:cs="Arial"/>
          <w:lang w:val="es-ES"/>
        </w:rPr>
        <w:t>nformar a la Conferencia de las Partes en su 15ª reunión sobre los progresos realizados en la aplicación de la presente Decisión.</w:t>
      </w:r>
    </w:p>
    <w:p w14:paraId="0C1683A5" w14:textId="77777777" w:rsidR="000A00AE" w:rsidRPr="00800CB3" w:rsidRDefault="000A00AE" w:rsidP="00B40B5D">
      <w:pPr>
        <w:pStyle w:val="Firstnumbering1"/>
        <w:numPr>
          <w:ilvl w:val="0"/>
          <w:numId w:val="0"/>
        </w:numPr>
        <w:ind w:left="567"/>
      </w:pPr>
    </w:p>
    <w:sectPr w:rsidR="000A00AE" w:rsidRPr="00800CB3" w:rsidSect="005524F6">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CA49" w14:textId="77777777" w:rsidR="00320FA4" w:rsidRDefault="00320FA4" w:rsidP="00002A97">
      <w:pPr>
        <w:spacing w:after="0" w:line="240" w:lineRule="auto"/>
      </w:pPr>
      <w:r>
        <w:separator/>
      </w:r>
    </w:p>
  </w:endnote>
  <w:endnote w:type="continuationSeparator" w:id="0">
    <w:p w14:paraId="6EC1453F" w14:textId="77777777" w:rsidR="00320FA4" w:rsidRDefault="00320FA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1E02599B"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40591"/>
      <w:docPartObj>
        <w:docPartGallery w:val="Page Numbers (Bottom of Page)"/>
        <w:docPartUnique/>
      </w:docPartObj>
    </w:sdtPr>
    <w:sdtEndPr>
      <w:rPr>
        <w:noProof/>
        <w:sz w:val="18"/>
        <w:szCs w:val="18"/>
      </w:rPr>
    </w:sdtEndPr>
    <w:sdtContent>
      <w:p w14:paraId="1D521593" w14:textId="5A9A6809" w:rsidR="00285DE3" w:rsidRPr="00285DE3" w:rsidRDefault="00285DE3">
        <w:pPr>
          <w:pStyle w:val="Footer"/>
          <w:jc w:val="center"/>
          <w:rPr>
            <w:sz w:val="18"/>
            <w:szCs w:val="18"/>
          </w:rPr>
        </w:pPr>
        <w:r w:rsidRPr="00285DE3">
          <w:rPr>
            <w:sz w:val="18"/>
            <w:szCs w:val="18"/>
          </w:rPr>
          <w:fldChar w:fldCharType="begin"/>
        </w:r>
        <w:r w:rsidRPr="00285DE3">
          <w:rPr>
            <w:sz w:val="18"/>
            <w:szCs w:val="18"/>
          </w:rPr>
          <w:instrText xml:space="preserve"> PAGE   \* MERGEFORMAT </w:instrText>
        </w:r>
        <w:r w:rsidRPr="00285DE3">
          <w:rPr>
            <w:sz w:val="18"/>
            <w:szCs w:val="18"/>
          </w:rPr>
          <w:fldChar w:fldCharType="separate"/>
        </w:r>
        <w:r w:rsidRPr="00285DE3">
          <w:rPr>
            <w:noProof/>
            <w:sz w:val="18"/>
            <w:szCs w:val="18"/>
          </w:rPr>
          <w:t>2</w:t>
        </w:r>
        <w:r w:rsidRPr="00285DE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33C6" w14:textId="77777777" w:rsidR="00320FA4" w:rsidRDefault="00320FA4" w:rsidP="00002A97">
      <w:pPr>
        <w:spacing w:after="0" w:line="240" w:lineRule="auto"/>
      </w:pPr>
      <w:r>
        <w:separator/>
      </w:r>
    </w:p>
  </w:footnote>
  <w:footnote w:type="continuationSeparator" w:id="0">
    <w:p w14:paraId="57262D7E" w14:textId="77777777" w:rsidR="00320FA4" w:rsidRDefault="00320FA4"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40D67270"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2B6A54">
      <w:rPr>
        <w:rFonts w:eastAsia="Times New Roman" w:cs="Arial"/>
        <w:i/>
        <w:sz w:val="18"/>
        <w:szCs w:val="18"/>
        <w:lang w:val="fr-FR" w:eastAsia="es-ES"/>
      </w:rPr>
      <w:t>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5EFD7C2A" w:rsidR="000F4BDA" w:rsidRPr="00002A97" w:rsidRDefault="000F4BDA" w:rsidP="000F4BDA">
    <w:pPr>
      <w:pStyle w:val="Header"/>
      <w:pBdr>
        <w:bottom w:val="single" w:sz="4" w:space="1" w:color="auto"/>
      </w:pBdr>
      <w:jc w:val="right"/>
      <w:rPr>
        <w:i/>
        <w:sz w:val="18"/>
        <w:szCs w:val="18"/>
      </w:rPr>
    </w:pPr>
    <w:bookmarkStart w:id="9" w:name="_Hlk141950591"/>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B6A54">
      <w:rPr>
        <w:rFonts w:eastAsia="Times New Roman" w:cs="Arial"/>
        <w:i/>
        <w:sz w:val="18"/>
        <w:szCs w:val="18"/>
        <w:lang w:val="fr-FR" w:eastAsia="es-ES"/>
      </w:rPr>
      <w:t>31.3</w:t>
    </w:r>
  </w:p>
  <w:bookmarkEnd w:id="9"/>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4F88" w14:textId="6FF9EA0E" w:rsidR="00ED4D26" w:rsidRPr="00285DE3" w:rsidRDefault="00ED4D26" w:rsidP="00ED4D26">
    <w:pPr>
      <w:pStyle w:val="Header"/>
      <w:pBdr>
        <w:bottom w:val="single" w:sz="4" w:space="1" w:color="auto"/>
      </w:pBdr>
      <w:rPr>
        <w:i/>
        <w:sz w:val="18"/>
        <w:szCs w:val="18"/>
      </w:rPr>
    </w:pPr>
    <w:r w:rsidRPr="00285DE3">
      <w:rPr>
        <w:rFonts w:eastAsia="Times New Roman" w:cs="Arial"/>
        <w:i/>
        <w:sz w:val="18"/>
        <w:szCs w:val="18"/>
        <w:lang w:eastAsia="es-ES"/>
      </w:rPr>
      <w:t>UNEP/CMS/COP14/Doc.</w:t>
    </w:r>
    <w:r w:rsidR="00285DE3" w:rsidRPr="00285DE3">
      <w:rPr>
        <w:rFonts w:eastAsia="Times New Roman" w:cs="Arial"/>
        <w:i/>
        <w:sz w:val="18"/>
        <w:szCs w:val="18"/>
        <w:lang w:eastAsia="es-ES"/>
      </w:rPr>
      <w:t>31.3/An</w:t>
    </w:r>
    <w:r w:rsidR="00285DE3">
      <w:rPr>
        <w:rFonts w:eastAsia="Times New Roman" w:cs="Arial"/>
        <w:i/>
        <w:sz w:val="18"/>
        <w:szCs w:val="18"/>
        <w:lang w:eastAsia="es-ES"/>
      </w:rPr>
      <w:t>exo 1</w:t>
    </w:r>
  </w:p>
  <w:p w14:paraId="5BD56A90" w14:textId="77777777" w:rsidR="00ED4D26" w:rsidRPr="006F22B0" w:rsidRDefault="00ED4D26"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2975" w14:textId="04A6A8B4" w:rsidR="00285DE3" w:rsidRPr="00002A97" w:rsidRDefault="00285DE3"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31.3/Anexo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C08" w14:textId="7A17DB03" w:rsidR="00285DE3" w:rsidRPr="00002A97" w:rsidRDefault="00285DE3"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Doc.31.3/Anexo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4553" w14:textId="77777777" w:rsidR="00285DE3" w:rsidRPr="00285DE3" w:rsidRDefault="00285DE3" w:rsidP="00285DE3">
    <w:pPr>
      <w:pStyle w:val="Header"/>
      <w:pBdr>
        <w:bottom w:val="single" w:sz="4" w:space="1" w:color="auto"/>
      </w:pBdr>
      <w:jc w:val="right"/>
      <w:rPr>
        <w:i/>
        <w:sz w:val="18"/>
        <w:szCs w:val="18"/>
      </w:rPr>
    </w:pPr>
    <w:r w:rsidRPr="00285DE3">
      <w:rPr>
        <w:rFonts w:eastAsia="Times New Roman" w:cs="Arial"/>
        <w:i/>
        <w:sz w:val="18"/>
        <w:szCs w:val="18"/>
        <w:lang w:eastAsia="es-ES"/>
      </w:rPr>
      <w:t>UNEP/CMS/COP14/Doc.31.3/An</w:t>
    </w:r>
    <w:r>
      <w:rPr>
        <w:rFonts w:eastAsia="Times New Roman" w:cs="Arial"/>
        <w:i/>
        <w:sz w:val="18"/>
        <w:szCs w:val="18"/>
        <w:lang w:eastAsia="es-ES"/>
      </w:rPr>
      <w:t>exo 1</w:t>
    </w:r>
  </w:p>
  <w:p w14:paraId="4C362F62" w14:textId="77777777" w:rsidR="00285DE3" w:rsidRPr="006F22B0" w:rsidRDefault="00285DE3" w:rsidP="006F22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3200" w14:textId="1AACC5DC" w:rsidR="00285DE3" w:rsidRPr="00285DE3" w:rsidRDefault="00285DE3" w:rsidP="00285DE3">
    <w:pPr>
      <w:pStyle w:val="Header"/>
      <w:pBdr>
        <w:bottom w:val="single" w:sz="4" w:space="1" w:color="auto"/>
      </w:pBdr>
      <w:jc w:val="right"/>
      <w:rPr>
        <w:i/>
        <w:sz w:val="18"/>
        <w:szCs w:val="18"/>
      </w:rPr>
    </w:pPr>
    <w:r w:rsidRPr="00285DE3">
      <w:rPr>
        <w:rFonts w:eastAsia="Times New Roman" w:cs="Arial"/>
        <w:i/>
        <w:sz w:val="18"/>
        <w:szCs w:val="18"/>
        <w:lang w:eastAsia="es-ES"/>
      </w:rPr>
      <w:t>UNEP/CMS/COP14/Doc.31.3/An</w:t>
    </w:r>
    <w:r>
      <w:rPr>
        <w:rFonts w:eastAsia="Times New Roman" w:cs="Arial"/>
        <w:i/>
        <w:sz w:val="18"/>
        <w:szCs w:val="18"/>
        <w:lang w:eastAsia="es-ES"/>
      </w:rPr>
      <w:t>exo 2</w:t>
    </w:r>
  </w:p>
  <w:p w14:paraId="4810DA1B" w14:textId="77777777" w:rsidR="00285DE3" w:rsidRPr="006F22B0" w:rsidRDefault="00285DE3"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4A34F9"/>
    <w:multiLevelType w:val="hybridMultilevel"/>
    <w:tmpl w:val="E34682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AD10303"/>
    <w:multiLevelType w:val="hybridMultilevel"/>
    <w:tmpl w:val="67D02D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7"/>
  </w:num>
  <w:num w:numId="6" w16cid:durableId="1958830237">
    <w:abstractNumId w:val="14"/>
  </w:num>
  <w:num w:numId="7" w16cid:durableId="396439182">
    <w:abstractNumId w:val="17"/>
  </w:num>
  <w:num w:numId="8" w16cid:durableId="260603560">
    <w:abstractNumId w:val="11"/>
  </w:num>
  <w:num w:numId="9" w16cid:durableId="1356272424">
    <w:abstractNumId w:val="9"/>
  </w:num>
  <w:num w:numId="10" w16cid:durableId="630594039">
    <w:abstractNumId w:val="20"/>
  </w:num>
  <w:num w:numId="11" w16cid:durableId="2069759870">
    <w:abstractNumId w:val="15"/>
  </w:num>
  <w:num w:numId="12" w16cid:durableId="904724938">
    <w:abstractNumId w:val="18"/>
  </w:num>
  <w:num w:numId="13" w16cid:durableId="1148091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62859">
    <w:abstractNumId w:val="5"/>
  </w:num>
  <w:num w:numId="15" w16cid:durableId="1017078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011175">
    <w:abstractNumId w:val="6"/>
  </w:num>
  <w:num w:numId="17" w16cid:durableId="16347555">
    <w:abstractNumId w:val="16"/>
  </w:num>
  <w:num w:numId="18" w16cid:durableId="1137528394">
    <w:abstractNumId w:val="13"/>
  </w:num>
  <w:num w:numId="19" w16cid:durableId="1028604171">
    <w:abstractNumId w:val="3"/>
  </w:num>
  <w:num w:numId="20" w16cid:durableId="803043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468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AA9"/>
    <w:rsid w:val="000A00AE"/>
    <w:rsid w:val="000E192F"/>
    <w:rsid w:val="000F4BDA"/>
    <w:rsid w:val="00105045"/>
    <w:rsid w:val="00115628"/>
    <w:rsid w:val="00127CCF"/>
    <w:rsid w:val="00145A9B"/>
    <w:rsid w:val="00155EA8"/>
    <w:rsid w:val="00192411"/>
    <w:rsid w:val="001A7D50"/>
    <w:rsid w:val="001E6CDF"/>
    <w:rsid w:val="0024152C"/>
    <w:rsid w:val="00263F8A"/>
    <w:rsid w:val="00285DE3"/>
    <w:rsid w:val="002A40B8"/>
    <w:rsid w:val="002A5ABE"/>
    <w:rsid w:val="002B5D36"/>
    <w:rsid w:val="002B6A54"/>
    <w:rsid w:val="002D5F2A"/>
    <w:rsid w:val="002D7CF5"/>
    <w:rsid w:val="002F7EC2"/>
    <w:rsid w:val="00301344"/>
    <w:rsid w:val="003133A7"/>
    <w:rsid w:val="00320FA4"/>
    <w:rsid w:val="00323406"/>
    <w:rsid w:val="00333F9D"/>
    <w:rsid w:val="00405E8D"/>
    <w:rsid w:val="0042113A"/>
    <w:rsid w:val="00430A25"/>
    <w:rsid w:val="00457C8A"/>
    <w:rsid w:val="004B6781"/>
    <w:rsid w:val="004C7808"/>
    <w:rsid w:val="00506131"/>
    <w:rsid w:val="005330F7"/>
    <w:rsid w:val="005524F6"/>
    <w:rsid w:val="00563598"/>
    <w:rsid w:val="00591364"/>
    <w:rsid w:val="0063405A"/>
    <w:rsid w:val="00680C79"/>
    <w:rsid w:val="006C2C3D"/>
    <w:rsid w:val="006C2EF5"/>
    <w:rsid w:val="006F22B0"/>
    <w:rsid w:val="00700B24"/>
    <w:rsid w:val="00790422"/>
    <w:rsid w:val="007B53CC"/>
    <w:rsid w:val="007C212E"/>
    <w:rsid w:val="007D00B6"/>
    <w:rsid w:val="007E5A82"/>
    <w:rsid w:val="007F2920"/>
    <w:rsid w:val="00800CB3"/>
    <w:rsid w:val="00810C64"/>
    <w:rsid w:val="008267C1"/>
    <w:rsid w:val="009059D0"/>
    <w:rsid w:val="00943D15"/>
    <w:rsid w:val="009A7CC4"/>
    <w:rsid w:val="00A84155"/>
    <w:rsid w:val="00AC09AE"/>
    <w:rsid w:val="00AF1A08"/>
    <w:rsid w:val="00B104EC"/>
    <w:rsid w:val="00B40B5D"/>
    <w:rsid w:val="00B40E07"/>
    <w:rsid w:val="00B60CE9"/>
    <w:rsid w:val="00B76263"/>
    <w:rsid w:val="00BC5707"/>
    <w:rsid w:val="00BF0B6B"/>
    <w:rsid w:val="00BF7838"/>
    <w:rsid w:val="00C41DAD"/>
    <w:rsid w:val="00C664E8"/>
    <w:rsid w:val="00C8380E"/>
    <w:rsid w:val="00CA10B0"/>
    <w:rsid w:val="00CF7835"/>
    <w:rsid w:val="00CF7A12"/>
    <w:rsid w:val="00D1581E"/>
    <w:rsid w:val="00D4459E"/>
    <w:rsid w:val="00D70239"/>
    <w:rsid w:val="00D70275"/>
    <w:rsid w:val="00D84650"/>
    <w:rsid w:val="00DE4C84"/>
    <w:rsid w:val="00DF3A80"/>
    <w:rsid w:val="00E607BD"/>
    <w:rsid w:val="00E63A24"/>
    <w:rsid w:val="00E77A9F"/>
    <w:rsid w:val="00E80EA2"/>
    <w:rsid w:val="00E81B4A"/>
    <w:rsid w:val="00EB42BF"/>
    <w:rsid w:val="00ED4D26"/>
    <w:rsid w:val="00EF1D13"/>
    <w:rsid w:val="00F13409"/>
    <w:rsid w:val="00F147ED"/>
    <w:rsid w:val="00F56454"/>
    <w:rsid w:val="00FB2C72"/>
    <w:rsid w:val="00FC4B7A"/>
    <w:rsid w:val="00FC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A00AE"/>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0A00AE"/>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nhideWhenUsed/>
    <w:qFormat/>
    <w:rsid w:val="00B40B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5Char">
    <w:name w:val="Heading 5 Char"/>
    <w:basedOn w:val="DefaultParagraphFont"/>
    <w:link w:val="Heading5"/>
    <w:rsid w:val="00B40B5D"/>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rsid w:val="000A00A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0A00AE"/>
    <w:rPr>
      <w:rFonts w:ascii="Times New Roman" w:eastAsia="Times New Roman" w:hAnsi="Times New Roman" w:cs="Times New Roman"/>
      <w:b/>
      <w:bCs/>
      <w:snapToGrid w:val="0"/>
      <w:sz w:val="24"/>
      <w:szCs w:val="20"/>
      <w:lang w:val="en-GB"/>
    </w:rPr>
  </w:style>
  <w:style w:type="numbering" w:customStyle="1" w:styleId="NoList1">
    <w:name w:val="No List1"/>
    <w:next w:val="NoList"/>
    <w:uiPriority w:val="99"/>
    <w:semiHidden/>
    <w:unhideWhenUsed/>
    <w:rsid w:val="000A00AE"/>
  </w:style>
  <w:style w:type="paragraph" w:customStyle="1" w:styleId="Secondnumbering">
    <w:name w:val="Second numbering"/>
    <w:basedOn w:val="Normal"/>
    <w:link w:val="SecondnumberingChar"/>
    <w:qFormat/>
    <w:rsid w:val="000A00AE"/>
    <w:pPr>
      <w:numPr>
        <w:numId w:val="16"/>
      </w:numPr>
      <w:spacing w:after="0" w:line="240" w:lineRule="auto"/>
      <w:ind w:left="1134" w:hanging="283"/>
    </w:pPr>
    <w:rPr>
      <w:rFonts w:eastAsia="Times New Roman" w:cs="Arial"/>
      <w:sz w:val="24"/>
      <w:szCs w:val="20"/>
      <w:lang w:val="en-GB"/>
    </w:rPr>
  </w:style>
  <w:style w:type="character" w:customStyle="1" w:styleId="SecondnumberingChar">
    <w:name w:val="Second numbering Char"/>
    <w:basedOn w:val="DefaultParagraphFont"/>
    <w:link w:val="Secondnumbering"/>
    <w:rsid w:val="000A00AE"/>
    <w:rPr>
      <w:rFonts w:eastAsia="Times New Roman" w:cs="Arial"/>
      <w:sz w:val="24"/>
      <w:szCs w:val="20"/>
      <w:lang w:val="en-GB"/>
    </w:rPr>
  </w:style>
  <w:style w:type="paragraph" w:customStyle="1" w:styleId="1AutoList1">
    <w:name w:val="1AutoList1"/>
    <w:rsid w:val="000A00A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0A00AE"/>
    <w:rPr>
      <w:b/>
      <w:bCs/>
    </w:rPr>
  </w:style>
  <w:style w:type="paragraph" w:styleId="BodyTextIndent3">
    <w:name w:val="Body Text Indent 3"/>
    <w:basedOn w:val="Normal"/>
    <w:link w:val="BodyTextIndent3Char"/>
    <w:rsid w:val="000A00AE"/>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0A00AE"/>
    <w:rPr>
      <w:rFonts w:ascii="Times New Roman" w:eastAsia="Times New Roman" w:hAnsi="Times New Roman" w:cs="Times New Roman"/>
      <w:b/>
      <w:bCs/>
      <w:snapToGrid w:val="0"/>
      <w:szCs w:val="20"/>
      <w:lang w:val="en-GB"/>
    </w:rPr>
  </w:style>
  <w:style w:type="paragraph" w:customStyle="1" w:styleId="Default">
    <w:name w:val="Default"/>
    <w:rsid w:val="000A00AE"/>
    <w:pPr>
      <w:autoSpaceDE w:val="0"/>
      <w:autoSpaceDN w:val="0"/>
      <w:adjustRightInd w:val="0"/>
      <w:spacing w:after="0" w:line="240" w:lineRule="auto"/>
    </w:pPr>
    <w:rPr>
      <w:rFonts w:ascii="Garamond" w:hAnsi="Garamond" w:cs="Garamond"/>
      <w:color w:val="000000"/>
      <w:sz w:val="24"/>
      <w:szCs w:val="24"/>
      <w:lang w:val="en-GB"/>
    </w:rPr>
  </w:style>
  <w:style w:type="character" w:customStyle="1" w:styleId="Mencinsinresolver1">
    <w:name w:val="Mención sin resolver1"/>
    <w:basedOn w:val="DefaultParagraphFont"/>
    <w:uiPriority w:val="99"/>
    <w:semiHidden/>
    <w:unhideWhenUsed/>
    <w:rsid w:val="000A00AE"/>
    <w:rPr>
      <w:color w:val="605E5C"/>
      <w:shd w:val="clear" w:color="auto" w:fill="E1DFDD"/>
    </w:rPr>
  </w:style>
  <w:style w:type="paragraph" w:customStyle="1" w:styleId="Firstnumbering">
    <w:name w:val="First numbering"/>
    <w:basedOn w:val="ListParagraph"/>
    <w:link w:val="FirstnumberingChar"/>
    <w:qFormat/>
    <w:rsid w:val="000A00AE"/>
    <w:pPr>
      <w:widowControl w:val="0"/>
      <w:numPr>
        <w:numId w:val="17"/>
      </w:numPr>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0A00AE"/>
    <w:rPr>
      <w:rFonts w:eastAsia="Times New Roman" w:cs="Arial"/>
      <w:sz w:val="24"/>
      <w:szCs w:val="20"/>
      <w:lang w:val="en-GB"/>
    </w:rPr>
  </w:style>
  <w:style w:type="paragraph" w:customStyle="1" w:styleId="Thirdnumberingi0">
    <w:name w:val="Third numbering i)"/>
    <w:basedOn w:val="Secondnumbering"/>
    <w:link w:val="ThirdnumberingiChar0"/>
    <w:qFormat/>
    <w:rsid w:val="000A00AE"/>
    <w:pPr>
      <w:numPr>
        <w:numId w:val="18"/>
      </w:numPr>
      <w:ind w:left="1701" w:hanging="283"/>
    </w:pPr>
  </w:style>
  <w:style w:type="character" w:customStyle="1" w:styleId="ThirdnumberingiChar0">
    <w:name w:val="Third numbering i) Char"/>
    <w:basedOn w:val="SecondnumberingChar"/>
    <w:link w:val="Thirdnumberingi0"/>
    <w:rsid w:val="000A00AE"/>
    <w:rPr>
      <w:rFonts w:eastAsia="Times New Roman" w:cs="Arial"/>
      <w:sz w:val="24"/>
      <w:szCs w:val="20"/>
      <w:lang w:val="en-GB"/>
    </w:rPr>
  </w:style>
  <w:style w:type="paragraph" w:styleId="Revision">
    <w:name w:val="Revision"/>
    <w:hidden/>
    <w:uiPriority w:val="99"/>
    <w:semiHidden/>
    <w:rsid w:val="000A00AE"/>
    <w:pPr>
      <w:spacing w:after="0" w:line="240" w:lineRule="auto"/>
    </w:pPr>
    <w:rPr>
      <w:lang w:val="en-GB"/>
    </w:rPr>
  </w:style>
  <w:style w:type="paragraph" w:styleId="FootnoteText">
    <w:name w:val="footnote text"/>
    <w:basedOn w:val="Normal"/>
    <w:link w:val="FootnoteTextChar"/>
    <w:uiPriority w:val="99"/>
    <w:semiHidden/>
    <w:unhideWhenUsed/>
    <w:rsid w:val="000A00A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A00AE"/>
    <w:rPr>
      <w:sz w:val="20"/>
      <w:szCs w:val="20"/>
      <w:lang w:val="en-GB"/>
    </w:rPr>
  </w:style>
  <w:style w:type="character" w:styleId="FollowedHyperlink">
    <w:name w:val="FollowedHyperlink"/>
    <w:basedOn w:val="DefaultParagraphFont"/>
    <w:uiPriority w:val="99"/>
    <w:semiHidden/>
    <w:unhideWhenUsed/>
    <w:rsid w:val="000A00AE"/>
    <w:rPr>
      <w:color w:val="954F72" w:themeColor="followedHyperlink"/>
      <w:u w:val="single"/>
    </w:rPr>
  </w:style>
  <w:style w:type="character" w:styleId="CommentReference">
    <w:name w:val="annotation reference"/>
    <w:basedOn w:val="DefaultParagraphFont"/>
    <w:uiPriority w:val="99"/>
    <w:semiHidden/>
    <w:unhideWhenUsed/>
    <w:rsid w:val="000A00AE"/>
    <w:rPr>
      <w:sz w:val="16"/>
      <w:szCs w:val="16"/>
    </w:rPr>
  </w:style>
  <w:style w:type="paragraph" w:styleId="CommentText">
    <w:name w:val="annotation text"/>
    <w:basedOn w:val="Normal"/>
    <w:link w:val="CommentTextChar"/>
    <w:uiPriority w:val="99"/>
    <w:unhideWhenUsed/>
    <w:rsid w:val="000A00AE"/>
    <w:pPr>
      <w:spacing w:after="0" w:line="240" w:lineRule="auto"/>
    </w:pPr>
    <w:rPr>
      <w:sz w:val="20"/>
      <w:szCs w:val="20"/>
      <w:lang w:val="es-ES"/>
    </w:rPr>
  </w:style>
  <w:style w:type="character" w:customStyle="1" w:styleId="CommentTextChar">
    <w:name w:val="Comment Text Char"/>
    <w:basedOn w:val="DefaultParagraphFont"/>
    <w:link w:val="CommentText"/>
    <w:uiPriority w:val="99"/>
    <w:rsid w:val="000A00AE"/>
    <w:rPr>
      <w:sz w:val="20"/>
      <w:szCs w:val="20"/>
      <w:lang w:val="es-ES"/>
    </w:rPr>
  </w:style>
  <w:style w:type="paragraph" w:styleId="CommentSubject">
    <w:name w:val="annotation subject"/>
    <w:basedOn w:val="CommentText"/>
    <w:next w:val="CommentText"/>
    <w:link w:val="CommentSubjectChar"/>
    <w:uiPriority w:val="99"/>
    <w:semiHidden/>
    <w:unhideWhenUsed/>
    <w:rsid w:val="000A00AE"/>
    <w:rPr>
      <w:b/>
      <w:bCs/>
    </w:rPr>
  </w:style>
  <w:style w:type="character" w:customStyle="1" w:styleId="CommentSubjectChar">
    <w:name w:val="Comment Subject Char"/>
    <w:basedOn w:val="CommentTextChar"/>
    <w:link w:val="CommentSubject"/>
    <w:uiPriority w:val="99"/>
    <w:semiHidden/>
    <w:rsid w:val="000A00AE"/>
    <w:rPr>
      <w:b/>
      <w:bCs/>
      <w:sz w:val="20"/>
      <w:szCs w:val="20"/>
      <w:lang w:val="es-ES"/>
    </w:rPr>
  </w:style>
  <w:style w:type="paragraph" w:customStyle="1" w:styleId="msonormal0">
    <w:name w:val="msonormal"/>
    <w:basedOn w:val="Normal"/>
    <w:rsid w:val="000A00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encionar1">
    <w:name w:val="Mencionar1"/>
    <w:basedOn w:val="DefaultParagraphFont"/>
    <w:uiPriority w:val="99"/>
    <w:unhideWhenUsed/>
    <w:rsid w:val="000A00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en/document/guidelines-preparing-and-assessing-proposals-amendment-cms-appendices-1"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80024243-A51A-4D7C-BF69-CC7B0477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9810</Words>
  <Characters>55923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54</cp:revision>
  <dcterms:created xsi:type="dcterms:W3CDTF">2023-05-17T14:28:00Z</dcterms:created>
  <dcterms:modified xsi:type="dcterms:W3CDTF">2023-08-04T08:14:00Z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