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41168F" w14:paraId="20A3DAA5" w14:textId="77777777" w:rsidTr="002125B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286"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545A1E78" w:rsidR="00EC2A58" w:rsidRPr="002125BA"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2125BA">
              <w:rPr>
                <w:rFonts w:eastAsia="Arial" w:cs="Arial"/>
              </w:rPr>
              <w:t>UNEP/CMS/COP1</w:t>
            </w:r>
            <w:r w:rsidR="00BA33FE" w:rsidRPr="002125BA">
              <w:rPr>
                <w:rFonts w:eastAsia="Arial" w:cs="Arial"/>
              </w:rPr>
              <w:t>4</w:t>
            </w:r>
            <w:r w:rsidRPr="002125BA">
              <w:rPr>
                <w:rFonts w:eastAsia="Arial" w:cs="Arial"/>
              </w:rPr>
              <w:t>/Doc.</w:t>
            </w:r>
            <w:r w:rsidR="0041168F" w:rsidRPr="002125BA">
              <w:rPr>
                <w:rFonts w:eastAsia="Arial" w:cs="Arial"/>
              </w:rPr>
              <w:t>31.1</w:t>
            </w:r>
            <w:r w:rsidR="002125BA" w:rsidRPr="002125BA">
              <w:rPr>
                <w:rFonts w:eastAsia="Arial" w:cs="Arial"/>
              </w:rPr>
              <w:t>/Rev</w:t>
            </w:r>
            <w:r w:rsidR="002125BA">
              <w:rPr>
                <w:rFonts w:eastAsia="Arial" w:cs="Arial"/>
              </w:rPr>
              <w:t>.1</w:t>
            </w:r>
          </w:p>
          <w:p w14:paraId="51739494" w14:textId="6544680B" w:rsidR="00EC2A58" w:rsidRPr="00AD2748" w:rsidRDefault="0041168F"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21 jui</w:t>
            </w:r>
            <w:r w:rsidR="002125BA">
              <w:rPr>
                <w:rFonts w:eastAsia="Arial" w:cs="Arial"/>
                <w:lang w:val="fr-FR"/>
              </w:rPr>
              <w:t>llet</w:t>
            </w:r>
            <w:r>
              <w:rPr>
                <w:rFonts w:eastAsia="Arial" w:cs="Arial"/>
                <w:lang w:val="fr-FR"/>
              </w:rPr>
              <w:t xml:space="preserve"> </w:t>
            </w:r>
            <w:r w:rsidR="00EC2A58" w:rsidRPr="00AD2748">
              <w:rPr>
                <w:rFonts w:eastAsia="Arial" w:cs="Arial"/>
                <w:lang w:val="fr-FR"/>
              </w:rPr>
              <w:t>20</w:t>
            </w:r>
            <w:r w:rsidR="00BA33FE" w:rsidRPr="00AD2748">
              <w:rPr>
                <w:rFonts w:eastAsia="Arial" w:cs="Arial"/>
                <w:lang w:val="fr-FR"/>
              </w:rPr>
              <w:t>23</w:t>
            </w:r>
          </w:p>
          <w:p w14:paraId="5A17DC3D" w14:textId="77777777" w:rsidR="00EC2A58" w:rsidRPr="0041168F"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41168F" w:rsidRDefault="00EC2A58" w:rsidP="00BB2C32">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64530F79"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2125BA">
        <w:rPr>
          <w:rFonts w:eastAsia="Arial" w:cs="Arial"/>
          <w:bCs/>
          <w:lang w:val="fr-FR"/>
        </w:rPr>
        <w:t>1</w:t>
      </w:r>
      <w:r>
        <w:rPr>
          <w:rFonts w:eastAsia="Arial" w:cs="Arial"/>
          <w:bCs/>
          <w:lang w:val="fr-FR"/>
        </w:rPr>
        <w:t xml:space="preserve">2 – </w:t>
      </w:r>
      <w:r w:rsidR="002125BA">
        <w:rPr>
          <w:rFonts w:eastAsia="Arial" w:cs="Arial"/>
          <w:bCs/>
          <w:lang w:val="fr-FR"/>
        </w:rPr>
        <w:t>17</w:t>
      </w:r>
      <w:r>
        <w:rPr>
          <w:rFonts w:eastAsia="Arial" w:cs="Arial"/>
          <w:bCs/>
          <w:lang w:val="fr-FR"/>
        </w:rPr>
        <w:t xml:space="preserve"> </w:t>
      </w:r>
      <w:r w:rsidR="002125BA">
        <w:rPr>
          <w:rFonts w:eastAsia="Arial" w:cs="Arial"/>
          <w:bCs/>
          <w:lang w:val="fr-FR"/>
        </w:rPr>
        <w:t>février</w:t>
      </w:r>
      <w:r>
        <w:rPr>
          <w:rFonts w:eastAsia="Arial" w:cs="Arial"/>
          <w:bCs/>
          <w:lang w:val="fr-FR"/>
        </w:rPr>
        <w:t xml:space="preserve"> 202</w:t>
      </w:r>
      <w:r w:rsidR="002125BA">
        <w:rPr>
          <w:rFonts w:eastAsia="Arial" w:cs="Arial"/>
          <w:bCs/>
          <w:lang w:val="fr-FR"/>
        </w:rPr>
        <w:t>4</w:t>
      </w:r>
    </w:p>
    <w:p w14:paraId="4DD0AB0D" w14:textId="0D499516"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41168F">
        <w:rPr>
          <w:rFonts w:eastAsia="Arial" w:cs="Arial"/>
          <w:iCs/>
          <w:lang w:val="fr-FR"/>
        </w:rPr>
        <w:t>31</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087768C6" w14:textId="77777777" w:rsidR="005F63AD" w:rsidRPr="0076294F" w:rsidRDefault="005F63AD" w:rsidP="005F63AD">
      <w:pPr>
        <w:spacing w:after="120"/>
        <w:jc w:val="center"/>
        <w:rPr>
          <w:rFonts w:cs="Arial"/>
          <w:b/>
          <w:lang w:val="fr-FR"/>
        </w:rPr>
      </w:pPr>
      <w:r>
        <w:rPr>
          <w:rFonts w:cs="Arial"/>
          <w:b/>
          <w:lang w:val="fr-FR"/>
        </w:rPr>
        <w:t>TAXONOMIE ET NOMENCLATURE</w:t>
      </w:r>
    </w:p>
    <w:p w14:paraId="67FB3650" w14:textId="77777777" w:rsidR="005F63AD" w:rsidRPr="002E0DE9" w:rsidRDefault="005F63AD" w:rsidP="005F63AD">
      <w:pPr>
        <w:widowControl w:val="0"/>
        <w:suppressAutoHyphens/>
        <w:autoSpaceDE w:val="0"/>
        <w:autoSpaceDN w:val="0"/>
        <w:jc w:val="center"/>
        <w:textAlignment w:val="baseline"/>
        <w:rPr>
          <w:rFonts w:ascii="Calibri" w:eastAsia="Calibri" w:hAnsi="Calibri" w:cs="Times New Roman"/>
          <w:lang w:val="fr-FR"/>
        </w:rPr>
      </w:pPr>
      <w:r>
        <w:rPr>
          <w:rFonts w:eastAsia="Times New Roman" w:cs="Arial"/>
          <w:lang w:val="fr-FR"/>
        </w:rPr>
        <w:t>(</w:t>
      </w:r>
      <w:r>
        <w:rPr>
          <w:rFonts w:eastAsia="Times New Roman" w:cs="Arial"/>
          <w:i/>
          <w:lang w:val="fr-FR"/>
        </w:rPr>
        <w:t>Préparé par le Conseil scientifique et le Secrétariat</w:t>
      </w:r>
      <w:r>
        <w:rPr>
          <w:rFonts w:eastAsia="Times New Roman" w:cs="Arial"/>
          <w:lang w:val="fr-FR"/>
        </w:rPr>
        <w:t>)</w:t>
      </w:r>
    </w:p>
    <w:p w14:paraId="2B5F98B8" w14:textId="77777777" w:rsidR="005F63AD" w:rsidRPr="002E0DE9" w:rsidRDefault="005F63AD" w:rsidP="005F63AD">
      <w:pPr>
        <w:widowControl w:val="0"/>
        <w:suppressAutoHyphens/>
        <w:autoSpaceDE w:val="0"/>
        <w:autoSpaceDN w:val="0"/>
        <w:jc w:val="both"/>
        <w:textAlignment w:val="baseline"/>
        <w:rPr>
          <w:rFonts w:eastAsia="Times New Roman" w:cs="Arial"/>
          <w:sz w:val="21"/>
          <w:szCs w:val="21"/>
          <w:lang w:val="fr-FR"/>
        </w:rPr>
      </w:pP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1171E74B">
                <wp:simplePos x="0" y="0"/>
                <wp:positionH relativeFrom="column">
                  <wp:posOffset>695325</wp:posOffset>
                </wp:positionH>
                <wp:positionV relativeFrom="paragraph">
                  <wp:posOffset>146050</wp:posOffset>
                </wp:positionV>
                <wp:extent cx="4743450" cy="3800475"/>
                <wp:effectExtent l="0" t="0" r="19050" b="28575"/>
                <wp:wrapNone/>
                <wp:docPr id="5" name="Text Box 4"/>
                <wp:cNvGraphicFramePr/>
                <a:graphic xmlns:a="http://schemas.openxmlformats.org/drawingml/2006/main">
                  <a:graphicData uri="http://schemas.microsoft.com/office/word/2010/wordprocessingShape">
                    <wps:wsp>
                      <wps:cNvSpPr txBox="1"/>
                      <wps:spPr>
                        <a:xfrm>
                          <a:off x="0" y="0"/>
                          <a:ext cx="4743450" cy="3800475"/>
                        </a:xfrm>
                        <a:prstGeom prst="rect">
                          <a:avLst/>
                        </a:prstGeom>
                        <a:solidFill>
                          <a:srgbClr val="FFFFFF"/>
                        </a:solidFill>
                        <a:ln w="3172">
                          <a:solidFill>
                            <a:srgbClr val="000000"/>
                          </a:solidFill>
                          <a:prstDash val="solid"/>
                        </a:ln>
                      </wps:spPr>
                      <wps:txbx>
                        <w:txbxContent>
                          <w:p w14:paraId="1663EA6C" w14:textId="77777777" w:rsidR="00EC2A58" w:rsidRPr="00810A15"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5D871484" w14:textId="77777777" w:rsidR="00810A15" w:rsidRDefault="00810A15" w:rsidP="00810A15">
                            <w:pPr>
                              <w:jc w:val="both"/>
                              <w:rPr>
                                <w:rFonts w:cs="Arial"/>
                                <w:sz w:val="21"/>
                                <w:szCs w:val="21"/>
                                <w:lang w:val="fr-FR"/>
                              </w:rPr>
                            </w:pPr>
                            <w:r>
                              <w:rPr>
                                <w:rFonts w:cs="Arial"/>
                                <w:sz w:val="21"/>
                                <w:szCs w:val="21"/>
                                <w:lang w:val="fr-FR"/>
                              </w:rPr>
                              <w:t xml:space="preserve">La Résolution 12.27 charge le Conseil scientifique d'examiner, lors de sa dernière rencontre avant chaque réunion de la Conférence des Parties, les versions en ligne mises à jour des références standard pour les oiseaux et les poissons en ce qui concerne les espèces inscrites aux Annexes et de faire des recommandations quant à la nécessité de mettre à jour le nom de toute espèce inscrite. </w:t>
                            </w:r>
                          </w:p>
                          <w:p w14:paraId="13A24358" w14:textId="77777777" w:rsidR="00810A15" w:rsidRPr="00132372" w:rsidRDefault="00810A15" w:rsidP="00810A15">
                            <w:pPr>
                              <w:jc w:val="both"/>
                              <w:rPr>
                                <w:rFonts w:cs="Arial"/>
                                <w:sz w:val="21"/>
                                <w:szCs w:val="21"/>
                                <w:lang w:val="fr-FR"/>
                              </w:rPr>
                            </w:pPr>
                          </w:p>
                          <w:p w14:paraId="222AF9E0" w14:textId="77777777" w:rsidR="00810A15" w:rsidRDefault="00810A15" w:rsidP="00810A15">
                            <w:pPr>
                              <w:jc w:val="both"/>
                              <w:rPr>
                                <w:rFonts w:cs="Arial"/>
                                <w:sz w:val="21"/>
                                <w:szCs w:val="21"/>
                                <w:lang w:val="fr-FR"/>
                              </w:rPr>
                            </w:pPr>
                            <w:r>
                              <w:rPr>
                                <w:rFonts w:cs="Arial"/>
                                <w:sz w:val="21"/>
                                <w:szCs w:val="21"/>
                                <w:lang w:val="fr-FR"/>
                              </w:rPr>
                              <w:t xml:space="preserve">Ce document présente les résultats des comparaisons de la taxonomie et de la nomenclature actuellement utilisées pour les taxons d'oiseaux et de poissons inscrits aux Annexes de la CMS avec les références standard pertinentes, et fait </w:t>
                            </w:r>
                            <w:r>
                              <w:rPr>
                                <w:sz w:val="21"/>
                                <w:lang w:val="fr-FR"/>
                              </w:rPr>
                              <w:t>des suggestions sur l'alignement des Annexes de la CMS sur les références standard pour les taxons respectifs</w:t>
                            </w:r>
                            <w:r>
                              <w:rPr>
                                <w:rFonts w:cs="Arial"/>
                                <w:sz w:val="21"/>
                                <w:szCs w:val="21"/>
                                <w:lang w:val="fr-FR"/>
                              </w:rPr>
                              <w:t>.</w:t>
                            </w:r>
                          </w:p>
                          <w:p w14:paraId="65C0CBC2" w14:textId="77777777" w:rsidR="00810A15" w:rsidRDefault="00810A15" w:rsidP="00810A15">
                            <w:pPr>
                              <w:jc w:val="both"/>
                              <w:rPr>
                                <w:rFonts w:cs="Arial"/>
                                <w:sz w:val="21"/>
                                <w:szCs w:val="21"/>
                                <w:lang w:val="fr-FR"/>
                              </w:rPr>
                            </w:pPr>
                          </w:p>
                          <w:p w14:paraId="3055B2F6" w14:textId="77777777" w:rsidR="00810A15" w:rsidRDefault="00810A15" w:rsidP="00810A15">
                            <w:pPr>
                              <w:jc w:val="both"/>
                              <w:rPr>
                                <w:rFonts w:cs="Arial"/>
                                <w:lang w:val="fr-FR"/>
                              </w:rPr>
                            </w:pPr>
                            <w:r>
                              <w:rPr>
                                <w:rFonts w:cs="Arial"/>
                                <w:lang w:val="fr-FR"/>
                              </w:rPr>
                              <w:t>En outre, une nouvelle référence taxonomique pour les mammifères marins est suggérée, comme le reflète la révision de la Résolution 12.27 proposée pour adoption.</w:t>
                            </w:r>
                          </w:p>
                          <w:p w14:paraId="632D4326" w14:textId="77777777" w:rsidR="00233921" w:rsidRDefault="00233921" w:rsidP="00810A15">
                            <w:pPr>
                              <w:jc w:val="both"/>
                              <w:rPr>
                                <w:rFonts w:cs="Arial"/>
                                <w:lang w:val="fr-FR"/>
                              </w:rPr>
                            </w:pPr>
                          </w:p>
                          <w:p w14:paraId="257C3F3F" w14:textId="6643644F" w:rsidR="002125BA" w:rsidRDefault="002125BA" w:rsidP="00810A15">
                            <w:pPr>
                              <w:jc w:val="both"/>
                              <w:rPr>
                                <w:rFonts w:cs="Arial"/>
                                <w:lang w:val="fr-FR"/>
                              </w:rPr>
                            </w:pPr>
                            <w:r w:rsidRPr="002125BA">
                              <w:rPr>
                                <w:rFonts w:cs="Arial"/>
                                <w:lang w:val="fr-FR"/>
                              </w:rPr>
                              <w:t>Le document propose également de nouvelles décisions.</w:t>
                            </w:r>
                          </w:p>
                          <w:p w14:paraId="423918DB" w14:textId="77777777" w:rsidR="002125BA" w:rsidRDefault="002125BA" w:rsidP="00810A15">
                            <w:pPr>
                              <w:jc w:val="both"/>
                              <w:rPr>
                                <w:rFonts w:cs="Arial"/>
                                <w:lang w:val="fr-FR"/>
                              </w:rPr>
                            </w:pPr>
                          </w:p>
                          <w:p w14:paraId="4F8A12C3" w14:textId="097B2062" w:rsidR="002125BA" w:rsidRDefault="002125BA" w:rsidP="00810A15">
                            <w:pPr>
                              <w:jc w:val="both"/>
                              <w:rPr>
                                <w:rFonts w:cs="Arial"/>
                                <w:lang w:val="fr-FR"/>
                              </w:rPr>
                            </w:pPr>
                            <w:r w:rsidRPr="002125BA">
                              <w:rPr>
                                <w:rFonts w:cs="Arial"/>
                                <w:lang w:val="fr-FR"/>
                              </w:rPr>
                              <w:t>Ce document a été révisé par le Comité de session du Conseil scientifique lors de sa 6e réunion en juillet 2023</w:t>
                            </w:r>
                            <w:r>
                              <w:rPr>
                                <w:rFonts w:cs="Arial"/>
                                <w:lang w:val="fr-FR"/>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54.75pt;margin-top:11.5pt;width:373.5pt;height:29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" strokeweight=".08811mm">
                <v:textbox>
                  <w:txbxContent>
                    <w:p w14:paraId="1663EA6C" w14:textId="77777777" w:rsidR="00EC2A58" w:rsidRPr="00810A15"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5D871484" w14:textId="77777777" w:rsidR="00810A15" w:rsidRDefault="00810A15" w:rsidP="00810A15">
                      <w:pPr>
                        <w:jc w:val="both"/>
                        <w:rPr>
                          <w:rFonts w:cs="Arial"/>
                          <w:sz w:val="21"/>
                          <w:szCs w:val="21"/>
                          <w:lang w:val="fr-FR"/>
                        </w:rPr>
                      </w:pPr>
                      <w:r>
                        <w:rPr>
                          <w:rFonts w:cs="Arial"/>
                          <w:sz w:val="21"/>
                          <w:szCs w:val="21"/>
                          <w:lang w:val="fr-FR"/>
                        </w:rPr>
                        <w:t xml:space="preserve">La Résolution 12.27 charge le Conseil scientifique d'examiner, lors de sa dernière rencontre avant chaque réunion de la Conférence des Parties, les versions en ligne mises à jour des références standard pour les oiseaux et les poissons en ce qui concerne les espèces inscrites aux Annexes et de faire des recommandations quant à la nécessité de mettre à jour le nom de toute espèce inscrite. </w:t>
                      </w:r>
                    </w:p>
                    <w:p w14:paraId="13A24358" w14:textId="77777777" w:rsidR="00810A15" w:rsidRPr="00132372" w:rsidRDefault="00810A15" w:rsidP="00810A15">
                      <w:pPr>
                        <w:jc w:val="both"/>
                        <w:rPr>
                          <w:rFonts w:cs="Arial"/>
                          <w:sz w:val="21"/>
                          <w:szCs w:val="21"/>
                          <w:lang w:val="fr-FR"/>
                        </w:rPr>
                      </w:pPr>
                    </w:p>
                    <w:p w14:paraId="222AF9E0" w14:textId="77777777" w:rsidR="00810A15" w:rsidRDefault="00810A15" w:rsidP="00810A15">
                      <w:pPr>
                        <w:jc w:val="both"/>
                        <w:rPr>
                          <w:rFonts w:cs="Arial"/>
                          <w:sz w:val="21"/>
                          <w:szCs w:val="21"/>
                          <w:lang w:val="fr-FR"/>
                        </w:rPr>
                      </w:pPr>
                      <w:r>
                        <w:rPr>
                          <w:rFonts w:cs="Arial"/>
                          <w:sz w:val="21"/>
                          <w:szCs w:val="21"/>
                          <w:lang w:val="fr-FR"/>
                        </w:rPr>
                        <w:t xml:space="preserve">Ce document présente les résultats des comparaisons de la taxonomie et de la nomenclature actuellement utilisées pour les taxons d'oiseaux et de poissons inscrits aux Annexes de la CMS avec les références standard pertinentes, et fait </w:t>
                      </w:r>
                      <w:r>
                        <w:rPr>
                          <w:sz w:val="21"/>
                          <w:lang w:val="fr-FR"/>
                        </w:rPr>
                        <w:t>des suggestions sur l'alignement des Annexes de la CMS sur les références standard pour les taxons respectifs</w:t>
                      </w:r>
                      <w:r>
                        <w:rPr>
                          <w:rFonts w:cs="Arial"/>
                          <w:sz w:val="21"/>
                          <w:szCs w:val="21"/>
                          <w:lang w:val="fr-FR"/>
                        </w:rPr>
                        <w:t>.</w:t>
                      </w:r>
                    </w:p>
                    <w:p w14:paraId="65C0CBC2" w14:textId="77777777" w:rsidR="00810A15" w:rsidRDefault="00810A15" w:rsidP="00810A15">
                      <w:pPr>
                        <w:jc w:val="both"/>
                        <w:rPr>
                          <w:rFonts w:cs="Arial"/>
                          <w:sz w:val="21"/>
                          <w:szCs w:val="21"/>
                          <w:lang w:val="fr-FR"/>
                        </w:rPr>
                      </w:pPr>
                    </w:p>
                    <w:p w14:paraId="3055B2F6" w14:textId="77777777" w:rsidR="00810A15" w:rsidRDefault="00810A15" w:rsidP="00810A15">
                      <w:pPr>
                        <w:jc w:val="both"/>
                        <w:rPr>
                          <w:rFonts w:cs="Arial"/>
                          <w:lang w:val="fr-FR"/>
                        </w:rPr>
                      </w:pPr>
                      <w:r>
                        <w:rPr>
                          <w:rFonts w:cs="Arial"/>
                          <w:lang w:val="fr-FR"/>
                        </w:rPr>
                        <w:t>En outre, une nouvelle référence taxonomique pour les mammifères marins est suggérée, comme le reflète la révision de la Résolution 12.27 proposée pour adoption.</w:t>
                      </w:r>
                    </w:p>
                    <w:p w14:paraId="632D4326" w14:textId="77777777" w:rsidR="00233921" w:rsidRDefault="00233921" w:rsidP="00810A15">
                      <w:pPr>
                        <w:jc w:val="both"/>
                        <w:rPr>
                          <w:rFonts w:cs="Arial"/>
                          <w:lang w:val="fr-FR"/>
                        </w:rPr>
                      </w:pPr>
                    </w:p>
                    <w:p w14:paraId="257C3F3F" w14:textId="6643644F" w:rsidR="002125BA" w:rsidRDefault="002125BA" w:rsidP="00810A15">
                      <w:pPr>
                        <w:jc w:val="both"/>
                        <w:rPr>
                          <w:rFonts w:cs="Arial"/>
                          <w:lang w:val="fr-FR"/>
                        </w:rPr>
                      </w:pPr>
                      <w:r w:rsidRPr="002125BA">
                        <w:rPr>
                          <w:rFonts w:cs="Arial"/>
                          <w:lang w:val="fr-FR"/>
                        </w:rPr>
                        <w:t>Le document propose également de nouvelles décisions.</w:t>
                      </w:r>
                    </w:p>
                    <w:p w14:paraId="423918DB" w14:textId="77777777" w:rsidR="002125BA" w:rsidRDefault="002125BA" w:rsidP="00810A15">
                      <w:pPr>
                        <w:jc w:val="both"/>
                        <w:rPr>
                          <w:rFonts w:cs="Arial"/>
                          <w:lang w:val="fr-FR"/>
                        </w:rPr>
                      </w:pPr>
                    </w:p>
                    <w:p w14:paraId="4F8A12C3" w14:textId="097B2062" w:rsidR="002125BA" w:rsidRDefault="002125BA" w:rsidP="00810A15">
                      <w:pPr>
                        <w:jc w:val="both"/>
                        <w:rPr>
                          <w:rFonts w:cs="Arial"/>
                          <w:lang w:val="fr-FR"/>
                        </w:rPr>
                      </w:pPr>
                      <w:r w:rsidRPr="002125BA">
                        <w:rPr>
                          <w:rFonts w:cs="Arial"/>
                          <w:lang w:val="fr-FR"/>
                        </w:rPr>
                        <w:t>Ce document a été révisé par le Comité de session du Conseil scientifique lors de sa 6e réunion en juillet 2023</w:t>
                      </w:r>
                      <w:r>
                        <w:rPr>
                          <w:rFonts w:cs="Arial"/>
                          <w:lang w:val="fr-FR"/>
                        </w:rPr>
                        <w:t>.</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69E50B4A" w14:textId="77777777" w:rsidR="00810A15" w:rsidRDefault="00810A15" w:rsidP="00810A15">
      <w:pPr>
        <w:jc w:val="center"/>
        <w:rPr>
          <w:rFonts w:cs="Arial"/>
          <w:u w:val="single"/>
          <w:lang w:val="fr-FR"/>
        </w:rPr>
      </w:pPr>
      <w:r>
        <w:rPr>
          <w:rFonts w:cs="Arial"/>
          <w:b/>
          <w:lang w:val="fr-FR"/>
        </w:rPr>
        <w:lastRenderedPageBreak/>
        <w:t>TAXONOMIE ET NOMENCLATURE</w:t>
      </w:r>
    </w:p>
    <w:p w14:paraId="12EEFB7D" w14:textId="77777777" w:rsidR="00810A15" w:rsidRDefault="00810A15" w:rsidP="00810A15">
      <w:pPr>
        <w:jc w:val="both"/>
        <w:rPr>
          <w:rFonts w:cs="Arial"/>
          <w:u w:val="single"/>
          <w:lang w:val="fr-FR"/>
        </w:rPr>
      </w:pPr>
    </w:p>
    <w:p w14:paraId="7532A992" w14:textId="77777777" w:rsidR="00810A15" w:rsidRDefault="00810A15" w:rsidP="00810A15">
      <w:pPr>
        <w:jc w:val="both"/>
        <w:rPr>
          <w:rFonts w:cs="Arial"/>
          <w:u w:val="single"/>
          <w:lang w:val="fr-FR"/>
        </w:rPr>
      </w:pPr>
    </w:p>
    <w:p w14:paraId="33A04AF7" w14:textId="77777777" w:rsidR="00810A15" w:rsidRDefault="00810A15" w:rsidP="00810A15">
      <w:pPr>
        <w:jc w:val="both"/>
        <w:rPr>
          <w:rFonts w:cs="Arial"/>
          <w:u w:val="single"/>
          <w:lang w:val="fr-FR"/>
        </w:rPr>
      </w:pPr>
      <w:r>
        <w:rPr>
          <w:rFonts w:cs="Arial"/>
          <w:u w:val="single"/>
          <w:lang w:val="fr-FR"/>
        </w:rPr>
        <w:t>Contexte</w:t>
      </w:r>
    </w:p>
    <w:p w14:paraId="2768A233" w14:textId="77777777" w:rsidR="00810A15" w:rsidRPr="00132372" w:rsidRDefault="00810A15" w:rsidP="00810A15">
      <w:pPr>
        <w:jc w:val="both"/>
        <w:rPr>
          <w:rFonts w:cs="Arial"/>
          <w:u w:val="single"/>
          <w:lang w:val="fr-FR"/>
        </w:rPr>
      </w:pPr>
    </w:p>
    <w:p w14:paraId="74234867" w14:textId="77777777" w:rsidR="00810A15" w:rsidRPr="00132372" w:rsidRDefault="00810A15" w:rsidP="00810A15">
      <w:pPr>
        <w:pStyle w:val="Firstnumbering"/>
        <w:contextualSpacing w:val="0"/>
        <w:rPr>
          <w:i/>
          <w:lang w:val="fr-FR"/>
        </w:rPr>
      </w:pPr>
      <w:r>
        <w:rPr>
          <w:lang w:val="fr-FR"/>
        </w:rPr>
        <w:t xml:space="preserve">La Résolution 12.27 </w:t>
      </w:r>
      <w:r>
        <w:rPr>
          <w:i/>
          <w:lang w:val="fr-FR"/>
        </w:rPr>
        <w:t xml:space="preserve">Taxonomie et Nomenclature </w:t>
      </w:r>
      <w:r>
        <w:rPr>
          <w:lang w:val="fr-FR"/>
        </w:rPr>
        <w:t>charge le Conseil scientifique d'examiner, lors de sa dernière rencontre avant chaque réunion de la Conférence des Parties, les versions en ligne des références sur les poissons et les oiseaux pour les espèces inscrites aux Annexes, et de faire des recommandations sur l'opportunité de mettre à jour le nom de toute espèce qui y figure.</w:t>
      </w:r>
      <w:r>
        <w:rPr>
          <w:lang w:val="fr-FR"/>
        </w:rPr>
        <w:cr/>
      </w:r>
    </w:p>
    <w:p w14:paraId="089D9B5F" w14:textId="77777777" w:rsidR="00810A15" w:rsidRPr="00132372" w:rsidRDefault="00810A15" w:rsidP="00810A15">
      <w:pPr>
        <w:pStyle w:val="Firstnumbering"/>
        <w:contextualSpacing w:val="0"/>
        <w:rPr>
          <w:lang w:val="fr-FR"/>
        </w:rPr>
      </w:pPr>
      <w:r>
        <w:rPr>
          <w:lang w:val="fr-FR"/>
        </w:rPr>
        <w:t>Dans le cadre de cette tâche, une comparaison de la taxonomie et de la nomenclature actuellement utilisées pour les taxons d'oiseaux et de poissons inscrits aux Annexes de la CMS avec les références standard pertinentes a été entreprise par les Conseillers nommés par la COP pour les poissons et les oiseaux, avec l'aide du Secrétariat. Les sections suivantes résument les résultats des comparaisons.</w:t>
      </w:r>
    </w:p>
    <w:p w14:paraId="36E58A1E" w14:textId="77777777" w:rsidR="00810A15" w:rsidRDefault="00810A15" w:rsidP="00810A15">
      <w:pPr>
        <w:jc w:val="both"/>
        <w:rPr>
          <w:rFonts w:cs="Arial"/>
          <w:i/>
          <w:iCs/>
          <w:lang w:val="fr-FR"/>
        </w:rPr>
      </w:pPr>
    </w:p>
    <w:p w14:paraId="1EF07DBD" w14:textId="77777777" w:rsidR="00810A15" w:rsidRPr="000051F9" w:rsidRDefault="00810A15" w:rsidP="00810A15">
      <w:pPr>
        <w:jc w:val="both"/>
        <w:rPr>
          <w:rFonts w:cs="Arial"/>
          <w:u w:val="single"/>
          <w:lang w:val="fr-FR"/>
        </w:rPr>
      </w:pPr>
      <w:r>
        <w:rPr>
          <w:rFonts w:cs="Arial"/>
          <w:u w:val="single"/>
          <w:lang w:val="fr-FR"/>
        </w:rPr>
        <w:t>Examen des références en ligne pour les oiseaux</w:t>
      </w:r>
    </w:p>
    <w:p w14:paraId="0B14712A" w14:textId="77777777" w:rsidR="00810A15" w:rsidRPr="004C78E2" w:rsidRDefault="00810A15" w:rsidP="00810A15">
      <w:pPr>
        <w:jc w:val="both"/>
        <w:rPr>
          <w:rFonts w:cs="Arial"/>
          <w:i/>
          <w:lang w:val="fr-FR"/>
        </w:rPr>
      </w:pPr>
    </w:p>
    <w:p w14:paraId="2A45FFE6" w14:textId="7FB50B1A" w:rsidR="00810A15" w:rsidRPr="00EE4B7C" w:rsidRDefault="00810A15" w:rsidP="00810A15">
      <w:pPr>
        <w:pStyle w:val="Firstnumbering"/>
        <w:contextualSpacing w:val="0"/>
        <w:rPr>
          <w:lang w:val="fr-FR"/>
        </w:rPr>
      </w:pPr>
      <w:r>
        <w:rPr>
          <w:lang w:val="fr-FR"/>
        </w:rPr>
        <w:t>La Résolution 12.27 désigne le texte suivant comme référence standard pour les oiseaux:</w:t>
      </w:r>
    </w:p>
    <w:p w14:paraId="5A76D167" w14:textId="77777777" w:rsidR="00810A15" w:rsidRPr="00EE4B7C" w:rsidRDefault="00810A15" w:rsidP="00810A15">
      <w:pPr>
        <w:pStyle w:val="ListParagraph"/>
        <w:ind w:left="504"/>
        <w:contextualSpacing w:val="0"/>
        <w:jc w:val="both"/>
        <w:rPr>
          <w:rFonts w:cs="Arial"/>
          <w:lang w:val="fr-FR"/>
        </w:rPr>
      </w:pPr>
    </w:p>
    <w:p w14:paraId="1B4C34C3" w14:textId="77777777" w:rsidR="00810A15" w:rsidRPr="00EE4B7C" w:rsidRDefault="00810A15" w:rsidP="00810A15">
      <w:pPr>
        <w:pStyle w:val="ListParagraph"/>
        <w:widowControl w:val="0"/>
        <w:numPr>
          <w:ilvl w:val="0"/>
          <w:numId w:val="3"/>
        </w:numPr>
        <w:suppressAutoHyphens/>
        <w:autoSpaceDE w:val="0"/>
        <w:autoSpaceDN w:val="0"/>
        <w:contextualSpacing w:val="0"/>
        <w:jc w:val="both"/>
        <w:textAlignment w:val="baseline"/>
        <w:rPr>
          <w:rFonts w:cs="Arial"/>
          <w:lang w:val="fr-FR"/>
        </w:rPr>
      </w:pPr>
      <w:r>
        <w:rPr>
          <w:rFonts w:cs="Arial"/>
          <w:lang w:val="fr-FR"/>
        </w:rPr>
        <w:t xml:space="preserve">Pour les espèces </w:t>
      </w:r>
      <w:proofErr w:type="gramStart"/>
      <w:r>
        <w:rPr>
          <w:rFonts w:cs="Arial"/>
          <w:lang w:val="fr-FR"/>
        </w:rPr>
        <w:t>non passereaux</w:t>
      </w:r>
      <w:proofErr w:type="gramEnd"/>
      <w:r>
        <w:rPr>
          <w:rFonts w:cs="Arial"/>
          <w:lang w:val="fr-FR"/>
        </w:rPr>
        <w:t xml:space="preserve"> : Del </w:t>
      </w:r>
      <w:proofErr w:type="spellStart"/>
      <w:r>
        <w:rPr>
          <w:rFonts w:cs="Arial"/>
          <w:lang w:val="fr-FR"/>
        </w:rPr>
        <w:t>Hoyo</w:t>
      </w:r>
      <w:proofErr w:type="spellEnd"/>
      <w:r>
        <w:rPr>
          <w:rFonts w:cs="Arial"/>
          <w:lang w:val="fr-FR"/>
        </w:rPr>
        <w:t xml:space="preserve">, J. &amp; </w:t>
      </w:r>
      <w:proofErr w:type="spellStart"/>
      <w:r>
        <w:rPr>
          <w:rFonts w:cs="Arial"/>
          <w:lang w:val="fr-FR"/>
        </w:rPr>
        <w:t>Collar</w:t>
      </w:r>
      <w:proofErr w:type="spellEnd"/>
      <w:r>
        <w:rPr>
          <w:rFonts w:cs="Arial"/>
          <w:lang w:val="fr-FR"/>
        </w:rPr>
        <w:t xml:space="preserve">, N.J. (2014). </w:t>
      </w:r>
      <w:r w:rsidRPr="00A51C0F">
        <w:rPr>
          <w:i/>
        </w:rPr>
        <w:t xml:space="preserve">Handbook of the Birds of the World and </w:t>
      </w:r>
      <w:proofErr w:type="spellStart"/>
      <w:r w:rsidRPr="00A51C0F">
        <w:rPr>
          <w:i/>
        </w:rPr>
        <w:t>BirdLife</w:t>
      </w:r>
      <w:proofErr w:type="spellEnd"/>
      <w:r w:rsidRPr="00A51C0F">
        <w:rPr>
          <w:i/>
        </w:rPr>
        <w:t xml:space="preserve"> International Illustrated Checklist of the Birds of the World</w:t>
      </w:r>
      <w:r w:rsidRPr="00A51C0F">
        <w:rPr>
          <w:rFonts w:cs="Arial"/>
        </w:rPr>
        <w:t xml:space="preserve">. </w:t>
      </w:r>
      <w:r>
        <w:rPr>
          <w:i/>
          <w:lang w:val="fr-FR"/>
        </w:rPr>
        <w:t>Volume 1: Non-passerines</w:t>
      </w:r>
      <w:r>
        <w:rPr>
          <w:rFonts w:cs="Arial"/>
          <w:lang w:val="fr-FR"/>
        </w:rPr>
        <w:t xml:space="preserve">. Lynx </w:t>
      </w:r>
      <w:proofErr w:type="spellStart"/>
      <w:r>
        <w:rPr>
          <w:rFonts w:cs="Arial"/>
          <w:lang w:val="fr-FR"/>
        </w:rPr>
        <w:t>Edicions</w:t>
      </w:r>
      <w:proofErr w:type="spellEnd"/>
      <w:r>
        <w:rPr>
          <w:rFonts w:cs="Arial"/>
          <w:lang w:val="fr-FR"/>
        </w:rPr>
        <w:t>, Barcelona;</w:t>
      </w:r>
    </w:p>
    <w:p w14:paraId="5590D63C" w14:textId="77777777" w:rsidR="00810A15" w:rsidRPr="00EE4B7C" w:rsidRDefault="00810A15" w:rsidP="00810A15">
      <w:pPr>
        <w:widowControl w:val="0"/>
        <w:suppressAutoHyphens/>
        <w:autoSpaceDE w:val="0"/>
        <w:autoSpaceDN w:val="0"/>
        <w:jc w:val="both"/>
        <w:textAlignment w:val="baseline"/>
        <w:rPr>
          <w:rFonts w:cs="Arial"/>
          <w:lang w:val="fr-FR"/>
        </w:rPr>
      </w:pPr>
    </w:p>
    <w:p w14:paraId="30779AE2" w14:textId="77777777" w:rsidR="00810A15" w:rsidRPr="00EE4B7C" w:rsidRDefault="00810A15" w:rsidP="00810A15">
      <w:pPr>
        <w:pStyle w:val="ListParagraph"/>
        <w:widowControl w:val="0"/>
        <w:numPr>
          <w:ilvl w:val="0"/>
          <w:numId w:val="3"/>
        </w:numPr>
        <w:suppressAutoHyphens/>
        <w:autoSpaceDE w:val="0"/>
        <w:autoSpaceDN w:val="0"/>
        <w:contextualSpacing w:val="0"/>
        <w:jc w:val="both"/>
        <w:textAlignment w:val="baseline"/>
        <w:rPr>
          <w:rFonts w:cs="Arial"/>
          <w:lang w:val="fr-FR"/>
        </w:rPr>
      </w:pPr>
      <w:r>
        <w:rPr>
          <w:rFonts w:cs="Arial"/>
          <w:lang w:val="fr-FR"/>
        </w:rPr>
        <w:t xml:space="preserve">Pour les espèces de passereaux : Del </w:t>
      </w:r>
      <w:proofErr w:type="spellStart"/>
      <w:r>
        <w:rPr>
          <w:rFonts w:cs="Arial"/>
          <w:lang w:val="fr-FR"/>
        </w:rPr>
        <w:t>Hoyo</w:t>
      </w:r>
      <w:proofErr w:type="spellEnd"/>
      <w:r>
        <w:rPr>
          <w:rFonts w:cs="Arial"/>
          <w:lang w:val="fr-FR"/>
        </w:rPr>
        <w:t xml:space="preserve">, J. &amp; </w:t>
      </w:r>
      <w:proofErr w:type="spellStart"/>
      <w:r>
        <w:rPr>
          <w:rFonts w:cs="Arial"/>
          <w:lang w:val="fr-FR"/>
        </w:rPr>
        <w:t>Collar</w:t>
      </w:r>
      <w:proofErr w:type="spellEnd"/>
      <w:r>
        <w:rPr>
          <w:rFonts w:cs="Arial"/>
          <w:lang w:val="fr-FR"/>
        </w:rPr>
        <w:t xml:space="preserve">, N.J. (2016). </w:t>
      </w:r>
      <w:r w:rsidRPr="00A51C0F">
        <w:rPr>
          <w:i/>
        </w:rPr>
        <w:t xml:space="preserve">Handbook of the Birds of the World and </w:t>
      </w:r>
      <w:proofErr w:type="spellStart"/>
      <w:r w:rsidRPr="00A51C0F">
        <w:rPr>
          <w:i/>
        </w:rPr>
        <w:t>BirdLife</w:t>
      </w:r>
      <w:proofErr w:type="spellEnd"/>
      <w:r w:rsidRPr="00A51C0F">
        <w:rPr>
          <w:i/>
        </w:rPr>
        <w:t xml:space="preserve"> International Illustrated Checklist of the Birds of the World. </w:t>
      </w:r>
      <w:r>
        <w:rPr>
          <w:i/>
          <w:lang w:val="fr-FR"/>
        </w:rPr>
        <w:t>Volume 2: Passerines</w:t>
      </w:r>
      <w:r>
        <w:rPr>
          <w:rFonts w:cs="Arial"/>
          <w:lang w:val="fr-FR"/>
        </w:rPr>
        <w:t xml:space="preserve">. Lynx </w:t>
      </w:r>
      <w:proofErr w:type="spellStart"/>
      <w:r>
        <w:rPr>
          <w:rFonts w:cs="Arial"/>
          <w:lang w:val="fr-FR"/>
        </w:rPr>
        <w:t>Edicions</w:t>
      </w:r>
      <w:proofErr w:type="spellEnd"/>
      <w:r>
        <w:rPr>
          <w:rFonts w:cs="Arial"/>
          <w:lang w:val="fr-FR"/>
        </w:rPr>
        <w:t xml:space="preserve">, Barcelona; </w:t>
      </w:r>
    </w:p>
    <w:p w14:paraId="777D96D5" w14:textId="77777777" w:rsidR="00810A15" w:rsidRPr="00EE4B7C" w:rsidRDefault="00810A15" w:rsidP="00810A15">
      <w:pPr>
        <w:pStyle w:val="ListParagraph"/>
        <w:ind w:left="504"/>
        <w:contextualSpacing w:val="0"/>
        <w:jc w:val="both"/>
        <w:rPr>
          <w:rFonts w:cs="Arial"/>
          <w:lang w:val="fr-FR"/>
        </w:rPr>
      </w:pPr>
    </w:p>
    <w:p w14:paraId="28105534" w14:textId="77777777" w:rsidR="00810A15" w:rsidRPr="00EE4B7C" w:rsidRDefault="00810A15" w:rsidP="00810A15">
      <w:pPr>
        <w:pStyle w:val="Firstnumbering"/>
        <w:contextualSpacing w:val="0"/>
        <w:rPr>
          <w:lang w:val="fr-FR"/>
        </w:rPr>
      </w:pPr>
      <w:r>
        <w:rPr>
          <w:lang w:val="fr-FR"/>
        </w:rPr>
        <w:t xml:space="preserve">À partir du 19 avril 2023, la version en ligne de cette référence standard pour les espèces inscrites aux Annexes de la CMS est le </w:t>
      </w:r>
      <w:proofErr w:type="spellStart"/>
      <w:r>
        <w:rPr>
          <w:i/>
          <w:lang w:val="fr-FR"/>
        </w:rPr>
        <w:t>Handbook</w:t>
      </w:r>
      <w:proofErr w:type="spellEnd"/>
      <w:r>
        <w:rPr>
          <w:i/>
          <w:lang w:val="fr-FR"/>
        </w:rPr>
        <w:t xml:space="preserve"> of the </w:t>
      </w:r>
      <w:proofErr w:type="spellStart"/>
      <w:r>
        <w:rPr>
          <w:i/>
          <w:lang w:val="fr-FR"/>
        </w:rPr>
        <w:t>Birds</w:t>
      </w:r>
      <w:proofErr w:type="spellEnd"/>
      <w:r>
        <w:rPr>
          <w:i/>
          <w:lang w:val="fr-FR"/>
        </w:rPr>
        <w:t xml:space="preserve"> of the World and </w:t>
      </w:r>
      <w:proofErr w:type="spellStart"/>
      <w:r>
        <w:rPr>
          <w:i/>
          <w:lang w:val="fr-FR"/>
        </w:rPr>
        <w:t>BirdLife</w:t>
      </w:r>
      <w:proofErr w:type="spellEnd"/>
      <w:r>
        <w:rPr>
          <w:i/>
          <w:lang w:val="fr-FR"/>
        </w:rPr>
        <w:t xml:space="preserve"> </w:t>
      </w:r>
      <w:proofErr w:type="spellStart"/>
      <w:r>
        <w:rPr>
          <w:i/>
          <w:lang w:val="fr-FR"/>
        </w:rPr>
        <w:t>Taxonomic</w:t>
      </w:r>
      <w:proofErr w:type="spellEnd"/>
      <w:r>
        <w:rPr>
          <w:i/>
          <w:lang w:val="fr-FR"/>
        </w:rPr>
        <w:t xml:space="preserve"> Checklist v7</w:t>
      </w:r>
      <w:r>
        <w:rPr>
          <w:lang w:val="fr-FR"/>
        </w:rPr>
        <w:t>, disponible à l'adresse suivante :</w:t>
      </w:r>
    </w:p>
    <w:p w14:paraId="15A16E0E" w14:textId="77777777" w:rsidR="00810A15" w:rsidRPr="00EE4B7C" w:rsidRDefault="00810A15" w:rsidP="00810A15">
      <w:pPr>
        <w:pStyle w:val="Firstnumbering"/>
        <w:numPr>
          <w:ilvl w:val="0"/>
          <w:numId w:val="0"/>
        </w:numPr>
        <w:ind w:left="540"/>
        <w:contextualSpacing w:val="0"/>
        <w:rPr>
          <w:lang w:val="fr-FR"/>
        </w:rPr>
      </w:pPr>
    </w:p>
    <w:p w14:paraId="6D07D178" w14:textId="77777777" w:rsidR="00810A15" w:rsidRDefault="001916E7" w:rsidP="00810A15">
      <w:pPr>
        <w:pStyle w:val="ListParagraph"/>
        <w:ind w:left="504"/>
        <w:contextualSpacing w:val="0"/>
        <w:jc w:val="both"/>
        <w:rPr>
          <w:rFonts w:cs="Arial"/>
          <w:lang w:val="fr-FR"/>
        </w:rPr>
      </w:pPr>
      <w:hyperlink r:id="rId17" w:history="1">
        <w:r w:rsidR="00810A15">
          <w:rPr>
            <w:rStyle w:val="Hyperlink"/>
            <w:rFonts w:cs="Arial"/>
            <w:lang w:val="fr-FR"/>
          </w:rPr>
          <w:t>http://datazone.birdlife.org/species/taxonomy</w:t>
        </w:r>
      </w:hyperlink>
      <w:r w:rsidR="00810A15">
        <w:rPr>
          <w:rFonts w:cs="Arial"/>
          <w:lang w:val="fr-FR"/>
        </w:rPr>
        <w:t>.</w:t>
      </w:r>
    </w:p>
    <w:p w14:paraId="5FFBE63F" w14:textId="77777777" w:rsidR="00810A15" w:rsidRDefault="00810A15" w:rsidP="00810A15">
      <w:pPr>
        <w:pStyle w:val="ListParagraph"/>
        <w:ind w:left="504"/>
        <w:contextualSpacing w:val="0"/>
        <w:jc w:val="both"/>
        <w:rPr>
          <w:rFonts w:cs="Arial"/>
          <w:lang w:val="fr-FR"/>
        </w:rPr>
      </w:pPr>
    </w:p>
    <w:p w14:paraId="5DBCF040" w14:textId="77777777" w:rsidR="00810A15" w:rsidRDefault="00810A15" w:rsidP="00810A15">
      <w:pPr>
        <w:pStyle w:val="Firstnumbering"/>
        <w:contextualSpacing w:val="0"/>
        <w:rPr>
          <w:lang w:val="fr-FR"/>
        </w:rPr>
      </w:pPr>
      <w:r>
        <w:rPr>
          <w:lang w:val="fr-FR"/>
        </w:rPr>
        <w:t xml:space="preserve">Une comparaison de la taxonomie et de la nomenclature utilisées pour les taxons d'oiseaux actuellement inscrits aux Annexes de la CMS avec la référence en ligne pour les oiseaux a permis de déterminer que le genre </w:t>
      </w:r>
      <w:proofErr w:type="spellStart"/>
      <w:r>
        <w:rPr>
          <w:i/>
          <w:iCs/>
          <w:lang w:val="fr-FR"/>
        </w:rPr>
        <w:t>Antigonespp</w:t>
      </w:r>
      <w:proofErr w:type="spellEnd"/>
      <w:r>
        <w:rPr>
          <w:lang w:val="fr-FR"/>
        </w:rPr>
        <w:t xml:space="preserve">. (actuellement inscrit à l'Annexe II sous le nom de </w:t>
      </w:r>
      <w:r>
        <w:rPr>
          <w:i/>
          <w:iCs/>
          <w:lang w:val="fr-FR"/>
        </w:rPr>
        <w:t>Antigone</w:t>
      </w:r>
      <w:r>
        <w:rPr>
          <w:lang w:val="fr-FR"/>
        </w:rPr>
        <w:t xml:space="preserve"> </w:t>
      </w:r>
      <w:proofErr w:type="spellStart"/>
      <w:r>
        <w:rPr>
          <w:lang w:val="fr-FR"/>
        </w:rPr>
        <w:t>spp</w:t>
      </w:r>
      <w:proofErr w:type="spellEnd"/>
      <w:r>
        <w:rPr>
          <w:lang w:val="fr-FR"/>
        </w:rPr>
        <w:t xml:space="preserve">.) est désormais inclus dans le genre </w:t>
      </w:r>
      <w:r>
        <w:rPr>
          <w:i/>
          <w:iCs/>
          <w:lang w:val="fr-FR"/>
        </w:rPr>
        <w:t>Grus</w:t>
      </w:r>
      <w:r>
        <w:rPr>
          <w:lang w:val="fr-FR"/>
        </w:rPr>
        <w:t xml:space="preserve"> (inscrit à l'Annexe II sous la désignation </w:t>
      </w:r>
      <w:r>
        <w:rPr>
          <w:i/>
          <w:iCs/>
          <w:lang w:val="fr-FR"/>
        </w:rPr>
        <w:t>Grus</w:t>
      </w:r>
      <w:r>
        <w:rPr>
          <w:lang w:val="fr-FR"/>
        </w:rPr>
        <w:t xml:space="preserve"> </w:t>
      </w:r>
      <w:proofErr w:type="spellStart"/>
      <w:r>
        <w:rPr>
          <w:lang w:val="fr-FR"/>
        </w:rPr>
        <w:t>spp</w:t>
      </w:r>
      <w:proofErr w:type="spellEnd"/>
      <w:r>
        <w:rPr>
          <w:lang w:val="fr-FR"/>
        </w:rPr>
        <w:t xml:space="preserve">). Toutes les espèces précédemment contenues dans </w:t>
      </w:r>
      <w:r>
        <w:rPr>
          <w:i/>
          <w:iCs/>
          <w:lang w:val="fr-FR"/>
        </w:rPr>
        <w:t>Antigone</w:t>
      </w:r>
      <w:r>
        <w:rPr>
          <w:lang w:val="fr-FR"/>
        </w:rPr>
        <w:t xml:space="preserve"> sont désormais affectées au genre </w:t>
      </w:r>
      <w:r>
        <w:rPr>
          <w:i/>
          <w:iCs/>
          <w:lang w:val="fr-FR"/>
        </w:rPr>
        <w:t>Grus</w:t>
      </w:r>
      <w:r>
        <w:rPr>
          <w:lang w:val="fr-FR"/>
        </w:rPr>
        <w:t xml:space="preserve">. Les espèces précédemment contenues dans </w:t>
      </w:r>
      <w:r>
        <w:rPr>
          <w:i/>
          <w:iCs/>
          <w:lang w:val="fr-FR"/>
        </w:rPr>
        <w:t>Antigone</w:t>
      </w:r>
      <w:r>
        <w:rPr>
          <w:lang w:val="fr-FR"/>
        </w:rPr>
        <w:t xml:space="preserve"> sont la Grue </w:t>
      </w:r>
      <w:proofErr w:type="spellStart"/>
      <w:r>
        <w:rPr>
          <w:lang w:val="fr-FR"/>
        </w:rPr>
        <w:t>brolga</w:t>
      </w:r>
      <w:proofErr w:type="spellEnd"/>
      <w:r>
        <w:rPr>
          <w:lang w:val="fr-FR"/>
        </w:rPr>
        <w:t xml:space="preserve"> (</w:t>
      </w:r>
      <w:r>
        <w:rPr>
          <w:i/>
          <w:iCs/>
          <w:lang w:val="fr-FR"/>
        </w:rPr>
        <w:t xml:space="preserve">Grus </w:t>
      </w:r>
      <w:proofErr w:type="spellStart"/>
      <w:r>
        <w:rPr>
          <w:i/>
          <w:iCs/>
          <w:lang w:val="fr-FR"/>
        </w:rPr>
        <w:t>rubicunda</w:t>
      </w:r>
      <w:proofErr w:type="spellEnd"/>
      <w:r>
        <w:rPr>
          <w:lang w:val="fr-FR"/>
        </w:rPr>
        <w:t>), la Grue du Canada (</w:t>
      </w:r>
      <w:r>
        <w:rPr>
          <w:i/>
          <w:iCs/>
          <w:lang w:val="fr-FR"/>
        </w:rPr>
        <w:t xml:space="preserve">Grus </w:t>
      </w:r>
      <w:proofErr w:type="spellStart"/>
      <w:r>
        <w:rPr>
          <w:i/>
          <w:iCs/>
          <w:lang w:val="fr-FR"/>
        </w:rPr>
        <w:t>canadensis</w:t>
      </w:r>
      <w:proofErr w:type="spellEnd"/>
      <w:r>
        <w:rPr>
          <w:lang w:val="fr-FR"/>
        </w:rPr>
        <w:t xml:space="preserve">), la Grue </w:t>
      </w:r>
      <w:proofErr w:type="spellStart"/>
      <w:r>
        <w:rPr>
          <w:lang w:val="fr-FR"/>
        </w:rPr>
        <w:t>antigone</w:t>
      </w:r>
      <w:proofErr w:type="spellEnd"/>
      <w:r>
        <w:rPr>
          <w:lang w:val="fr-FR"/>
        </w:rPr>
        <w:t xml:space="preserve"> (</w:t>
      </w:r>
      <w:r>
        <w:rPr>
          <w:i/>
          <w:iCs/>
          <w:lang w:val="fr-FR"/>
        </w:rPr>
        <w:t xml:space="preserve">Grus </w:t>
      </w:r>
      <w:proofErr w:type="spellStart"/>
      <w:r>
        <w:rPr>
          <w:i/>
          <w:iCs/>
          <w:lang w:val="fr-FR"/>
        </w:rPr>
        <w:t>antigone</w:t>
      </w:r>
      <w:proofErr w:type="spellEnd"/>
      <w:r>
        <w:rPr>
          <w:lang w:val="fr-FR"/>
        </w:rPr>
        <w:t>) et la Grue à cou blanc (</w:t>
      </w:r>
      <w:r>
        <w:rPr>
          <w:i/>
          <w:iCs/>
          <w:lang w:val="fr-FR"/>
        </w:rPr>
        <w:t xml:space="preserve">Grus </w:t>
      </w:r>
      <w:proofErr w:type="spellStart"/>
      <w:r>
        <w:rPr>
          <w:i/>
          <w:iCs/>
          <w:lang w:val="fr-FR"/>
        </w:rPr>
        <w:t>vipio</w:t>
      </w:r>
      <w:proofErr w:type="spellEnd"/>
      <w:r>
        <w:rPr>
          <w:lang w:val="fr-FR"/>
        </w:rPr>
        <w:t xml:space="preserve">). Cette dernière est actuellement inscrite à l'Annexe I sous le nom de </w:t>
      </w:r>
      <w:r>
        <w:rPr>
          <w:i/>
          <w:iCs/>
          <w:lang w:val="fr-FR"/>
        </w:rPr>
        <w:t xml:space="preserve">Antigone </w:t>
      </w:r>
      <w:proofErr w:type="spellStart"/>
      <w:r>
        <w:rPr>
          <w:i/>
          <w:iCs/>
          <w:lang w:val="fr-FR"/>
        </w:rPr>
        <w:t>vipio</w:t>
      </w:r>
      <w:proofErr w:type="spellEnd"/>
      <w:r>
        <w:rPr>
          <w:lang w:val="fr-FR"/>
        </w:rPr>
        <w:t xml:space="preserve">. </w:t>
      </w:r>
    </w:p>
    <w:p w14:paraId="3459C0A3" w14:textId="77777777" w:rsidR="00810A15" w:rsidRDefault="00810A15" w:rsidP="00810A15">
      <w:pPr>
        <w:pStyle w:val="Firstnumbering"/>
        <w:numPr>
          <w:ilvl w:val="0"/>
          <w:numId w:val="0"/>
        </w:numPr>
        <w:ind w:left="504"/>
        <w:contextualSpacing w:val="0"/>
        <w:rPr>
          <w:lang w:val="fr-FR"/>
        </w:rPr>
      </w:pPr>
    </w:p>
    <w:p w14:paraId="723FEA94" w14:textId="77777777" w:rsidR="00810A15" w:rsidRDefault="00810A15" w:rsidP="00810A15">
      <w:pPr>
        <w:pStyle w:val="Firstnumbering"/>
        <w:contextualSpacing w:val="0"/>
        <w:rPr>
          <w:lang w:val="fr-FR"/>
        </w:rPr>
      </w:pPr>
      <w:r>
        <w:rPr>
          <w:lang w:val="fr-FR"/>
        </w:rPr>
        <w:t xml:space="preserve">Par conséquent, le genre </w:t>
      </w:r>
      <w:r>
        <w:rPr>
          <w:i/>
          <w:iCs/>
          <w:lang w:val="fr-FR"/>
        </w:rPr>
        <w:t>Grus</w:t>
      </w:r>
      <w:r>
        <w:rPr>
          <w:lang w:val="fr-FR"/>
        </w:rPr>
        <w:t xml:space="preserve"> contient désormais : la Grue du Canada (</w:t>
      </w:r>
      <w:r>
        <w:rPr>
          <w:i/>
          <w:iCs/>
          <w:lang w:val="fr-FR"/>
        </w:rPr>
        <w:t xml:space="preserve">Grus </w:t>
      </w:r>
      <w:proofErr w:type="spellStart"/>
      <w:r>
        <w:rPr>
          <w:i/>
          <w:iCs/>
          <w:lang w:val="fr-FR"/>
        </w:rPr>
        <w:t>canadensis</w:t>
      </w:r>
      <w:proofErr w:type="spellEnd"/>
      <w:r>
        <w:rPr>
          <w:lang w:val="fr-FR"/>
        </w:rPr>
        <w:t>), la Grue à cou blanc (</w:t>
      </w:r>
      <w:r>
        <w:rPr>
          <w:i/>
          <w:iCs/>
          <w:lang w:val="fr-FR"/>
        </w:rPr>
        <w:t xml:space="preserve">Grus </w:t>
      </w:r>
      <w:proofErr w:type="spellStart"/>
      <w:r>
        <w:rPr>
          <w:i/>
          <w:iCs/>
          <w:lang w:val="fr-FR"/>
        </w:rPr>
        <w:t>vipio</w:t>
      </w:r>
      <w:proofErr w:type="spellEnd"/>
      <w:r>
        <w:rPr>
          <w:lang w:val="fr-FR"/>
        </w:rPr>
        <w:t xml:space="preserve">), la Grue </w:t>
      </w:r>
      <w:proofErr w:type="spellStart"/>
      <w:r>
        <w:rPr>
          <w:lang w:val="fr-FR"/>
        </w:rPr>
        <w:t>antigone</w:t>
      </w:r>
      <w:proofErr w:type="spellEnd"/>
      <w:r>
        <w:rPr>
          <w:lang w:val="fr-FR"/>
        </w:rPr>
        <w:t xml:space="preserve"> (</w:t>
      </w:r>
      <w:r>
        <w:rPr>
          <w:i/>
          <w:iCs/>
          <w:lang w:val="fr-FR"/>
        </w:rPr>
        <w:t xml:space="preserve">Grus </w:t>
      </w:r>
      <w:proofErr w:type="spellStart"/>
      <w:r>
        <w:rPr>
          <w:i/>
          <w:iCs/>
          <w:lang w:val="fr-FR"/>
        </w:rPr>
        <w:t>antigone</w:t>
      </w:r>
      <w:proofErr w:type="spellEnd"/>
      <w:r>
        <w:rPr>
          <w:lang w:val="fr-FR"/>
        </w:rPr>
        <w:t xml:space="preserve">), la Grue de </w:t>
      </w:r>
      <w:proofErr w:type="spellStart"/>
      <w:r>
        <w:rPr>
          <w:lang w:val="fr-FR"/>
        </w:rPr>
        <w:t>Brolga</w:t>
      </w:r>
      <w:proofErr w:type="spellEnd"/>
      <w:r>
        <w:rPr>
          <w:lang w:val="fr-FR"/>
        </w:rPr>
        <w:t xml:space="preserve"> (</w:t>
      </w:r>
      <w:r>
        <w:rPr>
          <w:i/>
          <w:iCs/>
          <w:lang w:val="fr-FR"/>
        </w:rPr>
        <w:t xml:space="preserve">Grus </w:t>
      </w:r>
      <w:proofErr w:type="spellStart"/>
      <w:r>
        <w:rPr>
          <w:i/>
          <w:iCs/>
          <w:lang w:val="fr-FR"/>
        </w:rPr>
        <w:t>rubicunda</w:t>
      </w:r>
      <w:proofErr w:type="spellEnd"/>
      <w:r>
        <w:rPr>
          <w:lang w:val="fr-FR"/>
        </w:rPr>
        <w:t>), la Grue à couronne rouge (</w:t>
      </w:r>
      <w:r>
        <w:rPr>
          <w:i/>
          <w:iCs/>
          <w:lang w:val="fr-FR"/>
        </w:rPr>
        <w:t xml:space="preserve">Grus </w:t>
      </w:r>
      <w:proofErr w:type="spellStart"/>
      <w:r>
        <w:rPr>
          <w:i/>
          <w:iCs/>
          <w:lang w:val="fr-FR"/>
        </w:rPr>
        <w:t>japonensis</w:t>
      </w:r>
      <w:proofErr w:type="spellEnd"/>
      <w:r>
        <w:rPr>
          <w:lang w:val="fr-FR"/>
        </w:rPr>
        <w:t>), la Grue blanche (</w:t>
      </w:r>
      <w:r>
        <w:rPr>
          <w:i/>
          <w:iCs/>
          <w:lang w:val="fr-FR"/>
        </w:rPr>
        <w:t>Grus americana</w:t>
      </w:r>
      <w:r>
        <w:rPr>
          <w:lang w:val="fr-FR"/>
        </w:rPr>
        <w:t>), la Grue cendrée (</w:t>
      </w:r>
      <w:r>
        <w:rPr>
          <w:i/>
          <w:iCs/>
          <w:lang w:val="fr-FR"/>
        </w:rPr>
        <w:t xml:space="preserve">Grus </w:t>
      </w:r>
      <w:proofErr w:type="spellStart"/>
      <w:r>
        <w:rPr>
          <w:i/>
          <w:iCs/>
          <w:lang w:val="fr-FR"/>
        </w:rPr>
        <w:t>grus</w:t>
      </w:r>
      <w:proofErr w:type="spellEnd"/>
      <w:r>
        <w:rPr>
          <w:lang w:val="fr-FR"/>
        </w:rPr>
        <w:t>), la Grue moine (</w:t>
      </w:r>
      <w:r>
        <w:rPr>
          <w:i/>
          <w:iCs/>
          <w:lang w:val="fr-FR"/>
        </w:rPr>
        <w:t xml:space="preserve">Grus </w:t>
      </w:r>
      <w:proofErr w:type="spellStart"/>
      <w:r>
        <w:rPr>
          <w:i/>
          <w:iCs/>
          <w:lang w:val="fr-FR"/>
        </w:rPr>
        <w:t>monacha</w:t>
      </w:r>
      <w:proofErr w:type="spellEnd"/>
      <w:r>
        <w:rPr>
          <w:lang w:val="fr-FR"/>
        </w:rPr>
        <w:t>) et la Grue à cou noir (</w:t>
      </w:r>
      <w:r>
        <w:rPr>
          <w:i/>
          <w:iCs/>
          <w:lang w:val="fr-FR"/>
        </w:rPr>
        <w:t xml:space="preserve">Grus </w:t>
      </w:r>
      <w:proofErr w:type="spellStart"/>
      <w:r>
        <w:rPr>
          <w:i/>
          <w:iCs/>
          <w:lang w:val="fr-FR"/>
        </w:rPr>
        <w:t>nigricollis</w:t>
      </w:r>
      <w:proofErr w:type="spellEnd"/>
      <w:r>
        <w:rPr>
          <w:lang w:val="fr-FR"/>
        </w:rPr>
        <w:t>), conformément à la version en ligne de la référence taxinomique.</w:t>
      </w:r>
    </w:p>
    <w:p w14:paraId="191726E8" w14:textId="44503ABF" w:rsidR="00810A15" w:rsidRDefault="00810A15" w:rsidP="00810A15">
      <w:pPr>
        <w:pStyle w:val="ListParagraph"/>
        <w:rPr>
          <w:lang w:val="fr-FR"/>
        </w:rPr>
      </w:pPr>
      <w:r>
        <w:rPr>
          <w:lang w:val="fr-FR"/>
        </w:rPr>
        <w:br w:type="page"/>
      </w:r>
    </w:p>
    <w:p w14:paraId="283C3E91" w14:textId="77777777" w:rsidR="00810A15" w:rsidRPr="00181668" w:rsidRDefault="00810A15" w:rsidP="00810A15">
      <w:pPr>
        <w:pStyle w:val="Firstnumbering"/>
        <w:contextualSpacing w:val="0"/>
        <w:rPr>
          <w:lang w:val="fr-FR"/>
        </w:rPr>
      </w:pPr>
      <w:r>
        <w:rPr>
          <w:lang w:val="fr-FR"/>
        </w:rPr>
        <w:lastRenderedPageBreak/>
        <w:t xml:space="preserve">La famille </w:t>
      </w:r>
      <w:proofErr w:type="spellStart"/>
      <w:r>
        <w:rPr>
          <w:lang w:val="fr-FR"/>
        </w:rPr>
        <w:t>Eulacestomidae</w:t>
      </w:r>
      <w:proofErr w:type="spellEnd"/>
      <w:r>
        <w:rPr>
          <w:lang w:val="fr-FR"/>
        </w:rPr>
        <w:t xml:space="preserve">, actuellement inscrite à l'Annexe II sous le nom E. </w:t>
      </w:r>
      <w:proofErr w:type="spellStart"/>
      <w:r>
        <w:rPr>
          <w:lang w:val="fr-FR"/>
        </w:rPr>
        <w:t>spp</w:t>
      </w:r>
      <w:proofErr w:type="spellEnd"/>
      <w:r>
        <w:rPr>
          <w:lang w:val="fr-FR"/>
        </w:rPr>
        <w:t xml:space="preserve">. est désormais reconnue dans la référence en ligne sous le nom </w:t>
      </w:r>
      <w:proofErr w:type="spellStart"/>
      <w:r>
        <w:rPr>
          <w:lang w:val="fr-FR"/>
        </w:rPr>
        <w:t>Eulacestomatidae</w:t>
      </w:r>
      <w:proofErr w:type="spellEnd"/>
      <w:r>
        <w:rPr>
          <w:lang w:val="fr-FR"/>
        </w:rPr>
        <w:t>.</w:t>
      </w:r>
    </w:p>
    <w:p w14:paraId="2A390191" w14:textId="77777777" w:rsidR="00810A15" w:rsidRDefault="00810A15" w:rsidP="00810A15">
      <w:pPr>
        <w:pStyle w:val="Firstnumbering"/>
        <w:numPr>
          <w:ilvl w:val="0"/>
          <w:numId w:val="0"/>
        </w:numPr>
        <w:contextualSpacing w:val="0"/>
        <w:rPr>
          <w:lang w:val="fr-FR"/>
        </w:rPr>
      </w:pPr>
    </w:p>
    <w:p w14:paraId="102214ED" w14:textId="77777777" w:rsidR="00810A15" w:rsidRDefault="00810A15" w:rsidP="00810A15">
      <w:pPr>
        <w:rPr>
          <w:i/>
          <w:iCs/>
          <w:lang w:val="fr-FR"/>
        </w:rPr>
      </w:pPr>
      <w:r>
        <w:rPr>
          <w:i/>
          <w:iCs/>
          <w:lang w:val="fr-FR"/>
        </w:rPr>
        <w:t>Recommandations pour la taxonomie et la nomenclature des oiseaux</w:t>
      </w:r>
    </w:p>
    <w:p w14:paraId="06898CA9" w14:textId="77777777" w:rsidR="00810A15" w:rsidRDefault="00810A15" w:rsidP="00810A15">
      <w:pPr>
        <w:rPr>
          <w:lang w:val="fr-FR"/>
        </w:rPr>
      </w:pPr>
    </w:p>
    <w:p w14:paraId="65E5EA96" w14:textId="77777777" w:rsidR="00810A15" w:rsidRPr="00715909" w:rsidRDefault="00810A15" w:rsidP="00810A15">
      <w:pPr>
        <w:pStyle w:val="Firstnumbering"/>
        <w:rPr>
          <w:lang w:val="fr-FR"/>
        </w:rPr>
      </w:pPr>
      <w:r>
        <w:rPr>
          <w:i/>
          <w:iCs/>
          <w:lang w:val="fr-FR"/>
        </w:rPr>
        <w:t xml:space="preserve">Antigone </w:t>
      </w:r>
      <w:proofErr w:type="spellStart"/>
      <w:r>
        <w:rPr>
          <w:i/>
          <w:iCs/>
          <w:lang w:val="fr-FR"/>
        </w:rPr>
        <w:t>vipio</w:t>
      </w:r>
      <w:proofErr w:type="spellEnd"/>
      <w:r>
        <w:rPr>
          <w:lang w:val="fr-FR"/>
        </w:rPr>
        <w:t xml:space="preserve"> est inscrite à l'Annexe I de la CMS, mais est maintenant traitée comme </w:t>
      </w:r>
      <w:r>
        <w:rPr>
          <w:i/>
          <w:iCs/>
          <w:lang w:val="fr-FR"/>
        </w:rPr>
        <w:t xml:space="preserve">Grus </w:t>
      </w:r>
      <w:proofErr w:type="spellStart"/>
      <w:r>
        <w:rPr>
          <w:i/>
          <w:iCs/>
          <w:lang w:val="fr-FR"/>
        </w:rPr>
        <w:t>vipio</w:t>
      </w:r>
      <w:proofErr w:type="spellEnd"/>
      <w:r>
        <w:rPr>
          <w:lang w:val="fr-FR"/>
        </w:rPr>
        <w:t xml:space="preserve">, selon la version actuelle en ligne de la référence taxonomique. Il est recommandé de mettre à jour l'entrée correspondante de l'Annexe I de </w:t>
      </w:r>
      <w:r>
        <w:rPr>
          <w:i/>
          <w:iCs/>
          <w:lang w:val="fr-FR"/>
        </w:rPr>
        <w:t xml:space="preserve">Antigone </w:t>
      </w:r>
      <w:proofErr w:type="spellStart"/>
      <w:r>
        <w:rPr>
          <w:i/>
          <w:iCs/>
          <w:lang w:val="fr-FR"/>
        </w:rPr>
        <w:t>vipio</w:t>
      </w:r>
      <w:proofErr w:type="spellEnd"/>
      <w:r>
        <w:rPr>
          <w:i/>
          <w:iCs/>
          <w:lang w:val="fr-FR"/>
        </w:rPr>
        <w:t xml:space="preserve"> </w:t>
      </w:r>
      <w:r>
        <w:rPr>
          <w:lang w:val="fr-FR"/>
        </w:rPr>
        <w:t>à</w:t>
      </w:r>
      <w:r>
        <w:rPr>
          <w:i/>
          <w:iCs/>
          <w:lang w:val="fr-FR"/>
        </w:rPr>
        <w:t xml:space="preserve"> Grus </w:t>
      </w:r>
      <w:proofErr w:type="spellStart"/>
      <w:r>
        <w:rPr>
          <w:i/>
          <w:iCs/>
          <w:lang w:val="fr-FR"/>
        </w:rPr>
        <w:t>vipio</w:t>
      </w:r>
      <w:proofErr w:type="spellEnd"/>
      <w:r>
        <w:rPr>
          <w:lang w:val="fr-FR"/>
        </w:rPr>
        <w:t>. Cette mise à jour refléterait la taxonomie largement acceptée par la communauté scientifique. Cela permettrait également d'aligner les Annexes sur la version en ligne de la référence taxonomique.</w:t>
      </w:r>
    </w:p>
    <w:p w14:paraId="4065695D" w14:textId="77777777" w:rsidR="00810A15" w:rsidRPr="00810A15" w:rsidRDefault="00810A15" w:rsidP="00810A15">
      <w:pPr>
        <w:pStyle w:val="Firstnumbering"/>
        <w:numPr>
          <w:ilvl w:val="0"/>
          <w:numId w:val="0"/>
        </w:numPr>
        <w:ind w:left="504"/>
        <w:contextualSpacing w:val="0"/>
        <w:rPr>
          <w:lang w:val="fr-FR"/>
        </w:rPr>
      </w:pPr>
      <w:r w:rsidRPr="00810A15">
        <w:rPr>
          <w:lang w:val="fr-FR"/>
        </w:rPr>
        <w:t xml:space="preserve"> </w:t>
      </w:r>
    </w:p>
    <w:p w14:paraId="0D87EBB5" w14:textId="77777777" w:rsidR="00810A15" w:rsidRDefault="00810A15" w:rsidP="00810A15">
      <w:pPr>
        <w:pStyle w:val="Firstnumbering"/>
        <w:contextualSpacing w:val="0"/>
        <w:rPr>
          <w:lang w:val="fr-FR"/>
        </w:rPr>
      </w:pPr>
      <w:r>
        <w:rPr>
          <w:lang w:val="fr-FR"/>
        </w:rPr>
        <w:t xml:space="preserve">En ce qui concerne l'Annexe II, </w:t>
      </w:r>
      <w:r>
        <w:rPr>
          <w:i/>
          <w:iCs/>
          <w:lang w:val="fr-FR"/>
        </w:rPr>
        <w:t>Antigone</w:t>
      </w:r>
      <w:r>
        <w:rPr>
          <w:lang w:val="fr-FR"/>
        </w:rPr>
        <w:t xml:space="preserve"> n'était pas équivalent à </w:t>
      </w:r>
      <w:r>
        <w:rPr>
          <w:i/>
          <w:iCs/>
          <w:lang w:val="fr-FR"/>
        </w:rPr>
        <w:t>Grus</w:t>
      </w:r>
      <w:r>
        <w:rPr>
          <w:lang w:val="fr-FR"/>
        </w:rPr>
        <w:t xml:space="preserve">, mais en était un sous-ensemble. </w:t>
      </w:r>
      <w:r>
        <w:rPr>
          <w:i/>
          <w:iCs/>
          <w:lang w:val="fr-FR"/>
        </w:rPr>
        <w:t>Grus</w:t>
      </w:r>
      <w:r>
        <w:rPr>
          <w:lang w:val="fr-FR"/>
        </w:rPr>
        <w:t xml:space="preserve"> </w:t>
      </w:r>
      <w:proofErr w:type="spellStart"/>
      <w:r>
        <w:rPr>
          <w:lang w:val="fr-FR"/>
        </w:rPr>
        <w:t>spp</w:t>
      </w:r>
      <w:proofErr w:type="spellEnd"/>
      <w:r>
        <w:rPr>
          <w:lang w:val="fr-FR"/>
        </w:rPr>
        <w:t xml:space="preserve">. est déjà inscrit à l'Annexe II en tant que taxon supérieur. La suppression de l'entrée pour </w:t>
      </w:r>
      <w:r>
        <w:rPr>
          <w:i/>
          <w:iCs/>
          <w:lang w:val="fr-FR"/>
        </w:rPr>
        <w:t>Antigone</w:t>
      </w:r>
      <w:r>
        <w:rPr>
          <w:lang w:val="fr-FR"/>
        </w:rPr>
        <w:t xml:space="preserve"> </w:t>
      </w:r>
      <w:proofErr w:type="spellStart"/>
      <w:r>
        <w:rPr>
          <w:lang w:val="fr-FR"/>
        </w:rPr>
        <w:t>spp</w:t>
      </w:r>
      <w:proofErr w:type="spellEnd"/>
      <w:r>
        <w:rPr>
          <w:lang w:val="fr-FR"/>
        </w:rPr>
        <w:t xml:space="preserve">. à l'Annexe II est recommandée, afin de refléter la taxonomie largement acceptée par la communauté scientifique. Cela permettrait également un alignement sur la version en ligne de la référence taxonomique. Toutes les espèces actuellement couvertes par </w:t>
      </w:r>
      <w:r>
        <w:rPr>
          <w:i/>
          <w:iCs/>
          <w:lang w:val="fr-FR"/>
        </w:rPr>
        <w:t xml:space="preserve">Antigone </w:t>
      </w:r>
      <w:proofErr w:type="spellStart"/>
      <w:r>
        <w:rPr>
          <w:lang w:val="fr-FR"/>
        </w:rPr>
        <w:t>spp</w:t>
      </w:r>
      <w:proofErr w:type="spellEnd"/>
      <w:r>
        <w:rPr>
          <w:lang w:val="fr-FR"/>
        </w:rPr>
        <w:t xml:space="preserve">, </w:t>
      </w:r>
      <w:r>
        <w:rPr>
          <w:i/>
          <w:iCs/>
          <w:lang w:val="fr-FR"/>
        </w:rPr>
        <w:t xml:space="preserve">Grus </w:t>
      </w:r>
      <w:proofErr w:type="spellStart"/>
      <w:r>
        <w:rPr>
          <w:i/>
          <w:iCs/>
          <w:lang w:val="fr-FR"/>
        </w:rPr>
        <w:t>antigone</w:t>
      </w:r>
      <w:proofErr w:type="spellEnd"/>
      <w:r>
        <w:rPr>
          <w:lang w:val="fr-FR"/>
        </w:rPr>
        <w:t xml:space="preserve">, </w:t>
      </w:r>
      <w:r>
        <w:rPr>
          <w:i/>
          <w:iCs/>
          <w:lang w:val="fr-FR"/>
        </w:rPr>
        <w:t xml:space="preserve">Grus </w:t>
      </w:r>
      <w:proofErr w:type="spellStart"/>
      <w:r>
        <w:rPr>
          <w:i/>
          <w:iCs/>
          <w:lang w:val="fr-FR"/>
        </w:rPr>
        <w:t>canadensis</w:t>
      </w:r>
      <w:proofErr w:type="spellEnd"/>
      <w:r>
        <w:rPr>
          <w:lang w:val="fr-FR"/>
        </w:rPr>
        <w:t xml:space="preserve">, </w:t>
      </w:r>
      <w:r>
        <w:rPr>
          <w:i/>
          <w:iCs/>
          <w:lang w:val="fr-FR"/>
        </w:rPr>
        <w:t xml:space="preserve">Grus </w:t>
      </w:r>
      <w:proofErr w:type="spellStart"/>
      <w:r>
        <w:rPr>
          <w:i/>
          <w:iCs/>
          <w:lang w:val="fr-FR"/>
        </w:rPr>
        <w:t>rubicunda</w:t>
      </w:r>
      <w:proofErr w:type="spellEnd"/>
      <w:r>
        <w:rPr>
          <w:lang w:val="fr-FR"/>
        </w:rPr>
        <w:t xml:space="preserve"> et </w:t>
      </w:r>
      <w:r>
        <w:rPr>
          <w:i/>
          <w:iCs/>
          <w:lang w:val="fr-FR"/>
        </w:rPr>
        <w:t xml:space="preserve">Grus </w:t>
      </w:r>
      <w:proofErr w:type="spellStart"/>
      <w:r>
        <w:rPr>
          <w:i/>
          <w:iCs/>
          <w:lang w:val="fr-FR"/>
        </w:rPr>
        <w:t>vipio</w:t>
      </w:r>
      <w:proofErr w:type="spellEnd"/>
      <w:r>
        <w:rPr>
          <w:lang w:val="fr-FR"/>
        </w:rPr>
        <w:t xml:space="preserve"> sont toujours traitées comme </w:t>
      </w:r>
      <w:r>
        <w:rPr>
          <w:i/>
          <w:iCs/>
          <w:lang w:val="fr-FR"/>
        </w:rPr>
        <w:t>Grus</w:t>
      </w:r>
      <w:r>
        <w:rPr>
          <w:lang w:val="fr-FR"/>
        </w:rPr>
        <w:t xml:space="preserve"> </w:t>
      </w:r>
      <w:proofErr w:type="spellStart"/>
      <w:r>
        <w:rPr>
          <w:lang w:val="fr-FR"/>
        </w:rPr>
        <w:t>spp</w:t>
      </w:r>
      <w:proofErr w:type="spellEnd"/>
      <w:r>
        <w:rPr>
          <w:lang w:val="fr-FR"/>
        </w:rPr>
        <w:t xml:space="preserve">. </w:t>
      </w:r>
    </w:p>
    <w:p w14:paraId="326A26D7" w14:textId="77777777" w:rsidR="00810A15" w:rsidRDefault="00810A15" w:rsidP="00810A15">
      <w:pPr>
        <w:pStyle w:val="Firstnumbering"/>
        <w:numPr>
          <w:ilvl w:val="0"/>
          <w:numId w:val="0"/>
        </w:numPr>
        <w:ind w:left="504"/>
        <w:contextualSpacing w:val="0"/>
        <w:rPr>
          <w:lang w:val="fr-FR"/>
        </w:rPr>
      </w:pPr>
    </w:p>
    <w:p w14:paraId="2D60E6C4" w14:textId="77777777" w:rsidR="00810A15" w:rsidRDefault="00810A15" w:rsidP="00810A15">
      <w:pPr>
        <w:pStyle w:val="Firstnumbering"/>
        <w:contextualSpacing w:val="0"/>
        <w:rPr>
          <w:lang w:val="fr-FR"/>
        </w:rPr>
      </w:pPr>
      <w:r>
        <w:rPr>
          <w:lang w:val="fr-FR"/>
        </w:rPr>
        <w:t xml:space="preserve">La note de bas de page 56 de l'Annexe II continue de s'appliquer à </w:t>
      </w:r>
      <w:proofErr w:type="spellStart"/>
      <w:r>
        <w:rPr>
          <w:i/>
          <w:iCs/>
          <w:lang w:val="fr-FR"/>
        </w:rPr>
        <w:t>Leucogeranus</w:t>
      </w:r>
      <w:proofErr w:type="spellEnd"/>
      <w:r>
        <w:rPr>
          <w:i/>
          <w:iCs/>
          <w:lang w:val="fr-FR"/>
        </w:rPr>
        <w:t xml:space="preserve"> </w:t>
      </w:r>
      <w:proofErr w:type="spellStart"/>
      <w:r>
        <w:rPr>
          <w:i/>
          <w:iCs/>
          <w:lang w:val="fr-FR"/>
        </w:rPr>
        <w:t>leucogeranus</w:t>
      </w:r>
      <w:proofErr w:type="spellEnd"/>
      <w:r>
        <w:rPr>
          <w:lang w:val="fr-FR"/>
        </w:rPr>
        <w:t xml:space="preserve">, </w:t>
      </w:r>
      <w:proofErr w:type="spellStart"/>
      <w:r>
        <w:rPr>
          <w:i/>
          <w:iCs/>
          <w:lang w:val="fr-FR"/>
        </w:rPr>
        <w:t>Bugeranus</w:t>
      </w:r>
      <w:proofErr w:type="spellEnd"/>
      <w:r>
        <w:rPr>
          <w:i/>
          <w:iCs/>
          <w:lang w:val="fr-FR"/>
        </w:rPr>
        <w:t xml:space="preserve"> </w:t>
      </w:r>
      <w:proofErr w:type="spellStart"/>
      <w:r>
        <w:rPr>
          <w:i/>
          <w:iCs/>
          <w:lang w:val="fr-FR"/>
        </w:rPr>
        <w:t>carunculatus</w:t>
      </w:r>
      <w:proofErr w:type="spellEnd"/>
      <w:r>
        <w:rPr>
          <w:lang w:val="fr-FR"/>
        </w:rPr>
        <w:t xml:space="preserve"> et </w:t>
      </w:r>
      <w:proofErr w:type="spellStart"/>
      <w:r>
        <w:rPr>
          <w:i/>
          <w:iCs/>
          <w:lang w:val="fr-FR"/>
        </w:rPr>
        <w:t>Anthropoides</w:t>
      </w:r>
      <w:proofErr w:type="spellEnd"/>
      <w:r>
        <w:rPr>
          <w:lang w:val="fr-FR"/>
        </w:rPr>
        <w:t xml:space="preserve"> </w:t>
      </w:r>
      <w:proofErr w:type="spellStart"/>
      <w:r>
        <w:rPr>
          <w:lang w:val="fr-FR"/>
        </w:rPr>
        <w:t>spp</w:t>
      </w:r>
      <w:proofErr w:type="spellEnd"/>
      <w:r>
        <w:rPr>
          <w:lang w:val="fr-FR"/>
        </w:rPr>
        <w:t>.</w:t>
      </w:r>
    </w:p>
    <w:p w14:paraId="7981ACD0" w14:textId="77777777" w:rsidR="00810A15" w:rsidRDefault="00810A15" w:rsidP="00810A15">
      <w:pPr>
        <w:pStyle w:val="ListParagraph"/>
        <w:rPr>
          <w:lang w:val="fr-FR"/>
        </w:rPr>
      </w:pPr>
    </w:p>
    <w:p w14:paraId="7ECFAFEE" w14:textId="77777777" w:rsidR="00810A15" w:rsidRPr="00181668" w:rsidRDefault="00810A15" w:rsidP="00810A15">
      <w:pPr>
        <w:pStyle w:val="Firstnumbering"/>
        <w:contextualSpacing w:val="0"/>
        <w:rPr>
          <w:lang w:val="fr-FR"/>
        </w:rPr>
      </w:pPr>
      <w:r>
        <w:rPr>
          <w:lang w:val="fr-FR"/>
        </w:rPr>
        <w:t>Il est également recommandé de modifier l'entrée d'</w:t>
      </w:r>
      <w:proofErr w:type="spellStart"/>
      <w:r>
        <w:rPr>
          <w:lang w:val="fr-FR"/>
        </w:rPr>
        <w:t>Eulacestomidae</w:t>
      </w:r>
      <w:proofErr w:type="spellEnd"/>
      <w:r>
        <w:rPr>
          <w:lang w:val="fr-FR"/>
        </w:rPr>
        <w:t xml:space="preserve"> </w:t>
      </w:r>
      <w:proofErr w:type="spellStart"/>
      <w:r>
        <w:rPr>
          <w:lang w:val="fr-FR"/>
        </w:rPr>
        <w:t>spp</w:t>
      </w:r>
      <w:proofErr w:type="spellEnd"/>
      <w:r>
        <w:rPr>
          <w:lang w:val="fr-FR"/>
        </w:rPr>
        <w:t xml:space="preserve">. à l'Annexe II pour les </w:t>
      </w:r>
      <w:proofErr w:type="spellStart"/>
      <w:r>
        <w:rPr>
          <w:lang w:val="fr-FR"/>
        </w:rPr>
        <w:t>Eulacestomatidae</w:t>
      </w:r>
      <w:proofErr w:type="spellEnd"/>
      <w:r>
        <w:rPr>
          <w:lang w:val="fr-FR"/>
        </w:rPr>
        <w:t xml:space="preserve"> </w:t>
      </w:r>
      <w:proofErr w:type="spellStart"/>
      <w:r>
        <w:rPr>
          <w:lang w:val="fr-FR"/>
        </w:rPr>
        <w:t>spp</w:t>
      </w:r>
      <w:proofErr w:type="spellEnd"/>
      <w:r>
        <w:rPr>
          <w:lang w:val="fr-FR"/>
        </w:rPr>
        <w:t>. Il s'agit d'un changement purement synonymique, et l'alignement sur la version en ligne actuelle de la référence taxonomique semble dès lors approprié.</w:t>
      </w:r>
    </w:p>
    <w:p w14:paraId="009D2DC8" w14:textId="77777777" w:rsidR="00810A15" w:rsidRDefault="00810A15" w:rsidP="00810A15">
      <w:pPr>
        <w:pStyle w:val="Firstnumbering"/>
        <w:numPr>
          <w:ilvl w:val="0"/>
          <w:numId w:val="0"/>
        </w:numPr>
        <w:ind w:left="540" w:hanging="540"/>
        <w:contextualSpacing w:val="0"/>
        <w:rPr>
          <w:lang w:val="fr-FR"/>
        </w:rPr>
      </w:pPr>
    </w:p>
    <w:p w14:paraId="28F20FEC" w14:textId="77777777" w:rsidR="00810A15" w:rsidRPr="002F6F70" w:rsidRDefault="00810A15" w:rsidP="00810A15">
      <w:pPr>
        <w:pStyle w:val="Firstnumbering"/>
        <w:numPr>
          <w:ilvl w:val="0"/>
          <w:numId w:val="0"/>
        </w:numPr>
        <w:ind w:left="540" w:hanging="540"/>
        <w:contextualSpacing w:val="0"/>
        <w:rPr>
          <w:u w:val="single"/>
          <w:lang w:val="fr-FR"/>
        </w:rPr>
      </w:pPr>
      <w:r>
        <w:rPr>
          <w:u w:val="single"/>
          <w:lang w:val="fr-FR"/>
        </w:rPr>
        <w:t>Examen des références en ligne pour les poissons</w:t>
      </w:r>
    </w:p>
    <w:p w14:paraId="6959A866" w14:textId="77777777" w:rsidR="00810A15" w:rsidRDefault="00810A15" w:rsidP="00810A15">
      <w:pPr>
        <w:pStyle w:val="Firstnumbering"/>
        <w:numPr>
          <w:ilvl w:val="0"/>
          <w:numId w:val="0"/>
        </w:numPr>
        <w:ind w:left="540" w:hanging="540"/>
        <w:contextualSpacing w:val="0"/>
        <w:rPr>
          <w:lang w:val="fr-FR"/>
        </w:rPr>
      </w:pPr>
    </w:p>
    <w:p w14:paraId="2F9E4A54" w14:textId="4E2A09B3" w:rsidR="00810A15" w:rsidRPr="00132372" w:rsidRDefault="00810A15" w:rsidP="00810A15">
      <w:pPr>
        <w:pStyle w:val="Firstnumbering"/>
        <w:contextualSpacing w:val="0"/>
        <w:rPr>
          <w:color w:val="0563C1" w:themeColor="hyperlink"/>
          <w:u w:val="single"/>
          <w:lang w:val="fr-FR"/>
        </w:rPr>
      </w:pPr>
      <w:r>
        <w:rPr>
          <w:lang w:val="fr-FR"/>
        </w:rPr>
        <w:t xml:space="preserve">La Résolution 12.27 </w:t>
      </w:r>
      <w:r>
        <w:rPr>
          <w:i/>
          <w:iCs/>
          <w:lang w:val="fr-FR"/>
        </w:rPr>
        <w:t>Taxonomie et nomenclature</w:t>
      </w:r>
      <w:r>
        <w:rPr>
          <w:lang w:val="fr-FR"/>
        </w:rPr>
        <w:t xml:space="preserve"> désigne la version en ligne du </w:t>
      </w:r>
      <w:proofErr w:type="spellStart"/>
      <w:r w:rsidR="002125BA" w:rsidRPr="002125BA">
        <w:rPr>
          <w:lang w:val="fr-FR"/>
        </w:rPr>
        <w:t>Fricke</w:t>
      </w:r>
      <w:proofErr w:type="spellEnd"/>
      <w:r w:rsidR="002125BA" w:rsidRPr="002125BA">
        <w:rPr>
          <w:lang w:val="fr-FR"/>
        </w:rPr>
        <w:t xml:space="preserve">, R., </w:t>
      </w:r>
      <w:proofErr w:type="spellStart"/>
      <w:r w:rsidR="002125BA" w:rsidRPr="002125BA">
        <w:rPr>
          <w:lang w:val="fr-FR"/>
        </w:rPr>
        <w:t>Eschmeyer</w:t>
      </w:r>
      <w:proofErr w:type="spellEnd"/>
      <w:r w:rsidR="002125BA" w:rsidRPr="002125BA">
        <w:rPr>
          <w:lang w:val="fr-FR"/>
        </w:rPr>
        <w:t xml:space="preserve">, W. N. &amp; R. van der </w:t>
      </w:r>
      <w:proofErr w:type="spellStart"/>
      <w:r w:rsidR="002125BA" w:rsidRPr="002125BA">
        <w:rPr>
          <w:lang w:val="fr-FR"/>
        </w:rPr>
        <w:t>Laan</w:t>
      </w:r>
      <w:proofErr w:type="spellEnd"/>
      <w:r w:rsidR="002125BA" w:rsidRPr="002125BA">
        <w:rPr>
          <w:lang w:val="fr-FR"/>
        </w:rPr>
        <w:t xml:space="preserve"> (</w:t>
      </w:r>
      <w:proofErr w:type="spellStart"/>
      <w:r w:rsidR="002125BA" w:rsidRPr="002125BA">
        <w:rPr>
          <w:lang w:val="fr-FR"/>
        </w:rPr>
        <w:t>eds</w:t>
      </w:r>
      <w:proofErr w:type="spellEnd"/>
      <w:r w:rsidR="002125BA" w:rsidRPr="002125BA">
        <w:rPr>
          <w:lang w:val="fr-FR"/>
        </w:rPr>
        <w:t>) 2023. ESCHMEYER'S CATALOG OF FISHES: GENERA, SPECIES, REFERENCES</w:t>
      </w:r>
      <w:r>
        <w:rPr>
          <w:lang w:val="fr-FR"/>
        </w:rPr>
        <w:t>, comme référence standard pour les poissons. Le catalogue est disponible à l'adresse suivante :</w:t>
      </w:r>
    </w:p>
    <w:p w14:paraId="66963EA5" w14:textId="77777777" w:rsidR="00810A15" w:rsidRPr="00132372" w:rsidRDefault="00810A15" w:rsidP="00810A15">
      <w:pPr>
        <w:pStyle w:val="ListParagraph"/>
        <w:ind w:left="504"/>
        <w:contextualSpacing w:val="0"/>
        <w:jc w:val="both"/>
        <w:rPr>
          <w:rFonts w:cs="Arial"/>
          <w:lang w:val="fr-FR"/>
        </w:rPr>
      </w:pPr>
    </w:p>
    <w:p w14:paraId="2CEE40BF" w14:textId="77777777" w:rsidR="00810A15" w:rsidRPr="00132372" w:rsidRDefault="00810A15" w:rsidP="00810A15">
      <w:pPr>
        <w:pStyle w:val="ListParagraph"/>
        <w:ind w:left="504"/>
        <w:contextualSpacing w:val="0"/>
        <w:jc w:val="both"/>
        <w:rPr>
          <w:rFonts w:cs="Arial"/>
          <w:lang w:val="fr-FR"/>
        </w:rPr>
      </w:pPr>
      <w:r>
        <w:rPr>
          <w:rFonts w:cs="Arial"/>
          <w:lang w:val="fr-FR"/>
        </w:rPr>
        <w:fldChar w:fldCharType="begin"/>
      </w:r>
      <w:r>
        <w:rPr>
          <w:rFonts w:cs="Arial"/>
          <w:lang w:val="fr-FR"/>
        </w:rPr>
        <w:instrText xml:space="preserve"> HYPERLINK "https://www.calacademy.org/scientists/projects/eschmeyers-catalog-of-fishes</w:instrText>
      </w:r>
    </w:p>
    <w:p w14:paraId="4B369C14" w14:textId="77777777" w:rsidR="00810A15" w:rsidRPr="00132372" w:rsidRDefault="00810A15" w:rsidP="00810A15">
      <w:pPr>
        <w:pStyle w:val="ListParagraph"/>
        <w:ind w:left="504"/>
        <w:contextualSpacing w:val="0"/>
        <w:jc w:val="both"/>
        <w:rPr>
          <w:rStyle w:val="Hyperlink"/>
          <w:lang w:val="fr-FR"/>
        </w:rPr>
      </w:pPr>
      <w:r>
        <w:rPr>
          <w:rFonts w:cs="Arial"/>
          <w:lang w:val="fr-FR"/>
        </w:rPr>
        <w:instrText xml:space="preserve">" </w:instrText>
      </w:r>
      <w:r>
        <w:rPr>
          <w:rFonts w:cs="Arial"/>
          <w:lang w:val="fr-FR"/>
        </w:rPr>
      </w:r>
      <w:r>
        <w:rPr>
          <w:rFonts w:cs="Arial"/>
          <w:lang w:val="fr-FR"/>
        </w:rPr>
        <w:fldChar w:fldCharType="separate"/>
      </w:r>
      <w:r>
        <w:rPr>
          <w:rStyle w:val="Hyperlink"/>
          <w:lang w:val="fr-FR"/>
        </w:rPr>
        <w:t>https://www.calacademy.org/scientists/projects/eschmeyers-catalog-of-fishes</w:t>
      </w:r>
    </w:p>
    <w:p w14:paraId="090E8A0E" w14:textId="77777777" w:rsidR="00810A15" w:rsidRPr="00132372" w:rsidRDefault="00810A15" w:rsidP="00810A15">
      <w:pPr>
        <w:pStyle w:val="ListParagraph"/>
        <w:ind w:left="504"/>
        <w:contextualSpacing w:val="0"/>
        <w:jc w:val="both"/>
        <w:rPr>
          <w:rFonts w:cs="Arial"/>
          <w:lang w:val="fr-FR"/>
        </w:rPr>
      </w:pPr>
      <w:r>
        <w:rPr>
          <w:rFonts w:cs="Arial"/>
          <w:lang w:val="fr-FR"/>
        </w:rPr>
        <w:fldChar w:fldCharType="end"/>
      </w:r>
    </w:p>
    <w:p w14:paraId="0DD2E5F3" w14:textId="77777777" w:rsidR="00810A15" w:rsidRPr="00C55569" w:rsidRDefault="00810A15" w:rsidP="00810A15">
      <w:pPr>
        <w:pStyle w:val="Firstnumbering"/>
        <w:contextualSpacing w:val="0"/>
        <w:rPr>
          <w:b/>
          <w:lang w:val="fr-FR"/>
        </w:rPr>
      </w:pPr>
      <w:r>
        <w:rPr>
          <w:lang w:val="fr-FR"/>
        </w:rPr>
        <w:t xml:space="preserve">Pour chaque espèce de poisson actuellement inscrite aux Annexes de la CMS, un extrait a été téléchargé le 12 mai 2023 à partir du Catalogue. Les extraits sont disponibles dans le document </w:t>
      </w:r>
      <w:hyperlink r:id="rId18" w:history="1">
        <w:r>
          <w:rPr>
            <w:rStyle w:val="Hyperlink"/>
            <w:lang w:val="fr-FR"/>
          </w:rPr>
          <w:t>UNEP/CMS/COP14/Inf.</w:t>
        </w:r>
        <w:r>
          <w:rPr>
            <w:rStyle w:val="Hyperlink"/>
            <w:rFonts w:eastAsia="Times New Roman"/>
            <w:lang w:val="fr-FR"/>
          </w:rPr>
          <w:t>31.1</w:t>
        </w:r>
      </w:hyperlink>
      <w:r>
        <w:rPr>
          <w:lang w:val="fr-FR"/>
        </w:rPr>
        <w:t>.</w:t>
      </w:r>
    </w:p>
    <w:p w14:paraId="6ECC4ADB" w14:textId="77777777" w:rsidR="00810A15" w:rsidRPr="00BF13C0" w:rsidRDefault="00810A15" w:rsidP="00810A15">
      <w:pPr>
        <w:pStyle w:val="Firstnumbering"/>
        <w:numPr>
          <w:ilvl w:val="0"/>
          <w:numId w:val="0"/>
        </w:numPr>
        <w:ind w:left="504"/>
        <w:contextualSpacing w:val="0"/>
        <w:rPr>
          <w:b/>
          <w:lang w:val="fr-FR"/>
        </w:rPr>
      </w:pPr>
    </w:p>
    <w:p w14:paraId="2E609A83" w14:textId="77777777" w:rsidR="00810A15" w:rsidRPr="00132372" w:rsidRDefault="00810A15" w:rsidP="00810A15">
      <w:pPr>
        <w:pStyle w:val="Firstnumbering"/>
        <w:contextualSpacing w:val="0"/>
        <w:rPr>
          <w:b/>
          <w:lang w:val="fr-FR"/>
        </w:rPr>
      </w:pPr>
      <w:r>
        <w:rPr>
          <w:lang w:val="fr-FR"/>
        </w:rPr>
        <w:t>Une comparaison de la taxonomie et de la nomenclature utilisées pour les espèces de poissons actuellement inscrites aux Annexes de la CMS avec la référence en ligne a révélé les différences suivantes.</w:t>
      </w:r>
    </w:p>
    <w:p w14:paraId="4B145D3E" w14:textId="77777777" w:rsidR="00810A15" w:rsidRDefault="00810A15" w:rsidP="00810A15">
      <w:pPr>
        <w:rPr>
          <w:rFonts w:cs="Arial"/>
          <w:lang w:val="fr-FR"/>
        </w:rPr>
      </w:pPr>
    </w:p>
    <w:p w14:paraId="674A0291" w14:textId="1F7DB019" w:rsidR="00810A15" w:rsidRDefault="00810A15" w:rsidP="00810A15">
      <w:pPr>
        <w:rPr>
          <w:rFonts w:cs="Arial"/>
          <w:lang w:val="fr-FR"/>
        </w:rPr>
      </w:pPr>
      <w:r>
        <w:rPr>
          <w:rFonts w:cs="Arial"/>
          <w:lang w:val="fr-FR"/>
        </w:rPr>
        <w:br w:type="page"/>
      </w:r>
    </w:p>
    <w:p w14:paraId="33D977C3" w14:textId="77777777" w:rsidR="00810A15" w:rsidRDefault="00810A15" w:rsidP="00810A15">
      <w:pPr>
        <w:rPr>
          <w:rFonts w:cs="Arial"/>
          <w:lang w:val="fr-FR"/>
        </w:rPr>
      </w:pPr>
    </w:p>
    <w:p w14:paraId="1D5155DC" w14:textId="77777777" w:rsidR="00810A15" w:rsidRPr="009843AB" w:rsidRDefault="00810A15" w:rsidP="00810A15">
      <w:pPr>
        <w:jc w:val="both"/>
        <w:rPr>
          <w:rFonts w:cs="Arial"/>
          <w:b/>
          <w:bCs/>
          <w:i/>
          <w:iCs/>
          <w:lang w:val="fr-FR"/>
        </w:rPr>
      </w:pPr>
      <w:r>
        <w:rPr>
          <w:rFonts w:cs="Arial"/>
          <w:b/>
          <w:bCs/>
          <w:i/>
          <w:iCs/>
          <w:lang w:val="fr-FR"/>
        </w:rPr>
        <w:t xml:space="preserve">Tableau 1 : </w:t>
      </w:r>
      <w:r>
        <w:rPr>
          <w:rFonts w:cs="Arial"/>
          <w:i/>
          <w:lang w:val="fr-FR"/>
        </w:rPr>
        <w:t>Comparaison de la taxonomie et de la nomenclature des poissons inscrits aux Annexes de la CMS et la référence standard utilisée par la CMS pour les poissons.</w:t>
      </w:r>
    </w:p>
    <w:p w14:paraId="5457A2F3" w14:textId="77777777" w:rsidR="00810A15" w:rsidRPr="00E52EED" w:rsidRDefault="00810A15" w:rsidP="00810A15">
      <w:pPr>
        <w:rPr>
          <w:rFonts w:cs="Arial"/>
          <w:lang w:val="fr-FR"/>
        </w:rPr>
      </w:pPr>
    </w:p>
    <w:tbl>
      <w:tblPr>
        <w:tblStyle w:val="PlainTable2"/>
        <w:tblW w:w="4766" w:type="pct"/>
        <w:tblInd w:w="450" w:type="dxa"/>
        <w:tblLook w:val="04A0" w:firstRow="1" w:lastRow="0" w:firstColumn="1" w:lastColumn="0" w:noHBand="0" w:noVBand="1"/>
      </w:tblPr>
      <w:tblGrid>
        <w:gridCol w:w="3796"/>
        <w:gridCol w:w="4808"/>
      </w:tblGrid>
      <w:tr w:rsidR="00810A15" w:rsidRPr="002125BA" w14:paraId="425EF6A0" w14:textId="77777777" w:rsidTr="00D51261">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206" w:type="pct"/>
            <w:hideMark/>
          </w:tcPr>
          <w:p w14:paraId="41132FCD" w14:textId="77777777" w:rsidR="00810A15" w:rsidRPr="00132372" w:rsidRDefault="00810A15" w:rsidP="00D51261">
            <w:pPr>
              <w:rPr>
                <w:rFonts w:cs="Arial"/>
                <w:b w:val="0"/>
                <w:bCs w:val="0"/>
                <w:color w:val="000000"/>
                <w:lang w:val="fr-FR"/>
              </w:rPr>
            </w:pPr>
            <w:r>
              <w:rPr>
                <w:rFonts w:cs="Arial"/>
                <w:color w:val="000000"/>
                <w:lang w:val="fr-FR"/>
              </w:rPr>
              <w:t xml:space="preserve">Nom actuel dans les Annexes de la </w:t>
            </w:r>
            <w:r>
              <w:rPr>
                <w:rFonts w:cs="Arial"/>
                <w:bCs w:val="0"/>
                <w:color w:val="000000"/>
                <w:lang w:val="fr-FR"/>
              </w:rPr>
              <w:t xml:space="preserve">CMS </w:t>
            </w:r>
          </w:p>
        </w:tc>
        <w:tc>
          <w:tcPr>
            <w:tcW w:w="2794" w:type="pct"/>
            <w:hideMark/>
          </w:tcPr>
          <w:p w14:paraId="181D980D" w14:textId="77777777" w:rsidR="00810A15" w:rsidRPr="00132372" w:rsidRDefault="00810A15" w:rsidP="00D51261">
            <w:pPr>
              <w:cnfStyle w:val="100000000000" w:firstRow="1" w:lastRow="0" w:firstColumn="0" w:lastColumn="0" w:oddVBand="0" w:evenVBand="0" w:oddHBand="0" w:evenHBand="0" w:firstRowFirstColumn="0" w:firstRowLastColumn="0" w:lastRowFirstColumn="0" w:lastRowLastColumn="0"/>
              <w:rPr>
                <w:rFonts w:cs="Arial"/>
                <w:b w:val="0"/>
                <w:bCs w:val="0"/>
                <w:color w:val="000000"/>
                <w:lang w:val="fr-FR"/>
              </w:rPr>
            </w:pPr>
            <w:r>
              <w:rPr>
                <w:rFonts w:cs="Arial"/>
                <w:color w:val="000000"/>
                <w:lang w:val="fr-FR"/>
              </w:rPr>
              <w:t xml:space="preserve">Nom(s) d'espèce dans </w:t>
            </w:r>
            <w:proofErr w:type="spellStart"/>
            <w:r>
              <w:rPr>
                <w:rFonts w:cs="Arial"/>
                <w:color w:val="000000"/>
                <w:lang w:val="fr-FR"/>
              </w:rPr>
              <w:t>Eschmeyer</w:t>
            </w:r>
            <w:proofErr w:type="spellEnd"/>
            <w:r>
              <w:rPr>
                <w:rFonts w:cs="Arial"/>
                <w:color w:val="000000"/>
                <w:lang w:val="fr-FR"/>
              </w:rPr>
              <w:t xml:space="preserve"> et al. </w:t>
            </w:r>
            <w:r>
              <w:rPr>
                <w:rFonts w:cs="Arial"/>
                <w:b w:val="0"/>
                <w:color w:val="000000"/>
                <w:lang w:val="fr-FR"/>
              </w:rPr>
              <w:t>(consulté en ligne le 12 mai 2023)</w:t>
            </w:r>
          </w:p>
        </w:tc>
      </w:tr>
      <w:tr w:rsidR="00810A15" w:rsidRPr="00132372" w14:paraId="7AD68CB2" w14:textId="77777777" w:rsidTr="00D5126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206" w:type="pct"/>
          </w:tcPr>
          <w:p w14:paraId="5028320A" w14:textId="77777777" w:rsidR="00810A15" w:rsidRPr="00330503" w:rsidRDefault="00810A15" w:rsidP="00D51261">
            <w:pPr>
              <w:rPr>
                <w:rFonts w:cs="Arial"/>
                <w:color w:val="000000"/>
                <w:highlight w:val="yellow"/>
                <w:lang w:val="fr-FR"/>
              </w:rPr>
            </w:pPr>
            <w:proofErr w:type="spellStart"/>
            <w:r>
              <w:rPr>
                <w:rFonts w:cs="Arial"/>
                <w:color w:val="4472C4" w:themeColor="accent1"/>
                <w:lang w:val="fr-FR"/>
              </w:rPr>
              <w:t>Actinoptérygii</w:t>
            </w:r>
            <w:proofErr w:type="spellEnd"/>
          </w:p>
        </w:tc>
        <w:tc>
          <w:tcPr>
            <w:tcW w:w="2794" w:type="pct"/>
          </w:tcPr>
          <w:p w14:paraId="31148246" w14:textId="77777777" w:rsidR="00810A15" w:rsidRPr="00330503" w:rsidRDefault="00810A15" w:rsidP="00D51261">
            <w:pPr>
              <w:cnfStyle w:val="000000100000" w:firstRow="0" w:lastRow="0" w:firstColumn="0" w:lastColumn="0" w:oddVBand="0" w:evenVBand="0" w:oddHBand="1" w:evenHBand="0" w:firstRowFirstColumn="0" w:firstRowLastColumn="0" w:lastRowFirstColumn="0" w:lastRowLastColumn="0"/>
              <w:rPr>
                <w:rFonts w:cs="Arial"/>
                <w:color w:val="000000"/>
                <w:highlight w:val="yellow"/>
                <w:lang w:val="fr-FR"/>
              </w:rPr>
            </w:pPr>
          </w:p>
        </w:tc>
      </w:tr>
      <w:tr w:rsidR="00810A15" w:rsidRPr="00132372" w14:paraId="0C8EBD74" w14:textId="77777777" w:rsidTr="00D51261">
        <w:trPr>
          <w:trHeight w:val="391"/>
        </w:trPr>
        <w:tc>
          <w:tcPr>
            <w:cnfStyle w:val="001000000000" w:firstRow="0" w:lastRow="0" w:firstColumn="1" w:lastColumn="0" w:oddVBand="0" w:evenVBand="0" w:oddHBand="0" w:evenHBand="0" w:firstRowFirstColumn="0" w:firstRowLastColumn="0" w:lastRowFirstColumn="0" w:lastRowLastColumn="0"/>
            <w:tcW w:w="2206" w:type="pct"/>
          </w:tcPr>
          <w:p w14:paraId="13E07DA1" w14:textId="77777777" w:rsidR="00810A15" w:rsidRPr="006525B0" w:rsidRDefault="00810A15" w:rsidP="00D51261">
            <w:pPr>
              <w:ind w:firstLine="581"/>
              <w:rPr>
                <w:rFonts w:cs="Arial"/>
                <w:b w:val="0"/>
                <w:bCs w:val="0"/>
                <w:i/>
                <w:iCs/>
                <w:color w:val="000000"/>
              </w:rPr>
            </w:pPr>
            <w:r>
              <w:rPr>
                <w:rFonts w:cs="Arial"/>
                <w:b w:val="0"/>
                <w:bCs w:val="0"/>
                <w:i/>
                <w:iCs/>
                <w:color w:val="000000"/>
              </w:rPr>
              <w:t xml:space="preserve">Acipenser </w:t>
            </w:r>
            <w:proofErr w:type="spellStart"/>
            <w:r>
              <w:rPr>
                <w:rFonts w:cs="Arial"/>
                <w:b w:val="0"/>
                <w:bCs w:val="0"/>
                <w:i/>
                <w:iCs/>
                <w:color w:val="000000"/>
              </w:rPr>
              <w:t>baerii</w:t>
            </w:r>
            <w:proofErr w:type="spellEnd"/>
            <w:r>
              <w:rPr>
                <w:rFonts w:cs="Arial"/>
                <w:b w:val="0"/>
                <w:bCs w:val="0"/>
                <w:i/>
                <w:iCs/>
                <w:color w:val="000000"/>
              </w:rPr>
              <w:t xml:space="preserve"> </w:t>
            </w:r>
            <w:proofErr w:type="spellStart"/>
            <w:r>
              <w:rPr>
                <w:rFonts w:cs="Arial"/>
                <w:b w:val="0"/>
                <w:bCs w:val="0"/>
                <w:i/>
                <w:iCs/>
                <w:color w:val="000000"/>
              </w:rPr>
              <w:t>baicalensis</w:t>
            </w:r>
            <w:proofErr w:type="spellEnd"/>
          </w:p>
        </w:tc>
        <w:tc>
          <w:tcPr>
            <w:tcW w:w="2794" w:type="pct"/>
          </w:tcPr>
          <w:p w14:paraId="264051CC" w14:textId="77777777" w:rsidR="00810A15" w:rsidRPr="00330503" w:rsidRDefault="00810A15" w:rsidP="00D51261">
            <w:pPr>
              <w:cnfStyle w:val="000000000000" w:firstRow="0" w:lastRow="0" w:firstColumn="0" w:lastColumn="0" w:oddVBand="0" w:evenVBand="0" w:oddHBand="0" w:evenHBand="0" w:firstRowFirstColumn="0" w:firstRowLastColumn="0" w:lastRowFirstColumn="0" w:lastRowLastColumn="0"/>
              <w:rPr>
                <w:rFonts w:cs="Arial"/>
                <w:color w:val="000000"/>
                <w:highlight w:val="yellow"/>
              </w:rPr>
            </w:pPr>
            <w:r>
              <w:rPr>
                <w:rFonts w:cs="Arial"/>
                <w:i/>
                <w:iCs/>
                <w:color w:val="000000"/>
              </w:rPr>
              <w:t xml:space="preserve">Acipenser </w:t>
            </w:r>
            <w:proofErr w:type="spellStart"/>
            <w:r>
              <w:rPr>
                <w:rFonts w:cs="Arial"/>
                <w:i/>
                <w:iCs/>
                <w:color w:val="000000"/>
              </w:rPr>
              <w:t>baerii</w:t>
            </w:r>
            <w:proofErr w:type="spellEnd"/>
          </w:p>
        </w:tc>
      </w:tr>
      <w:tr w:rsidR="00810A15" w:rsidRPr="00132372" w14:paraId="285755EF" w14:textId="77777777" w:rsidTr="00D5126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206" w:type="pct"/>
          </w:tcPr>
          <w:p w14:paraId="5B06C369" w14:textId="77777777" w:rsidR="00810A15" w:rsidRPr="004D0F85" w:rsidRDefault="00810A15" w:rsidP="00D51261">
            <w:pPr>
              <w:rPr>
                <w:rFonts w:cs="Arial"/>
                <w:color w:val="4472C4" w:themeColor="accent1"/>
                <w:lang w:val="fr-FR"/>
              </w:rPr>
            </w:pPr>
            <w:r>
              <w:rPr>
                <w:rFonts w:cs="Arial"/>
                <w:color w:val="4472C4" w:themeColor="accent1"/>
                <w:lang w:val="fr-FR"/>
              </w:rPr>
              <w:t>Chondrichtyens</w:t>
            </w:r>
          </w:p>
        </w:tc>
        <w:tc>
          <w:tcPr>
            <w:tcW w:w="2794" w:type="pct"/>
          </w:tcPr>
          <w:p w14:paraId="2D837CCB" w14:textId="77777777" w:rsidR="00810A15" w:rsidRPr="00132372" w:rsidRDefault="00810A15" w:rsidP="00D51261">
            <w:pPr>
              <w:cnfStyle w:val="000000100000" w:firstRow="0" w:lastRow="0" w:firstColumn="0" w:lastColumn="0" w:oddVBand="0" w:evenVBand="0" w:oddHBand="1" w:evenHBand="0" w:firstRowFirstColumn="0" w:firstRowLastColumn="0" w:lastRowFirstColumn="0" w:lastRowLastColumn="0"/>
              <w:rPr>
                <w:rFonts w:cs="Arial"/>
                <w:color w:val="000000"/>
                <w:lang w:val="fr-FR"/>
              </w:rPr>
            </w:pPr>
          </w:p>
        </w:tc>
      </w:tr>
      <w:tr w:rsidR="00810A15" w:rsidRPr="00132372" w14:paraId="5D8B2F4A" w14:textId="77777777" w:rsidTr="00D51261">
        <w:trPr>
          <w:trHeight w:val="391"/>
        </w:trPr>
        <w:tc>
          <w:tcPr>
            <w:cnfStyle w:val="001000000000" w:firstRow="0" w:lastRow="0" w:firstColumn="1" w:lastColumn="0" w:oddVBand="0" w:evenVBand="0" w:oddHBand="0" w:evenHBand="0" w:firstRowFirstColumn="0" w:firstRowLastColumn="0" w:lastRowFirstColumn="0" w:lastRowLastColumn="0"/>
            <w:tcW w:w="2206" w:type="pct"/>
          </w:tcPr>
          <w:p w14:paraId="398871AA" w14:textId="77777777" w:rsidR="00810A15" w:rsidRPr="004D0F85" w:rsidRDefault="00810A15" w:rsidP="00D51261">
            <w:pPr>
              <w:rPr>
                <w:rFonts w:cs="Arial"/>
                <w:color w:val="4472C4" w:themeColor="accent1"/>
              </w:rPr>
            </w:pPr>
            <w:proofErr w:type="spellStart"/>
            <w:r>
              <w:rPr>
                <w:rFonts w:cs="Arial"/>
                <w:color w:val="4472C4" w:themeColor="accent1"/>
              </w:rPr>
              <w:t>Mobulidae</w:t>
            </w:r>
            <w:proofErr w:type="spellEnd"/>
          </w:p>
        </w:tc>
        <w:tc>
          <w:tcPr>
            <w:tcW w:w="2794" w:type="pct"/>
          </w:tcPr>
          <w:p w14:paraId="427D574E" w14:textId="77777777" w:rsidR="00810A15" w:rsidRPr="00132372" w:rsidRDefault="00810A15" w:rsidP="00D51261">
            <w:pPr>
              <w:cnfStyle w:val="000000000000" w:firstRow="0" w:lastRow="0" w:firstColumn="0" w:lastColumn="0" w:oddVBand="0" w:evenVBand="0" w:oddHBand="0" w:evenHBand="0" w:firstRowFirstColumn="0" w:firstRowLastColumn="0" w:lastRowFirstColumn="0" w:lastRowLastColumn="0"/>
              <w:rPr>
                <w:rFonts w:cs="Arial"/>
                <w:color w:val="000000"/>
                <w:lang w:val="fr-FR"/>
              </w:rPr>
            </w:pPr>
          </w:p>
        </w:tc>
      </w:tr>
      <w:tr w:rsidR="00810A15" w:rsidRPr="00132372" w14:paraId="5C4568DA" w14:textId="77777777" w:rsidTr="00D512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3FA20F90" w14:textId="77777777" w:rsidR="00810A15" w:rsidRPr="00281AB3" w:rsidRDefault="00810A15" w:rsidP="00D51261">
            <w:pPr>
              <w:ind w:firstLine="581"/>
              <w:rPr>
                <w:rFonts w:cs="Arial"/>
                <w:b w:val="0"/>
                <w:bCs w:val="0"/>
                <w:i/>
                <w:iCs/>
                <w:color w:val="000000"/>
              </w:rPr>
            </w:pPr>
            <w:r>
              <w:rPr>
                <w:rFonts w:cs="Arial"/>
                <w:b w:val="0"/>
                <w:bCs w:val="0"/>
                <w:i/>
                <w:iCs/>
                <w:color w:val="000000"/>
              </w:rPr>
              <w:t xml:space="preserve">Manta </w:t>
            </w:r>
            <w:proofErr w:type="spellStart"/>
            <w:r>
              <w:rPr>
                <w:rFonts w:cs="Arial"/>
                <w:b w:val="0"/>
                <w:bCs w:val="0"/>
                <w:i/>
                <w:iCs/>
                <w:color w:val="000000"/>
              </w:rPr>
              <w:t>alfredi</w:t>
            </w:r>
            <w:proofErr w:type="spellEnd"/>
          </w:p>
        </w:tc>
        <w:tc>
          <w:tcPr>
            <w:tcW w:w="2794" w:type="pct"/>
            <w:hideMark/>
          </w:tcPr>
          <w:p w14:paraId="473BCD72" w14:textId="77777777" w:rsidR="00810A15" w:rsidRPr="004D0F85" w:rsidRDefault="00810A15" w:rsidP="00D51261">
            <w:pPr>
              <w:cnfStyle w:val="000000100000" w:firstRow="0" w:lastRow="0" w:firstColumn="0" w:lastColumn="0" w:oddVBand="0" w:evenVBand="0" w:oddHBand="1" w:evenHBand="0" w:firstRowFirstColumn="0" w:firstRowLastColumn="0" w:lastRowFirstColumn="0" w:lastRowLastColumn="0"/>
              <w:rPr>
                <w:rFonts w:cs="Arial"/>
                <w:bCs/>
                <w:i/>
                <w:iCs/>
                <w:color w:val="000000"/>
              </w:rPr>
            </w:pPr>
            <w:proofErr w:type="spellStart"/>
            <w:r>
              <w:rPr>
                <w:rFonts w:cs="Arial"/>
                <w:bCs/>
                <w:i/>
                <w:iCs/>
                <w:color w:val="000000"/>
              </w:rPr>
              <w:t>Mobula</w:t>
            </w:r>
            <w:proofErr w:type="spellEnd"/>
            <w:r>
              <w:rPr>
                <w:rFonts w:cs="Arial"/>
                <w:bCs/>
                <w:i/>
                <w:iCs/>
                <w:color w:val="000000"/>
              </w:rPr>
              <w:t xml:space="preserve"> </w:t>
            </w:r>
            <w:proofErr w:type="spellStart"/>
            <w:r>
              <w:rPr>
                <w:rFonts w:cs="Arial"/>
                <w:bCs/>
                <w:i/>
                <w:iCs/>
                <w:color w:val="000000"/>
              </w:rPr>
              <w:t>alfredi</w:t>
            </w:r>
            <w:proofErr w:type="spellEnd"/>
          </w:p>
        </w:tc>
      </w:tr>
      <w:tr w:rsidR="00810A15" w:rsidRPr="00132372" w14:paraId="70F08E90" w14:textId="77777777" w:rsidTr="00D51261">
        <w:trPr>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6DD4563F" w14:textId="77777777" w:rsidR="00810A15" w:rsidRPr="00281AB3" w:rsidRDefault="00810A15" w:rsidP="00D51261">
            <w:pPr>
              <w:ind w:firstLine="581"/>
              <w:rPr>
                <w:rFonts w:cs="Arial"/>
                <w:b w:val="0"/>
                <w:bCs w:val="0"/>
                <w:i/>
                <w:iCs/>
                <w:color w:val="000000"/>
              </w:rPr>
            </w:pPr>
            <w:r>
              <w:rPr>
                <w:rFonts w:cs="Arial"/>
                <w:b w:val="0"/>
                <w:bCs w:val="0"/>
                <w:i/>
                <w:iCs/>
                <w:color w:val="000000"/>
              </w:rPr>
              <w:t xml:space="preserve">Manta </w:t>
            </w:r>
            <w:proofErr w:type="spellStart"/>
            <w:r>
              <w:rPr>
                <w:rFonts w:cs="Arial"/>
                <w:b w:val="0"/>
                <w:bCs w:val="0"/>
                <w:i/>
                <w:iCs/>
                <w:color w:val="000000"/>
              </w:rPr>
              <w:t>birostris</w:t>
            </w:r>
            <w:proofErr w:type="spellEnd"/>
          </w:p>
        </w:tc>
        <w:tc>
          <w:tcPr>
            <w:tcW w:w="2794" w:type="pct"/>
            <w:hideMark/>
          </w:tcPr>
          <w:p w14:paraId="05FDB40A" w14:textId="77777777" w:rsidR="00810A15" w:rsidRPr="004D0F85" w:rsidRDefault="00810A15" w:rsidP="00D51261">
            <w:pPr>
              <w:cnfStyle w:val="000000000000" w:firstRow="0" w:lastRow="0" w:firstColumn="0" w:lastColumn="0" w:oddVBand="0" w:evenVBand="0" w:oddHBand="0" w:evenHBand="0" w:firstRowFirstColumn="0" w:firstRowLastColumn="0" w:lastRowFirstColumn="0" w:lastRowLastColumn="0"/>
              <w:rPr>
                <w:rFonts w:cs="Arial"/>
                <w:bCs/>
                <w:i/>
                <w:iCs/>
                <w:color w:val="000000"/>
              </w:rPr>
            </w:pPr>
            <w:proofErr w:type="spellStart"/>
            <w:r>
              <w:rPr>
                <w:rFonts w:cs="Arial"/>
                <w:bCs/>
                <w:i/>
                <w:iCs/>
              </w:rPr>
              <w:t>Mobula</w:t>
            </w:r>
            <w:proofErr w:type="spellEnd"/>
            <w:r>
              <w:rPr>
                <w:rFonts w:cs="Arial"/>
                <w:bCs/>
                <w:i/>
                <w:iCs/>
              </w:rPr>
              <w:t xml:space="preserve"> </w:t>
            </w:r>
            <w:proofErr w:type="spellStart"/>
            <w:r>
              <w:rPr>
                <w:rFonts w:cs="Arial"/>
                <w:bCs/>
                <w:i/>
                <w:iCs/>
              </w:rPr>
              <w:t>birostris</w:t>
            </w:r>
            <w:proofErr w:type="spellEnd"/>
            <w:r>
              <w:rPr>
                <w:rFonts w:cs="Arial"/>
                <w:bCs/>
                <w:i/>
                <w:iCs/>
              </w:rPr>
              <w:t xml:space="preserve"> </w:t>
            </w:r>
          </w:p>
        </w:tc>
      </w:tr>
      <w:tr w:rsidR="00810A15" w:rsidRPr="00132372" w14:paraId="65065808" w14:textId="77777777" w:rsidTr="00D512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06" w:type="pct"/>
            <w:hideMark/>
          </w:tcPr>
          <w:p w14:paraId="579A2D96" w14:textId="77777777" w:rsidR="00810A15" w:rsidRPr="00281AB3" w:rsidRDefault="00810A15" w:rsidP="00D51261">
            <w:pPr>
              <w:ind w:firstLine="581"/>
              <w:rPr>
                <w:rFonts w:cs="Arial"/>
                <w:b w:val="0"/>
                <w:bCs w:val="0"/>
                <w:i/>
                <w:iCs/>
                <w:color w:val="000000"/>
              </w:rPr>
            </w:pPr>
            <w:proofErr w:type="spellStart"/>
            <w:r>
              <w:rPr>
                <w:rFonts w:cs="Arial"/>
                <w:b w:val="0"/>
                <w:bCs w:val="0"/>
                <w:i/>
                <w:iCs/>
                <w:color w:val="000000" w:themeColor="text1"/>
              </w:rPr>
              <w:t>Mobula</w:t>
            </w:r>
            <w:proofErr w:type="spellEnd"/>
            <w:r>
              <w:rPr>
                <w:rFonts w:cs="Arial"/>
                <w:b w:val="0"/>
                <w:bCs w:val="0"/>
                <w:i/>
                <w:iCs/>
                <w:color w:val="000000" w:themeColor="text1"/>
              </w:rPr>
              <w:t xml:space="preserve"> </w:t>
            </w:r>
            <w:proofErr w:type="spellStart"/>
            <w:r>
              <w:rPr>
                <w:rFonts w:cs="Arial"/>
                <w:b w:val="0"/>
                <w:bCs w:val="0"/>
                <w:i/>
                <w:iCs/>
                <w:color w:val="000000" w:themeColor="text1"/>
              </w:rPr>
              <w:t>eregoodootenkee</w:t>
            </w:r>
            <w:proofErr w:type="spellEnd"/>
          </w:p>
        </w:tc>
        <w:tc>
          <w:tcPr>
            <w:tcW w:w="2794" w:type="pct"/>
            <w:hideMark/>
          </w:tcPr>
          <w:p w14:paraId="50D3B652" w14:textId="77777777" w:rsidR="00810A15" w:rsidRPr="004D0F85" w:rsidRDefault="00810A15" w:rsidP="00D51261">
            <w:pPr>
              <w:cnfStyle w:val="000000100000" w:firstRow="0" w:lastRow="0" w:firstColumn="0" w:lastColumn="0" w:oddVBand="0" w:evenVBand="0" w:oddHBand="1" w:evenHBand="0" w:firstRowFirstColumn="0" w:firstRowLastColumn="0" w:lastRowFirstColumn="0" w:lastRowLastColumn="0"/>
              <w:rPr>
                <w:rFonts w:cs="Arial"/>
                <w:i/>
                <w:iCs/>
                <w:color w:val="000000"/>
              </w:rPr>
            </w:pPr>
            <w:proofErr w:type="spellStart"/>
            <w:r>
              <w:rPr>
                <w:rFonts w:cs="Arial"/>
                <w:i/>
                <w:iCs/>
              </w:rPr>
              <w:t>Mobula</w:t>
            </w:r>
            <w:proofErr w:type="spellEnd"/>
            <w:r>
              <w:rPr>
                <w:rFonts w:cs="Arial"/>
                <w:i/>
                <w:iCs/>
              </w:rPr>
              <w:t xml:space="preserve"> </w:t>
            </w:r>
            <w:proofErr w:type="spellStart"/>
            <w:r>
              <w:rPr>
                <w:rFonts w:cs="Arial"/>
                <w:i/>
                <w:iCs/>
              </w:rPr>
              <w:t>eregoodoo</w:t>
            </w:r>
            <w:proofErr w:type="spellEnd"/>
          </w:p>
        </w:tc>
      </w:tr>
      <w:tr w:rsidR="00810A15" w:rsidRPr="00132372" w14:paraId="3066F860" w14:textId="77777777" w:rsidTr="00D51261">
        <w:trPr>
          <w:trHeight w:val="315"/>
        </w:trPr>
        <w:tc>
          <w:tcPr>
            <w:cnfStyle w:val="001000000000" w:firstRow="0" w:lastRow="0" w:firstColumn="1" w:lastColumn="0" w:oddVBand="0" w:evenVBand="0" w:oddHBand="0" w:evenHBand="0" w:firstRowFirstColumn="0" w:firstRowLastColumn="0" w:lastRowFirstColumn="0" w:lastRowLastColumn="0"/>
            <w:tcW w:w="2206" w:type="pct"/>
          </w:tcPr>
          <w:p w14:paraId="3F6C087E" w14:textId="77777777" w:rsidR="00810A15" w:rsidRPr="00281AB3" w:rsidRDefault="00810A15" w:rsidP="00D51261">
            <w:pPr>
              <w:ind w:firstLine="581"/>
              <w:rPr>
                <w:rFonts w:cs="Arial"/>
                <w:b w:val="0"/>
                <w:bCs w:val="0"/>
                <w:i/>
                <w:iCs/>
                <w:color w:val="000000"/>
              </w:rPr>
            </w:pPr>
            <w:proofErr w:type="spellStart"/>
            <w:r>
              <w:rPr>
                <w:rFonts w:cs="Arial"/>
                <w:b w:val="0"/>
                <w:bCs w:val="0"/>
                <w:i/>
                <w:iCs/>
                <w:color w:val="000000"/>
              </w:rPr>
              <w:t>Mobula</w:t>
            </w:r>
            <w:proofErr w:type="spellEnd"/>
            <w:r>
              <w:rPr>
                <w:rFonts w:cs="Arial"/>
                <w:b w:val="0"/>
                <w:bCs w:val="0"/>
                <w:i/>
                <w:iCs/>
                <w:color w:val="000000"/>
              </w:rPr>
              <w:t xml:space="preserve"> </w:t>
            </w:r>
            <w:proofErr w:type="spellStart"/>
            <w:r>
              <w:rPr>
                <w:rFonts w:cs="Arial"/>
                <w:b w:val="0"/>
                <w:bCs w:val="0"/>
                <w:i/>
                <w:iCs/>
                <w:color w:val="000000"/>
              </w:rPr>
              <w:t>japanica</w:t>
            </w:r>
            <w:proofErr w:type="spellEnd"/>
          </w:p>
        </w:tc>
        <w:tc>
          <w:tcPr>
            <w:tcW w:w="2794" w:type="pct"/>
          </w:tcPr>
          <w:p w14:paraId="2E8E9E98" w14:textId="77777777" w:rsidR="00810A15" w:rsidRPr="004D0F85" w:rsidRDefault="00810A15" w:rsidP="00D51261">
            <w:pPr>
              <w:cnfStyle w:val="000000000000" w:firstRow="0" w:lastRow="0" w:firstColumn="0" w:lastColumn="0" w:oddVBand="0" w:evenVBand="0" w:oddHBand="0" w:evenHBand="0" w:firstRowFirstColumn="0" w:firstRowLastColumn="0" w:lastRowFirstColumn="0" w:lastRowLastColumn="0"/>
              <w:rPr>
                <w:rFonts w:cs="Arial"/>
                <w:bCs/>
                <w:i/>
                <w:iCs/>
                <w:color w:val="000000"/>
              </w:rPr>
            </w:pPr>
            <w:proofErr w:type="spellStart"/>
            <w:r>
              <w:rPr>
                <w:rFonts w:cs="Arial"/>
                <w:bCs/>
                <w:i/>
                <w:iCs/>
                <w:color w:val="000000"/>
              </w:rPr>
              <w:t>Mobula</w:t>
            </w:r>
            <w:proofErr w:type="spellEnd"/>
            <w:r>
              <w:rPr>
                <w:rFonts w:cs="Arial"/>
                <w:bCs/>
                <w:i/>
                <w:iCs/>
                <w:color w:val="000000"/>
              </w:rPr>
              <w:t xml:space="preserve"> </w:t>
            </w:r>
            <w:proofErr w:type="spellStart"/>
            <w:r>
              <w:rPr>
                <w:rFonts w:cs="Arial"/>
                <w:bCs/>
                <w:i/>
                <w:iCs/>
                <w:color w:val="000000"/>
              </w:rPr>
              <w:t>mobular</w:t>
            </w:r>
            <w:proofErr w:type="spellEnd"/>
            <w:r>
              <w:rPr>
                <w:rFonts w:cs="Arial"/>
                <w:bCs/>
                <w:i/>
                <w:iCs/>
                <w:color w:val="000000"/>
              </w:rPr>
              <w:t xml:space="preserve"> </w:t>
            </w:r>
          </w:p>
        </w:tc>
      </w:tr>
      <w:tr w:rsidR="00810A15" w:rsidRPr="00132372" w14:paraId="44A3AF3A" w14:textId="77777777" w:rsidTr="00D512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79533577" w14:textId="77777777" w:rsidR="00810A15" w:rsidRPr="00281AB3" w:rsidRDefault="00810A15" w:rsidP="00D51261">
            <w:pPr>
              <w:ind w:firstLine="581"/>
              <w:rPr>
                <w:rFonts w:cs="Arial"/>
                <w:b w:val="0"/>
                <w:bCs w:val="0"/>
                <w:i/>
                <w:iCs/>
                <w:color w:val="000000"/>
              </w:rPr>
            </w:pPr>
            <w:proofErr w:type="spellStart"/>
            <w:r>
              <w:rPr>
                <w:rFonts w:cs="Arial"/>
                <w:b w:val="0"/>
                <w:bCs w:val="0"/>
                <w:i/>
                <w:iCs/>
                <w:color w:val="000000"/>
              </w:rPr>
              <w:t>Mobula</w:t>
            </w:r>
            <w:proofErr w:type="spellEnd"/>
            <w:r>
              <w:rPr>
                <w:rFonts w:cs="Arial"/>
                <w:b w:val="0"/>
                <w:bCs w:val="0"/>
                <w:i/>
                <w:iCs/>
                <w:color w:val="000000"/>
              </w:rPr>
              <w:t xml:space="preserve"> </w:t>
            </w:r>
            <w:proofErr w:type="spellStart"/>
            <w:r>
              <w:rPr>
                <w:rFonts w:cs="Arial"/>
                <w:b w:val="0"/>
                <w:bCs w:val="0"/>
                <w:i/>
                <w:iCs/>
                <w:color w:val="000000"/>
              </w:rPr>
              <w:t>rochebrunei</w:t>
            </w:r>
            <w:proofErr w:type="spellEnd"/>
          </w:p>
        </w:tc>
        <w:tc>
          <w:tcPr>
            <w:tcW w:w="2794" w:type="pct"/>
            <w:hideMark/>
          </w:tcPr>
          <w:p w14:paraId="08371816" w14:textId="77777777" w:rsidR="00810A15" w:rsidRPr="004D0F85" w:rsidRDefault="00810A15" w:rsidP="00D51261">
            <w:pPr>
              <w:cnfStyle w:val="000000100000" w:firstRow="0" w:lastRow="0" w:firstColumn="0" w:lastColumn="0" w:oddVBand="0" w:evenVBand="0" w:oddHBand="1" w:evenHBand="0" w:firstRowFirstColumn="0" w:firstRowLastColumn="0" w:lastRowFirstColumn="0" w:lastRowLastColumn="0"/>
              <w:rPr>
                <w:rFonts w:cs="Arial"/>
                <w:bCs/>
                <w:i/>
                <w:iCs/>
                <w:color w:val="000000"/>
              </w:rPr>
            </w:pPr>
            <w:proofErr w:type="spellStart"/>
            <w:r>
              <w:rPr>
                <w:rFonts w:cs="Arial"/>
                <w:bCs/>
                <w:i/>
                <w:iCs/>
                <w:color w:val="000000"/>
              </w:rPr>
              <w:t>Mobula</w:t>
            </w:r>
            <w:proofErr w:type="spellEnd"/>
            <w:r>
              <w:rPr>
                <w:rFonts w:cs="Arial"/>
                <w:bCs/>
                <w:i/>
                <w:iCs/>
                <w:color w:val="000000"/>
              </w:rPr>
              <w:t xml:space="preserve"> </w:t>
            </w:r>
            <w:proofErr w:type="spellStart"/>
            <w:r>
              <w:rPr>
                <w:rFonts w:cs="Arial"/>
                <w:bCs/>
                <w:i/>
                <w:iCs/>
                <w:color w:val="000000"/>
              </w:rPr>
              <w:t>hypostoma</w:t>
            </w:r>
            <w:proofErr w:type="spellEnd"/>
          </w:p>
        </w:tc>
      </w:tr>
      <w:tr w:rsidR="00810A15" w:rsidRPr="00132372" w14:paraId="01D31AA5" w14:textId="77777777" w:rsidTr="00D51261">
        <w:trPr>
          <w:trHeight w:val="300"/>
        </w:trPr>
        <w:tc>
          <w:tcPr>
            <w:cnfStyle w:val="001000000000" w:firstRow="0" w:lastRow="0" w:firstColumn="1" w:lastColumn="0" w:oddVBand="0" w:evenVBand="0" w:oddHBand="0" w:evenHBand="0" w:firstRowFirstColumn="0" w:firstRowLastColumn="0" w:lastRowFirstColumn="0" w:lastRowLastColumn="0"/>
            <w:tcW w:w="2206" w:type="pct"/>
          </w:tcPr>
          <w:p w14:paraId="5686167E" w14:textId="77777777" w:rsidR="00810A15" w:rsidRPr="00281AB3" w:rsidRDefault="00810A15" w:rsidP="00D51261">
            <w:pPr>
              <w:rPr>
                <w:rFonts w:cs="Arial"/>
                <w:color w:val="000000"/>
              </w:rPr>
            </w:pPr>
            <w:proofErr w:type="spellStart"/>
            <w:r>
              <w:rPr>
                <w:rFonts w:cs="Arial"/>
                <w:color w:val="4472C4" w:themeColor="accent1"/>
              </w:rPr>
              <w:t>Squalidae</w:t>
            </w:r>
            <w:proofErr w:type="spellEnd"/>
          </w:p>
        </w:tc>
        <w:tc>
          <w:tcPr>
            <w:tcW w:w="2794" w:type="pct"/>
          </w:tcPr>
          <w:p w14:paraId="7119B21E" w14:textId="77777777" w:rsidR="00810A15" w:rsidRPr="00945B5F" w:rsidRDefault="00810A15" w:rsidP="00D51261">
            <w:pPr>
              <w:cnfStyle w:val="000000000000" w:firstRow="0" w:lastRow="0" w:firstColumn="0" w:lastColumn="0" w:oddVBand="0" w:evenVBand="0" w:oddHBand="0" w:evenHBand="0" w:firstRowFirstColumn="0" w:firstRowLastColumn="0" w:lastRowFirstColumn="0" w:lastRowLastColumn="0"/>
              <w:rPr>
                <w:rFonts w:cs="Arial"/>
                <w:i/>
                <w:iCs/>
                <w:color w:val="000000"/>
                <w:lang w:val="fr-FR"/>
              </w:rPr>
            </w:pPr>
          </w:p>
        </w:tc>
      </w:tr>
      <w:tr w:rsidR="00810A15" w:rsidRPr="002125BA" w14:paraId="4FDBCCC2" w14:textId="77777777" w:rsidTr="00D512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tcPr>
          <w:p w14:paraId="1AB1D53B" w14:textId="77777777" w:rsidR="00810A15" w:rsidRPr="00281AB3" w:rsidRDefault="00810A15" w:rsidP="00D51261">
            <w:pPr>
              <w:ind w:left="581"/>
              <w:rPr>
                <w:rFonts w:cs="Arial"/>
                <w:b w:val="0"/>
                <w:bCs w:val="0"/>
                <w:color w:val="000000"/>
                <w:lang w:val="fr-FR"/>
              </w:rPr>
            </w:pPr>
            <w:proofErr w:type="spellStart"/>
            <w:r>
              <w:rPr>
                <w:rFonts w:cs="Arial"/>
                <w:b w:val="0"/>
                <w:bCs w:val="0"/>
                <w:i/>
                <w:iCs/>
                <w:color w:val="000000" w:themeColor="text1"/>
                <w:lang w:val="fr-FR"/>
              </w:rPr>
              <w:t>Squalus</w:t>
            </w:r>
            <w:proofErr w:type="spellEnd"/>
            <w:r>
              <w:rPr>
                <w:rFonts w:cs="Arial"/>
                <w:b w:val="0"/>
                <w:bCs w:val="0"/>
                <w:i/>
                <w:iCs/>
                <w:color w:val="000000" w:themeColor="text1"/>
                <w:lang w:val="fr-FR"/>
              </w:rPr>
              <w:t xml:space="preserve"> acanthias </w:t>
            </w:r>
            <w:r>
              <w:rPr>
                <w:rFonts w:cs="Arial"/>
                <w:b w:val="0"/>
                <w:color w:val="000000" w:themeColor="text1"/>
                <w:lang w:val="fr-FR"/>
              </w:rPr>
              <w:t>(population de l'hémisphère nord)</w:t>
            </w:r>
            <w:r>
              <w:rPr>
                <w:rFonts w:cs="Arial"/>
                <w:b w:val="0"/>
                <w:bCs w:val="0"/>
                <w:color w:val="000000" w:themeColor="text1"/>
                <w:lang w:val="fr-FR"/>
              </w:rPr>
              <w:t xml:space="preserve"> </w:t>
            </w:r>
          </w:p>
        </w:tc>
        <w:tc>
          <w:tcPr>
            <w:tcW w:w="2794" w:type="pct"/>
          </w:tcPr>
          <w:p w14:paraId="334DEF22" w14:textId="77777777" w:rsidR="00810A15" w:rsidRPr="00132372" w:rsidRDefault="00810A15" w:rsidP="00D51261">
            <w:pPr>
              <w:cnfStyle w:val="000000100000" w:firstRow="0" w:lastRow="0" w:firstColumn="0" w:lastColumn="0" w:oddVBand="0" w:evenVBand="0" w:oddHBand="1" w:evenHBand="0" w:firstRowFirstColumn="0" w:firstRowLastColumn="0" w:lastRowFirstColumn="0" w:lastRowLastColumn="0"/>
              <w:rPr>
                <w:rFonts w:cs="Arial"/>
                <w:b/>
                <w:i/>
                <w:iCs/>
                <w:color w:val="000000"/>
                <w:lang w:val="fr-FR"/>
              </w:rPr>
            </w:pPr>
            <w:proofErr w:type="spellStart"/>
            <w:r>
              <w:rPr>
                <w:rFonts w:cs="Arial"/>
                <w:i/>
                <w:iCs/>
                <w:color w:val="000000"/>
                <w:lang w:val="fr-FR"/>
              </w:rPr>
              <w:t>Squalus</w:t>
            </w:r>
            <w:proofErr w:type="spellEnd"/>
            <w:r>
              <w:rPr>
                <w:rFonts w:cs="Arial"/>
                <w:i/>
                <w:iCs/>
                <w:color w:val="000000"/>
                <w:lang w:val="fr-FR"/>
              </w:rPr>
              <w:t xml:space="preserve"> acanthias </w:t>
            </w:r>
            <w:r>
              <w:rPr>
                <w:rFonts w:cs="Arial"/>
                <w:color w:val="000000"/>
                <w:lang w:val="fr-FR"/>
              </w:rPr>
              <w:t xml:space="preserve">et </w:t>
            </w:r>
            <w:proofErr w:type="spellStart"/>
            <w:r>
              <w:rPr>
                <w:rFonts w:cs="Arial"/>
                <w:i/>
                <w:iCs/>
                <w:color w:val="000000"/>
                <w:lang w:val="fr-FR"/>
              </w:rPr>
              <w:t>Squalus</w:t>
            </w:r>
            <w:proofErr w:type="spellEnd"/>
            <w:r>
              <w:rPr>
                <w:rFonts w:cs="Arial"/>
                <w:i/>
                <w:iCs/>
                <w:color w:val="000000"/>
                <w:lang w:val="fr-FR"/>
              </w:rPr>
              <w:t xml:space="preserve"> </w:t>
            </w:r>
            <w:proofErr w:type="spellStart"/>
            <w:r>
              <w:rPr>
                <w:rFonts w:cs="Arial"/>
                <w:i/>
                <w:iCs/>
                <w:color w:val="000000"/>
                <w:lang w:val="fr-FR"/>
              </w:rPr>
              <w:t>suckleyi</w:t>
            </w:r>
            <w:proofErr w:type="spellEnd"/>
            <w:r>
              <w:rPr>
                <w:rFonts w:cs="Arial"/>
                <w:i/>
                <w:iCs/>
                <w:color w:val="000000"/>
                <w:lang w:val="fr-FR"/>
              </w:rPr>
              <w:t xml:space="preserve"> </w:t>
            </w:r>
            <w:r>
              <w:rPr>
                <w:rFonts w:cs="Arial"/>
                <w:color w:val="000000"/>
                <w:lang w:val="fr-FR"/>
              </w:rPr>
              <w:t>(la sous-population du Pacifique Nord</w:t>
            </w:r>
            <w:r>
              <w:rPr>
                <w:rFonts w:cs="Arial"/>
                <w:i/>
                <w:iCs/>
                <w:color w:val="000000"/>
                <w:lang w:val="fr-FR"/>
              </w:rPr>
              <w:t xml:space="preserve"> </w:t>
            </w:r>
            <w:r>
              <w:rPr>
                <w:rFonts w:cs="Arial"/>
                <w:color w:val="000000"/>
                <w:lang w:val="fr-FR"/>
              </w:rPr>
              <w:t>est désormais considérée comme une espèce distincte,</w:t>
            </w:r>
            <w:r>
              <w:rPr>
                <w:rFonts w:cs="Arial"/>
                <w:i/>
                <w:iCs/>
                <w:color w:val="000000"/>
                <w:lang w:val="fr-FR"/>
              </w:rPr>
              <w:t xml:space="preserve"> </w:t>
            </w:r>
            <w:proofErr w:type="spellStart"/>
            <w:r>
              <w:rPr>
                <w:rFonts w:cs="Arial"/>
                <w:i/>
                <w:iCs/>
                <w:color w:val="000000"/>
                <w:lang w:val="fr-FR"/>
              </w:rPr>
              <w:t>Squalus</w:t>
            </w:r>
            <w:proofErr w:type="spellEnd"/>
            <w:r>
              <w:rPr>
                <w:rFonts w:cs="Arial"/>
                <w:i/>
                <w:iCs/>
                <w:color w:val="000000"/>
                <w:lang w:val="fr-FR"/>
              </w:rPr>
              <w:t xml:space="preserve"> </w:t>
            </w:r>
            <w:proofErr w:type="spellStart"/>
            <w:r>
              <w:rPr>
                <w:rFonts w:cs="Arial"/>
                <w:i/>
                <w:iCs/>
                <w:color w:val="000000"/>
                <w:lang w:val="fr-FR"/>
              </w:rPr>
              <w:t>suckleyi</w:t>
            </w:r>
            <w:proofErr w:type="spellEnd"/>
            <w:r>
              <w:rPr>
                <w:rFonts w:cs="Arial"/>
                <w:i/>
                <w:iCs/>
                <w:color w:val="000000"/>
                <w:lang w:val="fr-FR"/>
              </w:rPr>
              <w:t xml:space="preserve"> (Girard, 1854).</w:t>
            </w:r>
            <w:r>
              <w:rPr>
                <w:rStyle w:val="FootnoteReference"/>
                <w:rFonts w:cs="Arial"/>
                <w:i/>
                <w:iCs/>
                <w:color w:val="000000"/>
                <w:lang w:val="fr-FR"/>
              </w:rPr>
              <w:footnoteReference w:id="1"/>
            </w:r>
          </w:p>
        </w:tc>
      </w:tr>
    </w:tbl>
    <w:p w14:paraId="3E4B0D69" w14:textId="77777777" w:rsidR="00810A15" w:rsidRDefault="00810A15" w:rsidP="00810A15">
      <w:pPr>
        <w:pStyle w:val="Firstnumbering"/>
        <w:numPr>
          <w:ilvl w:val="0"/>
          <w:numId w:val="0"/>
        </w:numPr>
        <w:ind w:left="540" w:hanging="540"/>
        <w:contextualSpacing w:val="0"/>
        <w:rPr>
          <w:i/>
          <w:iCs/>
          <w:lang w:val="fr-FR"/>
        </w:rPr>
      </w:pPr>
    </w:p>
    <w:p w14:paraId="604E544D" w14:textId="77777777" w:rsidR="00810A15" w:rsidRDefault="00810A15" w:rsidP="00810A15">
      <w:pPr>
        <w:pStyle w:val="Firstnumbering"/>
        <w:numPr>
          <w:ilvl w:val="0"/>
          <w:numId w:val="0"/>
        </w:numPr>
        <w:ind w:left="540" w:hanging="540"/>
        <w:contextualSpacing w:val="0"/>
        <w:rPr>
          <w:i/>
          <w:iCs/>
          <w:lang w:val="fr-FR"/>
        </w:rPr>
      </w:pPr>
    </w:p>
    <w:p w14:paraId="3805020A" w14:textId="77777777" w:rsidR="00810A15" w:rsidRPr="007A6D84" w:rsidRDefault="00810A15" w:rsidP="00810A15">
      <w:pPr>
        <w:pStyle w:val="Firstnumbering"/>
        <w:numPr>
          <w:ilvl w:val="0"/>
          <w:numId w:val="4"/>
        </w:numPr>
        <w:ind w:left="709"/>
        <w:contextualSpacing w:val="0"/>
        <w:rPr>
          <w:i/>
          <w:iCs/>
          <w:color w:val="000000"/>
          <w:lang w:val="fr-FR"/>
        </w:rPr>
      </w:pPr>
      <w:proofErr w:type="spellStart"/>
      <w:r>
        <w:rPr>
          <w:i/>
          <w:color w:val="000000" w:themeColor="text1"/>
          <w:lang w:val="fr-FR"/>
        </w:rPr>
        <w:t>Acipenser</w:t>
      </w:r>
      <w:proofErr w:type="spellEnd"/>
      <w:r>
        <w:rPr>
          <w:i/>
          <w:color w:val="000000" w:themeColor="text1"/>
          <w:lang w:val="fr-FR"/>
        </w:rPr>
        <w:t xml:space="preserve"> </w:t>
      </w:r>
      <w:proofErr w:type="spellStart"/>
      <w:r>
        <w:rPr>
          <w:i/>
          <w:iCs/>
          <w:color w:val="000000" w:themeColor="text1"/>
          <w:lang w:val="fr-FR"/>
        </w:rPr>
        <w:t>baerii</w:t>
      </w:r>
      <w:proofErr w:type="spellEnd"/>
      <w:r>
        <w:rPr>
          <w:i/>
          <w:color w:val="000000" w:themeColor="text1"/>
          <w:lang w:val="fr-FR"/>
        </w:rPr>
        <w:t xml:space="preserve"> </w:t>
      </w:r>
      <w:proofErr w:type="spellStart"/>
      <w:r>
        <w:rPr>
          <w:i/>
          <w:color w:val="000000" w:themeColor="text1"/>
          <w:lang w:val="fr-FR"/>
        </w:rPr>
        <w:t>baicalensis</w:t>
      </w:r>
      <w:proofErr w:type="spellEnd"/>
    </w:p>
    <w:p w14:paraId="332BFAF9" w14:textId="77777777" w:rsidR="00810A15" w:rsidRDefault="00810A15" w:rsidP="00810A15">
      <w:pPr>
        <w:pStyle w:val="Firstnumbering"/>
        <w:numPr>
          <w:ilvl w:val="0"/>
          <w:numId w:val="0"/>
        </w:numPr>
        <w:ind w:left="540" w:hanging="540"/>
        <w:contextualSpacing w:val="0"/>
        <w:rPr>
          <w:i/>
          <w:iCs/>
          <w:color w:val="000000"/>
          <w:lang w:val="fr-FR"/>
        </w:rPr>
      </w:pPr>
    </w:p>
    <w:p w14:paraId="3947E4EB" w14:textId="77777777" w:rsidR="00810A15" w:rsidRPr="0058457D" w:rsidRDefault="00810A15" w:rsidP="00810A15">
      <w:pPr>
        <w:pStyle w:val="Firstnumbering"/>
        <w:contextualSpacing w:val="0"/>
        <w:rPr>
          <w:lang w:val="fr-FR"/>
        </w:rPr>
      </w:pPr>
      <w:proofErr w:type="spellStart"/>
      <w:r>
        <w:rPr>
          <w:i/>
          <w:iCs/>
          <w:lang w:val="fr-FR"/>
        </w:rPr>
        <w:t>Acipenser</w:t>
      </w:r>
      <w:proofErr w:type="spellEnd"/>
      <w:r>
        <w:rPr>
          <w:i/>
          <w:iCs/>
          <w:lang w:val="fr-FR"/>
        </w:rPr>
        <w:t xml:space="preserve"> </w:t>
      </w:r>
      <w:proofErr w:type="spellStart"/>
      <w:r>
        <w:rPr>
          <w:i/>
          <w:iCs/>
          <w:lang w:val="fr-FR"/>
        </w:rPr>
        <w:t>baerii</w:t>
      </w:r>
      <w:proofErr w:type="spellEnd"/>
      <w:r>
        <w:rPr>
          <w:i/>
          <w:iCs/>
          <w:lang w:val="fr-FR"/>
        </w:rPr>
        <w:t xml:space="preserve"> </w:t>
      </w:r>
      <w:proofErr w:type="spellStart"/>
      <w:r>
        <w:rPr>
          <w:i/>
          <w:iCs/>
          <w:lang w:val="fr-FR"/>
        </w:rPr>
        <w:t>baicalensis</w:t>
      </w:r>
      <w:proofErr w:type="spellEnd"/>
      <w:r>
        <w:rPr>
          <w:lang w:val="fr-FR"/>
        </w:rPr>
        <w:t xml:space="preserve"> a été inscrit à l'Annexe II en 1999. </w:t>
      </w:r>
      <w:proofErr w:type="spellStart"/>
      <w:r>
        <w:rPr>
          <w:lang w:val="fr-FR"/>
        </w:rPr>
        <w:t>Eschmeyer</w:t>
      </w:r>
      <w:proofErr w:type="spellEnd"/>
      <w:r>
        <w:rPr>
          <w:lang w:val="fr-FR"/>
        </w:rPr>
        <w:t xml:space="preserve"> ne reconnaît pas la sous-espèce </w:t>
      </w:r>
      <w:proofErr w:type="spellStart"/>
      <w:r>
        <w:rPr>
          <w:i/>
          <w:iCs/>
          <w:lang w:val="fr-FR"/>
        </w:rPr>
        <w:t>baicalensis</w:t>
      </w:r>
      <w:proofErr w:type="spellEnd"/>
      <w:r>
        <w:rPr>
          <w:lang w:val="fr-FR"/>
        </w:rPr>
        <w:t xml:space="preserve"> et se réfère plutôt à </w:t>
      </w:r>
      <w:proofErr w:type="spellStart"/>
      <w:r>
        <w:rPr>
          <w:i/>
          <w:iCs/>
          <w:lang w:val="fr-FR"/>
        </w:rPr>
        <w:t>Acipenser</w:t>
      </w:r>
      <w:proofErr w:type="spellEnd"/>
      <w:r>
        <w:rPr>
          <w:i/>
          <w:iCs/>
          <w:lang w:val="fr-FR"/>
        </w:rPr>
        <w:t xml:space="preserve"> </w:t>
      </w:r>
      <w:proofErr w:type="spellStart"/>
      <w:r>
        <w:rPr>
          <w:i/>
          <w:iCs/>
          <w:lang w:val="fr-FR"/>
        </w:rPr>
        <w:t>baerii</w:t>
      </w:r>
      <w:proofErr w:type="spellEnd"/>
      <w:r>
        <w:rPr>
          <w:i/>
          <w:iCs/>
          <w:lang w:val="fr-FR"/>
        </w:rPr>
        <w:t>.</w:t>
      </w:r>
    </w:p>
    <w:p w14:paraId="1625E9A2" w14:textId="77777777" w:rsidR="00810A15" w:rsidRDefault="00810A15" w:rsidP="00810A15">
      <w:pPr>
        <w:pStyle w:val="Firstnumbering"/>
        <w:numPr>
          <w:ilvl w:val="0"/>
          <w:numId w:val="0"/>
        </w:numPr>
        <w:ind w:left="540" w:hanging="540"/>
        <w:contextualSpacing w:val="0"/>
        <w:rPr>
          <w:i/>
          <w:iCs/>
          <w:lang w:val="fr-FR"/>
        </w:rPr>
      </w:pPr>
    </w:p>
    <w:p w14:paraId="4780B2A9" w14:textId="77777777" w:rsidR="00810A15" w:rsidRPr="007A6D84" w:rsidRDefault="00810A15" w:rsidP="00810A15">
      <w:pPr>
        <w:pStyle w:val="Firstnumbering"/>
        <w:numPr>
          <w:ilvl w:val="0"/>
          <w:numId w:val="4"/>
        </w:numPr>
        <w:ind w:left="709"/>
        <w:contextualSpacing w:val="0"/>
        <w:rPr>
          <w:i/>
        </w:rPr>
      </w:pPr>
      <w:proofErr w:type="spellStart"/>
      <w:r>
        <w:rPr>
          <w:i/>
          <w:iCs/>
        </w:rPr>
        <w:t>Mobulidae</w:t>
      </w:r>
      <w:proofErr w:type="spellEnd"/>
    </w:p>
    <w:p w14:paraId="2F52C9D3" w14:textId="77777777" w:rsidR="00810A15" w:rsidRPr="00330503" w:rsidRDefault="00810A15" w:rsidP="00810A15">
      <w:pPr>
        <w:pStyle w:val="Firstnumbering"/>
        <w:numPr>
          <w:ilvl w:val="0"/>
          <w:numId w:val="0"/>
        </w:numPr>
        <w:ind w:left="540"/>
        <w:contextualSpacing w:val="0"/>
        <w:rPr>
          <w:b/>
          <w:highlight w:val="yellow"/>
          <w:lang w:val="fr-FR"/>
        </w:rPr>
      </w:pPr>
    </w:p>
    <w:p w14:paraId="1615619F" w14:textId="77777777" w:rsidR="00810A15" w:rsidRPr="00EC1515" w:rsidRDefault="00810A15" w:rsidP="00810A15">
      <w:pPr>
        <w:pStyle w:val="Firstnumbering"/>
        <w:contextualSpacing w:val="0"/>
        <w:rPr>
          <w:b/>
          <w:bCs/>
          <w:lang w:val="fr-FR"/>
        </w:rPr>
      </w:pPr>
      <w:proofErr w:type="spellStart"/>
      <w:r>
        <w:rPr>
          <w:lang w:val="fr-FR"/>
        </w:rPr>
        <w:t>Eschmeyer</w:t>
      </w:r>
      <w:proofErr w:type="spellEnd"/>
      <w:r>
        <w:rPr>
          <w:lang w:val="fr-FR"/>
        </w:rPr>
        <w:t xml:space="preserve"> et al. se réfèrent à White et Last (2016)</w:t>
      </w:r>
      <w:r>
        <w:rPr>
          <w:rStyle w:val="FootnoteReference"/>
          <w:lang w:val="fr-FR"/>
        </w:rPr>
        <w:footnoteReference w:id="2"/>
      </w:r>
      <w:r>
        <w:rPr>
          <w:lang w:val="fr-FR"/>
        </w:rPr>
        <w:t xml:space="preserve"> comme référence scientifique pour les changements dans la taxonomie et la nomenclature des </w:t>
      </w:r>
      <w:proofErr w:type="spellStart"/>
      <w:r>
        <w:rPr>
          <w:lang w:val="fr-FR"/>
        </w:rPr>
        <w:t>Mobulidés</w:t>
      </w:r>
      <w:proofErr w:type="spellEnd"/>
      <w:r>
        <w:rPr>
          <w:lang w:val="fr-FR"/>
        </w:rPr>
        <w:t xml:space="preserve"> :</w:t>
      </w:r>
    </w:p>
    <w:p w14:paraId="4D4ECC8E" w14:textId="77777777" w:rsidR="00810A15" w:rsidRPr="00122F8B" w:rsidRDefault="00810A15" w:rsidP="00810A15">
      <w:pPr>
        <w:pStyle w:val="Firstnumbering"/>
        <w:numPr>
          <w:ilvl w:val="0"/>
          <w:numId w:val="0"/>
        </w:numPr>
        <w:ind w:left="504"/>
        <w:contextualSpacing w:val="0"/>
        <w:rPr>
          <w:b/>
          <w:bCs/>
          <w:lang w:val="fr-FR"/>
        </w:rPr>
      </w:pPr>
    </w:p>
    <w:p w14:paraId="630A3B7A" w14:textId="77777777" w:rsidR="00810A15" w:rsidRPr="00122F8B" w:rsidRDefault="00810A15" w:rsidP="00810A15">
      <w:pPr>
        <w:pStyle w:val="Firstnumbering"/>
        <w:numPr>
          <w:ilvl w:val="1"/>
          <w:numId w:val="2"/>
        </w:numPr>
        <w:contextualSpacing w:val="0"/>
        <w:rPr>
          <w:b/>
          <w:bCs/>
          <w:lang w:val="fr-FR"/>
        </w:rPr>
      </w:pPr>
      <w:r>
        <w:rPr>
          <w:i/>
          <w:iCs/>
          <w:lang w:val="fr-FR"/>
        </w:rPr>
        <w:t xml:space="preserve">Manta </w:t>
      </w:r>
      <w:proofErr w:type="spellStart"/>
      <w:r>
        <w:rPr>
          <w:i/>
          <w:iCs/>
          <w:lang w:val="fr-FR"/>
        </w:rPr>
        <w:t>alfredi</w:t>
      </w:r>
      <w:proofErr w:type="spellEnd"/>
      <w:r>
        <w:rPr>
          <w:lang w:val="fr-FR"/>
        </w:rPr>
        <w:t xml:space="preserve"> et </w:t>
      </w:r>
      <w:r>
        <w:rPr>
          <w:i/>
          <w:iCs/>
          <w:lang w:val="fr-FR"/>
        </w:rPr>
        <w:t xml:space="preserve">Manta </w:t>
      </w:r>
      <w:proofErr w:type="spellStart"/>
      <w:r>
        <w:rPr>
          <w:i/>
          <w:iCs/>
          <w:lang w:val="fr-FR"/>
        </w:rPr>
        <w:t>birostris</w:t>
      </w:r>
      <w:proofErr w:type="spellEnd"/>
      <w:r>
        <w:rPr>
          <w:lang w:val="fr-FR"/>
        </w:rPr>
        <w:t xml:space="preserve"> ont été inclus dans le genre </w:t>
      </w:r>
      <w:proofErr w:type="spellStart"/>
      <w:r>
        <w:rPr>
          <w:i/>
          <w:iCs/>
          <w:lang w:val="fr-FR"/>
        </w:rPr>
        <w:t>Mobula</w:t>
      </w:r>
      <w:proofErr w:type="spellEnd"/>
      <w:r>
        <w:rPr>
          <w:lang w:val="fr-FR"/>
        </w:rPr>
        <w:t xml:space="preserve"> et appelés respectivement </w:t>
      </w:r>
      <w:proofErr w:type="spellStart"/>
      <w:r>
        <w:rPr>
          <w:i/>
          <w:iCs/>
          <w:lang w:val="fr-FR"/>
        </w:rPr>
        <w:t>Mobula</w:t>
      </w:r>
      <w:proofErr w:type="spellEnd"/>
      <w:r>
        <w:rPr>
          <w:i/>
          <w:iCs/>
          <w:lang w:val="fr-FR"/>
        </w:rPr>
        <w:t xml:space="preserve"> </w:t>
      </w:r>
      <w:proofErr w:type="spellStart"/>
      <w:r>
        <w:rPr>
          <w:i/>
          <w:iCs/>
          <w:lang w:val="fr-FR"/>
        </w:rPr>
        <w:t>alfredi</w:t>
      </w:r>
      <w:proofErr w:type="spellEnd"/>
      <w:r>
        <w:rPr>
          <w:lang w:val="fr-FR"/>
        </w:rPr>
        <w:t xml:space="preserve"> et </w:t>
      </w:r>
      <w:proofErr w:type="spellStart"/>
      <w:r>
        <w:rPr>
          <w:i/>
          <w:iCs/>
          <w:lang w:val="fr-FR"/>
        </w:rPr>
        <w:t>Mobula</w:t>
      </w:r>
      <w:proofErr w:type="spellEnd"/>
      <w:r>
        <w:rPr>
          <w:i/>
          <w:iCs/>
          <w:lang w:val="fr-FR"/>
        </w:rPr>
        <w:t xml:space="preserve"> </w:t>
      </w:r>
      <w:proofErr w:type="spellStart"/>
      <w:r>
        <w:rPr>
          <w:i/>
          <w:iCs/>
          <w:lang w:val="fr-FR"/>
        </w:rPr>
        <w:t>birostris</w:t>
      </w:r>
      <w:proofErr w:type="spellEnd"/>
      <w:r>
        <w:rPr>
          <w:lang w:val="fr-FR"/>
        </w:rPr>
        <w:t xml:space="preserve">. </w:t>
      </w:r>
    </w:p>
    <w:p w14:paraId="1A9893A2" w14:textId="77777777" w:rsidR="00810A15" w:rsidRPr="00122F8B" w:rsidRDefault="00810A15" w:rsidP="00810A15">
      <w:pPr>
        <w:pStyle w:val="Firstnumbering"/>
        <w:numPr>
          <w:ilvl w:val="1"/>
          <w:numId w:val="2"/>
        </w:numPr>
        <w:contextualSpacing w:val="0"/>
        <w:rPr>
          <w:b/>
          <w:bCs/>
          <w:lang w:val="fr-FR"/>
        </w:rPr>
      </w:pPr>
      <w:proofErr w:type="spellStart"/>
      <w:r>
        <w:rPr>
          <w:i/>
          <w:iCs/>
          <w:color w:val="000000" w:themeColor="text1"/>
          <w:lang w:val="fr-FR"/>
        </w:rPr>
        <w:t>Mobula</w:t>
      </w:r>
      <w:proofErr w:type="spellEnd"/>
      <w:r>
        <w:rPr>
          <w:i/>
          <w:iCs/>
          <w:color w:val="000000" w:themeColor="text1"/>
          <w:lang w:val="fr-FR"/>
        </w:rPr>
        <w:t xml:space="preserve"> </w:t>
      </w:r>
      <w:proofErr w:type="spellStart"/>
      <w:r>
        <w:rPr>
          <w:i/>
          <w:iCs/>
          <w:color w:val="000000" w:themeColor="text1"/>
          <w:lang w:val="fr-FR"/>
        </w:rPr>
        <w:t>eregoodootenkee</w:t>
      </w:r>
      <w:proofErr w:type="spellEnd"/>
      <w:r>
        <w:rPr>
          <w:i/>
          <w:iCs/>
          <w:lang w:val="fr-FR"/>
        </w:rPr>
        <w:t xml:space="preserve"> </w:t>
      </w:r>
      <w:r>
        <w:rPr>
          <w:lang w:val="fr-FR"/>
        </w:rPr>
        <w:t>a été renommé et s'appelle désormais</w:t>
      </w:r>
      <w:r>
        <w:rPr>
          <w:i/>
          <w:iCs/>
          <w:lang w:val="fr-FR"/>
        </w:rPr>
        <w:t xml:space="preserve"> </w:t>
      </w:r>
      <w:proofErr w:type="spellStart"/>
      <w:r>
        <w:rPr>
          <w:i/>
          <w:iCs/>
          <w:color w:val="000000" w:themeColor="text1"/>
          <w:lang w:val="fr-FR"/>
        </w:rPr>
        <w:t>Mobula</w:t>
      </w:r>
      <w:proofErr w:type="spellEnd"/>
      <w:r>
        <w:rPr>
          <w:i/>
          <w:iCs/>
          <w:color w:val="000000" w:themeColor="text1"/>
          <w:lang w:val="fr-FR"/>
        </w:rPr>
        <w:t xml:space="preserve"> </w:t>
      </w:r>
      <w:proofErr w:type="spellStart"/>
      <w:r>
        <w:rPr>
          <w:i/>
          <w:iCs/>
          <w:color w:val="000000" w:themeColor="text1"/>
          <w:lang w:val="fr-FR"/>
        </w:rPr>
        <w:t>eregoodoo</w:t>
      </w:r>
      <w:proofErr w:type="spellEnd"/>
      <w:r>
        <w:rPr>
          <w:i/>
          <w:iCs/>
          <w:color w:val="000000" w:themeColor="text1"/>
          <w:lang w:val="fr-FR"/>
        </w:rPr>
        <w:t xml:space="preserve">. </w:t>
      </w:r>
    </w:p>
    <w:p w14:paraId="6A647F4C" w14:textId="77777777" w:rsidR="00810A15" w:rsidRPr="00974E30" w:rsidRDefault="00810A15" w:rsidP="00810A15">
      <w:pPr>
        <w:pStyle w:val="Firstnumbering"/>
        <w:numPr>
          <w:ilvl w:val="1"/>
          <w:numId w:val="2"/>
        </w:numPr>
        <w:contextualSpacing w:val="0"/>
        <w:rPr>
          <w:b/>
          <w:bCs/>
          <w:lang w:val="fr-FR"/>
        </w:rPr>
      </w:pPr>
      <w:proofErr w:type="spellStart"/>
      <w:r>
        <w:rPr>
          <w:i/>
          <w:iCs/>
          <w:color w:val="000000" w:themeColor="text1"/>
          <w:lang w:val="fr-FR"/>
        </w:rPr>
        <w:t>Mobula</w:t>
      </w:r>
      <w:proofErr w:type="spellEnd"/>
      <w:r>
        <w:rPr>
          <w:i/>
          <w:iCs/>
          <w:color w:val="000000" w:themeColor="text1"/>
          <w:lang w:val="fr-FR"/>
        </w:rPr>
        <w:t xml:space="preserve"> </w:t>
      </w:r>
      <w:proofErr w:type="spellStart"/>
      <w:r>
        <w:rPr>
          <w:i/>
          <w:iCs/>
          <w:color w:val="000000" w:themeColor="text1"/>
          <w:lang w:val="fr-FR"/>
        </w:rPr>
        <w:t>japanica</w:t>
      </w:r>
      <w:proofErr w:type="spellEnd"/>
      <w:r>
        <w:rPr>
          <w:i/>
          <w:iCs/>
          <w:color w:val="000000" w:themeColor="text1"/>
          <w:lang w:val="fr-FR"/>
        </w:rPr>
        <w:t xml:space="preserve"> </w:t>
      </w:r>
      <w:r>
        <w:rPr>
          <w:color w:val="000000" w:themeColor="text1"/>
          <w:lang w:val="fr-FR"/>
        </w:rPr>
        <w:t>a été fusionné avec</w:t>
      </w:r>
      <w:r>
        <w:rPr>
          <w:i/>
          <w:iCs/>
          <w:color w:val="000000" w:themeColor="text1"/>
          <w:lang w:val="fr-FR"/>
        </w:rPr>
        <w:t xml:space="preserve"> </w:t>
      </w:r>
      <w:proofErr w:type="spellStart"/>
      <w:r>
        <w:rPr>
          <w:i/>
          <w:iCs/>
          <w:color w:val="000000" w:themeColor="text1"/>
          <w:lang w:val="fr-FR"/>
        </w:rPr>
        <w:t>Mobula</w:t>
      </w:r>
      <w:proofErr w:type="spellEnd"/>
      <w:r>
        <w:rPr>
          <w:i/>
          <w:iCs/>
          <w:color w:val="000000" w:themeColor="text1"/>
          <w:lang w:val="fr-FR"/>
        </w:rPr>
        <w:t xml:space="preserve"> mobular, </w:t>
      </w:r>
      <w:r>
        <w:rPr>
          <w:color w:val="000000" w:themeColor="text1"/>
          <w:lang w:val="fr-FR"/>
        </w:rPr>
        <w:t xml:space="preserve">et </w:t>
      </w:r>
    </w:p>
    <w:p w14:paraId="2C747175" w14:textId="77777777" w:rsidR="00810A15" w:rsidRPr="00122F8B" w:rsidRDefault="00810A15" w:rsidP="00810A15">
      <w:pPr>
        <w:pStyle w:val="Firstnumbering"/>
        <w:numPr>
          <w:ilvl w:val="1"/>
          <w:numId w:val="2"/>
        </w:numPr>
        <w:contextualSpacing w:val="0"/>
        <w:rPr>
          <w:b/>
          <w:bCs/>
          <w:lang w:val="fr-FR"/>
        </w:rPr>
      </w:pPr>
      <w:proofErr w:type="spellStart"/>
      <w:r>
        <w:rPr>
          <w:i/>
          <w:iCs/>
          <w:color w:val="000000" w:themeColor="text1"/>
          <w:lang w:val="fr-FR"/>
        </w:rPr>
        <w:t>Mobula</w:t>
      </w:r>
      <w:proofErr w:type="spellEnd"/>
      <w:r>
        <w:rPr>
          <w:i/>
          <w:iCs/>
          <w:color w:val="000000" w:themeColor="text1"/>
          <w:lang w:val="fr-FR"/>
        </w:rPr>
        <w:t xml:space="preserve"> </w:t>
      </w:r>
      <w:proofErr w:type="spellStart"/>
      <w:r>
        <w:rPr>
          <w:i/>
          <w:iCs/>
          <w:color w:val="000000" w:themeColor="text1"/>
          <w:lang w:val="fr-FR"/>
        </w:rPr>
        <w:t>rochebrunei</w:t>
      </w:r>
      <w:proofErr w:type="spellEnd"/>
      <w:r>
        <w:rPr>
          <w:i/>
          <w:iCs/>
          <w:color w:val="000000" w:themeColor="text1"/>
          <w:lang w:val="fr-FR"/>
        </w:rPr>
        <w:t xml:space="preserve"> </w:t>
      </w:r>
      <w:r>
        <w:rPr>
          <w:color w:val="000000" w:themeColor="text1"/>
          <w:lang w:val="fr-FR"/>
        </w:rPr>
        <w:t>a été fusionné avec</w:t>
      </w:r>
      <w:r>
        <w:rPr>
          <w:i/>
          <w:iCs/>
          <w:color w:val="000000" w:themeColor="text1"/>
          <w:lang w:val="fr-FR"/>
        </w:rPr>
        <w:t xml:space="preserve"> </w:t>
      </w:r>
      <w:proofErr w:type="spellStart"/>
      <w:r>
        <w:rPr>
          <w:i/>
          <w:iCs/>
          <w:color w:val="000000" w:themeColor="text1"/>
          <w:lang w:val="fr-FR"/>
        </w:rPr>
        <w:t>Mobula</w:t>
      </w:r>
      <w:proofErr w:type="spellEnd"/>
      <w:r>
        <w:rPr>
          <w:i/>
          <w:iCs/>
          <w:color w:val="000000" w:themeColor="text1"/>
          <w:lang w:val="fr-FR"/>
        </w:rPr>
        <w:t xml:space="preserve"> </w:t>
      </w:r>
      <w:proofErr w:type="spellStart"/>
      <w:r>
        <w:rPr>
          <w:i/>
          <w:iCs/>
          <w:color w:val="000000" w:themeColor="text1"/>
          <w:lang w:val="fr-FR"/>
        </w:rPr>
        <w:t>hypostoma</w:t>
      </w:r>
      <w:proofErr w:type="spellEnd"/>
      <w:r>
        <w:rPr>
          <w:i/>
          <w:iCs/>
          <w:color w:val="000000" w:themeColor="text1"/>
          <w:lang w:val="fr-FR"/>
        </w:rPr>
        <w:t xml:space="preserve">. </w:t>
      </w:r>
    </w:p>
    <w:p w14:paraId="0A317019" w14:textId="77777777" w:rsidR="00810A15" w:rsidRPr="00315619" w:rsidRDefault="00810A15" w:rsidP="00810A15">
      <w:pPr>
        <w:pStyle w:val="Firstnumbering"/>
        <w:numPr>
          <w:ilvl w:val="0"/>
          <w:numId w:val="0"/>
        </w:numPr>
        <w:ind w:left="540" w:hanging="540"/>
        <w:contextualSpacing w:val="0"/>
        <w:rPr>
          <w:b/>
          <w:lang w:val="fr-FR"/>
        </w:rPr>
      </w:pPr>
    </w:p>
    <w:p w14:paraId="25A61359" w14:textId="77777777" w:rsidR="00810A15" w:rsidRDefault="00810A15" w:rsidP="00810A15">
      <w:pPr>
        <w:pStyle w:val="Firstnumbering"/>
        <w:ind w:left="540" w:hanging="540"/>
        <w:contextualSpacing w:val="0"/>
        <w:rPr>
          <w:lang w:val="fr-FR"/>
        </w:rPr>
      </w:pPr>
      <w:r>
        <w:rPr>
          <w:lang w:val="fr-FR"/>
        </w:rPr>
        <w:t xml:space="preserve">La Convention sur le commerce international des espèces de faune et de flore sauvages menacées d'extinction (CITES) répertorie également la famille des </w:t>
      </w:r>
      <w:proofErr w:type="spellStart"/>
      <w:r>
        <w:rPr>
          <w:lang w:val="fr-FR"/>
        </w:rPr>
        <w:t>Mobulidae</w:t>
      </w:r>
      <w:proofErr w:type="spellEnd"/>
      <w:r>
        <w:rPr>
          <w:lang w:val="fr-FR"/>
        </w:rPr>
        <w:t xml:space="preserve"> dans ses Annexes en utilisant la même nomenclature que la CMS.</w:t>
      </w:r>
    </w:p>
    <w:p w14:paraId="6F4113DF" w14:textId="77777777" w:rsidR="00810A15" w:rsidRPr="00330503" w:rsidRDefault="00810A15" w:rsidP="00810A15">
      <w:pPr>
        <w:pStyle w:val="Firstnumbering"/>
        <w:numPr>
          <w:ilvl w:val="0"/>
          <w:numId w:val="0"/>
        </w:numPr>
        <w:ind w:left="504"/>
        <w:contextualSpacing w:val="0"/>
        <w:rPr>
          <w:b/>
          <w:lang w:val="fr-FR"/>
        </w:rPr>
      </w:pPr>
    </w:p>
    <w:p w14:paraId="2EA44A59" w14:textId="77777777" w:rsidR="00810A15" w:rsidRPr="007A6D84" w:rsidRDefault="00810A15" w:rsidP="00810A15">
      <w:pPr>
        <w:pStyle w:val="Firstnumbering"/>
        <w:numPr>
          <w:ilvl w:val="0"/>
          <w:numId w:val="4"/>
        </w:numPr>
        <w:ind w:left="709"/>
        <w:contextualSpacing w:val="0"/>
        <w:rPr>
          <w:i/>
          <w:iCs/>
        </w:rPr>
      </w:pPr>
      <w:r>
        <w:rPr>
          <w:i/>
          <w:iCs/>
        </w:rPr>
        <w:lastRenderedPageBreak/>
        <w:t xml:space="preserve">Squalus </w:t>
      </w:r>
      <w:proofErr w:type="spellStart"/>
      <w:r>
        <w:rPr>
          <w:i/>
          <w:iCs/>
        </w:rPr>
        <w:t>acanthias</w:t>
      </w:r>
      <w:proofErr w:type="spellEnd"/>
    </w:p>
    <w:p w14:paraId="6FC50761" w14:textId="77777777" w:rsidR="00810A15" w:rsidRDefault="00810A15" w:rsidP="00810A15">
      <w:pPr>
        <w:pStyle w:val="Firstnumbering"/>
        <w:numPr>
          <w:ilvl w:val="0"/>
          <w:numId w:val="0"/>
        </w:numPr>
        <w:ind w:left="540" w:hanging="540"/>
        <w:contextualSpacing w:val="0"/>
        <w:rPr>
          <w:lang w:val="fr-FR"/>
        </w:rPr>
      </w:pPr>
    </w:p>
    <w:p w14:paraId="74B90647" w14:textId="77777777" w:rsidR="00810A15" w:rsidRDefault="00810A15" w:rsidP="00810A15">
      <w:pPr>
        <w:pStyle w:val="Firstnumbering"/>
        <w:ind w:left="540" w:hanging="540"/>
        <w:contextualSpacing w:val="0"/>
        <w:rPr>
          <w:lang w:val="fr-FR"/>
        </w:rPr>
      </w:pPr>
      <w:r>
        <w:rPr>
          <w:rFonts w:eastAsia="Calibri"/>
          <w:color w:val="000000" w:themeColor="text1"/>
          <w:lang w:val="fr-FR"/>
        </w:rPr>
        <w:t xml:space="preserve">L'Aiguillat commun du Pacifique Nord, </w:t>
      </w:r>
      <w:proofErr w:type="spellStart"/>
      <w:r>
        <w:rPr>
          <w:rFonts w:eastAsia="Calibri"/>
          <w:i/>
          <w:color w:val="000000" w:themeColor="text1"/>
          <w:lang w:val="fr-FR"/>
        </w:rPr>
        <w:t>Squalus</w:t>
      </w:r>
      <w:proofErr w:type="spellEnd"/>
      <w:r>
        <w:rPr>
          <w:rFonts w:eastAsia="Calibri"/>
          <w:i/>
          <w:color w:val="000000" w:themeColor="text1"/>
          <w:lang w:val="fr-FR"/>
        </w:rPr>
        <w:t xml:space="preserve"> </w:t>
      </w:r>
      <w:proofErr w:type="spellStart"/>
      <w:r>
        <w:rPr>
          <w:rFonts w:eastAsia="Calibri"/>
          <w:i/>
          <w:color w:val="000000" w:themeColor="text1"/>
          <w:lang w:val="fr-FR"/>
        </w:rPr>
        <w:t>suckleyi</w:t>
      </w:r>
      <w:proofErr w:type="spellEnd"/>
      <w:r>
        <w:rPr>
          <w:rFonts w:eastAsia="Calibri"/>
          <w:color w:val="000000" w:themeColor="text1"/>
          <w:lang w:val="fr-FR"/>
        </w:rPr>
        <w:t xml:space="preserve"> (Girard, 1854), a une histoire taxonomique complexe</w:t>
      </w:r>
      <w:r>
        <w:rPr>
          <w:lang w:val="fr-FR"/>
        </w:rPr>
        <w:t>. Initialement considéré comme une espèce distincte de l'Aiguillat commun (</w:t>
      </w:r>
      <w:proofErr w:type="spellStart"/>
      <w:r>
        <w:rPr>
          <w:i/>
          <w:lang w:val="fr-FR"/>
        </w:rPr>
        <w:t>Squalus</w:t>
      </w:r>
      <w:proofErr w:type="spellEnd"/>
      <w:r>
        <w:rPr>
          <w:i/>
          <w:lang w:val="fr-FR"/>
        </w:rPr>
        <w:t xml:space="preserve"> acanthias</w:t>
      </w:r>
      <w:r>
        <w:rPr>
          <w:lang w:val="fr-FR"/>
        </w:rPr>
        <w:t xml:space="preserve">), il a ensuite été classé comme une seule et même espèce malgré des paramètres de cycle de vie, une </w:t>
      </w:r>
      <w:proofErr w:type="spellStart"/>
      <w:r>
        <w:rPr>
          <w:lang w:val="fr-FR"/>
        </w:rPr>
        <w:t>méristique</w:t>
      </w:r>
      <w:proofErr w:type="spellEnd"/>
      <w:r>
        <w:rPr>
          <w:lang w:val="fr-FR"/>
        </w:rPr>
        <w:t xml:space="preserve">, une morphométrie et des données moléculaires différents. Des études récentes révèlent qu'il se distingue des autres </w:t>
      </w:r>
      <w:r>
        <w:rPr>
          <w:i/>
          <w:lang w:val="fr-FR"/>
        </w:rPr>
        <w:t>S. acanthias</w:t>
      </w:r>
      <w:r>
        <w:rPr>
          <w:lang w:val="fr-FR"/>
        </w:rPr>
        <w:t xml:space="preserve"> (Ebert et al., 2010).</w:t>
      </w:r>
    </w:p>
    <w:p w14:paraId="7932BD50" w14:textId="77777777" w:rsidR="00810A15" w:rsidRPr="00045A4C" w:rsidRDefault="00810A15" w:rsidP="00810A15">
      <w:pPr>
        <w:pStyle w:val="Firstnumbering"/>
        <w:numPr>
          <w:ilvl w:val="0"/>
          <w:numId w:val="0"/>
        </w:numPr>
        <w:ind w:left="540"/>
        <w:rPr>
          <w:rFonts w:eastAsia="Calibri"/>
          <w:color w:val="000000"/>
          <w:lang w:val="fr-FR"/>
        </w:rPr>
      </w:pPr>
    </w:p>
    <w:p w14:paraId="2A959914" w14:textId="77777777" w:rsidR="00810A15" w:rsidRDefault="00810A15" w:rsidP="00810A15">
      <w:pPr>
        <w:pStyle w:val="Firstnumbering"/>
        <w:numPr>
          <w:ilvl w:val="0"/>
          <w:numId w:val="0"/>
        </w:numPr>
        <w:ind w:left="504" w:hanging="504"/>
        <w:rPr>
          <w:i/>
          <w:iCs/>
          <w:lang w:val="fr-FR"/>
        </w:rPr>
      </w:pPr>
      <w:r>
        <w:rPr>
          <w:i/>
          <w:iCs/>
          <w:lang w:val="fr-FR"/>
        </w:rPr>
        <w:t>Recommandations pour la taxonomie et la nomenclature des poissons</w:t>
      </w:r>
    </w:p>
    <w:p w14:paraId="481E6736" w14:textId="77777777" w:rsidR="00810A15" w:rsidRPr="007067BA" w:rsidRDefault="00810A15" w:rsidP="00810A15">
      <w:pPr>
        <w:pStyle w:val="Firstnumbering"/>
        <w:numPr>
          <w:ilvl w:val="0"/>
          <w:numId w:val="0"/>
        </w:numPr>
        <w:ind w:left="504"/>
        <w:rPr>
          <w:highlight w:val="yellow"/>
          <w:lang w:val="fr-FR"/>
        </w:rPr>
      </w:pPr>
    </w:p>
    <w:p w14:paraId="516A5F61" w14:textId="77777777" w:rsidR="00810A15" w:rsidRPr="0058457D" w:rsidRDefault="00810A15" w:rsidP="00810A15">
      <w:pPr>
        <w:pStyle w:val="Firstnumbering"/>
        <w:contextualSpacing w:val="0"/>
        <w:rPr>
          <w:lang w:val="fr-FR"/>
        </w:rPr>
      </w:pPr>
      <w:r>
        <w:rPr>
          <w:lang w:val="fr-FR"/>
        </w:rPr>
        <w:t xml:space="preserve">Il est recommandé aux Parties de faire référence au taxon </w:t>
      </w:r>
      <w:proofErr w:type="spellStart"/>
      <w:r>
        <w:rPr>
          <w:i/>
          <w:iCs/>
          <w:lang w:val="fr-FR"/>
        </w:rPr>
        <w:t>Acipenser</w:t>
      </w:r>
      <w:proofErr w:type="spellEnd"/>
      <w:r>
        <w:rPr>
          <w:i/>
          <w:iCs/>
          <w:lang w:val="fr-FR"/>
        </w:rPr>
        <w:t xml:space="preserve"> </w:t>
      </w:r>
      <w:proofErr w:type="spellStart"/>
      <w:r>
        <w:rPr>
          <w:i/>
          <w:iCs/>
          <w:lang w:val="fr-FR"/>
        </w:rPr>
        <w:t>baeriibaicalensis</w:t>
      </w:r>
      <w:proofErr w:type="spellEnd"/>
      <w:r>
        <w:rPr>
          <w:lang w:val="fr-FR"/>
        </w:rPr>
        <w:t xml:space="preserve"> comme </w:t>
      </w:r>
      <w:proofErr w:type="spellStart"/>
      <w:r>
        <w:rPr>
          <w:i/>
          <w:iCs/>
          <w:lang w:val="fr-FR"/>
        </w:rPr>
        <w:t>Acipenser</w:t>
      </w:r>
      <w:proofErr w:type="spellEnd"/>
      <w:r>
        <w:rPr>
          <w:i/>
          <w:iCs/>
          <w:lang w:val="fr-FR"/>
        </w:rPr>
        <w:t xml:space="preserve"> </w:t>
      </w:r>
      <w:proofErr w:type="spellStart"/>
      <w:r>
        <w:rPr>
          <w:i/>
          <w:iCs/>
          <w:lang w:val="fr-FR"/>
        </w:rPr>
        <w:t>baerii</w:t>
      </w:r>
      <w:proofErr w:type="spellEnd"/>
      <w:r>
        <w:rPr>
          <w:lang w:val="fr-FR"/>
        </w:rPr>
        <w:t xml:space="preserve"> (population régionale du lac Baïkal et de ses affluents) et de le refléter dans l'Annexe II en conséquence pour être cohérent avec </w:t>
      </w:r>
      <w:proofErr w:type="spellStart"/>
      <w:r>
        <w:rPr>
          <w:lang w:val="fr-FR"/>
        </w:rPr>
        <w:t>Eschmeyer</w:t>
      </w:r>
      <w:proofErr w:type="spellEnd"/>
      <w:r>
        <w:rPr>
          <w:lang w:val="fr-FR"/>
        </w:rPr>
        <w:t xml:space="preserve">. </w:t>
      </w:r>
    </w:p>
    <w:p w14:paraId="78D9E121" w14:textId="77777777" w:rsidR="00810A15" w:rsidRDefault="00810A15" w:rsidP="00810A15">
      <w:pPr>
        <w:pStyle w:val="Firstnumbering"/>
        <w:numPr>
          <w:ilvl w:val="0"/>
          <w:numId w:val="0"/>
        </w:numPr>
        <w:ind w:left="504"/>
        <w:contextualSpacing w:val="0"/>
        <w:rPr>
          <w:lang w:val="fr-FR"/>
        </w:rPr>
      </w:pPr>
    </w:p>
    <w:p w14:paraId="599EA779" w14:textId="77777777" w:rsidR="00810A15" w:rsidRDefault="00810A15" w:rsidP="00810A15">
      <w:pPr>
        <w:pStyle w:val="Firstnumbering"/>
        <w:contextualSpacing w:val="0"/>
        <w:rPr>
          <w:lang w:val="fr-FR"/>
        </w:rPr>
      </w:pPr>
      <w:r>
        <w:rPr>
          <w:lang w:val="fr-FR"/>
        </w:rPr>
        <w:t xml:space="preserve">Constatant que la plupart des scientifiques ont confirmé la nouvelle taxonomie pour la famille des </w:t>
      </w:r>
      <w:proofErr w:type="spellStart"/>
      <w:r>
        <w:rPr>
          <w:lang w:val="fr-FR"/>
        </w:rPr>
        <w:t>Mobulidae</w:t>
      </w:r>
      <w:proofErr w:type="spellEnd"/>
      <w:r>
        <w:rPr>
          <w:lang w:val="fr-FR"/>
        </w:rPr>
        <w:t xml:space="preserve">, et que le Comité des animaux de la CITES examine actuellement si des ajustements doivent être apportés en conséquence aux Annexes de la CITES, il est conseillé d'utiliser la taxonomie et la nomenclature mises à jour, telles que référencées dans </w:t>
      </w:r>
      <w:proofErr w:type="spellStart"/>
      <w:r>
        <w:rPr>
          <w:lang w:val="fr-FR"/>
        </w:rPr>
        <w:t>Eschmeyer</w:t>
      </w:r>
      <w:proofErr w:type="spellEnd"/>
      <w:r>
        <w:rPr>
          <w:lang w:val="fr-FR"/>
        </w:rPr>
        <w:t xml:space="preserve"> et telles que présentées dans le tableau 1. </w:t>
      </w:r>
    </w:p>
    <w:p w14:paraId="368BA9CB" w14:textId="77777777" w:rsidR="00810A15" w:rsidRPr="00B70CF2" w:rsidRDefault="00810A15" w:rsidP="00810A15">
      <w:pPr>
        <w:pStyle w:val="Firstnumbering"/>
        <w:numPr>
          <w:ilvl w:val="0"/>
          <w:numId w:val="0"/>
        </w:numPr>
        <w:ind w:left="540"/>
        <w:contextualSpacing w:val="0"/>
        <w:rPr>
          <w:rFonts w:eastAsia="Calibri"/>
          <w:color w:val="000000"/>
          <w:lang w:val="fr-FR"/>
        </w:rPr>
      </w:pPr>
    </w:p>
    <w:p w14:paraId="26FDAC9C" w14:textId="77777777" w:rsidR="00810A15" w:rsidRPr="000A09EF" w:rsidRDefault="00810A15" w:rsidP="00810A15">
      <w:pPr>
        <w:pStyle w:val="Firstnumbering"/>
        <w:ind w:left="540" w:hanging="540"/>
        <w:contextualSpacing w:val="0"/>
        <w:rPr>
          <w:rFonts w:eastAsia="Calibri"/>
          <w:lang w:val="fr-FR"/>
        </w:rPr>
      </w:pPr>
      <w:r>
        <w:rPr>
          <w:rFonts w:eastAsia="Calibri"/>
          <w:lang w:val="fr-FR"/>
        </w:rPr>
        <w:t xml:space="preserve">Il est recommandé aux Parties d'accepter la scission de </w:t>
      </w:r>
      <w:r>
        <w:rPr>
          <w:rFonts w:eastAsia="Calibri"/>
          <w:i/>
          <w:lang w:val="fr-FR"/>
        </w:rPr>
        <w:t>S. acanthias</w:t>
      </w:r>
      <w:r>
        <w:rPr>
          <w:rFonts w:eastAsia="Calibri"/>
          <w:lang w:val="fr-FR"/>
        </w:rPr>
        <w:t xml:space="preserve"> en </w:t>
      </w:r>
      <w:r>
        <w:rPr>
          <w:rFonts w:eastAsia="Calibri"/>
          <w:i/>
          <w:lang w:val="fr-FR"/>
        </w:rPr>
        <w:t>S. acanthias</w:t>
      </w:r>
      <w:r>
        <w:rPr>
          <w:rFonts w:eastAsia="Calibri"/>
          <w:lang w:val="fr-FR"/>
        </w:rPr>
        <w:t xml:space="preserve"> et </w:t>
      </w:r>
      <w:r>
        <w:rPr>
          <w:rFonts w:eastAsia="Calibri"/>
          <w:lang w:val="fr-FR"/>
        </w:rPr>
        <w:br/>
      </w:r>
      <w:r>
        <w:rPr>
          <w:rFonts w:eastAsia="Calibri"/>
          <w:i/>
          <w:lang w:val="fr-FR"/>
        </w:rPr>
        <w:t xml:space="preserve">S. </w:t>
      </w:r>
      <w:proofErr w:type="spellStart"/>
      <w:r>
        <w:rPr>
          <w:rFonts w:eastAsia="Calibri"/>
          <w:i/>
          <w:lang w:val="fr-FR"/>
        </w:rPr>
        <w:t>suckleyi</w:t>
      </w:r>
      <w:proofErr w:type="spellEnd"/>
      <w:r>
        <w:rPr>
          <w:rFonts w:eastAsia="Calibri"/>
          <w:lang w:val="fr-FR"/>
        </w:rPr>
        <w:t xml:space="preserve"> et de le refléter dans l'Annexe II pour être cohérent avec </w:t>
      </w:r>
      <w:proofErr w:type="spellStart"/>
      <w:r>
        <w:rPr>
          <w:rFonts w:eastAsia="Calibri"/>
          <w:lang w:val="fr-FR"/>
        </w:rPr>
        <w:t>Eschmeyer</w:t>
      </w:r>
      <w:proofErr w:type="spellEnd"/>
      <w:r>
        <w:rPr>
          <w:rFonts w:eastAsia="Calibri"/>
          <w:lang w:val="fr-FR"/>
        </w:rPr>
        <w:t xml:space="preserve">. </w:t>
      </w:r>
    </w:p>
    <w:p w14:paraId="0F4765B3" w14:textId="77777777" w:rsidR="00810A15" w:rsidRDefault="00810A15" w:rsidP="00810A15">
      <w:pPr>
        <w:jc w:val="both"/>
        <w:rPr>
          <w:rFonts w:cs="Arial"/>
          <w:i/>
          <w:iCs/>
          <w:u w:val="single"/>
          <w:lang w:val="fr-FR"/>
        </w:rPr>
      </w:pPr>
    </w:p>
    <w:p w14:paraId="41153601" w14:textId="77777777" w:rsidR="00810A15" w:rsidRPr="002125BA" w:rsidRDefault="00810A15" w:rsidP="00810A15">
      <w:pPr>
        <w:jc w:val="both"/>
        <w:rPr>
          <w:rFonts w:cs="Arial"/>
          <w:u w:val="single"/>
          <w:lang w:val="fr-FR"/>
        </w:rPr>
      </w:pPr>
      <w:r w:rsidRPr="002125BA">
        <w:rPr>
          <w:rFonts w:cs="Arial"/>
          <w:u w:val="single"/>
          <w:lang w:val="fr-FR"/>
        </w:rPr>
        <w:t>Proposition d'une nouvelle référence taxonomique pour les mammifères marins</w:t>
      </w:r>
    </w:p>
    <w:p w14:paraId="65C5A41F" w14:textId="77777777" w:rsidR="00810A15" w:rsidRDefault="00810A15" w:rsidP="00810A15">
      <w:pPr>
        <w:jc w:val="both"/>
        <w:rPr>
          <w:rFonts w:cs="Arial"/>
          <w:lang w:val="fr-FR"/>
        </w:rPr>
      </w:pPr>
    </w:p>
    <w:p w14:paraId="6A361858" w14:textId="77777777" w:rsidR="00810A15" w:rsidRDefault="00810A15" w:rsidP="00810A15">
      <w:pPr>
        <w:pStyle w:val="Firstnumbering"/>
        <w:ind w:left="567" w:hanging="567"/>
        <w:rPr>
          <w:lang w:val="fr-FR"/>
        </w:rPr>
      </w:pPr>
      <w:r>
        <w:rPr>
          <w:lang w:val="fr-FR"/>
        </w:rPr>
        <w:t>Comme détaillé dans l'annexe à la Résolution 12.27, pour les mammifères marins, la CMS utilise la référence standard suivante, comme recommandé par la 15</w:t>
      </w:r>
      <w:r>
        <w:rPr>
          <w:vertAlign w:val="superscript"/>
          <w:lang w:val="fr-FR"/>
        </w:rPr>
        <w:t>e</w:t>
      </w:r>
      <w:r>
        <w:rPr>
          <w:lang w:val="fr-FR"/>
        </w:rPr>
        <w:t xml:space="preserve"> réunion du Conseil scientifique :</w:t>
      </w:r>
    </w:p>
    <w:p w14:paraId="3850D511" w14:textId="77777777" w:rsidR="00810A15" w:rsidRDefault="00810A15" w:rsidP="00810A15">
      <w:pPr>
        <w:pStyle w:val="Firstnumbering"/>
        <w:numPr>
          <w:ilvl w:val="0"/>
          <w:numId w:val="0"/>
        </w:numPr>
        <w:ind w:left="567"/>
        <w:rPr>
          <w:lang w:val="fr-FR"/>
        </w:rPr>
      </w:pPr>
    </w:p>
    <w:p w14:paraId="100AB2A3" w14:textId="77777777" w:rsidR="00810A15" w:rsidRPr="00FF575F" w:rsidRDefault="00810A15" w:rsidP="00810A15">
      <w:pPr>
        <w:pStyle w:val="Firstnumbering"/>
        <w:numPr>
          <w:ilvl w:val="0"/>
          <w:numId w:val="0"/>
        </w:numPr>
        <w:ind w:left="567"/>
        <w:rPr>
          <w:i/>
          <w:iCs/>
          <w:lang w:val="fr-FR"/>
        </w:rPr>
      </w:pPr>
      <w:r>
        <w:rPr>
          <w:i/>
          <w:iCs/>
          <w:lang w:val="fr-FR"/>
        </w:rPr>
        <w:t xml:space="preserve">Perrin W.F., </w:t>
      </w:r>
      <w:proofErr w:type="spellStart"/>
      <w:r>
        <w:rPr>
          <w:i/>
          <w:iCs/>
          <w:lang w:val="fr-FR"/>
        </w:rPr>
        <w:t>Wursig</w:t>
      </w:r>
      <w:proofErr w:type="spellEnd"/>
      <w:r>
        <w:rPr>
          <w:i/>
          <w:iCs/>
          <w:lang w:val="fr-FR"/>
        </w:rPr>
        <w:t xml:space="preserve"> B. et </w:t>
      </w:r>
      <w:proofErr w:type="spellStart"/>
      <w:r>
        <w:rPr>
          <w:i/>
          <w:iCs/>
          <w:lang w:val="fr-FR"/>
        </w:rPr>
        <w:t>Thewissen</w:t>
      </w:r>
      <w:proofErr w:type="spellEnd"/>
      <w:r>
        <w:rPr>
          <w:i/>
          <w:iCs/>
          <w:lang w:val="fr-FR"/>
        </w:rPr>
        <w:t xml:space="preserve"> J.G.M. (éditeurs), (2009), </w:t>
      </w:r>
      <w:proofErr w:type="spellStart"/>
      <w:r>
        <w:rPr>
          <w:i/>
          <w:iCs/>
          <w:lang w:val="fr-FR"/>
        </w:rPr>
        <w:t>Encyclopedia</w:t>
      </w:r>
      <w:proofErr w:type="spellEnd"/>
      <w:r>
        <w:rPr>
          <w:i/>
          <w:iCs/>
          <w:lang w:val="fr-FR"/>
        </w:rPr>
        <w:t xml:space="preserve"> of Marine </w:t>
      </w:r>
      <w:proofErr w:type="spellStart"/>
      <w:r>
        <w:rPr>
          <w:i/>
          <w:iCs/>
          <w:lang w:val="fr-FR"/>
        </w:rPr>
        <w:t>Mammals</w:t>
      </w:r>
      <w:proofErr w:type="spellEnd"/>
      <w:r>
        <w:rPr>
          <w:i/>
          <w:iCs/>
          <w:lang w:val="fr-FR"/>
        </w:rPr>
        <w:t xml:space="preserve">, Second </w:t>
      </w:r>
      <w:proofErr w:type="spellStart"/>
      <w:r>
        <w:rPr>
          <w:i/>
          <w:iCs/>
          <w:lang w:val="fr-FR"/>
        </w:rPr>
        <w:t>edition</w:t>
      </w:r>
      <w:proofErr w:type="spellEnd"/>
      <w:r>
        <w:rPr>
          <w:i/>
          <w:iCs/>
          <w:lang w:val="fr-FR"/>
        </w:rPr>
        <w:t xml:space="preserve">. Academic </w:t>
      </w:r>
      <w:proofErr w:type="spellStart"/>
      <w:r>
        <w:rPr>
          <w:i/>
          <w:iCs/>
          <w:lang w:val="fr-FR"/>
        </w:rPr>
        <w:t>Press</w:t>
      </w:r>
      <w:proofErr w:type="spellEnd"/>
      <w:r>
        <w:rPr>
          <w:i/>
          <w:iCs/>
          <w:lang w:val="fr-FR"/>
        </w:rPr>
        <w:t xml:space="preserve"> en tant que référence nomenclaturale standard pour les mammifères marins.</w:t>
      </w:r>
    </w:p>
    <w:p w14:paraId="0573D94E" w14:textId="77777777" w:rsidR="00810A15" w:rsidRDefault="00810A15" w:rsidP="00810A15">
      <w:pPr>
        <w:jc w:val="both"/>
        <w:rPr>
          <w:rFonts w:cs="Arial"/>
          <w:lang w:val="fr-FR"/>
        </w:rPr>
      </w:pPr>
    </w:p>
    <w:p w14:paraId="486440C1" w14:textId="77777777" w:rsidR="00810A15" w:rsidRDefault="00810A15" w:rsidP="00810A15">
      <w:pPr>
        <w:pStyle w:val="Firstnumbering"/>
        <w:ind w:left="567" w:hanging="567"/>
        <w:rPr>
          <w:lang w:val="fr-FR"/>
        </w:rPr>
      </w:pPr>
      <w:r>
        <w:rPr>
          <w:lang w:val="fr-FR"/>
        </w:rPr>
        <w:t>En raison du temps écoulé depuis la publication de cette référence, la taxonomie et la nomenclature utilisées dans les Annexes de la CMS ne sont plus conformes au consensus scientifique. La troisième édition de l'encyclopédie a été publiée en 2017 et est déjà en partie dépassée. Une quatrième édition est envisagée, mais elle ne pourra être publiée qu'après la COP15.</w:t>
      </w:r>
    </w:p>
    <w:p w14:paraId="49150787" w14:textId="77777777" w:rsidR="00810A15" w:rsidRDefault="00810A15" w:rsidP="00810A15">
      <w:pPr>
        <w:pStyle w:val="Firstnumbering"/>
        <w:numPr>
          <w:ilvl w:val="0"/>
          <w:numId w:val="0"/>
        </w:numPr>
        <w:ind w:left="567"/>
        <w:rPr>
          <w:lang w:val="fr-FR"/>
        </w:rPr>
      </w:pPr>
    </w:p>
    <w:p w14:paraId="46CE9099" w14:textId="77777777" w:rsidR="00810A15" w:rsidRDefault="00810A15" w:rsidP="00810A15">
      <w:pPr>
        <w:pStyle w:val="Firstnumbering"/>
        <w:ind w:left="567" w:hanging="567"/>
        <w:rPr>
          <w:lang w:val="fr-FR"/>
        </w:rPr>
      </w:pPr>
      <w:r>
        <w:rPr>
          <w:lang w:val="fr-FR"/>
        </w:rPr>
        <w:t xml:space="preserve">Le tableau 2 montre les divergences entre la CMS, la CITES et certaines références couramment utilisées. </w:t>
      </w:r>
    </w:p>
    <w:p w14:paraId="7D8E0D27" w14:textId="77777777" w:rsidR="00810A15" w:rsidRDefault="00810A15" w:rsidP="00810A15">
      <w:pPr>
        <w:pStyle w:val="Firstnumbering"/>
        <w:numPr>
          <w:ilvl w:val="0"/>
          <w:numId w:val="0"/>
        </w:numPr>
        <w:ind w:left="567"/>
        <w:rPr>
          <w:lang w:val="fr-FR"/>
        </w:rPr>
      </w:pPr>
    </w:p>
    <w:p w14:paraId="4D9B8DA0" w14:textId="376961D0" w:rsidR="00810A15" w:rsidRDefault="00810A15" w:rsidP="00810A15">
      <w:pPr>
        <w:pStyle w:val="Firstnumbering"/>
        <w:ind w:left="567" w:hanging="567"/>
        <w:rPr>
          <w:lang w:val="fr-FR"/>
        </w:rPr>
      </w:pPr>
      <w:r>
        <w:rPr>
          <w:lang w:val="fr-FR"/>
        </w:rPr>
        <w:t xml:space="preserve">Afin de garantir l'exactitude de la taxonomie et de la nomenclature de la CMS, et </w:t>
      </w:r>
      <w:proofErr w:type="gramStart"/>
      <w:r>
        <w:rPr>
          <w:lang w:val="fr-FR"/>
        </w:rPr>
        <w:t>suite à des</w:t>
      </w:r>
      <w:proofErr w:type="gramEnd"/>
      <w:r>
        <w:rPr>
          <w:lang w:val="fr-FR"/>
        </w:rPr>
        <w:t xml:space="preserve"> consultations avec </w:t>
      </w:r>
      <w:r w:rsidR="002125BA">
        <w:rPr>
          <w:lang w:val="fr-FR"/>
        </w:rPr>
        <w:t>le Conseil scientifique</w:t>
      </w:r>
      <w:r>
        <w:rPr>
          <w:lang w:val="fr-FR"/>
        </w:rPr>
        <w:t xml:space="preserve"> et l'ancien conseiller nommé par la COP pour les mammifères aquatiques, Giuseppe Notarbartolo di Sciara (voir également l'annexe 1 du présent document), il est proposé d'utiliser la ressource en ligne suivante en tant que référence standard pour les mammifères marins :  </w:t>
      </w:r>
    </w:p>
    <w:p w14:paraId="639501B9" w14:textId="77777777" w:rsidR="00810A15" w:rsidRDefault="00810A15" w:rsidP="00810A15">
      <w:pPr>
        <w:pStyle w:val="Firstnumbering"/>
        <w:numPr>
          <w:ilvl w:val="0"/>
          <w:numId w:val="0"/>
        </w:numPr>
        <w:ind w:left="567"/>
        <w:rPr>
          <w:lang w:val="fr-FR"/>
        </w:rPr>
      </w:pPr>
    </w:p>
    <w:p w14:paraId="667004CD" w14:textId="77777777" w:rsidR="00810A15" w:rsidRPr="00810A15" w:rsidRDefault="00810A15" w:rsidP="00810A15">
      <w:pPr>
        <w:pStyle w:val="Firstnumbering"/>
        <w:numPr>
          <w:ilvl w:val="0"/>
          <w:numId w:val="0"/>
        </w:numPr>
        <w:ind w:left="567"/>
        <w:rPr>
          <w:i/>
          <w:iCs/>
          <w:lang w:val="en-US"/>
        </w:rPr>
      </w:pPr>
      <w:r w:rsidRPr="00810A15">
        <w:rPr>
          <w:i/>
          <w:iCs/>
          <w:lang w:val="en-US"/>
        </w:rPr>
        <w:t xml:space="preserve">Society for Marine Mammalogy, Committee on Taxonomy, List of marine mammal species and subspecies, </w:t>
      </w:r>
      <w:hyperlink r:id="rId19" w:history="1">
        <w:r w:rsidRPr="00810A15">
          <w:rPr>
            <w:rStyle w:val="Hyperlink"/>
            <w:i/>
            <w:iCs/>
            <w:lang w:val="en-US"/>
          </w:rPr>
          <w:t>www.marinemammalscience.org</w:t>
        </w:r>
      </w:hyperlink>
    </w:p>
    <w:p w14:paraId="72750A35" w14:textId="77777777" w:rsidR="00810A15" w:rsidRPr="00810A15" w:rsidRDefault="00810A15" w:rsidP="00810A15">
      <w:pPr>
        <w:pStyle w:val="Firstnumbering"/>
        <w:numPr>
          <w:ilvl w:val="0"/>
          <w:numId w:val="0"/>
        </w:numPr>
        <w:ind w:left="567"/>
        <w:rPr>
          <w:lang w:val="en-US"/>
        </w:rPr>
      </w:pPr>
    </w:p>
    <w:p w14:paraId="0F157603" w14:textId="77777777" w:rsidR="00810A15" w:rsidRDefault="00810A15" w:rsidP="00810A15">
      <w:pPr>
        <w:pStyle w:val="Firstnumbering"/>
        <w:ind w:left="567" w:hanging="567"/>
        <w:rPr>
          <w:lang w:val="fr-FR"/>
        </w:rPr>
      </w:pPr>
      <w:r>
        <w:rPr>
          <w:lang w:val="fr-FR"/>
        </w:rPr>
        <w:t xml:space="preserve">En outre, conformément à la pratique en vigueur pour les oiseaux et les poissons, le Conseil scientifique devrait être invité à examiner, lors de sa dernière rencontre avant chaque réunion de la Conférence des Parties, la dernière version de la référence en </w:t>
      </w:r>
      <w:r>
        <w:rPr>
          <w:lang w:val="fr-FR"/>
        </w:rPr>
        <w:lastRenderedPageBreak/>
        <w:t>ligne sur les mammifères marins pour les espèces inscrites aux Annexes de la CMS et à faire des recommandations quant à la nécessité de mettre à jour le nom de toute espèce inscrite sur la liste.</w:t>
      </w:r>
    </w:p>
    <w:p w14:paraId="455D1427" w14:textId="77777777" w:rsidR="00810A15" w:rsidRDefault="00810A15" w:rsidP="00810A15">
      <w:pPr>
        <w:jc w:val="both"/>
        <w:rPr>
          <w:rFonts w:cs="Arial"/>
          <w:u w:val="single"/>
          <w:lang w:val="fr-FR"/>
        </w:rPr>
      </w:pPr>
    </w:p>
    <w:p w14:paraId="1EDAE573" w14:textId="77777777" w:rsidR="00810A15" w:rsidRDefault="00810A15" w:rsidP="00810A15">
      <w:pPr>
        <w:pStyle w:val="Firstnumbering"/>
        <w:ind w:left="567" w:hanging="567"/>
        <w:rPr>
          <w:lang w:val="fr-FR"/>
        </w:rPr>
      </w:pPr>
      <w:r>
        <w:rPr>
          <w:lang w:val="fr-FR"/>
        </w:rPr>
        <w:t>Les changements qui résulteraient de la mise à jour proposée de la référence taxonomique pour les mammifères marins sont indiqués sous « commentaires » dans le tableau 2. Les taxons pour lesquels aucune corrélation directe entre les espèces ou sous-espèces identifiées et les listes régionales n'a pu être établie n'ont pas été inclus dans le tableau.</w:t>
      </w:r>
    </w:p>
    <w:p w14:paraId="2CB90601" w14:textId="77777777" w:rsidR="00810A15" w:rsidRDefault="00810A15"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810A15" w:rsidSect="00810A15">
          <w:headerReference w:type="even" r:id="rId20"/>
          <w:headerReference w:type="default" r:id="rId21"/>
          <w:headerReference w:type="first" r:id="rId22"/>
          <w:footerReference w:type="first" r:id="rId23"/>
          <w:pgSz w:w="11906" w:h="16838" w:code="9"/>
          <w:pgMar w:top="1440" w:right="1440" w:bottom="1440" w:left="1440" w:header="568" w:footer="720" w:gutter="0"/>
          <w:cols w:space="720"/>
          <w:titlePg/>
          <w:docGrid w:linePitch="360"/>
        </w:sectPr>
      </w:pPr>
    </w:p>
    <w:p w14:paraId="78CE2248" w14:textId="77777777" w:rsidR="00810A15" w:rsidRPr="003A2831" w:rsidRDefault="00810A15" w:rsidP="00810A15">
      <w:pPr>
        <w:pStyle w:val="Firstnumbering"/>
        <w:numPr>
          <w:ilvl w:val="0"/>
          <w:numId w:val="0"/>
        </w:numPr>
        <w:rPr>
          <w:b/>
          <w:bCs/>
          <w:i/>
          <w:iCs/>
          <w:lang w:val="fr-FR"/>
        </w:rPr>
      </w:pPr>
      <w:r>
        <w:rPr>
          <w:b/>
          <w:bCs/>
          <w:i/>
          <w:iCs/>
          <w:lang w:val="fr-FR"/>
        </w:rPr>
        <w:lastRenderedPageBreak/>
        <w:t xml:space="preserve">Tableau 2: </w:t>
      </w:r>
      <w:r>
        <w:rPr>
          <w:i/>
          <w:lang w:val="fr-FR"/>
        </w:rPr>
        <w:t xml:space="preserve">Divergences entre la CMS, la CITES, la Liste rouge de l'UICN et la taxonomie adoptée par la Society for Marine </w:t>
      </w:r>
      <w:proofErr w:type="spellStart"/>
      <w:r>
        <w:rPr>
          <w:i/>
          <w:lang w:val="fr-FR"/>
        </w:rPr>
        <w:t>Mammalogy</w:t>
      </w:r>
      <w:proofErr w:type="spellEnd"/>
      <w:r>
        <w:rPr>
          <w:i/>
          <w:lang w:val="fr-FR"/>
        </w:rPr>
        <w:t xml:space="preserve"> (SMM ; il est recommandé de l'adopter comme référence taxonomique pour la CMS). Les espèces ou sous-espèces pertinentes pour les listes de la CMS sont indiquées en gras.</w:t>
      </w:r>
      <w:r>
        <w:rPr>
          <w:b/>
          <w:bCs/>
          <w:i/>
          <w:iCs/>
          <w:lang w:val="fr-FR"/>
        </w:rPr>
        <w:t xml:space="preserve"> </w:t>
      </w:r>
    </w:p>
    <w:p w14:paraId="17060A36" w14:textId="77777777" w:rsidR="00810A15" w:rsidRPr="0066697B" w:rsidRDefault="00810A15" w:rsidP="00810A15">
      <w:pPr>
        <w:pStyle w:val="Firstnumbering"/>
        <w:numPr>
          <w:ilvl w:val="0"/>
          <w:numId w:val="0"/>
        </w:numPr>
        <w:ind w:left="567"/>
        <w:rPr>
          <w:lang w:val="fr-FR"/>
        </w:rPr>
      </w:pPr>
    </w:p>
    <w:tbl>
      <w:tblPr>
        <w:tblW w:w="0" w:type="auto"/>
        <w:tblLayout w:type="fixed"/>
        <w:tblLook w:val="0000" w:firstRow="0" w:lastRow="0" w:firstColumn="0" w:lastColumn="0" w:noHBand="0" w:noVBand="0"/>
      </w:tblPr>
      <w:tblGrid>
        <w:gridCol w:w="1444"/>
        <w:gridCol w:w="872"/>
        <w:gridCol w:w="872"/>
        <w:gridCol w:w="1506"/>
        <w:gridCol w:w="1773"/>
        <w:gridCol w:w="1463"/>
        <w:gridCol w:w="1701"/>
        <w:gridCol w:w="1560"/>
        <w:gridCol w:w="2751"/>
      </w:tblGrid>
      <w:tr w:rsidR="00810A15" w:rsidRPr="00E427DA" w14:paraId="5402CA61" w14:textId="77777777" w:rsidTr="00D51261">
        <w:trPr>
          <w:trHeight w:val="312"/>
          <w:tblHeader/>
        </w:trPr>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C27C60" w14:textId="77777777" w:rsidR="00810A15" w:rsidRPr="00E427DA" w:rsidRDefault="00810A15" w:rsidP="00D51261">
            <w:pPr>
              <w:rPr>
                <w:rFonts w:eastAsia="Calibri" w:cs="Times New Roman"/>
                <w:b/>
                <w:bCs/>
                <w:kern w:val="2"/>
                <w:sz w:val="20"/>
                <w:szCs w:val="20"/>
                <w:lang w:val="fr-FR"/>
                <w14:ligatures w14:val="standardContextual"/>
              </w:rPr>
            </w:pPr>
            <w:r>
              <w:rPr>
                <w:rFonts w:eastAsia="Calibri" w:cs="Times New Roman"/>
                <w:b/>
                <w:bCs/>
                <w:kern w:val="2"/>
                <w:sz w:val="20"/>
                <w:szCs w:val="20"/>
                <w:lang w:val="fr-FR"/>
                <w14:ligatures w14:val="standardContextual"/>
              </w:rPr>
              <w:t>Nom commun</w:t>
            </w:r>
          </w:p>
        </w:tc>
        <w:tc>
          <w:tcPr>
            <w:tcW w:w="8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2A6903" w14:textId="77777777" w:rsidR="00810A15" w:rsidRPr="00E427DA" w:rsidRDefault="00810A15" w:rsidP="00D51261">
            <w:pPr>
              <w:rPr>
                <w:rFonts w:eastAsia="Calibri" w:cs="Times New Roman"/>
                <w:b/>
                <w:bCs/>
                <w:kern w:val="2"/>
                <w:sz w:val="20"/>
                <w:szCs w:val="20"/>
                <w:lang w:val="fr-FR"/>
                <w14:ligatures w14:val="standardContextual"/>
              </w:rPr>
            </w:pPr>
            <w:r>
              <w:rPr>
                <w:rFonts w:eastAsia="Calibri" w:cs="Times New Roman"/>
                <w:b/>
                <w:bCs/>
                <w:kern w:val="2"/>
                <w:sz w:val="20"/>
                <w:szCs w:val="20"/>
                <w:lang w:val="fr-FR"/>
                <w14:ligatures w14:val="standardContextual"/>
              </w:rPr>
              <w:t>Ann. l'Annexe I</w:t>
            </w:r>
          </w:p>
        </w:tc>
        <w:tc>
          <w:tcPr>
            <w:tcW w:w="8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0B4E6A" w14:textId="77777777" w:rsidR="00810A15" w:rsidRPr="00E427DA" w:rsidRDefault="00810A15" w:rsidP="00D51261">
            <w:pPr>
              <w:rPr>
                <w:rFonts w:eastAsia="Calibri" w:cs="Times New Roman"/>
                <w:b/>
                <w:bCs/>
                <w:kern w:val="2"/>
                <w:sz w:val="20"/>
                <w:szCs w:val="20"/>
                <w:lang w:val="fr-FR"/>
                <w14:ligatures w14:val="standardContextual"/>
              </w:rPr>
            </w:pPr>
            <w:r>
              <w:rPr>
                <w:rFonts w:eastAsia="Calibri" w:cs="Times New Roman"/>
                <w:b/>
                <w:bCs/>
                <w:kern w:val="2"/>
                <w:sz w:val="20"/>
                <w:szCs w:val="20"/>
                <w:lang w:val="fr-FR"/>
                <w14:ligatures w14:val="standardContextual"/>
              </w:rPr>
              <w:t>Ann. l'Annexe II</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CC066F" w14:textId="77777777" w:rsidR="00810A15" w:rsidRPr="00E427DA" w:rsidRDefault="00810A15" w:rsidP="00D51261">
            <w:pPr>
              <w:rPr>
                <w:rFonts w:eastAsia="Calibri" w:cs="Times New Roman"/>
                <w:b/>
                <w:bCs/>
                <w:kern w:val="2"/>
                <w:sz w:val="20"/>
                <w:szCs w:val="20"/>
                <w:lang w:val="fr-FR"/>
                <w14:ligatures w14:val="standardContextual"/>
              </w:rPr>
            </w:pPr>
            <w:r>
              <w:rPr>
                <w:rFonts w:eastAsia="Calibri" w:cs="Times New Roman"/>
                <w:b/>
                <w:bCs/>
                <w:kern w:val="2"/>
                <w:sz w:val="20"/>
                <w:szCs w:val="20"/>
                <w:lang w:val="fr-FR"/>
                <w14:ligatures w14:val="standardContextual"/>
              </w:rPr>
              <w:t>Mondial ou régional ?</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1FA692" w14:textId="77777777" w:rsidR="00810A15" w:rsidRPr="00E427DA" w:rsidRDefault="00810A15" w:rsidP="00D51261">
            <w:pPr>
              <w:ind w:left="4" w:hanging="4"/>
              <w:rPr>
                <w:rFonts w:eastAsia="Calibri" w:cs="Times New Roman"/>
                <w:b/>
                <w:bCs/>
                <w:kern w:val="2"/>
                <w:sz w:val="20"/>
                <w:szCs w:val="20"/>
                <w:lang w:val="fr-FR"/>
                <w14:ligatures w14:val="standardContextual"/>
              </w:rPr>
            </w:pPr>
            <w:r>
              <w:rPr>
                <w:rFonts w:eastAsia="Calibri" w:cs="Times New Roman"/>
                <w:b/>
                <w:bCs/>
                <w:kern w:val="2"/>
                <w:sz w:val="20"/>
                <w:szCs w:val="20"/>
                <w:lang w:val="fr-FR"/>
                <w14:ligatures w14:val="standardContextual"/>
              </w:rPr>
              <w:t>Nom actuel dans les Annexes de la CMS</w:t>
            </w:r>
          </w:p>
        </w:tc>
        <w:tc>
          <w:tcPr>
            <w:tcW w:w="14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45E523" w14:textId="77777777" w:rsidR="00810A15" w:rsidRPr="00E427DA" w:rsidRDefault="00810A15" w:rsidP="00D51261">
            <w:pPr>
              <w:rPr>
                <w:rFonts w:eastAsia="Calibri" w:cs="Times New Roman"/>
                <w:b/>
                <w:bCs/>
                <w:kern w:val="2"/>
                <w:sz w:val="20"/>
                <w:szCs w:val="20"/>
                <w14:ligatures w14:val="standardContextual"/>
              </w:rPr>
            </w:pPr>
            <w:r>
              <w:rPr>
                <w:rFonts w:eastAsia="Calibri" w:cs="Times New Roman"/>
                <w:b/>
                <w:bCs/>
                <w:kern w:val="2"/>
                <w:sz w:val="20"/>
                <w:szCs w:val="20"/>
                <w14:ligatures w14:val="standardContextual"/>
              </w:rPr>
              <w:t>CITES</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744F1A" w14:textId="77777777" w:rsidR="00810A15" w:rsidRPr="00E427DA" w:rsidRDefault="00810A15" w:rsidP="00D51261">
            <w:pPr>
              <w:rPr>
                <w:rFonts w:eastAsia="Calibri" w:cs="Times New Roman"/>
                <w:b/>
                <w:bCs/>
                <w:kern w:val="2"/>
                <w:sz w:val="20"/>
                <w:szCs w:val="20"/>
                <w:lang w:val="fr-FR"/>
                <w14:ligatures w14:val="standardContextual"/>
              </w:rPr>
            </w:pPr>
            <w:r>
              <w:rPr>
                <w:rFonts w:eastAsia="Calibri" w:cs="Times New Roman"/>
                <w:b/>
                <w:bCs/>
                <w:kern w:val="2"/>
                <w:sz w:val="20"/>
                <w:szCs w:val="20"/>
                <w:lang w:val="fr-FR"/>
                <w14:ligatures w14:val="standardContextual"/>
              </w:rPr>
              <w:t>UICN</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0B54B0" w14:textId="77777777" w:rsidR="00810A15" w:rsidRPr="00E427DA" w:rsidRDefault="00810A15" w:rsidP="00D51261">
            <w:pPr>
              <w:rPr>
                <w:rFonts w:eastAsia="Calibri" w:cs="Times New Roman"/>
                <w:b/>
                <w:bCs/>
                <w:kern w:val="2"/>
                <w:sz w:val="20"/>
                <w:szCs w:val="20"/>
                <w14:ligatures w14:val="standardContextual"/>
              </w:rPr>
            </w:pPr>
            <w:r>
              <w:rPr>
                <w:rFonts w:eastAsia="Calibri" w:cs="Times New Roman"/>
                <w:b/>
                <w:bCs/>
                <w:kern w:val="2"/>
                <w:sz w:val="20"/>
                <w:szCs w:val="20"/>
                <w14:ligatures w14:val="standardContextual"/>
              </w:rPr>
              <w:t xml:space="preserve">SMM </w:t>
            </w:r>
          </w:p>
        </w:tc>
        <w:tc>
          <w:tcPr>
            <w:tcW w:w="27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BCBF47" w14:textId="77777777" w:rsidR="00810A15" w:rsidRPr="00E427DA" w:rsidRDefault="00810A15" w:rsidP="00D51261">
            <w:pPr>
              <w:ind w:right="364"/>
              <w:rPr>
                <w:rFonts w:eastAsia="Calibri" w:cs="Times New Roman"/>
                <w:b/>
                <w:bCs/>
                <w:kern w:val="2"/>
                <w:sz w:val="20"/>
                <w:szCs w:val="20"/>
                <w:lang w:val="fr-FR"/>
                <w14:ligatures w14:val="standardContextual"/>
              </w:rPr>
            </w:pPr>
            <w:r>
              <w:rPr>
                <w:rFonts w:eastAsia="Calibri" w:cs="Times New Roman"/>
                <w:b/>
                <w:bCs/>
                <w:kern w:val="2"/>
                <w:sz w:val="20"/>
                <w:szCs w:val="20"/>
                <w:lang w:val="fr-FR"/>
                <w14:ligatures w14:val="standardContextual"/>
              </w:rPr>
              <w:t>Commentaires</w:t>
            </w:r>
          </w:p>
        </w:tc>
      </w:tr>
      <w:tr w:rsidR="00810A15" w:rsidRPr="002125BA" w14:paraId="40A8F075" w14:textId="77777777" w:rsidTr="00D51261">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0A1ABEF0" w14:textId="77777777" w:rsidR="00810A15" w:rsidRPr="0084221B" w:rsidRDefault="00810A15" w:rsidP="00D51261">
            <w:pPr>
              <w:rPr>
                <w:rFonts w:eastAsia="Calibri" w:cs="Times New Roman"/>
                <w:kern w:val="2"/>
                <w:sz w:val="20"/>
                <w:szCs w:val="20"/>
                <w:lang w:val="fr-FR"/>
                <w14:ligatures w14:val="standardContextual"/>
              </w:rPr>
            </w:pPr>
            <w:r>
              <w:rPr>
                <w:rFonts w:eastAsia="Calibri" w:cs="Times New Roman"/>
                <w:kern w:val="2"/>
                <w:sz w:val="20"/>
                <w:szCs w:val="20"/>
                <w:lang w:val="fr-FR"/>
                <w14:ligatures w14:val="standardContextual"/>
              </w:rPr>
              <w:t>Lion de mer d'Amérique du Sud</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3F1BAC8B" w14:textId="77777777" w:rsidR="00810A15" w:rsidRPr="0084221B" w:rsidRDefault="00810A15" w:rsidP="00D51261">
            <w:pPr>
              <w:rPr>
                <w:rFonts w:eastAsia="Calibri" w:cs="Times New Roman"/>
                <w:kern w:val="2"/>
                <w:sz w:val="20"/>
                <w:szCs w:val="20"/>
                <w:lang w:val="fr-FR"/>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23B7228B" w14:textId="77777777" w:rsidR="00810A15" w:rsidRPr="0084221B" w:rsidRDefault="00810A15" w:rsidP="00D51261">
            <w:pPr>
              <w:rPr>
                <w:rFonts w:eastAsia="Calibri" w:cs="Times New Roman"/>
                <w:kern w:val="2"/>
                <w:sz w:val="20"/>
                <w:szCs w:val="20"/>
                <w14:ligatures w14:val="standardContextual"/>
              </w:rPr>
            </w:pPr>
            <w:r>
              <w:rPr>
                <w:rFonts w:eastAsia="Calibri" w:cs="Times New Roman"/>
                <w:kern w:val="2"/>
                <w:sz w:val="20"/>
                <w:szCs w:val="20"/>
                <w14:ligatures w14:val="standardContextual"/>
              </w:rPr>
              <w:t>1979</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43B5045D" w14:textId="77777777" w:rsidR="00810A15" w:rsidRPr="0084221B" w:rsidRDefault="00810A15" w:rsidP="00D51261">
            <w:pPr>
              <w:rPr>
                <w:rFonts w:eastAsia="Calibri" w:cs="Times New Roman"/>
                <w:kern w:val="2"/>
                <w:sz w:val="20"/>
                <w:szCs w:val="20"/>
                <w:lang w:val="fr-FR"/>
                <w14:ligatures w14:val="standardContextual"/>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127543C5" w14:textId="77777777" w:rsidR="00810A15" w:rsidRPr="00142A18" w:rsidRDefault="00810A15" w:rsidP="00D51261">
            <w:pPr>
              <w:ind w:left="4" w:hanging="4"/>
              <w:rPr>
                <w:rFonts w:eastAsia="Calibri" w:cs="Times New Roman"/>
                <w:i/>
                <w:kern w:val="2"/>
                <w:sz w:val="20"/>
                <w:szCs w:val="20"/>
                <w14:ligatures w14:val="standardContextual"/>
              </w:rPr>
            </w:pPr>
            <w:proofErr w:type="spellStart"/>
            <w:r>
              <w:rPr>
                <w:rFonts w:eastAsia="Calibri" w:cs="Times New Roman"/>
                <w:i/>
                <w:kern w:val="2"/>
                <w:sz w:val="20"/>
                <w:szCs w:val="20"/>
                <w14:ligatures w14:val="standardContextual"/>
              </w:rPr>
              <w:t>Otaria</w:t>
            </w:r>
            <w:proofErr w:type="spellEnd"/>
            <w:r>
              <w:rPr>
                <w:rFonts w:eastAsia="Calibri" w:cs="Times New Roman"/>
                <w:i/>
                <w:kern w:val="2"/>
                <w:sz w:val="20"/>
                <w:szCs w:val="20"/>
                <w14:ligatures w14:val="standardContextual"/>
              </w:rPr>
              <w:t xml:space="preserve"> </w:t>
            </w:r>
            <w:proofErr w:type="spellStart"/>
            <w:r>
              <w:rPr>
                <w:rFonts w:eastAsia="Calibri" w:cs="Times New Roman"/>
                <w:i/>
                <w:kern w:val="2"/>
                <w:sz w:val="20"/>
                <w:szCs w:val="20"/>
                <w14:ligatures w14:val="standardContextual"/>
              </w:rPr>
              <w:t>flavescens</w:t>
            </w:r>
            <w:proofErr w:type="spellEnd"/>
          </w:p>
        </w:tc>
        <w:tc>
          <w:tcPr>
            <w:tcW w:w="1463" w:type="dxa"/>
            <w:tcBorders>
              <w:top w:val="single" w:sz="6" w:space="0" w:color="auto"/>
              <w:left w:val="single" w:sz="6" w:space="0" w:color="auto"/>
              <w:bottom w:val="single" w:sz="6" w:space="0" w:color="auto"/>
              <w:right w:val="single" w:sz="6" w:space="0" w:color="auto"/>
            </w:tcBorders>
          </w:tcPr>
          <w:p w14:paraId="37B5AA31" w14:textId="77777777" w:rsidR="00810A15" w:rsidRPr="0084221B" w:rsidRDefault="00810A15" w:rsidP="00D51261">
            <w:pPr>
              <w:rPr>
                <w:rFonts w:eastAsia="Calibri" w:cs="Times New Roman"/>
                <w:kern w:val="2"/>
                <w:sz w:val="20"/>
                <w:szCs w:val="20"/>
                <w:lang w:val="fr-FR"/>
                <w14:ligatures w14:val="standardContextual"/>
              </w:rPr>
            </w:pPr>
            <w:proofErr w:type="spellStart"/>
            <w:r>
              <w:rPr>
                <w:rFonts w:eastAsia="Calibri" w:cs="Times New Roman"/>
                <w:kern w:val="2"/>
                <w:sz w:val="20"/>
                <w:szCs w:val="20"/>
                <w:lang w:val="fr-FR"/>
                <w14:ligatures w14:val="standardContextual"/>
              </w:rPr>
              <w:t>s.o</w:t>
            </w:r>
            <w:proofErr w:type="spellEnd"/>
            <w:r>
              <w:rPr>
                <w:rFonts w:eastAsia="Calibri" w:cs="Times New Roman"/>
                <w:kern w:val="2"/>
                <w:sz w:val="20"/>
                <w:szCs w:val="20"/>
                <w:lang w:val="fr-FR"/>
                <w14:ligatures w14:val="standardContextual"/>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F4EFA88" w14:textId="77777777" w:rsidR="00810A15" w:rsidRPr="00142A18" w:rsidRDefault="00810A15" w:rsidP="00D51261">
            <w:pPr>
              <w:rPr>
                <w:rFonts w:eastAsia="Calibri" w:cs="Times New Roman"/>
                <w:i/>
                <w:kern w:val="2"/>
                <w:sz w:val="20"/>
                <w:szCs w:val="20"/>
                <w14:ligatures w14:val="standardContextual"/>
              </w:rPr>
            </w:pPr>
            <w:proofErr w:type="spellStart"/>
            <w:r>
              <w:rPr>
                <w:rFonts w:eastAsia="Calibri" w:cs="Times New Roman"/>
                <w:i/>
                <w:kern w:val="2"/>
                <w:sz w:val="20"/>
                <w:szCs w:val="20"/>
                <w14:ligatures w14:val="standardContextual"/>
              </w:rPr>
              <w:t>Otaria</w:t>
            </w:r>
            <w:proofErr w:type="spellEnd"/>
            <w:r>
              <w:rPr>
                <w:rFonts w:eastAsia="Calibri" w:cs="Times New Roman"/>
                <w:i/>
                <w:kern w:val="2"/>
                <w:sz w:val="20"/>
                <w:szCs w:val="20"/>
                <w14:ligatures w14:val="standardContextual"/>
              </w:rPr>
              <w:t xml:space="preserve"> </w:t>
            </w:r>
            <w:proofErr w:type="spellStart"/>
            <w:r>
              <w:rPr>
                <w:rFonts w:eastAsia="Calibri" w:cs="Times New Roman"/>
                <w:i/>
                <w:kern w:val="2"/>
                <w:sz w:val="20"/>
                <w:szCs w:val="20"/>
                <w14:ligatures w14:val="standardContextual"/>
              </w:rPr>
              <w:t>byronia</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EE205B" w14:textId="77777777" w:rsidR="00810A15" w:rsidRPr="00142A18" w:rsidRDefault="00810A15" w:rsidP="00D51261">
            <w:pPr>
              <w:rPr>
                <w:rFonts w:eastAsia="Calibri" w:cs="Times New Roman"/>
                <w:i/>
                <w:kern w:val="2"/>
                <w:sz w:val="20"/>
                <w:szCs w:val="20"/>
                <w14:ligatures w14:val="standardContextual"/>
              </w:rPr>
            </w:pPr>
            <w:proofErr w:type="spellStart"/>
            <w:r>
              <w:rPr>
                <w:rFonts w:eastAsia="Calibri" w:cs="Times New Roman"/>
                <w:i/>
                <w:kern w:val="2"/>
                <w:sz w:val="20"/>
                <w:szCs w:val="20"/>
                <w14:ligatures w14:val="standardContextual"/>
              </w:rPr>
              <w:t>Otaria</w:t>
            </w:r>
            <w:proofErr w:type="spellEnd"/>
            <w:r>
              <w:rPr>
                <w:rFonts w:eastAsia="Calibri" w:cs="Times New Roman"/>
                <w:i/>
                <w:kern w:val="2"/>
                <w:sz w:val="20"/>
                <w:szCs w:val="20"/>
                <w14:ligatures w14:val="standardContextual"/>
              </w:rPr>
              <w:t xml:space="preserve"> </w:t>
            </w:r>
            <w:proofErr w:type="spellStart"/>
            <w:r>
              <w:rPr>
                <w:rFonts w:eastAsia="Calibri" w:cs="Times New Roman"/>
                <w:i/>
                <w:kern w:val="2"/>
                <w:sz w:val="20"/>
                <w:szCs w:val="20"/>
                <w14:ligatures w14:val="standardContextual"/>
              </w:rPr>
              <w:t>byronia</w:t>
            </w:r>
            <w:proofErr w:type="spellEnd"/>
          </w:p>
        </w:tc>
        <w:tc>
          <w:tcPr>
            <w:tcW w:w="2751" w:type="dxa"/>
            <w:tcBorders>
              <w:top w:val="single" w:sz="6" w:space="0" w:color="auto"/>
              <w:left w:val="single" w:sz="6" w:space="0" w:color="auto"/>
              <w:bottom w:val="single" w:sz="6" w:space="0" w:color="auto"/>
              <w:right w:val="single" w:sz="6" w:space="0" w:color="auto"/>
            </w:tcBorders>
          </w:tcPr>
          <w:p w14:paraId="015BFA96" w14:textId="77777777" w:rsidR="00810A15" w:rsidRPr="00C07172" w:rsidRDefault="00810A15" w:rsidP="00D51261">
            <w:pPr>
              <w:ind w:right="364"/>
              <w:rPr>
                <w:rFonts w:eastAsia="Calibri" w:cs="Times New Roman"/>
                <w:i/>
                <w:iCs/>
                <w:kern w:val="2"/>
                <w:sz w:val="20"/>
                <w:szCs w:val="20"/>
                <w:lang w:val="fr-FR"/>
                <w14:ligatures w14:val="standardContextual"/>
              </w:rPr>
            </w:pPr>
            <w:r>
              <w:rPr>
                <w:rFonts w:eastAsia="Calibri" w:cs="Times New Roman"/>
                <w:i/>
                <w:iCs/>
                <w:kern w:val="2"/>
                <w:sz w:val="20"/>
                <w:szCs w:val="20"/>
                <w:lang w:val="fr-FR"/>
                <w14:ligatures w14:val="standardContextual"/>
              </w:rPr>
              <w:t>Il est proposé d'adapter la nomenclature</w:t>
            </w:r>
          </w:p>
        </w:tc>
      </w:tr>
      <w:tr w:rsidR="00810A15" w:rsidRPr="002125BA" w14:paraId="5913F907" w14:textId="77777777" w:rsidTr="00D51261">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2C1D998A" w14:textId="77777777" w:rsidR="00810A15" w:rsidRPr="0084221B" w:rsidRDefault="00810A15" w:rsidP="00D51261">
            <w:pPr>
              <w:rPr>
                <w:rFonts w:eastAsia="Calibri" w:cs="Times New Roman"/>
                <w:kern w:val="2"/>
                <w:sz w:val="20"/>
                <w:szCs w:val="20"/>
                <w:lang w:val="fr-FR"/>
                <w14:ligatures w14:val="standardContextual"/>
              </w:rPr>
            </w:pPr>
            <w:r>
              <w:rPr>
                <w:sz w:val="20"/>
                <w:szCs w:val="20"/>
                <w:lang w:val="fr-FR"/>
              </w:rPr>
              <w:t>Phoque gris</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06980AB1" w14:textId="77777777" w:rsidR="00810A15" w:rsidRPr="0084221B" w:rsidRDefault="00810A15" w:rsidP="00D51261">
            <w:pPr>
              <w:rPr>
                <w:rFonts w:eastAsia="Calibri" w:cs="Times New Roman"/>
                <w:kern w:val="2"/>
                <w:sz w:val="20"/>
                <w:szCs w:val="20"/>
                <w:lang w:val="fr-FR"/>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11DEEDB0" w14:textId="77777777" w:rsidR="00810A15" w:rsidRPr="0084221B" w:rsidRDefault="00810A15" w:rsidP="00D51261">
            <w:pPr>
              <w:rPr>
                <w:rFonts w:eastAsia="Calibri" w:cs="Times New Roman"/>
                <w:kern w:val="2"/>
                <w:sz w:val="20"/>
                <w:szCs w:val="20"/>
                <w14:ligatures w14:val="standardContextual"/>
              </w:rPr>
            </w:pPr>
            <w:r>
              <w:rPr>
                <w:sz w:val="20"/>
                <w:szCs w:val="20"/>
              </w:rPr>
              <w:t>1985</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3051340F" w14:textId="77777777" w:rsidR="00810A15" w:rsidRPr="0084221B" w:rsidRDefault="00810A15" w:rsidP="00D51261">
            <w:pPr>
              <w:rPr>
                <w:rFonts w:eastAsia="Calibri" w:cs="Times New Roman"/>
                <w:kern w:val="2"/>
                <w:sz w:val="20"/>
                <w:szCs w:val="20"/>
                <w:lang w:val="fr-FR"/>
                <w14:ligatures w14:val="standardContextual"/>
              </w:rPr>
            </w:pPr>
            <w:r>
              <w:rPr>
                <w:sz w:val="20"/>
                <w:szCs w:val="20"/>
                <w:lang w:val="fr-FR"/>
              </w:rPr>
              <w:t>uniquement les populations de la mer Baltique</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3646E2FD" w14:textId="77777777" w:rsidR="00810A15" w:rsidRPr="00142A18" w:rsidRDefault="00810A15" w:rsidP="00D51261">
            <w:pPr>
              <w:ind w:left="4" w:hanging="4"/>
              <w:rPr>
                <w:rFonts w:eastAsia="Calibri" w:cs="Times New Roman"/>
                <w:i/>
                <w:kern w:val="2"/>
                <w:sz w:val="20"/>
                <w:szCs w:val="20"/>
                <w14:ligatures w14:val="standardContextual"/>
              </w:rPr>
            </w:pPr>
            <w:r>
              <w:rPr>
                <w:i/>
                <w:sz w:val="20"/>
                <w:szCs w:val="20"/>
              </w:rPr>
              <w:t xml:space="preserve">Halichoerus </w:t>
            </w:r>
            <w:proofErr w:type="spellStart"/>
            <w:r>
              <w:rPr>
                <w:i/>
                <w:sz w:val="20"/>
                <w:szCs w:val="20"/>
              </w:rPr>
              <w:t>grypus</w:t>
            </w:r>
            <w:proofErr w:type="spellEnd"/>
          </w:p>
        </w:tc>
        <w:tc>
          <w:tcPr>
            <w:tcW w:w="1463" w:type="dxa"/>
            <w:tcBorders>
              <w:top w:val="single" w:sz="6" w:space="0" w:color="auto"/>
              <w:left w:val="single" w:sz="6" w:space="0" w:color="auto"/>
              <w:bottom w:val="single" w:sz="6" w:space="0" w:color="auto"/>
              <w:right w:val="single" w:sz="6" w:space="0" w:color="auto"/>
            </w:tcBorders>
          </w:tcPr>
          <w:p w14:paraId="587EDEF2" w14:textId="77777777" w:rsidR="00810A15" w:rsidRPr="0084221B" w:rsidRDefault="00810A15" w:rsidP="00D51261">
            <w:pPr>
              <w:ind w:right="-170"/>
              <w:rPr>
                <w:sz w:val="20"/>
                <w:szCs w:val="20"/>
                <w:lang w:val="fr-FR"/>
              </w:rPr>
            </w:pPr>
            <w:proofErr w:type="spellStart"/>
            <w:r>
              <w:rPr>
                <w:rFonts w:eastAsia="Calibri" w:cs="Times New Roman"/>
                <w:kern w:val="2"/>
                <w:sz w:val="20"/>
                <w:szCs w:val="20"/>
                <w:lang w:val="fr-FR"/>
                <w14:ligatures w14:val="standardContextual"/>
              </w:rPr>
              <w:t>s.o</w:t>
            </w:r>
            <w:proofErr w:type="spellEnd"/>
            <w:r>
              <w:rPr>
                <w:rFonts w:eastAsia="Calibri" w:cs="Times New Roman"/>
                <w:kern w:val="2"/>
                <w:sz w:val="20"/>
                <w:szCs w:val="20"/>
                <w:lang w:val="fr-FR"/>
                <w14:ligatures w14:val="standardContextual"/>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63BDE5B" w14:textId="77777777" w:rsidR="00810A15" w:rsidRDefault="00810A15" w:rsidP="00D51261">
            <w:pPr>
              <w:rPr>
                <w:sz w:val="20"/>
                <w:szCs w:val="20"/>
                <w:u w:val="single"/>
                <w:lang w:val="fr-FR"/>
              </w:rPr>
            </w:pPr>
            <w:proofErr w:type="spellStart"/>
            <w:r>
              <w:rPr>
                <w:i/>
                <w:sz w:val="20"/>
                <w:szCs w:val="20"/>
                <w:lang w:val="fr-FR"/>
              </w:rPr>
              <w:t>Halichoerus</w:t>
            </w:r>
            <w:proofErr w:type="spellEnd"/>
            <w:r>
              <w:rPr>
                <w:i/>
                <w:sz w:val="20"/>
                <w:szCs w:val="20"/>
                <w:lang w:val="fr-FR"/>
              </w:rPr>
              <w:t xml:space="preserve"> </w:t>
            </w:r>
            <w:proofErr w:type="spellStart"/>
            <w:r>
              <w:rPr>
                <w:i/>
                <w:sz w:val="20"/>
                <w:szCs w:val="20"/>
                <w:lang w:val="fr-FR"/>
              </w:rPr>
              <w:t>g</w:t>
            </w:r>
            <w:r>
              <w:rPr>
                <w:sz w:val="20"/>
                <w:szCs w:val="20"/>
                <w:lang w:val="fr-FR"/>
              </w:rPr>
              <w:t>rypus</w:t>
            </w:r>
            <w:proofErr w:type="spellEnd"/>
            <w:r>
              <w:rPr>
                <w:sz w:val="20"/>
                <w:szCs w:val="20"/>
                <w:u w:val="single"/>
                <w:lang w:val="fr-FR"/>
              </w:rPr>
              <w:t xml:space="preserve"> </w:t>
            </w:r>
          </w:p>
          <w:p w14:paraId="11CE06E1" w14:textId="77777777" w:rsidR="00810A15" w:rsidRDefault="00810A15" w:rsidP="00D51261">
            <w:pPr>
              <w:ind w:right="-170"/>
              <w:rPr>
                <w:sz w:val="20"/>
                <w:szCs w:val="20"/>
                <w:u w:val="single"/>
                <w:lang w:val="fr-FR"/>
              </w:rPr>
            </w:pPr>
          </w:p>
          <w:p w14:paraId="27EA9399" w14:textId="77777777" w:rsidR="00810A15" w:rsidRPr="0084221B" w:rsidRDefault="00810A15" w:rsidP="00D51261">
            <w:pPr>
              <w:rPr>
                <w:sz w:val="20"/>
                <w:szCs w:val="20"/>
                <w:u w:val="single"/>
                <w:lang w:val="fr-FR"/>
              </w:rPr>
            </w:pPr>
            <w:r>
              <w:rPr>
                <w:sz w:val="20"/>
                <w:szCs w:val="20"/>
                <w:u w:val="single"/>
                <w:lang w:val="fr-FR"/>
              </w:rPr>
              <w:t>2 sous-espèces :</w:t>
            </w:r>
          </w:p>
          <w:p w14:paraId="6D2D0E59" w14:textId="77777777" w:rsidR="00810A15" w:rsidRPr="00810A15" w:rsidRDefault="00810A15" w:rsidP="00D51261">
            <w:pPr>
              <w:ind w:right="-171"/>
              <w:rPr>
                <w:b/>
                <w:i/>
                <w:sz w:val="20"/>
                <w:szCs w:val="20"/>
                <w:lang w:val="fr-FR"/>
              </w:rPr>
            </w:pPr>
            <w:r w:rsidRPr="00810A15">
              <w:rPr>
                <w:b/>
                <w:i/>
                <w:sz w:val="20"/>
                <w:szCs w:val="20"/>
                <w:lang w:val="fr-FR"/>
              </w:rPr>
              <w:t xml:space="preserve">H. g. </w:t>
            </w:r>
            <w:proofErr w:type="spellStart"/>
            <w:r w:rsidRPr="00810A15">
              <w:rPr>
                <w:b/>
                <w:i/>
                <w:sz w:val="20"/>
                <w:szCs w:val="20"/>
                <w:lang w:val="fr-FR"/>
              </w:rPr>
              <w:t>grypus</w:t>
            </w:r>
            <w:proofErr w:type="spellEnd"/>
          </w:p>
          <w:p w14:paraId="748C6E41" w14:textId="77777777" w:rsidR="00810A15" w:rsidRPr="0084221B" w:rsidRDefault="00810A15" w:rsidP="00D51261">
            <w:pPr>
              <w:rPr>
                <w:rFonts w:eastAsia="Calibri" w:cs="Times New Roman"/>
                <w:kern w:val="2"/>
                <w:sz w:val="20"/>
                <w:szCs w:val="20"/>
                <w14:ligatures w14:val="standardContextual"/>
              </w:rPr>
            </w:pPr>
            <w:r>
              <w:rPr>
                <w:i/>
                <w:sz w:val="20"/>
                <w:szCs w:val="20"/>
              </w:rPr>
              <w:t xml:space="preserve">H. g. </w:t>
            </w:r>
            <w:proofErr w:type="spellStart"/>
            <w:r>
              <w:rPr>
                <w:i/>
                <w:sz w:val="20"/>
                <w:szCs w:val="20"/>
              </w:rPr>
              <w:t>macrorynchus</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6EB29E" w14:textId="77777777" w:rsidR="00810A15" w:rsidRPr="00142A18" w:rsidRDefault="00810A15" w:rsidP="00D51261">
            <w:pPr>
              <w:ind w:right="-170"/>
              <w:rPr>
                <w:i/>
                <w:sz w:val="20"/>
                <w:szCs w:val="20"/>
                <w:u w:val="single"/>
                <w:lang w:val="fr-FR"/>
              </w:rPr>
            </w:pPr>
            <w:proofErr w:type="spellStart"/>
            <w:r>
              <w:rPr>
                <w:i/>
                <w:sz w:val="20"/>
                <w:szCs w:val="20"/>
                <w:lang w:val="fr-FR"/>
              </w:rPr>
              <w:t>Halichoerus</w:t>
            </w:r>
            <w:proofErr w:type="spellEnd"/>
            <w:r>
              <w:rPr>
                <w:i/>
                <w:sz w:val="20"/>
                <w:szCs w:val="20"/>
                <w:lang w:val="fr-FR"/>
              </w:rPr>
              <w:t xml:space="preserve"> </w:t>
            </w:r>
            <w:proofErr w:type="spellStart"/>
            <w:r>
              <w:rPr>
                <w:i/>
                <w:sz w:val="20"/>
                <w:szCs w:val="20"/>
                <w:lang w:val="fr-FR"/>
              </w:rPr>
              <w:t>grypus</w:t>
            </w:r>
            <w:proofErr w:type="spellEnd"/>
            <w:r>
              <w:rPr>
                <w:i/>
                <w:sz w:val="20"/>
                <w:szCs w:val="20"/>
                <w:u w:val="single"/>
                <w:lang w:val="fr-FR"/>
              </w:rPr>
              <w:t xml:space="preserve"> </w:t>
            </w:r>
          </w:p>
          <w:p w14:paraId="13C72CBF" w14:textId="77777777" w:rsidR="00810A15" w:rsidRDefault="00810A15" w:rsidP="00D51261">
            <w:pPr>
              <w:ind w:right="-170"/>
              <w:rPr>
                <w:sz w:val="20"/>
                <w:szCs w:val="20"/>
                <w:u w:val="single"/>
                <w:lang w:val="fr-FR"/>
              </w:rPr>
            </w:pPr>
          </w:p>
          <w:p w14:paraId="5B0C4A97" w14:textId="77777777" w:rsidR="00810A15" w:rsidRPr="0084221B" w:rsidRDefault="00810A15" w:rsidP="00D51261">
            <w:pPr>
              <w:ind w:right="-170"/>
              <w:rPr>
                <w:sz w:val="20"/>
                <w:szCs w:val="20"/>
                <w:u w:val="single"/>
                <w:lang w:val="fr-FR"/>
              </w:rPr>
            </w:pPr>
            <w:r>
              <w:rPr>
                <w:sz w:val="20"/>
                <w:szCs w:val="20"/>
                <w:u w:val="single"/>
                <w:lang w:val="fr-FR"/>
              </w:rPr>
              <w:t>2 sous-espèces :</w:t>
            </w:r>
          </w:p>
          <w:p w14:paraId="01966D55" w14:textId="77777777" w:rsidR="00810A15" w:rsidRPr="00810A15" w:rsidRDefault="00810A15" w:rsidP="00D51261">
            <w:pPr>
              <w:ind w:right="-171"/>
              <w:rPr>
                <w:b/>
                <w:i/>
                <w:sz w:val="20"/>
                <w:szCs w:val="20"/>
                <w:lang w:val="fr-FR"/>
              </w:rPr>
            </w:pPr>
            <w:r w:rsidRPr="00810A15">
              <w:rPr>
                <w:b/>
                <w:i/>
                <w:sz w:val="20"/>
                <w:szCs w:val="20"/>
                <w:lang w:val="fr-FR"/>
              </w:rPr>
              <w:t xml:space="preserve">H. g. </w:t>
            </w:r>
            <w:proofErr w:type="spellStart"/>
            <w:r w:rsidRPr="00810A15">
              <w:rPr>
                <w:b/>
                <w:i/>
                <w:sz w:val="20"/>
                <w:szCs w:val="20"/>
                <w:lang w:val="fr-FR"/>
              </w:rPr>
              <w:t>grypus</w:t>
            </w:r>
            <w:proofErr w:type="spellEnd"/>
          </w:p>
          <w:p w14:paraId="02ED0DA1" w14:textId="77777777" w:rsidR="00810A15" w:rsidRPr="0084221B" w:rsidRDefault="00810A15" w:rsidP="00D51261">
            <w:pPr>
              <w:rPr>
                <w:rFonts w:eastAsia="Calibri" w:cs="Times New Roman"/>
                <w:kern w:val="2"/>
                <w:sz w:val="20"/>
                <w:szCs w:val="20"/>
                <w14:ligatures w14:val="standardContextual"/>
              </w:rPr>
            </w:pPr>
            <w:r>
              <w:rPr>
                <w:i/>
                <w:sz w:val="20"/>
                <w:szCs w:val="20"/>
              </w:rPr>
              <w:t xml:space="preserve">H. g. </w:t>
            </w:r>
            <w:proofErr w:type="spellStart"/>
            <w:r>
              <w:rPr>
                <w:i/>
                <w:sz w:val="20"/>
                <w:szCs w:val="20"/>
              </w:rPr>
              <w:t>atlantica</w:t>
            </w:r>
            <w:proofErr w:type="spellEnd"/>
          </w:p>
        </w:tc>
        <w:tc>
          <w:tcPr>
            <w:tcW w:w="2751" w:type="dxa"/>
            <w:tcBorders>
              <w:top w:val="single" w:sz="6" w:space="0" w:color="auto"/>
              <w:left w:val="single" w:sz="6" w:space="0" w:color="auto"/>
              <w:bottom w:val="single" w:sz="6" w:space="0" w:color="auto"/>
              <w:right w:val="single" w:sz="6" w:space="0" w:color="auto"/>
            </w:tcBorders>
          </w:tcPr>
          <w:p w14:paraId="5B30925C" w14:textId="77777777" w:rsidR="00810A15" w:rsidRDefault="00810A15" w:rsidP="00D51261">
            <w:pPr>
              <w:ind w:right="364"/>
              <w:rPr>
                <w:rFonts w:eastAsia="Calibri" w:cs="Times New Roman"/>
                <w:kern w:val="2"/>
                <w:sz w:val="20"/>
                <w:szCs w:val="20"/>
                <w:lang w:val="fr-FR"/>
                <w14:ligatures w14:val="standardContextual"/>
              </w:rPr>
            </w:pPr>
            <w:r>
              <w:rPr>
                <w:rFonts w:eastAsia="Calibri" w:cs="Times New Roman"/>
                <w:i/>
                <w:kern w:val="2"/>
                <w:sz w:val="20"/>
                <w:szCs w:val="20"/>
                <w:lang w:val="fr-FR"/>
                <w14:ligatures w14:val="standardContextual"/>
              </w:rPr>
              <w:t xml:space="preserve">H. g. </w:t>
            </w:r>
            <w:proofErr w:type="spellStart"/>
            <w:r>
              <w:rPr>
                <w:rFonts w:eastAsia="Calibri" w:cs="Times New Roman"/>
                <w:i/>
                <w:kern w:val="2"/>
                <w:sz w:val="20"/>
                <w:szCs w:val="20"/>
                <w:lang w:val="fr-FR"/>
                <w14:ligatures w14:val="standardContextual"/>
              </w:rPr>
              <w:t>gryphus</w:t>
            </w:r>
            <w:proofErr w:type="spellEnd"/>
            <w:r>
              <w:rPr>
                <w:rFonts w:eastAsia="Calibri" w:cs="Times New Roman"/>
                <w:kern w:val="2"/>
                <w:sz w:val="20"/>
                <w:szCs w:val="20"/>
                <w:lang w:val="fr-FR"/>
                <w14:ligatures w14:val="standardContextual"/>
              </w:rPr>
              <w:t xml:space="preserve"> (Phoque gris de la Baltique) considéré comme identique à l'inscription régionale </w:t>
            </w:r>
          </w:p>
          <w:p w14:paraId="716BB396" w14:textId="77777777" w:rsidR="00810A15" w:rsidRPr="00810A15" w:rsidRDefault="00810A15" w:rsidP="00D51261">
            <w:pPr>
              <w:ind w:right="364"/>
              <w:rPr>
                <w:rFonts w:eastAsia="Calibri" w:cs="Times New Roman"/>
                <w:kern w:val="2"/>
                <w:sz w:val="16"/>
                <w:szCs w:val="16"/>
                <w:lang w:val="fr-FR"/>
                <w14:ligatures w14:val="standardContextual"/>
              </w:rPr>
            </w:pPr>
          </w:p>
          <w:p w14:paraId="4BD5831E" w14:textId="77777777" w:rsidR="00810A15" w:rsidRPr="00C07172" w:rsidRDefault="00810A15" w:rsidP="00D51261">
            <w:pPr>
              <w:ind w:right="364"/>
              <w:rPr>
                <w:rFonts w:eastAsia="Calibri" w:cs="Times New Roman"/>
                <w:i/>
                <w:iCs/>
                <w:kern w:val="2"/>
                <w:sz w:val="20"/>
                <w:szCs w:val="20"/>
                <w:lang w:val="fr-FR"/>
                <w14:ligatures w14:val="standardContextual"/>
              </w:rPr>
            </w:pPr>
            <w:r>
              <w:rPr>
                <w:rFonts w:eastAsia="Calibri" w:cs="Times New Roman"/>
                <w:i/>
                <w:iCs/>
                <w:kern w:val="2"/>
                <w:sz w:val="20"/>
                <w:szCs w:val="20"/>
                <w:lang w:val="fr-FR"/>
                <w14:ligatures w14:val="standardContextual"/>
              </w:rPr>
              <w:t>L'Annexe II pourrait être adaptée</w:t>
            </w:r>
          </w:p>
        </w:tc>
      </w:tr>
      <w:tr w:rsidR="00810A15" w:rsidRPr="002125BA" w14:paraId="24D9D80C" w14:textId="77777777" w:rsidTr="00D51261">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6E45674B" w14:textId="77777777" w:rsidR="00810A15" w:rsidRPr="00E0494B" w:rsidRDefault="00810A15" w:rsidP="00D51261">
            <w:pPr>
              <w:rPr>
                <w:sz w:val="20"/>
                <w:szCs w:val="20"/>
                <w:lang w:val="fr-FR"/>
              </w:rPr>
            </w:pPr>
            <w:r>
              <w:rPr>
                <w:sz w:val="20"/>
                <w:szCs w:val="20"/>
                <w:lang w:val="fr-FR"/>
              </w:rPr>
              <w:t xml:space="preserve">Dauphin de </w:t>
            </w:r>
            <w:proofErr w:type="spellStart"/>
            <w:r>
              <w:rPr>
                <w:sz w:val="20"/>
                <w:szCs w:val="20"/>
                <w:lang w:val="fr-FR"/>
              </w:rPr>
              <w:t>Commerson</w:t>
            </w:r>
            <w:proofErr w:type="spellEnd"/>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77989BB5" w14:textId="77777777" w:rsidR="00810A15" w:rsidRPr="0084221B" w:rsidRDefault="00810A15" w:rsidP="00D51261">
            <w:pPr>
              <w:rPr>
                <w:rFonts w:eastAsia="Calibri" w:cs="Times New Roman"/>
                <w:kern w:val="2"/>
                <w:sz w:val="20"/>
                <w:szCs w:val="20"/>
                <w:lang w:val="fr-FR"/>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349A6B83" w14:textId="77777777" w:rsidR="00810A15" w:rsidRPr="00E0494B" w:rsidRDefault="00810A15" w:rsidP="00D51261">
            <w:pPr>
              <w:rPr>
                <w:sz w:val="20"/>
                <w:szCs w:val="20"/>
              </w:rPr>
            </w:pPr>
            <w:r>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231B44B4" w14:textId="77777777" w:rsidR="00810A15" w:rsidRPr="00E0494B" w:rsidRDefault="00810A15" w:rsidP="00D51261">
            <w:pPr>
              <w:rPr>
                <w:sz w:val="20"/>
                <w:szCs w:val="20"/>
                <w:lang w:val="fr-FR"/>
              </w:rPr>
            </w:pPr>
            <w:r>
              <w:rPr>
                <w:sz w:val="20"/>
                <w:szCs w:val="20"/>
                <w:lang w:val="fr-FR"/>
              </w:rPr>
              <w:t>Population d'Amérique du Sud</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68276523" w14:textId="77777777" w:rsidR="00810A15" w:rsidRPr="00142A18" w:rsidRDefault="00810A15" w:rsidP="00D51261">
            <w:pPr>
              <w:ind w:left="4" w:hanging="4"/>
              <w:rPr>
                <w:i/>
                <w:sz w:val="20"/>
                <w:szCs w:val="20"/>
                <w:lang w:val="fr-FR"/>
              </w:rPr>
            </w:pPr>
            <w:bookmarkStart w:id="0" w:name="_Hlk137203066"/>
            <w:proofErr w:type="spellStart"/>
            <w:r>
              <w:rPr>
                <w:i/>
                <w:sz w:val="20"/>
                <w:szCs w:val="20"/>
                <w:lang w:val="fr-FR"/>
              </w:rPr>
              <w:t>Cephalorhynchus</w:t>
            </w:r>
            <w:proofErr w:type="spellEnd"/>
            <w:r>
              <w:rPr>
                <w:i/>
                <w:sz w:val="20"/>
                <w:szCs w:val="20"/>
                <w:lang w:val="fr-FR"/>
              </w:rPr>
              <w:t xml:space="preserve"> </w:t>
            </w:r>
            <w:proofErr w:type="spellStart"/>
            <w:r>
              <w:rPr>
                <w:i/>
                <w:sz w:val="20"/>
                <w:szCs w:val="20"/>
                <w:lang w:val="fr-FR"/>
              </w:rPr>
              <w:t>commersonii</w:t>
            </w:r>
            <w:proofErr w:type="spellEnd"/>
            <w:r>
              <w:rPr>
                <w:i/>
                <w:sz w:val="20"/>
                <w:szCs w:val="20"/>
                <w:lang w:val="fr-FR"/>
              </w:rPr>
              <w:t xml:space="preserve"> </w:t>
            </w:r>
            <w:bookmarkEnd w:id="0"/>
          </w:p>
        </w:tc>
        <w:tc>
          <w:tcPr>
            <w:tcW w:w="1463" w:type="dxa"/>
            <w:tcBorders>
              <w:top w:val="single" w:sz="6" w:space="0" w:color="auto"/>
              <w:left w:val="single" w:sz="6" w:space="0" w:color="auto"/>
              <w:bottom w:val="single" w:sz="6" w:space="0" w:color="auto"/>
              <w:right w:val="single" w:sz="6" w:space="0" w:color="auto"/>
            </w:tcBorders>
          </w:tcPr>
          <w:p w14:paraId="4A5FCEF3" w14:textId="77777777" w:rsidR="00810A15" w:rsidRPr="00142A18" w:rsidRDefault="00810A15" w:rsidP="00D51261">
            <w:pPr>
              <w:ind w:right="-171"/>
              <w:rPr>
                <w:i/>
                <w:sz w:val="20"/>
                <w:szCs w:val="20"/>
              </w:rPr>
            </w:pPr>
            <w:proofErr w:type="spellStart"/>
            <w:r>
              <w:rPr>
                <w:i/>
                <w:sz w:val="20"/>
                <w:szCs w:val="20"/>
              </w:rPr>
              <w:t>Cephalorhynchus</w:t>
            </w:r>
            <w:proofErr w:type="spellEnd"/>
            <w:r>
              <w:rPr>
                <w:i/>
                <w:sz w:val="20"/>
                <w:szCs w:val="20"/>
              </w:rPr>
              <w:t xml:space="preserve"> </w:t>
            </w:r>
            <w:proofErr w:type="spellStart"/>
            <w:r>
              <w:rPr>
                <w:i/>
                <w:sz w:val="20"/>
                <w:szCs w:val="20"/>
              </w:rPr>
              <w:t>commersonii</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89314F2" w14:textId="77777777" w:rsidR="00810A15" w:rsidRPr="00142A18" w:rsidRDefault="00810A15" w:rsidP="00D51261">
            <w:pPr>
              <w:ind w:right="-171"/>
              <w:rPr>
                <w:i/>
                <w:sz w:val="20"/>
                <w:szCs w:val="20"/>
                <w:u w:val="single"/>
                <w:lang w:val="es-ES"/>
              </w:rPr>
            </w:pPr>
            <w:proofErr w:type="spellStart"/>
            <w:r>
              <w:rPr>
                <w:i/>
                <w:sz w:val="20"/>
                <w:szCs w:val="20"/>
              </w:rPr>
              <w:t>Cephalorhynchus</w:t>
            </w:r>
            <w:proofErr w:type="spellEnd"/>
            <w:r>
              <w:rPr>
                <w:i/>
                <w:sz w:val="20"/>
                <w:szCs w:val="20"/>
              </w:rPr>
              <w:t xml:space="preserve"> </w:t>
            </w:r>
            <w:proofErr w:type="spellStart"/>
            <w:r>
              <w:rPr>
                <w:i/>
                <w:sz w:val="20"/>
                <w:szCs w:val="20"/>
              </w:rPr>
              <w:t>commersonii</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976B7F" w14:textId="77777777" w:rsidR="00810A15" w:rsidRPr="003501BD" w:rsidRDefault="00810A15" w:rsidP="00D51261">
            <w:pPr>
              <w:ind w:right="-64"/>
              <w:rPr>
                <w:sz w:val="20"/>
                <w:szCs w:val="20"/>
                <w:u w:val="single"/>
                <w:lang w:val="fr-FR"/>
              </w:rPr>
            </w:pPr>
            <w:r>
              <w:rPr>
                <w:sz w:val="20"/>
                <w:szCs w:val="20"/>
                <w:u w:val="single"/>
                <w:lang w:val="fr-FR"/>
              </w:rPr>
              <w:t>2 sous-espèces :</w:t>
            </w:r>
          </w:p>
          <w:p w14:paraId="5503A9F9" w14:textId="77777777" w:rsidR="00810A15" w:rsidRPr="00810A15" w:rsidRDefault="00810A15" w:rsidP="00D51261">
            <w:pPr>
              <w:ind w:right="-64"/>
              <w:rPr>
                <w:rFonts w:ascii="roboto-regular" w:hAnsi="roboto-regular"/>
                <w:b/>
                <w:i/>
                <w:color w:val="080100"/>
                <w:sz w:val="20"/>
                <w:szCs w:val="20"/>
                <w:lang w:val="fr-FR"/>
              </w:rPr>
            </w:pPr>
            <w:r w:rsidRPr="00810A15">
              <w:rPr>
                <w:rFonts w:ascii="roboto-regular" w:hAnsi="roboto-regular"/>
                <w:b/>
                <w:i/>
                <w:color w:val="080100"/>
                <w:sz w:val="20"/>
                <w:szCs w:val="20"/>
                <w:lang w:val="fr-FR"/>
              </w:rPr>
              <w:t xml:space="preserve">C. c. </w:t>
            </w:r>
            <w:proofErr w:type="spellStart"/>
            <w:r w:rsidRPr="00810A15">
              <w:rPr>
                <w:rFonts w:ascii="roboto-regular" w:hAnsi="roboto-regular"/>
                <w:b/>
                <w:i/>
                <w:color w:val="080100"/>
                <w:sz w:val="20"/>
                <w:szCs w:val="20"/>
                <w:lang w:val="fr-FR"/>
              </w:rPr>
              <w:t>commersonii</w:t>
            </w:r>
            <w:proofErr w:type="spellEnd"/>
            <w:r w:rsidRPr="00810A15">
              <w:rPr>
                <w:rFonts w:ascii="roboto-regular" w:hAnsi="roboto-regular"/>
                <w:b/>
                <w:i/>
                <w:color w:val="080100"/>
                <w:sz w:val="20"/>
                <w:szCs w:val="20"/>
                <w:lang w:val="fr-FR"/>
              </w:rPr>
              <w:t xml:space="preserve"> </w:t>
            </w:r>
          </w:p>
          <w:p w14:paraId="089C9033" w14:textId="77777777" w:rsidR="00810A15" w:rsidRPr="00810A15" w:rsidRDefault="00810A15" w:rsidP="00D51261">
            <w:pPr>
              <w:ind w:right="-64"/>
              <w:rPr>
                <w:sz w:val="20"/>
                <w:szCs w:val="20"/>
                <w:u w:val="single"/>
                <w:lang w:val="fr-FR"/>
              </w:rPr>
            </w:pPr>
            <w:r w:rsidRPr="00810A15">
              <w:rPr>
                <w:rFonts w:ascii="roboto-regular" w:hAnsi="roboto-regular"/>
                <w:i/>
                <w:color w:val="080100"/>
                <w:sz w:val="20"/>
                <w:szCs w:val="20"/>
                <w:lang w:val="fr-FR"/>
              </w:rPr>
              <w:t xml:space="preserve">C. c. </w:t>
            </w:r>
            <w:proofErr w:type="spellStart"/>
            <w:r w:rsidRPr="00810A15">
              <w:rPr>
                <w:rFonts w:ascii="roboto-regular" w:hAnsi="roboto-regular"/>
                <w:i/>
                <w:color w:val="080100"/>
                <w:sz w:val="20"/>
                <w:szCs w:val="20"/>
                <w:lang w:val="fr-FR"/>
              </w:rPr>
              <w:t>kerguelenensis</w:t>
            </w:r>
            <w:proofErr w:type="spellEnd"/>
          </w:p>
        </w:tc>
        <w:tc>
          <w:tcPr>
            <w:tcW w:w="2751" w:type="dxa"/>
            <w:tcBorders>
              <w:top w:val="single" w:sz="6" w:space="0" w:color="auto"/>
              <w:left w:val="single" w:sz="6" w:space="0" w:color="auto"/>
              <w:bottom w:val="single" w:sz="6" w:space="0" w:color="auto"/>
              <w:right w:val="single" w:sz="6" w:space="0" w:color="auto"/>
            </w:tcBorders>
          </w:tcPr>
          <w:p w14:paraId="7954A6BA" w14:textId="77777777" w:rsidR="00810A15" w:rsidRDefault="00810A15" w:rsidP="00D51261">
            <w:pPr>
              <w:ind w:right="364"/>
              <w:rPr>
                <w:rFonts w:eastAsia="Calibri" w:cs="Times New Roman"/>
                <w:kern w:val="2"/>
                <w:sz w:val="20"/>
                <w:szCs w:val="20"/>
                <w:lang w:val="fr-FR"/>
                <w14:ligatures w14:val="standardContextual"/>
              </w:rPr>
            </w:pPr>
            <w:r>
              <w:rPr>
                <w:rFonts w:eastAsia="Calibri" w:cs="Times New Roman"/>
                <w:i/>
                <w:kern w:val="2"/>
                <w:sz w:val="20"/>
                <w:szCs w:val="20"/>
                <w:lang w:val="fr-FR"/>
                <w14:ligatures w14:val="standardContextual"/>
              </w:rPr>
              <w:t xml:space="preserve">C. c. </w:t>
            </w:r>
            <w:proofErr w:type="spellStart"/>
            <w:r>
              <w:rPr>
                <w:rFonts w:eastAsia="Calibri" w:cs="Times New Roman"/>
                <w:i/>
                <w:kern w:val="2"/>
                <w:sz w:val="20"/>
                <w:szCs w:val="20"/>
                <w:lang w:val="fr-FR"/>
                <w14:ligatures w14:val="standardContextual"/>
              </w:rPr>
              <w:t>commersonii</w:t>
            </w:r>
            <w:proofErr w:type="spellEnd"/>
            <w:r>
              <w:rPr>
                <w:rFonts w:eastAsia="Calibri" w:cs="Times New Roman"/>
                <w:kern w:val="2"/>
                <w:sz w:val="20"/>
                <w:szCs w:val="20"/>
                <w:lang w:val="fr-FR"/>
                <w14:ligatures w14:val="standardContextual"/>
              </w:rPr>
              <w:t xml:space="preserve"> considérée comme identique à la liste régionale </w:t>
            </w:r>
          </w:p>
          <w:p w14:paraId="3F8D223C" w14:textId="77777777" w:rsidR="00810A15" w:rsidRPr="00810A15" w:rsidRDefault="00810A15" w:rsidP="00D51261">
            <w:pPr>
              <w:ind w:right="364"/>
              <w:rPr>
                <w:rFonts w:eastAsia="Calibri" w:cs="Times New Roman"/>
                <w:kern w:val="2"/>
                <w:sz w:val="16"/>
                <w:szCs w:val="16"/>
                <w:lang w:val="fr-FR"/>
                <w14:ligatures w14:val="standardContextual"/>
              </w:rPr>
            </w:pPr>
          </w:p>
          <w:p w14:paraId="24672A98" w14:textId="77777777" w:rsidR="00810A15" w:rsidRPr="00C07172" w:rsidRDefault="00810A15" w:rsidP="00D51261">
            <w:pPr>
              <w:ind w:right="364"/>
              <w:rPr>
                <w:rFonts w:eastAsia="Calibri" w:cs="Times New Roman"/>
                <w:i/>
                <w:iCs/>
                <w:kern w:val="2"/>
                <w:sz w:val="20"/>
                <w:szCs w:val="20"/>
                <w:lang w:val="fr-FR"/>
                <w14:ligatures w14:val="standardContextual"/>
              </w:rPr>
            </w:pPr>
            <w:r>
              <w:rPr>
                <w:rFonts w:eastAsia="Calibri" w:cs="Times New Roman"/>
                <w:i/>
                <w:iCs/>
                <w:kern w:val="2"/>
                <w:sz w:val="20"/>
                <w:szCs w:val="20"/>
                <w:lang w:val="fr-FR"/>
                <w14:ligatures w14:val="standardContextual"/>
              </w:rPr>
              <w:t>L'Annexe II pourrait être adaptée</w:t>
            </w:r>
          </w:p>
        </w:tc>
      </w:tr>
      <w:tr w:rsidR="00810A15" w:rsidRPr="002125BA" w14:paraId="7A418FE3" w14:textId="77777777" w:rsidTr="00D51261">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5441FB22" w14:textId="77777777" w:rsidR="00810A15" w:rsidRPr="00E0494B" w:rsidRDefault="00810A15" w:rsidP="00D51261">
            <w:pPr>
              <w:rPr>
                <w:sz w:val="20"/>
                <w:szCs w:val="20"/>
                <w:lang w:val="fr-FR"/>
              </w:rPr>
            </w:pPr>
            <w:r>
              <w:rPr>
                <w:sz w:val="20"/>
                <w:szCs w:val="20"/>
                <w:lang w:val="fr-FR"/>
              </w:rPr>
              <w:t>Dauphin à bosse de l'</w:t>
            </w:r>
            <w:proofErr w:type="spellStart"/>
            <w:r>
              <w:rPr>
                <w:sz w:val="20"/>
                <w:szCs w:val="20"/>
                <w:lang w:val="fr-FR"/>
              </w:rPr>
              <w:t>Indo-Pacifique</w:t>
            </w:r>
            <w:proofErr w:type="spellEnd"/>
            <w:r>
              <w:rPr>
                <w:sz w:val="20"/>
                <w:szCs w:val="20"/>
                <w:lang w:val="fr-FR"/>
              </w:rPr>
              <w:t>, dauphin blanc de Chine</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024C18BA" w14:textId="77777777" w:rsidR="00810A15" w:rsidRPr="00E0494B" w:rsidRDefault="00810A15" w:rsidP="00D51261">
            <w:pPr>
              <w:rPr>
                <w:sz w:val="20"/>
                <w:szCs w:val="20"/>
                <w:lang w:val="fr-FR"/>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3C5D5516" w14:textId="77777777" w:rsidR="00810A15" w:rsidRPr="00E0494B" w:rsidRDefault="00810A15" w:rsidP="00D51261">
            <w:pPr>
              <w:rPr>
                <w:sz w:val="20"/>
                <w:szCs w:val="20"/>
              </w:rPr>
            </w:pPr>
            <w:r>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63960BB4" w14:textId="77777777" w:rsidR="00810A15" w:rsidRPr="00E0494B" w:rsidRDefault="00810A15" w:rsidP="00D51261">
            <w:pPr>
              <w:rPr>
                <w:sz w:val="20"/>
                <w:szCs w:val="20"/>
                <w:lang w:val="fr-FR"/>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0E4BD9A7" w14:textId="77777777" w:rsidR="00810A15" w:rsidRPr="00142A18" w:rsidRDefault="00810A15" w:rsidP="00D51261">
            <w:pPr>
              <w:ind w:left="4" w:hanging="4"/>
              <w:rPr>
                <w:i/>
                <w:sz w:val="20"/>
                <w:szCs w:val="20"/>
              </w:rPr>
            </w:pPr>
            <w:r>
              <w:rPr>
                <w:i/>
                <w:sz w:val="20"/>
                <w:szCs w:val="20"/>
              </w:rPr>
              <w:t>Sousa chinensis</w:t>
            </w:r>
          </w:p>
        </w:tc>
        <w:tc>
          <w:tcPr>
            <w:tcW w:w="1463" w:type="dxa"/>
            <w:tcBorders>
              <w:top w:val="single" w:sz="6" w:space="0" w:color="auto"/>
              <w:left w:val="single" w:sz="6" w:space="0" w:color="auto"/>
              <w:bottom w:val="single" w:sz="6" w:space="0" w:color="auto"/>
              <w:right w:val="single" w:sz="6" w:space="0" w:color="auto"/>
            </w:tcBorders>
          </w:tcPr>
          <w:p w14:paraId="0EE9864E" w14:textId="77777777" w:rsidR="00810A15" w:rsidRDefault="00810A15" w:rsidP="00D51261">
            <w:pPr>
              <w:rPr>
                <w:sz w:val="20"/>
                <w:szCs w:val="20"/>
                <w:lang w:val="fr-FR"/>
              </w:rPr>
            </w:pPr>
            <w:r>
              <w:rPr>
                <w:sz w:val="20"/>
                <w:szCs w:val="20"/>
                <w:lang w:val="fr-FR"/>
              </w:rPr>
              <w:t>Divisé en trois espèces :</w:t>
            </w:r>
          </w:p>
          <w:p w14:paraId="2FD21F60" w14:textId="77777777" w:rsidR="00810A15" w:rsidRPr="00810A15" w:rsidRDefault="00810A15" w:rsidP="00D51261">
            <w:pPr>
              <w:rPr>
                <w:b/>
                <w:i/>
                <w:color w:val="212121"/>
                <w:sz w:val="20"/>
                <w:lang w:val="fr-FR"/>
              </w:rPr>
            </w:pPr>
            <w:r w:rsidRPr="00810A15">
              <w:rPr>
                <w:b/>
                <w:i/>
                <w:color w:val="212121"/>
                <w:sz w:val="20"/>
                <w:lang w:val="fr-FR"/>
              </w:rPr>
              <w:t xml:space="preserve">Sousa </w:t>
            </w:r>
            <w:proofErr w:type="spellStart"/>
            <w:r w:rsidRPr="00810A15">
              <w:rPr>
                <w:b/>
                <w:i/>
                <w:color w:val="212121"/>
                <w:sz w:val="20"/>
                <w:lang w:val="fr-FR"/>
              </w:rPr>
              <w:t>plumbea</w:t>
            </w:r>
            <w:proofErr w:type="spellEnd"/>
            <w:r w:rsidRPr="00810A15">
              <w:rPr>
                <w:b/>
                <w:i/>
                <w:color w:val="212121"/>
                <w:sz w:val="20"/>
                <w:lang w:val="fr-FR"/>
              </w:rPr>
              <w:t xml:space="preserve"> </w:t>
            </w:r>
          </w:p>
          <w:p w14:paraId="2B0A72D4" w14:textId="77777777" w:rsidR="00810A15" w:rsidRPr="007B3F36" w:rsidRDefault="00810A15" w:rsidP="00D51261">
            <w:pPr>
              <w:rPr>
                <w:b/>
                <w:i/>
                <w:color w:val="212121"/>
                <w:sz w:val="20"/>
                <w:szCs w:val="20"/>
                <w:lang w:val="fr-FR"/>
              </w:rPr>
            </w:pPr>
            <w:r>
              <w:rPr>
                <w:b/>
                <w:i/>
                <w:color w:val="212121"/>
                <w:sz w:val="20"/>
                <w:szCs w:val="20"/>
                <w:lang w:val="fr-FR"/>
              </w:rPr>
              <w:t xml:space="preserve">Sousa </w:t>
            </w:r>
            <w:proofErr w:type="spellStart"/>
            <w:r>
              <w:rPr>
                <w:rFonts w:cs="Arial"/>
                <w:b/>
                <w:i/>
                <w:color w:val="212121"/>
                <w:sz w:val="20"/>
                <w:szCs w:val="20"/>
                <w:lang w:val="fr-FR"/>
              </w:rPr>
              <w:t>chinensis</w:t>
            </w:r>
            <w:proofErr w:type="spellEnd"/>
            <w:r>
              <w:rPr>
                <w:b/>
                <w:i/>
                <w:color w:val="212121"/>
                <w:sz w:val="20"/>
                <w:szCs w:val="20"/>
                <w:lang w:val="fr-FR"/>
              </w:rPr>
              <w:t xml:space="preserve"> </w:t>
            </w:r>
          </w:p>
          <w:p w14:paraId="4AE3F765" w14:textId="77777777" w:rsidR="00810A15" w:rsidRPr="007B3F36" w:rsidRDefault="00810A15" w:rsidP="00D51261">
            <w:pPr>
              <w:rPr>
                <w:sz w:val="20"/>
                <w:szCs w:val="20"/>
                <w:lang w:val="es-ES"/>
              </w:rPr>
            </w:pPr>
            <w:r>
              <w:rPr>
                <w:b/>
                <w:i/>
                <w:color w:val="212121"/>
                <w:sz w:val="20"/>
                <w:szCs w:val="20"/>
                <w:lang w:val="es-ES"/>
              </w:rPr>
              <w:t xml:space="preserve">Sousa </w:t>
            </w:r>
            <w:proofErr w:type="spellStart"/>
            <w:r>
              <w:rPr>
                <w:b/>
                <w:i/>
                <w:color w:val="212121"/>
                <w:sz w:val="20"/>
                <w:szCs w:val="20"/>
                <w:lang w:val="es-ES"/>
              </w:rPr>
              <w:t>sahulensis</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696C95E" w14:textId="77777777" w:rsidR="00810A15" w:rsidRDefault="00810A15" w:rsidP="00D51261">
            <w:pPr>
              <w:rPr>
                <w:sz w:val="20"/>
                <w:szCs w:val="20"/>
                <w:lang w:val="fr-FR"/>
              </w:rPr>
            </w:pPr>
            <w:r>
              <w:rPr>
                <w:sz w:val="20"/>
                <w:szCs w:val="20"/>
                <w:lang w:val="fr-FR"/>
              </w:rPr>
              <w:t>Divisé en trois espèces :</w:t>
            </w:r>
          </w:p>
          <w:p w14:paraId="01B7CF4D" w14:textId="77777777" w:rsidR="00810A15" w:rsidRPr="00810A15" w:rsidRDefault="00810A15" w:rsidP="00D51261">
            <w:pPr>
              <w:rPr>
                <w:rFonts w:cs="Arial"/>
                <w:b/>
                <w:i/>
                <w:color w:val="212121"/>
                <w:sz w:val="20"/>
                <w:szCs w:val="20"/>
                <w:lang w:val="fr-FR"/>
              </w:rPr>
            </w:pPr>
            <w:r w:rsidRPr="00810A15">
              <w:rPr>
                <w:rFonts w:cs="Arial"/>
                <w:b/>
                <w:i/>
                <w:color w:val="212121"/>
                <w:sz w:val="20"/>
                <w:szCs w:val="20"/>
                <w:lang w:val="fr-FR"/>
              </w:rPr>
              <w:t xml:space="preserve">Sousa </w:t>
            </w:r>
            <w:proofErr w:type="spellStart"/>
            <w:r w:rsidRPr="00810A15">
              <w:rPr>
                <w:rFonts w:cs="Arial"/>
                <w:b/>
                <w:i/>
                <w:color w:val="212121"/>
                <w:sz w:val="20"/>
                <w:szCs w:val="20"/>
                <w:lang w:val="fr-FR"/>
              </w:rPr>
              <w:t>plumbea</w:t>
            </w:r>
            <w:proofErr w:type="spellEnd"/>
            <w:r w:rsidRPr="00810A15">
              <w:rPr>
                <w:rFonts w:cs="Arial"/>
                <w:b/>
                <w:i/>
                <w:color w:val="212121"/>
                <w:sz w:val="20"/>
                <w:szCs w:val="20"/>
                <w:lang w:val="fr-FR"/>
              </w:rPr>
              <w:t xml:space="preserve"> </w:t>
            </w:r>
          </w:p>
          <w:p w14:paraId="039880A3" w14:textId="77777777" w:rsidR="00810A15" w:rsidRPr="00142A18" w:rsidRDefault="00810A15" w:rsidP="00D51261">
            <w:pPr>
              <w:rPr>
                <w:rFonts w:cs="Arial"/>
                <w:b/>
                <w:i/>
                <w:color w:val="212121"/>
                <w:sz w:val="20"/>
                <w:szCs w:val="20"/>
              </w:rPr>
            </w:pPr>
            <w:r>
              <w:rPr>
                <w:rFonts w:cs="Arial"/>
                <w:b/>
                <w:i/>
                <w:color w:val="212121"/>
                <w:sz w:val="20"/>
                <w:szCs w:val="20"/>
              </w:rPr>
              <w:t xml:space="preserve">Sousa chinensis </w:t>
            </w:r>
          </w:p>
          <w:p w14:paraId="0C8BA185" w14:textId="77777777" w:rsidR="00810A15" w:rsidRPr="00E0494B" w:rsidRDefault="00810A15" w:rsidP="00D51261">
            <w:pPr>
              <w:rPr>
                <w:sz w:val="20"/>
                <w:szCs w:val="20"/>
              </w:rPr>
            </w:pPr>
            <w:r>
              <w:rPr>
                <w:rFonts w:cs="Arial"/>
                <w:b/>
                <w:i/>
                <w:color w:val="212121"/>
                <w:sz w:val="20"/>
                <w:szCs w:val="20"/>
              </w:rPr>
              <w:t xml:space="preserve">Sousa </w:t>
            </w:r>
            <w:proofErr w:type="spellStart"/>
            <w:r>
              <w:rPr>
                <w:rFonts w:cs="Arial"/>
                <w:b/>
                <w:i/>
                <w:color w:val="212121"/>
                <w:sz w:val="20"/>
                <w:szCs w:val="20"/>
              </w:rPr>
              <w:t>sahulensis</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C02D8B" w14:textId="77777777" w:rsidR="00810A15" w:rsidRDefault="00810A15" w:rsidP="00D51261">
            <w:pPr>
              <w:rPr>
                <w:sz w:val="20"/>
                <w:szCs w:val="20"/>
                <w:lang w:val="fr-FR"/>
              </w:rPr>
            </w:pPr>
            <w:r>
              <w:rPr>
                <w:sz w:val="20"/>
                <w:szCs w:val="20"/>
                <w:lang w:val="fr-FR"/>
              </w:rPr>
              <w:t>Divisé en trois espèces :</w:t>
            </w:r>
          </w:p>
          <w:p w14:paraId="5EA00DF5" w14:textId="77777777" w:rsidR="00810A15" w:rsidRPr="00810A15" w:rsidRDefault="00810A15" w:rsidP="00D51261">
            <w:pPr>
              <w:rPr>
                <w:rFonts w:cs="Arial"/>
                <w:b/>
                <w:i/>
                <w:color w:val="212121"/>
                <w:sz w:val="20"/>
                <w:szCs w:val="20"/>
                <w:lang w:val="fr-FR"/>
              </w:rPr>
            </w:pPr>
            <w:r w:rsidRPr="00810A15">
              <w:rPr>
                <w:rFonts w:cs="Arial"/>
                <w:b/>
                <w:i/>
                <w:color w:val="212121"/>
                <w:sz w:val="20"/>
                <w:szCs w:val="20"/>
                <w:lang w:val="fr-FR"/>
              </w:rPr>
              <w:t xml:space="preserve">Sousa </w:t>
            </w:r>
            <w:proofErr w:type="spellStart"/>
            <w:r w:rsidRPr="00810A15">
              <w:rPr>
                <w:rFonts w:cs="Arial"/>
                <w:b/>
                <w:i/>
                <w:color w:val="212121"/>
                <w:sz w:val="20"/>
                <w:szCs w:val="20"/>
                <w:lang w:val="fr-FR"/>
              </w:rPr>
              <w:t>plumbea</w:t>
            </w:r>
            <w:proofErr w:type="spellEnd"/>
            <w:r w:rsidRPr="00810A15">
              <w:rPr>
                <w:rFonts w:cs="Arial"/>
                <w:b/>
                <w:i/>
                <w:color w:val="212121"/>
                <w:sz w:val="20"/>
                <w:szCs w:val="20"/>
                <w:lang w:val="fr-FR"/>
              </w:rPr>
              <w:t xml:space="preserve"> </w:t>
            </w:r>
          </w:p>
          <w:p w14:paraId="3D44487F" w14:textId="77777777" w:rsidR="00810A15" w:rsidRPr="00142A18" w:rsidRDefault="00810A15" w:rsidP="00D51261">
            <w:pPr>
              <w:rPr>
                <w:rFonts w:cs="Arial"/>
                <w:b/>
                <w:i/>
                <w:color w:val="212121"/>
                <w:sz w:val="20"/>
                <w:szCs w:val="20"/>
              </w:rPr>
            </w:pPr>
            <w:r>
              <w:rPr>
                <w:rFonts w:cs="Arial"/>
                <w:b/>
                <w:i/>
                <w:color w:val="212121"/>
                <w:sz w:val="20"/>
                <w:szCs w:val="20"/>
              </w:rPr>
              <w:t xml:space="preserve">Sousa chinensis </w:t>
            </w:r>
          </w:p>
          <w:p w14:paraId="7F9DF777" w14:textId="77777777" w:rsidR="00810A15" w:rsidRPr="00A435AA" w:rsidRDefault="00810A15" w:rsidP="00D51261">
            <w:pPr>
              <w:rPr>
                <w:sz w:val="20"/>
                <w:szCs w:val="20"/>
                <w:u w:val="single"/>
              </w:rPr>
            </w:pPr>
            <w:r>
              <w:rPr>
                <w:rFonts w:cs="Arial"/>
                <w:b/>
                <w:i/>
                <w:color w:val="212121"/>
                <w:sz w:val="20"/>
                <w:szCs w:val="20"/>
              </w:rPr>
              <w:t xml:space="preserve">Sousa </w:t>
            </w:r>
            <w:proofErr w:type="spellStart"/>
            <w:r>
              <w:rPr>
                <w:rFonts w:cs="Arial"/>
                <w:b/>
                <w:i/>
                <w:color w:val="212121"/>
                <w:sz w:val="20"/>
                <w:szCs w:val="20"/>
              </w:rPr>
              <w:t>sahulensis</w:t>
            </w:r>
            <w:proofErr w:type="spellEnd"/>
          </w:p>
        </w:tc>
        <w:tc>
          <w:tcPr>
            <w:tcW w:w="2751" w:type="dxa"/>
            <w:tcBorders>
              <w:top w:val="single" w:sz="6" w:space="0" w:color="auto"/>
              <w:left w:val="single" w:sz="6" w:space="0" w:color="auto"/>
              <w:bottom w:val="single" w:sz="6" w:space="0" w:color="auto"/>
              <w:right w:val="single" w:sz="6" w:space="0" w:color="auto"/>
            </w:tcBorders>
          </w:tcPr>
          <w:p w14:paraId="6A2B8D6F" w14:textId="77777777" w:rsidR="00810A15" w:rsidRPr="00810A15" w:rsidRDefault="00810A15" w:rsidP="00D51261">
            <w:pPr>
              <w:ind w:right="364"/>
              <w:rPr>
                <w:rFonts w:eastAsia="Calibri" w:cs="Times New Roman"/>
                <w:kern w:val="2"/>
                <w:sz w:val="19"/>
                <w:szCs w:val="19"/>
                <w:lang w:val="fr-FR"/>
                <w14:ligatures w14:val="standardContextual"/>
              </w:rPr>
            </w:pPr>
            <w:r w:rsidRPr="00810A15">
              <w:rPr>
                <w:rFonts w:eastAsia="Calibri" w:cs="Times New Roman"/>
                <w:i/>
                <w:kern w:val="2"/>
                <w:sz w:val="19"/>
                <w:szCs w:val="19"/>
                <w:lang w:val="fr-FR"/>
                <w14:ligatures w14:val="standardContextual"/>
              </w:rPr>
              <w:t xml:space="preserve">Sousa </w:t>
            </w:r>
            <w:proofErr w:type="spellStart"/>
            <w:r w:rsidRPr="00810A15">
              <w:rPr>
                <w:rFonts w:eastAsia="Calibri" w:cs="Times New Roman"/>
                <w:i/>
                <w:kern w:val="2"/>
                <w:sz w:val="19"/>
                <w:szCs w:val="19"/>
                <w:lang w:val="fr-FR"/>
                <w14:ligatures w14:val="standardContextual"/>
              </w:rPr>
              <w:t>chinensis</w:t>
            </w:r>
            <w:proofErr w:type="spellEnd"/>
            <w:r w:rsidRPr="00810A15">
              <w:rPr>
                <w:rFonts w:eastAsia="Calibri" w:cs="Times New Roman"/>
                <w:kern w:val="2"/>
                <w:sz w:val="19"/>
                <w:szCs w:val="19"/>
                <w:lang w:val="fr-FR"/>
                <w14:ligatures w14:val="standardContextual"/>
              </w:rPr>
              <w:t xml:space="preserve"> a été divisé en trois espèces :</w:t>
            </w:r>
          </w:p>
          <w:p w14:paraId="23DDC93F" w14:textId="77777777" w:rsidR="00810A15" w:rsidRPr="00810A15" w:rsidRDefault="00810A15" w:rsidP="00D51261">
            <w:pPr>
              <w:ind w:right="364"/>
              <w:rPr>
                <w:rFonts w:eastAsia="Calibri" w:cs="Times New Roman"/>
                <w:kern w:val="2"/>
                <w:sz w:val="19"/>
                <w:szCs w:val="19"/>
                <w:lang w:val="fr-FR"/>
                <w14:ligatures w14:val="standardContextual"/>
              </w:rPr>
            </w:pPr>
            <w:r w:rsidRPr="00810A15">
              <w:rPr>
                <w:rFonts w:eastAsia="Calibri" w:cs="Times New Roman"/>
                <w:b/>
                <w:i/>
                <w:kern w:val="2"/>
                <w:sz w:val="19"/>
                <w:szCs w:val="19"/>
                <w:lang w:val="fr-FR"/>
                <w14:ligatures w14:val="standardContextual"/>
              </w:rPr>
              <w:t xml:space="preserve">S. </w:t>
            </w:r>
            <w:proofErr w:type="spellStart"/>
            <w:r w:rsidRPr="00810A15">
              <w:rPr>
                <w:rFonts w:eastAsia="Calibri" w:cs="Times New Roman"/>
                <w:b/>
                <w:i/>
                <w:kern w:val="2"/>
                <w:sz w:val="19"/>
                <w:szCs w:val="19"/>
                <w:lang w:val="fr-FR"/>
                <w14:ligatures w14:val="standardContextual"/>
              </w:rPr>
              <w:t>plumbea</w:t>
            </w:r>
            <w:proofErr w:type="spellEnd"/>
            <w:r w:rsidRPr="00810A15">
              <w:rPr>
                <w:rFonts w:eastAsia="Calibri" w:cs="Times New Roman"/>
                <w:b/>
                <w:bCs/>
                <w:kern w:val="2"/>
                <w:sz w:val="19"/>
                <w:szCs w:val="19"/>
                <w:lang w:val="fr-FR"/>
                <w14:ligatures w14:val="standardContextual"/>
              </w:rPr>
              <w:t xml:space="preserve"> </w:t>
            </w:r>
            <w:r w:rsidRPr="00810A15">
              <w:rPr>
                <w:rFonts w:eastAsia="Calibri" w:cs="Times New Roman"/>
                <w:kern w:val="2"/>
                <w:sz w:val="19"/>
                <w:szCs w:val="19"/>
                <w:lang w:val="fr-FR"/>
                <w14:ligatures w14:val="standardContextual"/>
              </w:rPr>
              <w:t>(Dauphin à bosse de l'océan Indien)</w:t>
            </w:r>
          </w:p>
          <w:p w14:paraId="0E7E3B46" w14:textId="77777777" w:rsidR="00810A15" w:rsidRPr="00810A15" w:rsidRDefault="00810A15" w:rsidP="00D51261">
            <w:pPr>
              <w:ind w:right="364"/>
              <w:rPr>
                <w:rFonts w:eastAsia="Calibri" w:cs="Times New Roman"/>
                <w:kern w:val="2"/>
                <w:sz w:val="19"/>
                <w:szCs w:val="19"/>
                <w:lang w:val="fr-FR"/>
                <w14:ligatures w14:val="standardContextual"/>
              </w:rPr>
            </w:pPr>
            <w:r w:rsidRPr="00810A15">
              <w:rPr>
                <w:rFonts w:eastAsia="Calibri" w:cs="Times New Roman"/>
                <w:b/>
                <w:i/>
                <w:kern w:val="2"/>
                <w:sz w:val="19"/>
                <w:szCs w:val="19"/>
                <w:lang w:val="fr-FR"/>
                <w14:ligatures w14:val="standardContextual"/>
              </w:rPr>
              <w:t xml:space="preserve">S. </w:t>
            </w:r>
            <w:proofErr w:type="spellStart"/>
            <w:r w:rsidRPr="00810A15">
              <w:rPr>
                <w:rFonts w:eastAsia="Calibri" w:cs="Times New Roman"/>
                <w:b/>
                <w:i/>
                <w:kern w:val="2"/>
                <w:sz w:val="19"/>
                <w:szCs w:val="19"/>
                <w:lang w:val="fr-FR"/>
                <w14:ligatures w14:val="standardContextual"/>
              </w:rPr>
              <w:t>chinensis</w:t>
            </w:r>
            <w:proofErr w:type="spellEnd"/>
            <w:r w:rsidRPr="00810A15">
              <w:rPr>
                <w:rFonts w:eastAsia="Calibri" w:cs="Times New Roman"/>
                <w:b/>
                <w:bCs/>
                <w:kern w:val="2"/>
                <w:sz w:val="19"/>
                <w:szCs w:val="19"/>
                <w:lang w:val="fr-FR"/>
                <w14:ligatures w14:val="standardContextual"/>
              </w:rPr>
              <w:t xml:space="preserve"> </w:t>
            </w:r>
            <w:r w:rsidRPr="00810A15">
              <w:rPr>
                <w:rFonts w:eastAsia="Calibri" w:cs="Times New Roman"/>
                <w:kern w:val="2"/>
                <w:sz w:val="19"/>
                <w:szCs w:val="19"/>
                <w:lang w:val="fr-FR"/>
                <w14:ligatures w14:val="standardContextual"/>
              </w:rPr>
              <w:t>(Dauphin à bosse de l'</w:t>
            </w:r>
            <w:proofErr w:type="spellStart"/>
            <w:r w:rsidRPr="00810A15">
              <w:rPr>
                <w:rFonts w:eastAsia="Calibri" w:cs="Times New Roman"/>
                <w:kern w:val="2"/>
                <w:sz w:val="19"/>
                <w:szCs w:val="19"/>
                <w:lang w:val="fr-FR"/>
                <w14:ligatures w14:val="standardContextual"/>
              </w:rPr>
              <w:t>Indo-Pacifique</w:t>
            </w:r>
            <w:proofErr w:type="spellEnd"/>
            <w:r w:rsidRPr="00810A15">
              <w:rPr>
                <w:rFonts w:eastAsia="Calibri" w:cs="Times New Roman"/>
                <w:kern w:val="2"/>
                <w:sz w:val="19"/>
                <w:szCs w:val="19"/>
                <w:lang w:val="fr-FR"/>
                <w14:ligatures w14:val="standardContextual"/>
              </w:rPr>
              <w:t>)</w:t>
            </w:r>
          </w:p>
          <w:p w14:paraId="1BB4A78D" w14:textId="77777777" w:rsidR="00810A15" w:rsidRPr="00810A15" w:rsidRDefault="00810A15" w:rsidP="00D51261">
            <w:pPr>
              <w:ind w:right="364"/>
              <w:rPr>
                <w:rFonts w:eastAsia="Calibri" w:cs="Times New Roman"/>
                <w:kern w:val="2"/>
                <w:sz w:val="19"/>
                <w:szCs w:val="19"/>
                <w:lang w:val="fr-FR"/>
                <w14:ligatures w14:val="standardContextual"/>
              </w:rPr>
            </w:pPr>
            <w:r w:rsidRPr="00810A15">
              <w:rPr>
                <w:rFonts w:eastAsia="Calibri" w:cs="Times New Roman"/>
                <w:b/>
                <w:i/>
                <w:kern w:val="2"/>
                <w:sz w:val="19"/>
                <w:szCs w:val="19"/>
                <w:lang w:val="fr-FR"/>
                <w14:ligatures w14:val="standardContextual"/>
              </w:rPr>
              <w:t xml:space="preserve">S. </w:t>
            </w:r>
            <w:proofErr w:type="spellStart"/>
            <w:r w:rsidRPr="00810A15">
              <w:rPr>
                <w:rFonts w:eastAsia="Calibri" w:cs="Times New Roman"/>
                <w:b/>
                <w:i/>
                <w:kern w:val="2"/>
                <w:sz w:val="19"/>
                <w:szCs w:val="19"/>
                <w:lang w:val="fr-FR"/>
                <w14:ligatures w14:val="standardContextual"/>
              </w:rPr>
              <w:t>sahulensis</w:t>
            </w:r>
            <w:proofErr w:type="spellEnd"/>
            <w:r w:rsidRPr="00810A15">
              <w:rPr>
                <w:rFonts w:eastAsia="Calibri" w:cs="Times New Roman"/>
                <w:b/>
                <w:bCs/>
                <w:kern w:val="2"/>
                <w:sz w:val="19"/>
                <w:szCs w:val="19"/>
                <w:lang w:val="fr-FR"/>
                <w14:ligatures w14:val="standardContextual"/>
              </w:rPr>
              <w:t xml:space="preserve"> </w:t>
            </w:r>
            <w:r w:rsidRPr="00810A15">
              <w:rPr>
                <w:rFonts w:eastAsia="Calibri" w:cs="Times New Roman"/>
                <w:kern w:val="2"/>
                <w:sz w:val="19"/>
                <w:szCs w:val="19"/>
                <w:lang w:val="fr-FR"/>
                <w14:ligatures w14:val="standardContextual"/>
              </w:rPr>
              <w:t>(Dauphin à bosse australien)</w:t>
            </w:r>
          </w:p>
          <w:p w14:paraId="7C8C8BC2" w14:textId="77777777" w:rsidR="00810A15" w:rsidRPr="00810A15" w:rsidRDefault="00810A15" w:rsidP="00D51261">
            <w:pPr>
              <w:ind w:right="364"/>
              <w:rPr>
                <w:rFonts w:eastAsia="Calibri" w:cs="Times New Roman"/>
                <w:kern w:val="2"/>
                <w:sz w:val="19"/>
                <w:szCs w:val="19"/>
                <w:lang w:val="fr-FR"/>
                <w14:ligatures w14:val="standardContextual"/>
              </w:rPr>
            </w:pPr>
          </w:p>
          <w:p w14:paraId="36DA92E1" w14:textId="77777777" w:rsidR="00810A15" w:rsidRPr="00810A15" w:rsidRDefault="00810A15" w:rsidP="00810A15">
            <w:pPr>
              <w:ind w:right="363"/>
              <w:rPr>
                <w:rFonts w:eastAsia="Calibri" w:cs="Times New Roman"/>
                <w:i/>
                <w:iCs/>
                <w:kern w:val="2"/>
                <w:sz w:val="19"/>
                <w:szCs w:val="19"/>
                <w:lang w:val="fr-FR"/>
                <w14:ligatures w14:val="standardContextual"/>
              </w:rPr>
            </w:pPr>
            <w:r w:rsidRPr="00810A15">
              <w:rPr>
                <w:rFonts w:eastAsia="Calibri" w:cs="Times New Roman"/>
                <w:i/>
                <w:iCs/>
                <w:kern w:val="2"/>
                <w:sz w:val="19"/>
                <w:szCs w:val="19"/>
                <w:lang w:val="fr-FR"/>
                <w14:ligatures w14:val="standardContextual"/>
              </w:rPr>
              <w:t>Il est proposé de modifier l'Annexe II pour y inclure les trois espèces</w:t>
            </w:r>
          </w:p>
        </w:tc>
      </w:tr>
      <w:tr w:rsidR="00810A15" w:rsidRPr="002125BA" w14:paraId="705D52BB" w14:textId="77777777" w:rsidTr="00D51261">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4039E29D" w14:textId="77777777" w:rsidR="00810A15" w:rsidRPr="00E0494B" w:rsidRDefault="00810A15" w:rsidP="00D51261">
            <w:pPr>
              <w:rPr>
                <w:sz w:val="20"/>
                <w:szCs w:val="20"/>
                <w:lang w:val="fr-FR"/>
              </w:rPr>
            </w:pPr>
            <w:r>
              <w:rPr>
                <w:sz w:val="20"/>
                <w:szCs w:val="20"/>
                <w:lang w:val="fr-FR"/>
              </w:rPr>
              <w:lastRenderedPageBreak/>
              <w:t>Grand dauphin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07B7714A" w14:textId="77777777" w:rsidR="00810A15" w:rsidRPr="00E0494B" w:rsidRDefault="00810A15" w:rsidP="00D51261">
            <w:pPr>
              <w:rPr>
                <w:sz w:val="20"/>
                <w:szCs w:val="20"/>
                <w:lang w:val="fr-FR"/>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2381C59A" w14:textId="77777777" w:rsidR="00810A15" w:rsidRPr="00E0494B" w:rsidRDefault="00810A15" w:rsidP="00D51261">
            <w:pPr>
              <w:rPr>
                <w:sz w:val="20"/>
                <w:szCs w:val="20"/>
              </w:rPr>
            </w:pPr>
            <w:r>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448674BE" w14:textId="77777777" w:rsidR="00810A15" w:rsidRPr="00E0494B" w:rsidRDefault="00810A15" w:rsidP="00D51261">
            <w:pPr>
              <w:rPr>
                <w:sz w:val="20"/>
                <w:szCs w:val="20"/>
                <w:lang w:val="fr-FR"/>
              </w:rPr>
            </w:pPr>
            <w:r>
              <w:rPr>
                <w:sz w:val="20"/>
                <w:szCs w:val="20"/>
                <w:lang w:val="fr-FR"/>
              </w:rPr>
              <w:t>Populations de la mer du Nord, de la mer Baltique, de la mer Méditerranée et de la mer Noire dans l'Annexe II</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75398805" w14:textId="77777777" w:rsidR="00810A15" w:rsidRPr="00E0494B" w:rsidRDefault="00810A15" w:rsidP="00D51261">
            <w:pPr>
              <w:ind w:left="4" w:hanging="4"/>
              <w:rPr>
                <w:sz w:val="20"/>
                <w:szCs w:val="20"/>
              </w:rPr>
            </w:pPr>
            <w:r>
              <w:rPr>
                <w:sz w:val="20"/>
                <w:szCs w:val="20"/>
              </w:rPr>
              <w:t xml:space="preserve">Tursiops </w:t>
            </w:r>
            <w:proofErr w:type="spellStart"/>
            <w:r>
              <w:rPr>
                <w:sz w:val="20"/>
                <w:szCs w:val="20"/>
              </w:rPr>
              <w:t>truncatus</w:t>
            </w:r>
            <w:proofErr w:type="spellEnd"/>
          </w:p>
        </w:tc>
        <w:tc>
          <w:tcPr>
            <w:tcW w:w="1463" w:type="dxa"/>
            <w:tcBorders>
              <w:top w:val="single" w:sz="6" w:space="0" w:color="auto"/>
              <w:left w:val="single" w:sz="6" w:space="0" w:color="auto"/>
              <w:bottom w:val="single" w:sz="6" w:space="0" w:color="auto"/>
              <w:right w:val="single" w:sz="6" w:space="0" w:color="auto"/>
            </w:tcBorders>
          </w:tcPr>
          <w:p w14:paraId="3B241058" w14:textId="77777777" w:rsidR="00810A15" w:rsidRPr="00002803" w:rsidRDefault="00810A15" w:rsidP="00D51261">
            <w:pPr>
              <w:rPr>
                <w:sz w:val="20"/>
                <w:szCs w:val="20"/>
              </w:rPr>
            </w:pPr>
            <w:r>
              <w:rPr>
                <w:sz w:val="20"/>
                <w:szCs w:val="20"/>
              </w:rPr>
              <w:t xml:space="preserve">Tursiops </w:t>
            </w:r>
            <w:proofErr w:type="spellStart"/>
            <w:r>
              <w:rPr>
                <w:sz w:val="20"/>
                <w:szCs w:val="20"/>
              </w:rPr>
              <w:t>truncatus</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193C26D" w14:textId="77777777" w:rsidR="00810A15" w:rsidRPr="00810A15" w:rsidRDefault="00810A15" w:rsidP="00D51261">
            <w:pPr>
              <w:rPr>
                <w:i/>
                <w:sz w:val="20"/>
                <w:szCs w:val="20"/>
                <w:lang w:val="fr-FR"/>
              </w:rPr>
            </w:pPr>
            <w:proofErr w:type="spellStart"/>
            <w:r w:rsidRPr="00810A15">
              <w:rPr>
                <w:i/>
                <w:sz w:val="20"/>
                <w:szCs w:val="20"/>
                <w:lang w:val="fr-FR"/>
              </w:rPr>
              <w:t>Tursiops</w:t>
            </w:r>
            <w:proofErr w:type="spellEnd"/>
            <w:r w:rsidRPr="00810A15">
              <w:rPr>
                <w:i/>
                <w:sz w:val="20"/>
                <w:szCs w:val="20"/>
                <w:lang w:val="fr-FR"/>
              </w:rPr>
              <w:t xml:space="preserve"> </w:t>
            </w:r>
            <w:proofErr w:type="spellStart"/>
            <w:r w:rsidRPr="00810A15">
              <w:rPr>
                <w:i/>
                <w:sz w:val="20"/>
                <w:szCs w:val="20"/>
                <w:lang w:val="fr-FR"/>
              </w:rPr>
              <w:t>truncatus</w:t>
            </w:r>
            <w:proofErr w:type="spellEnd"/>
          </w:p>
          <w:p w14:paraId="4C96D438" w14:textId="77777777" w:rsidR="00810A15" w:rsidRPr="00002803" w:rsidRDefault="00810A15" w:rsidP="00D51261">
            <w:pPr>
              <w:rPr>
                <w:sz w:val="20"/>
                <w:szCs w:val="20"/>
                <w:u w:val="single"/>
                <w:lang w:val="fr-FR"/>
              </w:rPr>
            </w:pPr>
          </w:p>
          <w:p w14:paraId="515855AA" w14:textId="77777777" w:rsidR="00810A15" w:rsidRPr="00002803" w:rsidRDefault="00810A15" w:rsidP="00D51261">
            <w:pPr>
              <w:rPr>
                <w:sz w:val="20"/>
                <w:szCs w:val="20"/>
                <w:u w:val="single"/>
                <w:lang w:val="fr-FR"/>
              </w:rPr>
            </w:pPr>
            <w:r>
              <w:rPr>
                <w:sz w:val="20"/>
                <w:szCs w:val="20"/>
                <w:u w:val="single"/>
                <w:lang w:val="fr-FR"/>
              </w:rPr>
              <w:t>3 sous-espèces :</w:t>
            </w:r>
          </w:p>
          <w:p w14:paraId="44DB351F" w14:textId="77777777" w:rsidR="00810A15" w:rsidRPr="00810A15" w:rsidRDefault="00810A15" w:rsidP="00D51261">
            <w:pPr>
              <w:rPr>
                <w:b/>
                <w:i/>
                <w:sz w:val="20"/>
                <w:szCs w:val="20"/>
                <w:lang w:val="fr-FR"/>
              </w:rPr>
            </w:pPr>
            <w:r w:rsidRPr="00810A15">
              <w:rPr>
                <w:b/>
                <w:i/>
                <w:sz w:val="20"/>
                <w:szCs w:val="20"/>
                <w:lang w:val="fr-FR"/>
              </w:rPr>
              <w:t xml:space="preserve">T. t. </w:t>
            </w:r>
            <w:proofErr w:type="spellStart"/>
            <w:r w:rsidRPr="00810A15">
              <w:rPr>
                <w:b/>
                <w:i/>
                <w:sz w:val="20"/>
                <w:szCs w:val="20"/>
                <w:lang w:val="fr-FR"/>
              </w:rPr>
              <w:t>ponticus</w:t>
            </w:r>
            <w:proofErr w:type="spellEnd"/>
            <w:r w:rsidRPr="00810A15">
              <w:rPr>
                <w:b/>
                <w:i/>
                <w:sz w:val="20"/>
                <w:szCs w:val="20"/>
                <w:lang w:val="fr-FR"/>
              </w:rPr>
              <w:t xml:space="preserve"> </w:t>
            </w:r>
          </w:p>
          <w:p w14:paraId="2891C25A" w14:textId="77777777" w:rsidR="00810A15" w:rsidRPr="009E5502" w:rsidRDefault="00810A15" w:rsidP="00D51261">
            <w:pPr>
              <w:rPr>
                <w:i/>
                <w:sz w:val="20"/>
                <w:szCs w:val="20"/>
              </w:rPr>
            </w:pPr>
            <w:r>
              <w:rPr>
                <w:i/>
                <w:sz w:val="20"/>
                <w:szCs w:val="20"/>
              </w:rPr>
              <w:t xml:space="preserve">T. t. </w:t>
            </w:r>
            <w:proofErr w:type="spellStart"/>
            <w:r>
              <w:rPr>
                <w:i/>
                <w:sz w:val="20"/>
                <w:szCs w:val="20"/>
              </w:rPr>
              <w:t>gephyreus</w:t>
            </w:r>
            <w:proofErr w:type="spellEnd"/>
          </w:p>
          <w:p w14:paraId="7AD9B33C" w14:textId="77777777" w:rsidR="00810A15" w:rsidRPr="00002803" w:rsidRDefault="00810A15" w:rsidP="00D51261">
            <w:pPr>
              <w:rPr>
                <w:sz w:val="20"/>
                <w:szCs w:val="20"/>
              </w:rPr>
            </w:pPr>
            <w:r>
              <w:rPr>
                <w:i/>
                <w:sz w:val="20"/>
                <w:szCs w:val="20"/>
              </w:rPr>
              <w:t xml:space="preserve">T. t. </w:t>
            </w:r>
            <w:proofErr w:type="spellStart"/>
            <w:r>
              <w:rPr>
                <w:i/>
                <w:sz w:val="20"/>
                <w:szCs w:val="20"/>
              </w:rPr>
              <w:t>truncatus</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BDFC03" w14:textId="77777777" w:rsidR="00810A15" w:rsidRPr="00810A15" w:rsidRDefault="00810A15" w:rsidP="00D51261">
            <w:pPr>
              <w:rPr>
                <w:i/>
                <w:sz w:val="20"/>
                <w:szCs w:val="20"/>
                <w:lang w:val="fr-FR"/>
              </w:rPr>
            </w:pPr>
            <w:proofErr w:type="spellStart"/>
            <w:r w:rsidRPr="00810A15">
              <w:rPr>
                <w:i/>
                <w:sz w:val="20"/>
                <w:szCs w:val="20"/>
                <w:lang w:val="fr-FR"/>
              </w:rPr>
              <w:t>Tursiops</w:t>
            </w:r>
            <w:proofErr w:type="spellEnd"/>
            <w:r w:rsidRPr="00810A15">
              <w:rPr>
                <w:i/>
                <w:sz w:val="20"/>
                <w:szCs w:val="20"/>
                <w:lang w:val="fr-FR"/>
              </w:rPr>
              <w:t xml:space="preserve"> </w:t>
            </w:r>
            <w:proofErr w:type="spellStart"/>
            <w:r w:rsidRPr="00810A15">
              <w:rPr>
                <w:i/>
                <w:sz w:val="20"/>
                <w:szCs w:val="20"/>
                <w:lang w:val="fr-FR"/>
              </w:rPr>
              <w:t>truncatus</w:t>
            </w:r>
            <w:proofErr w:type="spellEnd"/>
          </w:p>
          <w:p w14:paraId="6F79B243" w14:textId="77777777" w:rsidR="00810A15" w:rsidRPr="00002803" w:rsidRDefault="00810A15" w:rsidP="00D51261">
            <w:pPr>
              <w:rPr>
                <w:sz w:val="20"/>
                <w:szCs w:val="20"/>
                <w:u w:val="single"/>
                <w:lang w:val="fr-FR"/>
              </w:rPr>
            </w:pPr>
          </w:p>
          <w:p w14:paraId="2AB8B6DE" w14:textId="77777777" w:rsidR="00810A15" w:rsidRPr="00002803" w:rsidRDefault="00810A15" w:rsidP="00D51261">
            <w:pPr>
              <w:rPr>
                <w:sz w:val="20"/>
                <w:szCs w:val="20"/>
                <w:u w:val="single"/>
                <w:lang w:val="fr-FR"/>
              </w:rPr>
            </w:pPr>
            <w:r>
              <w:rPr>
                <w:sz w:val="20"/>
                <w:szCs w:val="20"/>
                <w:u w:val="single"/>
                <w:lang w:val="fr-FR"/>
              </w:rPr>
              <w:t>3 sous-espèces :</w:t>
            </w:r>
          </w:p>
          <w:p w14:paraId="0B4C2650" w14:textId="77777777" w:rsidR="00810A15" w:rsidRPr="00810A15" w:rsidRDefault="00810A15" w:rsidP="00D51261">
            <w:pPr>
              <w:rPr>
                <w:b/>
                <w:i/>
                <w:sz w:val="20"/>
                <w:szCs w:val="20"/>
                <w:lang w:val="fr-FR"/>
              </w:rPr>
            </w:pPr>
            <w:r w:rsidRPr="00810A15">
              <w:rPr>
                <w:b/>
                <w:i/>
                <w:sz w:val="20"/>
                <w:szCs w:val="20"/>
                <w:lang w:val="fr-FR"/>
              </w:rPr>
              <w:t xml:space="preserve">T. t. </w:t>
            </w:r>
            <w:proofErr w:type="spellStart"/>
            <w:r w:rsidRPr="00810A15">
              <w:rPr>
                <w:b/>
                <w:i/>
                <w:sz w:val="20"/>
                <w:szCs w:val="20"/>
                <w:lang w:val="fr-FR"/>
              </w:rPr>
              <w:t>ponticus</w:t>
            </w:r>
            <w:proofErr w:type="spellEnd"/>
            <w:r w:rsidRPr="00810A15">
              <w:rPr>
                <w:b/>
                <w:i/>
                <w:sz w:val="20"/>
                <w:szCs w:val="20"/>
                <w:lang w:val="fr-FR"/>
              </w:rPr>
              <w:t xml:space="preserve"> </w:t>
            </w:r>
          </w:p>
          <w:p w14:paraId="03667F5E" w14:textId="77777777" w:rsidR="00810A15" w:rsidRPr="008A57AC" w:rsidRDefault="00810A15" w:rsidP="00D51261">
            <w:pPr>
              <w:rPr>
                <w:i/>
                <w:sz w:val="20"/>
                <w:szCs w:val="20"/>
              </w:rPr>
            </w:pPr>
            <w:r>
              <w:rPr>
                <w:i/>
                <w:sz w:val="20"/>
                <w:szCs w:val="20"/>
              </w:rPr>
              <w:t xml:space="preserve">T. t. </w:t>
            </w:r>
            <w:proofErr w:type="spellStart"/>
            <w:r>
              <w:rPr>
                <w:i/>
                <w:sz w:val="20"/>
                <w:szCs w:val="20"/>
              </w:rPr>
              <w:t>gephyreus</w:t>
            </w:r>
            <w:proofErr w:type="spellEnd"/>
          </w:p>
          <w:p w14:paraId="0E30E463" w14:textId="77777777" w:rsidR="00810A15" w:rsidRPr="00002803" w:rsidRDefault="00810A15" w:rsidP="00D51261">
            <w:pPr>
              <w:rPr>
                <w:sz w:val="20"/>
                <w:szCs w:val="20"/>
              </w:rPr>
            </w:pPr>
            <w:r>
              <w:rPr>
                <w:i/>
                <w:sz w:val="20"/>
                <w:szCs w:val="20"/>
              </w:rPr>
              <w:t xml:space="preserve">T. t. </w:t>
            </w:r>
            <w:proofErr w:type="spellStart"/>
            <w:r>
              <w:rPr>
                <w:i/>
                <w:sz w:val="20"/>
                <w:szCs w:val="20"/>
              </w:rPr>
              <w:t>truncatus</w:t>
            </w:r>
            <w:proofErr w:type="spellEnd"/>
          </w:p>
        </w:tc>
        <w:tc>
          <w:tcPr>
            <w:tcW w:w="2751" w:type="dxa"/>
            <w:tcBorders>
              <w:top w:val="single" w:sz="6" w:space="0" w:color="auto"/>
              <w:left w:val="single" w:sz="6" w:space="0" w:color="auto"/>
              <w:bottom w:val="single" w:sz="6" w:space="0" w:color="auto"/>
              <w:right w:val="single" w:sz="6" w:space="0" w:color="auto"/>
            </w:tcBorders>
          </w:tcPr>
          <w:p w14:paraId="04B65607" w14:textId="77777777" w:rsidR="00810A15" w:rsidRPr="00002803" w:rsidRDefault="00810A15" w:rsidP="00D51261">
            <w:pPr>
              <w:rPr>
                <w:sz w:val="20"/>
                <w:szCs w:val="20"/>
                <w:lang w:val="fr-FR"/>
              </w:rPr>
            </w:pPr>
            <w:r>
              <w:rPr>
                <w:i/>
                <w:sz w:val="20"/>
                <w:szCs w:val="20"/>
                <w:lang w:val="fr-FR"/>
              </w:rPr>
              <w:t xml:space="preserve">T. t. </w:t>
            </w:r>
            <w:proofErr w:type="spellStart"/>
            <w:r>
              <w:rPr>
                <w:i/>
                <w:sz w:val="20"/>
                <w:szCs w:val="20"/>
                <w:lang w:val="fr-FR"/>
              </w:rPr>
              <w:t>ponticus</w:t>
            </w:r>
            <w:proofErr w:type="spellEnd"/>
            <w:r>
              <w:rPr>
                <w:sz w:val="20"/>
                <w:szCs w:val="20"/>
                <w:lang w:val="fr-FR"/>
              </w:rPr>
              <w:t xml:space="preserve"> est déjà inscrit à l'Annexe I – voir ci-dessous</w:t>
            </w:r>
          </w:p>
          <w:p w14:paraId="620EF686" w14:textId="77777777" w:rsidR="00810A15" w:rsidRPr="00002803" w:rsidRDefault="00810A15" w:rsidP="00D51261">
            <w:pPr>
              <w:rPr>
                <w:sz w:val="20"/>
                <w:szCs w:val="20"/>
                <w:lang w:val="fr-FR"/>
              </w:rPr>
            </w:pPr>
          </w:p>
          <w:p w14:paraId="7314646B" w14:textId="77777777" w:rsidR="00810A15" w:rsidRPr="00573EC9" w:rsidRDefault="00810A15" w:rsidP="00D51261">
            <w:pPr>
              <w:rPr>
                <w:sz w:val="20"/>
                <w:szCs w:val="20"/>
                <w:lang w:val="fr-FR"/>
              </w:rPr>
            </w:pPr>
            <w:r>
              <w:rPr>
                <w:sz w:val="20"/>
                <w:szCs w:val="20"/>
                <w:lang w:val="fr-FR"/>
              </w:rPr>
              <w:t xml:space="preserve">Aucune modification de l'inscription à l'Annexe II n'a été proposée, mais la COP14 a proposé l'inscription de </w:t>
            </w:r>
            <w:r>
              <w:rPr>
                <w:b/>
                <w:i/>
                <w:sz w:val="20"/>
                <w:szCs w:val="20"/>
                <w:lang w:val="fr-FR"/>
              </w:rPr>
              <w:t xml:space="preserve">T. t. </w:t>
            </w:r>
            <w:proofErr w:type="spellStart"/>
            <w:r>
              <w:rPr>
                <w:b/>
                <w:i/>
                <w:sz w:val="20"/>
                <w:szCs w:val="20"/>
                <w:lang w:val="fr-FR"/>
              </w:rPr>
              <w:t>gephyreus</w:t>
            </w:r>
            <w:proofErr w:type="spellEnd"/>
            <w:r>
              <w:rPr>
                <w:sz w:val="20"/>
                <w:szCs w:val="20"/>
                <w:lang w:val="fr-FR"/>
              </w:rPr>
              <w:t xml:space="preserve"> à l'Annexe I.</w:t>
            </w:r>
          </w:p>
        </w:tc>
      </w:tr>
      <w:tr w:rsidR="00810A15" w:rsidRPr="00A6475D" w14:paraId="051A380F" w14:textId="77777777" w:rsidTr="00D51261">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473BC57F" w14:textId="77777777" w:rsidR="00810A15" w:rsidRPr="00E0494B" w:rsidRDefault="00810A15" w:rsidP="00D51261">
            <w:pPr>
              <w:rPr>
                <w:sz w:val="20"/>
                <w:szCs w:val="20"/>
                <w:lang w:val="fr-FR"/>
              </w:rPr>
            </w:pPr>
            <w:r>
              <w:rPr>
                <w:sz w:val="20"/>
                <w:szCs w:val="20"/>
                <w:lang w:val="fr-FR"/>
              </w:rPr>
              <w:t>Grand dauphin de la mer Noire</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5B1472D3" w14:textId="77777777" w:rsidR="00810A15" w:rsidRPr="00E0494B" w:rsidRDefault="00810A15" w:rsidP="00D51261">
            <w:pPr>
              <w:rPr>
                <w:sz w:val="20"/>
                <w:szCs w:val="20"/>
              </w:rPr>
            </w:pPr>
            <w:r>
              <w:rPr>
                <w:sz w:val="20"/>
                <w:szCs w:val="20"/>
              </w:rPr>
              <w:t>2009</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3A85F2C0" w14:textId="77777777" w:rsidR="00810A15" w:rsidRPr="00E0494B" w:rsidRDefault="00810A15" w:rsidP="00D51261">
            <w:pPr>
              <w:rPr>
                <w:sz w:val="20"/>
                <w:szCs w:val="20"/>
                <w:lang w:val="fr-FR"/>
              </w:rPr>
            </w:pP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3FBE9162" w14:textId="77777777" w:rsidR="00810A15" w:rsidRPr="00E0494B" w:rsidRDefault="00810A15" w:rsidP="00D51261">
            <w:pPr>
              <w:rPr>
                <w:sz w:val="20"/>
                <w:szCs w:val="20"/>
                <w:lang w:val="fr-FR"/>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0CDC2A15" w14:textId="77777777" w:rsidR="00810A15" w:rsidRPr="00142A18" w:rsidRDefault="00810A15" w:rsidP="00D51261">
            <w:pPr>
              <w:ind w:left="4" w:hanging="4"/>
              <w:rPr>
                <w:i/>
                <w:sz w:val="20"/>
                <w:szCs w:val="20"/>
              </w:rPr>
            </w:pPr>
            <w:r>
              <w:rPr>
                <w:i/>
                <w:sz w:val="20"/>
                <w:szCs w:val="20"/>
              </w:rPr>
              <w:t xml:space="preserve">Tursiops </w:t>
            </w:r>
            <w:proofErr w:type="spellStart"/>
            <w:r>
              <w:rPr>
                <w:i/>
                <w:sz w:val="20"/>
                <w:szCs w:val="20"/>
              </w:rPr>
              <w:t>truncatus</w:t>
            </w:r>
            <w:proofErr w:type="spellEnd"/>
            <w:r>
              <w:rPr>
                <w:i/>
                <w:sz w:val="20"/>
                <w:szCs w:val="20"/>
              </w:rPr>
              <w:t xml:space="preserve"> </w:t>
            </w:r>
            <w:proofErr w:type="spellStart"/>
            <w:r>
              <w:rPr>
                <w:i/>
                <w:sz w:val="20"/>
                <w:szCs w:val="20"/>
              </w:rPr>
              <w:t>ponticus</w:t>
            </w:r>
            <w:proofErr w:type="spellEnd"/>
          </w:p>
        </w:tc>
        <w:tc>
          <w:tcPr>
            <w:tcW w:w="1463" w:type="dxa"/>
            <w:tcBorders>
              <w:top w:val="single" w:sz="6" w:space="0" w:color="auto"/>
              <w:left w:val="single" w:sz="6" w:space="0" w:color="auto"/>
              <w:bottom w:val="single" w:sz="6" w:space="0" w:color="auto"/>
              <w:right w:val="single" w:sz="6" w:space="0" w:color="auto"/>
            </w:tcBorders>
          </w:tcPr>
          <w:p w14:paraId="7547140F" w14:textId="77777777" w:rsidR="00810A15" w:rsidRDefault="00810A15" w:rsidP="00D51261">
            <w:pPr>
              <w:rPr>
                <w:sz w:val="20"/>
                <w:szCs w:val="20"/>
                <w:lang w:val="fr-FR"/>
              </w:rPr>
            </w:pPr>
            <w:proofErr w:type="spellStart"/>
            <w:r>
              <w:rPr>
                <w:sz w:val="20"/>
                <w:szCs w:val="20"/>
                <w:lang w:val="fr-FR"/>
              </w:rPr>
              <w:t>s.o</w:t>
            </w:r>
            <w:proofErr w:type="spellEnd"/>
            <w:r>
              <w:rPr>
                <w:sz w:val="20"/>
                <w:szCs w:val="20"/>
                <w:lang w:val="fr-FR"/>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2D978A3" w14:textId="77777777" w:rsidR="00810A15" w:rsidRPr="00E0494B" w:rsidRDefault="00810A15" w:rsidP="00D51261">
            <w:pPr>
              <w:rPr>
                <w:sz w:val="20"/>
                <w:szCs w:val="20"/>
                <w:lang w:val="fr-FR"/>
              </w:rPr>
            </w:pPr>
            <w:r>
              <w:rPr>
                <w:sz w:val="20"/>
                <w:szCs w:val="20"/>
                <w:lang w:val="fr-FR"/>
              </w:rPr>
              <w:t>Voir ci-dessus</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F5E25A" w14:textId="77777777" w:rsidR="00810A15" w:rsidRPr="00E0494B" w:rsidRDefault="00810A15" w:rsidP="00D51261">
            <w:pPr>
              <w:rPr>
                <w:sz w:val="20"/>
                <w:szCs w:val="20"/>
                <w:lang w:val="fr-FR"/>
              </w:rPr>
            </w:pPr>
            <w:r>
              <w:rPr>
                <w:sz w:val="20"/>
                <w:szCs w:val="20"/>
                <w:lang w:val="fr-FR"/>
              </w:rPr>
              <w:t>Voir ci-dessus</w:t>
            </w:r>
          </w:p>
        </w:tc>
        <w:tc>
          <w:tcPr>
            <w:tcW w:w="2751" w:type="dxa"/>
            <w:tcBorders>
              <w:top w:val="single" w:sz="6" w:space="0" w:color="auto"/>
              <w:left w:val="single" w:sz="6" w:space="0" w:color="auto"/>
              <w:bottom w:val="single" w:sz="6" w:space="0" w:color="auto"/>
              <w:right w:val="single" w:sz="6" w:space="0" w:color="auto"/>
            </w:tcBorders>
          </w:tcPr>
          <w:p w14:paraId="12F96812" w14:textId="77777777" w:rsidR="00810A15" w:rsidRDefault="00810A15" w:rsidP="00D51261">
            <w:pPr>
              <w:ind w:right="364"/>
              <w:rPr>
                <w:rFonts w:eastAsia="Calibri" w:cs="Times New Roman"/>
                <w:kern w:val="2"/>
                <w:sz w:val="20"/>
                <w:szCs w:val="20"/>
                <w:lang w:val="fr-FR"/>
                <w14:ligatures w14:val="standardContextual"/>
              </w:rPr>
            </w:pPr>
            <w:r>
              <w:rPr>
                <w:rFonts w:eastAsia="Calibri" w:cs="Times New Roman"/>
                <w:kern w:val="2"/>
                <w:sz w:val="20"/>
                <w:szCs w:val="20"/>
                <w:lang w:val="fr-FR"/>
                <w14:ligatures w14:val="standardContextual"/>
              </w:rPr>
              <w:t>Voir ci-dessus</w:t>
            </w:r>
          </w:p>
        </w:tc>
      </w:tr>
      <w:tr w:rsidR="00810A15" w:rsidRPr="002125BA" w14:paraId="3847F37A" w14:textId="77777777" w:rsidTr="00D51261">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59E54FCB" w14:textId="77777777" w:rsidR="00810A15" w:rsidRDefault="00810A15" w:rsidP="00D51261">
            <w:pPr>
              <w:rPr>
                <w:sz w:val="20"/>
                <w:szCs w:val="20"/>
                <w:lang w:val="fr-FR"/>
              </w:rPr>
            </w:pPr>
            <w:r>
              <w:rPr>
                <w:sz w:val="20"/>
                <w:szCs w:val="20"/>
                <w:lang w:val="fr-FR"/>
              </w:rPr>
              <w:t>Dauphin du Gange</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4D330F5D" w14:textId="77777777" w:rsidR="00810A15" w:rsidRDefault="00810A15" w:rsidP="00D51261">
            <w:pPr>
              <w:rPr>
                <w:sz w:val="20"/>
                <w:szCs w:val="20"/>
              </w:rPr>
            </w:pPr>
            <w:r>
              <w:rPr>
                <w:sz w:val="20"/>
                <w:szCs w:val="20"/>
              </w:rPr>
              <w:t>2002</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3AE13CD9" w14:textId="77777777" w:rsidR="00810A15" w:rsidRPr="00E0494B" w:rsidRDefault="00810A15" w:rsidP="00D51261">
            <w:pPr>
              <w:rPr>
                <w:sz w:val="20"/>
                <w:szCs w:val="20"/>
              </w:rPr>
            </w:pPr>
            <w:r>
              <w:rPr>
                <w:sz w:val="20"/>
                <w:szCs w:val="20"/>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6DE83768" w14:textId="77777777" w:rsidR="00810A15" w:rsidRPr="00E0494B" w:rsidRDefault="00810A15" w:rsidP="00D51261">
            <w:pPr>
              <w:rPr>
                <w:sz w:val="20"/>
                <w:szCs w:val="20"/>
                <w:lang w:val="fr-FR"/>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00A2842D" w14:textId="77777777" w:rsidR="00810A15" w:rsidRPr="00142A18" w:rsidRDefault="00810A15" w:rsidP="00D51261">
            <w:pPr>
              <w:ind w:left="4" w:hanging="4"/>
              <w:rPr>
                <w:i/>
                <w:sz w:val="20"/>
                <w:szCs w:val="20"/>
              </w:rPr>
            </w:pPr>
            <w:r>
              <w:rPr>
                <w:i/>
                <w:sz w:val="20"/>
                <w:szCs w:val="20"/>
              </w:rPr>
              <w:t xml:space="preserve">Platanista </w:t>
            </w:r>
            <w:proofErr w:type="spellStart"/>
            <w:r>
              <w:rPr>
                <w:i/>
                <w:sz w:val="20"/>
                <w:szCs w:val="20"/>
              </w:rPr>
              <w:t>gangetica</w:t>
            </w:r>
            <w:proofErr w:type="spellEnd"/>
            <w:r>
              <w:rPr>
                <w:i/>
                <w:sz w:val="20"/>
                <w:szCs w:val="20"/>
              </w:rPr>
              <w:t xml:space="preserve"> </w:t>
            </w:r>
            <w:proofErr w:type="spellStart"/>
            <w:r>
              <w:rPr>
                <w:i/>
                <w:sz w:val="20"/>
                <w:szCs w:val="20"/>
              </w:rPr>
              <w:t>gangetica</w:t>
            </w:r>
            <w:proofErr w:type="spellEnd"/>
          </w:p>
        </w:tc>
        <w:tc>
          <w:tcPr>
            <w:tcW w:w="1463" w:type="dxa"/>
            <w:tcBorders>
              <w:top w:val="single" w:sz="6" w:space="0" w:color="auto"/>
              <w:left w:val="single" w:sz="6" w:space="0" w:color="auto"/>
              <w:bottom w:val="single" w:sz="6" w:space="0" w:color="auto"/>
              <w:right w:val="single" w:sz="6" w:space="0" w:color="auto"/>
            </w:tcBorders>
          </w:tcPr>
          <w:p w14:paraId="75B55B55" w14:textId="77777777" w:rsidR="00810A15" w:rsidRPr="00897620" w:rsidRDefault="00810A15" w:rsidP="00D51261">
            <w:pPr>
              <w:rPr>
                <w:b/>
                <w:i/>
                <w:sz w:val="20"/>
                <w:szCs w:val="20"/>
                <w:lang w:val="es-ES"/>
              </w:rPr>
            </w:pPr>
            <w:proofErr w:type="spellStart"/>
            <w:r>
              <w:rPr>
                <w:b/>
                <w:i/>
                <w:sz w:val="20"/>
                <w:szCs w:val="20"/>
                <w:lang w:val="es-ES"/>
              </w:rPr>
              <w:t>Platanista</w:t>
            </w:r>
            <w:proofErr w:type="spellEnd"/>
            <w:r>
              <w:rPr>
                <w:b/>
                <w:i/>
                <w:sz w:val="20"/>
                <w:szCs w:val="20"/>
                <w:lang w:val="es-ES"/>
              </w:rPr>
              <w:t xml:space="preserve"> </w:t>
            </w:r>
            <w:proofErr w:type="spellStart"/>
            <w:r>
              <w:rPr>
                <w:b/>
                <w:i/>
                <w:sz w:val="20"/>
                <w:szCs w:val="20"/>
                <w:lang w:val="es-ES"/>
              </w:rPr>
              <w:t>gangetica</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97DB36E" w14:textId="77777777" w:rsidR="00810A15" w:rsidRPr="00897620" w:rsidRDefault="00810A15" w:rsidP="00D51261">
            <w:pPr>
              <w:rPr>
                <w:b/>
                <w:i/>
                <w:sz w:val="20"/>
                <w:szCs w:val="20"/>
                <w:lang w:val="es-ES"/>
              </w:rPr>
            </w:pPr>
            <w:proofErr w:type="spellStart"/>
            <w:r>
              <w:rPr>
                <w:b/>
                <w:i/>
                <w:sz w:val="20"/>
                <w:szCs w:val="20"/>
                <w:lang w:val="es-ES"/>
              </w:rPr>
              <w:t>Platanista</w:t>
            </w:r>
            <w:proofErr w:type="spellEnd"/>
            <w:r>
              <w:rPr>
                <w:b/>
                <w:i/>
                <w:sz w:val="20"/>
                <w:szCs w:val="20"/>
                <w:lang w:val="es-ES"/>
              </w:rPr>
              <w:t xml:space="preserve"> gangética</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596963" w14:textId="77777777" w:rsidR="00810A15" w:rsidRPr="00897620" w:rsidRDefault="00810A15" w:rsidP="00D51261">
            <w:pPr>
              <w:rPr>
                <w:b/>
                <w:i/>
                <w:sz w:val="20"/>
                <w:szCs w:val="20"/>
                <w:lang w:val="es-ES"/>
              </w:rPr>
            </w:pPr>
            <w:proofErr w:type="spellStart"/>
            <w:r>
              <w:rPr>
                <w:b/>
                <w:i/>
                <w:sz w:val="20"/>
                <w:szCs w:val="20"/>
                <w:lang w:val="es-ES"/>
              </w:rPr>
              <w:t>Platanista</w:t>
            </w:r>
            <w:proofErr w:type="spellEnd"/>
            <w:r>
              <w:rPr>
                <w:b/>
                <w:i/>
                <w:sz w:val="20"/>
                <w:szCs w:val="20"/>
                <w:lang w:val="es-ES"/>
              </w:rPr>
              <w:t xml:space="preserve"> </w:t>
            </w:r>
            <w:proofErr w:type="spellStart"/>
            <w:r>
              <w:rPr>
                <w:b/>
                <w:i/>
                <w:sz w:val="20"/>
                <w:szCs w:val="20"/>
                <w:lang w:val="es-ES"/>
              </w:rPr>
              <w:t>gangetica</w:t>
            </w:r>
            <w:proofErr w:type="spellEnd"/>
          </w:p>
        </w:tc>
        <w:tc>
          <w:tcPr>
            <w:tcW w:w="2751" w:type="dxa"/>
            <w:tcBorders>
              <w:top w:val="single" w:sz="6" w:space="0" w:color="auto"/>
              <w:left w:val="single" w:sz="6" w:space="0" w:color="auto"/>
              <w:bottom w:val="single" w:sz="6" w:space="0" w:color="auto"/>
              <w:right w:val="single" w:sz="6" w:space="0" w:color="auto"/>
            </w:tcBorders>
          </w:tcPr>
          <w:p w14:paraId="5F2CE06B" w14:textId="77777777" w:rsidR="00810A15" w:rsidRDefault="00810A15" w:rsidP="00D51261">
            <w:pPr>
              <w:ind w:right="364"/>
              <w:rPr>
                <w:rFonts w:eastAsia="Calibri" w:cs="Times New Roman"/>
                <w:kern w:val="2"/>
                <w:sz w:val="20"/>
                <w:szCs w:val="20"/>
                <w:lang w:val="fr-FR"/>
                <w14:ligatures w14:val="standardContextual"/>
              </w:rPr>
            </w:pPr>
            <w:r>
              <w:rPr>
                <w:rFonts w:eastAsia="Calibri" w:cs="Times New Roman"/>
                <w:kern w:val="2"/>
                <w:sz w:val="20"/>
                <w:szCs w:val="20"/>
                <w:lang w:val="fr-FR"/>
                <w14:ligatures w14:val="standardContextual"/>
              </w:rPr>
              <w:t xml:space="preserve">Anciennement inscrite sous l'appellation </w:t>
            </w:r>
            <w:proofErr w:type="spellStart"/>
            <w:r>
              <w:rPr>
                <w:rFonts w:eastAsia="Calibri" w:cs="Times New Roman"/>
                <w:i/>
                <w:kern w:val="2"/>
                <w:sz w:val="20"/>
                <w:szCs w:val="20"/>
                <w:lang w:val="fr-FR"/>
                <w14:ligatures w14:val="standardContextual"/>
              </w:rPr>
              <w:t>Platanista</w:t>
            </w:r>
            <w:proofErr w:type="spellEnd"/>
            <w:r>
              <w:rPr>
                <w:rFonts w:eastAsia="Calibri" w:cs="Times New Roman"/>
                <w:i/>
                <w:kern w:val="2"/>
                <w:sz w:val="20"/>
                <w:szCs w:val="20"/>
                <w:lang w:val="fr-FR"/>
                <w14:ligatures w14:val="standardContextual"/>
              </w:rPr>
              <w:t xml:space="preserve"> </w:t>
            </w:r>
            <w:proofErr w:type="spellStart"/>
            <w:r>
              <w:rPr>
                <w:rFonts w:eastAsia="Calibri" w:cs="Times New Roman"/>
                <w:i/>
                <w:kern w:val="2"/>
                <w:sz w:val="20"/>
                <w:szCs w:val="20"/>
                <w:lang w:val="fr-FR"/>
                <w14:ligatures w14:val="standardContextual"/>
              </w:rPr>
              <w:t>gangetica</w:t>
            </w:r>
            <w:proofErr w:type="spellEnd"/>
            <w:r>
              <w:rPr>
                <w:rFonts w:eastAsia="Calibri" w:cs="Times New Roman"/>
                <w:kern w:val="2"/>
                <w:sz w:val="20"/>
                <w:szCs w:val="20"/>
                <w:lang w:val="fr-FR"/>
                <w14:ligatures w14:val="standardContextual"/>
              </w:rPr>
              <w:t>. Lorsque deux sous-espèces (</w:t>
            </w:r>
            <w:r>
              <w:rPr>
                <w:rFonts w:eastAsia="Calibri" w:cs="Times New Roman"/>
                <w:i/>
                <w:kern w:val="2"/>
                <w:sz w:val="20"/>
                <w:szCs w:val="20"/>
                <w:lang w:val="fr-FR"/>
                <w14:ligatures w14:val="standardContextual"/>
              </w:rPr>
              <w:t xml:space="preserve">P. g. </w:t>
            </w:r>
            <w:proofErr w:type="spellStart"/>
            <w:r>
              <w:rPr>
                <w:rFonts w:eastAsia="Calibri" w:cs="Times New Roman"/>
                <w:i/>
                <w:kern w:val="2"/>
                <w:sz w:val="20"/>
                <w:szCs w:val="20"/>
                <w:lang w:val="fr-FR"/>
                <w14:ligatures w14:val="standardContextual"/>
              </w:rPr>
              <w:t>gangetica</w:t>
            </w:r>
            <w:proofErr w:type="spellEnd"/>
            <w:r>
              <w:rPr>
                <w:rFonts w:eastAsia="Calibri" w:cs="Times New Roman"/>
                <w:kern w:val="2"/>
                <w:sz w:val="20"/>
                <w:szCs w:val="20"/>
                <w:lang w:val="fr-FR"/>
                <w14:ligatures w14:val="standardContextual"/>
              </w:rPr>
              <w:t xml:space="preserve"> et </w:t>
            </w:r>
            <w:r>
              <w:rPr>
                <w:rFonts w:eastAsia="Calibri" w:cs="Times New Roman"/>
                <w:i/>
                <w:kern w:val="2"/>
                <w:sz w:val="20"/>
                <w:szCs w:val="20"/>
                <w:lang w:val="fr-FR"/>
                <w14:ligatures w14:val="standardContextual"/>
              </w:rPr>
              <w:t>P. g. minor</w:t>
            </w:r>
            <w:r>
              <w:rPr>
                <w:rFonts w:eastAsia="Calibri" w:cs="Times New Roman"/>
                <w:kern w:val="2"/>
                <w:sz w:val="20"/>
                <w:szCs w:val="20"/>
                <w:lang w:val="fr-FR"/>
                <w14:ligatures w14:val="standardContextual"/>
              </w:rPr>
              <w:t>) ont été reconnues, la liste a été modifiée.</w:t>
            </w:r>
          </w:p>
          <w:p w14:paraId="57AA409C" w14:textId="77777777" w:rsidR="00810A15" w:rsidRDefault="00810A15" w:rsidP="00D51261">
            <w:pPr>
              <w:ind w:right="364"/>
              <w:rPr>
                <w:sz w:val="20"/>
                <w:szCs w:val="20"/>
                <w:lang w:val="fr-FR"/>
              </w:rPr>
            </w:pPr>
            <w:r>
              <w:rPr>
                <w:rFonts w:eastAsia="Calibri" w:cs="Times New Roman"/>
                <w:kern w:val="2"/>
                <w:sz w:val="20"/>
                <w:szCs w:val="20"/>
                <w:lang w:val="fr-FR"/>
                <w14:ligatures w14:val="standardContextual"/>
              </w:rPr>
              <w:t xml:space="preserve">Deux espèces sont aujourd'hui reconnues : </w:t>
            </w:r>
            <w:r>
              <w:rPr>
                <w:b/>
                <w:i/>
                <w:sz w:val="20"/>
                <w:szCs w:val="20"/>
                <w:lang w:val="fr-FR"/>
              </w:rPr>
              <w:t xml:space="preserve">P. </w:t>
            </w:r>
            <w:proofErr w:type="spellStart"/>
            <w:r>
              <w:rPr>
                <w:b/>
                <w:i/>
                <w:sz w:val="20"/>
                <w:szCs w:val="20"/>
                <w:lang w:val="fr-FR"/>
              </w:rPr>
              <w:t>gangetica</w:t>
            </w:r>
            <w:proofErr w:type="spellEnd"/>
            <w:r>
              <w:rPr>
                <w:sz w:val="20"/>
                <w:szCs w:val="20"/>
                <w:lang w:val="fr-FR"/>
              </w:rPr>
              <w:t xml:space="preserve"> et </w:t>
            </w:r>
            <w:r>
              <w:rPr>
                <w:i/>
                <w:sz w:val="20"/>
                <w:szCs w:val="20"/>
                <w:lang w:val="fr-FR"/>
              </w:rPr>
              <w:t>P. minor</w:t>
            </w:r>
          </w:p>
          <w:p w14:paraId="397D9569" w14:textId="77777777" w:rsidR="00810A15" w:rsidRDefault="00810A15" w:rsidP="00D51261">
            <w:pPr>
              <w:ind w:right="364"/>
              <w:rPr>
                <w:sz w:val="20"/>
                <w:szCs w:val="20"/>
                <w:lang w:val="fr-FR"/>
              </w:rPr>
            </w:pPr>
          </w:p>
          <w:p w14:paraId="21D9B6D6" w14:textId="77777777" w:rsidR="00810A15" w:rsidRPr="001359C9" w:rsidRDefault="00810A15" w:rsidP="00D51261">
            <w:pPr>
              <w:ind w:right="364"/>
              <w:rPr>
                <w:rFonts w:eastAsia="Calibri" w:cs="Times New Roman"/>
                <w:i/>
                <w:iCs/>
                <w:kern w:val="2"/>
                <w:sz w:val="20"/>
                <w:szCs w:val="20"/>
                <w:lang w:val="fr-FR"/>
                <w14:ligatures w14:val="standardContextual"/>
              </w:rPr>
            </w:pPr>
            <w:r>
              <w:rPr>
                <w:i/>
                <w:iCs/>
                <w:sz w:val="20"/>
                <w:szCs w:val="20"/>
                <w:lang w:val="fr-FR"/>
              </w:rPr>
              <w:t>Il est proposé d'adapter la nomenclature</w:t>
            </w:r>
          </w:p>
        </w:tc>
      </w:tr>
    </w:tbl>
    <w:p w14:paraId="3B5470F4" w14:textId="77777777" w:rsidR="00810A15" w:rsidRDefault="00810A15" w:rsidP="00810A15">
      <w:pPr>
        <w:pStyle w:val="Firstnumbering"/>
        <w:numPr>
          <w:ilvl w:val="0"/>
          <w:numId w:val="0"/>
        </w:numPr>
        <w:ind w:left="567"/>
        <w:rPr>
          <w:lang w:val="fr-FR"/>
        </w:rPr>
      </w:pPr>
    </w:p>
    <w:p w14:paraId="317E0E1E" w14:textId="77777777" w:rsidR="00810A15" w:rsidRDefault="00810A15" w:rsidP="00810A15">
      <w:pPr>
        <w:pStyle w:val="Firstnumbering"/>
        <w:numPr>
          <w:ilvl w:val="0"/>
          <w:numId w:val="0"/>
        </w:numPr>
        <w:ind w:left="567"/>
        <w:rPr>
          <w:lang w:val="fr-FR"/>
        </w:rPr>
        <w:sectPr w:rsidR="00810A15" w:rsidSect="001D0CB4">
          <w:headerReference w:type="first" r:id="rId24"/>
          <w:pgSz w:w="16838" w:h="11906" w:orient="landscape" w:code="9"/>
          <w:pgMar w:top="1440" w:right="1440" w:bottom="1440" w:left="1440" w:header="720" w:footer="720" w:gutter="0"/>
          <w:cols w:space="720"/>
          <w:titlePg/>
          <w:docGrid w:linePitch="360"/>
        </w:sectPr>
      </w:pPr>
    </w:p>
    <w:p w14:paraId="4BF067B2" w14:textId="77777777" w:rsidR="00810A15" w:rsidRDefault="00810A15" w:rsidP="00810A15">
      <w:pPr>
        <w:pStyle w:val="Firstnumbering"/>
        <w:numPr>
          <w:ilvl w:val="0"/>
          <w:numId w:val="0"/>
        </w:numPr>
        <w:ind w:left="504" w:hanging="504"/>
        <w:rPr>
          <w:i/>
          <w:iCs/>
          <w:lang w:val="fr-FR"/>
        </w:rPr>
      </w:pPr>
      <w:r>
        <w:rPr>
          <w:i/>
          <w:iCs/>
          <w:lang w:val="fr-FR"/>
        </w:rPr>
        <w:lastRenderedPageBreak/>
        <w:t>Recommandation pour la taxonomie et la nomenclature des mammifères marins</w:t>
      </w:r>
    </w:p>
    <w:p w14:paraId="60C6E67D" w14:textId="77777777" w:rsidR="00810A15" w:rsidRDefault="00810A15" w:rsidP="00810A15">
      <w:pPr>
        <w:jc w:val="both"/>
        <w:rPr>
          <w:rFonts w:cs="Arial"/>
          <w:u w:val="single"/>
          <w:lang w:val="fr-FR"/>
        </w:rPr>
      </w:pPr>
    </w:p>
    <w:p w14:paraId="4985268C" w14:textId="77777777" w:rsidR="00810A15" w:rsidRDefault="00810A15" w:rsidP="00810A15">
      <w:pPr>
        <w:pStyle w:val="Firstnumbering"/>
        <w:contextualSpacing w:val="0"/>
        <w:rPr>
          <w:lang w:val="fr-FR"/>
        </w:rPr>
      </w:pPr>
      <w:r>
        <w:rPr>
          <w:lang w:val="fr-FR"/>
        </w:rPr>
        <w:t xml:space="preserve">Il est recommandé aux Parties de remplacer la référence standard pour les mammifères marins par la référence en ligne </w:t>
      </w:r>
      <w:r>
        <w:rPr>
          <w:i/>
          <w:iCs/>
          <w:lang w:val="fr-FR"/>
        </w:rPr>
        <w:t xml:space="preserve">Society for Marine </w:t>
      </w:r>
      <w:proofErr w:type="spellStart"/>
      <w:r>
        <w:rPr>
          <w:i/>
          <w:iCs/>
          <w:lang w:val="fr-FR"/>
        </w:rPr>
        <w:t>Mammalogy</w:t>
      </w:r>
      <w:proofErr w:type="spellEnd"/>
      <w:r>
        <w:rPr>
          <w:i/>
          <w:iCs/>
          <w:lang w:val="fr-FR"/>
        </w:rPr>
        <w:t xml:space="preserve">, </w:t>
      </w:r>
      <w:proofErr w:type="spellStart"/>
      <w:r>
        <w:rPr>
          <w:i/>
          <w:iCs/>
          <w:lang w:val="fr-FR"/>
        </w:rPr>
        <w:t>Committee</w:t>
      </w:r>
      <w:proofErr w:type="spellEnd"/>
      <w:r>
        <w:rPr>
          <w:i/>
          <w:iCs/>
          <w:lang w:val="fr-FR"/>
        </w:rPr>
        <w:t xml:space="preserve"> on </w:t>
      </w:r>
      <w:proofErr w:type="spellStart"/>
      <w:r>
        <w:rPr>
          <w:i/>
          <w:iCs/>
          <w:lang w:val="fr-FR"/>
        </w:rPr>
        <w:t>Taxonomy</w:t>
      </w:r>
      <w:proofErr w:type="spellEnd"/>
      <w:r>
        <w:rPr>
          <w:i/>
          <w:iCs/>
          <w:lang w:val="fr-FR"/>
        </w:rPr>
        <w:t xml:space="preserve">, List of marine </w:t>
      </w:r>
      <w:proofErr w:type="spellStart"/>
      <w:r>
        <w:rPr>
          <w:i/>
          <w:iCs/>
          <w:lang w:val="fr-FR"/>
        </w:rPr>
        <w:t>mammal</w:t>
      </w:r>
      <w:proofErr w:type="spellEnd"/>
      <w:r>
        <w:rPr>
          <w:i/>
          <w:iCs/>
          <w:lang w:val="fr-FR"/>
        </w:rPr>
        <w:t xml:space="preserve"> </w:t>
      </w:r>
      <w:proofErr w:type="spellStart"/>
      <w:r>
        <w:rPr>
          <w:i/>
          <w:iCs/>
          <w:lang w:val="fr-FR"/>
        </w:rPr>
        <w:t>species</w:t>
      </w:r>
      <w:proofErr w:type="spellEnd"/>
      <w:r>
        <w:rPr>
          <w:i/>
          <w:iCs/>
          <w:lang w:val="fr-FR"/>
        </w:rPr>
        <w:t xml:space="preserve"> and </w:t>
      </w:r>
      <w:proofErr w:type="spellStart"/>
      <w:r>
        <w:rPr>
          <w:i/>
          <w:iCs/>
          <w:lang w:val="fr-FR"/>
        </w:rPr>
        <w:t>subspecies</w:t>
      </w:r>
      <w:proofErr w:type="spellEnd"/>
      <w:r>
        <w:rPr>
          <w:i/>
          <w:iCs/>
          <w:lang w:val="fr-FR"/>
        </w:rPr>
        <w:t xml:space="preserve">, </w:t>
      </w:r>
      <w:hyperlink r:id="rId25" w:history="1">
        <w:r>
          <w:rPr>
            <w:rStyle w:val="Hyperlink"/>
            <w:i/>
            <w:iCs/>
            <w:lang w:val="fr-FR"/>
          </w:rPr>
          <w:t>www.marinemammalscience.org</w:t>
        </w:r>
      </w:hyperlink>
      <w:r>
        <w:rPr>
          <w:lang w:val="fr-FR"/>
        </w:rPr>
        <w:t xml:space="preserve">. </w:t>
      </w:r>
    </w:p>
    <w:p w14:paraId="14249A3C" w14:textId="77777777" w:rsidR="00810A15" w:rsidRDefault="00810A15" w:rsidP="00810A15">
      <w:pPr>
        <w:pStyle w:val="Firstnumbering"/>
        <w:numPr>
          <w:ilvl w:val="0"/>
          <w:numId w:val="0"/>
        </w:numPr>
        <w:ind w:left="504"/>
        <w:contextualSpacing w:val="0"/>
        <w:rPr>
          <w:lang w:val="fr-FR"/>
        </w:rPr>
      </w:pPr>
    </w:p>
    <w:p w14:paraId="5B3DAD50" w14:textId="77777777" w:rsidR="00810A15" w:rsidRDefault="00810A15" w:rsidP="00810A15">
      <w:pPr>
        <w:pStyle w:val="Firstnumbering"/>
        <w:contextualSpacing w:val="0"/>
        <w:rPr>
          <w:lang w:val="fr-FR"/>
        </w:rPr>
      </w:pPr>
      <w:r>
        <w:rPr>
          <w:lang w:val="fr-FR"/>
        </w:rPr>
        <w:t>Il est recommandé aux Parties d'examiner les changements suivants dans la taxonomie et la nomenclature des mammifères marins inscrits aux Annexes de la CMS :</w:t>
      </w:r>
    </w:p>
    <w:p w14:paraId="682EB4C5" w14:textId="77777777" w:rsidR="00810A15" w:rsidRDefault="00810A15" w:rsidP="00810A15">
      <w:pPr>
        <w:pStyle w:val="Firstnumbering"/>
        <w:numPr>
          <w:ilvl w:val="0"/>
          <w:numId w:val="0"/>
        </w:numPr>
        <w:ind w:left="504" w:hanging="504"/>
        <w:contextualSpacing w:val="0"/>
        <w:rPr>
          <w:lang w:val="fr-FR"/>
        </w:rPr>
      </w:pPr>
    </w:p>
    <w:p w14:paraId="62D9DA2F" w14:textId="77777777" w:rsidR="00810A15" w:rsidRDefault="00810A15" w:rsidP="00810A15">
      <w:pPr>
        <w:pStyle w:val="Firstnumbering"/>
        <w:numPr>
          <w:ilvl w:val="0"/>
          <w:numId w:val="10"/>
        </w:numPr>
        <w:ind w:left="993" w:hanging="426"/>
        <w:contextualSpacing w:val="0"/>
      </w:pPr>
      <w:r>
        <w:t>Nomenclature</w:t>
      </w:r>
    </w:p>
    <w:p w14:paraId="5A941723" w14:textId="77777777" w:rsidR="00810A15" w:rsidRPr="00A57AFC" w:rsidRDefault="00810A15" w:rsidP="00810A15">
      <w:pPr>
        <w:pStyle w:val="Firstnumbering"/>
        <w:numPr>
          <w:ilvl w:val="0"/>
          <w:numId w:val="11"/>
        </w:numPr>
        <w:contextualSpacing w:val="0"/>
        <w:rPr>
          <w:lang w:val="fr-FR"/>
        </w:rPr>
      </w:pPr>
      <w:proofErr w:type="spellStart"/>
      <w:r>
        <w:rPr>
          <w:i/>
          <w:iCs/>
          <w:lang w:val="fr-FR"/>
        </w:rPr>
        <w:t>Otaria</w:t>
      </w:r>
      <w:proofErr w:type="spellEnd"/>
      <w:r>
        <w:rPr>
          <w:i/>
          <w:iCs/>
          <w:lang w:val="fr-FR"/>
        </w:rPr>
        <w:t xml:space="preserve"> </w:t>
      </w:r>
      <w:proofErr w:type="spellStart"/>
      <w:r>
        <w:rPr>
          <w:i/>
          <w:iCs/>
          <w:lang w:val="fr-FR"/>
        </w:rPr>
        <w:t>flavescens</w:t>
      </w:r>
      <w:proofErr w:type="spellEnd"/>
      <w:r>
        <w:rPr>
          <w:lang w:val="fr-FR"/>
        </w:rPr>
        <w:t xml:space="preserve"> à </w:t>
      </w:r>
      <w:proofErr w:type="spellStart"/>
      <w:r>
        <w:rPr>
          <w:i/>
          <w:iCs/>
          <w:lang w:val="fr-FR"/>
        </w:rPr>
        <w:t>Otaria</w:t>
      </w:r>
      <w:proofErr w:type="spellEnd"/>
      <w:r>
        <w:rPr>
          <w:i/>
          <w:iCs/>
          <w:lang w:val="fr-FR"/>
        </w:rPr>
        <w:t xml:space="preserve"> </w:t>
      </w:r>
      <w:proofErr w:type="spellStart"/>
      <w:r>
        <w:rPr>
          <w:i/>
          <w:iCs/>
          <w:lang w:val="fr-FR"/>
        </w:rPr>
        <w:t>byronia</w:t>
      </w:r>
      <w:proofErr w:type="spellEnd"/>
    </w:p>
    <w:p w14:paraId="7E48804A" w14:textId="77777777" w:rsidR="00810A15" w:rsidRPr="00055FCE" w:rsidRDefault="00810A15" w:rsidP="00810A15">
      <w:pPr>
        <w:pStyle w:val="Firstnumbering"/>
        <w:numPr>
          <w:ilvl w:val="0"/>
          <w:numId w:val="11"/>
        </w:numPr>
        <w:contextualSpacing w:val="0"/>
        <w:rPr>
          <w:lang w:val="fr-FR"/>
        </w:rPr>
      </w:pPr>
      <w:proofErr w:type="spellStart"/>
      <w:r>
        <w:rPr>
          <w:i/>
          <w:iCs/>
          <w:lang w:val="fr-FR"/>
        </w:rPr>
        <w:t>Platanista</w:t>
      </w:r>
      <w:proofErr w:type="spellEnd"/>
      <w:r>
        <w:rPr>
          <w:i/>
          <w:iCs/>
          <w:lang w:val="fr-FR"/>
        </w:rPr>
        <w:t xml:space="preserve"> </w:t>
      </w:r>
      <w:proofErr w:type="spellStart"/>
      <w:r>
        <w:rPr>
          <w:i/>
          <w:iCs/>
          <w:lang w:val="fr-FR"/>
        </w:rPr>
        <w:t>gangetica</w:t>
      </w:r>
      <w:proofErr w:type="spellEnd"/>
      <w:r>
        <w:rPr>
          <w:i/>
          <w:iCs/>
          <w:lang w:val="fr-FR"/>
        </w:rPr>
        <w:t xml:space="preserve"> </w:t>
      </w:r>
      <w:proofErr w:type="spellStart"/>
      <w:r>
        <w:rPr>
          <w:i/>
          <w:iCs/>
          <w:lang w:val="fr-FR"/>
        </w:rPr>
        <w:t>gangetica</w:t>
      </w:r>
      <w:proofErr w:type="spellEnd"/>
      <w:r>
        <w:rPr>
          <w:lang w:val="fr-FR"/>
        </w:rPr>
        <w:t xml:space="preserve"> à </w:t>
      </w:r>
      <w:proofErr w:type="spellStart"/>
      <w:r>
        <w:rPr>
          <w:i/>
          <w:iCs/>
          <w:lang w:val="fr-FR"/>
        </w:rPr>
        <w:t>Platanista</w:t>
      </w:r>
      <w:proofErr w:type="spellEnd"/>
      <w:r>
        <w:rPr>
          <w:i/>
          <w:iCs/>
          <w:lang w:val="fr-FR"/>
        </w:rPr>
        <w:t xml:space="preserve"> </w:t>
      </w:r>
      <w:proofErr w:type="spellStart"/>
      <w:r>
        <w:rPr>
          <w:i/>
          <w:iCs/>
          <w:lang w:val="fr-FR"/>
        </w:rPr>
        <w:t>gangetica</w:t>
      </w:r>
      <w:proofErr w:type="spellEnd"/>
    </w:p>
    <w:p w14:paraId="3E6E8A46" w14:textId="77777777" w:rsidR="00810A15" w:rsidRPr="00055FCE" w:rsidRDefault="00810A15" w:rsidP="00810A15">
      <w:pPr>
        <w:pStyle w:val="Firstnumbering"/>
        <w:numPr>
          <w:ilvl w:val="0"/>
          <w:numId w:val="0"/>
        </w:numPr>
        <w:ind w:left="993"/>
        <w:contextualSpacing w:val="0"/>
        <w:rPr>
          <w:lang w:val="fr-FR"/>
        </w:rPr>
      </w:pPr>
    </w:p>
    <w:p w14:paraId="31BB6EC8" w14:textId="77777777" w:rsidR="00810A15" w:rsidRPr="008F29E4" w:rsidRDefault="00810A15" w:rsidP="00810A15">
      <w:pPr>
        <w:pStyle w:val="Firstnumbering"/>
        <w:numPr>
          <w:ilvl w:val="0"/>
          <w:numId w:val="10"/>
        </w:numPr>
        <w:ind w:left="993" w:hanging="426"/>
        <w:contextualSpacing w:val="0"/>
        <w:rPr>
          <w:lang w:val="fr-FR"/>
        </w:rPr>
      </w:pPr>
      <w:r>
        <w:rPr>
          <w:lang w:val="fr-FR"/>
        </w:rPr>
        <w:t>Taxonomie</w:t>
      </w:r>
    </w:p>
    <w:p w14:paraId="7E95AFD7" w14:textId="77777777" w:rsidR="00810A15" w:rsidRPr="006B0129" w:rsidRDefault="00810A15" w:rsidP="00810A15">
      <w:pPr>
        <w:pStyle w:val="Firstnumbering"/>
        <w:numPr>
          <w:ilvl w:val="0"/>
          <w:numId w:val="12"/>
        </w:numPr>
        <w:ind w:left="1701"/>
        <w:rPr>
          <w:lang w:val="fr-FR"/>
        </w:rPr>
      </w:pPr>
      <w:proofErr w:type="spellStart"/>
      <w:r>
        <w:rPr>
          <w:i/>
          <w:iCs/>
          <w:lang w:val="fr-FR"/>
        </w:rPr>
        <w:t>Halichoerus</w:t>
      </w:r>
      <w:proofErr w:type="spellEnd"/>
      <w:r>
        <w:rPr>
          <w:i/>
          <w:iCs/>
          <w:lang w:val="fr-FR"/>
        </w:rPr>
        <w:t xml:space="preserve"> </w:t>
      </w:r>
      <w:proofErr w:type="spellStart"/>
      <w:r>
        <w:rPr>
          <w:i/>
          <w:iCs/>
          <w:lang w:val="fr-FR"/>
        </w:rPr>
        <w:t>grypus</w:t>
      </w:r>
      <w:proofErr w:type="spellEnd"/>
      <w:r>
        <w:rPr>
          <w:lang w:val="fr-FR"/>
        </w:rPr>
        <w:t xml:space="preserve"> (uniquement les populations de la mer Baltique) à </w:t>
      </w:r>
      <w:proofErr w:type="spellStart"/>
      <w:r>
        <w:rPr>
          <w:i/>
          <w:iCs/>
          <w:lang w:val="fr-FR"/>
        </w:rPr>
        <w:t>Halichoerus</w:t>
      </w:r>
      <w:proofErr w:type="spellEnd"/>
      <w:r>
        <w:rPr>
          <w:i/>
          <w:iCs/>
          <w:lang w:val="fr-FR"/>
        </w:rPr>
        <w:t xml:space="preserve"> </w:t>
      </w:r>
      <w:proofErr w:type="spellStart"/>
      <w:r>
        <w:rPr>
          <w:i/>
          <w:iCs/>
          <w:lang w:val="fr-FR"/>
        </w:rPr>
        <w:t>grypus</w:t>
      </w:r>
      <w:proofErr w:type="spellEnd"/>
      <w:r>
        <w:rPr>
          <w:i/>
          <w:iCs/>
          <w:lang w:val="fr-FR"/>
        </w:rPr>
        <w:t xml:space="preserve"> </w:t>
      </w:r>
      <w:proofErr w:type="spellStart"/>
      <w:r>
        <w:rPr>
          <w:i/>
          <w:iCs/>
          <w:lang w:val="fr-FR"/>
        </w:rPr>
        <w:t>grypus</w:t>
      </w:r>
      <w:proofErr w:type="spellEnd"/>
    </w:p>
    <w:p w14:paraId="4F87CC5B" w14:textId="77777777" w:rsidR="00810A15" w:rsidRPr="002A3539" w:rsidRDefault="00810A15" w:rsidP="00810A15">
      <w:pPr>
        <w:pStyle w:val="Firstnumbering"/>
        <w:numPr>
          <w:ilvl w:val="0"/>
          <w:numId w:val="12"/>
        </w:numPr>
        <w:ind w:left="1701"/>
        <w:rPr>
          <w:lang w:val="fr-FR"/>
        </w:rPr>
      </w:pPr>
      <w:proofErr w:type="spellStart"/>
      <w:r>
        <w:rPr>
          <w:i/>
          <w:iCs/>
          <w:lang w:val="fr-FR"/>
        </w:rPr>
        <w:t>Cephalorhynchus</w:t>
      </w:r>
      <w:proofErr w:type="spellEnd"/>
      <w:r>
        <w:rPr>
          <w:i/>
          <w:iCs/>
          <w:lang w:val="fr-FR"/>
        </w:rPr>
        <w:t xml:space="preserve"> </w:t>
      </w:r>
      <w:proofErr w:type="spellStart"/>
      <w:r>
        <w:rPr>
          <w:i/>
          <w:iCs/>
          <w:lang w:val="fr-FR"/>
        </w:rPr>
        <w:t>commersonii</w:t>
      </w:r>
      <w:proofErr w:type="spellEnd"/>
      <w:r>
        <w:rPr>
          <w:lang w:val="fr-FR"/>
        </w:rPr>
        <w:t xml:space="preserve"> (population sud-américaine) à </w:t>
      </w:r>
      <w:proofErr w:type="spellStart"/>
      <w:r>
        <w:rPr>
          <w:i/>
          <w:iCs/>
          <w:lang w:val="fr-FR"/>
        </w:rPr>
        <w:t>Cephalorhynchus</w:t>
      </w:r>
      <w:proofErr w:type="spellEnd"/>
      <w:r>
        <w:rPr>
          <w:i/>
          <w:iCs/>
          <w:lang w:val="fr-FR"/>
        </w:rPr>
        <w:t xml:space="preserve"> </w:t>
      </w:r>
      <w:proofErr w:type="spellStart"/>
      <w:r>
        <w:rPr>
          <w:i/>
          <w:iCs/>
          <w:lang w:val="fr-FR"/>
        </w:rPr>
        <w:t>commersonii</w:t>
      </w:r>
      <w:proofErr w:type="spellEnd"/>
      <w:r>
        <w:rPr>
          <w:i/>
          <w:iCs/>
          <w:lang w:val="fr-FR"/>
        </w:rPr>
        <w:t xml:space="preserve"> </w:t>
      </w:r>
      <w:proofErr w:type="spellStart"/>
      <w:r>
        <w:rPr>
          <w:i/>
          <w:iCs/>
          <w:lang w:val="fr-FR"/>
        </w:rPr>
        <w:t>commersonii</w:t>
      </w:r>
      <w:proofErr w:type="spellEnd"/>
    </w:p>
    <w:p w14:paraId="27B7A5A3" w14:textId="77777777" w:rsidR="00810A15" w:rsidRPr="00810A15" w:rsidRDefault="00810A15" w:rsidP="00810A15">
      <w:pPr>
        <w:pStyle w:val="Firstnumbering"/>
        <w:numPr>
          <w:ilvl w:val="0"/>
          <w:numId w:val="12"/>
        </w:numPr>
        <w:ind w:left="1701"/>
        <w:rPr>
          <w:lang w:val="pt-PT"/>
        </w:rPr>
      </w:pPr>
      <w:r w:rsidRPr="00810A15">
        <w:rPr>
          <w:i/>
          <w:iCs/>
          <w:lang w:val="pt-PT"/>
        </w:rPr>
        <w:t xml:space="preserve">Sousa </w:t>
      </w:r>
      <w:proofErr w:type="spellStart"/>
      <w:r w:rsidRPr="00810A15">
        <w:rPr>
          <w:i/>
          <w:iCs/>
          <w:lang w:val="pt-PT"/>
        </w:rPr>
        <w:t>chinensis</w:t>
      </w:r>
      <w:proofErr w:type="spellEnd"/>
      <w:r w:rsidRPr="00810A15">
        <w:rPr>
          <w:lang w:val="pt-PT"/>
        </w:rPr>
        <w:t xml:space="preserve"> à </w:t>
      </w:r>
      <w:r w:rsidRPr="00810A15">
        <w:rPr>
          <w:i/>
          <w:iCs/>
          <w:lang w:val="pt-PT"/>
        </w:rPr>
        <w:t xml:space="preserve">Sousa </w:t>
      </w:r>
      <w:proofErr w:type="spellStart"/>
      <w:r w:rsidRPr="00810A15">
        <w:rPr>
          <w:i/>
          <w:iCs/>
          <w:lang w:val="pt-PT"/>
        </w:rPr>
        <w:t>plumbea</w:t>
      </w:r>
      <w:proofErr w:type="spellEnd"/>
      <w:r w:rsidRPr="00810A15">
        <w:rPr>
          <w:lang w:val="pt-PT"/>
        </w:rPr>
        <w:t xml:space="preserve">, </w:t>
      </w:r>
      <w:r w:rsidRPr="00810A15">
        <w:rPr>
          <w:i/>
          <w:iCs/>
          <w:lang w:val="pt-PT"/>
        </w:rPr>
        <w:t xml:space="preserve">Sousa </w:t>
      </w:r>
      <w:proofErr w:type="spellStart"/>
      <w:r w:rsidRPr="00810A15">
        <w:rPr>
          <w:i/>
          <w:iCs/>
          <w:lang w:val="pt-PT"/>
        </w:rPr>
        <w:t>chinensis</w:t>
      </w:r>
      <w:proofErr w:type="spellEnd"/>
      <w:r w:rsidRPr="00810A15">
        <w:rPr>
          <w:lang w:val="pt-PT"/>
        </w:rPr>
        <w:t xml:space="preserve">, </w:t>
      </w:r>
      <w:r w:rsidRPr="00810A15">
        <w:rPr>
          <w:i/>
          <w:iCs/>
          <w:lang w:val="pt-PT"/>
        </w:rPr>
        <w:t xml:space="preserve">Sousa </w:t>
      </w:r>
      <w:proofErr w:type="spellStart"/>
      <w:r w:rsidRPr="00810A15">
        <w:rPr>
          <w:i/>
          <w:iCs/>
          <w:lang w:val="pt-PT"/>
        </w:rPr>
        <w:t>sahulensis</w:t>
      </w:r>
      <w:proofErr w:type="spellEnd"/>
    </w:p>
    <w:p w14:paraId="5D39B8DF" w14:textId="77777777" w:rsidR="00810A15" w:rsidRDefault="00810A15" w:rsidP="00810A15">
      <w:pPr>
        <w:jc w:val="both"/>
        <w:rPr>
          <w:rFonts w:cs="Arial"/>
          <w:lang w:val="pt-PT"/>
        </w:rPr>
      </w:pPr>
    </w:p>
    <w:p w14:paraId="272EDC8C" w14:textId="7B1E1B1F" w:rsidR="002125BA" w:rsidRPr="002125BA" w:rsidRDefault="002125BA" w:rsidP="00810A15">
      <w:pPr>
        <w:jc w:val="both"/>
        <w:rPr>
          <w:rFonts w:cs="Arial"/>
          <w:u w:val="single"/>
          <w:lang w:val="fr-FR"/>
        </w:rPr>
      </w:pPr>
      <w:r w:rsidRPr="002125BA">
        <w:rPr>
          <w:rFonts w:cs="Arial"/>
          <w:u w:val="single"/>
          <w:lang w:val="fr-FR"/>
        </w:rPr>
        <w:t xml:space="preserve">Proposition d'élargissement de l'examen du </w:t>
      </w:r>
      <w:r w:rsidR="003F5104">
        <w:rPr>
          <w:rFonts w:cs="Arial"/>
          <w:u w:val="single"/>
          <w:lang w:val="fr-FR"/>
        </w:rPr>
        <w:t>Catalogue of Life (</w:t>
      </w:r>
      <w:r w:rsidRPr="002125BA">
        <w:rPr>
          <w:rFonts w:cs="Arial"/>
          <w:u w:val="single"/>
          <w:lang w:val="fr-FR"/>
        </w:rPr>
        <w:t>catalogue de la vie</w:t>
      </w:r>
      <w:r w:rsidR="003F5104">
        <w:rPr>
          <w:rFonts w:cs="Arial"/>
          <w:u w:val="single"/>
          <w:lang w:val="fr-FR"/>
        </w:rPr>
        <w:t>)</w:t>
      </w:r>
    </w:p>
    <w:p w14:paraId="31760885" w14:textId="77777777" w:rsidR="002125BA" w:rsidRDefault="002125BA" w:rsidP="00810A15">
      <w:pPr>
        <w:jc w:val="both"/>
        <w:rPr>
          <w:rFonts w:cs="Arial"/>
          <w:lang w:val="fr-FR"/>
        </w:rPr>
      </w:pPr>
    </w:p>
    <w:p w14:paraId="6FEC2712" w14:textId="4D4808AD" w:rsidR="002125BA" w:rsidRPr="003F5104" w:rsidRDefault="002125BA" w:rsidP="003F5104">
      <w:pPr>
        <w:pStyle w:val="Firstnumbering"/>
        <w:contextualSpacing w:val="0"/>
        <w:rPr>
          <w:lang w:val="fr-FR"/>
        </w:rPr>
      </w:pPr>
      <w:r w:rsidRPr="002125BA">
        <w:rPr>
          <w:lang w:val="fr-FR"/>
        </w:rPr>
        <w:t>Le Conseil scientifique a également pris note du Catalogue of Life (</w:t>
      </w:r>
      <w:hyperlink r:id="rId26" w:history="1">
        <w:r w:rsidR="003F5104" w:rsidRPr="00B16448">
          <w:rPr>
            <w:rStyle w:val="Hyperlink"/>
            <w:lang w:val="fr-FR"/>
          </w:rPr>
          <w:t>https://www.catalogueoflife.org/</w:t>
        </w:r>
      </w:hyperlink>
      <w:r w:rsidRPr="003F5104">
        <w:rPr>
          <w:lang w:val="fr-FR"/>
        </w:rPr>
        <w:t>) et a recommandé que le Conseil examine son utilité potentielle future en tant que source taxonomique et nomenclaturale pour toutes les espèces de la CMS, en vue d'élaborer une proposition pour son adoption qui sera soumise à l'examen de la COP.</w:t>
      </w:r>
    </w:p>
    <w:p w14:paraId="31582098" w14:textId="77777777" w:rsidR="002125BA" w:rsidRDefault="002125BA" w:rsidP="002125BA">
      <w:pPr>
        <w:pStyle w:val="Firstnumbering"/>
        <w:numPr>
          <w:ilvl w:val="0"/>
          <w:numId w:val="0"/>
        </w:numPr>
        <w:ind w:left="504"/>
        <w:contextualSpacing w:val="0"/>
        <w:rPr>
          <w:lang w:val="fr-FR"/>
        </w:rPr>
      </w:pPr>
    </w:p>
    <w:p w14:paraId="1452391A" w14:textId="205E2F05" w:rsidR="002125BA" w:rsidRDefault="002125BA" w:rsidP="002125BA">
      <w:pPr>
        <w:pStyle w:val="Firstnumbering"/>
        <w:contextualSpacing w:val="0"/>
        <w:rPr>
          <w:lang w:val="fr-FR"/>
        </w:rPr>
      </w:pPr>
      <w:r w:rsidRPr="002125BA">
        <w:rPr>
          <w:lang w:val="fr-FR"/>
        </w:rPr>
        <w:t>Les efforts internationaux de conservation des espèces peuvent être considérablement entravés s'il y a confusion sur la taxonomie. Par conséquent, l'ambition d'harmoniser la taxonomie et la nomenclature des accords multilatéraux sur l'environnement (AME) liés à la biodiversité existe depuis longtemps.</w:t>
      </w:r>
    </w:p>
    <w:p w14:paraId="6E27F496" w14:textId="77777777" w:rsidR="002125BA" w:rsidRDefault="002125BA" w:rsidP="002125BA">
      <w:pPr>
        <w:pStyle w:val="Firstnumbering"/>
        <w:numPr>
          <w:ilvl w:val="0"/>
          <w:numId w:val="0"/>
        </w:numPr>
        <w:ind w:left="504"/>
        <w:contextualSpacing w:val="0"/>
        <w:rPr>
          <w:lang w:val="fr-FR"/>
        </w:rPr>
      </w:pPr>
    </w:p>
    <w:p w14:paraId="7281B39B" w14:textId="0F256FF2" w:rsidR="002125BA" w:rsidRDefault="002125BA" w:rsidP="002125BA">
      <w:pPr>
        <w:pStyle w:val="Firstnumbering"/>
        <w:contextualSpacing w:val="0"/>
        <w:rPr>
          <w:lang w:val="fr-FR"/>
        </w:rPr>
      </w:pPr>
      <w:r w:rsidRPr="002125BA">
        <w:rPr>
          <w:lang w:val="fr-FR"/>
        </w:rPr>
        <w:t xml:space="preserve">L'harmonisation de la nomenclature et de la taxonomie dans les listes d'espèces utilisées par les conventions liées à la biodiversité a été évoquée pour la première fois lors de la 6e réunion du groupe de liaison des conventions liées à la biodiversité (Bonn, mai 2008) et a ensuite été inscrite sur la liste des activités conjointes CITES/CMS adoptée par la 34e réunion du </w:t>
      </w:r>
      <w:r w:rsidR="003F5104">
        <w:rPr>
          <w:lang w:val="fr-FR"/>
        </w:rPr>
        <w:t>C</w:t>
      </w:r>
      <w:r w:rsidRPr="002125BA">
        <w:rPr>
          <w:lang w:val="fr-FR"/>
        </w:rPr>
        <w:t>omité permanent de la CMS (Rome, novembre 2008).</w:t>
      </w:r>
    </w:p>
    <w:p w14:paraId="44B98C76" w14:textId="77777777" w:rsidR="002125BA" w:rsidRDefault="002125BA" w:rsidP="002125BA">
      <w:pPr>
        <w:pStyle w:val="Firstnumbering"/>
        <w:numPr>
          <w:ilvl w:val="0"/>
          <w:numId w:val="0"/>
        </w:numPr>
        <w:ind w:left="504"/>
        <w:contextualSpacing w:val="0"/>
        <w:rPr>
          <w:lang w:val="fr-FR"/>
        </w:rPr>
      </w:pPr>
    </w:p>
    <w:p w14:paraId="3FFA8ED4" w14:textId="60B02AE5" w:rsidR="002125BA" w:rsidRPr="003F5104" w:rsidRDefault="003F5104" w:rsidP="002125BA">
      <w:pPr>
        <w:pStyle w:val="Firstnumbering"/>
        <w:contextualSpacing w:val="0"/>
        <w:rPr>
          <w:lang w:val="fr-FR"/>
        </w:rPr>
      </w:pPr>
      <w:r w:rsidRPr="003F5104">
        <w:rPr>
          <w:lang w:val="fr-FR"/>
        </w:rPr>
        <w:t>En 2011, l'harmonisation a été soutenue par les présidents des organes consultatifs scientifiques des conventions relatives à la biodiversité (4e réunion du CSAB, Gland, Suisse, 13 février 2011) et a ensuite été incluse dans les programmes de travail conjoints CMS-CITES 2012-2014, et adoptée lors de la 38e réunion du Comité permanent de la CMS (Bergen, novembre 2011). Il a également été inclus dans le projet de Programme de travail conjoint 2021-2025 qui a été adopté lors de la 52ème réunion (en ligne) du Comité permanent, tenue entre le 21 et le 29 septembre 2021 (UNEP/CMS/StC52/</w:t>
      </w:r>
      <w:proofErr w:type="spellStart"/>
      <w:r w:rsidRPr="003F5104">
        <w:rPr>
          <w:lang w:val="fr-FR"/>
        </w:rPr>
        <w:t>Outcome</w:t>
      </w:r>
      <w:proofErr w:type="spellEnd"/>
      <w:r w:rsidRPr="003F5104">
        <w:rPr>
          <w:lang w:val="fr-FR"/>
        </w:rPr>
        <w:t xml:space="preserve"> 4, Programme de travail conjoint CMS-CITES 2021-2025)</w:t>
      </w:r>
      <w:r w:rsidRPr="003F5104">
        <w:rPr>
          <w:rStyle w:val="FootnoteReference"/>
        </w:rPr>
        <w:footnoteReference w:id="3"/>
      </w:r>
      <w:r w:rsidRPr="003F5104">
        <w:rPr>
          <w:lang w:val="fr-FR"/>
        </w:rPr>
        <w:t>.</w:t>
      </w:r>
    </w:p>
    <w:p w14:paraId="3C7319AC" w14:textId="4E88F3AD" w:rsidR="003F5104" w:rsidRDefault="003F5104" w:rsidP="003F5104">
      <w:pPr>
        <w:pStyle w:val="Firstnumbering"/>
        <w:numPr>
          <w:ilvl w:val="0"/>
          <w:numId w:val="0"/>
        </w:numPr>
        <w:ind w:left="504"/>
        <w:contextualSpacing w:val="0"/>
        <w:rPr>
          <w:lang w:val="fr-FR"/>
        </w:rPr>
      </w:pPr>
      <w:r>
        <w:rPr>
          <w:lang w:val="fr-FR"/>
        </w:rPr>
        <w:br w:type="page"/>
      </w:r>
    </w:p>
    <w:p w14:paraId="45E5C3E6" w14:textId="629063E0" w:rsidR="003F5104" w:rsidRDefault="003F5104" w:rsidP="002125BA">
      <w:pPr>
        <w:pStyle w:val="Firstnumbering"/>
        <w:contextualSpacing w:val="0"/>
        <w:rPr>
          <w:lang w:val="fr-FR"/>
        </w:rPr>
      </w:pPr>
      <w:r w:rsidRPr="003F5104">
        <w:rPr>
          <w:lang w:val="fr-FR"/>
        </w:rPr>
        <w:lastRenderedPageBreak/>
        <w:t xml:space="preserve">Depuis 2017, le </w:t>
      </w:r>
      <w:proofErr w:type="spellStart"/>
      <w:r w:rsidRPr="003F5104">
        <w:rPr>
          <w:lang w:val="fr-FR"/>
        </w:rPr>
        <w:t>co</w:t>
      </w:r>
      <w:proofErr w:type="spellEnd"/>
      <w:r w:rsidRPr="003F5104">
        <w:rPr>
          <w:lang w:val="fr-FR"/>
        </w:rPr>
        <w:t>-conseiller pour les oiseaux nommé par la COP travaille sous les auspices de l'Union internationale des sciences biologiques avec des taxonomistes, y compris des conseillers de la CITES, sur les moyens de développer des mécanismes institutionnels pour fournir en temps opportun des conseils de haute qualité sur la taxonomie et la nomenclature à la CMS, à la CITES et à d'autres AME.</w:t>
      </w:r>
    </w:p>
    <w:p w14:paraId="4C654995" w14:textId="77777777" w:rsidR="003F5104" w:rsidRDefault="003F5104" w:rsidP="003F5104">
      <w:pPr>
        <w:pStyle w:val="Firstnumbering"/>
        <w:numPr>
          <w:ilvl w:val="0"/>
          <w:numId w:val="0"/>
        </w:numPr>
        <w:ind w:left="504"/>
        <w:contextualSpacing w:val="0"/>
        <w:rPr>
          <w:lang w:val="fr-FR"/>
        </w:rPr>
      </w:pPr>
    </w:p>
    <w:p w14:paraId="500834FD" w14:textId="45BEEB80" w:rsidR="003F5104" w:rsidRPr="003F5104" w:rsidRDefault="003F5104" w:rsidP="003F5104">
      <w:pPr>
        <w:pStyle w:val="Firstnumbering"/>
        <w:rPr>
          <w:lang w:val="fr-FR"/>
        </w:rPr>
      </w:pPr>
      <w:r w:rsidRPr="003F5104">
        <w:rPr>
          <w:lang w:val="fr-FR"/>
        </w:rPr>
        <w:t>Après avoir étudié de multiples alternatives, lui et ses collègues ont inscrit que le Catalogue of Life fournit la liste la plus complète des espèces du monde, avec la capacité de fournir un accès gratuit à une liste unique qui pourrait fournir des extraits fixés dans le temps d'un type qui est potentiellement adapté aux AME.</w:t>
      </w:r>
    </w:p>
    <w:p w14:paraId="65E5A367" w14:textId="77777777" w:rsidR="003F5104" w:rsidRPr="003F5104" w:rsidRDefault="003F5104" w:rsidP="003F5104">
      <w:pPr>
        <w:pStyle w:val="Firstnumbering"/>
        <w:numPr>
          <w:ilvl w:val="0"/>
          <w:numId w:val="0"/>
        </w:numPr>
        <w:ind w:left="504"/>
        <w:rPr>
          <w:lang w:val="fr-FR"/>
        </w:rPr>
      </w:pPr>
    </w:p>
    <w:p w14:paraId="35BA89EC" w14:textId="15B461A6" w:rsidR="003F5104" w:rsidRPr="003F5104" w:rsidRDefault="003F5104" w:rsidP="003F5104">
      <w:pPr>
        <w:pStyle w:val="Firstnumbering"/>
        <w:rPr>
          <w:lang w:val="fr-FR"/>
        </w:rPr>
      </w:pPr>
      <w:r w:rsidRPr="003F5104">
        <w:rPr>
          <w:lang w:val="fr-FR"/>
        </w:rPr>
        <w:t>En même temps, les spécialistes CITES de la nomenclature botanique et zoologique ont conclu dans un rapport sur le développement d'une liste de contrôle mondiale normalisée des espèces (CITES PC26 Doc. 42.3 / AC32 Doc. 45.3) que l'utilité potentielle du Catalogue of Life pour la normalisation mérite d'être étudiée.</w:t>
      </w:r>
    </w:p>
    <w:p w14:paraId="504A04F7" w14:textId="77777777" w:rsidR="003F5104" w:rsidRPr="003F5104" w:rsidRDefault="003F5104" w:rsidP="003F5104">
      <w:pPr>
        <w:pStyle w:val="Firstnumbering"/>
        <w:numPr>
          <w:ilvl w:val="0"/>
          <w:numId w:val="0"/>
        </w:numPr>
        <w:ind w:left="504"/>
        <w:rPr>
          <w:lang w:val="fr-FR"/>
        </w:rPr>
      </w:pPr>
    </w:p>
    <w:p w14:paraId="6167C80E" w14:textId="5DA4EFEE" w:rsidR="003F5104" w:rsidRPr="008F29E4" w:rsidRDefault="003F5104" w:rsidP="003F5104">
      <w:pPr>
        <w:pStyle w:val="Firstnumbering"/>
        <w:rPr>
          <w:lang w:val="fr-FR"/>
        </w:rPr>
      </w:pPr>
      <w:r w:rsidRPr="003F5104">
        <w:rPr>
          <w:lang w:val="fr-FR"/>
        </w:rPr>
        <w:t>Cependant, avant que le Conseil scientifique puisse conseiller les Parties sur la question de savoir si le Catalogue of Life est adapté aux AEM, sa capacité à fournir des informations taxonomiques et nomenclaturales opportunes doit être examinée.</w:t>
      </w:r>
    </w:p>
    <w:p w14:paraId="429C3E98" w14:textId="77777777" w:rsidR="002125BA" w:rsidRPr="002125BA" w:rsidRDefault="002125BA" w:rsidP="002125BA">
      <w:pPr>
        <w:jc w:val="both"/>
        <w:rPr>
          <w:rFonts w:cs="Arial"/>
          <w:lang w:val="fr-FR"/>
        </w:rPr>
      </w:pPr>
    </w:p>
    <w:p w14:paraId="0A762A91" w14:textId="77777777" w:rsidR="00810A15" w:rsidRPr="00132372" w:rsidRDefault="00810A15" w:rsidP="00810A15">
      <w:pPr>
        <w:jc w:val="both"/>
        <w:rPr>
          <w:rFonts w:cs="Arial"/>
          <w:u w:val="single"/>
          <w:lang w:val="fr-FR"/>
        </w:rPr>
      </w:pPr>
      <w:r>
        <w:rPr>
          <w:rFonts w:cs="Arial"/>
          <w:u w:val="single"/>
          <w:lang w:val="fr-FR"/>
        </w:rPr>
        <w:t>Actions recommandées :</w:t>
      </w:r>
    </w:p>
    <w:p w14:paraId="724BB133" w14:textId="77777777" w:rsidR="00810A15" w:rsidRPr="00132372" w:rsidRDefault="00810A15" w:rsidP="00810A15">
      <w:pPr>
        <w:jc w:val="both"/>
        <w:rPr>
          <w:rFonts w:cs="Arial"/>
          <w:u w:val="single"/>
          <w:lang w:val="fr-FR"/>
        </w:rPr>
      </w:pPr>
    </w:p>
    <w:p w14:paraId="5CD9D807" w14:textId="77777777" w:rsidR="00810A15" w:rsidRPr="00132372" w:rsidRDefault="00810A15" w:rsidP="00810A15">
      <w:pPr>
        <w:pStyle w:val="ListParagraph"/>
        <w:widowControl w:val="0"/>
        <w:numPr>
          <w:ilvl w:val="0"/>
          <w:numId w:val="2"/>
        </w:numPr>
        <w:suppressAutoHyphens/>
        <w:autoSpaceDE w:val="0"/>
        <w:autoSpaceDN w:val="0"/>
        <w:contextualSpacing w:val="0"/>
        <w:jc w:val="both"/>
        <w:textAlignment w:val="baseline"/>
        <w:rPr>
          <w:rFonts w:cs="Arial"/>
          <w:lang w:val="fr-FR"/>
        </w:rPr>
      </w:pPr>
      <w:r>
        <w:rPr>
          <w:rFonts w:cs="Arial"/>
          <w:lang w:val="fr-FR"/>
        </w:rPr>
        <w:t xml:space="preserve">Il est recommandé à la Conférence des Parties de : </w:t>
      </w:r>
    </w:p>
    <w:p w14:paraId="2C4170F7" w14:textId="77777777" w:rsidR="00810A15" w:rsidRPr="00132372" w:rsidRDefault="00810A15" w:rsidP="00810A15">
      <w:pPr>
        <w:jc w:val="both"/>
        <w:rPr>
          <w:rFonts w:cs="Arial"/>
          <w:lang w:val="fr-FR"/>
        </w:rPr>
      </w:pPr>
    </w:p>
    <w:p w14:paraId="65978733" w14:textId="77777777" w:rsidR="00810A15" w:rsidRPr="00132372" w:rsidRDefault="00810A15" w:rsidP="00810A15">
      <w:pPr>
        <w:widowControl w:val="0"/>
        <w:numPr>
          <w:ilvl w:val="0"/>
          <w:numId w:val="6"/>
        </w:numPr>
        <w:suppressAutoHyphens/>
        <w:autoSpaceDE w:val="0"/>
        <w:autoSpaceDN w:val="0"/>
        <w:ind w:left="900"/>
        <w:jc w:val="both"/>
        <w:textAlignment w:val="baseline"/>
        <w:rPr>
          <w:rFonts w:cs="Arial"/>
          <w:lang w:val="fr-FR"/>
        </w:rPr>
      </w:pPr>
      <w:r>
        <w:rPr>
          <w:rFonts w:cs="Arial"/>
          <w:lang w:val="fr-FR"/>
        </w:rPr>
        <w:t>examiner les résultats des comparaisons de la taxonomie et de la nomenclature utilisées pour les taxons d'oiseaux</w:t>
      </w:r>
      <w:r>
        <w:rPr>
          <w:rFonts w:cs="Arial"/>
          <w:u w:val="single"/>
          <w:lang w:val="fr-FR"/>
        </w:rPr>
        <w:t>,</w:t>
      </w:r>
      <w:r>
        <w:rPr>
          <w:rFonts w:cs="Arial"/>
          <w:lang w:val="fr-FR"/>
        </w:rPr>
        <w:t xml:space="preserve"> de poissons et de mammifères marins actuellement inscrits aux Annexes de la CMS avec les références standard pertinentes ;</w:t>
      </w:r>
    </w:p>
    <w:p w14:paraId="012A96B5" w14:textId="77777777" w:rsidR="00810A15" w:rsidRPr="00132372" w:rsidRDefault="00810A15" w:rsidP="00810A15">
      <w:pPr>
        <w:ind w:left="900"/>
        <w:jc w:val="both"/>
        <w:rPr>
          <w:rFonts w:cs="Arial"/>
          <w:lang w:val="fr-FR"/>
        </w:rPr>
      </w:pPr>
    </w:p>
    <w:p w14:paraId="59E455CD" w14:textId="77777777" w:rsidR="00810A15" w:rsidRDefault="00810A15" w:rsidP="00810A15">
      <w:pPr>
        <w:widowControl w:val="0"/>
        <w:numPr>
          <w:ilvl w:val="0"/>
          <w:numId w:val="6"/>
        </w:numPr>
        <w:suppressAutoHyphens/>
        <w:autoSpaceDE w:val="0"/>
        <w:autoSpaceDN w:val="0"/>
        <w:ind w:left="900"/>
        <w:jc w:val="both"/>
        <w:textAlignment w:val="baseline"/>
        <w:rPr>
          <w:rFonts w:cs="Arial"/>
          <w:lang w:val="fr-FR"/>
        </w:rPr>
      </w:pPr>
      <w:r>
        <w:rPr>
          <w:rFonts w:cs="Arial"/>
          <w:lang w:val="fr-FR"/>
        </w:rPr>
        <w:t xml:space="preserve">examiner et adopter les modifications des Annexes recommandées par le Conseil scientifique ; </w:t>
      </w:r>
    </w:p>
    <w:p w14:paraId="27BC6E38" w14:textId="77777777" w:rsidR="00810A15" w:rsidRPr="00B9019C" w:rsidRDefault="00810A15" w:rsidP="00810A15">
      <w:pPr>
        <w:widowControl w:val="0"/>
        <w:suppressAutoHyphens/>
        <w:autoSpaceDE w:val="0"/>
        <w:autoSpaceDN w:val="0"/>
        <w:jc w:val="both"/>
        <w:textAlignment w:val="baseline"/>
        <w:rPr>
          <w:rFonts w:cs="Arial"/>
          <w:lang w:val="fr-FR"/>
        </w:rPr>
      </w:pPr>
    </w:p>
    <w:p w14:paraId="02DD29FF" w14:textId="2974D0A9" w:rsidR="00810A15" w:rsidRDefault="00810A15" w:rsidP="00810A15">
      <w:pPr>
        <w:widowControl w:val="0"/>
        <w:numPr>
          <w:ilvl w:val="0"/>
          <w:numId w:val="6"/>
        </w:numPr>
        <w:suppressAutoHyphens/>
        <w:autoSpaceDE w:val="0"/>
        <w:autoSpaceDN w:val="0"/>
        <w:ind w:left="900"/>
        <w:jc w:val="both"/>
        <w:textAlignment w:val="baseline"/>
        <w:rPr>
          <w:rFonts w:cs="Arial"/>
          <w:lang w:val="fr-FR"/>
        </w:rPr>
      </w:pPr>
      <w:r>
        <w:rPr>
          <w:rFonts w:cs="Arial"/>
          <w:lang w:val="fr-FR"/>
        </w:rPr>
        <w:t>adopter les projets d'amendements à la Résolution 12.27 figurant à l'</w:t>
      </w:r>
      <w:r w:rsidR="003F5104">
        <w:rPr>
          <w:rFonts w:cs="Arial"/>
          <w:lang w:val="fr-FR"/>
        </w:rPr>
        <w:t>A</w:t>
      </w:r>
      <w:r>
        <w:rPr>
          <w:rFonts w:cs="Arial"/>
          <w:lang w:val="fr-FR"/>
        </w:rPr>
        <w:t>nnexe 2 du présent document.</w:t>
      </w:r>
    </w:p>
    <w:p w14:paraId="120A1D11" w14:textId="77777777" w:rsidR="003F5104" w:rsidRDefault="003F5104" w:rsidP="003F5104">
      <w:pPr>
        <w:widowControl w:val="0"/>
        <w:suppressAutoHyphens/>
        <w:autoSpaceDE w:val="0"/>
        <w:autoSpaceDN w:val="0"/>
        <w:ind w:left="900"/>
        <w:jc w:val="both"/>
        <w:textAlignment w:val="baseline"/>
        <w:rPr>
          <w:rFonts w:cs="Arial"/>
          <w:lang w:val="fr-FR"/>
        </w:rPr>
      </w:pPr>
    </w:p>
    <w:p w14:paraId="69DEBC95" w14:textId="4F6E036F" w:rsidR="003F5104" w:rsidRPr="00132372" w:rsidRDefault="003F5104" w:rsidP="00810A15">
      <w:pPr>
        <w:widowControl w:val="0"/>
        <w:numPr>
          <w:ilvl w:val="0"/>
          <w:numId w:val="6"/>
        </w:numPr>
        <w:suppressAutoHyphens/>
        <w:autoSpaceDE w:val="0"/>
        <w:autoSpaceDN w:val="0"/>
        <w:ind w:left="900"/>
        <w:jc w:val="both"/>
        <w:textAlignment w:val="baseline"/>
        <w:rPr>
          <w:rFonts w:cs="Arial"/>
          <w:lang w:val="fr-FR"/>
        </w:rPr>
      </w:pPr>
      <w:r w:rsidRPr="003F5104">
        <w:rPr>
          <w:rFonts w:cs="Arial"/>
          <w:lang w:val="fr-FR"/>
        </w:rPr>
        <w:t xml:space="preserve">d'adopter le projet de </w:t>
      </w:r>
      <w:r>
        <w:rPr>
          <w:rFonts w:cs="Arial"/>
          <w:lang w:val="fr-FR"/>
        </w:rPr>
        <w:t>D</w:t>
      </w:r>
      <w:r w:rsidRPr="003F5104">
        <w:rPr>
          <w:rFonts w:cs="Arial"/>
          <w:lang w:val="fr-FR"/>
        </w:rPr>
        <w:t>écision figurant à l'</w:t>
      </w:r>
      <w:r>
        <w:rPr>
          <w:rFonts w:cs="Arial"/>
          <w:lang w:val="fr-FR"/>
        </w:rPr>
        <w:t>A</w:t>
      </w:r>
      <w:r w:rsidRPr="003F5104">
        <w:rPr>
          <w:rFonts w:cs="Arial"/>
          <w:lang w:val="fr-FR"/>
        </w:rPr>
        <w:t>nnexe 4 du présent document.</w:t>
      </w:r>
    </w:p>
    <w:p w14:paraId="79A0D255" w14:textId="77777777" w:rsidR="00810A15" w:rsidRPr="00C26F2A" w:rsidRDefault="00810A15" w:rsidP="00810A15">
      <w:pPr>
        <w:jc w:val="both"/>
        <w:rPr>
          <w:rFonts w:cs="Arial"/>
          <w:lang w:val="fr-FR"/>
        </w:rPr>
      </w:pPr>
    </w:p>
    <w:p w14:paraId="29B1F7A6" w14:textId="77777777" w:rsidR="00810A15"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center"/>
        <w:textAlignment w:val="baseline"/>
        <w:outlineLvl w:val="1"/>
        <w:rPr>
          <w:lang w:val="fr-FR"/>
        </w:rPr>
        <w:sectPr w:rsidR="00810A15" w:rsidSect="00D93628">
          <w:headerReference w:type="first" r:id="rId27"/>
          <w:pgSz w:w="11906" w:h="16838" w:code="9"/>
          <w:pgMar w:top="1440" w:right="1440" w:bottom="1440" w:left="1440" w:header="720" w:footer="720" w:gutter="0"/>
          <w:cols w:space="720"/>
          <w:titlePg/>
          <w:docGrid w:linePitch="360"/>
        </w:sectPr>
      </w:pPr>
    </w:p>
    <w:p w14:paraId="2B7673F2" w14:textId="77777777" w:rsidR="00810A15" w:rsidRDefault="00810A15" w:rsidP="00810A15">
      <w:pPr>
        <w:pStyle w:val="Secondnumbering"/>
        <w:numPr>
          <w:ilvl w:val="0"/>
          <w:numId w:val="0"/>
        </w:numPr>
        <w:jc w:val="right"/>
        <w:rPr>
          <w:lang w:val="fr-FR"/>
        </w:rPr>
      </w:pPr>
      <w:r>
        <w:rPr>
          <w:b/>
          <w:caps/>
          <w:lang w:val="fr-FR"/>
        </w:rPr>
        <w:lastRenderedPageBreak/>
        <w:t>Annexe 1</w:t>
      </w:r>
    </w:p>
    <w:p w14:paraId="7A4AE02E" w14:textId="77777777" w:rsidR="00810A15" w:rsidRDefault="00810A15" w:rsidP="00810A15">
      <w:pPr>
        <w:pStyle w:val="Secondnumbering"/>
        <w:numPr>
          <w:ilvl w:val="0"/>
          <w:numId w:val="0"/>
        </w:numPr>
        <w:rPr>
          <w:lang w:val="fr-FR"/>
        </w:rPr>
      </w:pPr>
    </w:p>
    <w:p w14:paraId="258739AD" w14:textId="77777777" w:rsidR="00810A15" w:rsidRDefault="00810A15" w:rsidP="00810A15">
      <w:pPr>
        <w:pStyle w:val="Secondnumbering"/>
        <w:numPr>
          <w:ilvl w:val="0"/>
          <w:numId w:val="0"/>
        </w:numPr>
        <w:jc w:val="center"/>
        <w:rPr>
          <w:b/>
          <w:lang w:val="fr-FR"/>
        </w:rPr>
      </w:pPr>
      <w:r>
        <w:rPr>
          <w:b/>
          <w:bCs/>
          <w:lang w:val="fr-FR"/>
        </w:rPr>
        <w:t>RECOMMANDATION SUR LA TAXONOMIE DES MAMMIFÈRES AQUATIQUES</w:t>
      </w:r>
    </w:p>
    <w:p w14:paraId="4FBC6A27" w14:textId="77777777" w:rsidR="00810A15" w:rsidRDefault="00810A15" w:rsidP="00810A15">
      <w:pPr>
        <w:pStyle w:val="Secondnumbering"/>
        <w:numPr>
          <w:ilvl w:val="0"/>
          <w:numId w:val="0"/>
        </w:numPr>
        <w:jc w:val="center"/>
        <w:rPr>
          <w:lang w:val="fr-FR"/>
        </w:rPr>
      </w:pPr>
    </w:p>
    <w:p w14:paraId="0A413EE0" w14:textId="77777777" w:rsidR="00810A15"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jc w:val="center"/>
        <w:textAlignment w:val="baseline"/>
        <w:outlineLvl w:val="1"/>
        <w:rPr>
          <w:i/>
          <w:iCs/>
          <w:sz w:val="20"/>
          <w:szCs w:val="20"/>
          <w:lang w:val="fr-FR"/>
        </w:rPr>
      </w:pPr>
      <w:r>
        <w:rPr>
          <w:i/>
          <w:sz w:val="20"/>
          <w:szCs w:val="20"/>
          <w:lang w:val="fr-FR"/>
        </w:rPr>
        <w:t xml:space="preserve">(Présenté par Mark Peter Simmonds, conseiller désigné par la COP pour la pollution marine et </w:t>
      </w:r>
    </w:p>
    <w:p w14:paraId="0415CFA6" w14:textId="77777777" w:rsidR="00810A15" w:rsidRPr="00837361"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jc w:val="center"/>
        <w:textAlignment w:val="baseline"/>
        <w:outlineLvl w:val="1"/>
        <w:rPr>
          <w:i/>
          <w:sz w:val="20"/>
          <w:szCs w:val="20"/>
          <w:lang w:val="fr-FR"/>
        </w:rPr>
      </w:pPr>
      <w:r>
        <w:rPr>
          <w:i/>
          <w:sz w:val="20"/>
          <w:szCs w:val="20"/>
          <w:lang w:val="fr-FR"/>
        </w:rPr>
        <w:t>Giuseppe Notarbartolo di Sciara, ancien conseiller pour les mammifères aquatiques désigné par la COP)</w:t>
      </w:r>
    </w:p>
    <w:p w14:paraId="53CBD697" w14:textId="77777777" w:rsidR="00810A15" w:rsidRPr="009F7F64"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jc w:val="center"/>
        <w:textAlignment w:val="baseline"/>
        <w:outlineLvl w:val="1"/>
        <w:rPr>
          <w:lang w:val="fr-FR"/>
        </w:rPr>
      </w:pPr>
    </w:p>
    <w:p w14:paraId="4DF43D0A" w14:textId="77777777" w:rsidR="00810A15" w:rsidRPr="009F7F64"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jc w:val="center"/>
        <w:textAlignment w:val="baseline"/>
        <w:outlineLvl w:val="1"/>
        <w:rPr>
          <w:lang w:val="fr-FR"/>
        </w:rPr>
      </w:pPr>
    </w:p>
    <w:p w14:paraId="2DD68ED6" w14:textId="77777777" w:rsidR="00810A15"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jc w:val="both"/>
        <w:textAlignment w:val="baseline"/>
        <w:outlineLvl w:val="1"/>
        <w:rPr>
          <w:lang w:val="fr-FR"/>
        </w:rPr>
      </w:pPr>
      <w:r>
        <w:rPr>
          <w:lang w:val="fr-FR"/>
        </w:rPr>
        <w:t xml:space="preserve">Par la présente, en ce qui concerne la taxonomie des mammifères aquatiques, nous recommandons au Conseil scientifique que la CMS suive la liste officielle préparée par le Comité de taxonomie de la Society of Marine </w:t>
      </w:r>
      <w:proofErr w:type="spellStart"/>
      <w:r>
        <w:rPr>
          <w:lang w:val="fr-FR"/>
        </w:rPr>
        <w:t>Mammalogy</w:t>
      </w:r>
      <w:proofErr w:type="spellEnd"/>
      <w:r>
        <w:rPr>
          <w:lang w:val="fr-FR"/>
        </w:rPr>
        <w:t xml:space="preserve">. </w:t>
      </w:r>
    </w:p>
    <w:p w14:paraId="1B32784B" w14:textId="77777777" w:rsidR="00810A15" w:rsidRPr="00683175"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jc w:val="both"/>
        <w:textAlignment w:val="baseline"/>
        <w:outlineLvl w:val="1"/>
        <w:rPr>
          <w:lang w:val="fr-FR"/>
        </w:rPr>
      </w:pPr>
    </w:p>
    <w:p w14:paraId="7A3D92D5" w14:textId="77777777" w:rsidR="00810A15"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jc w:val="both"/>
        <w:textAlignment w:val="baseline"/>
        <w:outlineLvl w:val="1"/>
        <w:rPr>
          <w:lang w:val="fr-FR"/>
        </w:rPr>
      </w:pPr>
      <w:r>
        <w:rPr>
          <w:lang w:val="fr-FR"/>
        </w:rPr>
        <w:t>La taxonomie de certains de ces animaux demeure un domaine en pleine évolution et cette liste officielle est celle que consultent d'autres organismes d'experts, notamment les groupes de spécialistes de l'UICN (cétacés, pinnipèdes, siréniens, etc.), lorsqu'ils identifient les unités taxonomiques à évaluer pour les besoins de la Liste rouge.</w:t>
      </w:r>
    </w:p>
    <w:p w14:paraId="2737016C" w14:textId="77777777" w:rsidR="00810A15" w:rsidRPr="00683175"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jc w:val="both"/>
        <w:textAlignment w:val="baseline"/>
        <w:outlineLvl w:val="1"/>
        <w:rPr>
          <w:lang w:val="fr-FR"/>
        </w:rPr>
      </w:pPr>
    </w:p>
    <w:p w14:paraId="043E5272" w14:textId="77777777" w:rsidR="00810A15" w:rsidRPr="00683175"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jc w:val="both"/>
        <w:textAlignment w:val="baseline"/>
        <w:outlineLvl w:val="1"/>
        <w:rPr>
          <w:lang w:val="fr-FR"/>
        </w:rPr>
      </w:pPr>
      <w:r>
        <w:rPr>
          <w:lang w:val="fr-FR"/>
        </w:rPr>
        <w:t xml:space="preserve">La liste SMM est révisée au moins une fois par an et peut être consultée à l'adresse : </w:t>
      </w:r>
      <w:hyperlink r:id="rId28" w:anchor="list" w:history="1">
        <w:r>
          <w:rPr>
            <w:rStyle w:val="Hyperlink"/>
            <w:lang w:val="fr-FR"/>
          </w:rPr>
          <w:t xml:space="preserve">List of Marine </w:t>
        </w:r>
        <w:proofErr w:type="spellStart"/>
        <w:r>
          <w:rPr>
            <w:rStyle w:val="Hyperlink"/>
            <w:lang w:val="fr-FR"/>
          </w:rPr>
          <w:t>Mammal</w:t>
        </w:r>
        <w:proofErr w:type="spellEnd"/>
        <w:r>
          <w:rPr>
            <w:rStyle w:val="Hyperlink"/>
            <w:lang w:val="fr-FR"/>
          </w:rPr>
          <w:t xml:space="preserve"> </w:t>
        </w:r>
        <w:proofErr w:type="spellStart"/>
        <w:r>
          <w:rPr>
            <w:rStyle w:val="Hyperlink"/>
            <w:lang w:val="fr-FR"/>
          </w:rPr>
          <w:t>Species</w:t>
        </w:r>
        <w:proofErr w:type="spellEnd"/>
        <w:r>
          <w:rPr>
            <w:rStyle w:val="Hyperlink"/>
            <w:lang w:val="fr-FR"/>
          </w:rPr>
          <w:t xml:space="preserve"> and </w:t>
        </w:r>
        <w:proofErr w:type="spellStart"/>
        <w:r>
          <w:rPr>
            <w:rStyle w:val="Hyperlink"/>
            <w:lang w:val="fr-FR"/>
          </w:rPr>
          <w:t>Subspecies</w:t>
        </w:r>
        <w:proofErr w:type="spellEnd"/>
        <w:r>
          <w:rPr>
            <w:rStyle w:val="Hyperlink"/>
            <w:lang w:val="fr-FR"/>
          </w:rPr>
          <w:t xml:space="preserve"> - Society for Marine </w:t>
        </w:r>
        <w:proofErr w:type="spellStart"/>
        <w:r>
          <w:rPr>
            <w:rStyle w:val="Hyperlink"/>
            <w:lang w:val="fr-FR"/>
          </w:rPr>
          <w:t>Mammalogy</w:t>
        </w:r>
        <w:proofErr w:type="spellEnd"/>
        <w:r>
          <w:rPr>
            <w:rStyle w:val="Hyperlink"/>
            <w:lang w:val="fr-FR"/>
          </w:rPr>
          <w:t xml:space="preserve"> (marinemammalscience.org)</w:t>
        </w:r>
      </w:hyperlink>
      <w:r>
        <w:rPr>
          <w:u w:val="single"/>
          <w:vertAlign w:val="superscript"/>
          <w:lang w:val="fr-FR"/>
        </w:rPr>
        <w:footnoteReference w:id="4"/>
      </w:r>
    </w:p>
    <w:p w14:paraId="65ED9A75" w14:textId="77777777" w:rsidR="00810A15"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jc w:val="both"/>
        <w:textAlignment w:val="baseline"/>
        <w:outlineLvl w:val="1"/>
        <w:rPr>
          <w:lang w:val="fr-FR"/>
        </w:rPr>
      </w:pPr>
    </w:p>
    <w:p w14:paraId="674B5970" w14:textId="77777777" w:rsidR="00810A15" w:rsidRPr="00683175"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jc w:val="both"/>
        <w:textAlignment w:val="baseline"/>
        <w:outlineLvl w:val="1"/>
        <w:rPr>
          <w:lang w:val="fr-FR"/>
        </w:rPr>
      </w:pPr>
      <w:r>
        <w:rPr>
          <w:lang w:val="fr-FR"/>
        </w:rPr>
        <w:t xml:space="preserve">S'il y a accord sur ce point, cela signifie que les propositions de nouvelles listes de mammifères aquatiques pourraient être comparées à cette liste de sorte à garantir la conformité taxonomique et certaines mises à jour pourraient s'avérer nécessaires pour certaines des espèces inscrites aux Annexes de la CMS. Une liste des changements proposés doit être établie et soumise à la COP pour validation. Nous serions très heureux de vous aider dans cette tâche. </w:t>
      </w:r>
    </w:p>
    <w:p w14:paraId="50B2FCD9" w14:textId="77777777" w:rsidR="00810A15"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both"/>
        <w:textAlignment w:val="baseline"/>
        <w:outlineLvl w:val="1"/>
        <w:rPr>
          <w:rFonts w:ascii="Times New Roman" w:eastAsia="Times New Roman" w:hAnsi="Times New Roman" w:cs="Times New Roman"/>
          <w:sz w:val="20"/>
          <w:szCs w:val="20"/>
          <w:lang w:val="fr-FR"/>
        </w:rPr>
      </w:pPr>
    </w:p>
    <w:p w14:paraId="7D9ADE87" w14:textId="77777777" w:rsidR="00810A15" w:rsidRPr="00683175"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both"/>
        <w:textAlignment w:val="baseline"/>
        <w:outlineLvl w:val="1"/>
        <w:rPr>
          <w:lang w:val="fr-FR"/>
        </w:rPr>
      </w:pPr>
    </w:p>
    <w:p w14:paraId="3957EF1C" w14:textId="77777777" w:rsidR="00810A15" w:rsidRPr="00837361"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both"/>
        <w:textAlignment w:val="baseline"/>
        <w:outlineLvl w:val="1"/>
        <w:rPr>
          <w:lang w:val="fr-FR"/>
        </w:rPr>
      </w:pPr>
    </w:p>
    <w:p w14:paraId="7D7CC7A1" w14:textId="77777777" w:rsidR="00810A15" w:rsidRPr="00837361"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both"/>
        <w:textAlignment w:val="baseline"/>
        <w:outlineLvl w:val="1"/>
        <w:rPr>
          <w:lang w:val="fr-FR"/>
        </w:rPr>
      </w:pPr>
    </w:p>
    <w:p w14:paraId="3703701D" w14:textId="77777777" w:rsidR="00810A15" w:rsidRPr="00837361"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both"/>
        <w:textAlignment w:val="baseline"/>
        <w:outlineLvl w:val="1"/>
        <w:rPr>
          <w:lang w:val="fr-FR"/>
        </w:rPr>
        <w:sectPr w:rsidR="00810A15" w:rsidRPr="00837361" w:rsidSect="00D93628">
          <w:headerReference w:type="first" r:id="rId29"/>
          <w:pgSz w:w="11906" w:h="16838" w:code="9"/>
          <w:pgMar w:top="1440" w:right="1440" w:bottom="1440" w:left="1440" w:header="720" w:footer="720" w:gutter="0"/>
          <w:cols w:space="720"/>
          <w:titlePg/>
          <w:docGrid w:linePitch="360"/>
        </w:sectPr>
      </w:pPr>
    </w:p>
    <w:p w14:paraId="4654EF23" w14:textId="77777777" w:rsidR="00810A15" w:rsidRDefault="00810A15" w:rsidP="00810A15">
      <w:pPr>
        <w:pStyle w:val="Secondnumbering"/>
        <w:numPr>
          <w:ilvl w:val="0"/>
          <w:numId w:val="0"/>
        </w:numPr>
        <w:jc w:val="right"/>
        <w:rPr>
          <w:lang w:val="fr-FR"/>
        </w:rPr>
      </w:pPr>
      <w:r>
        <w:rPr>
          <w:b/>
          <w:caps/>
          <w:lang w:val="fr-FR"/>
        </w:rPr>
        <w:lastRenderedPageBreak/>
        <w:t>Annexe 2</w:t>
      </w:r>
    </w:p>
    <w:p w14:paraId="4366EDCD" w14:textId="77777777" w:rsidR="00810A15" w:rsidRDefault="00810A15" w:rsidP="00810A15">
      <w:pPr>
        <w:pStyle w:val="Secondnumbering"/>
        <w:numPr>
          <w:ilvl w:val="0"/>
          <w:numId w:val="0"/>
        </w:numPr>
        <w:rPr>
          <w:lang w:val="fr-FR"/>
        </w:rPr>
      </w:pPr>
    </w:p>
    <w:p w14:paraId="5EBDB460" w14:textId="77777777" w:rsidR="00810A15" w:rsidRPr="00541DB7" w:rsidRDefault="00810A15" w:rsidP="00810A15">
      <w:pPr>
        <w:pStyle w:val="Secondnumbering"/>
        <w:numPr>
          <w:ilvl w:val="0"/>
          <w:numId w:val="0"/>
        </w:numPr>
        <w:jc w:val="center"/>
        <w:rPr>
          <w:lang w:val="fr-FR"/>
        </w:rPr>
      </w:pPr>
      <w:r>
        <w:rPr>
          <w:lang w:val="fr-FR"/>
        </w:rPr>
        <w:t>PROPOSITIONS D'AMENDEMENTS À LA RÉSOLUTION 12.27</w:t>
      </w:r>
    </w:p>
    <w:p w14:paraId="2EBDBE16" w14:textId="77777777" w:rsidR="00810A15" w:rsidRPr="0032147C" w:rsidRDefault="00810A15"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center"/>
        <w:textAlignment w:val="baseline"/>
        <w:outlineLvl w:val="1"/>
        <w:rPr>
          <w:rFonts w:cs="Arial"/>
          <w:lang w:val="fr-FR"/>
        </w:rPr>
      </w:pPr>
    </w:p>
    <w:p w14:paraId="40322B75" w14:textId="77B2B0C0" w:rsidR="00810A15" w:rsidRPr="00A23C8C" w:rsidRDefault="00810A15" w:rsidP="00810A15">
      <w:pPr>
        <w:pBdr>
          <w:top w:val="single" w:sz="6" w:space="0" w:color="FFFFFF"/>
          <w:left w:val="single" w:sz="6" w:space="0" w:color="FFFFFF"/>
          <w:bottom w:val="single" w:sz="6" w:space="0" w:color="FFFFFF"/>
          <w:right w:val="single" w:sz="6" w:space="0" w:color="FFFFFF"/>
        </w:pBdr>
        <w:jc w:val="center"/>
        <w:outlineLvl w:val="1"/>
        <w:rPr>
          <w:rFonts w:cs="Arial"/>
          <w:b/>
          <w:caps/>
          <w:lang w:val="fr-FR"/>
        </w:rPr>
      </w:pPr>
      <w:r w:rsidRPr="00A23C8C">
        <w:rPr>
          <w:rFonts w:cs="Arial"/>
          <w:b/>
          <w:caps/>
          <w:lang w:val="fr-FR"/>
        </w:rPr>
        <w:t>TAXONOM</w:t>
      </w:r>
      <w:r w:rsidR="00A23C8C" w:rsidRPr="00A23C8C">
        <w:rPr>
          <w:rFonts w:cs="Arial"/>
          <w:b/>
          <w:caps/>
          <w:lang w:val="fr-FR"/>
        </w:rPr>
        <w:t>IE ET</w:t>
      </w:r>
      <w:r w:rsidRPr="00A23C8C">
        <w:rPr>
          <w:rFonts w:cs="Arial"/>
          <w:b/>
          <w:caps/>
          <w:lang w:val="fr-FR"/>
        </w:rPr>
        <w:t xml:space="preserve"> NOMENCLATURE</w:t>
      </w:r>
    </w:p>
    <w:p w14:paraId="5FB9FCB2" w14:textId="77777777" w:rsidR="00810A15" w:rsidRPr="00A23C8C" w:rsidRDefault="00810A15" w:rsidP="00810A15">
      <w:pPr>
        <w:pBdr>
          <w:top w:val="single" w:sz="6" w:space="0" w:color="FFFFFF"/>
          <w:left w:val="single" w:sz="6" w:space="0" w:color="FFFFFF"/>
          <w:bottom w:val="single" w:sz="6" w:space="0" w:color="FFFFFF"/>
          <w:right w:val="single" w:sz="6" w:space="0" w:color="FFFFFF"/>
        </w:pBdr>
        <w:jc w:val="center"/>
        <w:outlineLvl w:val="1"/>
        <w:rPr>
          <w:rFonts w:cs="Arial"/>
          <w:b/>
          <w:caps/>
          <w:highlight w:val="yellow"/>
          <w:lang w:val="fr-FR"/>
        </w:rPr>
      </w:pPr>
    </w:p>
    <w:p w14:paraId="7D2026A8" w14:textId="77777777" w:rsidR="00810A15" w:rsidRPr="00A23C8C" w:rsidRDefault="00810A15" w:rsidP="00810A15">
      <w:pPr>
        <w:jc w:val="both"/>
        <w:rPr>
          <w:rFonts w:cs="Arial"/>
          <w:lang w:val="fr-FR"/>
        </w:rPr>
      </w:pPr>
    </w:p>
    <w:p w14:paraId="5577EDBF" w14:textId="6EC17A51" w:rsidR="00810A15" w:rsidRPr="00A23C8C" w:rsidRDefault="00A23C8C" w:rsidP="00810A15">
      <w:pPr>
        <w:jc w:val="both"/>
        <w:rPr>
          <w:rFonts w:cs="Arial"/>
          <w:lang w:val="fr-FR"/>
        </w:rPr>
      </w:pPr>
      <w:r w:rsidRPr="00A23C8C">
        <w:rPr>
          <w:lang w:val="fr-FR"/>
        </w:rPr>
        <w:t>Rappelant qu’avec les Recommandations 6.1 et 9.4, les Résolutions 10.13 et 11.19</w:t>
      </w:r>
      <w:r w:rsidRPr="00A23C8C">
        <w:rPr>
          <w:rStyle w:val="FootnoteReference"/>
          <w:rFonts w:cs="Arial"/>
          <w:lang w:val="fr-FR"/>
        </w:rPr>
        <w:footnoteReference w:id="5"/>
      </w:r>
      <w:r w:rsidRPr="00A23C8C">
        <w:rPr>
          <w:lang w:val="fr-FR"/>
        </w:rPr>
        <w:t>, la Conférence des Parties a adopté des références normalisées pour être reconnues et utilisées comme les bases sur lesquelles les Annexes de la CMS et tous leurs amendements, doivent être préparés</w:t>
      </w:r>
    </w:p>
    <w:p w14:paraId="74E895D2" w14:textId="77777777" w:rsidR="00810A15" w:rsidRPr="00A23C8C" w:rsidRDefault="00810A15" w:rsidP="00810A15">
      <w:pPr>
        <w:jc w:val="both"/>
        <w:rPr>
          <w:rFonts w:cs="Arial"/>
          <w:lang w:val="fr-FR"/>
        </w:rPr>
      </w:pPr>
    </w:p>
    <w:p w14:paraId="19C8868A" w14:textId="1357766F" w:rsidR="00810A15" w:rsidRPr="00A23C8C" w:rsidRDefault="00A23C8C" w:rsidP="00810A15">
      <w:pPr>
        <w:jc w:val="both"/>
        <w:rPr>
          <w:rFonts w:cs="Arial"/>
          <w:strike/>
          <w:highlight w:val="yellow"/>
          <w:lang w:val="fr-FR"/>
        </w:rPr>
      </w:pPr>
      <w:r w:rsidRPr="00A23C8C">
        <w:rPr>
          <w:i/>
          <w:iCs/>
          <w:strike/>
          <w:lang w:val="fr-FR"/>
        </w:rPr>
        <w:t>Rappelant</w:t>
      </w:r>
      <w:r w:rsidRPr="00A23C8C">
        <w:rPr>
          <w:strike/>
          <w:lang w:val="fr-FR"/>
        </w:rPr>
        <w:t xml:space="preserve"> la résolution 10.13 sur la Nomenclature normalisée des oiseaux figurant aux annexes de la CMS qui demande au Président du Conseil scientifique de se mettre en rapport avec les présidents des organes consultatifs scientifiques des conventions relatives à la biodiversité, les Secrétariats des AEM concernés et les organisations internationales pertinentes, incluant l’UICN, </w:t>
      </w:r>
      <w:proofErr w:type="spellStart"/>
      <w:r w:rsidRPr="00A23C8C">
        <w:rPr>
          <w:strike/>
          <w:lang w:val="fr-FR"/>
        </w:rPr>
        <w:t>BirdLife</w:t>
      </w:r>
      <w:proofErr w:type="spellEnd"/>
      <w:r w:rsidRPr="00A23C8C">
        <w:rPr>
          <w:strike/>
          <w:lang w:val="fr-FR"/>
        </w:rPr>
        <w:t xml:space="preserve"> International, </w:t>
      </w:r>
      <w:proofErr w:type="spellStart"/>
      <w:r w:rsidRPr="00A23C8C">
        <w:rPr>
          <w:strike/>
          <w:lang w:val="fr-FR"/>
        </w:rPr>
        <w:t>Wetlands</w:t>
      </w:r>
      <w:proofErr w:type="spellEnd"/>
      <w:r w:rsidRPr="00A23C8C">
        <w:rPr>
          <w:strike/>
          <w:lang w:val="fr-FR"/>
        </w:rPr>
        <w:t xml:space="preserve"> International et le PNUE-WCMC, dans le but d’évaluer la possibilité d’adopter une nomenclature et une taxonomie uniques pour les oiseaux, et d’informer le Conseil scientifique lors de sa dix-huitième réunion en vue de l’adoption d’une résolution appropriée à la COP1</w:t>
      </w:r>
      <w:r>
        <w:rPr>
          <w:strike/>
          <w:lang w:val="fr-FR"/>
        </w:rPr>
        <w:t>1,</w:t>
      </w:r>
    </w:p>
    <w:p w14:paraId="3CDE0951" w14:textId="77777777" w:rsidR="00810A15" w:rsidRPr="00A23C8C" w:rsidRDefault="00810A15" w:rsidP="00810A15">
      <w:pPr>
        <w:jc w:val="both"/>
        <w:rPr>
          <w:rFonts w:cs="Arial"/>
          <w:strike/>
          <w:highlight w:val="yellow"/>
          <w:lang w:val="fr-FR"/>
        </w:rPr>
      </w:pPr>
    </w:p>
    <w:p w14:paraId="2D183035" w14:textId="1F03F356" w:rsidR="00810A15" w:rsidRPr="00A23C8C" w:rsidRDefault="00A23C8C" w:rsidP="00A23C8C">
      <w:pPr>
        <w:jc w:val="both"/>
        <w:rPr>
          <w:rFonts w:cs="Arial"/>
          <w:iCs/>
          <w:lang w:val="fr-FR"/>
        </w:rPr>
      </w:pPr>
      <w:r w:rsidRPr="00A23C8C">
        <w:rPr>
          <w:rFonts w:cs="Arial"/>
          <w:i/>
          <w:lang w:val="fr-FR"/>
        </w:rPr>
        <w:t xml:space="preserve">Rappelant </w:t>
      </w:r>
      <w:r w:rsidRPr="00A23C8C">
        <w:rPr>
          <w:rFonts w:cs="Arial"/>
          <w:iCs/>
          <w:lang w:val="fr-FR"/>
        </w:rPr>
        <w:t>que, dans la Résolution 3.1 (Genève, 1991) concernant l'inscription d'espèces aux annexes de la Convention, la Conférence des Parties a décidé que tout autre ajout aux Annexes de la Convention devrait être limité aux espèces ou taxons inférieurs et que les espèces migratrices couvertes par les listes de taxons supérieurs déjà inscrites à l'Annexe II n'ont besoin que d'être identifiées lorsque des accords sont préparés</w:t>
      </w:r>
      <w:r w:rsidR="00810A15" w:rsidRPr="00A23C8C">
        <w:rPr>
          <w:rFonts w:cs="Arial"/>
          <w:iCs/>
          <w:lang w:val="fr-FR"/>
        </w:rPr>
        <w:t>,</w:t>
      </w:r>
    </w:p>
    <w:p w14:paraId="13FE3B8C" w14:textId="77777777" w:rsidR="00810A15" w:rsidRPr="00A23C8C" w:rsidRDefault="00810A15" w:rsidP="00810A15">
      <w:pPr>
        <w:jc w:val="both"/>
        <w:rPr>
          <w:rFonts w:cs="Arial"/>
          <w:highlight w:val="yellow"/>
          <w:lang w:val="fr-FR"/>
        </w:rPr>
      </w:pPr>
    </w:p>
    <w:p w14:paraId="5EA0260F" w14:textId="3A1FDD1B" w:rsidR="00810A15" w:rsidRDefault="00A23C8C" w:rsidP="00810A15">
      <w:pPr>
        <w:jc w:val="both"/>
        <w:rPr>
          <w:lang w:val="fr-FR"/>
        </w:rPr>
      </w:pPr>
      <w:r w:rsidRPr="00A23C8C">
        <w:rPr>
          <w:i/>
          <w:iCs/>
          <w:lang w:val="fr-FR"/>
        </w:rPr>
        <w:t>Notant</w:t>
      </w:r>
      <w:r w:rsidRPr="00A23C8C">
        <w:rPr>
          <w:lang w:val="fr-FR"/>
        </w:rPr>
        <w:t xml:space="preserve"> que la taxonomie et la nomenclature biologiques sont dynamiques</w:t>
      </w:r>
      <w:r>
        <w:rPr>
          <w:lang w:val="fr-FR"/>
        </w:rPr>
        <w:t>,</w:t>
      </w:r>
    </w:p>
    <w:p w14:paraId="7FC628D1" w14:textId="77777777" w:rsidR="00A23C8C" w:rsidRPr="00A23C8C" w:rsidRDefault="00A23C8C" w:rsidP="00810A15">
      <w:pPr>
        <w:jc w:val="both"/>
        <w:rPr>
          <w:rFonts w:cs="Arial"/>
          <w:highlight w:val="yellow"/>
          <w:lang w:val="fr-FR"/>
        </w:rPr>
      </w:pPr>
    </w:p>
    <w:p w14:paraId="136E4182" w14:textId="1E07E9F4" w:rsidR="00810A15" w:rsidRDefault="00A23C8C" w:rsidP="00810A15">
      <w:pPr>
        <w:jc w:val="both"/>
        <w:rPr>
          <w:lang w:val="fr-FR"/>
        </w:rPr>
      </w:pPr>
      <w:r w:rsidRPr="00A23C8C">
        <w:rPr>
          <w:i/>
          <w:iCs/>
          <w:lang w:val="fr-FR"/>
        </w:rPr>
        <w:t>Consciente</w:t>
      </w:r>
      <w:r w:rsidRPr="00A23C8C">
        <w:rPr>
          <w:lang w:val="fr-FR"/>
        </w:rPr>
        <w:t xml:space="preserve"> que les efforts internationaux pour prendre des mesures cohérentes afin de conserver et utiliser durablement la diversité biologique au niveau des espèces peuvent être considérablement entravés s’il n’y a pas de compréhension commune au sujet des animaux ou des plantes correspondant à chaque nom d’espèce, et que ce manque de compréhension peut poser des problèmes particuliers pour des activités telles que la mise en œuvre des conventions ayant potentiellement des implications juridiques</w:t>
      </w:r>
      <w:r>
        <w:rPr>
          <w:lang w:val="fr-FR"/>
        </w:rPr>
        <w:t>,</w:t>
      </w:r>
    </w:p>
    <w:p w14:paraId="0FEDA2B1" w14:textId="77777777" w:rsidR="00A23C8C" w:rsidRPr="00A23C8C" w:rsidRDefault="00A23C8C" w:rsidP="00810A15">
      <w:pPr>
        <w:jc w:val="both"/>
        <w:rPr>
          <w:rFonts w:cs="Arial"/>
          <w:highlight w:val="yellow"/>
          <w:lang w:val="fr-FR"/>
        </w:rPr>
      </w:pPr>
    </w:p>
    <w:p w14:paraId="659ECE84" w14:textId="368D5E1D" w:rsidR="00810A15" w:rsidRPr="00A23C8C" w:rsidRDefault="00A23C8C" w:rsidP="00810A15">
      <w:pPr>
        <w:jc w:val="both"/>
        <w:rPr>
          <w:strike/>
          <w:lang w:val="fr-FR"/>
        </w:rPr>
      </w:pPr>
      <w:r w:rsidRPr="00A23C8C">
        <w:rPr>
          <w:i/>
          <w:iCs/>
          <w:strike/>
          <w:lang w:val="fr-FR"/>
        </w:rPr>
        <w:t>Reconnaissant</w:t>
      </w:r>
      <w:r w:rsidRPr="00A23C8C">
        <w:rPr>
          <w:strike/>
          <w:lang w:val="fr-FR"/>
        </w:rPr>
        <w:t xml:space="preserve"> que lors de la 4ème réunion des présidents des organismes scientifiques consultatifs (Chairs of the Scientific Advisory Bodies - CSAB) des Conventions liées à la biodiversité (Gland, Suisse, le 13 février 2011), le CSAB a approuvé l’idée de s’orienter vers une harmonisation de la nomenclature et de la taxonomie au niveau des listes d’espèces utilisées par les différentes conventions apparentées à la biodiversité et a salué le processus d’harmonisation entrepris par la CITES et la CMS,</w:t>
      </w:r>
    </w:p>
    <w:p w14:paraId="50D82751" w14:textId="77777777" w:rsidR="00A23C8C" w:rsidRPr="00A23C8C" w:rsidRDefault="00A23C8C" w:rsidP="00810A15">
      <w:pPr>
        <w:jc w:val="both"/>
        <w:rPr>
          <w:rFonts w:cs="Arial"/>
          <w:bCs/>
          <w:i/>
          <w:highlight w:val="yellow"/>
          <w:lang w:val="fr-FR"/>
        </w:rPr>
      </w:pPr>
    </w:p>
    <w:p w14:paraId="18657BEA" w14:textId="1C5B41B0" w:rsidR="00810A15" w:rsidRPr="00A23C8C" w:rsidRDefault="00A23C8C" w:rsidP="00810A15">
      <w:pPr>
        <w:jc w:val="both"/>
        <w:rPr>
          <w:rFonts w:cs="Arial"/>
          <w:i/>
          <w:iCs/>
          <w:highlight w:val="yellow"/>
          <w:lang w:val="fr-FR"/>
        </w:rPr>
      </w:pPr>
      <w:r w:rsidRPr="00A23C8C">
        <w:rPr>
          <w:i/>
          <w:iCs/>
          <w:lang w:val="fr-FR"/>
        </w:rPr>
        <w:t>Reconnaissant</w:t>
      </w:r>
      <w:r w:rsidRPr="00A23C8C">
        <w:rPr>
          <w:lang w:val="fr-FR"/>
        </w:rPr>
        <w:t xml:space="preserve"> qu’afin de renforcer l'effort global consistant à répondre aux objectifs </w:t>
      </w:r>
      <w:r w:rsidRPr="00A23C8C">
        <w:rPr>
          <w:u w:val="single"/>
          <w:lang w:val="fr-FR"/>
        </w:rPr>
        <w:t>du cadre mondial pour la biodiversité Kunming-</w:t>
      </w:r>
      <w:proofErr w:type="gramStart"/>
      <w:r w:rsidRPr="00A23C8C">
        <w:rPr>
          <w:u w:val="single"/>
          <w:lang w:val="fr-FR"/>
        </w:rPr>
        <w:t>Montréal</w:t>
      </w:r>
      <w:r w:rsidRPr="00A23C8C">
        <w:rPr>
          <w:lang w:val="fr-FR"/>
        </w:rPr>
        <w:t xml:space="preserve"> </w:t>
      </w:r>
      <w:r w:rsidRPr="00A23C8C">
        <w:rPr>
          <w:strike/>
          <w:lang w:val="fr-FR"/>
        </w:rPr>
        <w:t xml:space="preserve"> de</w:t>
      </w:r>
      <w:proofErr w:type="gramEnd"/>
      <w:r w:rsidRPr="00A23C8C">
        <w:rPr>
          <w:strike/>
          <w:lang w:val="fr-FR"/>
        </w:rPr>
        <w:t xml:space="preserve"> biodiversité Aichi (Aichi </w:t>
      </w:r>
      <w:proofErr w:type="spellStart"/>
      <w:r w:rsidRPr="00A23C8C">
        <w:rPr>
          <w:strike/>
          <w:lang w:val="fr-FR"/>
        </w:rPr>
        <w:t>Biodiversity</w:t>
      </w:r>
      <w:proofErr w:type="spellEnd"/>
      <w:r w:rsidRPr="00A23C8C">
        <w:rPr>
          <w:strike/>
          <w:lang w:val="fr-FR"/>
        </w:rPr>
        <w:t xml:space="preserve"> </w:t>
      </w:r>
      <w:proofErr w:type="spellStart"/>
      <w:r w:rsidRPr="00A23C8C">
        <w:rPr>
          <w:strike/>
          <w:lang w:val="fr-FR"/>
        </w:rPr>
        <w:t>Targets</w:t>
      </w:r>
      <w:proofErr w:type="spellEnd"/>
      <w:r w:rsidRPr="00A23C8C">
        <w:rPr>
          <w:strike/>
          <w:lang w:val="fr-FR"/>
        </w:rPr>
        <w:t>) en vue de réduire les pertes de biodiversité en 2020</w:t>
      </w:r>
      <w:r w:rsidRPr="00A23C8C">
        <w:rPr>
          <w:lang w:val="fr-FR"/>
        </w:rPr>
        <w:t>, il faudrait tenter d’assurer une plus grande harmonisation entre les différents accords environnementaux, multilatéraux, portant sur la biodiversité dans le domaine de la taxonomie et de la nomenclature</w:t>
      </w:r>
      <w:r>
        <w:rPr>
          <w:lang w:val="fr-FR"/>
        </w:rPr>
        <w:t>,</w:t>
      </w:r>
    </w:p>
    <w:p w14:paraId="084F914F" w14:textId="77777777" w:rsidR="00810A15" w:rsidRPr="00A23C8C" w:rsidRDefault="00810A15" w:rsidP="00810A15">
      <w:pPr>
        <w:jc w:val="both"/>
        <w:rPr>
          <w:rFonts w:cs="Arial"/>
          <w:highlight w:val="yellow"/>
          <w:lang w:val="fr-FR"/>
        </w:rPr>
      </w:pPr>
    </w:p>
    <w:p w14:paraId="6F863A3F" w14:textId="746D8C5C" w:rsidR="00810A15" w:rsidRPr="000B14A4" w:rsidRDefault="000B14A4" w:rsidP="00810A15">
      <w:pPr>
        <w:jc w:val="both"/>
        <w:rPr>
          <w:rFonts w:cs="Arial"/>
          <w:bCs/>
          <w:i/>
          <w:highlight w:val="yellow"/>
          <w:lang w:val="fr-FR"/>
        </w:rPr>
      </w:pPr>
      <w:r w:rsidRPr="000B14A4">
        <w:rPr>
          <w:i/>
          <w:iCs/>
          <w:lang w:val="fr-FR"/>
        </w:rPr>
        <w:t>Notant par ailleurs</w:t>
      </w:r>
      <w:r w:rsidRPr="000B14A4">
        <w:rPr>
          <w:lang w:val="fr-FR"/>
        </w:rPr>
        <w:t xml:space="preserve"> qu’une telle harmonisation est devenue d’autant plus indispensable que sur </w:t>
      </w:r>
      <w:r w:rsidRPr="000B14A4">
        <w:rPr>
          <w:u w:val="single"/>
          <w:lang w:val="fr-FR"/>
        </w:rPr>
        <w:t>133</w:t>
      </w:r>
      <w:r>
        <w:rPr>
          <w:lang w:val="fr-FR"/>
        </w:rPr>
        <w:t xml:space="preserve"> </w:t>
      </w:r>
      <w:r w:rsidRPr="000B14A4">
        <w:rPr>
          <w:strike/>
          <w:lang w:val="fr-FR"/>
        </w:rPr>
        <w:t>124</w:t>
      </w:r>
      <w:r w:rsidRPr="000B14A4">
        <w:rPr>
          <w:lang w:val="fr-FR"/>
        </w:rPr>
        <w:t xml:space="preserve"> Parties de la CMS, seule une n’est pas également membre de la CITES</w:t>
      </w:r>
    </w:p>
    <w:p w14:paraId="0B7565B8" w14:textId="77777777" w:rsidR="00810A15" w:rsidRPr="000B14A4" w:rsidRDefault="00810A15" w:rsidP="00810A15">
      <w:pPr>
        <w:jc w:val="both"/>
        <w:rPr>
          <w:rFonts w:cs="Arial"/>
          <w:highlight w:val="yellow"/>
          <w:lang w:val="fr-FR"/>
        </w:rPr>
      </w:pPr>
    </w:p>
    <w:p w14:paraId="7C3A2FA9" w14:textId="3EAE07FB" w:rsidR="00810A15" w:rsidRDefault="000B14A4" w:rsidP="00810A15">
      <w:pPr>
        <w:jc w:val="both"/>
        <w:rPr>
          <w:lang w:val="fr-FR"/>
        </w:rPr>
      </w:pPr>
      <w:r w:rsidRPr="000B14A4">
        <w:rPr>
          <w:i/>
          <w:iCs/>
          <w:lang w:val="fr-FR"/>
        </w:rPr>
        <w:lastRenderedPageBreak/>
        <w:t>Reconnaissant</w:t>
      </w:r>
      <w:r w:rsidRPr="000B14A4">
        <w:rPr>
          <w:lang w:val="fr-FR"/>
        </w:rPr>
        <w:t xml:space="preserve"> que l’harmonisation de la nomenclature </w:t>
      </w:r>
      <w:proofErr w:type="gramStart"/>
      <w:r w:rsidRPr="000B14A4">
        <w:rPr>
          <w:lang w:val="fr-FR"/>
        </w:rPr>
        <w:t>peut</w:t>
      </w:r>
      <w:proofErr w:type="gramEnd"/>
      <w:r w:rsidRPr="000B14A4">
        <w:rPr>
          <w:lang w:val="fr-FR"/>
        </w:rPr>
        <w:t xml:space="preserve"> conduire à un processus plus intégré, à une réduction des duplications et à un meilleur partage de l’information entre les différents Accords Multilatéraux sur l’Environnement relatives à la biodiversité (AME)</w:t>
      </w:r>
      <w:r>
        <w:rPr>
          <w:lang w:val="fr-FR"/>
        </w:rPr>
        <w:t>.</w:t>
      </w:r>
    </w:p>
    <w:p w14:paraId="61BF35AC" w14:textId="77777777" w:rsidR="000B14A4" w:rsidRPr="000B14A4" w:rsidRDefault="000B14A4" w:rsidP="00810A15">
      <w:pPr>
        <w:jc w:val="both"/>
        <w:rPr>
          <w:rFonts w:cs="Arial"/>
          <w:highlight w:val="yellow"/>
          <w:lang w:val="fr-FR"/>
        </w:rPr>
      </w:pPr>
    </w:p>
    <w:p w14:paraId="36651D1C" w14:textId="70A7B5FD" w:rsidR="00810A15" w:rsidRDefault="000B14A4" w:rsidP="00810A15">
      <w:pPr>
        <w:jc w:val="both"/>
        <w:rPr>
          <w:lang w:val="fr-FR"/>
        </w:rPr>
      </w:pPr>
      <w:r w:rsidRPr="000B14A4">
        <w:rPr>
          <w:i/>
          <w:iCs/>
          <w:lang w:val="fr-FR"/>
        </w:rPr>
        <w:t>Rappelant</w:t>
      </w:r>
      <w:r w:rsidRPr="000B14A4">
        <w:rPr>
          <w:lang w:val="fr-FR"/>
        </w:rPr>
        <w:t xml:space="preserve"> que cet objectif a été pris en compte dans la 6ème réunion du groupe de liaison des Conventions liées à la biodiversité (Bonn, mai 2008), et qu’il figure donc dans la liste des activités communes de la CITES/CMS adoptée lors de la 34ème réunion du comité permanent de la CMS (Rome, novembre 2008) , et le plan de travail commun 2012-2014 entre la CMS et la CITES adopté par la 38ème réunion du Comité permanent (Bergen, Novembre 2011)</w:t>
      </w:r>
      <w:r>
        <w:rPr>
          <w:lang w:val="fr-FR"/>
        </w:rPr>
        <w:t>,</w:t>
      </w:r>
    </w:p>
    <w:p w14:paraId="58ABDF86" w14:textId="77777777" w:rsidR="000B14A4" w:rsidRPr="000B14A4" w:rsidRDefault="000B14A4" w:rsidP="00810A15">
      <w:pPr>
        <w:jc w:val="both"/>
        <w:rPr>
          <w:rFonts w:cs="Arial"/>
          <w:highlight w:val="yellow"/>
          <w:lang w:val="fr-FR"/>
        </w:rPr>
      </w:pPr>
    </w:p>
    <w:p w14:paraId="601A7936" w14:textId="2DE40014" w:rsidR="00810A15" w:rsidRPr="00C27451" w:rsidRDefault="00C27451" w:rsidP="00810A15">
      <w:pPr>
        <w:jc w:val="both"/>
        <w:rPr>
          <w:rFonts w:cs="Arial"/>
          <w:highlight w:val="yellow"/>
          <w:lang w:val="fr-FR"/>
        </w:rPr>
      </w:pPr>
      <w:r w:rsidRPr="00C27451">
        <w:rPr>
          <w:i/>
          <w:iCs/>
          <w:lang w:val="fr-FR"/>
        </w:rPr>
        <w:t>Sachant en outre</w:t>
      </w:r>
      <w:r w:rsidRPr="00C27451">
        <w:rPr>
          <w:lang w:val="fr-FR"/>
        </w:rPr>
        <w:t xml:space="preserve"> que l’harmonisation de la taxonomie et de la nomenclature des oiseaux entre les AEM et les autres partenaires, tels que </w:t>
      </w:r>
      <w:r w:rsidRPr="00C27451">
        <w:rPr>
          <w:strike/>
          <w:lang w:val="fr-FR"/>
        </w:rPr>
        <w:t>la CMS,</w:t>
      </w:r>
      <w:r w:rsidRPr="00C27451">
        <w:rPr>
          <w:lang w:val="fr-FR"/>
        </w:rPr>
        <w:t xml:space="preserve"> la CITES, Ramsar, l’UICN, </w:t>
      </w:r>
      <w:proofErr w:type="spellStart"/>
      <w:r w:rsidRPr="00C27451">
        <w:rPr>
          <w:lang w:val="fr-FR"/>
        </w:rPr>
        <w:t>BirdLife</w:t>
      </w:r>
      <w:proofErr w:type="spellEnd"/>
      <w:r w:rsidRPr="00C27451">
        <w:rPr>
          <w:lang w:val="fr-FR"/>
        </w:rPr>
        <w:t xml:space="preserve"> International, </w:t>
      </w:r>
      <w:proofErr w:type="spellStart"/>
      <w:r w:rsidRPr="00C27451">
        <w:rPr>
          <w:lang w:val="fr-FR"/>
        </w:rPr>
        <w:t>Wetlands</w:t>
      </w:r>
      <w:proofErr w:type="spellEnd"/>
      <w:r w:rsidRPr="00C27451">
        <w:rPr>
          <w:lang w:val="fr-FR"/>
        </w:rPr>
        <w:t xml:space="preserve"> International et le PNUE-WCMC, peut améliorer les synergies au bénéfice de la conservation des espèces migratrices et d’une meilleure mise en œuvre des instruments de la Famille CMS</w:t>
      </w:r>
    </w:p>
    <w:p w14:paraId="72A8F5BD" w14:textId="77777777" w:rsidR="00810A15" w:rsidRPr="00C27451" w:rsidRDefault="00810A15" w:rsidP="00810A15">
      <w:pPr>
        <w:jc w:val="both"/>
        <w:rPr>
          <w:rFonts w:cs="Arial"/>
          <w:highlight w:val="yellow"/>
          <w:lang w:val="fr-FR"/>
        </w:rPr>
      </w:pPr>
    </w:p>
    <w:p w14:paraId="28FD4195" w14:textId="03D3FBB4" w:rsidR="00810A15" w:rsidRDefault="00C27451" w:rsidP="00810A15">
      <w:pPr>
        <w:jc w:val="both"/>
        <w:rPr>
          <w:lang w:val="fr-FR"/>
        </w:rPr>
      </w:pPr>
      <w:r w:rsidRPr="00C27451">
        <w:rPr>
          <w:i/>
          <w:iCs/>
          <w:lang w:val="fr-FR"/>
        </w:rPr>
        <w:t>Reconnaissant</w:t>
      </w:r>
      <w:r w:rsidRPr="00C27451">
        <w:rPr>
          <w:lang w:val="fr-FR"/>
        </w:rPr>
        <w:t xml:space="preserve"> que les présidents des organes consultatifs scientifiques des conventions relatives à la biodiversité (CSAB - Chairs of the Scientific Advisory Bodies of the </w:t>
      </w:r>
      <w:proofErr w:type="spellStart"/>
      <w:r w:rsidRPr="00C27451">
        <w:rPr>
          <w:lang w:val="fr-FR"/>
        </w:rPr>
        <w:t>Biodiversityrelated</w:t>
      </w:r>
      <w:proofErr w:type="spellEnd"/>
      <w:r w:rsidRPr="00C27451">
        <w:rPr>
          <w:lang w:val="fr-FR"/>
        </w:rPr>
        <w:t xml:space="preserve"> Conventions) ont à plusieurs reprises exprimé leur soutien à l’idée de progresser vers une harmonisation de la nomenclature et de la taxonomie utilisées dans les listes d’espèces, et ont demandé une coopération renforcée entre les AEM vers cet objectif,</w:t>
      </w:r>
    </w:p>
    <w:p w14:paraId="2D071597" w14:textId="77777777" w:rsidR="00C27451" w:rsidRPr="00C27451" w:rsidRDefault="00C27451" w:rsidP="00810A15">
      <w:pPr>
        <w:jc w:val="both"/>
        <w:rPr>
          <w:rFonts w:cs="Arial"/>
          <w:highlight w:val="yellow"/>
          <w:lang w:val="fr-FR"/>
        </w:rPr>
      </w:pPr>
    </w:p>
    <w:p w14:paraId="16C9CCFE" w14:textId="4E155388" w:rsidR="00810A15" w:rsidRPr="00C27451" w:rsidRDefault="00C27451" w:rsidP="00810A15">
      <w:pPr>
        <w:jc w:val="both"/>
        <w:rPr>
          <w:rFonts w:cs="Arial"/>
          <w:i/>
          <w:strike/>
          <w:highlight w:val="yellow"/>
          <w:lang w:val="fr-FR"/>
        </w:rPr>
      </w:pPr>
      <w:r w:rsidRPr="00C27451">
        <w:rPr>
          <w:i/>
          <w:iCs/>
          <w:strike/>
          <w:lang w:val="fr-FR"/>
        </w:rPr>
        <w:t>Prenant note</w:t>
      </w:r>
      <w:r w:rsidRPr="00C27451">
        <w:rPr>
          <w:strike/>
          <w:lang w:val="fr-FR"/>
        </w:rPr>
        <w:t xml:space="preserve"> du rapport de la réunion ad hoc sur l’harmonisation de la taxonomie des oiseaux qui a eu lieu à Formia (Italie) le 8 octobre 2013 (PNUE/CMS/ScC18/Inf.9.1), et remerciant le Président du Conseil scientifique pour la tenue de cette réunion,</w:t>
      </w:r>
    </w:p>
    <w:p w14:paraId="56C9FA46" w14:textId="77777777" w:rsidR="00810A15" w:rsidRPr="00C27451" w:rsidRDefault="00810A15" w:rsidP="00810A15">
      <w:pPr>
        <w:jc w:val="both"/>
        <w:rPr>
          <w:rFonts w:cs="Arial"/>
          <w:strike/>
          <w:highlight w:val="yellow"/>
          <w:lang w:val="fr-FR"/>
        </w:rPr>
      </w:pPr>
    </w:p>
    <w:p w14:paraId="1D932CA5" w14:textId="14DC2532" w:rsidR="00810A15" w:rsidRPr="00C27451" w:rsidRDefault="00C27451" w:rsidP="00810A15">
      <w:pPr>
        <w:jc w:val="both"/>
        <w:rPr>
          <w:rFonts w:cs="Arial"/>
          <w:i/>
          <w:strike/>
          <w:lang w:val="fr-FR"/>
        </w:rPr>
      </w:pPr>
      <w:r w:rsidRPr="00C27451">
        <w:rPr>
          <w:i/>
          <w:iCs/>
          <w:strike/>
          <w:lang w:val="fr-FR"/>
        </w:rPr>
        <w:t>Prenant également note</w:t>
      </w:r>
      <w:r w:rsidRPr="00C27451">
        <w:rPr>
          <w:strike/>
          <w:lang w:val="fr-FR"/>
        </w:rPr>
        <w:t xml:space="preserve"> du rapport du Comité pour les animaux de la CITES qui s’est réuni à Veracruz (Mexique) du 28 avril au 3 mai 2014</w:t>
      </w:r>
      <w:r w:rsidR="00810A15" w:rsidRPr="00C27451">
        <w:rPr>
          <w:rFonts w:cs="Arial"/>
          <w:strike/>
          <w:lang w:val="fr-FR"/>
        </w:rPr>
        <w:t>,</w:t>
      </w:r>
    </w:p>
    <w:p w14:paraId="322467EB" w14:textId="77777777" w:rsidR="00810A15" w:rsidRPr="00C27451" w:rsidRDefault="00810A15" w:rsidP="00810A15">
      <w:pPr>
        <w:jc w:val="both"/>
        <w:rPr>
          <w:rFonts w:cs="Arial"/>
          <w:highlight w:val="yellow"/>
          <w:lang w:val="fr-FR"/>
        </w:rPr>
      </w:pPr>
    </w:p>
    <w:p w14:paraId="36940B13" w14:textId="0AC2A59A" w:rsidR="00810A15" w:rsidRDefault="00C27451" w:rsidP="00810A15">
      <w:pPr>
        <w:jc w:val="both"/>
        <w:rPr>
          <w:lang w:val="fr-FR"/>
        </w:rPr>
      </w:pPr>
      <w:r w:rsidRPr="00C27451">
        <w:rPr>
          <w:i/>
          <w:iCs/>
          <w:lang w:val="fr-FR"/>
        </w:rPr>
        <w:t>Soulignant</w:t>
      </w:r>
      <w:r w:rsidRPr="00C27451">
        <w:rPr>
          <w:lang w:val="fr-FR"/>
        </w:rPr>
        <w:t xml:space="preserve"> qu’en dépit de l’adoption, pour des raisons pratiques concernant les références de nomenclature standard au niveau des espèces, la diversité biologique à tous les niveaux taxonomiques doit être valorisée, préservée et utilisée de manière durable</w:t>
      </w:r>
      <w:r>
        <w:rPr>
          <w:lang w:val="fr-FR"/>
        </w:rPr>
        <w:t>,</w:t>
      </w:r>
    </w:p>
    <w:p w14:paraId="0B02799D" w14:textId="77777777" w:rsidR="00C27451" w:rsidRPr="00C27451" w:rsidRDefault="00C27451" w:rsidP="00810A15">
      <w:pPr>
        <w:jc w:val="both"/>
        <w:rPr>
          <w:rFonts w:cs="Arial"/>
          <w:highlight w:val="yellow"/>
          <w:lang w:val="fr-FR"/>
        </w:rPr>
      </w:pPr>
    </w:p>
    <w:p w14:paraId="1CC798AD" w14:textId="5F158CFD" w:rsidR="00810A15" w:rsidRPr="00C27451" w:rsidRDefault="00C27451" w:rsidP="00810A15">
      <w:pPr>
        <w:jc w:val="both"/>
        <w:rPr>
          <w:strike/>
          <w:lang w:val="fr-FR"/>
        </w:rPr>
      </w:pPr>
      <w:r w:rsidRPr="00C27451">
        <w:rPr>
          <w:i/>
          <w:iCs/>
          <w:strike/>
          <w:lang w:val="fr-FR"/>
        </w:rPr>
        <w:t>Prenant note</w:t>
      </w:r>
      <w:r w:rsidRPr="00C27451">
        <w:rPr>
          <w:strike/>
          <w:lang w:val="fr-FR"/>
        </w:rPr>
        <w:t xml:space="preserve"> des Recommandations de la 15e réunion du Conseil Scientifique de la CMS (Rome, 27-28 novembre 2008) concernant la révision de la nomenclature de référence pour des espèces de mammifères terrestres et aquatiques, inscrites dans les Annexes de la CMS,</w:t>
      </w:r>
    </w:p>
    <w:p w14:paraId="0D207467" w14:textId="77777777" w:rsidR="00C27451" w:rsidRPr="00C27451" w:rsidRDefault="00C27451" w:rsidP="00810A15">
      <w:pPr>
        <w:jc w:val="both"/>
        <w:rPr>
          <w:rFonts w:cs="Arial"/>
          <w:strike/>
          <w:highlight w:val="yellow"/>
          <w:lang w:val="fr-FR"/>
        </w:rPr>
      </w:pPr>
    </w:p>
    <w:p w14:paraId="1200409C" w14:textId="366C96FF" w:rsidR="00810A15" w:rsidRPr="00C27451" w:rsidRDefault="00C27451" w:rsidP="00810A15">
      <w:pPr>
        <w:jc w:val="both"/>
        <w:rPr>
          <w:strike/>
          <w:lang w:val="fr-FR"/>
        </w:rPr>
      </w:pPr>
      <w:r w:rsidRPr="00C27451">
        <w:rPr>
          <w:i/>
          <w:iCs/>
          <w:strike/>
          <w:lang w:val="fr-FR"/>
        </w:rPr>
        <w:t>Notant</w:t>
      </w:r>
      <w:r w:rsidRPr="00C27451">
        <w:rPr>
          <w:strike/>
          <w:lang w:val="fr-FR"/>
        </w:rPr>
        <w:t xml:space="preserve"> la recommandation formulée par le Conseil scientifique de la CMS lors de sa 18e réunion (Bonn, 1-3 juillet 2014), sur une référence de nomenclature normalisée pour les oiseaux non-passereaux,</w:t>
      </w:r>
    </w:p>
    <w:p w14:paraId="0D4F96A5" w14:textId="77777777" w:rsidR="00C27451" w:rsidRPr="00C27451" w:rsidRDefault="00C27451" w:rsidP="00810A15">
      <w:pPr>
        <w:jc w:val="both"/>
        <w:rPr>
          <w:rFonts w:cs="Arial"/>
          <w:strike/>
          <w:highlight w:val="yellow"/>
          <w:lang w:val="fr-FR"/>
        </w:rPr>
      </w:pPr>
    </w:p>
    <w:p w14:paraId="63D464C2" w14:textId="5DB9E6D4" w:rsidR="00810A15" w:rsidRPr="002B40E4" w:rsidRDefault="002B40E4" w:rsidP="00810A15">
      <w:pPr>
        <w:jc w:val="both"/>
        <w:rPr>
          <w:strike/>
          <w:lang w:val="fr-FR"/>
        </w:rPr>
      </w:pPr>
      <w:r w:rsidRPr="002B40E4">
        <w:rPr>
          <w:i/>
          <w:iCs/>
          <w:strike/>
          <w:lang w:val="fr-FR"/>
        </w:rPr>
        <w:t>Notant</w:t>
      </w:r>
      <w:r w:rsidRPr="002B40E4">
        <w:rPr>
          <w:strike/>
          <w:lang w:val="fr-FR"/>
        </w:rPr>
        <w:t xml:space="preserve"> qu’en ce qui concerne les albatros et les pétrels, la COP10 a adopté la taxonomie utilisée par l’ACAP comme référence de nomenclature normalisée de la Convention, et que l’ACAP tient compte des plus récentes informations taxonomiques sur les espèces d’albatros et de </w:t>
      </w:r>
      <w:proofErr w:type="spellStart"/>
      <w:r w:rsidRPr="002B40E4">
        <w:rPr>
          <w:strike/>
          <w:lang w:val="fr-FR"/>
        </w:rPr>
        <w:t>petrels</w:t>
      </w:r>
      <w:proofErr w:type="spellEnd"/>
      <w:r w:rsidRPr="002B40E4">
        <w:rPr>
          <w:strike/>
          <w:lang w:val="fr-FR"/>
        </w:rPr>
        <w:t>,</w:t>
      </w:r>
    </w:p>
    <w:p w14:paraId="0E0A0C26" w14:textId="77777777" w:rsidR="002B40E4" w:rsidRPr="002B40E4" w:rsidRDefault="002B40E4" w:rsidP="00810A15">
      <w:pPr>
        <w:jc w:val="both"/>
        <w:rPr>
          <w:rFonts w:cs="Arial"/>
          <w:highlight w:val="yellow"/>
          <w:lang w:val="fr-FR"/>
        </w:rPr>
      </w:pPr>
    </w:p>
    <w:p w14:paraId="662A5C69" w14:textId="7939055F" w:rsidR="00810A15" w:rsidRPr="002B40E4" w:rsidRDefault="002B40E4" w:rsidP="00810A15">
      <w:pPr>
        <w:jc w:val="both"/>
        <w:rPr>
          <w:rFonts w:cs="Arial"/>
          <w:spacing w:val="-4"/>
          <w:highlight w:val="yellow"/>
          <w:lang w:val="fr-FR"/>
        </w:rPr>
      </w:pPr>
      <w:r w:rsidRPr="002B40E4">
        <w:rPr>
          <w:i/>
          <w:iCs/>
          <w:lang w:val="fr-FR"/>
        </w:rPr>
        <w:t>Reconnaissant</w:t>
      </w:r>
      <w:r w:rsidRPr="002B40E4">
        <w:rPr>
          <w:lang w:val="fr-FR"/>
        </w:rPr>
        <w:t xml:space="preserve"> que l’adoption d’une nouvelle référence </w:t>
      </w:r>
      <w:proofErr w:type="gramStart"/>
      <w:r w:rsidRPr="002B40E4">
        <w:rPr>
          <w:lang w:val="fr-FR"/>
        </w:rPr>
        <w:t>peut</w:t>
      </w:r>
      <w:proofErr w:type="gramEnd"/>
      <w:r w:rsidRPr="002B40E4">
        <w:rPr>
          <w:lang w:val="fr-FR"/>
        </w:rPr>
        <w:t xml:space="preserve"> impliquer des cas de synonymie, de regroupement (fusion) et/ou de division d’espèces, et que la CMS a convenu de règles </w:t>
      </w:r>
      <w:r w:rsidRPr="002B40E4">
        <w:rPr>
          <w:u w:val="single"/>
          <w:lang w:val="fr-FR"/>
        </w:rPr>
        <w:t>comme indiquées ci-dessous</w:t>
      </w:r>
      <w:r>
        <w:rPr>
          <w:u w:val="single"/>
          <w:lang w:val="fr-FR"/>
        </w:rPr>
        <w:t>,</w:t>
      </w:r>
      <w:r w:rsidRPr="002B40E4">
        <w:rPr>
          <w:lang w:val="fr-FR"/>
        </w:rPr>
        <w:t xml:space="preserve"> sur la façon d’agir dans de tels cas et de leurs implications pour les annexes</w:t>
      </w:r>
    </w:p>
    <w:p w14:paraId="0228249B" w14:textId="77777777" w:rsidR="00810A15" w:rsidRPr="002B40E4" w:rsidRDefault="00810A15" w:rsidP="00810A15">
      <w:pPr>
        <w:jc w:val="both"/>
        <w:rPr>
          <w:rFonts w:cs="Arial"/>
          <w:spacing w:val="-4"/>
          <w:highlight w:val="yellow"/>
          <w:lang w:val="fr-FR"/>
        </w:rPr>
      </w:pPr>
    </w:p>
    <w:p w14:paraId="7ACC4138" w14:textId="7ED096EE" w:rsidR="00810A15" w:rsidRPr="002B40E4" w:rsidRDefault="002B40E4" w:rsidP="00810A15">
      <w:pPr>
        <w:jc w:val="both"/>
        <w:rPr>
          <w:strike/>
          <w:lang w:val="fr-FR"/>
        </w:rPr>
      </w:pPr>
      <w:r w:rsidRPr="002B40E4">
        <w:rPr>
          <w:i/>
          <w:iCs/>
          <w:strike/>
          <w:lang w:val="fr-FR"/>
        </w:rPr>
        <w:t>Notant</w:t>
      </w:r>
      <w:r w:rsidRPr="002B40E4">
        <w:rPr>
          <w:strike/>
          <w:lang w:val="fr-FR"/>
        </w:rPr>
        <w:t xml:space="preserve"> l’avis du Conseil scientifique de la CMS lors de sa 17e réunion (Bergen, novembre 2011),</w:t>
      </w:r>
    </w:p>
    <w:p w14:paraId="31BE9A79" w14:textId="77777777" w:rsidR="002B40E4" w:rsidRPr="002B40E4" w:rsidRDefault="002B40E4" w:rsidP="00810A15">
      <w:pPr>
        <w:jc w:val="both"/>
        <w:rPr>
          <w:rFonts w:cs="Arial"/>
          <w:strike/>
          <w:highlight w:val="yellow"/>
          <w:lang w:val="fr-FR"/>
        </w:rPr>
      </w:pPr>
    </w:p>
    <w:p w14:paraId="53017647" w14:textId="1E16CF12" w:rsidR="00810A15" w:rsidRDefault="002B40E4" w:rsidP="00810A15">
      <w:pPr>
        <w:jc w:val="both"/>
        <w:rPr>
          <w:lang w:val="fr-FR"/>
        </w:rPr>
      </w:pPr>
      <w:r w:rsidRPr="002B40E4">
        <w:rPr>
          <w:i/>
          <w:iCs/>
          <w:lang w:val="fr-FR"/>
        </w:rPr>
        <w:lastRenderedPageBreak/>
        <w:t>Soulignant</w:t>
      </w:r>
      <w:r w:rsidRPr="002B40E4">
        <w:rPr>
          <w:lang w:val="fr-FR"/>
        </w:rPr>
        <w:t xml:space="preserve"> que la stabilité au fil du temps de la taxonomie et de la nomenclature des espèces listées sous CMS est essentielle pour assurer une sécurité juridique au niveau de la mise en œuvre de la Convention, et</w:t>
      </w:r>
    </w:p>
    <w:p w14:paraId="66F642E5" w14:textId="77777777" w:rsidR="002B40E4" w:rsidRPr="002B40E4" w:rsidRDefault="002B40E4" w:rsidP="00810A15">
      <w:pPr>
        <w:jc w:val="both"/>
        <w:rPr>
          <w:rFonts w:cs="Arial"/>
          <w:highlight w:val="yellow"/>
          <w:lang w:val="fr-FR"/>
        </w:rPr>
      </w:pPr>
    </w:p>
    <w:p w14:paraId="3D81595B" w14:textId="0778224F" w:rsidR="00810A15" w:rsidRPr="002B40E4" w:rsidRDefault="002B40E4" w:rsidP="00810A15">
      <w:pPr>
        <w:jc w:val="both"/>
        <w:rPr>
          <w:rFonts w:cs="Arial"/>
          <w:lang w:val="fr-FR"/>
        </w:rPr>
      </w:pPr>
      <w:r w:rsidRPr="002B40E4">
        <w:rPr>
          <w:i/>
          <w:iCs/>
          <w:lang w:val="fr-FR"/>
        </w:rPr>
        <w:t>Reconnaissant</w:t>
      </w:r>
      <w:r w:rsidRPr="002B40E4">
        <w:rPr>
          <w:lang w:val="fr-FR"/>
        </w:rPr>
        <w:t xml:space="preserve"> que la taxonomie utilisée dans les Annexes à la Convention </w:t>
      </w:r>
      <w:proofErr w:type="gramStart"/>
      <w:r w:rsidRPr="002B40E4">
        <w:rPr>
          <w:lang w:val="fr-FR"/>
        </w:rPr>
        <w:t>sera</w:t>
      </w:r>
      <w:proofErr w:type="gramEnd"/>
      <w:r w:rsidRPr="002B40E4">
        <w:rPr>
          <w:lang w:val="fr-FR"/>
        </w:rPr>
        <w:t xml:space="preserve"> plus utile aux Parties si elle est normalisée par des références de nomenclature,</w:t>
      </w:r>
    </w:p>
    <w:p w14:paraId="10694E07" w14:textId="77777777" w:rsidR="00810A15" w:rsidRDefault="00810A15" w:rsidP="00810A15">
      <w:pPr>
        <w:jc w:val="both"/>
        <w:rPr>
          <w:rFonts w:cs="Arial"/>
          <w:lang w:val="fr-FR"/>
        </w:rPr>
      </w:pPr>
    </w:p>
    <w:p w14:paraId="235BBEF9" w14:textId="77777777" w:rsidR="002B40E4" w:rsidRPr="002B40E4" w:rsidRDefault="002B40E4" w:rsidP="00810A15">
      <w:pPr>
        <w:jc w:val="both"/>
        <w:rPr>
          <w:rFonts w:cs="Arial"/>
          <w:lang w:val="fr-FR"/>
        </w:rPr>
      </w:pPr>
    </w:p>
    <w:p w14:paraId="32E30C94" w14:textId="77777777" w:rsidR="00810A15" w:rsidRPr="0032147C" w:rsidRDefault="00810A15" w:rsidP="00810A15">
      <w:pPr>
        <w:jc w:val="center"/>
        <w:rPr>
          <w:rFonts w:cs="Arial"/>
          <w:i/>
          <w:lang w:val="fr-FR"/>
        </w:rPr>
      </w:pPr>
      <w:r>
        <w:rPr>
          <w:rFonts w:cs="Arial"/>
          <w:i/>
          <w:lang w:val="fr-FR"/>
        </w:rPr>
        <w:t xml:space="preserve">La Conférence des Parties à la </w:t>
      </w:r>
    </w:p>
    <w:p w14:paraId="4B665FC8" w14:textId="77777777" w:rsidR="00810A15" w:rsidRPr="0032147C" w:rsidRDefault="00810A15" w:rsidP="00810A15">
      <w:pPr>
        <w:jc w:val="center"/>
        <w:rPr>
          <w:rFonts w:cs="Arial"/>
          <w:i/>
          <w:lang w:val="fr-FR"/>
        </w:rPr>
      </w:pPr>
      <w:r>
        <w:rPr>
          <w:rFonts w:cs="Arial"/>
          <w:i/>
          <w:lang w:val="fr-FR"/>
        </w:rPr>
        <w:t>Convention sur la conservation des espèces migratrices appartenant à la faune sauvage</w:t>
      </w:r>
    </w:p>
    <w:p w14:paraId="31756994" w14:textId="77777777" w:rsidR="00810A15" w:rsidRPr="0032147C" w:rsidRDefault="00810A15" w:rsidP="00810A15">
      <w:pPr>
        <w:jc w:val="both"/>
        <w:rPr>
          <w:rFonts w:cs="Arial"/>
          <w:lang w:val="fr-FR"/>
        </w:rPr>
      </w:pPr>
    </w:p>
    <w:p w14:paraId="2F96FC08" w14:textId="5C64C2EC" w:rsidR="002B40E4" w:rsidRPr="002B40E4" w:rsidRDefault="002B40E4" w:rsidP="002B40E4">
      <w:pPr>
        <w:widowControl w:val="0"/>
        <w:numPr>
          <w:ilvl w:val="0"/>
          <w:numId w:val="8"/>
        </w:numPr>
        <w:autoSpaceDE w:val="0"/>
        <w:autoSpaceDN w:val="0"/>
        <w:adjustRightInd w:val="0"/>
        <w:ind w:left="567" w:hanging="567"/>
        <w:jc w:val="both"/>
        <w:rPr>
          <w:rFonts w:cs="Arial"/>
          <w:lang w:val="fr-FR"/>
        </w:rPr>
      </w:pPr>
      <w:r w:rsidRPr="002B40E4">
        <w:rPr>
          <w:i/>
          <w:iCs/>
          <w:lang w:val="fr-FR"/>
        </w:rPr>
        <w:t>Adopte</w:t>
      </w:r>
      <w:r w:rsidRPr="002B40E4">
        <w:rPr>
          <w:lang w:val="fr-FR"/>
        </w:rPr>
        <w:t xml:space="preserve"> la liste ci-après de références normalisées</w:t>
      </w:r>
      <w:r w:rsidRPr="002B40E4">
        <w:rPr>
          <w:rFonts w:cs="Arial"/>
          <w:vertAlign w:val="superscript"/>
          <w:lang w:val="fr-FR"/>
        </w:rPr>
        <w:footnoteReference w:id="6"/>
      </w:r>
      <w:r w:rsidRPr="002B40E4">
        <w:rPr>
          <w:lang w:val="fr-FR"/>
        </w:rPr>
        <w:t xml:space="preserve"> figurant dans l’Annexe , à être retenue et utilisée dans la préparation de propositions pour amender les annexes à la CMS</w:t>
      </w:r>
      <w:r>
        <w:rPr>
          <w:lang w:val="fr-FR"/>
        </w:rPr>
        <w:t> ;</w:t>
      </w:r>
    </w:p>
    <w:p w14:paraId="52DEC6C7" w14:textId="77777777" w:rsidR="002B40E4" w:rsidRDefault="002B40E4" w:rsidP="002B40E4">
      <w:pPr>
        <w:widowControl w:val="0"/>
        <w:autoSpaceDE w:val="0"/>
        <w:autoSpaceDN w:val="0"/>
        <w:adjustRightInd w:val="0"/>
        <w:ind w:left="567" w:hanging="567"/>
        <w:jc w:val="both"/>
        <w:rPr>
          <w:rFonts w:cs="Arial"/>
          <w:lang w:val="fr-FR"/>
        </w:rPr>
      </w:pPr>
    </w:p>
    <w:p w14:paraId="7A4CD331" w14:textId="57DF60F2" w:rsidR="00810A15" w:rsidRPr="002B40E4" w:rsidRDefault="002B40E4" w:rsidP="002B40E4">
      <w:pPr>
        <w:widowControl w:val="0"/>
        <w:numPr>
          <w:ilvl w:val="0"/>
          <w:numId w:val="8"/>
        </w:numPr>
        <w:autoSpaceDE w:val="0"/>
        <w:autoSpaceDN w:val="0"/>
        <w:adjustRightInd w:val="0"/>
        <w:ind w:left="567" w:hanging="567"/>
        <w:jc w:val="both"/>
        <w:rPr>
          <w:rFonts w:cs="Arial"/>
          <w:lang w:val="fr-FR"/>
        </w:rPr>
      </w:pPr>
      <w:r w:rsidRPr="002B40E4">
        <w:rPr>
          <w:i/>
          <w:iCs/>
          <w:lang w:val="fr-FR"/>
        </w:rPr>
        <w:t>Accepte</w:t>
      </w:r>
      <w:r w:rsidRPr="002B40E4">
        <w:rPr>
          <w:lang w:val="fr-FR"/>
        </w:rPr>
        <w:t xml:space="preserve"> de se référer à la version en ligne </w:t>
      </w:r>
      <w:r w:rsidRPr="002B40E4">
        <w:rPr>
          <w:u w:val="single"/>
          <w:lang w:val="fr-FR"/>
        </w:rPr>
        <w:t>des références standard sur les poissons, les oiseaux et les mammifères marins</w:t>
      </w:r>
      <w:r w:rsidRPr="002B40E4">
        <w:rPr>
          <w:lang w:val="fr-FR"/>
        </w:rPr>
        <w:t xml:space="preserve"> </w:t>
      </w:r>
      <w:r w:rsidRPr="002B40E4">
        <w:rPr>
          <w:strike/>
          <w:lang w:val="fr-FR"/>
        </w:rPr>
        <w:t>d’</w:t>
      </w:r>
      <w:proofErr w:type="spellStart"/>
      <w:r w:rsidRPr="002B40E4">
        <w:rPr>
          <w:strike/>
          <w:lang w:val="fr-FR"/>
        </w:rPr>
        <w:t>Eschmeyer</w:t>
      </w:r>
      <w:proofErr w:type="spellEnd"/>
      <w:r w:rsidRPr="002B40E4">
        <w:rPr>
          <w:strike/>
          <w:lang w:val="fr-FR"/>
        </w:rPr>
        <w:t xml:space="preserve">, W. N., R. </w:t>
      </w:r>
      <w:proofErr w:type="spellStart"/>
      <w:r w:rsidRPr="002B40E4">
        <w:rPr>
          <w:strike/>
          <w:lang w:val="fr-FR"/>
        </w:rPr>
        <w:t>Fricke</w:t>
      </w:r>
      <w:proofErr w:type="spellEnd"/>
      <w:r w:rsidRPr="002B40E4">
        <w:rPr>
          <w:strike/>
          <w:lang w:val="fr-FR"/>
        </w:rPr>
        <w:t xml:space="preserve">, et R. van der </w:t>
      </w:r>
      <w:proofErr w:type="spellStart"/>
      <w:r w:rsidRPr="002B40E4">
        <w:rPr>
          <w:strike/>
          <w:lang w:val="fr-FR"/>
        </w:rPr>
        <w:t>Laan</w:t>
      </w:r>
      <w:proofErr w:type="spellEnd"/>
      <w:r w:rsidRPr="002B40E4">
        <w:rPr>
          <w:strike/>
          <w:lang w:val="fr-FR"/>
        </w:rPr>
        <w:t xml:space="preserve"> (</w:t>
      </w:r>
      <w:proofErr w:type="spellStart"/>
      <w:r w:rsidRPr="002B40E4">
        <w:rPr>
          <w:strike/>
          <w:lang w:val="fr-FR"/>
        </w:rPr>
        <w:t>eds</w:t>
      </w:r>
      <w:proofErr w:type="spellEnd"/>
      <w:r w:rsidRPr="002B40E4">
        <w:rPr>
          <w:strike/>
          <w:lang w:val="fr-FR"/>
        </w:rPr>
        <w:t xml:space="preserve">.), </w:t>
      </w:r>
      <w:proofErr w:type="spellStart"/>
      <w:r w:rsidRPr="002B40E4">
        <w:rPr>
          <w:strike/>
          <w:lang w:val="fr-FR"/>
        </w:rPr>
        <w:t>Catalog</w:t>
      </w:r>
      <w:proofErr w:type="spellEnd"/>
      <w:r w:rsidRPr="002B40E4">
        <w:rPr>
          <w:strike/>
          <w:lang w:val="fr-FR"/>
        </w:rPr>
        <w:t xml:space="preserve"> of </w:t>
      </w:r>
      <w:proofErr w:type="spellStart"/>
      <w:r w:rsidRPr="002B40E4">
        <w:rPr>
          <w:strike/>
          <w:lang w:val="fr-FR"/>
        </w:rPr>
        <w:t>Fishes</w:t>
      </w:r>
      <w:proofErr w:type="spellEnd"/>
      <w:r w:rsidRPr="002B40E4">
        <w:rPr>
          <w:strike/>
          <w:lang w:val="fr-FR"/>
        </w:rPr>
        <w:t xml:space="preserve">: </w:t>
      </w:r>
      <w:proofErr w:type="spellStart"/>
      <w:r w:rsidRPr="002B40E4">
        <w:rPr>
          <w:strike/>
          <w:lang w:val="fr-FR"/>
        </w:rPr>
        <w:t>Genera</w:t>
      </w:r>
      <w:proofErr w:type="spellEnd"/>
      <w:r w:rsidRPr="002B40E4">
        <w:rPr>
          <w:strike/>
          <w:lang w:val="fr-FR"/>
        </w:rPr>
        <w:t xml:space="preserve">, </w:t>
      </w:r>
      <w:proofErr w:type="spellStart"/>
      <w:r w:rsidRPr="002B40E4">
        <w:rPr>
          <w:strike/>
          <w:lang w:val="fr-FR"/>
        </w:rPr>
        <w:t>Species</w:t>
      </w:r>
      <w:proofErr w:type="spellEnd"/>
      <w:r w:rsidRPr="002B40E4">
        <w:rPr>
          <w:strike/>
          <w:lang w:val="fr-FR"/>
        </w:rPr>
        <w:t xml:space="preserve">, </w:t>
      </w:r>
      <w:proofErr w:type="spellStart"/>
      <w:r w:rsidRPr="002B40E4">
        <w:rPr>
          <w:strike/>
          <w:lang w:val="fr-FR"/>
        </w:rPr>
        <w:t>References</w:t>
      </w:r>
      <w:proofErr w:type="spellEnd"/>
      <w:r w:rsidRPr="002B40E4">
        <w:rPr>
          <w:strike/>
          <w:lang w:val="fr-FR"/>
        </w:rPr>
        <w:t xml:space="preserve"> (http://researcharchive.calacademy.org/research/ichthyology/catalog/fishcatmain)</w:t>
      </w:r>
      <w:r w:rsidRPr="002B40E4">
        <w:rPr>
          <w:lang w:val="fr-FR"/>
        </w:rPr>
        <w:t xml:space="preserve"> </w:t>
      </w:r>
      <w:r w:rsidRPr="002B40E4">
        <w:rPr>
          <w:strike/>
          <w:lang w:val="fr-FR"/>
        </w:rPr>
        <w:t>comme référence pour les poissons</w:t>
      </w:r>
      <w:r w:rsidRPr="002B40E4">
        <w:rPr>
          <w:lang w:val="fr-FR"/>
        </w:rPr>
        <w:t xml:space="preserve"> au moment de l’inscription d’une nouvelle espèce aux Annexes de la CMS et </w:t>
      </w:r>
      <w:r w:rsidRPr="002B40E4">
        <w:rPr>
          <w:i/>
          <w:iCs/>
          <w:lang w:val="fr-FR"/>
        </w:rPr>
        <w:t>demande</w:t>
      </w:r>
      <w:r w:rsidRPr="002B40E4">
        <w:rPr>
          <w:lang w:val="fr-FR"/>
        </w:rPr>
        <w:t xml:space="preserve"> au Secrétariat de conserver une copie papier de la référence en ligne </w:t>
      </w:r>
      <w:r w:rsidRPr="002B40E4">
        <w:rPr>
          <w:u w:val="single"/>
          <w:lang w:val="fr-FR"/>
        </w:rPr>
        <w:t>pertinente</w:t>
      </w:r>
      <w:r w:rsidRPr="002B40E4">
        <w:rPr>
          <w:lang w:val="fr-FR"/>
        </w:rPr>
        <w:t xml:space="preserve"> comme référence standard pour l’espèce nouvellement inscrite ;</w:t>
      </w:r>
    </w:p>
    <w:p w14:paraId="704F0080" w14:textId="77777777" w:rsidR="00810A15" w:rsidRPr="00C135DE" w:rsidRDefault="00810A15" w:rsidP="00810A15">
      <w:pPr>
        <w:ind w:left="426" w:hanging="426"/>
        <w:rPr>
          <w:rFonts w:cs="Arial"/>
          <w:lang w:val="fr-FR"/>
        </w:rPr>
      </w:pPr>
    </w:p>
    <w:p w14:paraId="2EA22CEC" w14:textId="77777777" w:rsidR="007B5A56" w:rsidRPr="007B5A56" w:rsidRDefault="002B40E4" w:rsidP="007B5A56">
      <w:pPr>
        <w:pStyle w:val="ListParagraph"/>
        <w:widowControl w:val="0"/>
        <w:numPr>
          <w:ilvl w:val="0"/>
          <w:numId w:val="8"/>
        </w:numPr>
        <w:autoSpaceDE w:val="0"/>
        <w:autoSpaceDN w:val="0"/>
        <w:adjustRightInd w:val="0"/>
        <w:ind w:left="567" w:hanging="567"/>
        <w:contextualSpacing w:val="0"/>
        <w:jc w:val="both"/>
        <w:rPr>
          <w:rFonts w:cs="Arial"/>
          <w:lang w:val="fr-FR"/>
        </w:rPr>
      </w:pPr>
      <w:r w:rsidRPr="00C135DE">
        <w:rPr>
          <w:i/>
          <w:iCs/>
          <w:lang w:val="fr-FR"/>
        </w:rPr>
        <w:t>Demande</w:t>
      </w:r>
      <w:r w:rsidRPr="00C135DE">
        <w:rPr>
          <w:lang w:val="fr-FR"/>
        </w:rPr>
        <w:t xml:space="preserve"> au Conseil scientifique d’examiner </w:t>
      </w:r>
      <w:proofErr w:type="spellStart"/>
      <w:r w:rsidRPr="00C135DE">
        <w:rPr>
          <w:lang w:val="fr-FR"/>
        </w:rPr>
        <w:t>l</w:t>
      </w:r>
      <w:r w:rsidRPr="00C135DE">
        <w:rPr>
          <w:u w:val="single"/>
          <w:lang w:val="fr-FR"/>
        </w:rPr>
        <w:t>es</w:t>
      </w:r>
      <w:r w:rsidRPr="00C135DE">
        <w:rPr>
          <w:strike/>
          <w:lang w:val="fr-FR"/>
        </w:rPr>
        <w:t>a</w:t>
      </w:r>
      <w:proofErr w:type="spellEnd"/>
      <w:r w:rsidRPr="00C135DE">
        <w:rPr>
          <w:lang w:val="fr-FR"/>
        </w:rPr>
        <w:t xml:space="preserve"> version</w:t>
      </w:r>
      <w:r w:rsidRPr="00C135DE">
        <w:rPr>
          <w:u w:val="single"/>
          <w:lang w:val="fr-FR"/>
        </w:rPr>
        <w:t>s</w:t>
      </w:r>
      <w:r w:rsidRPr="00C135DE">
        <w:rPr>
          <w:lang w:val="fr-FR"/>
        </w:rPr>
        <w:t xml:space="preserve"> en ligne </w:t>
      </w:r>
      <w:proofErr w:type="spellStart"/>
      <w:r w:rsidRPr="00C135DE">
        <w:rPr>
          <w:lang w:val="fr-FR"/>
        </w:rPr>
        <w:t>de</w:t>
      </w:r>
      <w:r w:rsidRPr="00C135DE">
        <w:rPr>
          <w:u w:val="single"/>
          <w:lang w:val="fr-FR"/>
        </w:rPr>
        <w:t>s</w:t>
      </w:r>
      <w:proofErr w:type="spellEnd"/>
      <w:r w:rsidRPr="00C135DE">
        <w:rPr>
          <w:lang w:val="fr-FR"/>
        </w:rPr>
        <w:t xml:space="preserve"> </w:t>
      </w:r>
      <w:r w:rsidRPr="00C135DE">
        <w:rPr>
          <w:strike/>
          <w:lang w:val="fr-FR"/>
        </w:rPr>
        <w:t>la</w:t>
      </w:r>
      <w:r w:rsidRPr="00C135DE">
        <w:rPr>
          <w:lang w:val="fr-FR"/>
        </w:rPr>
        <w:t xml:space="preserve"> référence</w:t>
      </w:r>
      <w:r w:rsidRPr="00C135DE">
        <w:rPr>
          <w:u w:val="single"/>
          <w:lang w:val="fr-FR"/>
        </w:rPr>
        <w:t>s</w:t>
      </w:r>
      <w:r w:rsidRPr="00C135DE">
        <w:rPr>
          <w:lang w:val="fr-FR"/>
        </w:rPr>
        <w:t xml:space="preserve"> de poissons, </w:t>
      </w:r>
      <w:r w:rsidRPr="00C135DE">
        <w:rPr>
          <w:u w:val="single"/>
          <w:lang w:val="fr-FR"/>
        </w:rPr>
        <w:t>oiseaux et mammifères marins</w:t>
      </w:r>
      <w:r w:rsidRPr="00C135DE">
        <w:rPr>
          <w:lang w:val="fr-FR"/>
        </w:rPr>
        <w:t xml:space="preserve"> pour les espèces inscrites aux Annexes lors de sa dernière réunion avant chaque session de la Conférence des Parties et d’émettre des recommandations sur la mise à jour ou non du nom de toute espèce inscrite</w:t>
      </w:r>
      <w:r w:rsidR="00C135DE">
        <w:rPr>
          <w:lang w:val="fr-FR"/>
        </w:rPr>
        <w:t> ;</w:t>
      </w:r>
    </w:p>
    <w:p w14:paraId="4C6E24EE" w14:textId="77777777" w:rsidR="007B5A56" w:rsidRPr="007B5A56" w:rsidRDefault="007B5A56" w:rsidP="007B5A56">
      <w:pPr>
        <w:pStyle w:val="ListParagraph"/>
        <w:widowControl w:val="0"/>
        <w:autoSpaceDE w:val="0"/>
        <w:autoSpaceDN w:val="0"/>
        <w:adjustRightInd w:val="0"/>
        <w:ind w:left="567"/>
        <w:contextualSpacing w:val="0"/>
        <w:jc w:val="both"/>
        <w:rPr>
          <w:rFonts w:cs="Arial"/>
          <w:lang w:val="fr-FR"/>
        </w:rPr>
      </w:pPr>
    </w:p>
    <w:p w14:paraId="082F72FE" w14:textId="61D6CBAE" w:rsidR="00810A15" w:rsidRPr="007B5A56" w:rsidRDefault="007B5A56" w:rsidP="007B5A56">
      <w:pPr>
        <w:pStyle w:val="ListParagraph"/>
        <w:widowControl w:val="0"/>
        <w:numPr>
          <w:ilvl w:val="0"/>
          <w:numId w:val="8"/>
        </w:numPr>
        <w:autoSpaceDE w:val="0"/>
        <w:autoSpaceDN w:val="0"/>
        <w:adjustRightInd w:val="0"/>
        <w:ind w:left="567" w:hanging="567"/>
        <w:contextualSpacing w:val="0"/>
        <w:jc w:val="both"/>
        <w:rPr>
          <w:rFonts w:cs="Arial"/>
          <w:lang w:val="fr-FR"/>
        </w:rPr>
      </w:pPr>
      <w:r w:rsidRPr="007B5A56">
        <w:rPr>
          <w:i/>
          <w:iCs/>
          <w:lang w:val="fr-FR"/>
        </w:rPr>
        <w:t>Accepte</w:t>
      </w:r>
      <w:r w:rsidRPr="007B5A56">
        <w:rPr>
          <w:lang w:val="fr-FR"/>
        </w:rPr>
        <w:t xml:space="preserve"> de suivre une approche conservative dans l’utilisation de la référence en ligne lors de la mise à jour du nom des espèces inscrites, en attendant qu’une nouvelle taxonomie soit confirmée par la majorité des scientifiques et autres cadres juridiques, tels que la CITES, avant l’application de toute modification ;</w:t>
      </w:r>
    </w:p>
    <w:p w14:paraId="1E772BC3" w14:textId="77777777" w:rsidR="007B5A56" w:rsidRPr="007B5A56" w:rsidRDefault="007B5A56" w:rsidP="007B5A56">
      <w:pPr>
        <w:pStyle w:val="ListParagraph"/>
        <w:widowControl w:val="0"/>
        <w:autoSpaceDE w:val="0"/>
        <w:autoSpaceDN w:val="0"/>
        <w:adjustRightInd w:val="0"/>
        <w:ind w:left="567"/>
        <w:contextualSpacing w:val="0"/>
        <w:jc w:val="both"/>
        <w:rPr>
          <w:rFonts w:cs="Arial"/>
          <w:lang w:val="fr-FR"/>
        </w:rPr>
      </w:pPr>
    </w:p>
    <w:p w14:paraId="1F5B26A2" w14:textId="796E0462" w:rsidR="00810A15" w:rsidRPr="007B5A56" w:rsidRDefault="007B5A56" w:rsidP="007B5A56">
      <w:pPr>
        <w:pStyle w:val="ListParagraph"/>
        <w:widowControl w:val="0"/>
        <w:numPr>
          <w:ilvl w:val="0"/>
          <w:numId w:val="8"/>
        </w:numPr>
        <w:autoSpaceDE w:val="0"/>
        <w:autoSpaceDN w:val="0"/>
        <w:adjustRightInd w:val="0"/>
        <w:ind w:left="567" w:hanging="567"/>
        <w:contextualSpacing w:val="0"/>
        <w:jc w:val="both"/>
        <w:rPr>
          <w:rFonts w:cs="Arial"/>
          <w:lang w:val="fr-FR"/>
        </w:rPr>
      </w:pPr>
      <w:r w:rsidRPr="007B5A56">
        <w:rPr>
          <w:i/>
          <w:iCs/>
          <w:lang w:val="fr-FR"/>
        </w:rPr>
        <w:t>Accepte</w:t>
      </w:r>
      <w:r w:rsidRPr="007B5A56">
        <w:rPr>
          <w:lang w:val="fr-FR"/>
        </w:rPr>
        <w:t xml:space="preserve"> d’adopter la même approche pour d’autres groupes taxonomiques si jamais la version en ligne de références standard est adoptée pour ces groupes</w:t>
      </w:r>
      <w:r w:rsidR="00810A15" w:rsidRPr="007B5A56">
        <w:rPr>
          <w:rFonts w:cs="Arial"/>
          <w:lang w:val="fr-FR"/>
        </w:rPr>
        <w:t>;</w:t>
      </w:r>
    </w:p>
    <w:p w14:paraId="06E5DCB6" w14:textId="77777777" w:rsidR="00810A15" w:rsidRPr="007B5A56" w:rsidRDefault="00810A15" w:rsidP="00810A15">
      <w:pPr>
        <w:ind w:left="426" w:hanging="426"/>
        <w:jc w:val="both"/>
        <w:rPr>
          <w:rFonts w:cs="Arial"/>
          <w:lang w:val="fr-FR"/>
        </w:rPr>
      </w:pPr>
    </w:p>
    <w:p w14:paraId="3B50ED03" w14:textId="18390DE2" w:rsidR="00810A15" w:rsidRPr="007B5A56" w:rsidRDefault="007B5A56" w:rsidP="007B5A56">
      <w:pPr>
        <w:pStyle w:val="ListParagraph"/>
        <w:widowControl w:val="0"/>
        <w:numPr>
          <w:ilvl w:val="0"/>
          <w:numId w:val="8"/>
        </w:numPr>
        <w:autoSpaceDE w:val="0"/>
        <w:autoSpaceDN w:val="0"/>
        <w:adjustRightInd w:val="0"/>
        <w:ind w:left="567" w:hanging="567"/>
        <w:contextualSpacing w:val="0"/>
        <w:jc w:val="both"/>
        <w:rPr>
          <w:rFonts w:cs="Arial"/>
          <w:strike/>
          <w:lang w:val="fr-FR"/>
        </w:rPr>
      </w:pPr>
      <w:r w:rsidRPr="007B5A56">
        <w:rPr>
          <w:i/>
          <w:iCs/>
          <w:strike/>
          <w:lang w:val="fr-FR"/>
        </w:rPr>
        <w:t>Charge</w:t>
      </w:r>
      <w:r w:rsidRPr="007B5A56">
        <w:rPr>
          <w:strike/>
          <w:lang w:val="fr-FR"/>
        </w:rPr>
        <w:t xml:space="preserve"> le Conseil scientifique d'examiner la version en ligne mise à jour de la référence oiseau pour les espèces inscrites aux Annexes lors de sa dernière réunion avant chaque session de la Conférence des Parties et de faire des recommandations sur la nécessité de mettre à jour le nom d'une espèce inscrite ;</w:t>
      </w:r>
    </w:p>
    <w:p w14:paraId="2AA15D17" w14:textId="77777777" w:rsidR="00810A15" w:rsidRPr="007B5A56" w:rsidRDefault="00810A15" w:rsidP="00810A15">
      <w:pPr>
        <w:jc w:val="both"/>
        <w:rPr>
          <w:rFonts w:cs="Arial"/>
          <w:lang w:val="fr-FR"/>
        </w:rPr>
      </w:pPr>
    </w:p>
    <w:p w14:paraId="0B7CFC66" w14:textId="4017A772" w:rsidR="00810A15" w:rsidRPr="001B1538" w:rsidRDefault="007B5A56" w:rsidP="001B1538">
      <w:pPr>
        <w:widowControl w:val="0"/>
        <w:numPr>
          <w:ilvl w:val="0"/>
          <w:numId w:val="8"/>
        </w:numPr>
        <w:autoSpaceDE w:val="0"/>
        <w:autoSpaceDN w:val="0"/>
        <w:adjustRightInd w:val="0"/>
        <w:ind w:left="567" w:hanging="567"/>
        <w:jc w:val="both"/>
        <w:rPr>
          <w:rFonts w:cs="Arial"/>
          <w:lang w:val="fr-FR"/>
        </w:rPr>
      </w:pPr>
      <w:r w:rsidRPr="001B1538">
        <w:rPr>
          <w:i/>
          <w:iCs/>
          <w:lang w:val="fr-FR"/>
        </w:rPr>
        <w:t>Réaffirme</w:t>
      </w:r>
      <w:r w:rsidRPr="001B1538">
        <w:rPr>
          <w:lang w:val="fr-FR"/>
        </w:rPr>
        <w:t xml:space="preserve"> les règles adoptées par la Convention pour le traitement des cas de synonymie, de séparation d’espèces et de regroupement (fusion) d’espèces résultant d’un changement de référence de nomenclature normalisée, comme suit</w:t>
      </w:r>
      <w:r w:rsidR="00810A15" w:rsidRPr="001B1538">
        <w:rPr>
          <w:rFonts w:cs="Arial"/>
          <w:lang w:val="fr-FR"/>
        </w:rPr>
        <w:t xml:space="preserve">: </w:t>
      </w:r>
    </w:p>
    <w:p w14:paraId="54EB7BA4" w14:textId="77777777" w:rsidR="00810A15" w:rsidRPr="001B1538" w:rsidRDefault="00810A15" w:rsidP="00810A15">
      <w:pPr>
        <w:jc w:val="both"/>
        <w:rPr>
          <w:rFonts w:cs="Arial"/>
          <w:color w:val="000000"/>
          <w:lang w:val="fr-FR" w:eastAsia="en-GB"/>
        </w:rPr>
      </w:pPr>
    </w:p>
    <w:p w14:paraId="68F33152" w14:textId="3EFE56F4" w:rsidR="00810A15" w:rsidRPr="001B1538" w:rsidRDefault="00810A15" w:rsidP="001B1538">
      <w:pPr>
        <w:ind w:left="993" w:hanging="426"/>
        <w:jc w:val="both"/>
        <w:rPr>
          <w:rFonts w:cs="Arial"/>
          <w:color w:val="000000"/>
          <w:lang w:val="fr-FR" w:eastAsia="en-GB"/>
        </w:rPr>
      </w:pPr>
      <w:r w:rsidRPr="001B1538">
        <w:rPr>
          <w:rFonts w:ascii="Symbol" w:eastAsia="Symbol" w:hAnsi="Symbol" w:cs="Symbol"/>
          <w:color w:val="000000"/>
          <w:lang w:val="fr-FR" w:eastAsia="en-GB"/>
        </w:rPr>
        <w:t>·</w:t>
      </w:r>
      <w:r w:rsidRPr="001B1538">
        <w:rPr>
          <w:rFonts w:cs="Arial"/>
          <w:color w:val="000000"/>
          <w:lang w:val="fr-FR" w:eastAsia="en-GB"/>
        </w:rPr>
        <w:t xml:space="preserve"> </w:t>
      </w:r>
      <w:r w:rsidRPr="001B1538">
        <w:rPr>
          <w:rFonts w:cs="Arial"/>
          <w:color w:val="000000"/>
          <w:lang w:val="fr-FR" w:eastAsia="en-GB"/>
        </w:rPr>
        <w:tab/>
      </w:r>
      <w:r w:rsidR="007B5A56" w:rsidRPr="001B1538">
        <w:rPr>
          <w:lang w:val="fr-FR"/>
        </w:rPr>
        <w:t xml:space="preserve">Synonymie: les corrections peuvent être faites automatiquement comme il n’y a pas de changement concernant le statut des populations </w:t>
      </w:r>
      <w:proofErr w:type="gramStart"/>
      <w:r w:rsidR="007B5A56" w:rsidRPr="001B1538">
        <w:rPr>
          <w:lang w:val="fr-FR"/>
        </w:rPr>
        <w:t>inscrites;</w:t>
      </w:r>
      <w:r w:rsidRPr="001B1538">
        <w:rPr>
          <w:rFonts w:cs="Arial"/>
          <w:color w:val="000000"/>
          <w:lang w:val="fr-FR" w:eastAsia="en-GB"/>
        </w:rPr>
        <w:t>;</w:t>
      </w:r>
      <w:proofErr w:type="gramEnd"/>
      <w:r w:rsidRPr="001B1538">
        <w:rPr>
          <w:rFonts w:cs="Arial"/>
          <w:color w:val="000000"/>
          <w:lang w:val="fr-FR" w:eastAsia="en-GB"/>
        </w:rPr>
        <w:t xml:space="preserve"> </w:t>
      </w:r>
    </w:p>
    <w:p w14:paraId="54B80276" w14:textId="77777777" w:rsidR="00810A15" w:rsidRPr="001B1538" w:rsidRDefault="00810A15" w:rsidP="001B1538">
      <w:pPr>
        <w:ind w:left="993" w:hanging="426"/>
        <w:jc w:val="both"/>
        <w:rPr>
          <w:rFonts w:cs="Arial"/>
          <w:color w:val="000000"/>
          <w:lang w:val="fr-FR" w:eastAsia="en-GB"/>
        </w:rPr>
      </w:pPr>
    </w:p>
    <w:p w14:paraId="32434362" w14:textId="7A6D61B0" w:rsidR="00810A15" w:rsidRPr="001B1538" w:rsidRDefault="00810A15" w:rsidP="001B1538">
      <w:pPr>
        <w:ind w:left="993" w:hanging="426"/>
        <w:jc w:val="both"/>
        <w:rPr>
          <w:rFonts w:cs="Arial"/>
          <w:color w:val="000000"/>
          <w:lang w:val="fr-FR" w:eastAsia="en-GB"/>
        </w:rPr>
      </w:pPr>
      <w:r w:rsidRPr="001B1538">
        <w:rPr>
          <w:rFonts w:ascii="Symbol" w:eastAsia="Symbol" w:hAnsi="Symbol" w:cs="Symbol"/>
          <w:color w:val="000000"/>
          <w:lang w:val="fr-FR" w:eastAsia="en-GB"/>
        </w:rPr>
        <w:t>·</w:t>
      </w:r>
      <w:r w:rsidRPr="001B1538">
        <w:rPr>
          <w:rFonts w:cs="Arial"/>
          <w:color w:val="000000"/>
          <w:lang w:val="fr-FR" w:eastAsia="en-GB"/>
        </w:rPr>
        <w:t xml:space="preserve"> </w:t>
      </w:r>
      <w:r w:rsidRPr="001B1538">
        <w:rPr>
          <w:rFonts w:cs="Arial"/>
          <w:color w:val="000000"/>
          <w:lang w:val="fr-FR" w:eastAsia="en-GB"/>
        </w:rPr>
        <w:tab/>
      </w:r>
      <w:r w:rsidR="007B5A56" w:rsidRPr="001B1538">
        <w:rPr>
          <w:lang w:val="fr-FR"/>
        </w:rPr>
        <w:t>Division: quand un taxon est divisé en deux ou plus, chacun des taxons résultant de la division conserve le statut d’inscription de l’ancien taxon global;</w:t>
      </w:r>
      <w:r w:rsidRPr="001B1538">
        <w:rPr>
          <w:rFonts w:cs="Arial"/>
          <w:color w:val="000000"/>
          <w:lang w:val="fr-FR" w:eastAsia="en-GB"/>
        </w:rPr>
        <w:t xml:space="preserve"> </w:t>
      </w:r>
    </w:p>
    <w:p w14:paraId="23684701" w14:textId="3EFBE7EF" w:rsidR="00810A15" w:rsidRPr="007B5A56" w:rsidRDefault="00810A15" w:rsidP="001B1538">
      <w:pPr>
        <w:ind w:left="993" w:hanging="426"/>
        <w:jc w:val="both"/>
        <w:rPr>
          <w:rFonts w:cs="Arial"/>
          <w:highlight w:val="yellow"/>
          <w:lang w:val="fr-FR"/>
        </w:rPr>
      </w:pPr>
      <w:r w:rsidRPr="001B1538">
        <w:rPr>
          <w:rFonts w:ascii="Symbol" w:eastAsia="Symbol" w:hAnsi="Symbol" w:cs="Symbol"/>
          <w:lang w:val="fr-FR"/>
        </w:rPr>
        <w:lastRenderedPageBreak/>
        <w:t>·</w:t>
      </w:r>
      <w:r w:rsidRPr="001B1538">
        <w:rPr>
          <w:rFonts w:cs="Arial"/>
          <w:lang w:val="fr-FR"/>
        </w:rPr>
        <w:t xml:space="preserve"> </w:t>
      </w:r>
      <w:r w:rsidRPr="001B1538">
        <w:rPr>
          <w:rFonts w:cs="Arial"/>
          <w:lang w:val="fr-FR"/>
        </w:rPr>
        <w:tab/>
      </w:r>
      <w:r w:rsidR="007B5A56" w:rsidRPr="001B1538">
        <w:rPr>
          <w:lang w:val="fr-FR"/>
        </w:rPr>
        <w:t>Regroupement (fusion): si un taxon figurant à l’Annexe I ou à l’Annexe II de la Convention est fusionné avec un ou plusieurs taxons non-inscrits aux annexes, sous son nom ou celui de l’un des taxons non-inscrits, l’ensemble du taxon regroupé figurera à l’Annexe à laquelle figurait à l’origine le taxon plus précis, dans les cas où l’entité non-inscrite ainsi ajoutée présente le même état de conservation, ou un état moins bon, que celui du taxon précédemment inscrit. Dans tous les autres cas, une restriction taxonomique ou géographique sera introduite, dans l’attente d’un examen par le Conseil scientifique et la Conférence des Parties des nouvelles inscriptions aux annexes</w:t>
      </w:r>
      <w:r w:rsidRPr="001B1538">
        <w:rPr>
          <w:rFonts w:cs="Arial"/>
          <w:u w:val="single"/>
          <w:lang w:val="fr-FR"/>
        </w:rPr>
        <w:t>.</w:t>
      </w:r>
      <w:r w:rsidRPr="001B1538">
        <w:rPr>
          <w:rFonts w:cs="Arial"/>
          <w:strike/>
          <w:lang w:val="fr-FR"/>
        </w:rPr>
        <w:t>;</w:t>
      </w:r>
    </w:p>
    <w:p w14:paraId="7278C2F5" w14:textId="77777777" w:rsidR="00810A15" w:rsidRPr="001B1538" w:rsidRDefault="00810A15" w:rsidP="00810A15">
      <w:pPr>
        <w:jc w:val="both"/>
        <w:rPr>
          <w:rFonts w:cs="Arial"/>
          <w:lang w:val="fr-FR"/>
        </w:rPr>
      </w:pPr>
    </w:p>
    <w:p w14:paraId="1DDC29CA" w14:textId="3C8B2A8F" w:rsidR="00810A15" w:rsidRPr="001B1538" w:rsidRDefault="007B5A56" w:rsidP="001B1538">
      <w:pPr>
        <w:widowControl w:val="0"/>
        <w:numPr>
          <w:ilvl w:val="0"/>
          <w:numId w:val="8"/>
        </w:numPr>
        <w:autoSpaceDE w:val="0"/>
        <w:autoSpaceDN w:val="0"/>
        <w:adjustRightInd w:val="0"/>
        <w:ind w:left="567" w:hanging="567"/>
        <w:jc w:val="both"/>
        <w:rPr>
          <w:rFonts w:cs="Arial"/>
          <w:strike/>
          <w:lang w:val="fr-FR"/>
        </w:rPr>
      </w:pPr>
      <w:r w:rsidRPr="001B1538">
        <w:rPr>
          <w:i/>
          <w:iCs/>
          <w:strike/>
          <w:lang w:val="fr-FR"/>
        </w:rPr>
        <w:t>Prie instamment</w:t>
      </w:r>
      <w:r w:rsidRPr="001B1538">
        <w:rPr>
          <w:strike/>
          <w:lang w:val="fr-FR"/>
        </w:rPr>
        <w:t xml:space="preserve"> les autres AEM d’adopter la même référence taxonomique normalisée et</w:t>
      </w:r>
      <w:r w:rsidR="00810A15" w:rsidRPr="001B1538">
        <w:rPr>
          <w:rFonts w:cs="Arial"/>
          <w:strike/>
          <w:lang w:val="fr-FR"/>
        </w:rPr>
        <w:t xml:space="preserve"> </w:t>
      </w:r>
    </w:p>
    <w:p w14:paraId="223BFCBB" w14:textId="77777777" w:rsidR="00810A15" w:rsidRPr="001B1538" w:rsidRDefault="00810A15" w:rsidP="00810A15">
      <w:pPr>
        <w:ind w:left="360"/>
        <w:jc w:val="both"/>
        <w:rPr>
          <w:rFonts w:cs="Arial"/>
          <w:i/>
          <w:strike/>
          <w:lang w:val="fr-FR"/>
        </w:rPr>
      </w:pPr>
    </w:p>
    <w:p w14:paraId="725B5D4F" w14:textId="4E1C8A1C" w:rsidR="00810A15" w:rsidRPr="001B1538" w:rsidRDefault="007B5A56" w:rsidP="001B1538">
      <w:pPr>
        <w:widowControl w:val="0"/>
        <w:numPr>
          <w:ilvl w:val="0"/>
          <w:numId w:val="8"/>
        </w:numPr>
        <w:autoSpaceDE w:val="0"/>
        <w:autoSpaceDN w:val="0"/>
        <w:adjustRightInd w:val="0"/>
        <w:ind w:left="567" w:hanging="567"/>
        <w:jc w:val="both"/>
        <w:rPr>
          <w:rFonts w:cs="Arial"/>
          <w:strike/>
          <w:lang w:val="fr-FR"/>
        </w:rPr>
      </w:pPr>
      <w:r w:rsidRPr="001B1538">
        <w:rPr>
          <w:rFonts w:cs="Arial"/>
          <w:i/>
          <w:strike/>
          <w:lang w:val="fr-FR"/>
        </w:rPr>
        <w:t>Abroge</w:t>
      </w:r>
      <w:r w:rsidR="00810A15" w:rsidRPr="001B1538">
        <w:rPr>
          <w:rFonts w:cs="Arial"/>
          <w:strike/>
          <w:lang w:val="fr-FR"/>
        </w:rPr>
        <w:t xml:space="preserve"> </w:t>
      </w:r>
    </w:p>
    <w:p w14:paraId="36179590" w14:textId="77777777" w:rsidR="00810A15" w:rsidRPr="001B1538" w:rsidRDefault="00810A15" w:rsidP="00810A15">
      <w:pPr>
        <w:jc w:val="both"/>
        <w:rPr>
          <w:rFonts w:cs="Arial"/>
          <w:strike/>
          <w:lang w:val="fr-FR"/>
        </w:rPr>
      </w:pPr>
    </w:p>
    <w:p w14:paraId="41D18483" w14:textId="784B75DD" w:rsidR="00810A15" w:rsidRPr="001B1538" w:rsidRDefault="007B5A56" w:rsidP="00810A15">
      <w:pPr>
        <w:widowControl w:val="0"/>
        <w:numPr>
          <w:ilvl w:val="0"/>
          <w:numId w:val="9"/>
        </w:numPr>
        <w:autoSpaceDE w:val="0"/>
        <w:autoSpaceDN w:val="0"/>
        <w:adjustRightInd w:val="0"/>
        <w:ind w:hanging="720"/>
        <w:jc w:val="both"/>
        <w:rPr>
          <w:rFonts w:cs="Arial"/>
          <w:strike/>
          <w:lang w:val="fr-FR"/>
        </w:rPr>
      </w:pPr>
      <w:r w:rsidRPr="001B1538">
        <w:rPr>
          <w:strike/>
          <w:lang w:val="fr-FR"/>
        </w:rPr>
        <w:t>la Recommandation 6.1, Nomenclature normalisée à utiliser pour les Annexes à la CMS</w:t>
      </w:r>
      <w:r w:rsidR="00810A15" w:rsidRPr="001B1538">
        <w:rPr>
          <w:rFonts w:cs="Arial"/>
          <w:strike/>
          <w:lang w:val="fr-FR"/>
        </w:rPr>
        <w:t>;</w:t>
      </w:r>
    </w:p>
    <w:p w14:paraId="1DD56F35" w14:textId="77777777" w:rsidR="00810A15" w:rsidRPr="001B1538" w:rsidRDefault="00810A15" w:rsidP="00810A15">
      <w:pPr>
        <w:ind w:left="1440" w:hanging="720"/>
        <w:jc w:val="both"/>
        <w:rPr>
          <w:rFonts w:cs="Arial"/>
          <w:strike/>
          <w:lang w:val="fr-FR"/>
        </w:rPr>
      </w:pPr>
    </w:p>
    <w:p w14:paraId="00BBF2CB" w14:textId="77777777" w:rsidR="001B1538" w:rsidRPr="001B1538" w:rsidRDefault="007B5A56" w:rsidP="001B1538">
      <w:pPr>
        <w:widowControl w:val="0"/>
        <w:numPr>
          <w:ilvl w:val="0"/>
          <w:numId w:val="9"/>
        </w:numPr>
        <w:autoSpaceDE w:val="0"/>
        <w:autoSpaceDN w:val="0"/>
        <w:adjustRightInd w:val="0"/>
        <w:ind w:hanging="720"/>
        <w:jc w:val="both"/>
        <w:rPr>
          <w:rFonts w:cs="Arial"/>
          <w:strike/>
          <w:lang w:val="fr-FR"/>
        </w:rPr>
      </w:pPr>
      <w:r w:rsidRPr="001B1538">
        <w:rPr>
          <w:strike/>
          <w:lang w:val="fr-FR"/>
        </w:rPr>
        <w:t>la Recommandation 9.4, Nomenclature standardisée pour les Annexes de la CMS</w:t>
      </w:r>
      <w:r w:rsidR="00810A15" w:rsidRPr="001B1538">
        <w:rPr>
          <w:rFonts w:cs="Arial"/>
          <w:strike/>
          <w:lang w:val="fr-FR"/>
        </w:rPr>
        <w:t>;</w:t>
      </w:r>
    </w:p>
    <w:p w14:paraId="6CFFE975" w14:textId="77777777" w:rsidR="001B1538" w:rsidRPr="001B1538" w:rsidRDefault="001B1538" w:rsidP="001B1538">
      <w:pPr>
        <w:widowControl w:val="0"/>
        <w:autoSpaceDE w:val="0"/>
        <w:autoSpaceDN w:val="0"/>
        <w:adjustRightInd w:val="0"/>
        <w:ind w:left="1440"/>
        <w:jc w:val="both"/>
        <w:rPr>
          <w:rFonts w:cs="Arial"/>
          <w:strike/>
          <w:lang w:val="fr-FR"/>
        </w:rPr>
      </w:pPr>
    </w:p>
    <w:p w14:paraId="30073BB3" w14:textId="77777777" w:rsidR="001B1538" w:rsidRPr="001B1538" w:rsidRDefault="001B1538" w:rsidP="001B1538">
      <w:pPr>
        <w:widowControl w:val="0"/>
        <w:numPr>
          <w:ilvl w:val="0"/>
          <w:numId w:val="9"/>
        </w:numPr>
        <w:autoSpaceDE w:val="0"/>
        <w:autoSpaceDN w:val="0"/>
        <w:adjustRightInd w:val="0"/>
        <w:ind w:hanging="720"/>
        <w:jc w:val="both"/>
        <w:rPr>
          <w:rFonts w:cs="Arial"/>
          <w:strike/>
          <w:lang w:val="fr-FR"/>
        </w:rPr>
      </w:pPr>
      <w:r w:rsidRPr="001B1538">
        <w:rPr>
          <w:strike/>
          <w:lang w:val="fr-FR"/>
        </w:rPr>
        <w:t>La Résolution 10.13, Nomenclature normalisée des oiseaux figurant aux Annexes de la CMS; et</w:t>
      </w:r>
    </w:p>
    <w:p w14:paraId="55153086" w14:textId="77777777" w:rsidR="001B1538" w:rsidRPr="001B1538" w:rsidRDefault="001B1538" w:rsidP="001B1538">
      <w:pPr>
        <w:widowControl w:val="0"/>
        <w:autoSpaceDE w:val="0"/>
        <w:autoSpaceDN w:val="0"/>
        <w:adjustRightInd w:val="0"/>
        <w:ind w:left="1440"/>
        <w:jc w:val="both"/>
        <w:rPr>
          <w:rFonts w:cs="Arial"/>
          <w:strike/>
          <w:lang w:val="fr-FR"/>
        </w:rPr>
      </w:pPr>
    </w:p>
    <w:p w14:paraId="1B1C0987" w14:textId="24140B6E" w:rsidR="00810A15" w:rsidRPr="001B1538" w:rsidRDefault="001B1538" w:rsidP="001B1538">
      <w:pPr>
        <w:widowControl w:val="0"/>
        <w:numPr>
          <w:ilvl w:val="0"/>
          <w:numId w:val="9"/>
        </w:numPr>
        <w:autoSpaceDE w:val="0"/>
        <w:autoSpaceDN w:val="0"/>
        <w:adjustRightInd w:val="0"/>
        <w:ind w:hanging="720"/>
        <w:jc w:val="both"/>
        <w:rPr>
          <w:rFonts w:cs="Arial"/>
          <w:strike/>
          <w:lang w:val="fr-FR"/>
        </w:rPr>
      </w:pPr>
      <w:r w:rsidRPr="001B1538">
        <w:rPr>
          <w:strike/>
          <w:lang w:val="fr-FR"/>
        </w:rPr>
        <w:t>la Résolution 11.19: Taxonomie et nomenclature des oiseaux figurant aux Annexes de la CMS.</w:t>
      </w:r>
    </w:p>
    <w:p w14:paraId="1DA63CAA" w14:textId="77777777" w:rsidR="00810A15" w:rsidRPr="001B1538" w:rsidRDefault="00810A15" w:rsidP="00810A15">
      <w:pPr>
        <w:jc w:val="right"/>
        <w:rPr>
          <w:rFonts w:cs="Arial"/>
          <w:i/>
          <w:strike/>
          <w:lang w:val="fr-FR"/>
        </w:rPr>
      </w:pPr>
    </w:p>
    <w:p w14:paraId="0D71F737" w14:textId="77777777" w:rsidR="00810A15" w:rsidRPr="001B1538" w:rsidRDefault="00810A15" w:rsidP="00810A15">
      <w:pPr>
        <w:rPr>
          <w:rFonts w:cs="Arial"/>
          <w:strike/>
          <w:lang w:val="fr-FR"/>
        </w:rPr>
        <w:sectPr w:rsidR="00810A15" w:rsidRPr="001B1538" w:rsidSect="00A23C8C">
          <w:headerReference w:type="even" r:id="rId30"/>
          <w:headerReference w:type="default" r:id="rId31"/>
          <w:footerReference w:type="even" r:id="rId32"/>
          <w:footerReference w:type="default" r:id="rId33"/>
          <w:headerReference w:type="first" r:id="rId34"/>
          <w:footerReference w:type="first" r:id="rId35"/>
          <w:endnotePr>
            <w:numFmt w:val="decimal"/>
          </w:endnotePr>
          <w:pgSz w:w="11905" w:h="16837" w:code="9"/>
          <w:pgMar w:top="1440" w:right="1440" w:bottom="1440" w:left="1440" w:header="432" w:footer="432" w:gutter="0"/>
          <w:cols w:space="720"/>
          <w:noEndnote/>
          <w:titlePg/>
          <w:docGrid w:linePitch="299"/>
        </w:sectPr>
      </w:pPr>
    </w:p>
    <w:p w14:paraId="6825A7F5" w14:textId="77777777" w:rsidR="00810A15" w:rsidRDefault="00810A15" w:rsidP="00810A15">
      <w:pPr>
        <w:jc w:val="right"/>
        <w:rPr>
          <w:rFonts w:cs="Arial"/>
          <w:b/>
          <w:lang w:val="fr-FR"/>
        </w:rPr>
      </w:pPr>
      <w:r>
        <w:rPr>
          <w:rFonts w:cs="Arial"/>
          <w:b/>
          <w:lang w:val="fr-FR"/>
        </w:rPr>
        <w:lastRenderedPageBreak/>
        <w:t>ANNEXE 3</w:t>
      </w:r>
    </w:p>
    <w:p w14:paraId="07A95DF0" w14:textId="77777777" w:rsidR="00810A15" w:rsidRDefault="00810A15" w:rsidP="00810A15">
      <w:pPr>
        <w:rPr>
          <w:rFonts w:cs="Arial"/>
          <w:b/>
          <w:lang w:val="fr-FR"/>
        </w:rPr>
      </w:pPr>
    </w:p>
    <w:p w14:paraId="0785844D" w14:textId="77777777" w:rsidR="00810A15" w:rsidRPr="0032147C" w:rsidRDefault="00810A15" w:rsidP="00810A15">
      <w:pPr>
        <w:jc w:val="center"/>
        <w:rPr>
          <w:rFonts w:cs="Arial"/>
          <w:b/>
          <w:lang w:val="fr-FR"/>
        </w:rPr>
      </w:pPr>
      <w:r>
        <w:rPr>
          <w:rFonts w:cs="Arial"/>
          <w:b/>
          <w:lang w:val="fr-FR"/>
        </w:rPr>
        <w:t xml:space="preserve">Annexe à la Résolution 12.27 </w:t>
      </w:r>
      <w:r>
        <w:rPr>
          <w:rFonts w:cs="Arial"/>
          <w:b/>
          <w:u w:val="single"/>
          <w:lang w:val="fr-FR"/>
        </w:rPr>
        <w:t>[Rev.COP14]</w:t>
      </w:r>
    </w:p>
    <w:p w14:paraId="283135B9" w14:textId="77777777" w:rsidR="00810A15" w:rsidRPr="0032147C" w:rsidRDefault="00810A15" w:rsidP="00810A15">
      <w:pPr>
        <w:jc w:val="center"/>
        <w:rPr>
          <w:rFonts w:cs="Arial"/>
          <w:b/>
          <w:lang w:val="fr-FR"/>
        </w:rPr>
      </w:pPr>
    </w:p>
    <w:p w14:paraId="02E6B315" w14:textId="77777777" w:rsidR="00810A15" w:rsidRPr="0032147C" w:rsidRDefault="00810A15" w:rsidP="00810A15">
      <w:pPr>
        <w:jc w:val="center"/>
        <w:rPr>
          <w:rFonts w:cs="Arial"/>
          <w:b/>
          <w:lang w:val="fr-FR"/>
        </w:rPr>
      </w:pPr>
      <w:r>
        <w:rPr>
          <w:rFonts w:cs="Arial"/>
          <w:b/>
          <w:lang w:val="fr-FR"/>
        </w:rPr>
        <w:t xml:space="preserve">LISTE DES RÉFÉRENCES STANDARD [ADOPTÉE PAR </w:t>
      </w:r>
    </w:p>
    <w:p w14:paraId="6770DAEF" w14:textId="77777777" w:rsidR="00810A15" w:rsidRPr="0032147C" w:rsidRDefault="00810A15" w:rsidP="00810A15">
      <w:pPr>
        <w:jc w:val="center"/>
        <w:rPr>
          <w:rFonts w:cs="Arial"/>
          <w:b/>
          <w:lang w:val="fr-FR"/>
        </w:rPr>
      </w:pPr>
      <w:r>
        <w:rPr>
          <w:rFonts w:cs="Arial"/>
          <w:b/>
          <w:lang w:val="fr-FR"/>
        </w:rPr>
        <w:t>LA CONFÉRENCE DES PARTIES]</w:t>
      </w:r>
    </w:p>
    <w:p w14:paraId="6F8BE667" w14:textId="77777777" w:rsidR="00810A15" w:rsidRPr="0032147C" w:rsidRDefault="00810A15" w:rsidP="00810A15">
      <w:pPr>
        <w:jc w:val="both"/>
        <w:rPr>
          <w:rFonts w:cs="Arial"/>
          <w:lang w:val="fr-FR"/>
        </w:rPr>
      </w:pPr>
    </w:p>
    <w:p w14:paraId="6512FD9E" w14:textId="77777777" w:rsidR="00810A15" w:rsidRPr="0032147C" w:rsidRDefault="00810A15" w:rsidP="00810A15">
      <w:pPr>
        <w:jc w:val="both"/>
        <w:rPr>
          <w:rFonts w:cs="Arial"/>
          <w:i/>
          <w:lang w:val="fr-FR"/>
        </w:rPr>
      </w:pPr>
      <w:r>
        <w:rPr>
          <w:rFonts w:cs="Arial"/>
          <w:i/>
          <w:lang w:val="fr-FR"/>
        </w:rPr>
        <w:t xml:space="preserve">Mammifères </w:t>
      </w:r>
    </w:p>
    <w:p w14:paraId="24988E83" w14:textId="77777777" w:rsidR="00810A15" w:rsidRPr="0032147C" w:rsidRDefault="00810A15" w:rsidP="00810A15">
      <w:pPr>
        <w:jc w:val="both"/>
        <w:rPr>
          <w:rFonts w:cs="Arial"/>
          <w:lang w:val="fr-FR"/>
        </w:rPr>
      </w:pPr>
    </w:p>
    <w:p w14:paraId="0B9FF196" w14:textId="2571A259" w:rsidR="00810A15" w:rsidRPr="00FF7380" w:rsidRDefault="00FF7380" w:rsidP="00810A15">
      <w:pPr>
        <w:ind w:firstLine="720"/>
        <w:jc w:val="both"/>
        <w:rPr>
          <w:rFonts w:cs="Arial"/>
          <w:lang w:val="fr-FR" w:eastAsia="en-GB"/>
        </w:rPr>
      </w:pPr>
      <w:r w:rsidRPr="00FF7380">
        <w:rPr>
          <w:rFonts w:cs="Arial"/>
          <w:lang w:val="fr-FR" w:eastAsia="en-GB"/>
        </w:rPr>
        <w:t>Mammifères marins</w:t>
      </w:r>
      <w:r w:rsidR="00810A15" w:rsidRPr="00FF7380">
        <w:rPr>
          <w:rFonts w:cs="Arial"/>
          <w:lang w:val="fr-FR" w:eastAsia="en-GB"/>
        </w:rPr>
        <w:t>:</w:t>
      </w:r>
    </w:p>
    <w:p w14:paraId="1203D199" w14:textId="77777777" w:rsidR="00810A15" w:rsidRPr="00FF7380" w:rsidRDefault="00810A15" w:rsidP="00810A15">
      <w:pPr>
        <w:jc w:val="both"/>
        <w:rPr>
          <w:rFonts w:cs="Arial"/>
          <w:lang w:val="fr-FR"/>
        </w:rPr>
      </w:pPr>
    </w:p>
    <w:p w14:paraId="378CA6B6" w14:textId="77777777" w:rsidR="00810A15" w:rsidRPr="00FF7380" w:rsidRDefault="001916E7" w:rsidP="00810A15">
      <w:pPr>
        <w:jc w:val="both"/>
        <w:rPr>
          <w:rFonts w:cs="Arial"/>
          <w:strike/>
          <w:lang w:eastAsia="en-GB"/>
        </w:rPr>
      </w:pPr>
      <w:hyperlink r:id="rId36" w:tgtFrame="_blank" w:history="1">
        <w:r w:rsidR="00810A15" w:rsidRPr="00FF7380">
          <w:rPr>
            <w:rFonts w:cs="Arial"/>
            <w:strike/>
            <w:color w:val="000000"/>
            <w:lang w:eastAsia="en-GB"/>
          </w:rPr>
          <w:t>Perrin</w:t>
        </w:r>
      </w:hyperlink>
      <w:r w:rsidR="00810A15" w:rsidRPr="00FF7380">
        <w:rPr>
          <w:rFonts w:cs="Arial"/>
          <w:strike/>
          <w:lang w:eastAsia="en-GB"/>
        </w:rPr>
        <w:t xml:space="preserve"> W.F., </w:t>
      </w:r>
      <w:proofErr w:type="spellStart"/>
      <w:r w:rsidR="00810A15" w:rsidRPr="00FF7380">
        <w:rPr>
          <w:rFonts w:cs="Arial"/>
          <w:strike/>
          <w:lang w:eastAsia="en-GB"/>
        </w:rPr>
        <w:t>Wursig</w:t>
      </w:r>
      <w:proofErr w:type="spellEnd"/>
      <w:r w:rsidR="00810A15" w:rsidRPr="00FF7380">
        <w:rPr>
          <w:rFonts w:cs="Arial"/>
          <w:strike/>
          <w:lang w:eastAsia="en-GB"/>
        </w:rPr>
        <w:t xml:space="preserve"> B. and </w:t>
      </w:r>
      <w:proofErr w:type="spellStart"/>
      <w:r w:rsidR="00810A15" w:rsidRPr="00FF7380">
        <w:rPr>
          <w:rFonts w:cs="Arial"/>
          <w:strike/>
          <w:lang w:eastAsia="en-GB"/>
        </w:rPr>
        <w:t>Thewissen</w:t>
      </w:r>
      <w:proofErr w:type="spellEnd"/>
      <w:r w:rsidR="00810A15" w:rsidRPr="00FF7380">
        <w:rPr>
          <w:rFonts w:cs="Arial"/>
          <w:strike/>
          <w:lang w:eastAsia="en-GB"/>
        </w:rPr>
        <w:t xml:space="preserve"> J.G.M. (Editors), (2009), </w:t>
      </w:r>
      <w:proofErr w:type="spellStart"/>
      <w:r w:rsidR="00810A15" w:rsidRPr="00FF7380">
        <w:rPr>
          <w:rFonts w:cs="Arial"/>
          <w:strike/>
          <w:lang w:eastAsia="en-GB"/>
        </w:rPr>
        <w:t>Encyclopaedia</w:t>
      </w:r>
      <w:proofErr w:type="spellEnd"/>
      <w:r w:rsidR="00810A15" w:rsidRPr="00FF7380">
        <w:rPr>
          <w:rFonts w:cs="Arial"/>
          <w:strike/>
          <w:lang w:eastAsia="en-GB"/>
        </w:rPr>
        <w:t xml:space="preserve"> of Marine Mammals, Second edition. Academic Press as the standard nomenclatural reference for Marine Mammals as recommended by the 15</w:t>
      </w:r>
      <w:r w:rsidR="00810A15" w:rsidRPr="00FF7380">
        <w:rPr>
          <w:rFonts w:cs="Arial"/>
          <w:strike/>
          <w:vertAlign w:val="superscript"/>
          <w:lang w:eastAsia="en-GB"/>
        </w:rPr>
        <w:t>th</w:t>
      </w:r>
      <w:r w:rsidR="00810A15" w:rsidRPr="00FF7380">
        <w:rPr>
          <w:rFonts w:cs="Arial"/>
          <w:strike/>
          <w:lang w:eastAsia="en-GB"/>
        </w:rPr>
        <w:t xml:space="preserve"> meeting of the Scientific Council;</w:t>
      </w:r>
    </w:p>
    <w:p w14:paraId="29E45C93" w14:textId="77777777" w:rsidR="00810A15" w:rsidRPr="00FF7380" w:rsidRDefault="00810A15" w:rsidP="00810A15">
      <w:pPr>
        <w:jc w:val="both"/>
        <w:rPr>
          <w:rFonts w:cs="Arial"/>
          <w:u w:val="single"/>
          <w:lang w:eastAsia="en-GB"/>
        </w:rPr>
      </w:pPr>
      <w:r w:rsidRPr="00FF7380">
        <w:rPr>
          <w:rFonts w:cs="Arial"/>
          <w:u w:val="single"/>
          <w:lang w:eastAsia="en-GB"/>
        </w:rPr>
        <w:t xml:space="preserve">Committee on Taxonomy. </w:t>
      </w:r>
      <w:r w:rsidRPr="00FF7380">
        <w:rPr>
          <w:rFonts w:cs="Arial"/>
          <w:i/>
          <w:u w:val="single"/>
          <w:lang w:eastAsia="en-GB"/>
        </w:rPr>
        <w:t>List of marine mammal species and subspecies</w:t>
      </w:r>
      <w:r w:rsidRPr="00FF7380">
        <w:rPr>
          <w:rFonts w:cs="Arial"/>
          <w:u w:val="single"/>
          <w:lang w:eastAsia="en-GB"/>
        </w:rPr>
        <w:t xml:space="preserve">. Society for Marine Mammalogy, </w:t>
      </w:r>
      <w:hyperlink r:id="rId37" w:history="1">
        <w:r w:rsidRPr="00FF7380">
          <w:rPr>
            <w:rStyle w:val="Hyperlink"/>
            <w:rFonts w:cs="Arial"/>
            <w:lang w:eastAsia="en-GB"/>
          </w:rPr>
          <w:t>www.marinemammalscience.org</w:t>
        </w:r>
      </w:hyperlink>
      <w:r w:rsidRPr="00FF7380">
        <w:rPr>
          <w:rFonts w:cs="Arial"/>
          <w:u w:val="single"/>
          <w:lang w:eastAsia="en-GB"/>
        </w:rPr>
        <w:t xml:space="preserve"> (continuously updated);</w:t>
      </w:r>
    </w:p>
    <w:p w14:paraId="38C03FAE" w14:textId="77777777" w:rsidR="00810A15" w:rsidRPr="00FF7380" w:rsidRDefault="00810A15" w:rsidP="00810A15">
      <w:pPr>
        <w:jc w:val="both"/>
        <w:rPr>
          <w:rFonts w:cs="Arial"/>
          <w:u w:val="single"/>
          <w:lang w:eastAsia="en-GB"/>
        </w:rPr>
      </w:pPr>
    </w:p>
    <w:p w14:paraId="4257CC9A" w14:textId="77777777" w:rsidR="00810A15" w:rsidRPr="00810A15" w:rsidRDefault="00810A15" w:rsidP="00810A15">
      <w:pPr>
        <w:ind w:firstLine="720"/>
        <w:jc w:val="both"/>
        <w:rPr>
          <w:rFonts w:cs="Arial"/>
          <w:highlight w:val="yellow"/>
          <w:lang w:eastAsia="en-GB"/>
        </w:rPr>
      </w:pPr>
    </w:p>
    <w:p w14:paraId="3D511A58" w14:textId="3E35E1D1" w:rsidR="00810A15" w:rsidRPr="00FF7380" w:rsidRDefault="00FF7380" w:rsidP="00810A15">
      <w:pPr>
        <w:ind w:firstLine="720"/>
        <w:jc w:val="both"/>
        <w:rPr>
          <w:rFonts w:cs="Arial"/>
          <w:lang w:val="en-GB" w:eastAsia="en-GB"/>
        </w:rPr>
      </w:pPr>
      <w:proofErr w:type="spellStart"/>
      <w:r w:rsidRPr="00FF7380">
        <w:rPr>
          <w:rFonts w:cs="Arial"/>
          <w:lang w:val="en-GB" w:eastAsia="en-GB"/>
        </w:rPr>
        <w:t>Mammifères</w:t>
      </w:r>
      <w:proofErr w:type="spellEnd"/>
      <w:r w:rsidRPr="00FF7380">
        <w:rPr>
          <w:rFonts w:cs="Arial"/>
          <w:lang w:val="en-GB" w:eastAsia="en-GB"/>
        </w:rPr>
        <w:t xml:space="preserve"> </w:t>
      </w:r>
      <w:proofErr w:type="spellStart"/>
      <w:r w:rsidRPr="00FF7380">
        <w:rPr>
          <w:rFonts w:cs="Arial"/>
          <w:lang w:val="en-GB" w:eastAsia="en-GB"/>
        </w:rPr>
        <w:t>terrestres</w:t>
      </w:r>
      <w:proofErr w:type="spellEnd"/>
    </w:p>
    <w:p w14:paraId="6B6C791C" w14:textId="77777777" w:rsidR="00810A15" w:rsidRPr="00810A15" w:rsidRDefault="00810A15" w:rsidP="00810A15">
      <w:pPr>
        <w:jc w:val="both"/>
        <w:rPr>
          <w:rFonts w:cs="Arial"/>
          <w:highlight w:val="yellow"/>
          <w:lang w:eastAsia="en-GB"/>
        </w:rPr>
      </w:pPr>
    </w:p>
    <w:p w14:paraId="3B6F0A87" w14:textId="77777777" w:rsidR="00810A15" w:rsidRPr="00FF7380" w:rsidRDefault="00810A15" w:rsidP="00810A15">
      <w:pPr>
        <w:jc w:val="both"/>
        <w:rPr>
          <w:rFonts w:cs="Arial"/>
          <w:lang w:eastAsia="en-GB"/>
        </w:rPr>
      </w:pPr>
      <w:r w:rsidRPr="00FF7380">
        <w:rPr>
          <w:rFonts w:cs="Arial"/>
          <w:lang w:eastAsia="en-GB"/>
        </w:rPr>
        <w:t xml:space="preserve">Wilson, D. E. &amp; Reeder, D. M. (ed.) (2005): </w:t>
      </w:r>
      <w:r w:rsidRPr="00FF7380">
        <w:rPr>
          <w:rFonts w:cs="Arial"/>
          <w:i/>
          <w:lang w:eastAsia="en-GB"/>
        </w:rPr>
        <w:t>Mammal Species of the World. A Taxonomic and Geographic Reference.</w:t>
      </w:r>
      <w:r w:rsidRPr="00FF7380">
        <w:rPr>
          <w:rFonts w:cs="Arial"/>
          <w:lang w:eastAsia="en-GB"/>
        </w:rPr>
        <w:t xml:space="preserve"> Third edition, John Hopkins University Press as the standard nomenclatural reference for terrestrial mammals, as recommended by the 14</w:t>
      </w:r>
      <w:r w:rsidRPr="00FF7380">
        <w:rPr>
          <w:rFonts w:cs="Arial"/>
          <w:vertAlign w:val="superscript"/>
          <w:lang w:eastAsia="en-GB"/>
        </w:rPr>
        <w:t>th</w:t>
      </w:r>
      <w:r w:rsidRPr="00FF7380">
        <w:rPr>
          <w:rFonts w:cs="Arial"/>
          <w:lang w:eastAsia="en-GB"/>
        </w:rPr>
        <w:t xml:space="preserve"> meeting of the Scientific Council;</w:t>
      </w:r>
    </w:p>
    <w:p w14:paraId="2DF3B17D" w14:textId="77777777" w:rsidR="00810A15" w:rsidRPr="00A51C0F" w:rsidRDefault="00810A15" w:rsidP="00810A15">
      <w:pPr>
        <w:jc w:val="both"/>
        <w:rPr>
          <w:rFonts w:cs="Arial"/>
          <w:highlight w:val="yellow"/>
          <w:lang w:eastAsia="en-GB"/>
        </w:rPr>
      </w:pPr>
    </w:p>
    <w:p w14:paraId="78ECD715" w14:textId="77777777" w:rsidR="00810A15" w:rsidRPr="00A51C0F" w:rsidRDefault="00810A15" w:rsidP="00810A15">
      <w:pPr>
        <w:jc w:val="both"/>
        <w:rPr>
          <w:rFonts w:cs="Arial"/>
          <w:i/>
          <w:highlight w:val="yellow"/>
          <w:lang w:eastAsia="en-GB"/>
        </w:rPr>
      </w:pPr>
    </w:p>
    <w:p w14:paraId="31043631" w14:textId="7DD462AC" w:rsidR="00810A15" w:rsidRPr="002125BA" w:rsidRDefault="00FF7380" w:rsidP="00810A15">
      <w:pPr>
        <w:jc w:val="both"/>
        <w:rPr>
          <w:rFonts w:cs="Arial"/>
          <w:lang w:val="fr-FR" w:eastAsia="en-GB"/>
        </w:rPr>
      </w:pPr>
      <w:r w:rsidRPr="002125BA">
        <w:rPr>
          <w:rFonts w:cs="Arial"/>
          <w:i/>
          <w:lang w:val="fr-FR" w:eastAsia="en-GB"/>
        </w:rPr>
        <w:t>Oiseaux</w:t>
      </w:r>
    </w:p>
    <w:p w14:paraId="099FCF7E" w14:textId="77777777" w:rsidR="00810A15" w:rsidRPr="002125BA" w:rsidRDefault="00810A15" w:rsidP="00810A15">
      <w:pPr>
        <w:jc w:val="both"/>
        <w:rPr>
          <w:rFonts w:cs="Arial"/>
          <w:highlight w:val="yellow"/>
          <w:lang w:val="fr-FR" w:eastAsia="en-GB"/>
        </w:rPr>
      </w:pPr>
    </w:p>
    <w:p w14:paraId="52E7D882" w14:textId="1B6DF69C" w:rsidR="00810A15" w:rsidRPr="002125BA" w:rsidRDefault="00FF7380" w:rsidP="00810A15">
      <w:pPr>
        <w:ind w:firstLine="720"/>
        <w:jc w:val="both"/>
        <w:rPr>
          <w:rFonts w:cs="Arial"/>
          <w:lang w:val="fr-FR" w:eastAsia="en-GB"/>
        </w:rPr>
      </w:pPr>
      <w:r w:rsidRPr="002125BA">
        <w:rPr>
          <w:lang w:val="fr-FR"/>
        </w:rPr>
        <w:t>Espèces non-passereaux</w:t>
      </w:r>
      <w:r w:rsidR="00810A15" w:rsidRPr="002125BA">
        <w:rPr>
          <w:rFonts w:cs="Arial"/>
          <w:lang w:val="fr-FR" w:eastAsia="en-GB"/>
        </w:rPr>
        <w:t>:</w:t>
      </w:r>
    </w:p>
    <w:p w14:paraId="2369D4DC" w14:textId="77777777" w:rsidR="00810A15" w:rsidRPr="002125BA" w:rsidRDefault="00810A15" w:rsidP="00810A15">
      <w:pPr>
        <w:jc w:val="both"/>
        <w:rPr>
          <w:rFonts w:cs="Arial"/>
          <w:lang w:val="fr-FR" w:eastAsia="en-GB"/>
        </w:rPr>
      </w:pPr>
    </w:p>
    <w:p w14:paraId="2E17C966" w14:textId="77777777" w:rsidR="00810A15" w:rsidRPr="00FF7380" w:rsidRDefault="00810A15" w:rsidP="00810A15">
      <w:pPr>
        <w:jc w:val="both"/>
      </w:pPr>
      <w:r w:rsidRPr="002125BA">
        <w:rPr>
          <w:rFonts w:cs="Arial"/>
          <w:lang w:val="fr-FR"/>
        </w:rPr>
        <w:t xml:space="preserve">Del </w:t>
      </w:r>
      <w:proofErr w:type="spellStart"/>
      <w:r w:rsidRPr="002125BA">
        <w:rPr>
          <w:rFonts w:cs="Arial"/>
          <w:lang w:val="fr-FR"/>
        </w:rPr>
        <w:t>Hoyo</w:t>
      </w:r>
      <w:proofErr w:type="spellEnd"/>
      <w:r w:rsidRPr="002125BA">
        <w:rPr>
          <w:rFonts w:cs="Arial"/>
          <w:lang w:val="fr-FR"/>
        </w:rPr>
        <w:t xml:space="preserve">, J. &amp; </w:t>
      </w:r>
      <w:proofErr w:type="spellStart"/>
      <w:r w:rsidRPr="002125BA">
        <w:rPr>
          <w:rFonts w:cs="Arial"/>
          <w:lang w:val="fr-FR"/>
        </w:rPr>
        <w:t>Collar</w:t>
      </w:r>
      <w:proofErr w:type="spellEnd"/>
      <w:r w:rsidRPr="002125BA">
        <w:rPr>
          <w:rFonts w:cs="Arial"/>
          <w:lang w:val="fr-FR"/>
        </w:rPr>
        <w:t xml:space="preserve">, N.J. (2014). </w:t>
      </w:r>
      <w:r w:rsidRPr="00FF7380">
        <w:rPr>
          <w:rFonts w:cs="Arial"/>
          <w:i/>
        </w:rPr>
        <w:t xml:space="preserve">Handbook of the Birds of the World and </w:t>
      </w:r>
      <w:proofErr w:type="spellStart"/>
      <w:r w:rsidRPr="00FF7380">
        <w:rPr>
          <w:rFonts w:cs="Arial"/>
          <w:i/>
        </w:rPr>
        <w:t>BirdLife</w:t>
      </w:r>
      <w:proofErr w:type="spellEnd"/>
      <w:r w:rsidRPr="00FF7380">
        <w:rPr>
          <w:rFonts w:cs="Arial"/>
          <w:i/>
        </w:rPr>
        <w:t xml:space="preserve"> International Illustrated Checklist of the Birds of the World</w:t>
      </w:r>
      <w:r w:rsidRPr="00FF7380">
        <w:rPr>
          <w:rFonts w:cs="Arial"/>
        </w:rPr>
        <w:t xml:space="preserve">. </w:t>
      </w:r>
      <w:r w:rsidRPr="00FF7380">
        <w:t xml:space="preserve">Volume 1: Non-passerines. Lynx </w:t>
      </w:r>
      <w:proofErr w:type="spellStart"/>
      <w:r w:rsidRPr="00FF7380">
        <w:t>Edicions</w:t>
      </w:r>
      <w:proofErr w:type="spellEnd"/>
      <w:r w:rsidRPr="00FF7380">
        <w:t>, Barcelona;</w:t>
      </w:r>
    </w:p>
    <w:p w14:paraId="619620D9" w14:textId="77777777" w:rsidR="00810A15" w:rsidRPr="00FF7380" w:rsidRDefault="00810A15" w:rsidP="00810A15">
      <w:pPr>
        <w:jc w:val="both"/>
      </w:pPr>
    </w:p>
    <w:p w14:paraId="0F2E0EF5" w14:textId="4E44E235" w:rsidR="00810A15" w:rsidRDefault="00FF7380" w:rsidP="00FF7380">
      <w:pPr>
        <w:ind w:left="709"/>
        <w:jc w:val="both"/>
      </w:pPr>
      <w:proofErr w:type="spellStart"/>
      <w:r>
        <w:t>Espèces</w:t>
      </w:r>
      <w:proofErr w:type="spellEnd"/>
      <w:r>
        <w:t xml:space="preserve"> </w:t>
      </w:r>
      <w:proofErr w:type="spellStart"/>
      <w:r>
        <w:t>passereaux</w:t>
      </w:r>
      <w:proofErr w:type="spellEnd"/>
      <w:r>
        <w:t>:</w:t>
      </w:r>
    </w:p>
    <w:p w14:paraId="74D219D6" w14:textId="77777777" w:rsidR="00FF7380" w:rsidRPr="00810A15" w:rsidRDefault="00FF7380" w:rsidP="00810A15">
      <w:pPr>
        <w:jc w:val="both"/>
        <w:rPr>
          <w:strike/>
          <w:color w:val="000000"/>
          <w:highlight w:val="yellow"/>
        </w:rPr>
      </w:pPr>
    </w:p>
    <w:p w14:paraId="75007803" w14:textId="77777777" w:rsidR="00810A15" w:rsidRPr="00FF7380" w:rsidRDefault="00810A15" w:rsidP="00810A15">
      <w:pPr>
        <w:jc w:val="both"/>
        <w:rPr>
          <w:rFonts w:cs="Arial"/>
          <w:spacing w:val="-4"/>
        </w:rPr>
      </w:pPr>
      <w:r w:rsidRPr="00FF7380">
        <w:rPr>
          <w:spacing w:val="-4"/>
        </w:rPr>
        <w:t xml:space="preserve">Del Hoyo, J. &amp; Collar, N.J. (2016). </w:t>
      </w:r>
      <w:r w:rsidRPr="00FF7380">
        <w:rPr>
          <w:rFonts w:cs="Arial"/>
          <w:i/>
          <w:spacing w:val="-4"/>
        </w:rPr>
        <w:t xml:space="preserve">Handbook of the Birds of the World and </w:t>
      </w:r>
      <w:proofErr w:type="spellStart"/>
      <w:r w:rsidRPr="00FF7380">
        <w:rPr>
          <w:rFonts w:cs="Arial"/>
          <w:i/>
          <w:spacing w:val="-4"/>
        </w:rPr>
        <w:t>BirdLife</w:t>
      </w:r>
      <w:proofErr w:type="spellEnd"/>
      <w:r w:rsidRPr="00FF7380">
        <w:rPr>
          <w:rFonts w:cs="Arial"/>
          <w:i/>
          <w:spacing w:val="-4"/>
        </w:rPr>
        <w:t xml:space="preserve"> International Illustrated Checklist of the Birds of the World</w:t>
      </w:r>
      <w:r w:rsidRPr="00FF7380">
        <w:rPr>
          <w:rFonts w:cs="Arial"/>
          <w:spacing w:val="-4"/>
        </w:rPr>
        <w:t xml:space="preserve">. Volume 2: Passerines. Lynx </w:t>
      </w:r>
      <w:proofErr w:type="spellStart"/>
      <w:r w:rsidRPr="00FF7380">
        <w:rPr>
          <w:rFonts w:cs="Arial"/>
          <w:spacing w:val="-4"/>
        </w:rPr>
        <w:t>Edicions</w:t>
      </w:r>
      <w:proofErr w:type="spellEnd"/>
      <w:r w:rsidRPr="00FF7380">
        <w:rPr>
          <w:rFonts w:cs="Arial"/>
          <w:spacing w:val="-4"/>
        </w:rPr>
        <w:t>, Barcelona;</w:t>
      </w:r>
    </w:p>
    <w:p w14:paraId="2E08EEF8" w14:textId="77777777" w:rsidR="00810A15" w:rsidRPr="00FF7380" w:rsidRDefault="00810A15" w:rsidP="00810A15">
      <w:pPr>
        <w:jc w:val="both"/>
        <w:rPr>
          <w:rFonts w:cs="Arial"/>
          <w:spacing w:val="-4"/>
          <w:u w:val="single"/>
        </w:rPr>
      </w:pPr>
    </w:p>
    <w:p w14:paraId="27C47EE1" w14:textId="77777777" w:rsidR="00810A15" w:rsidRPr="00FF7380" w:rsidRDefault="00810A15" w:rsidP="00810A15">
      <w:pPr>
        <w:jc w:val="both"/>
        <w:rPr>
          <w:rFonts w:cs="Arial"/>
          <w:i/>
          <w:color w:val="000000"/>
          <w:spacing w:val="-4"/>
          <w:lang w:eastAsia="en-GB"/>
        </w:rPr>
      </w:pPr>
    </w:p>
    <w:p w14:paraId="38444EF6" w14:textId="4E957BE9" w:rsidR="00810A15" w:rsidRPr="00FF7380" w:rsidRDefault="00FF7380" w:rsidP="00FF7380">
      <w:pPr>
        <w:jc w:val="both"/>
        <w:rPr>
          <w:rFonts w:cs="Arial"/>
          <w:color w:val="000000"/>
          <w:spacing w:val="-4"/>
          <w:lang w:val="en-GB" w:eastAsia="en-GB"/>
        </w:rPr>
      </w:pPr>
      <w:proofErr w:type="spellStart"/>
      <w:r>
        <w:rPr>
          <w:rFonts w:cs="Arial"/>
          <w:i/>
          <w:color w:val="000000"/>
          <w:spacing w:val="-4"/>
          <w:lang w:val="en-GB" w:eastAsia="en-GB"/>
        </w:rPr>
        <w:t>Tortues</w:t>
      </w:r>
      <w:proofErr w:type="spellEnd"/>
      <w:r>
        <w:rPr>
          <w:rFonts w:cs="Arial"/>
          <w:i/>
          <w:color w:val="000000"/>
          <w:spacing w:val="-4"/>
          <w:lang w:val="en-GB" w:eastAsia="en-GB"/>
        </w:rPr>
        <w:t xml:space="preserve"> marines</w:t>
      </w:r>
      <w:r w:rsidR="00810A15" w:rsidRPr="00FF7380">
        <w:rPr>
          <w:rFonts w:cs="Arial"/>
          <w:i/>
          <w:color w:val="000000"/>
          <w:spacing w:val="-4"/>
          <w:lang w:val="en-GB" w:eastAsia="en-GB"/>
        </w:rPr>
        <w:t xml:space="preserve"> </w:t>
      </w:r>
    </w:p>
    <w:p w14:paraId="2F960950" w14:textId="77777777" w:rsidR="00810A15" w:rsidRPr="00FF7380" w:rsidRDefault="00810A15" w:rsidP="00810A15">
      <w:pPr>
        <w:jc w:val="both"/>
        <w:rPr>
          <w:rFonts w:cs="Arial"/>
          <w:color w:val="000000"/>
          <w:spacing w:val="-4"/>
          <w:lang w:eastAsia="en-GB"/>
        </w:rPr>
      </w:pPr>
    </w:p>
    <w:p w14:paraId="29F002A7" w14:textId="77777777" w:rsidR="00810A15" w:rsidRPr="00FF7380" w:rsidRDefault="00810A15" w:rsidP="00810A15">
      <w:pPr>
        <w:jc w:val="both"/>
        <w:rPr>
          <w:rFonts w:cs="Arial"/>
          <w:color w:val="000000"/>
          <w:lang w:eastAsia="en-GB"/>
        </w:rPr>
      </w:pPr>
      <w:r w:rsidRPr="00FF7380">
        <w:rPr>
          <w:rFonts w:cs="Arial"/>
          <w:color w:val="000000"/>
          <w:lang w:eastAsia="en-GB"/>
        </w:rPr>
        <w:t>Eckert, K.L., Bjorndal, K.A., Abreu-</w:t>
      </w:r>
      <w:proofErr w:type="spellStart"/>
      <w:r w:rsidRPr="00FF7380">
        <w:rPr>
          <w:rFonts w:cs="Arial"/>
          <w:color w:val="000000"/>
          <w:lang w:eastAsia="en-GB"/>
        </w:rPr>
        <w:t>Grobois</w:t>
      </w:r>
      <w:proofErr w:type="spellEnd"/>
      <w:r w:rsidRPr="00FF7380">
        <w:rPr>
          <w:rFonts w:cs="Arial"/>
          <w:color w:val="000000"/>
          <w:lang w:eastAsia="en-GB"/>
        </w:rPr>
        <w:t xml:space="preserve">, F.A. and Donnelly, M. (Eds) (1999). </w:t>
      </w:r>
      <w:r w:rsidRPr="00FF7380">
        <w:rPr>
          <w:rFonts w:cs="Arial"/>
          <w:i/>
          <w:color w:val="000000"/>
          <w:lang w:eastAsia="en-GB"/>
        </w:rPr>
        <w:t>Research and management techniques for the conservation of sea turtles</w:t>
      </w:r>
      <w:r w:rsidRPr="00FF7380">
        <w:rPr>
          <w:rFonts w:cs="Arial"/>
          <w:color w:val="000000"/>
          <w:lang w:eastAsia="en-GB"/>
        </w:rPr>
        <w:t>. IUCN/SSC Marine Turtle Specialist Group Publication No. 4;</w:t>
      </w:r>
    </w:p>
    <w:p w14:paraId="77A28A2B" w14:textId="77777777" w:rsidR="00810A15" w:rsidRPr="00FF7380" w:rsidRDefault="00810A15" w:rsidP="00810A15">
      <w:pPr>
        <w:jc w:val="both"/>
        <w:rPr>
          <w:rFonts w:cs="Arial"/>
          <w:color w:val="000000"/>
          <w:lang w:eastAsia="en-GB"/>
        </w:rPr>
      </w:pPr>
    </w:p>
    <w:p w14:paraId="319B9B18" w14:textId="77777777" w:rsidR="00810A15" w:rsidRPr="00FF7380" w:rsidRDefault="00810A15" w:rsidP="00810A15">
      <w:pPr>
        <w:jc w:val="both"/>
        <w:rPr>
          <w:rFonts w:cs="Arial"/>
          <w:i/>
          <w:color w:val="000000"/>
          <w:lang w:eastAsia="en-GB"/>
        </w:rPr>
      </w:pPr>
    </w:p>
    <w:p w14:paraId="3999AAC8" w14:textId="64F71A01" w:rsidR="00810A15" w:rsidRPr="00FF7380" w:rsidRDefault="00FF7380" w:rsidP="00FF7380">
      <w:pPr>
        <w:jc w:val="both"/>
        <w:rPr>
          <w:rFonts w:cs="Arial"/>
          <w:color w:val="000000"/>
          <w:lang w:val="en-GB" w:eastAsia="en-GB"/>
        </w:rPr>
      </w:pPr>
      <w:proofErr w:type="spellStart"/>
      <w:r>
        <w:rPr>
          <w:rFonts w:cs="Arial"/>
          <w:i/>
          <w:color w:val="000000"/>
          <w:lang w:val="en-GB" w:eastAsia="en-GB"/>
        </w:rPr>
        <w:t>Poissons</w:t>
      </w:r>
      <w:proofErr w:type="spellEnd"/>
    </w:p>
    <w:p w14:paraId="573983EF" w14:textId="77777777" w:rsidR="00810A15" w:rsidRPr="00FF7380" w:rsidRDefault="00810A15" w:rsidP="00810A15">
      <w:pPr>
        <w:jc w:val="both"/>
        <w:rPr>
          <w:rFonts w:cs="Arial"/>
          <w:color w:val="000000"/>
          <w:lang w:eastAsia="en-GB"/>
        </w:rPr>
      </w:pPr>
    </w:p>
    <w:p w14:paraId="54875A63" w14:textId="21E9706B" w:rsidR="00810A15" w:rsidRPr="001916E7" w:rsidRDefault="003F5104" w:rsidP="00810A15">
      <w:pPr>
        <w:jc w:val="both"/>
        <w:rPr>
          <w:rFonts w:cs="Arial"/>
          <w:color w:val="000000"/>
          <w:lang w:eastAsia="en-GB"/>
        </w:rPr>
      </w:pPr>
      <w:r w:rsidRPr="003F5104">
        <w:rPr>
          <w:rFonts w:cs="Arial"/>
          <w:color w:val="000000"/>
          <w:u w:val="single"/>
          <w:lang w:val="es-ES" w:eastAsia="en-GB"/>
        </w:rPr>
        <w:t xml:space="preserve">Fricke, R., </w:t>
      </w:r>
      <w:proofErr w:type="spellStart"/>
      <w:r w:rsidRPr="003F5104">
        <w:rPr>
          <w:rFonts w:cs="Arial"/>
          <w:color w:val="000000"/>
          <w:u w:val="single"/>
          <w:lang w:val="es-ES" w:eastAsia="en-GB"/>
        </w:rPr>
        <w:t>Eschmeyer</w:t>
      </w:r>
      <w:proofErr w:type="spellEnd"/>
      <w:r w:rsidRPr="003F5104">
        <w:rPr>
          <w:rFonts w:cs="Arial"/>
          <w:color w:val="000000"/>
          <w:u w:val="single"/>
          <w:lang w:val="es-ES" w:eastAsia="en-GB"/>
        </w:rPr>
        <w:t xml:space="preserve">, W. N. &amp; R. van der </w:t>
      </w:r>
      <w:proofErr w:type="spellStart"/>
      <w:r w:rsidRPr="003F5104">
        <w:rPr>
          <w:rFonts w:cs="Arial"/>
          <w:color w:val="000000"/>
          <w:u w:val="single"/>
          <w:lang w:val="es-ES" w:eastAsia="en-GB"/>
        </w:rPr>
        <w:t>Laan</w:t>
      </w:r>
      <w:proofErr w:type="spellEnd"/>
      <w:r w:rsidRPr="003F5104">
        <w:rPr>
          <w:rFonts w:cs="Arial"/>
          <w:color w:val="000000"/>
          <w:u w:val="single"/>
          <w:lang w:val="es-ES" w:eastAsia="en-GB"/>
        </w:rPr>
        <w:t xml:space="preserve"> (</w:t>
      </w:r>
      <w:proofErr w:type="spellStart"/>
      <w:r w:rsidRPr="003F5104">
        <w:rPr>
          <w:rFonts w:cs="Arial"/>
          <w:color w:val="000000"/>
          <w:u w:val="single"/>
          <w:lang w:val="es-ES" w:eastAsia="en-GB"/>
        </w:rPr>
        <w:t>eds</w:t>
      </w:r>
      <w:proofErr w:type="spellEnd"/>
      <w:r w:rsidRPr="003F5104">
        <w:rPr>
          <w:rFonts w:cs="Arial"/>
          <w:color w:val="000000"/>
          <w:u w:val="single"/>
          <w:lang w:val="es-ES" w:eastAsia="en-GB"/>
        </w:rPr>
        <w:t xml:space="preserve">) 2023. </w:t>
      </w:r>
      <w:r w:rsidRPr="003F5104">
        <w:rPr>
          <w:rFonts w:cs="Arial"/>
          <w:color w:val="000000"/>
          <w:u w:val="single"/>
          <w:lang w:eastAsia="en-GB"/>
        </w:rPr>
        <w:t>ESCHMEYER'S CATALOG OF FISHES: GENERA, SPECIES, REFERENCES</w:t>
      </w:r>
      <w:r w:rsidRPr="00100515">
        <w:rPr>
          <w:rFonts w:cs="Arial"/>
          <w:color w:val="000000"/>
          <w:u w:val="single"/>
          <w:lang w:eastAsia="en-GB"/>
        </w:rPr>
        <w:t xml:space="preserve"> </w:t>
      </w:r>
      <w:r w:rsidR="00810A15" w:rsidRPr="003F5104">
        <w:rPr>
          <w:rFonts w:cs="Arial"/>
          <w:strike/>
          <w:color w:val="000000"/>
          <w:u w:val="single"/>
          <w:lang w:eastAsia="en-GB"/>
        </w:rPr>
        <w:t>Eschmeyer, W.N., R. Fricke and R. van der Laan (Eds).</w:t>
      </w:r>
      <w:r w:rsidR="00810A15" w:rsidRPr="003F5104">
        <w:rPr>
          <w:rFonts w:cs="Arial"/>
          <w:strike/>
          <w:color w:val="000000"/>
          <w:lang w:eastAsia="en-GB"/>
        </w:rPr>
        <w:t xml:space="preserve"> </w:t>
      </w:r>
      <w:r w:rsidR="00810A15" w:rsidRPr="003F5104">
        <w:rPr>
          <w:rFonts w:cs="Arial"/>
          <w:i/>
          <w:strike/>
          <w:color w:val="000000"/>
          <w:lang w:eastAsia="en-GB"/>
        </w:rPr>
        <w:t>Online version of the Catalog of Fishes: Genera, Species, References</w:t>
      </w:r>
      <w:r w:rsidR="00810A15" w:rsidRPr="003F5104">
        <w:rPr>
          <w:rFonts w:cs="Arial"/>
          <w:strike/>
          <w:color w:val="000000"/>
          <w:lang w:eastAsia="en-GB"/>
        </w:rPr>
        <w:t xml:space="preserve">. Eschmeyer, W.N., R. Fricke and R. van der Laan (eds). </w:t>
      </w:r>
      <w:r w:rsidR="00810A15" w:rsidRPr="001916E7">
        <w:rPr>
          <w:rFonts w:cs="Arial"/>
          <w:color w:val="000000"/>
          <w:lang w:eastAsia="en-GB"/>
        </w:rPr>
        <w:t>California Academy of Sciences (</w:t>
      </w:r>
      <w:r w:rsidR="001916E7" w:rsidRPr="001916E7">
        <w:rPr>
          <w:rFonts w:cs="Arial"/>
          <w:color w:val="000000"/>
          <w:lang w:eastAsia="en-GB"/>
        </w:rPr>
        <w:t>mis</w:t>
      </w:r>
      <w:r w:rsidR="001916E7">
        <w:rPr>
          <w:rFonts w:cs="Arial"/>
          <w:color w:val="000000"/>
          <w:lang w:eastAsia="en-GB"/>
        </w:rPr>
        <w:t>e</w:t>
      </w:r>
      <w:r w:rsidR="001916E7" w:rsidRPr="001916E7">
        <w:rPr>
          <w:rFonts w:cs="Arial"/>
          <w:color w:val="000000"/>
          <w:lang w:eastAsia="en-GB"/>
        </w:rPr>
        <w:t xml:space="preserve"> à jour </w:t>
      </w:r>
      <w:proofErr w:type="spellStart"/>
      <w:r w:rsidR="001916E7" w:rsidRPr="001916E7">
        <w:rPr>
          <w:rFonts w:cs="Arial"/>
          <w:color w:val="000000"/>
          <w:lang w:eastAsia="en-GB"/>
        </w:rPr>
        <w:t>co</w:t>
      </w:r>
      <w:r w:rsidR="001916E7">
        <w:rPr>
          <w:rFonts w:cs="Arial"/>
          <w:color w:val="000000"/>
          <w:lang w:eastAsia="en-GB"/>
        </w:rPr>
        <w:t>ntinuelle</w:t>
      </w:r>
      <w:proofErr w:type="spellEnd"/>
      <w:r w:rsidR="00810A15" w:rsidRPr="001916E7">
        <w:rPr>
          <w:rFonts w:cs="Arial"/>
          <w:color w:val="000000"/>
          <w:lang w:eastAsia="en-GB"/>
        </w:rPr>
        <w:t>).</w:t>
      </w:r>
    </w:p>
    <w:p w14:paraId="3020769C" w14:textId="77777777" w:rsidR="003F5104" w:rsidRPr="001916E7" w:rsidRDefault="003F5104" w:rsidP="00810A15">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rPr>
        <w:sectPr w:rsidR="003F5104" w:rsidRPr="001916E7" w:rsidSect="00D93628">
          <w:headerReference w:type="first" r:id="rId38"/>
          <w:pgSz w:w="11906" w:h="16838" w:code="9"/>
          <w:pgMar w:top="1440" w:right="1440" w:bottom="1440" w:left="1440" w:header="720" w:footer="720" w:gutter="0"/>
          <w:cols w:space="720"/>
          <w:titlePg/>
          <w:docGrid w:linePitch="360"/>
        </w:sectPr>
      </w:pPr>
    </w:p>
    <w:p w14:paraId="3173DD71" w14:textId="6B6155A1" w:rsidR="0023109C" w:rsidRPr="001916E7" w:rsidRDefault="003F5104" w:rsidP="003F5104">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rPr>
      </w:pPr>
      <w:r w:rsidRPr="001916E7">
        <w:rPr>
          <w:rFonts w:eastAsia="Arial" w:cs="Arial"/>
          <w:b/>
          <w:bCs/>
          <w:caps/>
        </w:rPr>
        <w:lastRenderedPageBreak/>
        <w:t>ANNEXE 4</w:t>
      </w:r>
    </w:p>
    <w:p w14:paraId="0ED32905" w14:textId="77777777" w:rsidR="003F5104" w:rsidRPr="001916E7" w:rsidRDefault="003F5104" w:rsidP="003F5104">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rPr>
      </w:pPr>
    </w:p>
    <w:p w14:paraId="0D72888A" w14:textId="309EA2CA" w:rsidR="001916E7" w:rsidRPr="001916E7"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caps/>
          <w:lang w:val="fr-FR"/>
        </w:rPr>
      </w:pPr>
      <w:r w:rsidRPr="001916E7">
        <w:rPr>
          <w:rFonts w:eastAsia="Arial" w:cs="Arial"/>
          <w:caps/>
          <w:lang w:val="fr-FR"/>
        </w:rPr>
        <w:t>PROJET DE DÉCISIONS</w:t>
      </w:r>
    </w:p>
    <w:p w14:paraId="7DECD525" w14:textId="77777777" w:rsidR="001916E7" w:rsidRPr="001916E7"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01B9E36F" w14:textId="77777777" w:rsidR="001916E7" w:rsidRPr="001916E7"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r w:rsidRPr="001916E7">
        <w:rPr>
          <w:rFonts w:eastAsia="Arial" w:cs="Arial"/>
          <w:b/>
          <w:bCs/>
          <w:caps/>
          <w:lang w:val="fr-FR"/>
        </w:rPr>
        <w:t>TAXONOMIE ET NOMENCLATURE</w:t>
      </w:r>
    </w:p>
    <w:p w14:paraId="5356B785" w14:textId="77777777" w:rsidR="001916E7" w:rsidRPr="001916E7"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25CF78FC" w14:textId="77777777" w:rsidR="001916E7"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b/>
          <w:bCs/>
          <w:i/>
          <w:iCs/>
          <w:lang w:val="fr-FR"/>
        </w:rPr>
      </w:pPr>
    </w:p>
    <w:p w14:paraId="40CB4AE0" w14:textId="1D88D7E7" w:rsidR="001916E7" w:rsidRPr="001916E7"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b/>
          <w:bCs/>
          <w:i/>
          <w:iCs/>
          <w:caps/>
          <w:lang w:val="fr-FR"/>
        </w:rPr>
      </w:pPr>
      <w:r w:rsidRPr="001916E7">
        <w:rPr>
          <w:rFonts w:eastAsia="Arial" w:cs="Arial"/>
          <w:b/>
          <w:bCs/>
          <w:i/>
          <w:iCs/>
          <w:lang w:val="fr-FR"/>
        </w:rPr>
        <w:t xml:space="preserve">Adressée au Conseil scientifique </w:t>
      </w:r>
    </w:p>
    <w:p w14:paraId="520450E2" w14:textId="77777777" w:rsidR="001916E7" w:rsidRPr="001916E7"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0A9FE252" w14:textId="642996F6" w:rsidR="001916E7" w:rsidRPr="001916E7"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hanging="851"/>
        <w:jc w:val="both"/>
        <w:textAlignment w:val="baseline"/>
        <w:outlineLvl w:val="1"/>
        <w:rPr>
          <w:rFonts w:eastAsia="Arial" w:cs="Arial"/>
          <w:caps/>
          <w:lang w:val="fr-FR"/>
        </w:rPr>
      </w:pPr>
      <w:r w:rsidRPr="001916E7">
        <w:rPr>
          <w:rFonts w:eastAsia="Arial" w:cs="Arial"/>
          <w:caps/>
          <w:lang w:val="fr-FR"/>
        </w:rPr>
        <w:t xml:space="preserve">14.AA </w:t>
      </w:r>
      <w:r>
        <w:rPr>
          <w:rFonts w:eastAsia="Arial" w:cs="Arial"/>
          <w:caps/>
          <w:lang w:val="fr-FR"/>
        </w:rPr>
        <w:tab/>
      </w:r>
      <w:r w:rsidRPr="001916E7">
        <w:rPr>
          <w:rFonts w:eastAsia="Arial" w:cs="Arial"/>
          <w:lang w:val="fr-FR"/>
        </w:rPr>
        <w:t xml:space="preserve">le </w:t>
      </w:r>
      <w:r>
        <w:rPr>
          <w:rFonts w:eastAsia="Arial" w:cs="Arial"/>
          <w:lang w:val="fr-FR"/>
        </w:rPr>
        <w:t>C</w:t>
      </w:r>
      <w:r w:rsidRPr="001916E7">
        <w:rPr>
          <w:rFonts w:eastAsia="Arial" w:cs="Arial"/>
          <w:lang w:val="fr-FR"/>
        </w:rPr>
        <w:t xml:space="preserve">onseil scientifique est </w:t>
      </w:r>
      <w:r>
        <w:rPr>
          <w:rFonts w:eastAsia="Arial" w:cs="Arial"/>
          <w:lang w:val="fr-FR"/>
        </w:rPr>
        <w:t>prié,</w:t>
      </w:r>
      <w:r w:rsidRPr="001916E7">
        <w:rPr>
          <w:rFonts w:eastAsia="Arial" w:cs="Arial"/>
          <w:lang w:val="fr-FR"/>
        </w:rPr>
        <w:t xml:space="preserve"> sous r</w:t>
      </w:r>
      <w:r>
        <w:rPr>
          <w:rFonts w:eastAsia="Arial" w:cs="Arial"/>
          <w:lang w:val="fr-FR"/>
        </w:rPr>
        <w:t>é</w:t>
      </w:r>
      <w:r w:rsidRPr="001916E7">
        <w:rPr>
          <w:rFonts w:eastAsia="Arial" w:cs="Arial"/>
          <w:lang w:val="fr-FR"/>
        </w:rPr>
        <w:t>serve de la disponibilit</w:t>
      </w:r>
      <w:r>
        <w:rPr>
          <w:rFonts w:eastAsia="Arial" w:cs="Arial"/>
          <w:lang w:val="fr-FR"/>
        </w:rPr>
        <w:t>é</w:t>
      </w:r>
      <w:r w:rsidRPr="001916E7">
        <w:rPr>
          <w:rFonts w:eastAsia="Arial" w:cs="Arial"/>
          <w:lang w:val="fr-FR"/>
        </w:rPr>
        <w:t xml:space="preserve"> de ressources externes</w:t>
      </w:r>
      <w:r>
        <w:rPr>
          <w:rFonts w:eastAsia="Arial" w:cs="Arial"/>
          <w:lang w:val="fr-FR"/>
        </w:rPr>
        <w:t> :</w:t>
      </w:r>
    </w:p>
    <w:p w14:paraId="32BA0CB3" w14:textId="77777777" w:rsidR="001916E7" w:rsidRPr="001916E7"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26860F9D" w14:textId="4A54B407" w:rsidR="001916E7" w:rsidRPr="001916E7"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1418" w:hanging="567"/>
        <w:jc w:val="both"/>
        <w:textAlignment w:val="baseline"/>
        <w:outlineLvl w:val="1"/>
        <w:rPr>
          <w:rFonts w:eastAsia="Arial" w:cs="Arial"/>
          <w:caps/>
          <w:lang w:val="fr-FR"/>
        </w:rPr>
      </w:pPr>
      <w:r w:rsidRPr="001916E7">
        <w:rPr>
          <w:rFonts w:eastAsia="Arial" w:cs="Arial"/>
          <w:lang w:val="fr-FR"/>
        </w:rPr>
        <w:t xml:space="preserve">a) </w:t>
      </w:r>
      <w:r>
        <w:rPr>
          <w:rFonts w:eastAsia="Arial" w:cs="Arial"/>
          <w:lang w:val="fr-FR"/>
        </w:rPr>
        <w:tab/>
      </w:r>
      <w:r w:rsidRPr="001916E7">
        <w:rPr>
          <w:rFonts w:eastAsia="Arial" w:cs="Arial"/>
          <w:lang w:val="fr-FR"/>
        </w:rPr>
        <w:t>d'examiner l'utilit</w:t>
      </w:r>
      <w:r>
        <w:rPr>
          <w:rFonts w:eastAsia="Arial" w:cs="Arial"/>
          <w:lang w:val="fr-FR"/>
        </w:rPr>
        <w:t>é</w:t>
      </w:r>
      <w:r w:rsidRPr="001916E7">
        <w:rPr>
          <w:rFonts w:eastAsia="Arial" w:cs="Arial"/>
          <w:lang w:val="fr-FR"/>
        </w:rPr>
        <w:t xml:space="preserve"> du catalogue of life en tant que source potentielle de toutes les informations taxonomiques et nomenclaturales pour la </w:t>
      </w:r>
      <w:r>
        <w:rPr>
          <w:rFonts w:eastAsia="Arial" w:cs="Arial"/>
          <w:lang w:val="fr-FR"/>
        </w:rPr>
        <w:t>CMS</w:t>
      </w:r>
      <w:r w:rsidRPr="001916E7">
        <w:rPr>
          <w:rFonts w:eastAsia="Arial" w:cs="Arial"/>
          <w:lang w:val="fr-FR"/>
        </w:rPr>
        <w:t>, y compris l'</w:t>
      </w:r>
      <w:r>
        <w:rPr>
          <w:rFonts w:eastAsia="Arial" w:cs="Arial"/>
          <w:lang w:val="fr-FR"/>
        </w:rPr>
        <w:t>é</w:t>
      </w:r>
      <w:r w:rsidRPr="001916E7">
        <w:rPr>
          <w:rFonts w:eastAsia="Arial" w:cs="Arial"/>
          <w:lang w:val="fr-FR"/>
        </w:rPr>
        <w:t xml:space="preserve">valuation des processus de mise à jour de la nomenclature dans le catalogue of life ; </w:t>
      </w:r>
    </w:p>
    <w:p w14:paraId="0011B2AF" w14:textId="77777777" w:rsidR="001916E7" w:rsidRPr="001916E7"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1418" w:hanging="567"/>
        <w:jc w:val="both"/>
        <w:textAlignment w:val="baseline"/>
        <w:outlineLvl w:val="1"/>
        <w:rPr>
          <w:rFonts w:eastAsia="Arial" w:cs="Arial"/>
          <w:caps/>
          <w:lang w:val="fr-FR"/>
        </w:rPr>
      </w:pPr>
    </w:p>
    <w:p w14:paraId="11C8FCA2" w14:textId="2E727D24" w:rsidR="003F5104" w:rsidRPr="003F5104" w:rsidRDefault="001916E7" w:rsidP="001916E7">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1418" w:hanging="567"/>
        <w:jc w:val="both"/>
        <w:textAlignment w:val="baseline"/>
        <w:outlineLvl w:val="1"/>
        <w:rPr>
          <w:rFonts w:eastAsia="Arial" w:cs="Arial"/>
          <w:caps/>
          <w:lang w:val="fr-FR"/>
        </w:rPr>
      </w:pPr>
      <w:r w:rsidRPr="001916E7">
        <w:rPr>
          <w:rFonts w:eastAsia="Arial" w:cs="Arial"/>
          <w:lang w:val="fr-FR"/>
        </w:rPr>
        <w:t xml:space="preserve">b) </w:t>
      </w:r>
      <w:r>
        <w:rPr>
          <w:rFonts w:eastAsia="Arial" w:cs="Arial"/>
          <w:lang w:val="fr-FR"/>
        </w:rPr>
        <w:tab/>
        <w:t>d’</w:t>
      </w:r>
      <w:r w:rsidRPr="001916E7">
        <w:rPr>
          <w:rFonts w:eastAsia="Arial" w:cs="Arial"/>
          <w:lang w:val="fr-FR"/>
        </w:rPr>
        <w:t>assurer la liaison avec les conseillers en matière de taxonomie et/ou de nomenclature d'autres accords multilatéraux sur l'environnement (</w:t>
      </w:r>
      <w:r>
        <w:rPr>
          <w:rFonts w:eastAsia="Arial" w:cs="Arial"/>
          <w:lang w:val="fr-FR"/>
        </w:rPr>
        <w:t>AME</w:t>
      </w:r>
      <w:r w:rsidRPr="001916E7">
        <w:rPr>
          <w:rFonts w:eastAsia="Arial" w:cs="Arial"/>
          <w:lang w:val="fr-FR"/>
        </w:rPr>
        <w:t xml:space="preserve">) en ce qui concerne les difficultés pratiques liées à l'extraction des listes d'espèces pour les </w:t>
      </w:r>
      <w:r>
        <w:rPr>
          <w:rFonts w:eastAsia="Arial" w:cs="Arial"/>
          <w:lang w:val="fr-FR"/>
        </w:rPr>
        <w:t>AME</w:t>
      </w:r>
      <w:r w:rsidRPr="001916E7">
        <w:rPr>
          <w:rFonts w:eastAsia="Arial" w:cs="Arial"/>
          <w:lang w:val="fr-FR"/>
        </w:rPr>
        <w:t xml:space="preserve"> a une date donnée en vue de leur utilisation en tant que références standard par ces </w:t>
      </w:r>
      <w:r>
        <w:rPr>
          <w:rFonts w:eastAsia="Arial" w:cs="Arial"/>
          <w:lang w:val="fr-FR"/>
        </w:rPr>
        <w:t>AME</w:t>
      </w:r>
      <w:r w:rsidRPr="001916E7">
        <w:rPr>
          <w:rFonts w:eastAsia="Arial" w:cs="Arial"/>
          <w:lang w:val="fr-FR"/>
        </w:rPr>
        <w:t>.</w:t>
      </w:r>
    </w:p>
    <w:sectPr w:rsidR="003F5104" w:rsidRPr="003F5104" w:rsidSect="00D93628">
      <w:headerReference w:type="first" r:id="rId3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7E3A6B95" w:rsidR="00EC2A58" w:rsidRPr="00EC2A58" w:rsidRDefault="00EC2A58" w:rsidP="00ED7D56">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64203063"/>
      <w:docPartObj>
        <w:docPartGallery w:val="Page Numbers (Bottom of Page)"/>
        <w:docPartUnique/>
      </w:docPartObj>
    </w:sdtPr>
    <w:sdtEndPr>
      <w:rPr>
        <w:noProof/>
      </w:rPr>
    </w:sdtEndPr>
    <w:sdtContent>
      <w:p w14:paraId="536DA827" w14:textId="330A3D92" w:rsidR="00810A15" w:rsidRPr="00810A15" w:rsidRDefault="00810A15" w:rsidP="00810A15">
        <w:pPr>
          <w:pStyle w:val="Footer"/>
          <w:jc w:val="center"/>
          <w:rPr>
            <w:sz w:val="18"/>
            <w:szCs w:val="18"/>
          </w:rPr>
        </w:pPr>
        <w:r w:rsidRPr="00810A15">
          <w:rPr>
            <w:sz w:val="18"/>
            <w:szCs w:val="18"/>
          </w:rPr>
          <w:fldChar w:fldCharType="begin"/>
        </w:r>
        <w:r w:rsidRPr="00810A15">
          <w:rPr>
            <w:sz w:val="18"/>
            <w:szCs w:val="18"/>
          </w:rPr>
          <w:instrText xml:space="preserve"> PAGE   \* MERGEFORMAT </w:instrText>
        </w:r>
        <w:r w:rsidRPr="00810A15">
          <w:rPr>
            <w:sz w:val="18"/>
            <w:szCs w:val="18"/>
          </w:rPr>
          <w:fldChar w:fldCharType="separate"/>
        </w:r>
        <w:r w:rsidRPr="00810A15">
          <w:rPr>
            <w:noProof/>
            <w:sz w:val="18"/>
            <w:szCs w:val="18"/>
          </w:rPr>
          <w:t>2</w:t>
        </w:r>
        <w:r w:rsidRPr="00810A15">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2E65" w14:textId="314B32CA" w:rsidR="00810A15" w:rsidRPr="002B40E4" w:rsidRDefault="00810A15" w:rsidP="002B40E4">
    <w:pPr>
      <w:pStyle w:val="Footer"/>
      <w:jc w:val="center"/>
      <w:rPr>
        <w:sz w:val="18"/>
        <w:szCs w:val="18"/>
        <w:lang w:val="fr-FR"/>
      </w:rPr>
    </w:pPr>
    <w:r w:rsidRPr="002B40E4">
      <w:rPr>
        <w:sz w:val="18"/>
        <w:szCs w:val="18"/>
        <w:lang w:val="fr-FR"/>
      </w:rPr>
      <w:fldChar w:fldCharType="begin"/>
    </w:r>
    <w:r w:rsidRPr="002B40E4">
      <w:rPr>
        <w:sz w:val="18"/>
        <w:szCs w:val="18"/>
        <w:lang w:val="fr-FR"/>
      </w:rPr>
      <w:instrText xml:space="preserve"> PAGE   \* MERGEFORMAT </w:instrText>
    </w:r>
    <w:r w:rsidRPr="002B40E4">
      <w:rPr>
        <w:sz w:val="18"/>
        <w:szCs w:val="18"/>
        <w:lang w:val="fr-FR"/>
      </w:rPr>
      <w:fldChar w:fldCharType="separate"/>
    </w:r>
    <w:r w:rsidRPr="002B40E4">
      <w:rPr>
        <w:sz w:val="18"/>
        <w:szCs w:val="18"/>
        <w:lang w:val="fr-FR"/>
      </w:rPr>
      <w:t>4</w:t>
    </w:r>
    <w:r w:rsidRPr="002B40E4">
      <w:rPr>
        <w:sz w:val="18"/>
        <w:szCs w:val="18"/>
        <w:lang w:val="fr-F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16262047"/>
      <w:docPartObj>
        <w:docPartGallery w:val="Page Numbers (Bottom of Page)"/>
        <w:docPartUnique/>
      </w:docPartObj>
    </w:sdtPr>
    <w:sdtEndPr>
      <w:rPr>
        <w:noProof/>
      </w:rPr>
    </w:sdtEndPr>
    <w:sdtContent>
      <w:p w14:paraId="0885EB91" w14:textId="77777777" w:rsidR="00810A15" w:rsidRPr="003F5104" w:rsidRDefault="00810A15">
        <w:pPr>
          <w:pStyle w:val="Footer"/>
          <w:jc w:val="center"/>
          <w:rPr>
            <w:sz w:val="18"/>
            <w:szCs w:val="18"/>
            <w:lang w:val="fr-FR"/>
          </w:rPr>
        </w:pPr>
        <w:r w:rsidRPr="003F5104">
          <w:rPr>
            <w:sz w:val="18"/>
            <w:szCs w:val="18"/>
            <w:lang w:val="fr-FR"/>
          </w:rPr>
          <w:fldChar w:fldCharType="begin"/>
        </w:r>
        <w:r w:rsidRPr="003F5104">
          <w:rPr>
            <w:sz w:val="18"/>
            <w:szCs w:val="18"/>
            <w:lang w:val="fr-FR"/>
          </w:rPr>
          <w:instrText xml:space="preserve"> PAGE   \* MERGEFORMAT </w:instrText>
        </w:r>
        <w:r w:rsidRPr="003F5104">
          <w:rPr>
            <w:sz w:val="18"/>
            <w:szCs w:val="18"/>
            <w:lang w:val="fr-FR"/>
          </w:rPr>
          <w:fldChar w:fldCharType="separate"/>
        </w:r>
        <w:r w:rsidRPr="003F5104">
          <w:rPr>
            <w:sz w:val="18"/>
            <w:szCs w:val="18"/>
            <w:lang w:val="fr-FR"/>
          </w:rPr>
          <w:t>3</w:t>
        </w:r>
        <w:r w:rsidRPr="003F5104">
          <w:rPr>
            <w:sz w:val="18"/>
            <w:szCs w:val="18"/>
            <w:lang w:val="fr-FR"/>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D777" w14:textId="77777777" w:rsidR="00810A15" w:rsidRPr="000B14A4" w:rsidRDefault="00810A15">
    <w:pPr>
      <w:pStyle w:val="Footer"/>
      <w:jc w:val="center"/>
      <w:rPr>
        <w:sz w:val="18"/>
        <w:szCs w:val="18"/>
        <w:lang w:val="fr-FR"/>
      </w:rPr>
    </w:pPr>
    <w:r w:rsidRPr="000B14A4">
      <w:rPr>
        <w:sz w:val="18"/>
        <w:szCs w:val="18"/>
        <w:lang w:val="fr-FR"/>
      </w:rPr>
      <w:fldChar w:fldCharType="begin"/>
    </w:r>
    <w:r w:rsidRPr="000B14A4">
      <w:rPr>
        <w:sz w:val="18"/>
        <w:szCs w:val="18"/>
        <w:lang w:val="fr-FR"/>
      </w:rPr>
      <w:instrText xml:space="preserve"> PAGE   \* MERGEFORMAT </w:instrText>
    </w:r>
    <w:r w:rsidRPr="000B14A4">
      <w:rPr>
        <w:sz w:val="18"/>
        <w:szCs w:val="18"/>
        <w:lang w:val="fr-FR"/>
      </w:rPr>
      <w:fldChar w:fldCharType="separate"/>
    </w:r>
    <w:r w:rsidRPr="000B14A4">
      <w:rPr>
        <w:sz w:val="18"/>
        <w:szCs w:val="18"/>
        <w:lang w:val="fr-FR"/>
      </w:rPr>
      <w:t>1</w:t>
    </w:r>
    <w:r w:rsidRPr="000B14A4">
      <w:rPr>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4EA138FB" w14:textId="77777777" w:rsidR="00810A15" w:rsidRPr="00A51C0F" w:rsidRDefault="00810A15" w:rsidP="00810A15">
      <w:pPr>
        <w:pStyle w:val="FootnoteText"/>
        <w:rPr>
          <w:rFonts w:ascii="Arial" w:hAnsi="Arial" w:cs="Arial"/>
        </w:rPr>
      </w:pPr>
      <w:r>
        <w:rPr>
          <w:rStyle w:val="FootnoteReference"/>
          <w:rFonts w:ascii="Arial" w:hAnsi="Arial" w:cs="Arial"/>
          <w:lang w:val="fr-FR"/>
        </w:rPr>
        <w:footnoteRef/>
      </w:r>
      <w:r w:rsidRPr="00A51C0F">
        <w:rPr>
          <w:rFonts w:ascii="Arial" w:hAnsi="Arial" w:cs="Arial"/>
        </w:rPr>
        <w:t xml:space="preserve"> </w:t>
      </w:r>
      <w:r w:rsidRPr="00A51C0F">
        <w:rPr>
          <w:rFonts w:ascii="Arial" w:hAnsi="Arial" w:cs="Arial"/>
          <w:sz w:val="18"/>
          <w:szCs w:val="18"/>
        </w:rPr>
        <w:t xml:space="preserve">Ebert, D.A., White, W.T., Goldman, K.J., Compagno, L.J., Daly-Engel, T.S., and Ward, R.D. 2010. Resurrection and redescription of Squalus </w:t>
      </w:r>
      <w:proofErr w:type="spellStart"/>
      <w:r w:rsidRPr="00A51C0F">
        <w:rPr>
          <w:rFonts w:ascii="Arial" w:hAnsi="Arial" w:cs="Arial"/>
          <w:sz w:val="18"/>
          <w:szCs w:val="18"/>
        </w:rPr>
        <w:t>suckleyi</w:t>
      </w:r>
      <w:proofErr w:type="spellEnd"/>
      <w:r w:rsidRPr="00A51C0F">
        <w:rPr>
          <w:rFonts w:ascii="Arial" w:hAnsi="Arial" w:cs="Arial"/>
          <w:sz w:val="18"/>
          <w:szCs w:val="18"/>
        </w:rPr>
        <w:t xml:space="preserve"> (Girard, 1854) from the North Pacific, with comments on the Squalus </w:t>
      </w:r>
      <w:proofErr w:type="spellStart"/>
      <w:r w:rsidRPr="00A51C0F">
        <w:rPr>
          <w:rFonts w:ascii="Arial" w:hAnsi="Arial" w:cs="Arial"/>
          <w:sz w:val="18"/>
          <w:szCs w:val="18"/>
        </w:rPr>
        <w:t>acanthias</w:t>
      </w:r>
      <w:proofErr w:type="spellEnd"/>
      <w:r w:rsidRPr="00A51C0F">
        <w:rPr>
          <w:rFonts w:ascii="Arial" w:hAnsi="Arial" w:cs="Arial"/>
          <w:sz w:val="18"/>
          <w:szCs w:val="18"/>
        </w:rPr>
        <w:t xml:space="preserve"> subgroup (</w:t>
      </w:r>
      <w:proofErr w:type="spellStart"/>
      <w:r w:rsidRPr="00A51C0F">
        <w:rPr>
          <w:rFonts w:ascii="Arial" w:hAnsi="Arial" w:cs="Arial"/>
          <w:sz w:val="18"/>
          <w:szCs w:val="18"/>
        </w:rPr>
        <w:t>Squaliformes</w:t>
      </w:r>
      <w:proofErr w:type="spellEnd"/>
      <w:r w:rsidRPr="00A51C0F">
        <w:rPr>
          <w:rFonts w:ascii="Arial" w:hAnsi="Arial" w:cs="Arial"/>
          <w:sz w:val="18"/>
          <w:szCs w:val="18"/>
        </w:rPr>
        <w:t xml:space="preserve">: </w:t>
      </w:r>
      <w:proofErr w:type="spellStart"/>
      <w:r w:rsidRPr="00A51C0F">
        <w:rPr>
          <w:rFonts w:ascii="Arial" w:hAnsi="Arial" w:cs="Arial"/>
          <w:sz w:val="18"/>
          <w:szCs w:val="18"/>
        </w:rPr>
        <w:t>Squalidae</w:t>
      </w:r>
      <w:proofErr w:type="spellEnd"/>
      <w:r w:rsidRPr="00A51C0F">
        <w:rPr>
          <w:rFonts w:ascii="Arial" w:hAnsi="Arial" w:cs="Arial"/>
          <w:sz w:val="18"/>
          <w:szCs w:val="18"/>
        </w:rPr>
        <w:t xml:space="preserve">). </w:t>
      </w:r>
      <w:proofErr w:type="spellStart"/>
      <w:r w:rsidRPr="00A51C0F">
        <w:rPr>
          <w:rFonts w:ascii="Arial" w:hAnsi="Arial" w:cs="Arial"/>
          <w:sz w:val="18"/>
          <w:szCs w:val="18"/>
        </w:rPr>
        <w:t>Zootaxa</w:t>
      </w:r>
      <w:proofErr w:type="spellEnd"/>
      <w:r w:rsidRPr="00A51C0F">
        <w:rPr>
          <w:rFonts w:ascii="Arial" w:hAnsi="Arial" w:cs="Arial"/>
          <w:sz w:val="18"/>
          <w:szCs w:val="18"/>
        </w:rPr>
        <w:t xml:space="preserve"> 2612: 22-40.</w:t>
      </w:r>
    </w:p>
  </w:footnote>
  <w:footnote w:id="2">
    <w:p w14:paraId="1A13C49C" w14:textId="77777777" w:rsidR="00810A15" w:rsidRPr="002125BA" w:rsidRDefault="00810A15" w:rsidP="00810A15">
      <w:pPr>
        <w:spacing w:line="240" w:lineRule="atLeast"/>
        <w:rPr>
          <w:rFonts w:cs="Arial"/>
          <w:color w:val="000000"/>
          <w:sz w:val="16"/>
          <w:szCs w:val="16"/>
        </w:rPr>
      </w:pPr>
      <w:r>
        <w:rPr>
          <w:rStyle w:val="FootnoteReference"/>
          <w:rFonts w:cs="Arial"/>
          <w:lang w:val="fr-FR"/>
        </w:rPr>
        <w:footnoteRef/>
      </w:r>
      <w:r w:rsidRPr="00A51C0F">
        <w:rPr>
          <w:rFonts w:cs="Arial"/>
        </w:rPr>
        <w:t xml:space="preserve"> </w:t>
      </w:r>
      <w:r w:rsidRPr="00A51C0F">
        <w:rPr>
          <w:rFonts w:cs="Arial"/>
          <w:color w:val="000000"/>
          <w:sz w:val="18"/>
          <w:szCs w:val="18"/>
        </w:rPr>
        <w:t xml:space="preserve">White, W. T. and P. R. Last 2016 [ref. 35016] 30. Eagle Rays. </w:t>
      </w:r>
      <w:r w:rsidRPr="00810A15">
        <w:rPr>
          <w:rFonts w:cs="Arial"/>
          <w:color w:val="000000"/>
          <w:sz w:val="18"/>
          <w:szCs w:val="18"/>
        </w:rPr>
        <w:t xml:space="preserve">Family Myliobatidae; 31. Pelagic Eagle Rays. Family </w:t>
      </w:r>
      <w:proofErr w:type="spellStart"/>
      <w:r w:rsidRPr="00810A15">
        <w:rPr>
          <w:rFonts w:cs="Arial"/>
          <w:color w:val="000000"/>
          <w:sz w:val="18"/>
          <w:szCs w:val="18"/>
        </w:rPr>
        <w:t>Aetobatidae</w:t>
      </w:r>
      <w:proofErr w:type="spellEnd"/>
      <w:r w:rsidRPr="00810A15">
        <w:rPr>
          <w:rFonts w:cs="Arial"/>
          <w:color w:val="000000"/>
          <w:sz w:val="18"/>
          <w:szCs w:val="18"/>
        </w:rPr>
        <w:t xml:space="preserve">; 33. </w:t>
      </w:r>
      <w:proofErr w:type="spellStart"/>
      <w:r w:rsidRPr="00810A15">
        <w:rPr>
          <w:rFonts w:cs="Arial"/>
          <w:color w:val="000000"/>
          <w:sz w:val="18"/>
          <w:szCs w:val="18"/>
        </w:rPr>
        <w:t>Devilrays</w:t>
      </w:r>
      <w:proofErr w:type="spellEnd"/>
      <w:r w:rsidRPr="00810A15">
        <w:rPr>
          <w:rFonts w:cs="Arial"/>
          <w:color w:val="000000"/>
          <w:sz w:val="18"/>
          <w:szCs w:val="18"/>
        </w:rPr>
        <w:t xml:space="preserve">. Family </w:t>
      </w:r>
      <w:proofErr w:type="spellStart"/>
      <w:r w:rsidRPr="00810A15">
        <w:rPr>
          <w:rFonts w:cs="Arial"/>
          <w:color w:val="000000"/>
          <w:sz w:val="18"/>
          <w:szCs w:val="18"/>
        </w:rPr>
        <w:t>Mobulidae</w:t>
      </w:r>
      <w:proofErr w:type="spellEnd"/>
      <w:r w:rsidRPr="00810A15">
        <w:rPr>
          <w:rFonts w:cs="Arial"/>
          <w:color w:val="000000"/>
          <w:sz w:val="18"/>
          <w:szCs w:val="18"/>
        </w:rPr>
        <w:t xml:space="preserve">. In: Last et al. (eds.). 2016. </w:t>
      </w:r>
      <w:r w:rsidRPr="002125BA">
        <w:rPr>
          <w:rFonts w:cs="Arial"/>
          <w:color w:val="000000"/>
          <w:sz w:val="18"/>
          <w:szCs w:val="18"/>
        </w:rPr>
        <w:t>Rays of the World [ref. 34990]. 706-725, 726-731, 741-749.</w:t>
      </w:r>
    </w:p>
    <w:p w14:paraId="036A5CD5" w14:textId="77777777" w:rsidR="00810A15" w:rsidRPr="002125BA" w:rsidRDefault="00810A15" w:rsidP="00810A15">
      <w:pPr>
        <w:pStyle w:val="FootnoteText"/>
        <w:rPr>
          <w:rFonts w:ascii="Arial" w:hAnsi="Arial" w:cs="Arial"/>
        </w:rPr>
      </w:pPr>
    </w:p>
  </w:footnote>
  <w:footnote w:id="3">
    <w:p w14:paraId="556BF4D1" w14:textId="77777777" w:rsidR="003F5104" w:rsidRPr="003F5104" w:rsidRDefault="003F5104" w:rsidP="003F5104">
      <w:pPr>
        <w:pStyle w:val="FootnoteText"/>
        <w:rPr>
          <w:rFonts w:ascii="Arial" w:hAnsi="Arial" w:cs="Arial"/>
          <w:sz w:val="16"/>
          <w:szCs w:val="16"/>
        </w:rPr>
      </w:pPr>
      <w:r w:rsidRPr="003F5104">
        <w:rPr>
          <w:rStyle w:val="FootnoteReference"/>
          <w:rFonts w:ascii="Arial" w:hAnsi="Arial" w:cs="Arial"/>
          <w:sz w:val="16"/>
          <w:szCs w:val="16"/>
        </w:rPr>
        <w:footnoteRef/>
      </w:r>
      <w:r w:rsidRPr="003F5104">
        <w:rPr>
          <w:rFonts w:ascii="Arial" w:hAnsi="Arial" w:cs="Arial"/>
          <w:sz w:val="16"/>
          <w:szCs w:val="16"/>
        </w:rPr>
        <w:t xml:space="preserve"> </w:t>
      </w:r>
      <w:hyperlink r:id="rId1" w:history="1">
        <w:r w:rsidRPr="003F5104">
          <w:rPr>
            <w:rStyle w:val="Hyperlink"/>
            <w:rFonts w:ascii="Arial" w:hAnsi="Arial" w:cs="Arial"/>
            <w:sz w:val="16"/>
            <w:szCs w:val="16"/>
          </w:rPr>
          <w:t>https://www.cms.int/en/document/cms-cites-joint-work-programmme-2021-2025</w:t>
        </w:r>
      </w:hyperlink>
      <w:r w:rsidRPr="003F5104">
        <w:rPr>
          <w:rFonts w:ascii="Arial" w:hAnsi="Arial" w:cs="Arial"/>
          <w:sz w:val="16"/>
          <w:szCs w:val="16"/>
        </w:rPr>
        <w:t xml:space="preserve"> </w:t>
      </w:r>
    </w:p>
  </w:footnote>
  <w:footnote w:id="4">
    <w:p w14:paraId="7F9BB6D4" w14:textId="77777777" w:rsidR="00810A15" w:rsidRPr="002125BA" w:rsidRDefault="00810A15" w:rsidP="00810A15">
      <w:pPr>
        <w:pStyle w:val="FootnoteText"/>
        <w:rPr>
          <w:rFonts w:ascii="Arial" w:hAnsi="Arial" w:cs="Arial"/>
          <w:sz w:val="16"/>
          <w:szCs w:val="16"/>
        </w:rPr>
      </w:pPr>
      <w:r w:rsidRPr="00A23C8C">
        <w:rPr>
          <w:rStyle w:val="FootnoteReference"/>
          <w:rFonts w:ascii="Arial" w:hAnsi="Arial" w:cs="Arial"/>
          <w:sz w:val="16"/>
          <w:szCs w:val="16"/>
          <w:lang w:val="fr-FR"/>
        </w:rPr>
        <w:footnoteRef/>
      </w:r>
      <w:r w:rsidRPr="002125BA">
        <w:rPr>
          <w:rFonts w:ascii="Arial" w:hAnsi="Arial" w:cs="Arial"/>
          <w:sz w:val="16"/>
          <w:szCs w:val="16"/>
        </w:rPr>
        <w:t xml:space="preserve"> https://marinemammalscience.org/science-and-publications/list-marine-mammal-species-subspecies/#list</w:t>
      </w:r>
    </w:p>
  </w:footnote>
  <w:footnote w:id="5">
    <w:p w14:paraId="5A73C3B8" w14:textId="77777777" w:rsidR="00A23C8C" w:rsidRPr="000B14A4" w:rsidRDefault="00A23C8C" w:rsidP="00A23C8C">
      <w:pPr>
        <w:pStyle w:val="FootnoteText"/>
        <w:rPr>
          <w:rFonts w:ascii="Arial" w:hAnsi="Arial" w:cs="Arial"/>
          <w:sz w:val="16"/>
          <w:szCs w:val="16"/>
          <w:lang w:val="fr-FR"/>
        </w:rPr>
      </w:pPr>
      <w:r w:rsidRPr="000B14A4">
        <w:rPr>
          <w:rStyle w:val="FootnoteReference"/>
          <w:rFonts w:ascii="Arial" w:hAnsi="Arial" w:cs="Arial"/>
          <w:sz w:val="16"/>
          <w:szCs w:val="16"/>
          <w:lang w:val="fr-FR"/>
        </w:rPr>
        <w:footnoteRef/>
      </w:r>
      <w:r w:rsidRPr="000B14A4">
        <w:rPr>
          <w:rFonts w:ascii="Arial" w:hAnsi="Arial" w:cs="Arial"/>
          <w:sz w:val="16"/>
          <w:szCs w:val="16"/>
          <w:lang w:val="fr-FR"/>
        </w:rPr>
        <w:t xml:space="preserve"> </w:t>
      </w:r>
      <w:r w:rsidRPr="000B14A4">
        <w:rPr>
          <w:rFonts w:ascii="Arial" w:hAnsi="Arial" w:cs="Arial"/>
          <w:sz w:val="16"/>
          <w:szCs w:val="16"/>
          <w:u w:val="single"/>
          <w:lang w:val="fr-FR"/>
        </w:rPr>
        <w:t xml:space="preserve">Les recommandations et les résolutions ont été abrogées et regroupées dans la Résolution 12.27. </w:t>
      </w:r>
    </w:p>
  </w:footnote>
  <w:footnote w:id="6">
    <w:p w14:paraId="3D316D7A" w14:textId="303A4E78" w:rsidR="002B40E4" w:rsidRPr="002B40E4" w:rsidRDefault="002B40E4" w:rsidP="002B40E4">
      <w:pPr>
        <w:pStyle w:val="FootnoteText"/>
        <w:rPr>
          <w:rFonts w:ascii="Arial" w:hAnsi="Arial" w:cs="Arial"/>
          <w:sz w:val="16"/>
          <w:szCs w:val="16"/>
          <w:lang w:val="fr-FR"/>
        </w:rPr>
      </w:pPr>
      <w:r w:rsidRPr="002B40E4">
        <w:rPr>
          <w:rStyle w:val="FootnoteReference"/>
          <w:rFonts w:ascii="Arial" w:hAnsi="Arial" w:cs="Arial"/>
          <w:sz w:val="16"/>
          <w:szCs w:val="16"/>
          <w:lang w:val="fr-FR"/>
        </w:rPr>
        <w:footnoteRef/>
      </w:r>
      <w:r w:rsidRPr="002B40E4">
        <w:rPr>
          <w:rFonts w:ascii="Arial" w:hAnsi="Arial" w:cs="Arial"/>
          <w:sz w:val="16"/>
          <w:szCs w:val="16"/>
          <w:vertAlign w:val="superscript"/>
          <w:lang w:val="fr-FR"/>
        </w:rPr>
        <w:t xml:space="preserve"> </w:t>
      </w:r>
      <w:r w:rsidRPr="002B40E4">
        <w:rPr>
          <w:rFonts w:ascii="Arial" w:hAnsi="Arial" w:cs="Arial"/>
          <w:sz w:val="16"/>
          <w:szCs w:val="16"/>
          <w:lang w:val="fr-FR"/>
        </w:rPr>
        <w:t xml:space="preserve">Il n'a pas été nécessaire pour l'instant d'établir des références taxonomiques normalisées pour les insectes et les reptiles (sauf tortues marines).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F05A" w14:textId="313AE676" w:rsidR="00810A15" w:rsidRPr="001B332A" w:rsidRDefault="00810A15" w:rsidP="0086680C">
    <w:pPr>
      <w:pStyle w:val="Header"/>
      <w:pBdr>
        <w:bottom w:val="single" w:sz="4" w:space="1" w:color="auto"/>
      </w:pBdr>
      <w:rPr>
        <w:i/>
        <w:sz w:val="18"/>
        <w:szCs w:val="18"/>
        <w:lang w:val="fr-FR"/>
      </w:rPr>
    </w:pPr>
    <w:r>
      <w:rPr>
        <w:rFonts w:eastAsia="Times New Roman" w:cs="Arial"/>
        <w:i/>
        <w:sz w:val="18"/>
        <w:szCs w:val="18"/>
        <w:lang w:val="fr-FR"/>
      </w:rPr>
      <w:t>UNEP/CMS/COP14/Doc.31.1/</w:t>
    </w:r>
    <w:r w:rsidR="003F5104">
      <w:rPr>
        <w:rFonts w:eastAsia="Times New Roman" w:cs="Arial"/>
        <w:i/>
        <w:sz w:val="18"/>
        <w:szCs w:val="18"/>
        <w:lang w:val="fr-FR"/>
      </w:rPr>
      <w:t>Rev.1/</w:t>
    </w:r>
    <w:r>
      <w:rPr>
        <w:rFonts w:eastAsia="Times New Roman" w:cs="Arial"/>
        <w:i/>
        <w:sz w:val="18"/>
        <w:szCs w:val="18"/>
        <w:lang w:val="fr-FR"/>
      </w:rPr>
      <w:t>Annex</w:t>
    </w:r>
    <w:r w:rsidR="000B14A4">
      <w:rPr>
        <w:rFonts w:eastAsia="Times New Roman" w:cs="Arial"/>
        <w:i/>
        <w:sz w:val="18"/>
        <w:szCs w:val="18"/>
        <w:lang w:val="fr-FR"/>
      </w:rPr>
      <w:t>e</w:t>
    </w:r>
    <w:r>
      <w:rPr>
        <w:rFonts w:eastAsia="Times New Roman" w:cs="Arial"/>
        <w:i/>
        <w:sz w:val="18"/>
        <w:szCs w:val="18"/>
        <w:lang w:val="fr-FR"/>
      </w:rPr>
      <w:t xml:space="preserve"> 2</w:t>
    </w:r>
  </w:p>
  <w:p w14:paraId="32E670A8" w14:textId="77777777" w:rsidR="00810A15" w:rsidRDefault="00810A15">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8B5E" w14:textId="5A390BEA" w:rsidR="00810A15" w:rsidRPr="001B332A" w:rsidRDefault="00810A15" w:rsidP="0086680C">
    <w:pPr>
      <w:pStyle w:val="Header"/>
      <w:pBdr>
        <w:bottom w:val="single" w:sz="4" w:space="1" w:color="auto"/>
      </w:pBdr>
      <w:jc w:val="right"/>
      <w:rPr>
        <w:i/>
        <w:sz w:val="18"/>
        <w:szCs w:val="18"/>
        <w:lang w:val="fr-FR"/>
      </w:rPr>
    </w:pPr>
    <w:r>
      <w:rPr>
        <w:rFonts w:eastAsia="Times New Roman" w:cs="Arial"/>
        <w:i/>
        <w:sz w:val="18"/>
        <w:szCs w:val="18"/>
        <w:lang w:val="fr-FR"/>
      </w:rPr>
      <w:t>UNEP/CMS/COP14/Doc.31.1/</w:t>
    </w:r>
    <w:r w:rsidR="003F5104">
      <w:rPr>
        <w:rFonts w:eastAsia="Times New Roman" w:cs="Arial"/>
        <w:i/>
        <w:sz w:val="18"/>
        <w:szCs w:val="18"/>
        <w:lang w:val="fr-FR"/>
      </w:rPr>
      <w:t>Rev.1/</w:t>
    </w:r>
    <w:r>
      <w:rPr>
        <w:rFonts w:eastAsia="Times New Roman" w:cs="Arial"/>
        <w:i/>
        <w:sz w:val="18"/>
        <w:szCs w:val="18"/>
        <w:lang w:val="fr-FR"/>
      </w:rPr>
      <w:t>Annex 2</w:t>
    </w:r>
  </w:p>
  <w:p w14:paraId="79A86911" w14:textId="77777777" w:rsidR="00810A15" w:rsidRDefault="00810A15">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E18B" w14:textId="0010DF52" w:rsidR="00810A15" w:rsidRPr="001B332A" w:rsidRDefault="00810A15" w:rsidP="001D2A90">
    <w:pPr>
      <w:pStyle w:val="Header"/>
      <w:pBdr>
        <w:bottom w:val="single" w:sz="4" w:space="1" w:color="auto"/>
      </w:pBdr>
      <w:jc w:val="right"/>
      <w:rPr>
        <w:i/>
        <w:sz w:val="18"/>
        <w:szCs w:val="18"/>
        <w:lang w:val="fr-FR"/>
      </w:rPr>
    </w:pPr>
    <w:r>
      <w:rPr>
        <w:rFonts w:eastAsia="Times New Roman" w:cs="Arial"/>
        <w:i/>
        <w:sz w:val="18"/>
        <w:szCs w:val="18"/>
        <w:lang w:val="fr-FR"/>
      </w:rPr>
      <w:t>UNEP/CMS/COP14/Doc.31.1/</w:t>
    </w:r>
    <w:r w:rsidR="003F5104">
      <w:rPr>
        <w:rFonts w:eastAsia="Times New Roman" w:cs="Arial"/>
        <w:i/>
        <w:sz w:val="18"/>
        <w:szCs w:val="18"/>
        <w:lang w:val="fr-FR"/>
      </w:rPr>
      <w:t>Rev.1/</w:t>
    </w:r>
    <w:r>
      <w:rPr>
        <w:rFonts w:eastAsia="Times New Roman" w:cs="Arial"/>
        <w:i/>
        <w:sz w:val="18"/>
        <w:szCs w:val="18"/>
        <w:lang w:val="fr-FR"/>
      </w:rPr>
      <w:t>Annex</w:t>
    </w:r>
    <w:r w:rsidR="00A23C8C">
      <w:rPr>
        <w:rFonts w:eastAsia="Times New Roman" w:cs="Arial"/>
        <w:i/>
        <w:sz w:val="18"/>
        <w:szCs w:val="18"/>
        <w:lang w:val="fr-FR"/>
      </w:rPr>
      <w:t>e</w:t>
    </w:r>
    <w:r>
      <w:rPr>
        <w:rFonts w:eastAsia="Times New Roman" w:cs="Arial"/>
        <w:i/>
        <w:sz w:val="18"/>
        <w:szCs w:val="18"/>
        <w:lang w:val="fr-FR"/>
      </w:rPr>
      <w:t xml:space="preserve">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8D12" w14:textId="64EAD9FE" w:rsidR="001916E7" w:rsidRPr="001B332A" w:rsidRDefault="00ED7D56" w:rsidP="00957DE9">
    <w:pPr>
      <w:pStyle w:val="Header"/>
      <w:pBdr>
        <w:bottom w:val="single" w:sz="4" w:space="1" w:color="auto"/>
      </w:pBdr>
      <w:jc w:val="right"/>
      <w:rPr>
        <w:i/>
        <w:sz w:val="18"/>
        <w:szCs w:val="18"/>
        <w:lang w:val="fr-FR"/>
      </w:rPr>
    </w:pPr>
    <w:r>
      <w:rPr>
        <w:rFonts w:eastAsia="Times New Roman" w:cs="Arial"/>
        <w:i/>
        <w:sz w:val="18"/>
        <w:szCs w:val="18"/>
        <w:lang w:val="fr-FR"/>
      </w:rPr>
      <w:t>UNEP/CMS/COP14/Doc.31.1/</w:t>
    </w:r>
    <w:r w:rsidR="003F5104">
      <w:rPr>
        <w:rFonts w:eastAsia="Times New Roman" w:cs="Arial"/>
        <w:i/>
        <w:sz w:val="18"/>
        <w:szCs w:val="18"/>
        <w:lang w:val="fr-FR"/>
      </w:rPr>
      <w:t>Rev.1/</w:t>
    </w:r>
    <w:r>
      <w:rPr>
        <w:rFonts w:eastAsia="Times New Roman" w:cs="Arial"/>
        <w:i/>
        <w:sz w:val="18"/>
        <w:szCs w:val="18"/>
        <w:lang w:val="fr-FR"/>
      </w:rPr>
      <w:t>Annex</w:t>
    </w:r>
    <w:r w:rsidR="00810A15">
      <w:rPr>
        <w:rFonts w:eastAsia="Times New Roman" w:cs="Arial"/>
        <w:i/>
        <w:sz w:val="18"/>
        <w:szCs w:val="18"/>
        <w:lang w:val="fr-FR"/>
      </w:rPr>
      <w:t>e</w:t>
    </w:r>
    <w:r>
      <w:rPr>
        <w:rFonts w:eastAsia="Times New Roman" w:cs="Arial"/>
        <w:i/>
        <w:sz w:val="18"/>
        <w:szCs w:val="18"/>
        <w:lang w:val="fr-FR"/>
      </w:rPr>
      <w:t xml:space="preserve"> 3</w:t>
    </w:r>
  </w:p>
  <w:p w14:paraId="728F92CC" w14:textId="77777777" w:rsidR="001916E7" w:rsidRPr="00957DE9" w:rsidRDefault="001916E7" w:rsidP="00957DE9">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324A" w14:textId="28C52B04" w:rsidR="003F5104" w:rsidRPr="001B332A" w:rsidRDefault="003F5104" w:rsidP="00957DE9">
    <w:pPr>
      <w:pStyle w:val="Header"/>
      <w:pBdr>
        <w:bottom w:val="single" w:sz="4" w:space="1" w:color="auto"/>
      </w:pBdr>
      <w:jc w:val="right"/>
      <w:rPr>
        <w:i/>
        <w:sz w:val="18"/>
        <w:szCs w:val="18"/>
        <w:lang w:val="fr-FR"/>
      </w:rPr>
    </w:pPr>
    <w:r>
      <w:rPr>
        <w:rFonts w:eastAsia="Times New Roman" w:cs="Arial"/>
        <w:i/>
        <w:sz w:val="18"/>
        <w:szCs w:val="18"/>
        <w:lang w:val="fr-FR"/>
      </w:rPr>
      <w:t>UNEP/CMS/COP14/Doc.31.1/Rev.1/Annexe 4</w:t>
    </w:r>
  </w:p>
  <w:p w14:paraId="5A813219" w14:textId="77777777" w:rsidR="003F5104" w:rsidRPr="00957DE9" w:rsidRDefault="003F5104" w:rsidP="00957DE9">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D94E" w14:textId="02B0302C" w:rsidR="00810A15" w:rsidRPr="00ED7D56" w:rsidRDefault="00810A15" w:rsidP="00ED7D56">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31.1</w:t>
    </w:r>
    <w:r w:rsidR="002125BA">
      <w:rPr>
        <w:rFonts w:cs="Arial"/>
        <w:i/>
        <w:sz w:val="18"/>
        <w:szCs w:val="18"/>
        <w:lang w:val="de-DE"/>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4E29" w14:textId="37D8351A" w:rsidR="00810A15" w:rsidRPr="002125BA" w:rsidRDefault="00810A15"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rPr>
    </w:pPr>
    <w:r w:rsidRPr="002125BA">
      <w:rPr>
        <w:rFonts w:eastAsia="Arial" w:cs="Arial"/>
        <w:i/>
        <w:sz w:val="18"/>
        <w:szCs w:val="18"/>
      </w:rPr>
      <w:t>UNEP/CMS/COP14/Doc.31.1</w:t>
    </w:r>
    <w:r w:rsidR="002125BA" w:rsidRPr="002125BA">
      <w:rPr>
        <w:rFonts w:eastAsia="Arial" w:cs="Arial"/>
        <w:i/>
        <w:sz w:val="18"/>
        <w:szCs w:val="18"/>
      </w:rPr>
      <w:t>/Rev.</w:t>
    </w:r>
    <w:r w:rsidR="002125BA">
      <w:rPr>
        <w:rFonts w:eastAsia="Arial" w:cs="Arial"/>
        <w:i/>
        <w:sz w:val="18"/>
        <w:szCs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25F19721"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810A15">
      <w:rPr>
        <w:rFonts w:cs="Arial"/>
        <w:i/>
        <w:sz w:val="18"/>
        <w:szCs w:val="18"/>
        <w:lang w:val="de-DE"/>
      </w:rPr>
      <w:t>31.1</w:t>
    </w:r>
    <w:r w:rsidR="002125BA">
      <w:rPr>
        <w:rFonts w:cs="Arial"/>
        <w:i/>
        <w:sz w:val="18"/>
        <w:szCs w:val="18"/>
        <w:lang w:val="de-DE"/>
      </w:rPr>
      <w:t>/Rev.1</w:t>
    </w:r>
  </w:p>
  <w:p w14:paraId="2265E9D1" w14:textId="77777777" w:rsidR="0023109C" w:rsidRPr="002125BA"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24B1" w14:textId="685BA01B" w:rsidR="00810A15" w:rsidRPr="002125BA" w:rsidRDefault="00810A15" w:rsidP="00A23C8C">
    <w:pPr>
      <w:pStyle w:val="Header"/>
      <w:pBdr>
        <w:bottom w:val="single" w:sz="4" w:space="1" w:color="auto"/>
      </w:pBdr>
      <w:jc w:val="right"/>
      <w:rPr>
        <w:i/>
        <w:sz w:val="18"/>
        <w:szCs w:val="18"/>
      </w:rPr>
    </w:pPr>
    <w:r w:rsidRPr="002125BA">
      <w:rPr>
        <w:rFonts w:eastAsia="Times New Roman" w:cs="Arial"/>
        <w:i/>
        <w:sz w:val="18"/>
        <w:szCs w:val="18"/>
      </w:rPr>
      <w:t>UNEP/CMS/COP14/Doc.31.1</w:t>
    </w:r>
    <w:r w:rsidR="002125BA" w:rsidRPr="002125BA">
      <w:rPr>
        <w:rFonts w:eastAsia="Times New Roman" w:cs="Arial"/>
        <w:i/>
        <w:sz w:val="18"/>
        <w:szCs w:val="18"/>
      </w:rPr>
      <w:t>/Rev</w:t>
    </w:r>
    <w:r w:rsidR="002125BA">
      <w:rPr>
        <w:rFonts w:eastAsia="Times New Roman" w:cs="Arial"/>
        <w:i/>
        <w:sz w:val="18"/>
        <w:szCs w:val="18"/>
      </w:rPr>
      <w:t>.1</w:t>
    </w:r>
  </w:p>
  <w:p w14:paraId="45C758DE" w14:textId="77777777" w:rsidR="00810A15" w:rsidRPr="002125BA" w:rsidRDefault="00810A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C0EF" w14:textId="43C5349E" w:rsidR="00810A15" w:rsidRPr="002125BA" w:rsidRDefault="00810A15" w:rsidP="00B57313">
    <w:pPr>
      <w:pStyle w:val="Header"/>
      <w:pBdr>
        <w:bottom w:val="single" w:sz="4" w:space="1" w:color="auto"/>
      </w:pBdr>
      <w:jc w:val="right"/>
      <w:rPr>
        <w:i/>
        <w:sz w:val="18"/>
        <w:szCs w:val="18"/>
      </w:rPr>
    </w:pPr>
    <w:r w:rsidRPr="002125BA">
      <w:rPr>
        <w:rFonts w:eastAsia="Times New Roman" w:cs="Arial"/>
        <w:i/>
        <w:sz w:val="18"/>
        <w:szCs w:val="18"/>
      </w:rPr>
      <w:t>UNEP/CMS/COP14/Doc.31.1</w:t>
    </w:r>
    <w:r w:rsidR="002125BA" w:rsidRPr="002125BA">
      <w:rPr>
        <w:rFonts w:eastAsia="Times New Roman" w:cs="Arial"/>
        <w:i/>
        <w:sz w:val="18"/>
        <w:szCs w:val="18"/>
      </w:rPr>
      <w:t>/Rev</w:t>
    </w:r>
    <w:r w:rsidR="002125BA">
      <w:rPr>
        <w:rFonts w:eastAsia="Times New Roman" w:cs="Arial"/>
        <w:i/>
        <w:sz w:val="18"/>
        <w:szCs w:val="18"/>
      </w:rPr>
      <w:t>.1</w:t>
    </w:r>
  </w:p>
  <w:p w14:paraId="3EF8967F" w14:textId="77777777" w:rsidR="00810A15" w:rsidRPr="002125BA" w:rsidRDefault="00810A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C864" w14:textId="1F886E44" w:rsidR="00810A15" w:rsidRPr="001B332A" w:rsidRDefault="00810A15" w:rsidP="00B73618">
    <w:pPr>
      <w:pStyle w:val="Header"/>
      <w:pBdr>
        <w:bottom w:val="single" w:sz="4" w:space="1" w:color="auto"/>
      </w:pBdr>
      <w:rPr>
        <w:i/>
        <w:sz w:val="18"/>
        <w:szCs w:val="18"/>
        <w:lang w:val="fr-FR"/>
      </w:rPr>
    </w:pPr>
    <w:r>
      <w:rPr>
        <w:rFonts w:eastAsia="Times New Roman" w:cs="Arial"/>
        <w:i/>
        <w:sz w:val="18"/>
        <w:szCs w:val="18"/>
        <w:lang w:val="fr-FR"/>
      </w:rPr>
      <w:t>UNEP/CMS/COP14/Doc.31.1/</w:t>
    </w:r>
    <w:r w:rsidR="003F5104">
      <w:rPr>
        <w:rFonts w:eastAsia="Times New Roman" w:cs="Arial"/>
        <w:i/>
        <w:sz w:val="18"/>
        <w:szCs w:val="18"/>
        <w:lang w:val="fr-FR"/>
      </w:rPr>
      <w:t>Rev.1/</w:t>
    </w:r>
    <w:r>
      <w:rPr>
        <w:rFonts w:eastAsia="Times New Roman" w:cs="Arial"/>
        <w:i/>
        <w:sz w:val="18"/>
        <w:szCs w:val="18"/>
        <w:lang w:val="fr-FR"/>
      </w:rPr>
      <w:t>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BCF"/>
    <w:multiLevelType w:val="hybridMultilevel"/>
    <w:tmpl w:val="A04E5ED2"/>
    <w:lvl w:ilvl="0" w:tplc="1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6B2E7B"/>
    <w:multiLevelType w:val="hybridMultilevel"/>
    <w:tmpl w:val="B2389634"/>
    <w:lvl w:ilvl="0" w:tplc="B8E2662A">
      <w:start w:val="2"/>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27B2A02"/>
    <w:multiLevelType w:val="hybridMultilevel"/>
    <w:tmpl w:val="E5F22638"/>
    <w:lvl w:ilvl="0" w:tplc="20000017">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6684357"/>
    <w:multiLevelType w:val="hybridMultilevel"/>
    <w:tmpl w:val="A2B0D3E6"/>
    <w:lvl w:ilvl="0" w:tplc="D8E66FC0">
      <w:start w:val="1"/>
      <w:numFmt w:val="decimal"/>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6106DE"/>
    <w:multiLevelType w:val="hybridMultilevel"/>
    <w:tmpl w:val="32EA8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C2A3D"/>
    <w:multiLevelType w:val="multilevel"/>
    <w:tmpl w:val="5E24EC02"/>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15:restartNumberingAfterBreak="0">
    <w:nsid w:val="4CF75EEB"/>
    <w:multiLevelType w:val="hybridMultilevel"/>
    <w:tmpl w:val="74869C44"/>
    <w:lvl w:ilvl="0" w:tplc="0AE8BBE6">
      <w:start w:val="3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DAE4713"/>
    <w:multiLevelType w:val="hybridMultilevel"/>
    <w:tmpl w:val="91C8501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78E3E21"/>
    <w:multiLevelType w:val="hybridMultilevel"/>
    <w:tmpl w:val="5A6A2AB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CDF29BC"/>
    <w:multiLevelType w:val="hybridMultilevel"/>
    <w:tmpl w:val="8C7AA634"/>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1769D"/>
    <w:multiLevelType w:val="hybridMultilevel"/>
    <w:tmpl w:val="DEA4D29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4D332A4"/>
    <w:multiLevelType w:val="hybridMultilevel"/>
    <w:tmpl w:val="AF8C322E"/>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13" w15:restartNumberingAfterBreak="0">
    <w:nsid w:val="6DB80B3D"/>
    <w:multiLevelType w:val="hybridMultilevel"/>
    <w:tmpl w:val="8EA6FE02"/>
    <w:lvl w:ilvl="0" w:tplc="1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8257BF2"/>
    <w:multiLevelType w:val="hybridMultilevel"/>
    <w:tmpl w:val="7D34CEFC"/>
    <w:lvl w:ilvl="0" w:tplc="20000001">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num w:numId="1" w16cid:durableId="238902923">
    <w:abstractNumId w:val="8"/>
  </w:num>
  <w:num w:numId="2" w16cid:durableId="1334605539">
    <w:abstractNumId w:val="10"/>
  </w:num>
  <w:num w:numId="3" w16cid:durableId="986204135">
    <w:abstractNumId w:val="1"/>
  </w:num>
  <w:num w:numId="4" w16cid:durableId="831988647">
    <w:abstractNumId w:val="11"/>
  </w:num>
  <w:num w:numId="5" w16cid:durableId="638530981">
    <w:abstractNumId w:val="14"/>
  </w:num>
  <w:num w:numId="6" w16cid:durableId="641234185">
    <w:abstractNumId w:val="4"/>
  </w:num>
  <w:num w:numId="7" w16cid:durableId="654069072">
    <w:abstractNumId w:val="5"/>
  </w:num>
  <w:num w:numId="8" w16cid:durableId="611130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0466495">
    <w:abstractNumId w:val="2"/>
  </w:num>
  <w:num w:numId="10" w16cid:durableId="1043334822">
    <w:abstractNumId w:val="7"/>
  </w:num>
  <w:num w:numId="11" w16cid:durableId="1245380940">
    <w:abstractNumId w:val="15"/>
  </w:num>
  <w:num w:numId="12" w16cid:durableId="1856380183">
    <w:abstractNumId w:val="12"/>
  </w:num>
  <w:num w:numId="13" w16cid:durableId="917859844">
    <w:abstractNumId w:val="9"/>
  </w:num>
  <w:num w:numId="14" w16cid:durableId="954824411">
    <w:abstractNumId w:val="2"/>
  </w:num>
  <w:num w:numId="15" w16cid:durableId="121072226">
    <w:abstractNumId w:val="13"/>
  </w:num>
  <w:num w:numId="16" w16cid:durableId="950892334">
    <w:abstractNumId w:val="0"/>
  </w:num>
  <w:num w:numId="17" w16cid:durableId="2060587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B14A4"/>
    <w:rsid w:val="000D2642"/>
    <w:rsid w:val="001916E7"/>
    <w:rsid w:val="001B1538"/>
    <w:rsid w:val="001D058A"/>
    <w:rsid w:val="002125BA"/>
    <w:rsid w:val="0023109C"/>
    <w:rsid w:val="00233921"/>
    <w:rsid w:val="002B40E4"/>
    <w:rsid w:val="003831DB"/>
    <w:rsid w:val="003C3870"/>
    <w:rsid w:val="003F5104"/>
    <w:rsid w:val="0041168F"/>
    <w:rsid w:val="004465FF"/>
    <w:rsid w:val="005330F7"/>
    <w:rsid w:val="00563598"/>
    <w:rsid w:val="005D1E01"/>
    <w:rsid w:val="005F63AD"/>
    <w:rsid w:val="007B5A56"/>
    <w:rsid w:val="00810A15"/>
    <w:rsid w:val="00870459"/>
    <w:rsid w:val="00871276"/>
    <w:rsid w:val="00896FBB"/>
    <w:rsid w:val="00A23C8C"/>
    <w:rsid w:val="00AD2748"/>
    <w:rsid w:val="00BA33FE"/>
    <w:rsid w:val="00BB2C32"/>
    <w:rsid w:val="00C135DE"/>
    <w:rsid w:val="00C27451"/>
    <w:rsid w:val="00E65072"/>
    <w:rsid w:val="00EC2A58"/>
    <w:rsid w:val="00ED7D56"/>
    <w:rsid w:val="00F055E9"/>
    <w:rsid w:val="00F935F6"/>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99"/>
    <w:qFormat/>
    <w:rsid w:val="00BA33FE"/>
    <w:pPr>
      <w:ind w:left="720"/>
      <w:contextualSpacing/>
    </w:pPr>
  </w:style>
  <w:style w:type="paragraph" w:customStyle="1" w:styleId="Firstnumbering">
    <w:name w:val="First numbering"/>
    <w:basedOn w:val="ListParagraph"/>
    <w:link w:val="FirstnumberingChar"/>
    <w:qFormat/>
    <w:rsid w:val="00810A15"/>
    <w:pPr>
      <w:widowControl w:val="0"/>
      <w:numPr>
        <w:numId w:val="2"/>
      </w:numPr>
      <w:suppressAutoHyphens/>
      <w:autoSpaceDE w:val="0"/>
      <w:autoSpaceDN w:val="0"/>
      <w:jc w:val="both"/>
      <w:textAlignment w:val="baseline"/>
    </w:pPr>
    <w:rPr>
      <w:rFonts w:cs="Arial"/>
      <w:lang w:val="en-GB"/>
    </w:rPr>
  </w:style>
  <w:style w:type="character" w:customStyle="1" w:styleId="ListParagraphChar">
    <w:name w:val="List Paragraph Char"/>
    <w:basedOn w:val="DefaultParagraphFont"/>
    <w:link w:val="ListParagraph"/>
    <w:uiPriority w:val="34"/>
    <w:rsid w:val="00810A15"/>
  </w:style>
  <w:style w:type="character" w:customStyle="1" w:styleId="FirstnumberingChar">
    <w:name w:val="First numbering Char"/>
    <w:basedOn w:val="ListParagraphChar"/>
    <w:link w:val="Firstnumbering"/>
    <w:rsid w:val="00810A15"/>
    <w:rPr>
      <w:rFonts w:cs="Arial"/>
      <w:lang w:val="en-GB"/>
    </w:rPr>
  </w:style>
  <w:style w:type="character" w:styleId="Hyperlink">
    <w:name w:val="Hyperlink"/>
    <w:basedOn w:val="DefaultParagraphFont"/>
    <w:uiPriority w:val="99"/>
    <w:unhideWhenUsed/>
    <w:rsid w:val="00810A15"/>
    <w:rPr>
      <w:color w:val="0563C1" w:themeColor="hyperlink"/>
      <w:u w:val="single"/>
    </w:rPr>
  </w:style>
  <w:style w:type="table" w:styleId="PlainTable2">
    <w:name w:val="Plain Table 2"/>
    <w:basedOn w:val="TableNormal"/>
    <w:uiPriority w:val="42"/>
    <w:rsid w:val="00810A15"/>
    <w:pPr>
      <w:autoSpaceDN w:val="0"/>
      <w:textAlignment w:val="baseline"/>
    </w:pPr>
    <w:rPr>
      <w:rFonts w:eastAsia="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10A15"/>
    <w:pPr>
      <w:widowControl w:val="0"/>
      <w:suppressAutoHyphens/>
      <w:autoSpaceDE w:val="0"/>
      <w:autoSpaceDN w:val="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10A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10A15"/>
    <w:rPr>
      <w:vertAlign w:val="superscript"/>
    </w:rPr>
  </w:style>
  <w:style w:type="character" w:customStyle="1" w:styleId="SecondnumberingChar">
    <w:name w:val="Second numbering Char"/>
    <w:basedOn w:val="FirstnumberingChar"/>
    <w:link w:val="Secondnumbering"/>
    <w:qFormat/>
    <w:rsid w:val="00810A15"/>
    <w:rPr>
      <w:rFonts w:cs="Arial"/>
      <w:lang w:val="en-GB"/>
    </w:rPr>
  </w:style>
  <w:style w:type="paragraph" w:customStyle="1" w:styleId="Secondnumbering">
    <w:name w:val="Second numbering"/>
    <w:basedOn w:val="Firstnumbering"/>
    <w:link w:val="SecondnumberingChar"/>
    <w:qFormat/>
    <w:rsid w:val="00810A15"/>
    <w:pPr>
      <w:widowControl/>
      <w:numPr>
        <w:numId w:val="7"/>
      </w:numPr>
      <w:autoSpaceDE/>
      <w:autoSpaceDN/>
      <w:contextualSpacing w:val="0"/>
      <w:jc w:val="left"/>
      <w:textAlignment w:val="auto"/>
    </w:pPr>
  </w:style>
  <w:style w:type="character" w:styleId="UnresolvedMention">
    <w:name w:val="Unresolved Mention"/>
    <w:basedOn w:val="DefaultParagraphFont"/>
    <w:uiPriority w:val="99"/>
    <w:semiHidden/>
    <w:unhideWhenUsed/>
    <w:rsid w:val="003F5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ode/24320" TargetMode="External"/><Relationship Id="rId26" Type="http://schemas.openxmlformats.org/officeDocument/2006/relationships/hyperlink" Target="https://www.catalogueoflife.org/" TargetMode="Externa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footer" Target="footer4.xml"/><Relationship Id="rId37" Type="http://schemas.openxmlformats.org/officeDocument/2006/relationships/hyperlink" Target="http://www.marinemammalscience.org"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yperlink" Target="https://marinemammalscience.org/science-and-publications/list-marine-mammal-species-subspecies/" TargetMode="External"/><Relationship Id="rId36" Type="http://schemas.openxmlformats.org/officeDocument/2006/relationships/hyperlink" Target="https://webmail.unv.org/exchweb/bin/redir.asp?URL=http://www.amazon.co.uk/exec/obidos/search-handle-url/277-5240341-5951214?%255Fencoding=UTF8%26search-type=ss%26index=books-uk%26field-author=William%2520F.%2520Perrin" TargetMode="External"/><Relationship Id="rId10" Type="http://schemas.openxmlformats.org/officeDocument/2006/relationships/endnotes" Target="endnotes.xml"/><Relationship Id="rId19" Type="http://schemas.openxmlformats.org/officeDocument/2006/relationships/hyperlink" Target="http://www.marinemammalscience.org"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atazone.birdlife.org/species/taxonomy" TargetMode="External"/><Relationship Id="rId25" Type="http://schemas.openxmlformats.org/officeDocument/2006/relationships/hyperlink" Target="http://www.marinemammalscience.org" TargetMode="External"/><Relationship Id="rId33" Type="http://schemas.openxmlformats.org/officeDocument/2006/relationships/footer" Target="footer5.xml"/><Relationship Id="rId38" Type="http://schemas.openxmlformats.org/officeDocument/2006/relationships/header" Target="header1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cms-cites-joint-work-programmme-2021-202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F0D8D-2EA5-4B74-8002-8B7B2D433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FCBDB-AB98-4EB3-A3A5-364868991A28}">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c15478a5-0be8-4f5d-8383-b307d5ba8bf6"/>
    <ds:schemaRef ds:uri="http://schemas.microsoft.com/office/2006/metadata/properties"/>
    <ds:schemaRef ds:uri="985ec44e-1bab-4c0b-9df0-6ba128686fc9"/>
    <ds:schemaRef ds:uri="a7b50396-0b06-45c1-b28e-46f86d566a10"/>
    <ds:schemaRef ds:uri="http://purl.org/dc/dcmitype/"/>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5090</Words>
  <Characters>29015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2023-08-09T08:40:00Z</dcterms:created>
  <dcterms:modified xsi:type="dcterms:W3CDTF">2023-08-09T08:40:00Z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