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C75863" w:rsidRPr="00713D18" w14:paraId="734D40B0" w14:textId="77777777" w:rsidTr="00BD62F3">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7E130E16" w14:textId="77777777" w:rsidR="00C75863" w:rsidRPr="00002A97" w:rsidRDefault="00C75863" w:rsidP="00BD62F3">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75B79BDE" wp14:editId="1FE37E46">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shd w:val="clear" w:color="auto" w:fill="auto"/>
            <w:tcMar>
              <w:top w:w="85" w:type="dxa"/>
              <w:left w:w="108" w:type="dxa"/>
              <w:bottom w:w="0" w:type="dxa"/>
              <w:right w:w="108" w:type="dxa"/>
            </w:tcMar>
          </w:tcPr>
          <w:p w14:paraId="3C1062CB" w14:textId="77777777" w:rsidR="00C75863" w:rsidRPr="00002A97" w:rsidRDefault="00C75863" w:rsidP="00BD62F3">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5BAAE8E0" w14:textId="77777777" w:rsidR="00C75863" w:rsidRPr="00002A97" w:rsidRDefault="00C75863" w:rsidP="00BD62F3">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46B4BF21" w14:textId="77777777" w:rsidR="00C75863" w:rsidRPr="00002A97" w:rsidRDefault="00C75863" w:rsidP="00BD62F3">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1F152218" w14:textId="77777777" w:rsidR="00C75863" w:rsidRPr="00002A97" w:rsidRDefault="00C75863" w:rsidP="00BD62F3">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shd w:val="clear" w:color="auto" w:fill="auto"/>
            <w:tcMar>
              <w:top w:w="85" w:type="dxa"/>
              <w:left w:w="108" w:type="dxa"/>
              <w:bottom w:w="0" w:type="dxa"/>
              <w:right w:w="108" w:type="dxa"/>
            </w:tcMar>
          </w:tcPr>
          <w:p w14:paraId="08C9A2AD" w14:textId="0BB1E844" w:rsidR="00C75863" w:rsidRPr="00C95ADB" w:rsidRDefault="00C75863" w:rsidP="00BD62F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C95ADB">
              <w:rPr>
                <w:rFonts w:eastAsia="Times New Roman" w:cs="Arial"/>
                <w:szCs w:val="24"/>
                <w:lang w:eastAsia="es-ES"/>
              </w:rPr>
              <w:t>UNEP/CMS/COP14/Doc.</w:t>
            </w:r>
            <w:r w:rsidR="002A7BD2" w:rsidRPr="00C95ADB">
              <w:rPr>
                <w:rFonts w:eastAsia="Times New Roman" w:cs="Arial"/>
                <w:szCs w:val="24"/>
                <w:lang w:eastAsia="es-ES"/>
              </w:rPr>
              <w:t>30.2.2</w:t>
            </w:r>
            <w:r w:rsidR="00C95ADB" w:rsidRPr="00C95ADB">
              <w:rPr>
                <w:rFonts w:eastAsia="Times New Roman" w:cs="Arial"/>
                <w:szCs w:val="24"/>
                <w:lang w:eastAsia="es-ES"/>
              </w:rPr>
              <w:t>/Rev</w:t>
            </w:r>
            <w:r w:rsidR="00C95ADB">
              <w:rPr>
                <w:rFonts w:eastAsia="Times New Roman" w:cs="Arial"/>
                <w:szCs w:val="24"/>
                <w:lang w:eastAsia="es-ES"/>
              </w:rPr>
              <w:t>.</w:t>
            </w:r>
            <w:r w:rsidR="00B01BD8">
              <w:rPr>
                <w:rFonts w:eastAsia="Times New Roman" w:cs="Arial"/>
                <w:szCs w:val="24"/>
                <w:lang w:eastAsia="es-ES"/>
              </w:rPr>
              <w:t>2</w:t>
            </w:r>
          </w:p>
          <w:p w14:paraId="3A7283EA" w14:textId="4D64529D" w:rsidR="00C75863" w:rsidRPr="00C95ADB" w:rsidRDefault="00B01BD8" w:rsidP="00BD62F3">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Pr>
                <w:rFonts w:eastAsia="Times New Roman" w:cs="Arial"/>
                <w:szCs w:val="24"/>
                <w:lang w:val="es-ES" w:eastAsia="es-ES"/>
              </w:rPr>
              <w:t>22 de noviembre</w:t>
            </w:r>
            <w:r w:rsidR="00C75863" w:rsidRPr="00C95ADB">
              <w:rPr>
                <w:rFonts w:eastAsia="Times New Roman" w:cs="Arial"/>
                <w:szCs w:val="24"/>
                <w:lang w:val="es-ES" w:eastAsia="es-ES"/>
              </w:rPr>
              <w:t xml:space="preserve"> 2023</w:t>
            </w:r>
          </w:p>
          <w:p w14:paraId="563B8345" w14:textId="77777777" w:rsidR="00C75863" w:rsidRPr="00002A97" w:rsidRDefault="00C75863" w:rsidP="00BD62F3">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4427D10C" w14:textId="77777777" w:rsidR="00C75863" w:rsidRPr="000F4BDA" w:rsidRDefault="00C75863" w:rsidP="00BD62F3">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Original: </w:t>
            </w:r>
            <w:proofErr w:type="gramStart"/>
            <w:r w:rsidRPr="00002A97">
              <w:rPr>
                <w:rFonts w:eastAsia="Times New Roman" w:cs="Arial"/>
                <w:szCs w:val="24"/>
                <w:lang w:val="es-ES" w:eastAsia="es-ES"/>
              </w:rPr>
              <w:t>Inglés</w:t>
            </w:r>
            <w:proofErr w:type="gramEnd"/>
          </w:p>
          <w:p w14:paraId="468B912D" w14:textId="77777777" w:rsidR="00C75863" w:rsidRPr="00002A97" w:rsidRDefault="00C75863" w:rsidP="00BD62F3">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0136E786" w14:textId="77777777" w:rsidR="002A7BD2" w:rsidRPr="00002A97" w:rsidRDefault="002A7BD2" w:rsidP="002A7BD2">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Pr>
          <w:rFonts w:eastAsia="Times New Roman" w:cs="Arial"/>
          <w:szCs w:val="24"/>
          <w:lang w:val="es-ES" w:eastAsia="es-ES"/>
        </w:rPr>
        <w:t>4</w:t>
      </w:r>
      <w:r w:rsidRPr="00002A97">
        <w:rPr>
          <w:rFonts w:eastAsia="Times New Roman" w:cs="Arial"/>
          <w:szCs w:val="24"/>
          <w:lang w:val="es-ES" w:eastAsia="es-ES"/>
        </w:rPr>
        <w:t>ª REUNIÓN DE LA CONFERENCIA DE LAS PARTES</w:t>
      </w:r>
    </w:p>
    <w:p w14:paraId="325C9F13" w14:textId="7B4822CA" w:rsidR="002A7BD2" w:rsidRPr="00002A97" w:rsidRDefault="002A7BD2" w:rsidP="002A7BD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sidRPr="000F4BDA">
        <w:rPr>
          <w:rFonts w:eastAsia="Times New Roman" w:cs="Arial"/>
          <w:bCs/>
          <w:szCs w:val="24"/>
          <w:lang w:val="es-ES" w:eastAsia="es-ES"/>
        </w:rPr>
        <w:t>Samarcanda</w:t>
      </w:r>
      <w:r w:rsidRPr="00002A97">
        <w:rPr>
          <w:rFonts w:eastAsia="Times New Roman" w:cs="Arial"/>
          <w:bCs/>
          <w:szCs w:val="24"/>
          <w:lang w:val="es-ES" w:eastAsia="es-ES"/>
        </w:rPr>
        <w:t xml:space="preserve">. </w:t>
      </w:r>
      <w:r>
        <w:rPr>
          <w:rFonts w:eastAsia="Times New Roman" w:cs="Arial"/>
          <w:bCs/>
          <w:szCs w:val="24"/>
          <w:lang w:val="es-ES" w:eastAsia="es-ES"/>
        </w:rPr>
        <w:t>Uzbekistán</w:t>
      </w:r>
      <w:r w:rsidRPr="00002A97">
        <w:rPr>
          <w:rFonts w:eastAsia="Times New Roman" w:cs="Arial"/>
          <w:bCs/>
          <w:szCs w:val="24"/>
          <w:lang w:val="es-ES" w:eastAsia="es-ES"/>
        </w:rPr>
        <w:t xml:space="preserve">, </w:t>
      </w:r>
      <w:r w:rsidR="00C95ADB">
        <w:rPr>
          <w:rFonts w:eastAsia="Times New Roman" w:cs="Arial"/>
          <w:bCs/>
          <w:szCs w:val="24"/>
          <w:lang w:val="es-ES" w:eastAsia="es-ES"/>
        </w:rPr>
        <w:t>1</w:t>
      </w:r>
      <w:r>
        <w:rPr>
          <w:rFonts w:eastAsia="Times New Roman" w:cs="Arial"/>
          <w:bCs/>
          <w:szCs w:val="24"/>
          <w:lang w:val="es-ES" w:eastAsia="es-ES"/>
        </w:rPr>
        <w:t xml:space="preserve">2 – </w:t>
      </w:r>
      <w:r w:rsidR="00C95ADB">
        <w:rPr>
          <w:rFonts w:eastAsia="Times New Roman" w:cs="Arial"/>
          <w:bCs/>
          <w:szCs w:val="24"/>
          <w:lang w:val="es-ES" w:eastAsia="es-ES"/>
        </w:rPr>
        <w:t>17 de febrero 2024</w:t>
      </w:r>
    </w:p>
    <w:p w14:paraId="264F79DE" w14:textId="085A314B" w:rsidR="002A7BD2" w:rsidRPr="00002A97" w:rsidRDefault="002A7BD2" w:rsidP="002A7BD2">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Punto</w:t>
      </w:r>
      <w:r w:rsidR="004B3794">
        <w:rPr>
          <w:rFonts w:eastAsia="Times New Roman" w:cs="Arial"/>
          <w:szCs w:val="24"/>
          <w:lang w:val="es-ES" w:eastAsia="es-ES"/>
        </w:rPr>
        <w:t xml:space="preserve"> 30.2</w:t>
      </w:r>
      <w:r w:rsidRPr="00002A97">
        <w:rPr>
          <w:rFonts w:eastAsia="Times New Roman" w:cs="Arial"/>
          <w:szCs w:val="24"/>
          <w:lang w:val="es-ES" w:eastAsia="es-ES"/>
        </w:rPr>
        <w:t xml:space="preserve"> del orden del día</w:t>
      </w:r>
    </w:p>
    <w:p w14:paraId="5202F015" w14:textId="77777777" w:rsidR="002A7BD2" w:rsidRDefault="002A7BD2" w:rsidP="002A7BD2">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258B44F2" w14:textId="77777777" w:rsidR="002E0DE9" w:rsidRPr="00FD0A34" w:rsidRDefault="002E0DE9" w:rsidP="00CC71BD">
      <w:pPr>
        <w:widowControl w:val="0"/>
        <w:suppressAutoHyphens/>
        <w:autoSpaceDE w:val="0"/>
        <w:autoSpaceDN w:val="0"/>
        <w:spacing w:after="0" w:line="240" w:lineRule="auto"/>
        <w:jc w:val="both"/>
        <w:textAlignment w:val="baseline"/>
        <w:rPr>
          <w:rFonts w:eastAsia="Times New Roman" w:cs="Arial"/>
          <w:lang w:val="es-ES"/>
        </w:rPr>
      </w:pPr>
    </w:p>
    <w:p w14:paraId="43CC3E54" w14:textId="77777777" w:rsidR="00400631" w:rsidRPr="00FD0A34" w:rsidRDefault="00400631" w:rsidP="00CC71BD">
      <w:pPr>
        <w:widowControl w:val="0"/>
        <w:suppressAutoHyphens/>
        <w:autoSpaceDE w:val="0"/>
        <w:autoSpaceDN w:val="0"/>
        <w:spacing w:after="0" w:line="240" w:lineRule="auto"/>
        <w:jc w:val="both"/>
        <w:textAlignment w:val="baseline"/>
        <w:rPr>
          <w:rFonts w:eastAsia="Times New Roman" w:cs="Arial"/>
          <w:lang w:val="es-ES"/>
        </w:rPr>
      </w:pPr>
    </w:p>
    <w:p w14:paraId="5FE17DCE" w14:textId="1C0E4426" w:rsidR="00FB5A28" w:rsidRPr="00FD0A34" w:rsidRDefault="002936F5" w:rsidP="00C95ADB">
      <w:pPr>
        <w:widowControl w:val="0"/>
        <w:suppressAutoHyphens/>
        <w:autoSpaceDE w:val="0"/>
        <w:autoSpaceDN w:val="0"/>
        <w:spacing w:after="120" w:line="240" w:lineRule="auto"/>
        <w:jc w:val="center"/>
        <w:textAlignment w:val="baseline"/>
        <w:rPr>
          <w:rFonts w:eastAsia="Times New Roman" w:cs="Arial"/>
          <w:b/>
          <w:bCs/>
          <w:lang w:val="es-ES"/>
        </w:rPr>
      </w:pPr>
      <w:bookmarkStart w:id="0" w:name="_Hlk130987218"/>
      <w:r w:rsidRPr="00FD0A34">
        <w:rPr>
          <w:rFonts w:eastAsia="Times New Roman" w:cs="Arial"/>
          <w:b/>
          <w:bCs/>
          <w:lang w:val="es-ES"/>
        </w:rPr>
        <w:t>ÁREAS DE CONSERVACIÓN TRANSFRONTERIZAS PARA LAS ESPECIES MIGRATORIAS</w:t>
      </w:r>
    </w:p>
    <w:bookmarkEnd w:id="0"/>
    <w:p w14:paraId="38BB4BB4" w14:textId="48DDC991" w:rsidR="002E0DE9" w:rsidRPr="00FD0A34" w:rsidRDefault="008B0AC3" w:rsidP="002D0003">
      <w:pPr>
        <w:widowControl w:val="0"/>
        <w:suppressAutoHyphens/>
        <w:autoSpaceDE w:val="0"/>
        <w:autoSpaceDN w:val="0"/>
        <w:spacing w:after="0" w:line="240" w:lineRule="auto"/>
        <w:jc w:val="center"/>
        <w:textAlignment w:val="baseline"/>
        <w:rPr>
          <w:rFonts w:ascii="Calibri" w:eastAsia="Calibri" w:hAnsi="Calibri" w:cs="Times New Roman"/>
          <w:lang w:val="es-ES"/>
        </w:rPr>
      </w:pPr>
      <w:r w:rsidRPr="00FD0A34">
        <w:rPr>
          <w:rFonts w:eastAsia="Times New Roman" w:cs="Arial"/>
          <w:i/>
          <w:lang w:val="es-ES"/>
        </w:rPr>
        <w:t>(Preparado por la Secretaría)</w:t>
      </w:r>
    </w:p>
    <w:p w14:paraId="04541202" w14:textId="77777777" w:rsidR="002E0DE9" w:rsidRPr="00FD0A34" w:rsidRDefault="002E0DE9" w:rsidP="00CC71BD">
      <w:pPr>
        <w:widowControl w:val="0"/>
        <w:suppressAutoHyphens/>
        <w:autoSpaceDE w:val="0"/>
        <w:autoSpaceDN w:val="0"/>
        <w:spacing w:after="0" w:line="240" w:lineRule="auto"/>
        <w:jc w:val="both"/>
        <w:textAlignment w:val="baseline"/>
        <w:rPr>
          <w:rFonts w:eastAsia="Times New Roman" w:cs="Arial"/>
          <w:sz w:val="21"/>
          <w:szCs w:val="21"/>
          <w:lang w:val="es-ES"/>
        </w:rPr>
      </w:pPr>
    </w:p>
    <w:p w14:paraId="2843937F" w14:textId="253342F5" w:rsidR="002E0DE9" w:rsidRPr="00FD0A34" w:rsidRDefault="004B3794" w:rsidP="00CC71BD">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es-ES"/>
        </w:rPr>
      </w:pPr>
      <w:r w:rsidRPr="00FD0A34">
        <w:rPr>
          <w:rFonts w:eastAsia="Times New Roman" w:cs="Arial"/>
          <w:noProof/>
          <w:sz w:val="21"/>
          <w:szCs w:val="21"/>
          <w:lang w:val="es-ES"/>
        </w:rPr>
        <mc:AlternateContent>
          <mc:Choice Requires="wps">
            <w:drawing>
              <wp:anchor distT="0" distB="0" distL="114300" distR="114300" simplePos="0" relativeHeight="251658240" behindDoc="1" locked="0" layoutInCell="1" allowOverlap="1" wp14:anchorId="6AF39586" wp14:editId="3716E8C2">
                <wp:simplePos x="0" y="0"/>
                <wp:positionH relativeFrom="margin">
                  <wp:posOffset>914400</wp:posOffset>
                </wp:positionH>
                <wp:positionV relativeFrom="margin">
                  <wp:posOffset>2806700</wp:posOffset>
                </wp:positionV>
                <wp:extent cx="4695825" cy="1812290"/>
                <wp:effectExtent l="0" t="0" r="28575" b="16510"/>
                <wp:wrapSquare wrapText="bothSides"/>
                <wp:docPr id="5" name="Text Box 5"/>
                <wp:cNvGraphicFramePr/>
                <a:graphic xmlns:a="http://schemas.openxmlformats.org/drawingml/2006/main">
                  <a:graphicData uri="http://schemas.microsoft.com/office/word/2010/wordprocessingShape">
                    <wps:wsp>
                      <wps:cNvSpPr txBox="1"/>
                      <wps:spPr>
                        <a:xfrm>
                          <a:off x="0" y="0"/>
                          <a:ext cx="4695825" cy="1812290"/>
                        </a:xfrm>
                        <a:prstGeom prst="rect">
                          <a:avLst/>
                        </a:prstGeom>
                        <a:solidFill>
                          <a:srgbClr val="FFFFFF"/>
                        </a:solidFill>
                        <a:ln w="3172">
                          <a:solidFill>
                            <a:srgbClr val="000000"/>
                          </a:solidFill>
                          <a:prstDash val="solid"/>
                        </a:ln>
                      </wps:spPr>
                      <wps:txbx>
                        <w:txbxContent>
                          <w:p w14:paraId="361301A9" w14:textId="1D3CA965" w:rsidR="002E0DE9" w:rsidRPr="00400631" w:rsidRDefault="002E0DE9" w:rsidP="002E0DE9">
                            <w:pPr>
                              <w:spacing w:after="0"/>
                              <w:rPr>
                                <w:rFonts w:cs="Arial"/>
                                <w:lang w:val="es-ES"/>
                              </w:rPr>
                            </w:pPr>
                            <w:r w:rsidRPr="00400631">
                              <w:rPr>
                                <w:rFonts w:cs="Arial"/>
                                <w:lang w:val="es-ES"/>
                              </w:rPr>
                              <w:t>Resumen:</w:t>
                            </w:r>
                          </w:p>
                          <w:p w14:paraId="3B3B48BB" w14:textId="77777777" w:rsidR="00E53A32" w:rsidRPr="00400631" w:rsidRDefault="00E53A32" w:rsidP="002E0DE9">
                            <w:pPr>
                              <w:spacing w:after="0"/>
                              <w:rPr>
                                <w:rFonts w:cs="Arial"/>
                                <w:lang w:val="es-ES"/>
                              </w:rPr>
                            </w:pPr>
                          </w:p>
                          <w:p w14:paraId="12338272" w14:textId="3F54E0F7" w:rsidR="002E0DE9" w:rsidRPr="00400631" w:rsidRDefault="00E53A32" w:rsidP="004B3794">
                            <w:pPr>
                              <w:spacing w:after="0" w:line="240" w:lineRule="auto"/>
                              <w:jc w:val="both"/>
                              <w:rPr>
                                <w:rFonts w:cs="Arial"/>
                                <w:lang w:val="es-ES"/>
                              </w:rPr>
                            </w:pPr>
                            <w:r w:rsidRPr="00E53A32">
                              <w:rPr>
                                <w:rFonts w:cs="Arial"/>
                                <w:lang w:val="es-ES"/>
                              </w:rPr>
                              <w:t xml:space="preserve">Este documento informa sobre la aplicación de las Decisiones 13.116 y 13.117- </w:t>
                            </w:r>
                            <w:r w:rsidR="00C05892" w:rsidRPr="00FF2A5F">
                              <w:rPr>
                                <w:rFonts w:cs="Arial"/>
                                <w:i/>
                                <w:iCs/>
                                <w:lang w:val="es-ES"/>
                              </w:rPr>
                              <w:t xml:space="preserve">Áreas de Conservación Transfronterizas. </w:t>
                            </w:r>
                            <w:r w:rsidRPr="00E53A32">
                              <w:rPr>
                                <w:rFonts w:cs="Arial"/>
                                <w:lang w:val="es-ES"/>
                              </w:rPr>
                              <w:t>Propone la supresión de estas decisiones y la adopción de una nueva serie de decisiones.</w:t>
                            </w:r>
                          </w:p>
                          <w:p w14:paraId="6E3AFEF6" w14:textId="524845D6" w:rsidR="00E53A32" w:rsidRDefault="00E53A32" w:rsidP="002E0DE9">
                            <w:pPr>
                              <w:spacing w:after="0"/>
                              <w:rPr>
                                <w:rFonts w:cs="Arial"/>
                                <w:lang w:val="es-ES"/>
                              </w:rPr>
                            </w:pPr>
                          </w:p>
                          <w:p w14:paraId="4A282B32" w14:textId="01E7969B" w:rsidR="00320C3D" w:rsidRPr="00CE0B08" w:rsidRDefault="00CE0B08" w:rsidP="00320C3D">
                            <w:pPr>
                              <w:spacing w:after="0" w:line="240" w:lineRule="auto"/>
                              <w:jc w:val="both"/>
                              <w:rPr>
                                <w:rFonts w:cs="Arial"/>
                                <w:lang w:val="es-ES"/>
                              </w:rPr>
                            </w:pPr>
                            <w:r>
                              <w:rPr>
                                <w:lang w:val="es-ES"/>
                              </w:rPr>
                              <w:t xml:space="preserve">Este documento fue revisado por la Secretaría para añadir la recomendación de </w:t>
                            </w:r>
                            <w:r w:rsidRPr="00CE0B08">
                              <w:rPr>
                                <w:lang w:val="es-CO"/>
                              </w:rPr>
                              <w:t>eliminación</w:t>
                            </w:r>
                            <w:r>
                              <w:rPr>
                                <w:lang w:val="es-CO"/>
                              </w:rPr>
                              <w:t xml:space="preserve"> </w:t>
                            </w:r>
                            <w:r>
                              <w:rPr>
                                <w:lang w:val="es-ES"/>
                              </w:rPr>
                              <w:t>de la Decisión 13.118</w:t>
                            </w:r>
                            <w:r w:rsidR="00713D18" w:rsidRPr="00713D18">
                              <w:rPr>
                                <w:lang w:val="es-ES"/>
                              </w:rPr>
                              <w:t xml:space="preserve"> y sustituir el hipervínculo a la herramienta </w:t>
                            </w:r>
                            <w:hyperlink r:id="rId12" w:history="1">
                              <w:r w:rsidR="00713D18" w:rsidRPr="00AE597F">
                                <w:rPr>
                                  <w:rStyle w:val="Hyperlink"/>
                                  <w:lang w:val="es-ES"/>
                                </w:rPr>
                                <w:t>Identificación de oportunidades para la conservación transfronteriza</w:t>
                              </w:r>
                            </w:hyperlink>
                            <w:r w:rsidR="00713D18" w:rsidRPr="00713D18">
                              <w:rPr>
                                <w:lang w:val="es-ES"/>
                              </w:rPr>
                              <w:t xml:space="preserve"> mencionada en el apartado 6. c.</w:t>
                            </w:r>
                          </w:p>
                          <w:p w14:paraId="7B35BA18" w14:textId="77777777" w:rsidR="00320C3D" w:rsidRPr="00CE0B08" w:rsidRDefault="00320C3D" w:rsidP="002E0DE9">
                            <w:pPr>
                              <w:spacing w:after="0"/>
                              <w:rPr>
                                <w:rFonts w:cs="Arial"/>
                                <w:lang w:val="es-ES"/>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5" o:spid="_x0000_s1026" type="#_x0000_t202" style="position:absolute;left:0;text-align:left;margin-left:1in;margin-top:221pt;width:369.75pt;height:142.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" strokeweight=".08811mm">
                <v:textbox>
                  <w:txbxContent>
                    <w:p w14:paraId="361301A9" w14:textId="1D3CA965" w:rsidR="002E0DE9" w:rsidRPr="00400631" w:rsidRDefault="002E0DE9" w:rsidP="002E0DE9">
                      <w:pPr>
                        <w:spacing w:after="0"/>
                        <w:rPr>
                          <w:rFonts w:cs="Arial"/>
                          <w:lang w:val="es-ES"/>
                        </w:rPr>
                      </w:pPr>
                      <w:r w:rsidRPr="00400631">
                        <w:rPr>
                          <w:rFonts w:cs="Arial"/>
                          <w:lang w:val="es-ES"/>
                        </w:rPr>
                        <w:t>Resumen:</w:t>
                      </w:r>
                    </w:p>
                    <w:p w14:paraId="3B3B48BB" w14:textId="77777777" w:rsidR="00E53A32" w:rsidRPr="00400631" w:rsidRDefault="00E53A32" w:rsidP="002E0DE9">
                      <w:pPr>
                        <w:spacing w:after="0"/>
                        <w:rPr>
                          <w:rFonts w:cs="Arial"/>
                          <w:lang w:val="es-ES"/>
                        </w:rPr>
                      </w:pPr>
                    </w:p>
                    <w:p w14:paraId="12338272" w14:textId="3F54E0F7" w:rsidR="002E0DE9" w:rsidRPr="00400631" w:rsidRDefault="00E53A32" w:rsidP="004B3794">
                      <w:pPr>
                        <w:spacing w:after="0" w:line="240" w:lineRule="auto"/>
                        <w:jc w:val="both"/>
                        <w:rPr>
                          <w:rFonts w:cs="Arial"/>
                          <w:lang w:val="es-ES"/>
                        </w:rPr>
                      </w:pPr>
                      <w:r w:rsidRPr="00E53A32">
                        <w:rPr>
                          <w:rFonts w:cs="Arial"/>
                          <w:lang w:val="es-ES"/>
                        </w:rPr>
                        <w:t xml:space="preserve">Este documento informa sobre la aplicación de las Decisiones 13.116 y 13.117- </w:t>
                      </w:r>
                      <w:r w:rsidR="00C05892" w:rsidRPr="00FF2A5F">
                        <w:rPr>
                          <w:rFonts w:cs="Arial"/>
                          <w:i/>
                          <w:iCs/>
                          <w:lang w:val="es-ES"/>
                        </w:rPr>
                        <w:t xml:space="preserve">Áreas de Conservación Transfronterizas. </w:t>
                      </w:r>
                      <w:r w:rsidRPr="00E53A32">
                        <w:rPr>
                          <w:rFonts w:cs="Arial"/>
                          <w:lang w:val="es-ES"/>
                        </w:rPr>
                        <w:t>Propone la supresión de estas decisiones y la adopción de una nueva serie de decisiones.</w:t>
                      </w:r>
                    </w:p>
                    <w:p w14:paraId="6E3AFEF6" w14:textId="524845D6" w:rsidR="00E53A32" w:rsidRDefault="00E53A32" w:rsidP="002E0DE9">
                      <w:pPr>
                        <w:spacing w:after="0"/>
                        <w:rPr>
                          <w:rFonts w:cs="Arial"/>
                          <w:lang w:val="es-ES"/>
                        </w:rPr>
                      </w:pPr>
                    </w:p>
                    <w:p w14:paraId="4A282B32" w14:textId="01E7969B" w:rsidR="00320C3D" w:rsidRPr="00CE0B08" w:rsidRDefault="00CE0B08" w:rsidP="00320C3D">
                      <w:pPr>
                        <w:spacing w:after="0" w:line="240" w:lineRule="auto"/>
                        <w:jc w:val="both"/>
                        <w:rPr>
                          <w:rFonts w:cs="Arial"/>
                          <w:lang w:val="es-ES"/>
                        </w:rPr>
                      </w:pPr>
                      <w:r>
                        <w:rPr>
                          <w:lang w:val="es-ES"/>
                        </w:rPr>
                        <w:t xml:space="preserve">Este documento fue revisado por la Secretaría para añadir la recomendación de </w:t>
                      </w:r>
                      <w:r w:rsidRPr="00CE0B08">
                        <w:rPr>
                          <w:lang w:val="es-CO"/>
                        </w:rPr>
                        <w:t>eliminación</w:t>
                      </w:r>
                      <w:r>
                        <w:rPr>
                          <w:lang w:val="es-CO"/>
                        </w:rPr>
                        <w:t xml:space="preserve"> </w:t>
                      </w:r>
                      <w:r>
                        <w:rPr>
                          <w:lang w:val="es-ES"/>
                        </w:rPr>
                        <w:t>de la Decisión 13.118</w:t>
                      </w:r>
                      <w:r w:rsidR="00713D18" w:rsidRPr="00713D18">
                        <w:rPr>
                          <w:lang w:val="es-ES"/>
                        </w:rPr>
                        <w:t xml:space="preserve"> y sustituir el hipervínculo a la herramienta </w:t>
                      </w:r>
                      <w:hyperlink r:id="rId13" w:history="1">
                        <w:r w:rsidR="00713D18" w:rsidRPr="00AE597F">
                          <w:rPr>
                            <w:rStyle w:val="Hyperlink"/>
                            <w:lang w:val="es-ES"/>
                          </w:rPr>
                          <w:t>Identificación de oportunidades para la conservación transfronteriza</w:t>
                        </w:r>
                      </w:hyperlink>
                      <w:r w:rsidR="00713D18" w:rsidRPr="00713D18">
                        <w:rPr>
                          <w:lang w:val="es-ES"/>
                        </w:rPr>
                        <w:t xml:space="preserve"> mencionada en el apartado 6. c.</w:t>
                      </w:r>
                    </w:p>
                    <w:p w14:paraId="7B35BA18" w14:textId="77777777" w:rsidR="00320C3D" w:rsidRPr="00CE0B08" w:rsidRDefault="00320C3D" w:rsidP="002E0DE9">
                      <w:pPr>
                        <w:spacing w:after="0"/>
                        <w:rPr>
                          <w:rFonts w:cs="Arial"/>
                          <w:lang w:val="es-ES"/>
                        </w:rPr>
                      </w:pPr>
                    </w:p>
                  </w:txbxContent>
                </v:textbox>
                <w10:wrap type="square" anchorx="margin" anchory="margin"/>
              </v:shape>
            </w:pict>
          </mc:Fallback>
        </mc:AlternateContent>
      </w:r>
    </w:p>
    <w:p w14:paraId="437E2E87" w14:textId="77777777" w:rsidR="002E0DE9" w:rsidRPr="00FD0A34" w:rsidRDefault="002E0DE9" w:rsidP="00CC71BD">
      <w:pPr>
        <w:widowControl w:val="0"/>
        <w:suppressAutoHyphens/>
        <w:autoSpaceDE w:val="0"/>
        <w:autoSpaceDN w:val="0"/>
        <w:spacing w:after="0" w:line="240" w:lineRule="auto"/>
        <w:jc w:val="both"/>
        <w:textAlignment w:val="baseline"/>
        <w:rPr>
          <w:rFonts w:ascii="Calibri" w:eastAsia="Calibri" w:hAnsi="Calibri" w:cs="Times New Roman"/>
          <w:lang w:val="es-ES"/>
        </w:rPr>
      </w:pPr>
    </w:p>
    <w:p w14:paraId="5ACBBE25" w14:textId="5B96B4BE" w:rsidR="002E0DE9" w:rsidRPr="00FD0A34" w:rsidRDefault="002E0DE9" w:rsidP="00CC71BD">
      <w:pPr>
        <w:widowControl w:val="0"/>
        <w:suppressAutoHyphens/>
        <w:autoSpaceDE w:val="0"/>
        <w:autoSpaceDN w:val="0"/>
        <w:spacing w:after="0" w:line="240" w:lineRule="auto"/>
        <w:jc w:val="both"/>
        <w:textAlignment w:val="baseline"/>
        <w:rPr>
          <w:rFonts w:eastAsia="Times New Roman" w:cs="Arial"/>
          <w:sz w:val="21"/>
          <w:szCs w:val="21"/>
          <w:lang w:val="es-ES"/>
        </w:rPr>
      </w:pPr>
    </w:p>
    <w:p w14:paraId="554A67C2" w14:textId="64EAF7DA" w:rsidR="002E0DE9" w:rsidRPr="00FD0A34" w:rsidRDefault="002E0DE9" w:rsidP="00CC71BD">
      <w:pPr>
        <w:widowControl w:val="0"/>
        <w:suppressAutoHyphens/>
        <w:autoSpaceDE w:val="0"/>
        <w:autoSpaceDN w:val="0"/>
        <w:spacing w:after="0" w:line="240" w:lineRule="auto"/>
        <w:jc w:val="both"/>
        <w:textAlignment w:val="baseline"/>
        <w:rPr>
          <w:rFonts w:eastAsia="Times New Roman" w:cs="Arial"/>
          <w:sz w:val="21"/>
          <w:szCs w:val="21"/>
          <w:lang w:val="es-ES"/>
        </w:rPr>
      </w:pPr>
    </w:p>
    <w:p w14:paraId="227B60E9" w14:textId="77777777" w:rsidR="002E0DE9" w:rsidRPr="00FD0A34" w:rsidRDefault="002E0DE9" w:rsidP="00CC71BD">
      <w:pPr>
        <w:widowControl w:val="0"/>
        <w:suppressAutoHyphens/>
        <w:autoSpaceDE w:val="0"/>
        <w:autoSpaceDN w:val="0"/>
        <w:spacing w:after="0" w:line="240" w:lineRule="auto"/>
        <w:jc w:val="both"/>
        <w:textAlignment w:val="baseline"/>
        <w:rPr>
          <w:rFonts w:eastAsia="Times New Roman" w:cs="Arial"/>
          <w:sz w:val="21"/>
          <w:szCs w:val="21"/>
          <w:lang w:val="es-ES"/>
        </w:rPr>
      </w:pPr>
    </w:p>
    <w:p w14:paraId="72417F8B" w14:textId="77777777" w:rsidR="002E0DE9" w:rsidRPr="00FD0A34" w:rsidRDefault="002E0DE9" w:rsidP="00CC71BD">
      <w:pPr>
        <w:widowControl w:val="0"/>
        <w:suppressAutoHyphens/>
        <w:autoSpaceDE w:val="0"/>
        <w:autoSpaceDN w:val="0"/>
        <w:spacing w:after="0" w:line="240" w:lineRule="auto"/>
        <w:jc w:val="both"/>
        <w:textAlignment w:val="baseline"/>
        <w:rPr>
          <w:rFonts w:eastAsia="Times New Roman" w:cs="Arial"/>
          <w:sz w:val="21"/>
          <w:szCs w:val="21"/>
          <w:lang w:val="es-ES"/>
        </w:rPr>
      </w:pPr>
    </w:p>
    <w:p w14:paraId="55C6DA7A" w14:textId="77777777" w:rsidR="002E0DE9" w:rsidRPr="00FD0A34" w:rsidRDefault="002E0DE9" w:rsidP="00CC71BD">
      <w:pPr>
        <w:widowControl w:val="0"/>
        <w:suppressAutoHyphens/>
        <w:autoSpaceDE w:val="0"/>
        <w:autoSpaceDN w:val="0"/>
        <w:spacing w:after="0" w:line="240" w:lineRule="auto"/>
        <w:jc w:val="both"/>
        <w:textAlignment w:val="baseline"/>
        <w:rPr>
          <w:rFonts w:eastAsia="Times New Roman" w:cs="Arial"/>
          <w:sz w:val="21"/>
          <w:szCs w:val="21"/>
          <w:lang w:val="es-ES"/>
        </w:rPr>
      </w:pPr>
    </w:p>
    <w:p w14:paraId="48B85236" w14:textId="77777777" w:rsidR="002E0DE9" w:rsidRPr="00FD0A34" w:rsidRDefault="002E0DE9" w:rsidP="00CC71BD">
      <w:pPr>
        <w:widowControl w:val="0"/>
        <w:suppressAutoHyphens/>
        <w:autoSpaceDE w:val="0"/>
        <w:autoSpaceDN w:val="0"/>
        <w:spacing w:after="0" w:line="240" w:lineRule="auto"/>
        <w:jc w:val="both"/>
        <w:textAlignment w:val="baseline"/>
        <w:rPr>
          <w:rFonts w:eastAsia="Times New Roman" w:cs="Arial"/>
          <w:sz w:val="21"/>
          <w:szCs w:val="21"/>
          <w:lang w:val="es-ES"/>
        </w:rPr>
      </w:pPr>
    </w:p>
    <w:p w14:paraId="6236BDED" w14:textId="77777777" w:rsidR="002E0DE9" w:rsidRPr="00FD0A34" w:rsidRDefault="002E0DE9" w:rsidP="00CC71BD">
      <w:pPr>
        <w:widowControl w:val="0"/>
        <w:suppressAutoHyphens/>
        <w:autoSpaceDE w:val="0"/>
        <w:autoSpaceDN w:val="0"/>
        <w:spacing w:after="0" w:line="240" w:lineRule="auto"/>
        <w:jc w:val="both"/>
        <w:textAlignment w:val="baseline"/>
        <w:rPr>
          <w:rFonts w:eastAsia="Times New Roman" w:cs="Arial"/>
          <w:sz w:val="21"/>
          <w:szCs w:val="21"/>
          <w:lang w:val="es-ES"/>
        </w:rPr>
      </w:pPr>
    </w:p>
    <w:p w14:paraId="692124E8" w14:textId="77777777" w:rsidR="002E0DE9" w:rsidRPr="00FD0A34" w:rsidRDefault="002E0DE9" w:rsidP="00CC71BD">
      <w:pPr>
        <w:widowControl w:val="0"/>
        <w:suppressAutoHyphens/>
        <w:autoSpaceDE w:val="0"/>
        <w:autoSpaceDN w:val="0"/>
        <w:spacing w:after="0" w:line="240" w:lineRule="auto"/>
        <w:jc w:val="both"/>
        <w:textAlignment w:val="baseline"/>
        <w:rPr>
          <w:rFonts w:eastAsia="Times New Roman" w:cs="Arial"/>
          <w:sz w:val="21"/>
          <w:szCs w:val="21"/>
          <w:lang w:val="es-ES"/>
        </w:rPr>
      </w:pPr>
    </w:p>
    <w:p w14:paraId="3791C321" w14:textId="77777777" w:rsidR="002E0DE9" w:rsidRPr="00FD0A34" w:rsidRDefault="002E0DE9" w:rsidP="00CC71BD">
      <w:pPr>
        <w:widowControl w:val="0"/>
        <w:suppressAutoHyphens/>
        <w:autoSpaceDE w:val="0"/>
        <w:autoSpaceDN w:val="0"/>
        <w:spacing w:after="0" w:line="240" w:lineRule="auto"/>
        <w:jc w:val="both"/>
        <w:textAlignment w:val="baseline"/>
        <w:rPr>
          <w:rFonts w:eastAsia="Times New Roman" w:cs="Arial"/>
          <w:sz w:val="21"/>
          <w:szCs w:val="21"/>
          <w:lang w:val="es-ES"/>
        </w:rPr>
      </w:pPr>
    </w:p>
    <w:p w14:paraId="6DF7A393" w14:textId="77777777" w:rsidR="002E0DE9" w:rsidRPr="00FD0A34" w:rsidRDefault="002E0DE9" w:rsidP="00CC71BD">
      <w:pPr>
        <w:widowControl w:val="0"/>
        <w:suppressAutoHyphens/>
        <w:autoSpaceDE w:val="0"/>
        <w:autoSpaceDN w:val="0"/>
        <w:spacing w:after="0" w:line="240" w:lineRule="auto"/>
        <w:jc w:val="both"/>
        <w:textAlignment w:val="baseline"/>
        <w:rPr>
          <w:rFonts w:eastAsia="Times New Roman" w:cs="Arial"/>
          <w:sz w:val="21"/>
          <w:szCs w:val="21"/>
          <w:lang w:val="es-ES"/>
        </w:rPr>
      </w:pPr>
    </w:p>
    <w:p w14:paraId="504B2F65" w14:textId="77777777" w:rsidR="002E0DE9" w:rsidRPr="00FD0A34" w:rsidRDefault="002E0DE9" w:rsidP="00CC71BD">
      <w:pPr>
        <w:widowControl w:val="0"/>
        <w:suppressAutoHyphens/>
        <w:autoSpaceDE w:val="0"/>
        <w:autoSpaceDN w:val="0"/>
        <w:spacing w:after="0" w:line="240" w:lineRule="auto"/>
        <w:jc w:val="both"/>
        <w:textAlignment w:val="baseline"/>
        <w:rPr>
          <w:rFonts w:eastAsia="Times New Roman" w:cs="Arial"/>
          <w:sz w:val="21"/>
          <w:szCs w:val="21"/>
          <w:lang w:val="es-ES"/>
        </w:rPr>
      </w:pPr>
    </w:p>
    <w:p w14:paraId="6F660C3B" w14:textId="77777777" w:rsidR="002E0DE9" w:rsidRPr="00FD0A34" w:rsidRDefault="002E0DE9" w:rsidP="00CC71BD">
      <w:pPr>
        <w:widowControl w:val="0"/>
        <w:suppressAutoHyphens/>
        <w:autoSpaceDE w:val="0"/>
        <w:autoSpaceDN w:val="0"/>
        <w:spacing w:after="0" w:line="240" w:lineRule="auto"/>
        <w:jc w:val="both"/>
        <w:textAlignment w:val="baseline"/>
        <w:rPr>
          <w:rFonts w:eastAsia="Times New Roman" w:cs="Arial"/>
          <w:sz w:val="21"/>
          <w:szCs w:val="21"/>
          <w:lang w:val="es-ES"/>
        </w:rPr>
      </w:pPr>
    </w:p>
    <w:p w14:paraId="38F02BC5" w14:textId="77777777" w:rsidR="002E0DE9" w:rsidRPr="00FD0A34" w:rsidRDefault="002E0DE9" w:rsidP="00CC71BD">
      <w:pPr>
        <w:widowControl w:val="0"/>
        <w:suppressAutoHyphens/>
        <w:autoSpaceDE w:val="0"/>
        <w:autoSpaceDN w:val="0"/>
        <w:spacing w:after="0" w:line="240" w:lineRule="auto"/>
        <w:jc w:val="both"/>
        <w:textAlignment w:val="baseline"/>
        <w:rPr>
          <w:rFonts w:eastAsia="Times New Roman" w:cs="Arial"/>
          <w:sz w:val="21"/>
          <w:szCs w:val="21"/>
          <w:lang w:val="es-ES"/>
        </w:rPr>
      </w:pPr>
    </w:p>
    <w:p w14:paraId="70CBF39D" w14:textId="77777777" w:rsidR="002E0DE9" w:rsidRPr="00FD0A34" w:rsidRDefault="002E0DE9" w:rsidP="00CC71BD">
      <w:pPr>
        <w:widowControl w:val="0"/>
        <w:suppressAutoHyphens/>
        <w:autoSpaceDE w:val="0"/>
        <w:autoSpaceDN w:val="0"/>
        <w:spacing w:after="0" w:line="240" w:lineRule="auto"/>
        <w:jc w:val="both"/>
        <w:textAlignment w:val="baseline"/>
        <w:rPr>
          <w:rFonts w:eastAsia="Times New Roman" w:cs="Arial"/>
          <w:sz w:val="21"/>
          <w:szCs w:val="21"/>
          <w:lang w:val="es-ES"/>
        </w:rPr>
      </w:pPr>
    </w:p>
    <w:p w14:paraId="5B4DC013" w14:textId="77777777" w:rsidR="002E0DE9" w:rsidRPr="00FD0A34" w:rsidRDefault="002E0DE9" w:rsidP="00CC71BD">
      <w:pPr>
        <w:widowControl w:val="0"/>
        <w:suppressAutoHyphens/>
        <w:autoSpaceDE w:val="0"/>
        <w:autoSpaceDN w:val="0"/>
        <w:spacing w:after="0" w:line="240" w:lineRule="auto"/>
        <w:jc w:val="both"/>
        <w:textAlignment w:val="baseline"/>
        <w:rPr>
          <w:rFonts w:eastAsia="Times New Roman" w:cs="Arial"/>
          <w:sz w:val="21"/>
          <w:szCs w:val="21"/>
          <w:lang w:val="es-ES"/>
        </w:rPr>
      </w:pPr>
    </w:p>
    <w:p w14:paraId="50CE846C" w14:textId="77777777" w:rsidR="002E0DE9" w:rsidRPr="00FD0A34" w:rsidRDefault="002E0DE9" w:rsidP="00CC71BD">
      <w:pPr>
        <w:widowControl w:val="0"/>
        <w:suppressAutoHyphens/>
        <w:autoSpaceDE w:val="0"/>
        <w:autoSpaceDN w:val="0"/>
        <w:spacing w:after="0" w:line="240" w:lineRule="auto"/>
        <w:jc w:val="both"/>
        <w:textAlignment w:val="baseline"/>
        <w:rPr>
          <w:rFonts w:eastAsia="Times New Roman" w:cs="Arial"/>
          <w:sz w:val="21"/>
          <w:szCs w:val="21"/>
          <w:lang w:val="es-ES"/>
        </w:rPr>
      </w:pPr>
    </w:p>
    <w:p w14:paraId="1DBB162D" w14:textId="77777777" w:rsidR="002E0DE9" w:rsidRPr="00FD0A34" w:rsidRDefault="002E0DE9" w:rsidP="00CC71BD">
      <w:pPr>
        <w:widowControl w:val="0"/>
        <w:suppressAutoHyphens/>
        <w:autoSpaceDE w:val="0"/>
        <w:autoSpaceDN w:val="0"/>
        <w:spacing w:after="0" w:line="240" w:lineRule="auto"/>
        <w:jc w:val="both"/>
        <w:textAlignment w:val="baseline"/>
        <w:rPr>
          <w:rFonts w:eastAsia="Times New Roman" w:cs="Arial"/>
          <w:sz w:val="21"/>
          <w:szCs w:val="21"/>
          <w:lang w:val="es-ES"/>
        </w:rPr>
      </w:pPr>
    </w:p>
    <w:p w14:paraId="2D4E8840" w14:textId="77777777" w:rsidR="002E0DE9" w:rsidRPr="00FD0A34" w:rsidRDefault="002E0DE9" w:rsidP="00CC71BD">
      <w:pPr>
        <w:widowControl w:val="0"/>
        <w:tabs>
          <w:tab w:val="left" w:pos="7245"/>
        </w:tabs>
        <w:suppressAutoHyphens/>
        <w:autoSpaceDE w:val="0"/>
        <w:autoSpaceDN w:val="0"/>
        <w:spacing w:after="0" w:line="240" w:lineRule="auto"/>
        <w:jc w:val="both"/>
        <w:textAlignment w:val="baseline"/>
        <w:rPr>
          <w:rFonts w:eastAsia="Times New Roman" w:cs="Arial"/>
          <w:sz w:val="21"/>
          <w:szCs w:val="21"/>
          <w:lang w:val="es-ES"/>
        </w:rPr>
      </w:pPr>
    </w:p>
    <w:p w14:paraId="38CDD92A" w14:textId="77777777" w:rsidR="002E0DE9" w:rsidRPr="00FD0A34" w:rsidRDefault="002E0DE9" w:rsidP="00CC71BD">
      <w:pPr>
        <w:widowControl w:val="0"/>
        <w:suppressAutoHyphens/>
        <w:autoSpaceDE w:val="0"/>
        <w:autoSpaceDN w:val="0"/>
        <w:spacing w:after="0" w:line="240" w:lineRule="auto"/>
        <w:jc w:val="both"/>
        <w:textAlignment w:val="baseline"/>
        <w:rPr>
          <w:rFonts w:eastAsia="Times New Roman" w:cs="Arial"/>
          <w:lang w:val="es-ES"/>
        </w:rPr>
      </w:pPr>
    </w:p>
    <w:p w14:paraId="4C10F8E6" w14:textId="77777777" w:rsidR="002E0DE9" w:rsidRPr="00FD0A34" w:rsidRDefault="002E0DE9" w:rsidP="00CC71BD">
      <w:pPr>
        <w:widowControl w:val="0"/>
        <w:suppressAutoHyphens/>
        <w:autoSpaceDE w:val="0"/>
        <w:autoSpaceDN w:val="0"/>
        <w:spacing w:after="0" w:line="240" w:lineRule="auto"/>
        <w:jc w:val="both"/>
        <w:textAlignment w:val="baseline"/>
        <w:rPr>
          <w:rFonts w:eastAsia="Times New Roman" w:cs="Arial"/>
          <w:lang w:val="es-ES"/>
        </w:rPr>
      </w:pPr>
    </w:p>
    <w:p w14:paraId="422964D3" w14:textId="77777777" w:rsidR="005330F7" w:rsidRPr="00FD0A34" w:rsidRDefault="005330F7" w:rsidP="00CC71BD">
      <w:pPr>
        <w:spacing w:after="0" w:line="240" w:lineRule="auto"/>
        <w:jc w:val="both"/>
        <w:rPr>
          <w:lang w:val="es-ES"/>
        </w:rPr>
      </w:pPr>
    </w:p>
    <w:p w14:paraId="490DC140" w14:textId="77777777" w:rsidR="002E0DE9" w:rsidRPr="00FD0A34" w:rsidRDefault="002E0DE9" w:rsidP="00CC71BD">
      <w:pPr>
        <w:spacing w:after="0" w:line="240" w:lineRule="auto"/>
        <w:jc w:val="both"/>
        <w:rPr>
          <w:lang w:val="es-ES"/>
        </w:rPr>
      </w:pPr>
    </w:p>
    <w:p w14:paraId="2FBBA2D8" w14:textId="77777777" w:rsidR="002E0DE9" w:rsidRPr="00FD0A34" w:rsidRDefault="002E0DE9" w:rsidP="00CC71BD">
      <w:pPr>
        <w:spacing w:after="0" w:line="240" w:lineRule="auto"/>
        <w:jc w:val="both"/>
        <w:rPr>
          <w:lang w:val="es-ES"/>
        </w:rPr>
      </w:pPr>
    </w:p>
    <w:p w14:paraId="4C631634" w14:textId="77777777" w:rsidR="002E0DE9" w:rsidRPr="00FD0A34" w:rsidRDefault="002E0DE9" w:rsidP="00CC71BD">
      <w:pPr>
        <w:spacing w:after="0" w:line="240" w:lineRule="auto"/>
        <w:jc w:val="both"/>
        <w:rPr>
          <w:lang w:val="es-ES"/>
        </w:rPr>
      </w:pPr>
    </w:p>
    <w:p w14:paraId="1057ABA6" w14:textId="77777777" w:rsidR="002E0DE9" w:rsidRPr="00FD0A34" w:rsidRDefault="002E0DE9" w:rsidP="00CC71BD">
      <w:pPr>
        <w:spacing w:after="0" w:line="240" w:lineRule="auto"/>
        <w:jc w:val="both"/>
        <w:rPr>
          <w:lang w:val="es-ES"/>
        </w:rPr>
      </w:pPr>
    </w:p>
    <w:p w14:paraId="0E60C238" w14:textId="77777777" w:rsidR="002E0DE9" w:rsidRPr="00FD0A34" w:rsidRDefault="002E0DE9" w:rsidP="00CC71BD">
      <w:pPr>
        <w:spacing w:after="0" w:line="240" w:lineRule="auto"/>
        <w:jc w:val="both"/>
        <w:rPr>
          <w:lang w:val="es-ES"/>
        </w:rPr>
      </w:pPr>
    </w:p>
    <w:p w14:paraId="310799B0" w14:textId="77777777" w:rsidR="002E0DE9" w:rsidRPr="00FD0A34" w:rsidRDefault="002E0DE9" w:rsidP="00CC71BD">
      <w:pPr>
        <w:spacing w:after="0" w:line="240" w:lineRule="auto"/>
        <w:jc w:val="both"/>
        <w:rPr>
          <w:lang w:val="es-ES"/>
        </w:rPr>
      </w:pPr>
    </w:p>
    <w:p w14:paraId="0B9FC963" w14:textId="77777777" w:rsidR="002E0DE9" w:rsidRPr="00FD0A34" w:rsidRDefault="002E0DE9" w:rsidP="00CC71BD">
      <w:pPr>
        <w:spacing w:after="0" w:line="240" w:lineRule="auto"/>
        <w:jc w:val="both"/>
        <w:rPr>
          <w:lang w:val="es-ES"/>
        </w:rPr>
      </w:pPr>
    </w:p>
    <w:p w14:paraId="0BFD8348" w14:textId="77777777" w:rsidR="002E0DE9" w:rsidRPr="00FD0A34" w:rsidRDefault="002E0DE9" w:rsidP="00CC71BD">
      <w:pPr>
        <w:spacing w:after="0" w:line="240" w:lineRule="auto"/>
        <w:jc w:val="both"/>
        <w:rPr>
          <w:lang w:val="es-ES"/>
        </w:rPr>
      </w:pPr>
    </w:p>
    <w:p w14:paraId="17A209FF" w14:textId="77777777" w:rsidR="002E0DE9" w:rsidRPr="00FD0A34" w:rsidRDefault="002E0DE9" w:rsidP="00CC71BD">
      <w:pPr>
        <w:spacing w:after="0" w:line="240" w:lineRule="auto"/>
        <w:jc w:val="both"/>
        <w:rPr>
          <w:lang w:val="es-ES"/>
        </w:rPr>
      </w:pPr>
    </w:p>
    <w:p w14:paraId="3E662EE3" w14:textId="264A523E" w:rsidR="006A7DC4" w:rsidRPr="00FD0A34" w:rsidRDefault="006A7DC4" w:rsidP="00CC71BD">
      <w:pPr>
        <w:jc w:val="both"/>
        <w:rPr>
          <w:lang w:val="es-ES"/>
        </w:rPr>
      </w:pPr>
      <w:r w:rsidRPr="00FD0A34">
        <w:rPr>
          <w:lang w:val="es-ES"/>
        </w:rPr>
        <w:br w:type="page"/>
      </w:r>
    </w:p>
    <w:p w14:paraId="0C41E0E1" w14:textId="7F8A92FE" w:rsidR="002E0DE9" w:rsidRPr="00FD0A34" w:rsidRDefault="002936F5" w:rsidP="002D0003">
      <w:pPr>
        <w:spacing w:after="0" w:line="240" w:lineRule="auto"/>
        <w:jc w:val="center"/>
        <w:rPr>
          <w:lang w:val="es-ES"/>
        </w:rPr>
      </w:pPr>
      <w:r w:rsidRPr="00FD0A34">
        <w:rPr>
          <w:rFonts w:eastAsia="Times New Roman" w:cs="Arial"/>
          <w:b/>
          <w:bCs/>
          <w:lang w:val="es-ES"/>
        </w:rPr>
        <w:lastRenderedPageBreak/>
        <w:t>ÁREAS DE CONSERVACIÓN TRANSFRONTERIZAS PARA LAS ESPECIES MIGRATORIAS</w:t>
      </w:r>
    </w:p>
    <w:p w14:paraId="71219D98" w14:textId="77777777" w:rsidR="002E0DE9" w:rsidRDefault="002E0DE9" w:rsidP="00CC71BD">
      <w:pPr>
        <w:spacing w:after="0" w:line="240" w:lineRule="auto"/>
        <w:jc w:val="both"/>
        <w:rPr>
          <w:lang w:val="es-ES"/>
        </w:rPr>
      </w:pPr>
    </w:p>
    <w:p w14:paraId="36B43A25" w14:textId="77777777" w:rsidR="00C66729" w:rsidRPr="00FD0A34" w:rsidRDefault="00C66729" w:rsidP="00CC71BD">
      <w:pPr>
        <w:spacing w:after="0" w:line="240" w:lineRule="auto"/>
        <w:jc w:val="both"/>
        <w:rPr>
          <w:lang w:val="es-ES"/>
        </w:rPr>
      </w:pPr>
    </w:p>
    <w:p w14:paraId="31A7B5F9" w14:textId="6D9F230E" w:rsidR="002E0DE9" w:rsidRPr="00FD0A34" w:rsidRDefault="006A7DC4" w:rsidP="00CC71BD">
      <w:pPr>
        <w:spacing w:after="0" w:line="240" w:lineRule="auto"/>
        <w:jc w:val="both"/>
        <w:rPr>
          <w:u w:val="single"/>
          <w:lang w:val="es-ES"/>
        </w:rPr>
      </w:pPr>
      <w:r w:rsidRPr="00FD0A34">
        <w:rPr>
          <w:u w:val="single"/>
          <w:lang w:val="es-ES"/>
        </w:rPr>
        <w:t>Antecedentes</w:t>
      </w:r>
    </w:p>
    <w:p w14:paraId="0D10C3B4" w14:textId="57308E5B" w:rsidR="006A7DC4" w:rsidRPr="00FD0A34" w:rsidRDefault="006A7DC4" w:rsidP="00CC71BD">
      <w:pPr>
        <w:spacing w:after="0" w:line="240" w:lineRule="auto"/>
        <w:jc w:val="both"/>
        <w:rPr>
          <w:lang w:val="es-ES"/>
        </w:rPr>
      </w:pPr>
    </w:p>
    <w:p w14:paraId="568781E7" w14:textId="1C694199" w:rsidR="00E456A0" w:rsidRPr="00FD0A34" w:rsidRDefault="001F4332" w:rsidP="004B3794">
      <w:pPr>
        <w:pStyle w:val="ListParagraph"/>
        <w:numPr>
          <w:ilvl w:val="0"/>
          <w:numId w:val="3"/>
        </w:numPr>
        <w:tabs>
          <w:tab w:val="left" w:pos="540"/>
        </w:tabs>
        <w:spacing w:after="0" w:line="240" w:lineRule="auto"/>
        <w:ind w:left="540" w:hanging="540"/>
        <w:jc w:val="both"/>
        <w:rPr>
          <w:lang w:val="es-ES"/>
        </w:rPr>
      </w:pPr>
      <w:r w:rsidRPr="00FD0A34">
        <w:rPr>
          <w:lang w:val="es-ES"/>
        </w:rPr>
        <w:t xml:space="preserve">El concepto de Áreas de Conservación Transfronterizas (TFCA) se incluyó en la Resolución 12.7 (Rev.COP13) </w:t>
      </w:r>
      <w:r w:rsidR="00CE490C" w:rsidRPr="00FD0A34">
        <w:rPr>
          <w:i/>
          <w:iCs/>
          <w:lang w:val="es-ES"/>
        </w:rPr>
        <w:t>El papel de las redes ecológicas en la conservación de las especies migratorias</w:t>
      </w:r>
      <w:r w:rsidRPr="00FD0A34">
        <w:rPr>
          <w:lang w:val="es-ES"/>
        </w:rPr>
        <w:t xml:space="preserve">, y se describió (en el párrafo 11) como «el área o el componente de una amplia región ecológica que rebasa las fronteras de dos o más países, y en el ámbito de sus respectivas jurisdicciones, que puede abarcar una o más áreas protegidas, así como múltiples áreas de utilización de los recursos». El concepto de TFCA se definió inicialmente por los miembros de la Comunidad de África Meridional para el Desarrollo (SADC) en su </w:t>
      </w:r>
      <w:hyperlink r:id="rId14" w:history="1">
        <w:r w:rsidR="002956D2" w:rsidRPr="00024795">
          <w:rPr>
            <w:rStyle w:val="Hyperlink"/>
            <w:color w:val="0070C0"/>
            <w:lang w:val="es-ES"/>
          </w:rPr>
          <w:t>Protocolo sobre la conservación de la fauna silvestre y la aplicación de la Ley</w:t>
        </w:r>
      </w:hyperlink>
      <w:r w:rsidRPr="00FD0A34">
        <w:rPr>
          <w:lang w:val="es-ES"/>
        </w:rPr>
        <w:t xml:space="preserve"> de 1999. El establecimiento de las TFCA se ha convertido, desde entonces, en el objetivo de la conservación en África meridional, y constituye un ejemplo para otras regiones del continente. En su 13.</w:t>
      </w:r>
      <w:r w:rsidR="00FB5A28" w:rsidRPr="00FD0A34">
        <w:rPr>
          <w:vertAlign w:val="superscript"/>
          <w:lang w:val="es-ES"/>
        </w:rPr>
        <w:t>ª</w:t>
      </w:r>
      <w:r w:rsidRPr="00FD0A34">
        <w:rPr>
          <w:lang w:val="es-ES"/>
        </w:rPr>
        <w:t xml:space="preserve"> reunión, la Conferencia de las Partes (COP 13) adoptó las Decisiones 13.116 y 13.117 sobre Áreas de Conservación Transfronterizas para seguir apoyando a las Partes en la aplicación de este enfoque.</w:t>
      </w:r>
    </w:p>
    <w:p w14:paraId="3737108D" w14:textId="32BBB8B0" w:rsidR="00A21B1C" w:rsidRPr="00A21B1C" w:rsidRDefault="00A21B1C" w:rsidP="00A21B1C">
      <w:pPr>
        <w:spacing w:after="0" w:line="240" w:lineRule="auto"/>
        <w:jc w:val="both"/>
        <w:rPr>
          <w:lang w:val="es-ES"/>
        </w:rPr>
      </w:pPr>
    </w:p>
    <w:p w14:paraId="5682CA03" w14:textId="2B0D914F" w:rsidR="00A21B1C" w:rsidRPr="00A21B1C" w:rsidRDefault="00A21B1C" w:rsidP="00A21B1C">
      <w:pPr>
        <w:spacing w:after="0" w:line="240" w:lineRule="auto"/>
        <w:ind w:left="720"/>
        <w:jc w:val="both"/>
        <w:rPr>
          <w:b/>
          <w:bCs/>
          <w:i/>
          <w:iCs/>
          <w:sz w:val="20"/>
          <w:szCs w:val="20"/>
          <w:lang w:val="es-ES"/>
        </w:rPr>
      </w:pPr>
      <w:r w:rsidRPr="00A21B1C">
        <w:rPr>
          <w:b/>
          <w:bCs/>
          <w:i/>
          <w:iCs/>
          <w:sz w:val="20"/>
          <w:szCs w:val="20"/>
          <w:lang w:val="es-ES"/>
        </w:rPr>
        <w:t>Decisión 13.116 dirigido a: Partes</w:t>
      </w:r>
    </w:p>
    <w:p w14:paraId="728CB84B" w14:textId="77777777" w:rsidR="00A21B1C" w:rsidRPr="00A21B1C" w:rsidRDefault="00A21B1C" w:rsidP="00A21B1C">
      <w:pPr>
        <w:spacing w:after="0" w:line="240" w:lineRule="auto"/>
        <w:ind w:left="720"/>
        <w:jc w:val="both"/>
        <w:rPr>
          <w:i/>
          <w:iCs/>
          <w:sz w:val="20"/>
          <w:szCs w:val="20"/>
          <w:lang w:val="es-ES"/>
        </w:rPr>
      </w:pPr>
    </w:p>
    <w:p w14:paraId="1B8701F8" w14:textId="77777777" w:rsidR="00A21B1C" w:rsidRPr="00A21B1C" w:rsidRDefault="00A21B1C" w:rsidP="00A21B1C">
      <w:pPr>
        <w:spacing w:after="0" w:line="240" w:lineRule="auto"/>
        <w:ind w:left="720"/>
        <w:jc w:val="both"/>
        <w:rPr>
          <w:i/>
          <w:iCs/>
          <w:sz w:val="20"/>
          <w:szCs w:val="20"/>
          <w:lang w:val="es-ES"/>
        </w:rPr>
      </w:pPr>
      <w:r w:rsidRPr="00A21B1C">
        <w:rPr>
          <w:i/>
          <w:iCs/>
          <w:sz w:val="20"/>
          <w:szCs w:val="20"/>
          <w:lang w:val="es-ES"/>
        </w:rPr>
        <w:t>Se invita a las Partes a que:</w:t>
      </w:r>
    </w:p>
    <w:p w14:paraId="25635027" w14:textId="77777777" w:rsidR="00A21B1C" w:rsidRPr="00A21B1C" w:rsidRDefault="00A21B1C" w:rsidP="00A21B1C">
      <w:pPr>
        <w:spacing w:after="0" w:line="240" w:lineRule="auto"/>
        <w:ind w:left="720"/>
        <w:jc w:val="both"/>
        <w:rPr>
          <w:i/>
          <w:iCs/>
          <w:sz w:val="20"/>
          <w:szCs w:val="20"/>
          <w:lang w:val="es-ES"/>
        </w:rPr>
      </w:pPr>
    </w:p>
    <w:p w14:paraId="6E069F76" w14:textId="08FB5C5D" w:rsidR="00A21B1C" w:rsidRPr="00035B57" w:rsidRDefault="00A21B1C" w:rsidP="00035B57">
      <w:pPr>
        <w:pStyle w:val="ListParagraph"/>
        <w:numPr>
          <w:ilvl w:val="0"/>
          <w:numId w:val="19"/>
        </w:numPr>
        <w:spacing w:after="0" w:line="240" w:lineRule="auto"/>
        <w:jc w:val="both"/>
        <w:rPr>
          <w:i/>
          <w:iCs/>
          <w:sz w:val="20"/>
          <w:szCs w:val="20"/>
          <w:lang w:val="es-ES"/>
        </w:rPr>
      </w:pPr>
      <w:r w:rsidRPr="00035B57">
        <w:rPr>
          <w:i/>
          <w:iCs/>
          <w:sz w:val="20"/>
          <w:szCs w:val="20"/>
          <w:lang w:val="es-ES"/>
        </w:rPr>
        <w:t>basándose en los mejores datos científicos disponibles, propongan hábitats transfronterizos de las especies incluidas en las listas de la CMS que podrían ser considerados como áreas de conservación transfronterizas (TFCA), es decir, un área o componente de una amplia región ecológica que rebasa las fronteras de dos o más países, y se encuentra dentro de su jurisdicción nacional, la cual puede abarcar una o más áreas protegidas, así como múltiples áreas de utilización de los recursos;</w:t>
      </w:r>
    </w:p>
    <w:p w14:paraId="0F207405" w14:textId="77777777" w:rsidR="00A21B1C" w:rsidRPr="00A21B1C" w:rsidRDefault="00A21B1C" w:rsidP="00A21B1C">
      <w:pPr>
        <w:spacing w:after="0" w:line="240" w:lineRule="auto"/>
        <w:ind w:left="720"/>
        <w:jc w:val="both"/>
        <w:rPr>
          <w:i/>
          <w:iCs/>
          <w:sz w:val="20"/>
          <w:szCs w:val="20"/>
          <w:lang w:val="es-ES"/>
        </w:rPr>
      </w:pPr>
    </w:p>
    <w:p w14:paraId="6B0FAAEC" w14:textId="10FAF490" w:rsidR="00A21B1C" w:rsidRPr="00035B57" w:rsidRDefault="00A21B1C" w:rsidP="00035B57">
      <w:pPr>
        <w:pStyle w:val="ListParagraph"/>
        <w:numPr>
          <w:ilvl w:val="0"/>
          <w:numId w:val="19"/>
        </w:numPr>
        <w:spacing w:after="0" w:line="240" w:lineRule="auto"/>
        <w:jc w:val="both"/>
        <w:rPr>
          <w:i/>
          <w:iCs/>
          <w:sz w:val="20"/>
          <w:szCs w:val="20"/>
          <w:lang w:val="es-ES"/>
        </w:rPr>
      </w:pPr>
      <w:r w:rsidRPr="00035B57">
        <w:rPr>
          <w:i/>
          <w:iCs/>
          <w:sz w:val="20"/>
          <w:szCs w:val="20"/>
          <w:lang w:val="es-ES"/>
        </w:rPr>
        <w:t>tomen las medidas para la elaboración de manera conjunta con los estados del área de distribución limítrofes, acuerdos bilaterales o multilaterales, incluyendo planes de gestión conjuntos, para mejorar la conservación de los hábitats y de las especies afectadas;</w:t>
      </w:r>
    </w:p>
    <w:p w14:paraId="531D0809" w14:textId="77777777" w:rsidR="00A21B1C" w:rsidRPr="00A21B1C" w:rsidRDefault="00A21B1C" w:rsidP="00A21B1C">
      <w:pPr>
        <w:spacing w:after="0" w:line="240" w:lineRule="auto"/>
        <w:ind w:left="720"/>
        <w:jc w:val="both"/>
        <w:rPr>
          <w:i/>
          <w:iCs/>
          <w:sz w:val="20"/>
          <w:szCs w:val="20"/>
          <w:lang w:val="es-ES"/>
        </w:rPr>
      </w:pPr>
    </w:p>
    <w:p w14:paraId="1BCA151E" w14:textId="50CFC4BE" w:rsidR="00A21B1C" w:rsidRPr="00035B57" w:rsidRDefault="00A21B1C" w:rsidP="00035B57">
      <w:pPr>
        <w:pStyle w:val="ListParagraph"/>
        <w:numPr>
          <w:ilvl w:val="0"/>
          <w:numId w:val="19"/>
        </w:numPr>
        <w:spacing w:after="0" w:line="240" w:lineRule="auto"/>
        <w:jc w:val="both"/>
        <w:rPr>
          <w:i/>
          <w:iCs/>
          <w:sz w:val="20"/>
          <w:szCs w:val="20"/>
          <w:lang w:val="es-ES"/>
        </w:rPr>
      </w:pPr>
      <w:r w:rsidRPr="00035B57">
        <w:rPr>
          <w:i/>
          <w:iCs/>
          <w:sz w:val="20"/>
          <w:szCs w:val="20"/>
          <w:lang w:val="es-ES"/>
        </w:rPr>
        <w:t>faciliten, a la hora de elaborar dichos acuerdos, la participación de las comunidades locales y otras partes interesadas con el propósito de aportar beneficios a la fauna silvestre y al desarrollo sostenible de las comunidades que viven en las TFCA; y</w:t>
      </w:r>
    </w:p>
    <w:p w14:paraId="3298DD31" w14:textId="77777777" w:rsidR="00A21B1C" w:rsidRPr="00A21B1C" w:rsidRDefault="00A21B1C" w:rsidP="00A21B1C">
      <w:pPr>
        <w:spacing w:after="0" w:line="240" w:lineRule="auto"/>
        <w:ind w:left="720"/>
        <w:jc w:val="both"/>
        <w:rPr>
          <w:i/>
          <w:iCs/>
          <w:sz w:val="20"/>
          <w:szCs w:val="20"/>
          <w:lang w:val="es-ES"/>
        </w:rPr>
      </w:pPr>
    </w:p>
    <w:p w14:paraId="27763427" w14:textId="2D6A6A9B" w:rsidR="00526671" w:rsidRPr="00A21B1C" w:rsidRDefault="00A21B1C" w:rsidP="00A21B1C">
      <w:pPr>
        <w:spacing w:after="0" w:line="240" w:lineRule="auto"/>
        <w:ind w:left="720"/>
        <w:jc w:val="both"/>
        <w:rPr>
          <w:i/>
          <w:iCs/>
          <w:sz w:val="20"/>
          <w:szCs w:val="20"/>
          <w:highlight w:val="yellow"/>
          <w:lang w:val="es-ES"/>
        </w:rPr>
      </w:pPr>
      <w:r w:rsidRPr="00A21B1C">
        <w:rPr>
          <w:i/>
          <w:iCs/>
          <w:sz w:val="20"/>
          <w:szCs w:val="20"/>
          <w:lang w:val="es-ES"/>
        </w:rPr>
        <w:t>d) informar a la Secretaría de cualquiera de las áreas propuestas bajo el párrafo (a).</w:t>
      </w:r>
    </w:p>
    <w:p w14:paraId="41001DFD" w14:textId="77777777" w:rsidR="00526671" w:rsidRPr="00A21B1C" w:rsidRDefault="00526671" w:rsidP="00CC71BD">
      <w:pPr>
        <w:spacing w:after="0" w:line="240" w:lineRule="auto"/>
        <w:jc w:val="both"/>
        <w:rPr>
          <w:i/>
          <w:iCs/>
          <w:sz w:val="20"/>
          <w:szCs w:val="20"/>
          <w:highlight w:val="yellow"/>
          <w:lang w:val="es-ES"/>
        </w:rPr>
      </w:pPr>
    </w:p>
    <w:p w14:paraId="2B62620E" w14:textId="3339E2F0" w:rsidR="00035B57" w:rsidRPr="00035B57" w:rsidRDefault="00035B57" w:rsidP="00035B57">
      <w:pPr>
        <w:pStyle w:val="ListParagraph"/>
        <w:spacing w:after="0" w:line="240" w:lineRule="auto"/>
        <w:jc w:val="both"/>
        <w:rPr>
          <w:b/>
          <w:bCs/>
          <w:i/>
          <w:iCs/>
          <w:sz w:val="20"/>
          <w:szCs w:val="20"/>
          <w:lang w:val="es-ES"/>
        </w:rPr>
      </w:pPr>
      <w:r w:rsidRPr="00035B57">
        <w:rPr>
          <w:b/>
          <w:bCs/>
          <w:i/>
          <w:iCs/>
          <w:sz w:val="20"/>
          <w:szCs w:val="20"/>
          <w:lang w:val="es-ES"/>
        </w:rPr>
        <w:t>Decisión 13.117 dirigido a: Secretaría</w:t>
      </w:r>
    </w:p>
    <w:p w14:paraId="785872C6" w14:textId="77777777" w:rsidR="00035B57" w:rsidRPr="00035B57" w:rsidRDefault="00035B57" w:rsidP="00035B57">
      <w:pPr>
        <w:pStyle w:val="ListParagraph"/>
        <w:spacing w:after="0" w:line="240" w:lineRule="auto"/>
        <w:jc w:val="both"/>
        <w:rPr>
          <w:i/>
          <w:iCs/>
          <w:sz w:val="20"/>
          <w:szCs w:val="20"/>
          <w:lang w:val="es-ES"/>
        </w:rPr>
      </w:pPr>
    </w:p>
    <w:p w14:paraId="7437FEE7" w14:textId="77777777" w:rsidR="00035B57" w:rsidRPr="00035B57" w:rsidRDefault="00035B57" w:rsidP="00035B57">
      <w:pPr>
        <w:pStyle w:val="ListParagraph"/>
        <w:spacing w:after="0" w:line="240" w:lineRule="auto"/>
        <w:jc w:val="both"/>
        <w:rPr>
          <w:i/>
          <w:iCs/>
          <w:sz w:val="20"/>
          <w:szCs w:val="20"/>
          <w:lang w:val="es-ES"/>
        </w:rPr>
      </w:pPr>
      <w:r w:rsidRPr="00035B57">
        <w:rPr>
          <w:i/>
          <w:iCs/>
          <w:sz w:val="20"/>
          <w:szCs w:val="20"/>
          <w:lang w:val="es-ES"/>
        </w:rPr>
        <w:t>La Secretaría, a reserva de la disponibilidad de recursos externos, deberá:</w:t>
      </w:r>
    </w:p>
    <w:p w14:paraId="233AD031" w14:textId="77777777" w:rsidR="00035B57" w:rsidRPr="00035B57" w:rsidRDefault="00035B57" w:rsidP="00035B57">
      <w:pPr>
        <w:pStyle w:val="ListParagraph"/>
        <w:spacing w:after="0" w:line="240" w:lineRule="auto"/>
        <w:jc w:val="both"/>
        <w:rPr>
          <w:i/>
          <w:iCs/>
          <w:sz w:val="20"/>
          <w:szCs w:val="20"/>
          <w:lang w:val="es-ES"/>
        </w:rPr>
      </w:pPr>
    </w:p>
    <w:p w14:paraId="2251AD69" w14:textId="1F276526" w:rsidR="00035B57" w:rsidRPr="00035B57" w:rsidRDefault="00035B57" w:rsidP="00035B57">
      <w:pPr>
        <w:pStyle w:val="ListParagraph"/>
        <w:numPr>
          <w:ilvl w:val="0"/>
          <w:numId w:val="20"/>
        </w:numPr>
        <w:spacing w:after="0" w:line="240" w:lineRule="auto"/>
        <w:jc w:val="both"/>
        <w:rPr>
          <w:i/>
          <w:iCs/>
          <w:sz w:val="20"/>
          <w:szCs w:val="20"/>
          <w:lang w:val="es-ES"/>
        </w:rPr>
      </w:pPr>
      <w:r w:rsidRPr="00035B57">
        <w:rPr>
          <w:i/>
          <w:iCs/>
          <w:sz w:val="20"/>
          <w:szCs w:val="20"/>
          <w:lang w:val="es-ES"/>
        </w:rPr>
        <w:t>proporcionar apoyo a las Partes en la aplicación de la Decisión 13.116;</w:t>
      </w:r>
    </w:p>
    <w:p w14:paraId="3276652B" w14:textId="77777777" w:rsidR="00035B57" w:rsidRPr="00035B57" w:rsidRDefault="00035B57" w:rsidP="00035B57">
      <w:pPr>
        <w:pStyle w:val="ListParagraph"/>
        <w:spacing w:after="0" w:line="240" w:lineRule="auto"/>
        <w:jc w:val="both"/>
        <w:rPr>
          <w:i/>
          <w:iCs/>
          <w:sz w:val="20"/>
          <w:szCs w:val="20"/>
          <w:lang w:val="es-ES"/>
        </w:rPr>
      </w:pPr>
    </w:p>
    <w:p w14:paraId="5B203448" w14:textId="24DBBC8A" w:rsidR="00526671" w:rsidRPr="00035B57" w:rsidRDefault="00035B57" w:rsidP="00035B57">
      <w:pPr>
        <w:pStyle w:val="ListParagraph"/>
        <w:numPr>
          <w:ilvl w:val="0"/>
          <w:numId w:val="20"/>
        </w:numPr>
        <w:spacing w:after="0" w:line="240" w:lineRule="auto"/>
        <w:jc w:val="both"/>
        <w:rPr>
          <w:i/>
          <w:iCs/>
          <w:sz w:val="20"/>
          <w:szCs w:val="20"/>
          <w:lang w:val="es-ES"/>
        </w:rPr>
      </w:pPr>
      <w:r w:rsidRPr="00035B57">
        <w:rPr>
          <w:i/>
          <w:iCs/>
          <w:sz w:val="20"/>
          <w:szCs w:val="20"/>
          <w:lang w:val="es-ES"/>
        </w:rPr>
        <w:t>presentar informe a la Conferencia de las Partes en su 14ª reunión sobre los progresos realizados en la aplicación de esta Decisión.</w:t>
      </w:r>
    </w:p>
    <w:p w14:paraId="74FF3108" w14:textId="77777777" w:rsidR="00035B57" w:rsidRDefault="00035B57" w:rsidP="00CC71BD">
      <w:pPr>
        <w:spacing w:after="0" w:line="240" w:lineRule="auto"/>
        <w:jc w:val="both"/>
        <w:rPr>
          <w:u w:val="single"/>
          <w:lang w:val="es-ES"/>
        </w:rPr>
      </w:pPr>
    </w:p>
    <w:p w14:paraId="183DF7F7" w14:textId="78EE9CB8" w:rsidR="00E456A0" w:rsidRPr="00FD0A34" w:rsidRDefault="00E456A0" w:rsidP="00CC71BD">
      <w:pPr>
        <w:spacing w:after="0" w:line="240" w:lineRule="auto"/>
        <w:jc w:val="both"/>
        <w:rPr>
          <w:u w:val="single"/>
          <w:lang w:val="es-ES"/>
        </w:rPr>
      </w:pPr>
      <w:r w:rsidRPr="00FD0A34">
        <w:rPr>
          <w:u w:val="single"/>
          <w:lang w:val="es-ES"/>
        </w:rPr>
        <w:t xml:space="preserve">Aplicación de las Decisiones 13.116 y 13.117 </w:t>
      </w:r>
    </w:p>
    <w:p w14:paraId="1C5E8551" w14:textId="77777777" w:rsidR="00E456A0" w:rsidRPr="00FD0A34" w:rsidRDefault="00E456A0" w:rsidP="00CC71BD">
      <w:pPr>
        <w:spacing w:after="0" w:line="240" w:lineRule="auto"/>
        <w:jc w:val="both"/>
        <w:rPr>
          <w:lang w:val="es-ES"/>
        </w:rPr>
      </w:pPr>
    </w:p>
    <w:p w14:paraId="3A6A5FF1" w14:textId="7581938D" w:rsidR="00E456A0" w:rsidRPr="00FD0A34" w:rsidRDefault="00381BA5" w:rsidP="00CC71BD">
      <w:pPr>
        <w:pStyle w:val="ListParagraph"/>
        <w:numPr>
          <w:ilvl w:val="0"/>
          <w:numId w:val="3"/>
        </w:numPr>
        <w:spacing w:after="0" w:line="240" w:lineRule="auto"/>
        <w:ind w:left="540" w:hanging="540"/>
        <w:jc w:val="both"/>
        <w:rPr>
          <w:lang w:val="es-ES"/>
        </w:rPr>
      </w:pPr>
      <w:r w:rsidRPr="00FD0A34">
        <w:rPr>
          <w:lang w:val="es-ES"/>
        </w:rPr>
        <w:t xml:space="preserve">De conformidad con la Decisión 13.117, </w:t>
      </w:r>
      <w:bookmarkStart w:id="1" w:name="_Hlk130988020"/>
      <w:r w:rsidRPr="00FD0A34">
        <w:rPr>
          <w:lang w:val="es-ES"/>
        </w:rPr>
        <w:t xml:space="preserve">la Secretaría </w:t>
      </w:r>
      <w:bookmarkEnd w:id="1"/>
      <w:r w:rsidRPr="00FD0A34">
        <w:rPr>
          <w:lang w:val="es-ES"/>
        </w:rPr>
        <w:t>se ha esforzado por apoyar a las Partes en la aplicación de la Decisión 13.116, mediante la obtención de fondos para la realización de proyectos y programas específicos sobre TFCA.</w:t>
      </w:r>
    </w:p>
    <w:p w14:paraId="25BBA2A9" w14:textId="77777777" w:rsidR="00B41F6F" w:rsidRPr="00FD0A34" w:rsidRDefault="00B41F6F" w:rsidP="00CC71BD">
      <w:pPr>
        <w:pStyle w:val="ListParagraph"/>
        <w:spacing w:after="0" w:line="240" w:lineRule="auto"/>
        <w:ind w:left="540"/>
        <w:jc w:val="both"/>
        <w:rPr>
          <w:lang w:val="es-ES"/>
        </w:rPr>
      </w:pPr>
    </w:p>
    <w:p w14:paraId="54C792DC" w14:textId="77777777" w:rsidR="008E314E" w:rsidRDefault="008E314E">
      <w:pPr>
        <w:rPr>
          <w:b/>
          <w:lang w:val="es-ES"/>
        </w:rPr>
      </w:pPr>
      <w:r>
        <w:rPr>
          <w:b/>
          <w:lang w:val="es-ES"/>
        </w:rPr>
        <w:br w:type="page"/>
      </w:r>
    </w:p>
    <w:p w14:paraId="358CDB34" w14:textId="294B9CB5" w:rsidR="00F158F2" w:rsidRPr="00FD0A34" w:rsidRDefault="00B41F6F" w:rsidP="00CC71BD">
      <w:pPr>
        <w:pStyle w:val="ListParagraph"/>
        <w:spacing w:after="0" w:line="240" w:lineRule="auto"/>
        <w:ind w:left="540" w:hanging="540"/>
        <w:jc w:val="both"/>
        <w:rPr>
          <w:b/>
          <w:lang w:val="es-ES"/>
        </w:rPr>
      </w:pPr>
      <w:r w:rsidRPr="00FD0A34">
        <w:rPr>
          <w:b/>
          <w:lang w:val="es-ES"/>
        </w:rPr>
        <w:lastRenderedPageBreak/>
        <w:t xml:space="preserve">Conservación </w:t>
      </w:r>
      <w:proofErr w:type="spellStart"/>
      <w:r w:rsidRPr="00FD0A34">
        <w:rPr>
          <w:b/>
          <w:lang w:val="es-ES"/>
        </w:rPr>
        <w:t>transregional</w:t>
      </w:r>
      <w:proofErr w:type="spellEnd"/>
      <w:r w:rsidRPr="00FD0A34">
        <w:rPr>
          <w:b/>
          <w:lang w:val="es-ES"/>
        </w:rPr>
        <w:t xml:space="preserve"> de la fauna en África oriental y meridional y el</w:t>
      </w:r>
    </w:p>
    <w:p w14:paraId="0DC91827" w14:textId="50152F83" w:rsidR="00FD7A4A" w:rsidRPr="00FD0A34" w:rsidRDefault="00B41F6F" w:rsidP="00CC71BD">
      <w:pPr>
        <w:pStyle w:val="ListParagraph"/>
        <w:spacing w:after="0" w:line="240" w:lineRule="auto"/>
        <w:ind w:left="540" w:hanging="540"/>
        <w:jc w:val="both"/>
        <w:rPr>
          <w:b/>
          <w:bCs/>
          <w:lang w:val="es-ES"/>
        </w:rPr>
      </w:pPr>
      <w:r w:rsidRPr="00FD0A34">
        <w:rPr>
          <w:b/>
          <w:lang w:val="es-ES"/>
        </w:rPr>
        <w:t>océano Índico</w:t>
      </w:r>
    </w:p>
    <w:p w14:paraId="5583EA9A" w14:textId="77777777" w:rsidR="00B41F6F" w:rsidRPr="00FD0A34" w:rsidRDefault="00B41F6F" w:rsidP="00CC71BD">
      <w:pPr>
        <w:spacing w:after="0" w:line="240" w:lineRule="auto"/>
        <w:jc w:val="both"/>
        <w:rPr>
          <w:lang w:val="es-ES"/>
        </w:rPr>
      </w:pPr>
    </w:p>
    <w:p w14:paraId="52993AAC" w14:textId="789EDD9C" w:rsidR="002936F5" w:rsidRPr="00FD0A34" w:rsidRDefault="002936F5" w:rsidP="00CC71BD">
      <w:pPr>
        <w:pStyle w:val="ListParagraph"/>
        <w:numPr>
          <w:ilvl w:val="0"/>
          <w:numId w:val="3"/>
        </w:numPr>
        <w:spacing w:after="0" w:line="240" w:lineRule="auto"/>
        <w:ind w:left="540" w:hanging="540"/>
        <w:jc w:val="both"/>
        <w:rPr>
          <w:lang w:val="es-ES"/>
        </w:rPr>
      </w:pPr>
      <w:r w:rsidRPr="00FD0A34">
        <w:rPr>
          <w:lang w:val="es-ES"/>
        </w:rPr>
        <w:t xml:space="preserve">El principal programa en materia de TFCA de </w:t>
      </w:r>
      <w:bookmarkStart w:id="2" w:name="_Hlk130987687"/>
      <w:r w:rsidRPr="00FD0A34">
        <w:rPr>
          <w:lang w:val="es-ES"/>
        </w:rPr>
        <w:t>la Secretaría de la CMS</w:t>
      </w:r>
      <w:bookmarkEnd w:id="2"/>
      <w:r w:rsidRPr="00FD0A34">
        <w:rPr>
          <w:lang w:val="es-ES"/>
        </w:rPr>
        <w:t xml:space="preserve"> es el realizado en el marco del proyecto financiado por la Unión Europea, «Conservación </w:t>
      </w:r>
      <w:proofErr w:type="spellStart"/>
      <w:r w:rsidRPr="00FD0A34">
        <w:rPr>
          <w:lang w:val="es-ES"/>
        </w:rPr>
        <w:t>transregional</w:t>
      </w:r>
      <w:proofErr w:type="spellEnd"/>
      <w:r w:rsidRPr="00FD0A34">
        <w:rPr>
          <w:lang w:val="es-ES"/>
        </w:rPr>
        <w:t xml:space="preserve"> de la fauna en África oriental y meridional y el océano Índico», que se aplica en colaboración con la Secretaría de la Convención sobre el Comercio Internacional de Especies Amenazadas de Fauna y Flora Silvestres (CITES) y con la Oficina de las Naciones Unidas contra la Droga y el Delito (UNODC). La aplicación de este proyecto se inició en 2020, y está previsto que continúe hasta agosto de 2024.</w:t>
      </w:r>
    </w:p>
    <w:p w14:paraId="26767AF0" w14:textId="77777777" w:rsidR="002936F5" w:rsidRPr="00FD0A34" w:rsidRDefault="002936F5" w:rsidP="00CC71BD">
      <w:pPr>
        <w:pStyle w:val="ListParagraph"/>
        <w:spacing w:after="0" w:line="240" w:lineRule="auto"/>
        <w:jc w:val="both"/>
        <w:rPr>
          <w:lang w:val="es-ES"/>
        </w:rPr>
      </w:pPr>
    </w:p>
    <w:p w14:paraId="27DF5831" w14:textId="3081D4D9" w:rsidR="00FD7A4A" w:rsidRPr="00FD0A34" w:rsidRDefault="002936F5" w:rsidP="00CC71BD">
      <w:pPr>
        <w:pStyle w:val="ListParagraph"/>
        <w:numPr>
          <w:ilvl w:val="0"/>
          <w:numId w:val="3"/>
        </w:numPr>
        <w:spacing w:after="0" w:line="240" w:lineRule="auto"/>
        <w:ind w:left="540" w:hanging="540"/>
        <w:jc w:val="both"/>
        <w:rPr>
          <w:lang w:val="es-ES"/>
        </w:rPr>
      </w:pPr>
      <w:r w:rsidRPr="00FD0A34">
        <w:rPr>
          <w:lang w:val="es-ES"/>
        </w:rPr>
        <w:t>El proyecto de la Secretaría de la CMS se centra en el «</w:t>
      </w:r>
      <w:r w:rsidRPr="00FD0A34">
        <w:rPr>
          <w:i/>
          <w:lang w:val="es-ES"/>
        </w:rPr>
        <w:t>Objetivo Específico 3: Fomento y refuerzo en el establecimiento y gestión sostenible de Áreas de Conservación Transfronterizas (TFCA)</w:t>
      </w:r>
      <w:r w:rsidRPr="00FD0A34">
        <w:rPr>
          <w:lang w:val="es-ES"/>
        </w:rPr>
        <w:t>». A continuación, se describen los cinco ámbitos de resultados para este objetivo, junto con las actividades y resultados obtenidos hasta la fecha:</w:t>
      </w:r>
    </w:p>
    <w:p w14:paraId="3406F351" w14:textId="24963F3B" w:rsidR="0EA2C357" w:rsidRPr="00FD0A34" w:rsidRDefault="0EA2C357" w:rsidP="00CC71BD">
      <w:pPr>
        <w:spacing w:after="0" w:line="240" w:lineRule="auto"/>
        <w:jc w:val="both"/>
        <w:rPr>
          <w:lang w:val="es-ES"/>
        </w:rPr>
      </w:pPr>
    </w:p>
    <w:p w14:paraId="5FC84B71" w14:textId="621B2F79" w:rsidR="0017722A" w:rsidRPr="00FD0A34" w:rsidRDefault="00E62E9B" w:rsidP="00031E17">
      <w:pPr>
        <w:pStyle w:val="ListParagraph"/>
        <w:numPr>
          <w:ilvl w:val="0"/>
          <w:numId w:val="3"/>
        </w:numPr>
        <w:spacing w:after="0" w:line="240" w:lineRule="auto"/>
        <w:ind w:left="540" w:hanging="540"/>
        <w:jc w:val="both"/>
        <w:rPr>
          <w:i/>
          <w:lang w:val="es-ES"/>
        </w:rPr>
      </w:pPr>
      <w:r w:rsidRPr="00FD0A34">
        <w:rPr>
          <w:i/>
          <w:lang w:val="es-ES"/>
        </w:rPr>
        <w:t xml:space="preserve">Resultado 3.1: Formulación o actualización de los instrumentos políticos de alto nivel (protocolos) que ordenan la formación de TFCA: </w:t>
      </w:r>
    </w:p>
    <w:p w14:paraId="220324F7" w14:textId="77777777" w:rsidR="0017722A" w:rsidRPr="00FD0A34" w:rsidRDefault="0017722A" w:rsidP="00CC71BD">
      <w:pPr>
        <w:pStyle w:val="ListParagraph"/>
        <w:jc w:val="both"/>
        <w:rPr>
          <w:lang w:val="es-ES"/>
        </w:rPr>
      </w:pPr>
    </w:p>
    <w:p w14:paraId="58CA879A" w14:textId="0E0D4888" w:rsidR="0051389E" w:rsidRPr="00FD0A34" w:rsidRDefault="0017722A" w:rsidP="008E314E">
      <w:pPr>
        <w:pStyle w:val="ListParagraph"/>
        <w:numPr>
          <w:ilvl w:val="1"/>
          <w:numId w:val="3"/>
        </w:numPr>
        <w:spacing w:after="0" w:line="240" w:lineRule="auto"/>
        <w:ind w:left="900"/>
        <w:jc w:val="both"/>
        <w:rPr>
          <w:lang w:val="es-ES"/>
        </w:rPr>
      </w:pPr>
      <w:r w:rsidRPr="00FD0A34">
        <w:rPr>
          <w:lang w:val="es-ES"/>
        </w:rPr>
        <w:t>El establecimiento en 2020 de un apoyo a la formación y al desarrollo de las capacidades del Grupo de Trabajo Técnico del Área de Conservación Transfronteriza (GTT del TBCA) de la Comunidad Africana Oriental (CAO). El GTT del TBCA se estableció con la aprobación del</w:t>
      </w:r>
      <w:bookmarkStart w:id="3" w:name="_Hlk130990007"/>
      <w:bookmarkStart w:id="4" w:name="_Hlk130990554"/>
      <w:r w:rsidRPr="00FD0A34">
        <w:rPr>
          <w:lang w:val="es-ES"/>
        </w:rPr>
        <w:t xml:space="preserve"> </w:t>
      </w:r>
      <w:bookmarkEnd w:id="3"/>
      <w:r w:rsidRPr="00FD0A34">
        <w:rPr>
          <w:lang w:val="es-ES"/>
        </w:rPr>
        <w:t>Consejo Sectorial de Turismo y Gestión de la Fauna y Flora Silvestres de la Secretaría de la CAO</w:t>
      </w:r>
      <w:bookmarkEnd w:id="4"/>
      <w:r w:rsidRPr="00FD0A34">
        <w:rPr>
          <w:lang w:val="es-ES"/>
        </w:rPr>
        <w:t xml:space="preserve">. El Grupo de Trabajo, que agrupa los puntos focales que representan a cada uno de los Estados miembros de la CAO, se centra en las cuestiones de priorización de las TFCA, en la coordinación y en los debates sobre los instrumentos políticos de alto nivel. Las reuniones formales, segunda y tercera, del Grupo de Trabajo se celebraron en línea en 2021. Además, la Secretaría de la CMS organizó una serie de seminarios en línea sobre los acuerdos y la gestión de TFCA. </w:t>
      </w:r>
    </w:p>
    <w:p w14:paraId="4C9A72D0" w14:textId="578D0A21" w:rsidR="0017722A" w:rsidRPr="00FD0A34" w:rsidRDefault="0017722A" w:rsidP="008E314E">
      <w:pPr>
        <w:pStyle w:val="ListParagraph"/>
        <w:spacing w:after="0" w:line="240" w:lineRule="auto"/>
        <w:ind w:left="900" w:hanging="360"/>
        <w:jc w:val="both"/>
        <w:rPr>
          <w:lang w:val="es-ES"/>
        </w:rPr>
      </w:pPr>
      <w:r w:rsidRPr="00FD0A34">
        <w:rPr>
          <w:lang w:val="es-ES"/>
        </w:rPr>
        <w:t xml:space="preserve"> </w:t>
      </w:r>
    </w:p>
    <w:p w14:paraId="1465D296" w14:textId="645C2B3F" w:rsidR="00762860" w:rsidRPr="00FD0A34" w:rsidRDefault="008755C5" w:rsidP="008E314E">
      <w:pPr>
        <w:pStyle w:val="ListParagraph"/>
        <w:numPr>
          <w:ilvl w:val="1"/>
          <w:numId w:val="3"/>
        </w:numPr>
        <w:spacing w:after="0" w:line="240" w:lineRule="auto"/>
        <w:ind w:left="900"/>
        <w:jc w:val="both"/>
        <w:rPr>
          <w:lang w:val="es-ES"/>
        </w:rPr>
      </w:pPr>
      <w:r w:rsidRPr="00FD0A34">
        <w:rPr>
          <w:lang w:val="es-ES"/>
        </w:rPr>
        <w:t xml:space="preserve">En julio de 2022, la Secretaría de la CAO, con el apoyo de la </w:t>
      </w:r>
      <w:bookmarkStart w:id="5" w:name="_Hlk130990968"/>
      <w:r w:rsidRPr="00FD0A34">
        <w:rPr>
          <w:lang w:val="es-ES"/>
        </w:rPr>
        <w:t xml:space="preserve">Secretaría de la CMS </w:t>
      </w:r>
      <w:bookmarkEnd w:id="5"/>
      <w:r w:rsidRPr="00FD0A34">
        <w:rPr>
          <w:lang w:val="es-ES"/>
        </w:rPr>
        <w:t xml:space="preserve">y de la UICN, acogió un pabellón al margen del Congreso de Áreas Protegidas de África, de Ruanda. Las actividades del pabellón incluyeron 23 actos diferentes a lo largo de la semana para promover las TFCA y otras áreas protegidas, y exponer los logros en la gestión y coordinación de TFCA. El GTT de la TBCA celebró de manera informal sus primeras reuniones en este pabellón. </w:t>
      </w:r>
    </w:p>
    <w:p w14:paraId="1ABA7274" w14:textId="77777777" w:rsidR="0051389E" w:rsidRPr="00FD0A34" w:rsidRDefault="0051389E" w:rsidP="008E314E">
      <w:pPr>
        <w:pStyle w:val="ListParagraph"/>
        <w:spacing w:after="0" w:line="240" w:lineRule="auto"/>
        <w:ind w:left="900" w:hanging="360"/>
        <w:jc w:val="both"/>
        <w:rPr>
          <w:lang w:val="es-ES"/>
        </w:rPr>
      </w:pPr>
    </w:p>
    <w:p w14:paraId="3EBF8DF9" w14:textId="7EA852A5" w:rsidR="006B1B6E" w:rsidRPr="00FD0A34" w:rsidRDefault="006B1B6E" w:rsidP="008E314E">
      <w:pPr>
        <w:pStyle w:val="ListParagraph"/>
        <w:numPr>
          <w:ilvl w:val="1"/>
          <w:numId w:val="3"/>
        </w:numPr>
        <w:spacing w:after="0" w:line="240" w:lineRule="auto"/>
        <w:ind w:left="900"/>
        <w:jc w:val="both"/>
        <w:rPr>
          <w:lang w:val="es-ES"/>
        </w:rPr>
      </w:pPr>
      <w:r w:rsidRPr="00FD0A34">
        <w:rPr>
          <w:lang w:val="es-ES"/>
        </w:rPr>
        <w:t>En 2021, la Secretaría de la CMS encargó a la Fundación para la Conservación del Guepardo y el Atlas Jurídico la revisión de la legislación relativa a las TFCA y a las áreas protegidas de los Estados miembros de la Autoridad Intergubernamental para el Desarrollo (IGAD)</w:t>
      </w:r>
      <w:r w:rsidR="00D469DF" w:rsidRPr="00FD0A34">
        <w:rPr>
          <w:rStyle w:val="FootnoteReference"/>
          <w:lang w:val="es-ES"/>
        </w:rPr>
        <w:footnoteReference w:id="2"/>
      </w:r>
      <w:r w:rsidRPr="00FD0A34">
        <w:rPr>
          <w:lang w:val="es-ES"/>
        </w:rPr>
        <w:t>. Entre los resultados de la revisión se incluyó la propuesta de elaboración de un Protocolo TFCA de la IGAD. Estos resultados se presentaron al Comité Ejecutivo de la Red para la Aplicación de la Legislación sobre la Vida Silvestre en el Cuerno de África (HAWEN) de la IGAD, que aprobó la propuesta y pidió a la CMS que colaborara en la elaboración de un Protocolo TFCA. Los trabajos de elaboración del Protocolo, en colaboración con CCF, LA y HAWEN, comenzaron en 2023.</w:t>
      </w:r>
    </w:p>
    <w:p w14:paraId="316A6213" w14:textId="56B45DCD" w:rsidR="008E314E" w:rsidRDefault="008E314E">
      <w:pPr>
        <w:rPr>
          <w:lang w:val="es-ES"/>
        </w:rPr>
      </w:pPr>
      <w:r>
        <w:rPr>
          <w:lang w:val="es-ES"/>
        </w:rPr>
        <w:br w:type="page"/>
      </w:r>
    </w:p>
    <w:p w14:paraId="36A72A90" w14:textId="6DEFD4DB" w:rsidR="00D62684" w:rsidRPr="00FD0A34" w:rsidRDefault="00307B65" w:rsidP="00237690">
      <w:pPr>
        <w:pStyle w:val="ListParagraph"/>
        <w:numPr>
          <w:ilvl w:val="0"/>
          <w:numId w:val="3"/>
        </w:numPr>
        <w:spacing w:after="0" w:line="240" w:lineRule="auto"/>
        <w:ind w:left="540" w:hanging="540"/>
        <w:jc w:val="both"/>
        <w:rPr>
          <w:i/>
          <w:lang w:val="es-ES"/>
        </w:rPr>
      </w:pPr>
      <w:r w:rsidRPr="00FD0A34">
        <w:rPr>
          <w:i/>
          <w:lang w:val="es-ES"/>
        </w:rPr>
        <w:lastRenderedPageBreak/>
        <w:t xml:space="preserve">Resultado 3.2: </w:t>
      </w:r>
      <w:bookmarkStart w:id="6" w:name="_Hlk131070135"/>
      <w:r w:rsidRPr="00FD0A34">
        <w:rPr>
          <w:i/>
          <w:lang w:val="es-ES"/>
        </w:rPr>
        <w:t>Formulación y firma de tratados</w:t>
      </w:r>
      <w:bookmarkEnd w:id="6"/>
      <w:r w:rsidRPr="00FD0A34">
        <w:rPr>
          <w:i/>
          <w:lang w:val="es-ES"/>
        </w:rPr>
        <w:t>/acuerdos/</w:t>
      </w:r>
      <w:proofErr w:type="spellStart"/>
      <w:r w:rsidRPr="00FD0A34">
        <w:rPr>
          <w:i/>
          <w:lang w:val="es-ES"/>
        </w:rPr>
        <w:t>MdE</w:t>
      </w:r>
      <w:proofErr w:type="spellEnd"/>
      <w:r w:rsidRPr="00FD0A34">
        <w:rPr>
          <w:i/>
          <w:lang w:val="es-ES"/>
        </w:rPr>
        <w:t xml:space="preserve"> bilaterales y multilaterales para la cogestión de TFCA específicas: </w:t>
      </w:r>
    </w:p>
    <w:p w14:paraId="4618AAFB" w14:textId="77777777" w:rsidR="00D62684" w:rsidRPr="00FD0A34" w:rsidRDefault="00D62684" w:rsidP="00CC71BD">
      <w:pPr>
        <w:pStyle w:val="ListParagraph"/>
        <w:jc w:val="both"/>
        <w:rPr>
          <w:lang w:val="es-ES"/>
        </w:rPr>
      </w:pPr>
    </w:p>
    <w:p w14:paraId="02ADEFDF" w14:textId="0037DB2C" w:rsidR="00B779CF" w:rsidRPr="00FD0A34" w:rsidRDefault="00B779CF" w:rsidP="008E314E">
      <w:pPr>
        <w:pStyle w:val="ListParagraph"/>
        <w:numPr>
          <w:ilvl w:val="1"/>
          <w:numId w:val="3"/>
        </w:numPr>
        <w:spacing w:after="0" w:line="240" w:lineRule="auto"/>
        <w:ind w:left="900"/>
        <w:jc w:val="both"/>
        <w:rPr>
          <w:lang w:val="es-ES"/>
        </w:rPr>
      </w:pPr>
      <w:r w:rsidRPr="00FD0A34">
        <w:rPr>
          <w:lang w:val="es-ES"/>
        </w:rPr>
        <w:t xml:space="preserve">La Secretaría de la CMS llevó a cabo consultas con los países de las regiones objetivo en 2020. Las consultas determinaron que, en todas las regiones, la barrera principal para establecer o fortalecer los tratados </w:t>
      </w:r>
      <w:bookmarkStart w:id="7" w:name="_Hlk131073606"/>
      <w:r w:rsidRPr="00FD0A34">
        <w:rPr>
          <w:lang w:val="es-ES"/>
        </w:rPr>
        <w:t xml:space="preserve">bilaterales </w:t>
      </w:r>
      <w:bookmarkEnd w:id="7"/>
      <w:r w:rsidRPr="00FD0A34">
        <w:rPr>
          <w:lang w:val="es-ES"/>
        </w:rPr>
        <w:t>y multilaterales relativos a las TFCA, la constituía</w:t>
      </w:r>
      <w:r w:rsidR="00E81CD7" w:rsidRPr="00FD0A34" w:rsidDel="005100D6">
        <w:rPr>
          <w:color w:val="FF0000"/>
          <w:lang w:val="es-ES"/>
        </w:rPr>
        <w:t xml:space="preserve"> </w:t>
      </w:r>
      <w:r w:rsidRPr="00FD0A34">
        <w:rPr>
          <w:lang w:val="es-ES"/>
        </w:rPr>
        <w:t>la falta de una información fiable y de unos criterios objetivos para identificar las áreas potenciales adecuadas para el establecimiento y gestión satisfactoria de TFCA.</w:t>
      </w:r>
    </w:p>
    <w:p w14:paraId="12B1F9FE" w14:textId="77777777" w:rsidR="00237690" w:rsidRPr="00FD0A34" w:rsidRDefault="00237690" w:rsidP="008E314E">
      <w:pPr>
        <w:pStyle w:val="ListParagraph"/>
        <w:spacing w:after="0" w:line="240" w:lineRule="auto"/>
        <w:ind w:left="900" w:hanging="360"/>
        <w:jc w:val="both"/>
        <w:rPr>
          <w:lang w:val="es-ES"/>
        </w:rPr>
      </w:pPr>
    </w:p>
    <w:p w14:paraId="32B14C75" w14:textId="470A4FC3" w:rsidR="00CC71BD" w:rsidRPr="00FD0A34" w:rsidRDefault="00B779CF" w:rsidP="008E314E">
      <w:pPr>
        <w:pStyle w:val="ListParagraph"/>
        <w:numPr>
          <w:ilvl w:val="1"/>
          <w:numId w:val="3"/>
        </w:numPr>
        <w:spacing w:after="0" w:line="240" w:lineRule="auto"/>
        <w:ind w:left="900"/>
        <w:jc w:val="both"/>
        <w:rPr>
          <w:lang w:val="es-ES"/>
        </w:rPr>
      </w:pPr>
      <w:r w:rsidRPr="00FD0A34">
        <w:rPr>
          <w:lang w:val="es-ES"/>
        </w:rPr>
        <w:t xml:space="preserve">En 2021, la Secretaría de la CMS encargó al Centro Mundial de Vigilancia de la Conservación de las Naciones Unidas para el Medio Ambiente (PNUMA-WCMC) que desarrollara una metodología y una nueva herramienta web de acceso al público para que se identificaran las áreas protegidas existentes en </w:t>
      </w:r>
      <w:r w:rsidR="005E7A4A" w:rsidRPr="00FD0A34">
        <w:rPr>
          <w:color w:val="000000" w:themeColor="text1"/>
          <w:lang w:val="es-ES"/>
        </w:rPr>
        <w:t xml:space="preserve">África, que sean espacialmente adyacentes, estén conectadas ecológicamente a través de las fronteras de los países, y que tienen el potencial para una gestión armonizada. </w:t>
      </w:r>
    </w:p>
    <w:p w14:paraId="04B1432D" w14:textId="77777777" w:rsidR="00237690" w:rsidRPr="00FD0A34" w:rsidRDefault="00237690" w:rsidP="008E314E">
      <w:pPr>
        <w:pStyle w:val="ListParagraph"/>
        <w:ind w:left="900" w:hanging="360"/>
        <w:jc w:val="both"/>
        <w:rPr>
          <w:lang w:val="es-ES"/>
        </w:rPr>
      </w:pPr>
    </w:p>
    <w:p w14:paraId="2F82AD46" w14:textId="0D6E3CDB" w:rsidR="00E16A90" w:rsidRPr="00FD0A34" w:rsidRDefault="00B779CF" w:rsidP="008E314E">
      <w:pPr>
        <w:pStyle w:val="ListParagraph"/>
        <w:numPr>
          <w:ilvl w:val="1"/>
          <w:numId w:val="3"/>
        </w:numPr>
        <w:spacing w:after="0" w:line="240" w:lineRule="auto"/>
        <w:ind w:left="900"/>
        <w:jc w:val="both"/>
        <w:rPr>
          <w:lang w:val="es-ES"/>
        </w:rPr>
      </w:pPr>
      <w:r w:rsidRPr="00FD0A34">
        <w:rPr>
          <w:lang w:val="es-ES"/>
        </w:rPr>
        <w:t>La herramienta (</w:t>
      </w:r>
      <w:hyperlink r:id="rId15" w:history="1">
        <w:r w:rsidR="0084470C" w:rsidRPr="00FD0A34">
          <w:rPr>
            <w:rStyle w:val="Hyperlink"/>
            <w:i/>
            <w:iCs/>
            <w:lang w:val="es-ES"/>
          </w:rPr>
          <w:t>Identificación de oportunidades para la conservación transfronteriza</w:t>
        </w:r>
      </w:hyperlink>
      <w:r w:rsidR="00672E7A" w:rsidRPr="00FD0A34">
        <w:rPr>
          <w:rStyle w:val="Hyperlink"/>
          <w:color w:val="auto"/>
          <w:u w:val="none"/>
          <w:lang w:val="es-ES"/>
        </w:rPr>
        <w:t>)</w:t>
      </w:r>
      <w:r w:rsidRPr="00FD0A34">
        <w:rPr>
          <w:lang w:val="es-ES"/>
        </w:rPr>
        <w:t xml:space="preserve"> ya está en línea, y proporciona a los gobiernos, y a otros agentes, una base científica para establecer acuerdos bilaterales y multilaterales de TFCA en toda África. La herramienta se presentó en el Congreso de Áreas Protegidas de África, en Ruanda, en 2022. Se espera que, cuando corresponda, se publique un documento científico basado en un análisis realizado con esta herramienta. Entre 2023 y 2024, la Secretaría de la CMS llevará a cabo actividades de sensibilización y formación sobre el uso de la herramienta para el desarrollo de tratados bilaterales y multilaterales en el área del proyecto.</w:t>
      </w:r>
    </w:p>
    <w:p w14:paraId="2D81ABB8" w14:textId="77777777" w:rsidR="0092002A" w:rsidRPr="00FD0A34" w:rsidRDefault="0092002A" w:rsidP="008E314E">
      <w:pPr>
        <w:pStyle w:val="ListParagraph"/>
        <w:spacing w:after="0" w:line="240" w:lineRule="auto"/>
        <w:ind w:left="900" w:hanging="360"/>
        <w:jc w:val="both"/>
        <w:rPr>
          <w:lang w:val="es-ES"/>
        </w:rPr>
      </w:pPr>
    </w:p>
    <w:p w14:paraId="3303886C" w14:textId="26BE9B09" w:rsidR="00E16A90" w:rsidRPr="00FD0A34" w:rsidRDefault="00E16A90" w:rsidP="008E314E">
      <w:pPr>
        <w:pStyle w:val="ListParagraph"/>
        <w:numPr>
          <w:ilvl w:val="1"/>
          <w:numId w:val="3"/>
        </w:numPr>
        <w:spacing w:after="0" w:line="240" w:lineRule="auto"/>
        <w:ind w:left="900"/>
        <w:jc w:val="both"/>
        <w:rPr>
          <w:lang w:val="es-ES"/>
        </w:rPr>
      </w:pPr>
      <w:r w:rsidRPr="00FD0A34">
        <w:rPr>
          <w:lang w:val="es-ES"/>
        </w:rPr>
        <w:t xml:space="preserve">La CMS encargó al WWF-Tanzania que apoyara a los Gobiernos de Mozambique y Tanzania en la revisión de su actual </w:t>
      </w:r>
      <w:proofErr w:type="spellStart"/>
      <w:r w:rsidRPr="00FD0A34">
        <w:rPr>
          <w:lang w:val="es-ES"/>
        </w:rPr>
        <w:t>MdE</w:t>
      </w:r>
      <w:proofErr w:type="spellEnd"/>
      <w:r w:rsidRPr="00FD0A34">
        <w:rPr>
          <w:lang w:val="es-ES"/>
        </w:rPr>
        <w:t xml:space="preserve"> sobre la gestión de la TFCA de </w:t>
      </w:r>
      <w:proofErr w:type="spellStart"/>
      <w:r w:rsidRPr="00FD0A34">
        <w:rPr>
          <w:lang w:val="es-ES"/>
        </w:rPr>
        <w:t>Selous</w:t>
      </w:r>
      <w:proofErr w:type="spellEnd"/>
      <w:r w:rsidRPr="00FD0A34">
        <w:rPr>
          <w:lang w:val="es-ES"/>
        </w:rPr>
        <w:t xml:space="preserve">-Niassa. Ambos países expresaron su deseo y compromiso de convertir el </w:t>
      </w:r>
      <w:proofErr w:type="spellStart"/>
      <w:r w:rsidRPr="00FD0A34">
        <w:rPr>
          <w:lang w:val="es-ES"/>
        </w:rPr>
        <w:t>MdE</w:t>
      </w:r>
      <w:proofErr w:type="spellEnd"/>
      <w:r w:rsidRPr="00FD0A34">
        <w:rPr>
          <w:lang w:val="es-ES"/>
        </w:rPr>
        <w:t xml:space="preserve"> en un tratado jurídicamente vinculante. La primera reunión de negociación sobre el alcance y el funcionamiento del nuevo tratado de la TFCA de </w:t>
      </w:r>
      <w:proofErr w:type="spellStart"/>
      <w:r w:rsidRPr="00FD0A34">
        <w:rPr>
          <w:lang w:val="es-ES"/>
        </w:rPr>
        <w:t>Selous</w:t>
      </w:r>
      <w:proofErr w:type="spellEnd"/>
      <w:r w:rsidRPr="00FD0A34">
        <w:rPr>
          <w:lang w:val="es-ES"/>
        </w:rPr>
        <w:t xml:space="preserve">-Niassa se celebró el 26 de enero de 2023 en Maputo, y ambas Partes acordaron una hoja de ruta para finalizar el tratado para finales de 2023. </w:t>
      </w:r>
    </w:p>
    <w:p w14:paraId="1DBA0BE1" w14:textId="77777777" w:rsidR="005E7A4A" w:rsidRPr="00FD0A34" w:rsidRDefault="005E7A4A" w:rsidP="008E314E">
      <w:pPr>
        <w:spacing w:after="0" w:line="240" w:lineRule="auto"/>
        <w:ind w:left="900" w:hanging="360"/>
        <w:jc w:val="both"/>
        <w:rPr>
          <w:lang w:val="es-ES"/>
        </w:rPr>
      </w:pPr>
    </w:p>
    <w:p w14:paraId="0C5F6B0B" w14:textId="53E64A94" w:rsidR="004B5847" w:rsidRPr="00FD0A34" w:rsidRDefault="00E25ACC" w:rsidP="00E25ACC">
      <w:pPr>
        <w:pStyle w:val="ListParagraph"/>
        <w:numPr>
          <w:ilvl w:val="0"/>
          <w:numId w:val="3"/>
        </w:numPr>
        <w:spacing w:after="0" w:line="240" w:lineRule="auto"/>
        <w:ind w:left="540" w:hanging="540"/>
        <w:jc w:val="both"/>
        <w:rPr>
          <w:i/>
          <w:lang w:val="es-ES"/>
        </w:rPr>
      </w:pPr>
      <w:r w:rsidRPr="00FD0A34">
        <w:rPr>
          <w:i/>
          <w:lang w:val="es-ES"/>
        </w:rPr>
        <w:t xml:space="preserve">Resultado 3.3: Fomento y apoyo de la armonización de la legislación relativa a la conservación, la gestión y los delitos contra la fauna silvestre: </w:t>
      </w:r>
    </w:p>
    <w:p w14:paraId="11BF85BD" w14:textId="77777777" w:rsidR="004B5847" w:rsidRPr="00FD0A34" w:rsidRDefault="004B5847" w:rsidP="004B5847">
      <w:pPr>
        <w:pStyle w:val="ListParagraph"/>
        <w:spacing w:after="0" w:line="240" w:lineRule="auto"/>
        <w:jc w:val="both"/>
        <w:rPr>
          <w:lang w:val="es-ES"/>
        </w:rPr>
      </w:pPr>
    </w:p>
    <w:p w14:paraId="545B8FB6" w14:textId="0F868532" w:rsidR="00975876" w:rsidRPr="00FD0A34" w:rsidRDefault="00975876" w:rsidP="008E314E">
      <w:pPr>
        <w:pStyle w:val="ListParagraph"/>
        <w:numPr>
          <w:ilvl w:val="1"/>
          <w:numId w:val="3"/>
        </w:numPr>
        <w:spacing w:after="0" w:line="240" w:lineRule="auto"/>
        <w:ind w:left="900"/>
        <w:jc w:val="both"/>
        <w:rPr>
          <w:lang w:val="es-ES"/>
        </w:rPr>
      </w:pPr>
      <w:r w:rsidRPr="00FD0A34">
        <w:rPr>
          <w:lang w:val="es-ES"/>
        </w:rPr>
        <w:t>La Secretaría de la CMS encargó a la Fundación para la Conservación del Guepardo y el Atlas Jurídico la realización de una valoración jurídica de los Estados miembros de la IGAD, con respecto a la armonización de la legislación sobre áreas protegidas, conservación de la fauna y comercio ilegal de la fauna silvestre. En consulta con el Comité Ejecutivo de HAWEN de la IGAD, se designaron cinco esferas legislativas clave para realizar un análisis comparativo exhaustivo en todos los países:</w:t>
      </w:r>
      <w:r w:rsidR="004B5847" w:rsidRPr="00FD0A34">
        <w:rPr>
          <w:color w:val="FF0000"/>
          <w:lang w:val="es-ES"/>
        </w:rPr>
        <w:t xml:space="preserve"> </w:t>
      </w:r>
      <w:r w:rsidRPr="00FD0A34">
        <w:rPr>
          <w:lang w:val="es-ES"/>
        </w:rPr>
        <w:t xml:space="preserve">1) El reconocimiento legal y el estatuto de protección de las especies migratorias, de acuerdo con las obligaciones que surgen de la CMS; 2) El estatuto jurídico de las TFCA; 3) La base jurídica para el establecimiento de grupos operativos nacionales de fauna silvestre; 4) Estructuras jurídicas para la repatriación de la fauna silvestre objeto de tráfico; y 5) La inclusión de los delitos contra la fauna silvestre en la legislación contra el blanqueo de capitales. </w:t>
      </w:r>
    </w:p>
    <w:p w14:paraId="119583A9" w14:textId="77777777" w:rsidR="00E25ACC" w:rsidRPr="00FD0A34" w:rsidRDefault="00E25ACC" w:rsidP="008E314E">
      <w:pPr>
        <w:pStyle w:val="ListParagraph"/>
        <w:spacing w:after="0" w:line="240" w:lineRule="auto"/>
        <w:ind w:left="900" w:hanging="360"/>
        <w:jc w:val="both"/>
        <w:rPr>
          <w:lang w:val="es-ES"/>
        </w:rPr>
      </w:pPr>
    </w:p>
    <w:p w14:paraId="4085CD37" w14:textId="36B07EE5" w:rsidR="004B5847" w:rsidRPr="00FD0A34" w:rsidRDefault="004B5847" w:rsidP="008E314E">
      <w:pPr>
        <w:pStyle w:val="ListParagraph"/>
        <w:numPr>
          <w:ilvl w:val="1"/>
          <w:numId w:val="3"/>
        </w:numPr>
        <w:spacing w:after="0" w:line="240" w:lineRule="auto"/>
        <w:ind w:left="900"/>
        <w:jc w:val="both"/>
        <w:rPr>
          <w:lang w:val="es-ES"/>
        </w:rPr>
      </w:pPr>
      <w:r w:rsidRPr="00FD0A34">
        <w:rPr>
          <w:lang w:val="es-ES"/>
        </w:rPr>
        <w:t xml:space="preserve">En el análisis se incluyeron más de 200 actos legislativos. Se elaboró un marco jurídico exhaustivo para cada país, y un conjunto de recomendaciones para la armonización jurídica, que se presentaron al Comité Ejecutivo de HAWEN de la IGAD para su consideración. El análisis final de 2021 identificó 39 elementos </w:t>
      </w:r>
      <w:r w:rsidRPr="00FD0A34">
        <w:rPr>
          <w:lang w:val="es-ES"/>
        </w:rPr>
        <w:lastRenderedPageBreak/>
        <w:t xml:space="preserve">jurídicos específicos, que fueron candidatos viables para la armonización regional. La Secretaría de la CMS ha prestado más apoyo a todos los países participantes a nivel nacional para la armonización en 2024. </w:t>
      </w:r>
    </w:p>
    <w:p w14:paraId="6A6E6C7B" w14:textId="2C0A3ADD" w:rsidR="004B5847" w:rsidRPr="00FD0A34" w:rsidRDefault="004B5847" w:rsidP="004B5847">
      <w:pPr>
        <w:spacing w:after="0" w:line="240" w:lineRule="auto"/>
        <w:jc w:val="both"/>
        <w:rPr>
          <w:lang w:val="es-ES"/>
        </w:rPr>
      </w:pPr>
    </w:p>
    <w:p w14:paraId="0F2AAB24" w14:textId="54B83FF4" w:rsidR="00510A13" w:rsidRPr="00FD0A34" w:rsidRDefault="00E25ACC" w:rsidP="00E25ACC">
      <w:pPr>
        <w:pStyle w:val="ListParagraph"/>
        <w:numPr>
          <w:ilvl w:val="0"/>
          <w:numId w:val="3"/>
        </w:numPr>
        <w:spacing w:after="0" w:line="240" w:lineRule="auto"/>
        <w:ind w:left="540" w:hanging="540"/>
        <w:jc w:val="both"/>
        <w:rPr>
          <w:lang w:val="es-ES"/>
        </w:rPr>
      </w:pPr>
      <w:r w:rsidRPr="00FD0A34">
        <w:rPr>
          <w:i/>
          <w:lang w:val="es-ES"/>
        </w:rPr>
        <w:t>Resultado 3.4: Planes de gestión de ecosistemas/paisajes y/o planes de cogestión de áreas protegidas elaborados para las TFCA, y formalmente aprobados por las autoridades de gestión competentes</w:t>
      </w:r>
      <w:r w:rsidR="00366B72" w:rsidRPr="00FD0A34">
        <w:rPr>
          <w:lang w:val="es-ES"/>
        </w:rPr>
        <w:t xml:space="preserve">; y </w:t>
      </w:r>
      <w:r w:rsidRPr="00FD0A34">
        <w:rPr>
          <w:i/>
          <w:lang w:val="es-ES"/>
        </w:rPr>
        <w:t>Resultado 3.5: Acciones de gestión aprobadas y aplicadas en las TFCA, según las prioridades acordadas conjuntamente</w:t>
      </w:r>
      <w:r w:rsidR="00510A13" w:rsidRPr="00FD0A34">
        <w:rPr>
          <w:lang w:val="es-ES"/>
        </w:rPr>
        <w:t xml:space="preserve">: </w:t>
      </w:r>
    </w:p>
    <w:p w14:paraId="1D1B3EBC" w14:textId="77777777" w:rsidR="00510A13" w:rsidRPr="00FD0A34" w:rsidRDefault="00510A13" w:rsidP="00510A13">
      <w:pPr>
        <w:pStyle w:val="ListParagraph"/>
        <w:spacing w:after="0" w:line="240" w:lineRule="auto"/>
        <w:jc w:val="both"/>
        <w:rPr>
          <w:lang w:val="es-ES"/>
        </w:rPr>
      </w:pPr>
    </w:p>
    <w:p w14:paraId="1F810495" w14:textId="2CB709B1" w:rsidR="004B5847" w:rsidRPr="00FD0A34" w:rsidRDefault="00510A13" w:rsidP="008E314E">
      <w:pPr>
        <w:pStyle w:val="ListParagraph"/>
        <w:numPr>
          <w:ilvl w:val="1"/>
          <w:numId w:val="3"/>
        </w:numPr>
        <w:spacing w:after="0" w:line="240" w:lineRule="auto"/>
        <w:ind w:left="900"/>
        <w:jc w:val="both"/>
        <w:rPr>
          <w:lang w:val="es-ES"/>
        </w:rPr>
      </w:pPr>
      <w:r w:rsidRPr="00FD0A34">
        <w:rPr>
          <w:lang w:val="es-ES"/>
        </w:rPr>
        <w:t xml:space="preserve">La Secretaría de la CMS, en colaboración con el WWF-Tanzania, apoyó la revisión de las políticas sobre fauna silvestre y el uso del suelo al Corredor de vida silvestre de </w:t>
      </w:r>
      <w:proofErr w:type="spellStart"/>
      <w:r w:rsidRPr="00FD0A34">
        <w:rPr>
          <w:lang w:val="es-ES"/>
        </w:rPr>
        <w:t>Selous</w:t>
      </w:r>
      <w:proofErr w:type="spellEnd"/>
      <w:r w:rsidRPr="00FD0A34">
        <w:rPr>
          <w:lang w:val="es-ES"/>
        </w:rPr>
        <w:t>-Niassa (SNWC); estrategias nacionales/regionales de biodiversidad y planes de acción para las especies, así como la evaluación del nivel de coherencia en las iniciativas de planificación nacionales y regionales para est</w:t>
      </w:r>
      <w:r w:rsidR="00AE597F">
        <w:rPr>
          <w:lang w:val="es-ES"/>
        </w:rPr>
        <w:t>a</w:t>
      </w:r>
      <w:r w:rsidRPr="00FD0A34">
        <w:rPr>
          <w:lang w:val="es-ES"/>
        </w:rPr>
        <w:t xml:space="preserve"> área. </w:t>
      </w:r>
      <w:r w:rsidR="0072234E" w:rsidRPr="00FD0A34">
        <w:rPr>
          <w:color w:val="000000" w:themeColor="text1"/>
          <w:lang w:val="es-ES"/>
        </w:rPr>
        <w:t>También se realizó una revisión de los datos históricos y actuales sobre biodiversidad y uso del suelo del SNWC para identificar las</w:t>
      </w:r>
      <w:r w:rsidRPr="00FD0A34">
        <w:rPr>
          <w:lang w:val="es-ES"/>
        </w:rPr>
        <w:t xml:space="preserve"> tendencias y amenazas del área. Se estableció un foro de partes interesadas para validar los resultados y recomendaciones de la revisión y orientar el desarrollo futuro del plan de gestión integrada del área. En el primer trimestre de 2022, se presentó un proyecto de plan de gestión a los dirigentes de Mozambique y de Tanzania y, actualmente, los departamentos gubernamentales correspondientes se encuentran revisando el proyecto del plan y elaborando una lista de acciones prioritarias para su aplicación entre 2023 y 2024.</w:t>
      </w:r>
    </w:p>
    <w:p w14:paraId="4740C0D2" w14:textId="1A3210A2" w:rsidR="00510A13" w:rsidRPr="00FD0A34" w:rsidRDefault="00510A13" w:rsidP="008E314E">
      <w:pPr>
        <w:pStyle w:val="ListParagraph"/>
        <w:spacing w:after="0" w:line="240" w:lineRule="auto"/>
        <w:ind w:left="900" w:hanging="360"/>
        <w:jc w:val="both"/>
        <w:rPr>
          <w:lang w:val="es-ES"/>
        </w:rPr>
      </w:pPr>
    </w:p>
    <w:p w14:paraId="153670D2" w14:textId="795CE4CA" w:rsidR="000F009E" w:rsidRPr="00FD0A34" w:rsidRDefault="000F009E" w:rsidP="00CC71BD">
      <w:pPr>
        <w:spacing w:after="0" w:line="240" w:lineRule="auto"/>
        <w:jc w:val="both"/>
        <w:rPr>
          <w:lang w:val="es-ES"/>
        </w:rPr>
      </w:pPr>
      <w:r w:rsidRPr="00FD0A34">
        <w:rPr>
          <w:u w:val="single"/>
          <w:lang w:val="es-ES"/>
        </w:rPr>
        <w:t>Acciones recomendadas:</w:t>
      </w:r>
    </w:p>
    <w:p w14:paraId="6492F025" w14:textId="77777777" w:rsidR="000F009E" w:rsidRPr="00FD0A34" w:rsidRDefault="000F009E" w:rsidP="00CC71BD">
      <w:pPr>
        <w:spacing w:after="0" w:line="240" w:lineRule="auto"/>
        <w:jc w:val="both"/>
        <w:rPr>
          <w:lang w:val="es-ES"/>
        </w:rPr>
      </w:pPr>
    </w:p>
    <w:p w14:paraId="74139CB2" w14:textId="274C0143" w:rsidR="000F009E" w:rsidRPr="00FD0A34" w:rsidRDefault="31574180" w:rsidP="00CC71BD">
      <w:pPr>
        <w:pStyle w:val="ListParagraph"/>
        <w:numPr>
          <w:ilvl w:val="0"/>
          <w:numId w:val="3"/>
        </w:numPr>
        <w:spacing w:after="0" w:line="240" w:lineRule="auto"/>
        <w:ind w:left="540" w:hanging="540"/>
        <w:jc w:val="both"/>
        <w:rPr>
          <w:lang w:val="es-ES"/>
        </w:rPr>
      </w:pPr>
      <w:r w:rsidRPr="00FD0A34">
        <w:rPr>
          <w:lang w:val="es-ES"/>
        </w:rPr>
        <w:t>Se recomienda a la Conferencia de las Partes:</w:t>
      </w:r>
    </w:p>
    <w:p w14:paraId="30C624D5" w14:textId="3C7FCA9C" w:rsidR="000F009E" w:rsidRPr="00FD0A34" w:rsidRDefault="000F009E" w:rsidP="00CC71BD">
      <w:pPr>
        <w:spacing w:after="0" w:line="240" w:lineRule="auto"/>
        <w:ind w:left="540"/>
        <w:jc w:val="both"/>
        <w:rPr>
          <w:lang w:val="es-ES"/>
        </w:rPr>
      </w:pPr>
    </w:p>
    <w:p w14:paraId="27F1503A" w14:textId="317FB4F9" w:rsidR="00CC2B13" w:rsidRPr="00FD0A34" w:rsidRDefault="00BB29AD" w:rsidP="00CC2B13">
      <w:pPr>
        <w:pStyle w:val="ListParagraph"/>
        <w:numPr>
          <w:ilvl w:val="0"/>
          <w:numId w:val="7"/>
        </w:numPr>
        <w:spacing w:after="0" w:line="240" w:lineRule="auto"/>
        <w:ind w:left="900"/>
        <w:jc w:val="both"/>
        <w:rPr>
          <w:lang w:val="es-ES"/>
        </w:rPr>
      </w:pPr>
      <w:r>
        <w:rPr>
          <w:lang w:val="es-ES"/>
        </w:rPr>
        <w:t>a</w:t>
      </w:r>
      <w:r w:rsidR="00CC2B13" w:rsidRPr="00FD0A34">
        <w:rPr>
          <w:lang w:val="es-ES"/>
        </w:rPr>
        <w:t>dopt</w:t>
      </w:r>
      <w:r>
        <w:rPr>
          <w:lang w:val="es-ES"/>
        </w:rPr>
        <w:t>ar</w:t>
      </w:r>
      <w:r w:rsidR="00CC2B13" w:rsidRPr="00FD0A34">
        <w:rPr>
          <w:lang w:val="es-ES"/>
        </w:rPr>
        <w:t xml:space="preserve"> las Decisiones que figuran en el Anexo del presente documento;</w:t>
      </w:r>
    </w:p>
    <w:p w14:paraId="4CAFDC34" w14:textId="77777777" w:rsidR="00CC2B13" w:rsidRPr="00FD0A34" w:rsidRDefault="00CC2B13" w:rsidP="00CC2B13">
      <w:pPr>
        <w:pStyle w:val="ListParagraph"/>
        <w:spacing w:after="0" w:line="240" w:lineRule="auto"/>
        <w:ind w:left="900"/>
        <w:jc w:val="both"/>
        <w:rPr>
          <w:lang w:val="es-ES"/>
        </w:rPr>
      </w:pPr>
    </w:p>
    <w:p w14:paraId="7959DAD3" w14:textId="5DDC9CA1" w:rsidR="00B47F2B" w:rsidRPr="00FD0A34" w:rsidRDefault="00BB29AD" w:rsidP="00D0646F">
      <w:pPr>
        <w:pStyle w:val="ListParagraph"/>
        <w:numPr>
          <w:ilvl w:val="0"/>
          <w:numId w:val="7"/>
        </w:numPr>
        <w:spacing w:after="0" w:line="240" w:lineRule="auto"/>
        <w:ind w:left="900"/>
        <w:jc w:val="both"/>
        <w:rPr>
          <w:lang w:val="es-ES"/>
        </w:rPr>
      </w:pPr>
      <w:r>
        <w:rPr>
          <w:lang w:val="es-ES"/>
        </w:rPr>
        <w:t>s</w:t>
      </w:r>
      <w:r w:rsidR="00EF79FD" w:rsidRPr="00FD0A34">
        <w:rPr>
          <w:lang w:val="es-ES"/>
        </w:rPr>
        <w:t>uprim</w:t>
      </w:r>
      <w:r>
        <w:rPr>
          <w:lang w:val="es-ES"/>
        </w:rPr>
        <w:t>ir</w:t>
      </w:r>
      <w:r w:rsidR="00EF79FD" w:rsidRPr="00FD0A34">
        <w:rPr>
          <w:lang w:val="es-ES"/>
        </w:rPr>
        <w:t xml:space="preserve"> las Decisiones 13.116 </w:t>
      </w:r>
      <w:r w:rsidR="00320C3D">
        <w:rPr>
          <w:lang w:val="es-ES"/>
        </w:rPr>
        <w:t>a</w:t>
      </w:r>
      <w:r w:rsidR="00EF79FD" w:rsidRPr="00FD0A34">
        <w:rPr>
          <w:lang w:val="es-ES"/>
        </w:rPr>
        <w:t xml:space="preserve"> 13.11</w:t>
      </w:r>
      <w:r w:rsidR="00320C3D">
        <w:rPr>
          <w:lang w:val="es-ES"/>
        </w:rPr>
        <w:t>8</w:t>
      </w:r>
      <w:r w:rsidR="00EF79FD" w:rsidRPr="00FD0A34">
        <w:rPr>
          <w:lang w:val="es-ES"/>
        </w:rPr>
        <w:t>.</w:t>
      </w:r>
    </w:p>
    <w:p w14:paraId="567F860C" w14:textId="77777777" w:rsidR="00EF79FD" w:rsidRPr="00FD0A34" w:rsidRDefault="00EF79FD" w:rsidP="00D0646F">
      <w:pPr>
        <w:pStyle w:val="ListParagraph"/>
        <w:spacing w:after="0" w:line="240" w:lineRule="auto"/>
        <w:ind w:left="900"/>
        <w:jc w:val="both"/>
        <w:rPr>
          <w:lang w:val="es-ES"/>
        </w:rPr>
      </w:pPr>
    </w:p>
    <w:p w14:paraId="072CC2D9" w14:textId="77777777" w:rsidR="00B47F2B" w:rsidRPr="00FD0A34" w:rsidRDefault="00B47F2B" w:rsidP="00B47F2B">
      <w:pPr>
        <w:spacing w:after="0" w:line="240" w:lineRule="auto"/>
        <w:jc w:val="both"/>
        <w:rPr>
          <w:i/>
          <w:iCs/>
          <w:lang w:val="es-ES"/>
        </w:rPr>
      </w:pPr>
    </w:p>
    <w:p w14:paraId="29C6EB28" w14:textId="77777777" w:rsidR="008E314E" w:rsidRDefault="008E314E" w:rsidP="00B47F2B">
      <w:pPr>
        <w:pStyle w:val="ListParagraph"/>
        <w:spacing w:after="0" w:line="240" w:lineRule="auto"/>
        <w:ind w:left="540"/>
        <w:jc w:val="both"/>
        <w:rPr>
          <w:b/>
          <w:bCs/>
          <w:lang w:val="es-ES"/>
        </w:rPr>
        <w:sectPr w:rsidR="008E314E" w:rsidSect="00D93628">
          <w:headerReference w:type="even" r:id="rId16"/>
          <w:headerReference w:type="default" r:id="rId17"/>
          <w:footerReference w:type="even" r:id="rId18"/>
          <w:footerReference w:type="default" r:id="rId19"/>
          <w:headerReference w:type="first" r:id="rId20"/>
          <w:pgSz w:w="11906" w:h="16838" w:code="9"/>
          <w:pgMar w:top="1440" w:right="1440" w:bottom="1440" w:left="1440" w:header="720" w:footer="720" w:gutter="0"/>
          <w:cols w:space="720"/>
          <w:titlePg/>
          <w:docGrid w:linePitch="360"/>
        </w:sectPr>
      </w:pPr>
    </w:p>
    <w:p w14:paraId="3C5BA80E" w14:textId="3ADB117D" w:rsidR="00680DA1" w:rsidRPr="00FD0A34" w:rsidRDefault="00680DA1" w:rsidP="00680DA1">
      <w:pPr>
        <w:spacing w:after="0" w:line="240" w:lineRule="auto"/>
        <w:jc w:val="right"/>
        <w:rPr>
          <w:rFonts w:cs="Arial"/>
          <w:b/>
          <w:bCs/>
          <w:caps/>
          <w:lang w:val="es-ES"/>
        </w:rPr>
      </w:pPr>
      <w:r w:rsidRPr="00FD0A34">
        <w:rPr>
          <w:rFonts w:cs="Arial"/>
          <w:b/>
          <w:caps/>
          <w:lang w:val="es-ES"/>
        </w:rPr>
        <w:lastRenderedPageBreak/>
        <w:t>Anexo</w:t>
      </w:r>
    </w:p>
    <w:p w14:paraId="234AF1C9" w14:textId="77777777" w:rsidR="00680DA1" w:rsidRDefault="00680DA1" w:rsidP="00680DA1">
      <w:pPr>
        <w:spacing w:after="0" w:line="240" w:lineRule="auto"/>
        <w:rPr>
          <w:rFonts w:cs="Arial"/>
          <w:lang w:val="es-ES"/>
        </w:rPr>
      </w:pPr>
    </w:p>
    <w:p w14:paraId="6CFD940B" w14:textId="77777777" w:rsidR="00BB29AD" w:rsidRPr="00FD0A34" w:rsidRDefault="00BB29AD" w:rsidP="00680DA1">
      <w:pPr>
        <w:spacing w:after="0" w:line="240" w:lineRule="auto"/>
        <w:rPr>
          <w:rFonts w:cs="Arial"/>
          <w:lang w:val="es-ES"/>
        </w:rPr>
      </w:pPr>
    </w:p>
    <w:p w14:paraId="3139134C" w14:textId="7BEF3892" w:rsidR="00680DA1" w:rsidRPr="00FD0A34" w:rsidRDefault="00680DA1" w:rsidP="00680DA1">
      <w:pPr>
        <w:spacing w:after="0" w:line="240" w:lineRule="auto"/>
        <w:jc w:val="center"/>
        <w:rPr>
          <w:rFonts w:cs="Arial"/>
          <w:lang w:val="es-ES"/>
        </w:rPr>
      </w:pPr>
      <w:r w:rsidRPr="00FD0A34">
        <w:rPr>
          <w:rFonts w:cs="Arial"/>
          <w:lang w:val="es-ES"/>
        </w:rPr>
        <w:t xml:space="preserve">PROYECTO DE DECISIÓN </w:t>
      </w:r>
    </w:p>
    <w:p w14:paraId="214B11D5" w14:textId="77777777" w:rsidR="00680DA1" w:rsidRPr="00FD0A34" w:rsidRDefault="00680DA1" w:rsidP="00680DA1">
      <w:pPr>
        <w:spacing w:after="0" w:line="240" w:lineRule="auto"/>
        <w:jc w:val="center"/>
        <w:rPr>
          <w:rFonts w:cs="Arial"/>
          <w:lang w:val="es-ES"/>
        </w:rPr>
      </w:pPr>
    </w:p>
    <w:p w14:paraId="3096C621" w14:textId="77777777" w:rsidR="00856559" w:rsidRPr="00FD0A34" w:rsidRDefault="00856559" w:rsidP="00856559">
      <w:pPr>
        <w:spacing w:after="0" w:line="240" w:lineRule="auto"/>
        <w:jc w:val="center"/>
        <w:rPr>
          <w:lang w:val="es-ES"/>
        </w:rPr>
      </w:pPr>
      <w:r w:rsidRPr="00FD0A34">
        <w:rPr>
          <w:rFonts w:eastAsia="Times New Roman" w:cs="Arial"/>
          <w:b/>
          <w:bCs/>
          <w:lang w:val="es-ES"/>
        </w:rPr>
        <w:t>ÁREAS DE CONSERVACIÓN TRANSFRONTERIZAS PARA LAS ESPECIES MIGRATORIAS</w:t>
      </w:r>
    </w:p>
    <w:p w14:paraId="2F28FDA0" w14:textId="77777777" w:rsidR="00BF7AB3" w:rsidRDefault="00BF7AB3" w:rsidP="00680DA1">
      <w:pPr>
        <w:spacing w:after="0" w:line="240" w:lineRule="auto"/>
        <w:jc w:val="both"/>
        <w:rPr>
          <w:rFonts w:cs="Arial"/>
          <w:b/>
          <w:i/>
          <w:lang w:val="es-ES"/>
        </w:rPr>
      </w:pPr>
    </w:p>
    <w:p w14:paraId="7AEF8AC1" w14:textId="77777777" w:rsidR="008E314E" w:rsidRPr="00FD0A34" w:rsidRDefault="008E314E" w:rsidP="00680DA1">
      <w:pPr>
        <w:spacing w:after="0" w:line="240" w:lineRule="auto"/>
        <w:jc w:val="both"/>
        <w:rPr>
          <w:rFonts w:cs="Arial"/>
          <w:b/>
          <w:i/>
          <w:lang w:val="es-ES"/>
        </w:rPr>
      </w:pPr>
    </w:p>
    <w:p w14:paraId="08C41927" w14:textId="77777777" w:rsidR="00503A13" w:rsidRPr="00FD0A34" w:rsidRDefault="00503A13" w:rsidP="00503A13">
      <w:pPr>
        <w:spacing w:after="0" w:line="240" w:lineRule="auto"/>
        <w:jc w:val="both"/>
        <w:rPr>
          <w:rFonts w:eastAsia="Calibri" w:cs="Arial"/>
          <w:b/>
          <w:i/>
          <w:lang w:val="es-ES"/>
        </w:rPr>
      </w:pPr>
      <w:r w:rsidRPr="00FD0A34">
        <w:rPr>
          <w:rFonts w:eastAsia="Calibri" w:cs="Arial"/>
          <w:b/>
          <w:i/>
          <w:lang w:val="es-ES"/>
        </w:rPr>
        <w:t xml:space="preserve">Dirigido a las Partes </w:t>
      </w:r>
    </w:p>
    <w:p w14:paraId="6605B1CD" w14:textId="77777777" w:rsidR="00503A13" w:rsidRPr="00FD0A34" w:rsidRDefault="00503A13" w:rsidP="00503A13">
      <w:pPr>
        <w:spacing w:after="0" w:line="240" w:lineRule="auto"/>
        <w:jc w:val="both"/>
        <w:rPr>
          <w:rFonts w:eastAsia="Calibri" w:cs="Arial"/>
          <w:lang w:val="es-ES"/>
        </w:rPr>
      </w:pPr>
    </w:p>
    <w:p w14:paraId="0382EE00" w14:textId="0FAF0C94" w:rsidR="00503A13" w:rsidRPr="00FD0A34" w:rsidRDefault="08BF2412" w:rsidP="00432E17">
      <w:pPr>
        <w:spacing w:after="0" w:line="240" w:lineRule="auto"/>
        <w:ind w:left="900" w:hanging="900"/>
        <w:jc w:val="both"/>
        <w:rPr>
          <w:rFonts w:eastAsia="Calibri" w:cs="Arial"/>
          <w:lang w:val="es-ES"/>
        </w:rPr>
      </w:pPr>
      <w:r w:rsidRPr="00FD0A34">
        <w:rPr>
          <w:rFonts w:eastAsia="Calibri" w:cs="Arial"/>
          <w:lang w:val="es-ES"/>
        </w:rPr>
        <w:t>14.AA</w:t>
      </w:r>
      <w:r w:rsidR="008E314E">
        <w:rPr>
          <w:rFonts w:eastAsia="Calibri" w:cs="Arial"/>
          <w:lang w:val="es-ES"/>
        </w:rPr>
        <w:tab/>
      </w:r>
      <w:r w:rsidRPr="00FD0A34">
        <w:rPr>
          <w:rFonts w:eastAsia="Calibri" w:cs="Arial"/>
          <w:lang w:val="es-ES"/>
        </w:rPr>
        <w:t>Se pide a las Partes que son miembros de la Comunidad de África Meridional para el Desarrollo (SADC), de la Autoridad Intergubernamental para el Desarrollo (IGAD) y/o de la Comunidad Africana Oriental (CAO):</w:t>
      </w:r>
    </w:p>
    <w:p w14:paraId="50F13863" w14:textId="77777777" w:rsidR="00503A13" w:rsidRPr="00FD0A34" w:rsidRDefault="00503A13" w:rsidP="00503A13">
      <w:pPr>
        <w:spacing w:after="0" w:line="240" w:lineRule="auto"/>
        <w:ind w:left="720" w:hanging="720"/>
        <w:jc w:val="both"/>
        <w:rPr>
          <w:rFonts w:eastAsia="Calibri" w:cs="Arial"/>
          <w:lang w:val="es-ES"/>
        </w:rPr>
      </w:pPr>
    </w:p>
    <w:p w14:paraId="510D0541" w14:textId="6F27F893" w:rsidR="00503A13" w:rsidRPr="00FD0A34" w:rsidRDefault="00BB29AD" w:rsidP="00432E17">
      <w:pPr>
        <w:numPr>
          <w:ilvl w:val="0"/>
          <w:numId w:val="10"/>
        </w:numPr>
        <w:autoSpaceDE w:val="0"/>
        <w:autoSpaceDN w:val="0"/>
        <w:spacing w:after="0" w:line="240" w:lineRule="auto"/>
        <w:ind w:left="1260"/>
        <w:jc w:val="both"/>
        <w:rPr>
          <w:rFonts w:eastAsia="Calibri" w:cs="Arial"/>
          <w:lang w:val="es-ES"/>
        </w:rPr>
      </w:pPr>
      <w:r>
        <w:rPr>
          <w:rFonts w:eastAsia="Calibri" w:cs="Arial"/>
          <w:lang w:val="es-ES"/>
        </w:rPr>
        <w:t>u</w:t>
      </w:r>
      <w:r w:rsidR="00503A13" w:rsidRPr="00FD0A34">
        <w:rPr>
          <w:rFonts w:eastAsia="Calibri" w:cs="Arial"/>
          <w:lang w:val="es-ES"/>
        </w:rPr>
        <w:t>tili</w:t>
      </w:r>
      <w:r>
        <w:rPr>
          <w:rFonts w:eastAsia="Calibri" w:cs="Arial"/>
          <w:lang w:val="es-ES"/>
        </w:rPr>
        <w:t>zar</w:t>
      </w:r>
      <w:r w:rsidR="00503A13" w:rsidRPr="00FD0A34">
        <w:rPr>
          <w:rFonts w:eastAsia="Calibri" w:cs="Arial"/>
          <w:lang w:val="es-ES"/>
        </w:rPr>
        <w:t xml:space="preserve"> la herramienta transfronteriza piloto del PNUMA-WCMC (la «Herramienta») para identificar oportunidades potenciales de conservación transfronteriza a partir de los datos de la Base de Datos Mundial sobre Áreas Protegidas y de la Base de Datos Mundial sobre Áreas Clave para la Biodiversidad;</w:t>
      </w:r>
    </w:p>
    <w:p w14:paraId="7B8F7FE7" w14:textId="77777777" w:rsidR="00503A13" w:rsidRPr="00FD0A34" w:rsidRDefault="00503A13" w:rsidP="00432E17">
      <w:pPr>
        <w:spacing w:after="0" w:line="240" w:lineRule="auto"/>
        <w:ind w:left="1260" w:hanging="360"/>
        <w:jc w:val="both"/>
        <w:rPr>
          <w:rFonts w:eastAsia="Calibri" w:cs="Arial"/>
          <w:lang w:val="es-ES"/>
        </w:rPr>
      </w:pPr>
    </w:p>
    <w:p w14:paraId="4B2AB355" w14:textId="78750A0A" w:rsidR="00503A13" w:rsidRPr="00FD0A34" w:rsidRDefault="00BB29AD" w:rsidP="00432E17">
      <w:pPr>
        <w:numPr>
          <w:ilvl w:val="0"/>
          <w:numId w:val="10"/>
        </w:numPr>
        <w:autoSpaceDE w:val="0"/>
        <w:autoSpaceDN w:val="0"/>
        <w:spacing w:after="0" w:line="240" w:lineRule="auto"/>
        <w:ind w:left="1260"/>
        <w:jc w:val="both"/>
        <w:rPr>
          <w:rFonts w:eastAsia="Calibri" w:cs="Arial"/>
          <w:lang w:val="es-ES"/>
        </w:rPr>
      </w:pPr>
      <w:r>
        <w:rPr>
          <w:rFonts w:eastAsia="Calibri" w:cs="Arial"/>
          <w:lang w:val="es-ES"/>
        </w:rPr>
        <w:t>informar</w:t>
      </w:r>
      <w:r w:rsidR="00503A13" w:rsidRPr="00FD0A34">
        <w:rPr>
          <w:rFonts w:eastAsia="Calibri" w:cs="Arial"/>
          <w:lang w:val="es-ES"/>
        </w:rPr>
        <w:t>, a través de la Secretaría del Comité del Período de Sesiones del Consejo Científico, en su 7.</w:t>
      </w:r>
      <w:r w:rsidR="00503A13" w:rsidRPr="00FD0A34">
        <w:rPr>
          <w:vertAlign w:val="superscript"/>
          <w:lang w:val="es-ES"/>
        </w:rPr>
        <w:t>ª</w:t>
      </w:r>
      <w:r w:rsidR="00503A13" w:rsidRPr="00FD0A34">
        <w:rPr>
          <w:rFonts w:eastAsia="Calibri" w:cs="Arial"/>
          <w:lang w:val="es-ES"/>
        </w:rPr>
        <w:t xml:space="preserve"> reunión, sobre las oportunidades potenciales para identificar las áreas de conservación transfronterizas, así como sobre la funcionalidad y utilidad de la Herramienta para ayudar a las Partes a identificarlas.</w:t>
      </w:r>
    </w:p>
    <w:p w14:paraId="1A48229C" w14:textId="77777777" w:rsidR="00320C3D" w:rsidRPr="00FD0A34" w:rsidRDefault="00320C3D" w:rsidP="00503A13">
      <w:pPr>
        <w:autoSpaceDE w:val="0"/>
        <w:autoSpaceDN w:val="0"/>
        <w:spacing w:after="0" w:line="240" w:lineRule="auto"/>
        <w:jc w:val="both"/>
        <w:rPr>
          <w:rFonts w:eastAsia="Calibri" w:cs="Arial"/>
          <w:lang w:val="es-ES"/>
        </w:rPr>
      </w:pPr>
    </w:p>
    <w:p w14:paraId="5981D533" w14:textId="77777777" w:rsidR="00503A13" w:rsidRPr="00FD0A34" w:rsidRDefault="00503A13" w:rsidP="00503A13">
      <w:pPr>
        <w:spacing w:after="0" w:line="240" w:lineRule="auto"/>
        <w:jc w:val="both"/>
        <w:rPr>
          <w:rFonts w:eastAsia="Calibri" w:cs="Arial"/>
          <w:b/>
          <w:i/>
          <w:lang w:val="es-ES"/>
        </w:rPr>
      </w:pPr>
      <w:r w:rsidRPr="00FD0A34">
        <w:rPr>
          <w:rFonts w:eastAsia="Calibri" w:cs="Arial"/>
          <w:b/>
          <w:i/>
          <w:lang w:val="es-ES"/>
        </w:rPr>
        <w:t>Dirigido al Consejo Científico</w:t>
      </w:r>
    </w:p>
    <w:p w14:paraId="64DCFDC9" w14:textId="77777777" w:rsidR="00503A13" w:rsidRPr="00FD0A34" w:rsidRDefault="00503A13" w:rsidP="00503A13">
      <w:pPr>
        <w:spacing w:after="0" w:line="240" w:lineRule="auto"/>
        <w:jc w:val="both"/>
        <w:rPr>
          <w:rFonts w:eastAsia="Calibri" w:cs="Arial"/>
          <w:lang w:val="es-ES"/>
        </w:rPr>
      </w:pPr>
    </w:p>
    <w:p w14:paraId="0D00F651" w14:textId="53E4431D" w:rsidR="00503A13" w:rsidRPr="00FD0A34" w:rsidRDefault="00503A13" w:rsidP="00432E17">
      <w:pPr>
        <w:spacing w:after="0" w:line="240" w:lineRule="auto"/>
        <w:ind w:left="900" w:hanging="900"/>
        <w:jc w:val="both"/>
        <w:rPr>
          <w:rFonts w:eastAsia="Calibri" w:cs="Arial"/>
          <w:lang w:val="es-ES"/>
        </w:rPr>
      </w:pPr>
      <w:r w:rsidRPr="00FD0A34">
        <w:rPr>
          <w:rFonts w:eastAsia="Calibri" w:cs="Arial"/>
          <w:lang w:val="es-ES"/>
        </w:rPr>
        <w:t>14.BB</w:t>
      </w:r>
      <w:r w:rsidR="008E314E">
        <w:rPr>
          <w:rFonts w:eastAsia="Calibri" w:cs="Arial"/>
          <w:lang w:val="es-ES"/>
        </w:rPr>
        <w:tab/>
      </w:r>
      <w:r w:rsidR="00320C3D">
        <w:rPr>
          <w:rFonts w:eastAsia="Calibri" w:cs="Arial"/>
          <w:lang w:val="es-ES"/>
        </w:rPr>
        <w:t>Se solicita al</w:t>
      </w:r>
      <w:r w:rsidRPr="00FD0A34">
        <w:rPr>
          <w:rFonts w:eastAsia="Calibri" w:cs="Arial"/>
          <w:lang w:val="es-ES"/>
        </w:rPr>
        <w:t xml:space="preserve"> Consejo Científico: </w:t>
      </w:r>
    </w:p>
    <w:p w14:paraId="78F64349" w14:textId="77777777" w:rsidR="00503A13" w:rsidRPr="00FD0A34" w:rsidRDefault="00503A13" w:rsidP="00503A13">
      <w:pPr>
        <w:spacing w:after="0" w:line="240" w:lineRule="auto"/>
        <w:jc w:val="both"/>
        <w:rPr>
          <w:rFonts w:eastAsia="Calibri" w:cs="Arial"/>
          <w:lang w:val="es-ES"/>
        </w:rPr>
      </w:pPr>
    </w:p>
    <w:p w14:paraId="1A803AC3" w14:textId="07EB27FE" w:rsidR="00503A13" w:rsidRPr="00FD0A34" w:rsidRDefault="00BB29AD" w:rsidP="00432E17">
      <w:pPr>
        <w:numPr>
          <w:ilvl w:val="0"/>
          <w:numId w:val="17"/>
        </w:numPr>
        <w:autoSpaceDE w:val="0"/>
        <w:autoSpaceDN w:val="0"/>
        <w:spacing w:after="0" w:line="240" w:lineRule="auto"/>
        <w:ind w:left="1260"/>
        <w:jc w:val="both"/>
        <w:rPr>
          <w:rFonts w:eastAsia="Calibri" w:cs="Arial"/>
          <w:lang w:val="es-ES"/>
        </w:rPr>
      </w:pPr>
      <w:r>
        <w:rPr>
          <w:rFonts w:eastAsia="Calibri" w:cs="Arial"/>
          <w:lang w:val="es-ES"/>
        </w:rPr>
        <w:t>r</w:t>
      </w:r>
      <w:r w:rsidR="00503A13" w:rsidRPr="00FD0A34">
        <w:rPr>
          <w:rFonts w:eastAsia="Calibri" w:cs="Arial"/>
          <w:lang w:val="es-ES"/>
        </w:rPr>
        <w:t xml:space="preserve">evisar la utilidad de la Herramienta basándose en los informes presentados por las Partes, a través de la Secretaría, en consonancia con las Decisiones </w:t>
      </w:r>
      <w:proofErr w:type="gramStart"/>
      <w:r w:rsidR="00503A13" w:rsidRPr="00FD0A34">
        <w:rPr>
          <w:rFonts w:eastAsia="Calibri" w:cs="Arial"/>
          <w:lang w:val="es-ES"/>
        </w:rPr>
        <w:t>14.AA</w:t>
      </w:r>
      <w:proofErr w:type="gramEnd"/>
      <w:r w:rsidR="00503A13" w:rsidRPr="00FD0A34">
        <w:rPr>
          <w:rFonts w:eastAsia="Calibri" w:cs="Arial"/>
          <w:lang w:val="es-ES"/>
        </w:rPr>
        <w:t xml:space="preserve"> (b) y 14.CC (b), realizar las recomendaciones oportunas a la Secretaría y a las Partes sobre su uso futuro, ayudar a identificar las mejoras que se deberían incorporar a la Herramienta e informar sobre su futura ampliación, sujeta a la disponibilidad de recursos externos.</w:t>
      </w:r>
    </w:p>
    <w:p w14:paraId="165ADD07" w14:textId="77777777" w:rsidR="00320C3D" w:rsidRPr="00FD0A34" w:rsidRDefault="00320C3D" w:rsidP="00320C3D">
      <w:pPr>
        <w:spacing w:after="0" w:line="240" w:lineRule="auto"/>
        <w:jc w:val="both"/>
        <w:rPr>
          <w:rFonts w:eastAsia="Calibri" w:cs="Arial"/>
          <w:lang w:val="es-ES"/>
        </w:rPr>
      </w:pPr>
    </w:p>
    <w:p w14:paraId="73F7A2C8" w14:textId="77777777" w:rsidR="00503A13" w:rsidRPr="00FD0A34" w:rsidRDefault="08BF2412" w:rsidP="020C45A0">
      <w:pPr>
        <w:spacing w:after="0" w:line="240" w:lineRule="auto"/>
        <w:jc w:val="both"/>
        <w:rPr>
          <w:rFonts w:eastAsia="Calibri" w:cs="Arial"/>
          <w:b/>
          <w:bCs/>
          <w:i/>
          <w:iCs/>
          <w:lang w:val="es-ES"/>
        </w:rPr>
      </w:pPr>
      <w:r w:rsidRPr="00FD0A34">
        <w:rPr>
          <w:rFonts w:eastAsia="Calibri" w:cs="Arial"/>
          <w:b/>
          <w:bCs/>
          <w:i/>
          <w:iCs/>
          <w:lang w:val="es-ES"/>
        </w:rPr>
        <w:t>Dirigido a la Secretaría</w:t>
      </w:r>
    </w:p>
    <w:p w14:paraId="7E2CCAEA" w14:textId="77777777" w:rsidR="00503A13" w:rsidRPr="00FD0A34" w:rsidRDefault="00503A13" w:rsidP="00503A13">
      <w:pPr>
        <w:spacing w:after="0" w:line="240" w:lineRule="auto"/>
        <w:jc w:val="both"/>
        <w:rPr>
          <w:rFonts w:eastAsia="Calibri" w:cs="Arial"/>
          <w:lang w:val="es-ES"/>
        </w:rPr>
      </w:pPr>
    </w:p>
    <w:p w14:paraId="17716161" w14:textId="5C07D1EA" w:rsidR="00503A13" w:rsidRPr="00FD0A34" w:rsidRDefault="08BF2412" w:rsidP="00432E17">
      <w:pPr>
        <w:spacing w:after="0" w:line="240" w:lineRule="auto"/>
        <w:ind w:left="900" w:hanging="900"/>
        <w:jc w:val="both"/>
        <w:rPr>
          <w:rFonts w:eastAsia="Calibri" w:cs="Arial"/>
          <w:lang w:val="es-ES"/>
        </w:rPr>
      </w:pPr>
      <w:r w:rsidRPr="00FD0A34">
        <w:rPr>
          <w:rFonts w:eastAsia="Calibri" w:cs="Arial"/>
          <w:lang w:val="es-ES"/>
        </w:rPr>
        <w:t>14.CC</w:t>
      </w:r>
      <w:r w:rsidR="008E314E">
        <w:rPr>
          <w:rFonts w:eastAsia="Calibri" w:cs="Arial"/>
          <w:lang w:val="es-ES"/>
        </w:rPr>
        <w:tab/>
      </w:r>
      <w:r w:rsidRPr="00FD0A34">
        <w:rPr>
          <w:rFonts w:eastAsia="Calibri" w:cs="Arial"/>
          <w:lang w:val="es-ES"/>
        </w:rPr>
        <w:t xml:space="preserve">La Secretaría, sujeta a la disponibilidad de recursos externos, deberá: </w:t>
      </w:r>
    </w:p>
    <w:p w14:paraId="73B18F24" w14:textId="77777777" w:rsidR="00503A13" w:rsidRPr="00FD0A34" w:rsidRDefault="00503A13" w:rsidP="00503A13">
      <w:pPr>
        <w:spacing w:after="0" w:line="240" w:lineRule="auto"/>
        <w:ind w:left="720" w:hanging="720"/>
        <w:jc w:val="both"/>
        <w:rPr>
          <w:rFonts w:eastAsia="Calibri" w:cs="Arial"/>
          <w:lang w:val="es-ES"/>
        </w:rPr>
      </w:pPr>
    </w:p>
    <w:p w14:paraId="583F9341" w14:textId="76211F10" w:rsidR="00367769" w:rsidRPr="00FD0A34" w:rsidRDefault="00BB29AD" w:rsidP="00432E17">
      <w:pPr>
        <w:numPr>
          <w:ilvl w:val="0"/>
          <w:numId w:val="18"/>
        </w:numPr>
        <w:spacing w:after="0" w:line="240" w:lineRule="auto"/>
        <w:ind w:left="1260"/>
        <w:jc w:val="both"/>
        <w:rPr>
          <w:rFonts w:eastAsia="Calibri" w:cs="Arial"/>
          <w:lang w:val="es-ES"/>
        </w:rPr>
      </w:pPr>
      <w:bookmarkStart w:id="10" w:name="_Hlk137461095"/>
      <w:r>
        <w:rPr>
          <w:rFonts w:eastAsia="Calibri" w:cs="Arial"/>
          <w:lang w:val="es-ES"/>
        </w:rPr>
        <w:t>e</w:t>
      </w:r>
      <w:r w:rsidR="00367769" w:rsidRPr="00FD0A34">
        <w:rPr>
          <w:rFonts w:eastAsia="Calibri" w:cs="Arial"/>
          <w:lang w:val="es-ES"/>
        </w:rPr>
        <w:t xml:space="preserve">n colaboración con el PNUMA-WCMC y otros socios, convocar seminarios en línea para concienciar a las Partes acerca de la Herramienta mencionada en la Decisión </w:t>
      </w:r>
      <w:proofErr w:type="gramStart"/>
      <w:r w:rsidR="00367769" w:rsidRPr="00FD0A34">
        <w:rPr>
          <w:rFonts w:eastAsia="Calibri" w:cs="Arial"/>
          <w:lang w:val="es-ES"/>
        </w:rPr>
        <w:t>14.AA</w:t>
      </w:r>
      <w:proofErr w:type="gramEnd"/>
      <w:r w:rsidR="007F4CC4">
        <w:rPr>
          <w:rFonts w:eastAsia="Calibri" w:cs="Arial"/>
          <w:lang w:val="es-ES"/>
        </w:rPr>
        <w:t>;</w:t>
      </w:r>
    </w:p>
    <w:bookmarkEnd w:id="10"/>
    <w:p w14:paraId="01F25176" w14:textId="77777777" w:rsidR="00367769" w:rsidRPr="00FD0A34" w:rsidRDefault="00367769" w:rsidP="00432E17">
      <w:pPr>
        <w:spacing w:after="0" w:line="240" w:lineRule="auto"/>
        <w:ind w:left="1260" w:hanging="360"/>
        <w:jc w:val="both"/>
        <w:rPr>
          <w:rFonts w:eastAsia="Calibri" w:cs="Arial"/>
          <w:lang w:val="es-ES"/>
        </w:rPr>
      </w:pPr>
    </w:p>
    <w:p w14:paraId="6346C556" w14:textId="744652E8" w:rsidR="005A76A5" w:rsidRPr="00FD0A34" w:rsidRDefault="00BB29AD" w:rsidP="00432E17">
      <w:pPr>
        <w:numPr>
          <w:ilvl w:val="0"/>
          <w:numId w:val="18"/>
        </w:numPr>
        <w:spacing w:after="0" w:line="240" w:lineRule="auto"/>
        <w:ind w:left="1260"/>
        <w:jc w:val="both"/>
        <w:rPr>
          <w:rFonts w:eastAsia="Calibri" w:cs="Arial"/>
          <w:lang w:val="es-ES"/>
        </w:rPr>
      </w:pPr>
      <w:r>
        <w:rPr>
          <w:rFonts w:eastAsia="Calibri" w:cs="Arial"/>
          <w:lang w:val="es-ES"/>
        </w:rPr>
        <w:t>p</w:t>
      </w:r>
      <w:r w:rsidR="00BA48B7" w:rsidRPr="00FD0A34">
        <w:rPr>
          <w:rFonts w:eastAsia="Calibri" w:cs="Arial"/>
          <w:lang w:val="es-ES"/>
        </w:rPr>
        <w:t xml:space="preserve">edir a las Partes mencionadas en la Decisión </w:t>
      </w:r>
      <w:proofErr w:type="gramStart"/>
      <w:r w:rsidR="00BA48B7" w:rsidRPr="00FD0A34">
        <w:rPr>
          <w:rFonts w:eastAsia="Calibri" w:cs="Arial"/>
          <w:lang w:val="es-ES"/>
        </w:rPr>
        <w:t>14.AA</w:t>
      </w:r>
      <w:proofErr w:type="gramEnd"/>
      <w:r w:rsidR="00BA48B7" w:rsidRPr="00FD0A34">
        <w:rPr>
          <w:rFonts w:eastAsia="Calibri" w:cs="Arial"/>
          <w:lang w:val="es-ES"/>
        </w:rPr>
        <w:t xml:space="preserve"> que realicen comentarios sobre la funcionalidad y utilidad de la Herramienta para identificar posibles oportunidades de conservación transfronteriza, y que presenten un informe sobre los comentarios recibidos al Comité del Período de Sesiones del Consejo Científico en su 7.</w:t>
      </w:r>
      <w:r w:rsidR="00503A13" w:rsidRPr="00FD0A34">
        <w:rPr>
          <w:rFonts w:eastAsia="Calibri" w:cs="Arial"/>
          <w:vertAlign w:val="superscript"/>
          <w:lang w:val="es-ES"/>
        </w:rPr>
        <w:t>ª</w:t>
      </w:r>
      <w:r w:rsidR="00BA48B7" w:rsidRPr="00FD0A34">
        <w:rPr>
          <w:rFonts w:eastAsia="Calibri" w:cs="Arial"/>
          <w:lang w:val="es-ES"/>
        </w:rPr>
        <w:t xml:space="preserve"> reunión; </w:t>
      </w:r>
    </w:p>
    <w:p w14:paraId="2635B4D3" w14:textId="77777777" w:rsidR="005A76A5" w:rsidRPr="00FD0A34" w:rsidRDefault="005A76A5" w:rsidP="00432E17">
      <w:pPr>
        <w:spacing w:after="0" w:line="240" w:lineRule="auto"/>
        <w:ind w:left="1260" w:hanging="360"/>
        <w:jc w:val="both"/>
        <w:rPr>
          <w:rFonts w:eastAsia="Calibri" w:cs="Arial"/>
          <w:lang w:val="es-ES"/>
        </w:rPr>
      </w:pPr>
    </w:p>
    <w:p w14:paraId="0099168F" w14:textId="0EB36482" w:rsidR="00680DA1" w:rsidRPr="00FD0A34" w:rsidRDefault="00BB29AD" w:rsidP="00432E17">
      <w:pPr>
        <w:numPr>
          <w:ilvl w:val="0"/>
          <w:numId w:val="18"/>
        </w:numPr>
        <w:spacing w:after="0" w:line="240" w:lineRule="auto"/>
        <w:ind w:left="1260"/>
        <w:jc w:val="both"/>
        <w:rPr>
          <w:rFonts w:cs="Arial"/>
          <w:lang w:val="es-ES"/>
        </w:rPr>
      </w:pPr>
      <w:r>
        <w:rPr>
          <w:rFonts w:eastAsia="Calibri" w:cs="Arial"/>
          <w:lang w:val="es-ES"/>
        </w:rPr>
        <w:t>i</w:t>
      </w:r>
      <w:r w:rsidR="00503A13" w:rsidRPr="00FD0A34">
        <w:rPr>
          <w:rFonts w:eastAsia="Calibri" w:cs="Arial"/>
          <w:lang w:val="es-ES"/>
        </w:rPr>
        <w:t>nformar a la Conferencia de las Partes en su 15.</w:t>
      </w:r>
      <w:r w:rsidR="00503A13" w:rsidRPr="00FD0A34">
        <w:rPr>
          <w:vertAlign w:val="superscript"/>
          <w:lang w:val="es-ES"/>
        </w:rPr>
        <w:t>a</w:t>
      </w:r>
      <w:r w:rsidR="00503A13" w:rsidRPr="00FD0A34">
        <w:rPr>
          <w:rFonts w:eastAsia="Calibri" w:cs="Arial"/>
          <w:lang w:val="es-ES"/>
        </w:rPr>
        <w:t xml:space="preserve"> reunión acerca de los progresos realizados en la aplicación de estas Decisiones.</w:t>
      </w:r>
    </w:p>
    <w:p w14:paraId="4A6AC0F7" w14:textId="77777777" w:rsidR="00B47F2B" w:rsidRPr="00FD0A34" w:rsidRDefault="00B47F2B" w:rsidP="00CC71BD">
      <w:pPr>
        <w:spacing w:after="0" w:line="240" w:lineRule="auto"/>
        <w:jc w:val="both"/>
        <w:rPr>
          <w:lang w:val="es-ES"/>
        </w:rPr>
      </w:pPr>
    </w:p>
    <w:sectPr w:rsidR="00B47F2B" w:rsidRPr="00FD0A34" w:rsidSect="00D93628">
      <w:headerReference w:type="first" r:id="rId21"/>
      <w:footerReference w:type="first" r:id="rId22"/>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2EAB4" w14:textId="77777777" w:rsidR="00D97E08" w:rsidRDefault="00D97E08" w:rsidP="002E0DE9">
      <w:pPr>
        <w:spacing w:after="0" w:line="240" w:lineRule="auto"/>
      </w:pPr>
      <w:r>
        <w:separator/>
      </w:r>
    </w:p>
  </w:endnote>
  <w:endnote w:type="continuationSeparator" w:id="0">
    <w:p w14:paraId="0C81251F" w14:textId="77777777" w:rsidR="00D97E08" w:rsidRDefault="00D97E08" w:rsidP="002E0DE9">
      <w:pPr>
        <w:spacing w:after="0" w:line="240" w:lineRule="auto"/>
      </w:pPr>
      <w:r>
        <w:continuationSeparator/>
      </w:r>
    </w:p>
  </w:endnote>
  <w:endnote w:type="continuationNotice" w:id="1">
    <w:p w14:paraId="49C417BE" w14:textId="77777777" w:rsidR="00D97E08" w:rsidRDefault="00D97E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F4509"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004047876"/>
      <w:docPartObj>
        <w:docPartGallery w:val="Page Numbers (Bottom of Page)"/>
        <w:docPartUnique/>
      </w:docPartObj>
    </w:sdtPr>
    <w:sdtEndPr>
      <w:rPr>
        <w:noProof/>
      </w:rPr>
    </w:sdtEndPr>
    <w:sdtContent>
      <w:p w14:paraId="2E7B951C" w14:textId="1B82943B" w:rsidR="0035024E" w:rsidRPr="0035024E" w:rsidRDefault="0035024E"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4723837"/>
      <w:docPartObj>
        <w:docPartGallery w:val="Page Numbers (Bottom of Page)"/>
        <w:docPartUnique/>
      </w:docPartObj>
    </w:sdtPr>
    <w:sdtEndPr>
      <w:rPr>
        <w:noProof/>
        <w:sz w:val="18"/>
        <w:szCs w:val="18"/>
      </w:rPr>
    </w:sdtEndPr>
    <w:sdtContent>
      <w:p w14:paraId="1D5BB27D" w14:textId="6AC73092" w:rsidR="008E314E" w:rsidRPr="008E314E" w:rsidRDefault="008E314E">
        <w:pPr>
          <w:pStyle w:val="Footer"/>
          <w:jc w:val="center"/>
          <w:rPr>
            <w:sz w:val="18"/>
            <w:szCs w:val="18"/>
          </w:rPr>
        </w:pPr>
        <w:r w:rsidRPr="008E314E">
          <w:rPr>
            <w:sz w:val="18"/>
            <w:szCs w:val="18"/>
          </w:rPr>
          <w:fldChar w:fldCharType="begin"/>
        </w:r>
        <w:r w:rsidRPr="008E314E">
          <w:rPr>
            <w:sz w:val="18"/>
            <w:szCs w:val="18"/>
          </w:rPr>
          <w:instrText xml:space="preserve"> PAGE   \* MERGEFORMAT </w:instrText>
        </w:r>
        <w:r w:rsidRPr="008E314E">
          <w:rPr>
            <w:sz w:val="18"/>
            <w:szCs w:val="18"/>
          </w:rPr>
          <w:fldChar w:fldCharType="separate"/>
        </w:r>
        <w:r w:rsidRPr="008E314E">
          <w:rPr>
            <w:noProof/>
            <w:sz w:val="18"/>
            <w:szCs w:val="18"/>
          </w:rPr>
          <w:t>2</w:t>
        </w:r>
        <w:r w:rsidRPr="008E314E">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ADC78" w14:textId="77777777" w:rsidR="00D97E08" w:rsidRDefault="00D97E08" w:rsidP="002E0DE9">
      <w:pPr>
        <w:spacing w:after="0" w:line="240" w:lineRule="auto"/>
      </w:pPr>
      <w:r>
        <w:separator/>
      </w:r>
    </w:p>
  </w:footnote>
  <w:footnote w:type="continuationSeparator" w:id="0">
    <w:p w14:paraId="3C99BA62" w14:textId="77777777" w:rsidR="00D97E08" w:rsidRDefault="00D97E08" w:rsidP="002E0DE9">
      <w:pPr>
        <w:spacing w:after="0" w:line="240" w:lineRule="auto"/>
      </w:pPr>
      <w:r>
        <w:continuationSeparator/>
      </w:r>
    </w:p>
  </w:footnote>
  <w:footnote w:type="continuationNotice" w:id="1">
    <w:p w14:paraId="5FD079E2" w14:textId="77777777" w:rsidR="00D97E08" w:rsidRDefault="00D97E08">
      <w:pPr>
        <w:spacing w:after="0" w:line="240" w:lineRule="auto"/>
      </w:pPr>
    </w:p>
  </w:footnote>
  <w:footnote w:id="2">
    <w:p w14:paraId="4D33A3F0" w14:textId="7F29EBC2" w:rsidR="00D469DF" w:rsidRPr="008E314E" w:rsidRDefault="00D469DF">
      <w:pPr>
        <w:pStyle w:val="FootnoteText"/>
        <w:rPr>
          <w:sz w:val="16"/>
          <w:szCs w:val="16"/>
          <w:lang w:val="es-ES"/>
        </w:rPr>
      </w:pPr>
      <w:r w:rsidRPr="008E314E">
        <w:rPr>
          <w:rStyle w:val="FootnoteReference"/>
          <w:sz w:val="16"/>
          <w:szCs w:val="16"/>
        </w:rPr>
        <w:footnoteRef/>
      </w:r>
      <w:r w:rsidRPr="008E314E">
        <w:rPr>
          <w:sz w:val="16"/>
          <w:szCs w:val="16"/>
          <w:lang w:val="es-ES"/>
        </w:rPr>
        <w:t xml:space="preserve"> Yibuti, Eritrea, Etiopía, </w:t>
      </w:r>
      <w:proofErr w:type="spellStart"/>
      <w:r w:rsidRPr="008E314E">
        <w:rPr>
          <w:sz w:val="16"/>
          <w:szCs w:val="16"/>
          <w:lang w:val="es-ES"/>
        </w:rPr>
        <w:t>Kenya</w:t>
      </w:r>
      <w:proofErr w:type="spellEnd"/>
      <w:r w:rsidRPr="008E314E">
        <w:rPr>
          <w:sz w:val="16"/>
          <w:szCs w:val="16"/>
          <w:lang w:val="es-ES"/>
        </w:rPr>
        <w:t>, Somalia, Sudán del Sur, Sudán y Uganda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57FA8" w14:textId="05A2020F" w:rsidR="002E0DE9" w:rsidRPr="00320C3D" w:rsidRDefault="002E0DE9" w:rsidP="002E0DE9">
    <w:pPr>
      <w:pStyle w:val="Header"/>
      <w:pBdr>
        <w:bottom w:val="single" w:sz="4" w:space="1" w:color="auto"/>
      </w:pBdr>
      <w:rPr>
        <w:i/>
        <w:sz w:val="18"/>
        <w:szCs w:val="18"/>
      </w:rPr>
    </w:pPr>
    <w:r w:rsidRPr="00320C3D">
      <w:rPr>
        <w:rFonts w:eastAsia="Times New Roman" w:cs="Arial"/>
        <w:i/>
        <w:sz w:val="18"/>
        <w:szCs w:val="18"/>
      </w:rPr>
      <w:t>UNEP/CMS/COP14/Doc.</w:t>
    </w:r>
    <w:r w:rsidR="004B3794" w:rsidRPr="00320C3D">
      <w:rPr>
        <w:rFonts w:eastAsia="Times New Roman" w:cs="Arial"/>
        <w:i/>
        <w:sz w:val="18"/>
        <w:szCs w:val="18"/>
      </w:rPr>
      <w:t>30.2.2</w:t>
    </w:r>
    <w:r w:rsidR="00320C3D" w:rsidRPr="00320C3D">
      <w:rPr>
        <w:rFonts w:eastAsia="Times New Roman" w:cs="Arial"/>
        <w:i/>
        <w:sz w:val="18"/>
        <w:szCs w:val="18"/>
      </w:rPr>
      <w:t>/Rev.</w:t>
    </w:r>
    <w:r w:rsidR="00713D18">
      <w:rPr>
        <w:rFonts w:eastAsia="Times New Roman" w:cs="Arial"/>
        <w:i/>
        <w:sz w:val="18"/>
        <w:szCs w:val="18"/>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278D1" w14:textId="2EC47FED" w:rsidR="002E0DE9" w:rsidRPr="00320C3D" w:rsidRDefault="002E0DE9" w:rsidP="00842B75">
    <w:pPr>
      <w:pStyle w:val="Header"/>
      <w:pBdr>
        <w:bottom w:val="single" w:sz="4" w:space="1" w:color="auto"/>
      </w:pBdr>
      <w:jc w:val="right"/>
      <w:rPr>
        <w:i/>
        <w:sz w:val="18"/>
        <w:szCs w:val="18"/>
      </w:rPr>
    </w:pPr>
    <w:bookmarkStart w:id="8" w:name="_Hlk139031490"/>
    <w:bookmarkStart w:id="9" w:name="_Hlk139031491"/>
    <w:r w:rsidRPr="00320C3D">
      <w:rPr>
        <w:rFonts w:eastAsia="Times New Roman" w:cs="Arial"/>
        <w:i/>
        <w:sz w:val="18"/>
        <w:szCs w:val="18"/>
      </w:rPr>
      <w:t>UNEP/CMS/COP14/Doc.</w:t>
    </w:r>
    <w:r w:rsidR="004B3794" w:rsidRPr="00320C3D">
      <w:rPr>
        <w:rFonts w:eastAsia="Times New Roman" w:cs="Arial"/>
        <w:i/>
        <w:sz w:val="18"/>
        <w:szCs w:val="18"/>
      </w:rPr>
      <w:t>30.2.2</w:t>
    </w:r>
    <w:bookmarkEnd w:id="8"/>
    <w:bookmarkEnd w:id="9"/>
    <w:r w:rsidR="00320C3D" w:rsidRPr="00320C3D">
      <w:rPr>
        <w:rFonts w:eastAsia="Times New Roman" w:cs="Arial"/>
        <w:i/>
        <w:sz w:val="18"/>
        <w:szCs w:val="18"/>
      </w:rPr>
      <w:t>/Rev.</w:t>
    </w:r>
    <w:r w:rsidR="00713D18">
      <w:rPr>
        <w:rFonts w:eastAsia="Times New Roman" w:cs="Arial"/>
        <w:i/>
        <w:sz w:val="18"/>
        <w:szCs w:val="18"/>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62A55" w14:textId="77777777" w:rsidR="00400631" w:rsidRPr="00002A97" w:rsidRDefault="00400631" w:rsidP="00400631">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61312" behindDoc="1" locked="0" layoutInCell="1" allowOverlap="1" wp14:anchorId="4E12F6FD" wp14:editId="489A2858">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Pr="00002A97">
      <w:rPr>
        <w:rFonts w:eastAsia="Times New Roman" w:cs="Times New Roman"/>
        <w:noProof/>
        <w:sz w:val="18"/>
        <w:szCs w:val="20"/>
        <w:lang w:val="es-ES" w:eastAsia="es-ES"/>
      </w:rPr>
      <w:drawing>
        <wp:anchor distT="0" distB="0" distL="114300" distR="114300" simplePos="0" relativeHeight="251660288" behindDoc="0" locked="0" layoutInCell="1" allowOverlap="1" wp14:anchorId="5D0A890A" wp14:editId="78383300">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Pr="00002A97">
      <w:rPr>
        <w:rFonts w:eastAsia="Times New Roman" w:cs="Times New Roman"/>
        <w:noProof/>
        <w:sz w:val="18"/>
        <w:szCs w:val="20"/>
      </w:rPr>
      <w:drawing>
        <wp:anchor distT="0" distB="0" distL="114300" distR="114300" simplePos="0" relativeHeight="251659264" behindDoc="0" locked="0" layoutInCell="1" allowOverlap="1" wp14:anchorId="1F097632" wp14:editId="490824EB">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21BFCC59" w14:textId="77777777" w:rsidR="00400631" w:rsidRDefault="0040063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D8626" w14:textId="2FCD0036" w:rsidR="008E314E" w:rsidRPr="008E314E" w:rsidRDefault="008E314E" w:rsidP="008E314E">
    <w:pPr>
      <w:pStyle w:val="Header"/>
      <w:pBdr>
        <w:bottom w:val="single" w:sz="4" w:space="1" w:color="auto"/>
      </w:pBdr>
      <w:rPr>
        <w:i/>
        <w:sz w:val="18"/>
        <w:szCs w:val="18"/>
      </w:rPr>
    </w:pPr>
    <w:r w:rsidRPr="008E314E">
      <w:rPr>
        <w:rFonts w:eastAsia="Times New Roman" w:cs="Arial"/>
        <w:i/>
        <w:sz w:val="18"/>
        <w:szCs w:val="18"/>
      </w:rPr>
      <w:t>UNEP/CMS/COP14/Doc.30.2.2/</w:t>
    </w:r>
    <w:r w:rsidR="00320C3D">
      <w:rPr>
        <w:rFonts w:eastAsia="Times New Roman" w:cs="Arial"/>
        <w:i/>
        <w:sz w:val="18"/>
        <w:szCs w:val="18"/>
      </w:rPr>
      <w:t>Rev.</w:t>
    </w:r>
    <w:r w:rsidR="00713D18">
      <w:rPr>
        <w:rFonts w:eastAsia="Times New Roman" w:cs="Arial"/>
        <w:i/>
        <w:sz w:val="18"/>
        <w:szCs w:val="18"/>
      </w:rPr>
      <w:t>2</w:t>
    </w:r>
    <w:r w:rsidR="00320C3D">
      <w:rPr>
        <w:rFonts w:eastAsia="Times New Roman" w:cs="Arial"/>
        <w:i/>
        <w:sz w:val="18"/>
        <w:szCs w:val="18"/>
      </w:rPr>
      <w:t>/</w:t>
    </w:r>
    <w:r w:rsidRPr="008E314E">
      <w:rPr>
        <w:rFonts w:eastAsia="Times New Roman" w:cs="Arial"/>
        <w:i/>
        <w:sz w:val="18"/>
        <w:szCs w:val="18"/>
      </w:rPr>
      <w:t>An</w:t>
    </w:r>
    <w:r>
      <w:rPr>
        <w:rFonts w:eastAsia="Times New Roman" w:cs="Arial"/>
        <w:i/>
        <w:sz w:val="18"/>
        <w:szCs w:val="18"/>
      </w:rPr>
      <w:t xml:space="preserve">exo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40F8"/>
    <w:multiLevelType w:val="hybridMultilevel"/>
    <w:tmpl w:val="79C4BA96"/>
    <w:lvl w:ilvl="0" w:tplc="9CE6976E">
      <w:start w:val="1"/>
      <w:numFmt w:val="decimal"/>
      <w:lvlText w:val="%1."/>
      <w:lvlJc w:val="left"/>
      <w:pPr>
        <w:ind w:left="360" w:hanging="360"/>
      </w:pPr>
      <w:rPr>
        <w:i w:val="0"/>
        <w:iCs w:val="0"/>
      </w:rPr>
    </w:lvl>
    <w:lvl w:ilvl="1" w:tplc="10000019">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 w15:restartNumberingAfterBreak="0">
    <w:nsid w:val="039519E6"/>
    <w:multiLevelType w:val="hybridMultilevel"/>
    <w:tmpl w:val="66F2A7A0"/>
    <w:lvl w:ilvl="0" w:tplc="08090017">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8780F21"/>
    <w:multiLevelType w:val="hybridMultilevel"/>
    <w:tmpl w:val="0D20EA36"/>
    <w:lvl w:ilvl="0" w:tplc="08090017">
      <w:start w:val="1"/>
      <w:numFmt w:val="lowerLetter"/>
      <w:lvlText w:val="%1)"/>
      <w:lvlJc w:val="left"/>
      <w:pPr>
        <w:ind w:left="1154" w:hanging="360"/>
      </w:pPr>
    </w:lvl>
    <w:lvl w:ilvl="1" w:tplc="08090019">
      <w:start w:val="1"/>
      <w:numFmt w:val="lowerLetter"/>
      <w:lvlText w:val="%2."/>
      <w:lvlJc w:val="left"/>
      <w:pPr>
        <w:ind w:left="1874" w:hanging="360"/>
      </w:pPr>
    </w:lvl>
    <w:lvl w:ilvl="2" w:tplc="0809001B">
      <w:start w:val="1"/>
      <w:numFmt w:val="lowerRoman"/>
      <w:lvlText w:val="%3."/>
      <w:lvlJc w:val="right"/>
      <w:pPr>
        <w:ind w:left="2594" w:hanging="180"/>
      </w:pPr>
    </w:lvl>
    <w:lvl w:ilvl="3" w:tplc="0809000F">
      <w:start w:val="1"/>
      <w:numFmt w:val="decimal"/>
      <w:lvlText w:val="%4."/>
      <w:lvlJc w:val="left"/>
      <w:pPr>
        <w:ind w:left="3314" w:hanging="360"/>
      </w:pPr>
    </w:lvl>
    <w:lvl w:ilvl="4" w:tplc="08090019">
      <w:start w:val="1"/>
      <w:numFmt w:val="lowerLetter"/>
      <w:lvlText w:val="%5."/>
      <w:lvlJc w:val="left"/>
      <w:pPr>
        <w:ind w:left="4034" w:hanging="360"/>
      </w:pPr>
    </w:lvl>
    <w:lvl w:ilvl="5" w:tplc="0809001B">
      <w:start w:val="1"/>
      <w:numFmt w:val="lowerRoman"/>
      <w:lvlText w:val="%6."/>
      <w:lvlJc w:val="right"/>
      <w:pPr>
        <w:ind w:left="4754" w:hanging="180"/>
      </w:pPr>
    </w:lvl>
    <w:lvl w:ilvl="6" w:tplc="0809000F">
      <w:start w:val="1"/>
      <w:numFmt w:val="decimal"/>
      <w:lvlText w:val="%7."/>
      <w:lvlJc w:val="left"/>
      <w:pPr>
        <w:ind w:left="5474" w:hanging="360"/>
      </w:pPr>
    </w:lvl>
    <w:lvl w:ilvl="7" w:tplc="08090019">
      <w:start w:val="1"/>
      <w:numFmt w:val="lowerLetter"/>
      <w:lvlText w:val="%8."/>
      <w:lvlJc w:val="left"/>
      <w:pPr>
        <w:ind w:left="6194" w:hanging="360"/>
      </w:pPr>
    </w:lvl>
    <w:lvl w:ilvl="8" w:tplc="0809001B">
      <w:start w:val="1"/>
      <w:numFmt w:val="lowerRoman"/>
      <w:lvlText w:val="%9."/>
      <w:lvlJc w:val="right"/>
      <w:pPr>
        <w:ind w:left="6914" w:hanging="180"/>
      </w:pPr>
    </w:lvl>
  </w:abstractNum>
  <w:abstractNum w:abstractNumId="3"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5" w15:restartNumberingAfterBreak="0">
    <w:nsid w:val="39424BA1"/>
    <w:multiLevelType w:val="hybridMultilevel"/>
    <w:tmpl w:val="01CADF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464FE8"/>
    <w:multiLevelType w:val="hybridMultilevel"/>
    <w:tmpl w:val="D85E0EFC"/>
    <w:lvl w:ilvl="0" w:tplc="21D08668">
      <w:start w:val="1"/>
      <w:numFmt w:val="lowerLetter"/>
      <w:lvlText w:val="%1)"/>
      <w:lvlJc w:val="left"/>
      <w:pPr>
        <w:ind w:left="1080" w:hanging="360"/>
      </w:pPr>
      <w:rPr>
        <w:rFonts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7" w15:restartNumberingAfterBreak="0">
    <w:nsid w:val="3B9D288A"/>
    <w:multiLevelType w:val="hybridMultilevel"/>
    <w:tmpl w:val="FDC060FA"/>
    <w:lvl w:ilvl="0" w:tplc="32EA939A">
      <w:start w:val="1"/>
      <w:numFmt w:val="lowerLetter"/>
      <w:lvlText w:val="%1)"/>
      <w:lvlJc w:val="left"/>
      <w:pPr>
        <w:ind w:left="1080" w:hanging="360"/>
      </w:pPr>
      <w:rPr>
        <w:rFonts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8"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433C0C23"/>
    <w:multiLevelType w:val="hybridMultilevel"/>
    <w:tmpl w:val="0B204034"/>
    <w:lvl w:ilvl="0" w:tplc="B5087416">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45051D95"/>
    <w:multiLevelType w:val="hybridMultilevel"/>
    <w:tmpl w:val="15EE8D1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6AAF7842"/>
    <w:multiLevelType w:val="hybridMultilevel"/>
    <w:tmpl w:val="4466893C"/>
    <w:lvl w:ilvl="0" w:tplc="08090017">
      <w:start w:val="1"/>
      <w:numFmt w:val="lowerLetter"/>
      <w:lvlText w:val="%1)"/>
      <w:lvlJc w:val="left"/>
      <w:pPr>
        <w:ind w:left="720" w:hanging="360"/>
      </w:pPr>
    </w:lvl>
    <w:lvl w:ilvl="1" w:tplc="15909506">
      <w:start w:val="1"/>
      <w:numFmt w:val="lowerRoman"/>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5"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6" w15:restartNumberingAfterBreak="0">
    <w:nsid w:val="7885532C"/>
    <w:multiLevelType w:val="hybridMultilevel"/>
    <w:tmpl w:val="66F2A7A0"/>
    <w:lvl w:ilvl="0" w:tplc="FFFFFFFF">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16cid:durableId="838545421">
    <w:abstractNumId w:val="11"/>
  </w:num>
  <w:num w:numId="2" w16cid:durableId="1909727182">
    <w:abstractNumId w:val="15"/>
  </w:num>
  <w:num w:numId="3" w16cid:durableId="1853378115">
    <w:abstractNumId w:val="0"/>
  </w:num>
  <w:num w:numId="4" w16cid:durableId="2134250739">
    <w:abstractNumId w:val="9"/>
  </w:num>
  <w:num w:numId="5" w16cid:durableId="1707213364">
    <w:abstractNumId w:val="1"/>
  </w:num>
  <w:num w:numId="6" w16cid:durableId="294139101">
    <w:abstractNumId w:val="10"/>
  </w:num>
  <w:num w:numId="7" w16cid:durableId="1831868697">
    <w:abstractNumId w:val="5"/>
  </w:num>
  <w:num w:numId="8" w16cid:durableId="2017263622">
    <w:abstractNumId w:val="16"/>
  </w:num>
  <w:num w:numId="9" w16cid:durableId="103815159">
    <w:abstractNumId w:val="3"/>
  </w:num>
  <w:num w:numId="10" w16cid:durableId="12051431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37339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15398827">
    <w:abstractNumId w:val="13"/>
  </w:num>
  <w:num w:numId="13" w16cid:durableId="5434457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305728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57647937">
    <w:abstractNumId w:val="14"/>
  </w:num>
  <w:num w:numId="16" w16cid:durableId="1260484629">
    <w:abstractNumId w:val="2"/>
  </w:num>
  <w:num w:numId="17" w16cid:durableId="3777776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04442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12622929">
    <w:abstractNumId w:val="6"/>
  </w:num>
  <w:num w:numId="20" w16cid:durableId="10567839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432C"/>
    <w:rsid w:val="00014FE0"/>
    <w:rsid w:val="00024795"/>
    <w:rsid w:val="00025670"/>
    <w:rsid w:val="00030312"/>
    <w:rsid w:val="00031E17"/>
    <w:rsid w:val="00032B9F"/>
    <w:rsid w:val="00035B57"/>
    <w:rsid w:val="000419E0"/>
    <w:rsid w:val="00043517"/>
    <w:rsid w:val="00045EDB"/>
    <w:rsid w:val="00051F66"/>
    <w:rsid w:val="000661B2"/>
    <w:rsid w:val="000766D0"/>
    <w:rsid w:val="00093F23"/>
    <w:rsid w:val="000B16FA"/>
    <w:rsid w:val="000B5F28"/>
    <w:rsid w:val="000C29C6"/>
    <w:rsid w:val="000C6EFB"/>
    <w:rsid w:val="000D2F46"/>
    <w:rsid w:val="000D3F71"/>
    <w:rsid w:val="000D44BA"/>
    <w:rsid w:val="000F009E"/>
    <w:rsid w:val="000F63B8"/>
    <w:rsid w:val="000F7FB0"/>
    <w:rsid w:val="00123709"/>
    <w:rsid w:val="00125163"/>
    <w:rsid w:val="0012610B"/>
    <w:rsid w:val="0016158D"/>
    <w:rsid w:val="00174216"/>
    <w:rsid w:val="00174B49"/>
    <w:rsid w:val="0017722A"/>
    <w:rsid w:val="00183126"/>
    <w:rsid w:val="00184D5D"/>
    <w:rsid w:val="00187843"/>
    <w:rsid w:val="001911D4"/>
    <w:rsid w:val="001A1017"/>
    <w:rsid w:val="001A612A"/>
    <w:rsid w:val="001B3DA0"/>
    <w:rsid w:val="001B511E"/>
    <w:rsid w:val="001C44FB"/>
    <w:rsid w:val="001D13EC"/>
    <w:rsid w:val="001E5CC7"/>
    <w:rsid w:val="001F4332"/>
    <w:rsid w:val="002061A9"/>
    <w:rsid w:val="00217F1A"/>
    <w:rsid w:val="00227E27"/>
    <w:rsid w:val="00236D81"/>
    <w:rsid w:val="00237690"/>
    <w:rsid w:val="0024142C"/>
    <w:rsid w:val="00257A0C"/>
    <w:rsid w:val="002673C1"/>
    <w:rsid w:val="00271300"/>
    <w:rsid w:val="0028282D"/>
    <w:rsid w:val="00286C1C"/>
    <w:rsid w:val="00287DF8"/>
    <w:rsid w:val="002936F5"/>
    <w:rsid w:val="002956D2"/>
    <w:rsid w:val="002969E2"/>
    <w:rsid w:val="002A051D"/>
    <w:rsid w:val="002A4D7B"/>
    <w:rsid w:val="002A7BD2"/>
    <w:rsid w:val="002B2806"/>
    <w:rsid w:val="002B34D1"/>
    <w:rsid w:val="002B6F0F"/>
    <w:rsid w:val="002C1017"/>
    <w:rsid w:val="002C37B9"/>
    <w:rsid w:val="002C4921"/>
    <w:rsid w:val="002D0003"/>
    <w:rsid w:val="002E0DE9"/>
    <w:rsid w:val="002F73BD"/>
    <w:rsid w:val="00307B65"/>
    <w:rsid w:val="00311CDE"/>
    <w:rsid w:val="00320C17"/>
    <w:rsid w:val="00320C3D"/>
    <w:rsid w:val="00331D38"/>
    <w:rsid w:val="0033727F"/>
    <w:rsid w:val="0035024E"/>
    <w:rsid w:val="00366B72"/>
    <w:rsid w:val="0036711C"/>
    <w:rsid w:val="00367769"/>
    <w:rsid w:val="00381424"/>
    <w:rsid w:val="00381BA5"/>
    <w:rsid w:val="003936A2"/>
    <w:rsid w:val="003C1874"/>
    <w:rsid w:val="003C569E"/>
    <w:rsid w:val="003D0BE8"/>
    <w:rsid w:val="00400631"/>
    <w:rsid w:val="00400C71"/>
    <w:rsid w:val="0040259F"/>
    <w:rsid w:val="00404B71"/>
    <w:rsid w:val="00417AC1"/>
    <w:rsid w:val="00432E17"/>
    <w:rsid w:val="00437896"/>
    <w:rsid w:val="0044166F"/>
    <w:rsid w:val="00447343"/>
    <w:rsid w:val="00450F2D"/>
    <w:rsid w:val="00464C87"/>
    <w:rsid w:val="00466EE0"/>
    <w:rsid w:val="004714F5"/>
    <w:rsid w:val="0048194C"/>
    <w:rsid w:val="00481A60"/>
    <w:rsid w:val="0049097F"/>
    <w:rsid w:val="00491143"/>
    <w:rsid w:val="004B19B8"/>
    <w:rsid w:val="004B3794"/>
    <w:rsid w:val="004B5847"/>
    <w:rsid w:val="004D68DE"/>
    <w:rsid w:val="004F167E"/>
    <w:rsid w:val="004F5247"/>
    <w:rsid w:val="00503A13"/>
    <w:rsid w:val="005100D6"/>
    <w:rsid w:val="00510A13"/>
    <w:rsid w:val="00512503"/>
    <w:rsid w:val="0051389E"/>
    <w:rsid w:val="005239D3"/>
    <w:rsid w:val="00525A1B"/>
    <w:rsid w:val="00526671"/>
    <w:rsid w:val="00527501"/>
    <w:rsid w:val="005330F7"/>
    <w:rsid w:val="00534A1F"/>
    <w:rsid w:val="005375B9"/>
    <w:rsid w:val="005411D2"/>
    <w:rsid w:val="00557046"/>
    <w:rsid w:val="00563598"/>
    <w:rsid w:val="005719A0"/>
    <w:rsid w:val="00576F0C"/>
    <w:rsid w:val="00583A6D"/>
    <w:rsid w:val="00590E3F"/>
    <w:rsid w:val="00591DFD"/>
    <w:rsid w:val="005A03F2"/>
    <w:rsid w:val="005A6DC8"/>
    <w:rsid w:val="005A76A5"/>
    <w:rsid w:val="005B2C9B"/>
    <w:rsid w:val="005B33A9"/>
    <w:rsid w:val="005B73A2"/>
    <w:rsid w:val="005C28E8"/>
    <w:rsid w:val="005C5722"/>
    <w:rsid w:val="005D4DBF"/>
    <w:rsid w:val="005D7F10"/>
    <w:rsid w:val="005E6D3C"/>
    <w:rsid w:val="005E7A4A"/>
    <w:rsid w:val="005F2391"/>
    <w:rsid w:val="005F61BF"/>
    <w:rsid w:val="005F738C"/>
    <w:rsid w:val="00600057"/>
    <w:rsid w:val="00610E75"/>
    <w:rsid w:val="00613E3E"/>
    <w:rsid w:val="00616645"/>
    <w:rsid w:val="00625701"/>
    <w:rsid w:val="00636638"/>
    <w:rsid w:val="006479C3"/>
    <w:rsid w:val="00653CD5"/>
    <w:rsid w:val="00663740"/>
    <w:rsid w:val="00664A8A"/>
    <w:rsid w:val="00672E7A"/>
    <w:rsid w:val="00680DA1"/>
    <w:rsid w:val="006862C9"/>
    <w:rsid w:val="006935BB"/>
    <w:rsid w:val="006A4F24"/>
    <w:rsid w:val="006A7DC4"/>
    <w:rsid w:val="006B0CEB"/>
    <w:rsid w:val="006B1B6E"/>
    <w:rsid w:val="006B5B5D"/>
    <w:rsid w:val="006D0307"/>
    <w:rsid w:val="006D07C7"/>
    <w:rsid w:val="006D1E35"/>
    <w:rsid w:val="006E2942"/>
    <w:rsid w:val="006E4B49"/>
    <w:rsid w:val="006E58AE"/>
    <w:rsid w:val="006F711F"/>
    <w:rsid w:val="00700A29"/>
    <w:rsid w:val="00707674"/>
    <w:rsid w:val="00713D18"/>
    <w:rsid w:val="0072234E"/>
    <w:rsid w:val="00722FBB"/>
    <w:rsid w:val="00724224"/>
    <w:rsid w:val="007343C3"/>
    <w:rsid w:val="007366FF"/>
    <w:rsid w:val="00745B1B"/>
    <w:rsid w:val="00745DAF"/>
    <w:rsid w:val="00762860"/>
    <w:rsid w:val="00762F83"/>
    <w:rsid w:val="00771E0C"/>
    <w:rsid w:val="00791397"/>
    <w:rsid w:val="007A54FC"/>
    <w:rsid w:val="007C7C0D"/>
    <w:rsid w:val="007E0A35"/>
    <w:rsid w:val="007E592B"/>
    <w:rsid w:val="007E7221"/>
    <w:rsid w:val="007F4CC4"/>
    <w:rsid w:val="007F594C"/>
    <w:rsid w:val="008026D4"/>
    <w:rsid w:val="00811CBB"/>
    <w:rsid w:val="008168CF"/>
    <w:rsid w:val="0081694F"/>
    <w:rsid w:val="00825ED4"/>
    <w:rsid w:val="00826E35"/>
    <w:rsid w:val="0083384C"/>
    <w:rsid w:val="00836903"/>
    <w:rsid w:val="008421A6"/>
    <w:rsid w:val="00842B75"/>
    <w:rsid w:val="0084470C"/>
    <w:rsid w:val="00845E6C"/>
    <w:rsid w:val="008543A1"/>
    <w:rsid w:val="00854C0F"/>
    <w:rsid w:val="0085524D"/>
    <w:rsid w:val="00855734"/>
    <w:rsid w:val="00855F79"/>
    <w:rsid w:val="00856559"/>
    <w:rsid w:val="00872FF8"/>
    <w:rsid w:val="008755C5"/>
    <w:rsid w:val="008768CB"/>
    <w:rsid w:val="00876E3B"/>
    <w:rsid w:val="00882877"/>
    <w:rsid w:val="00894357"/>
    <w:rsid w:val="00894B4D"/>
    <w:rsid w:val="008A1C77"/>
    <w:rsid w:val="008B0AC3"/>
    <w:rsid w:val="008B727F"/>
    <w:rsid w:val="008D7DA7"/>
    <w:rsid w:val="008E314E"/>
    <w:rsid w:val="008E6A17"/>
    <w:rsid w:val="0090057B"/>
    <w:rsid w:val="00902852"/>
    <w:rsid w:val="009043C3"/>
    <w:rsid w:val="0092002A"/>
    <w:rsid w:val="009251D9"/>
    <w:rsid w:val="00933B90"/>
    <w:rsid w:val="00936BA7"/>
    <w:rsid w:val="00942BCE"/>
    <w:rsid w:val="0095217A"/>
    <w:rsid w:val="00965027"/>
    <w:rsid w:val="00975876"/>
    <w:rsid w:val="00981906"/>
    <w:rsid w:val="00984E0E"/>
    <w:rsid w:val="009B5B1D"/>
    <w:rsid w:val="009C3DE2"/>
    <w:rsid w:val="009C4636"/>
    <w:rsid w:val="009C690B"/>
    <w:rsid w:val="009D33BD"/>
    <w:rsid w:val="009F2928"/>
    <w:rsid w:val="00A1024B"/>
    <w:rsid w:val="00A11149"/>
    <w:rsid w:val="00A132CD"/>
    <w:rsid w:val="00A20B32"/>
    <w:rsid w:val="00A21B1C"/>
    <w:rsid w:val="00A230B7"/>
    <w:rsid w:val="00A23D11"/>
    <w:rsid w:val="00A243DF"/>
    <w:rsid w:val="00A44ED2"/>
    <w:rsid w:val="00A45343"/>
    <w:rsid w:val="00A45435"/>
    <w:rsid w:val="00A47678"/>
    <w:rsid w:val="00A5154C"/>
    <w:rsid w:val="00A67A32"/>
    <w:rsid w:val="00A73B71"/>
    <w:rsid w:val="00A909EB"/>
    <w:rsid w:val="00A91345"/>
    <w:rsid w:val="00A96955"/>
    <w:rsid w:val="00AA46AA"/>
    <w:rsid w:val="00AB5A29"/>
    <w:rsid w:val="00AD0D21"/>
    <w:rsid w:val="00AE597F"/>
    <w:rsid w:val="00AE65BB"/>
    <w:rsid w:val="00AF199D"/>
    <w:rsid w:val="00B01BD8"/>
    <w:rsid w:val="00B10BAF"/>
    <w:rsid w:val="00B12BFB"/>
    <w:rsid w:val="00B130A4"/>
    <w:rsid w:val="00B203AF"/>
    <w:rsid w:val="00B41974"/>
    <w:rsid w:val="00B41F6F"/>
    <w:rsid w:val="00B44187"/>
    <w:rsid w:val="00B47F2B"/>
    <w:rsid w:val="00B508DE"/>
    <w:rsid w:val="00B51A11"/>
    <w:rsid w:val="00B52690"/>
    <w:rsid w:val="00B60560"/>
    <w:rsid w:val="00B63681"/>
    <w:rsid w:val="00B64020"/>
    <w:rsid w:val="00B6438F"/>
    <w:rsid w:val="00B779CF"/>
    <w:rsid w:val="00B82B1B"/>
    <w:rsid w:val="00B85AC3"/>
    <w:rsid w:val="00B85C7E"/>
    <w:rsid w:val="00B9572B"/>
    <w:rsid w:val="00BA0E45"/>
    <w:rsid w:val="00BA31BE"/>
    <w:rsid w:val="00BA3D8E"/>
    <w:rsid w:val="00BA48B7"/>
    <w:rsid w:val="00BB2320"/>
    <w:rsid w:val="00BB29AD"/>
    <w:rsid w:val="00BB6D6E"/>
    <w:rsid w:val="00BB7FAE"/>
    <w:rsid w:val="00BD2585"/>
    <w:rsid w:val="00BE0915"/>
    <w:rsid w:val="00BE2BAF"/>
    <w:rsid w:val="00BF7AB3"/>
    <w:rsid w:val="00C05892"/>
    <w:rsid w:val="00C074AB"/>
    <w:rsid w:val="00C102F5"/>
    <w:rsid w:val="00C2757C"/>
    <w:rsid w:val="00C523D2"/>
    <w:rsid w:val="00C55344"/>
    <w:rsid w:val="00C571C4"/>
    <w:rsid w:val="00C60DFF"/>
    <w:rsid w:val="00C6421C"/>
    <w:rsid w:val="00C66729"/>
    <w:rsid w:val="00C7409D"/>
    <w:rsid w:val="00C75863"/>
    <w:rsid w:val="00C85E4A"/>
    <w:rsid w:val="00C93435"/>
    <w:rsid w:val="00C95ADB"/>
    <w:rsid w:val="00C9686E"/>
    <w:rsid w:val="00CB191C"/>
    <w:rsid w:val="00CB1A14"/>
    <w:rsid w:val="00CC2848"/>
    <w:rsid w:val="00CC2B13"/>
    <w:rsid w:val="00CC71BD"/>
    <w:rsid w:val="00CD004C"/>
    <w:rsid w:val="00CD7CAC"/>
    <w:rsid w:val="00CE0B08"/>
    <w:rsid w:val="00CE0CF8"/>
    <w:rsid w:val="00CE2FD8"/>
    <w:rsid w:val="00CE490C"/>
    <w:rsid w:val="00CE6856"/>
    <w:rsid w:val="00CF33C5"/>
    <w:rsid w:val="00CF5D3B"/>
    <w:rsid w:val="00CF6034"/>
    <w:rsid w:val="00CF784C"/>
    <w:rsid w:val="00D0646F"/>
    <w:rsid w:val="00D20009"/>
    <w:rsid w:val="00D21AA3"/>
    <w:rsid w:val="00D31A4D"/>
    <w:rsid w:val="00D469DF"/>
    <w:rsid w:val="00D474B2"/>
    <w:rsid w:val="00D54B8E"/>
    <w:rsid w:val="00D57B65"/>
    <w:rsid w:val="00D6038B"/>
    <w:rsid w:val="00D60BA2"/>
    <w:rsid w:val="00D62684"/>
    <w:rsid w:val="00D64B2E"/>
    <w:rsid w:val="00D724B1"/>
    <w:rsid w:val="00D73F7B"/>
    <w:rsid w:val="00D830B9"/>
    <w:rsid w:val="00D84B7C"/>
    <w:rsid w:val="00D93628"/>
    <w:rsid w:val="00D97E08"/>
    <w:rsid w:val="00DA1194"/>
    <w:rsid w:val="00DA5E41"/>
    <w:rsid w:val="00DC280D"/>
    <w:rsid w:val="00DE12B3"/>
    <w:rsid w:val="00DF3C58"/>
    <w:rsid w:val="00E03C67"/>
    <w:rsid w:val="00E040E2"/>
    <w:rsid w:val="00E05E31"/>
    <w:rsid w:val="00E16A90"/>
    <w:rsid w:val="00E17C41"/>
    <w:rsid w:val="00E25ACC"/>
    <w:rsid w:val="00E31179"/>
    <w:rsid w:val="00E317A4"/>
    <w:rsid w:val="00E43E69"/>
    <w:rsid w:val="00E456A0"/>
    <w:rsid w:val="00E53A32"/>
    <w:rsid w:val="00E5425B"/>
    <w:rsid w:val="00E545EB"/>
    <w:rsid w:val="00E62E9B"/>
    <w:rsid w:val="00E67E93"/>
    <w:rsid w:val="00E70876"/>
    <w:rsid w:val="00E81CD7"/>
    <w:rsid w:val="00E87AFE"/>
    <w:rsid w:val="00E92E6D"/>
    <w:rsid w:val="00E94631"/>
    <w:rsid w:val="00E948A2"/>
    <w:rsid w:val="00E971C1"/>
    <w:rsid w:val="00EA42D4"/>
    <w:rsid w:val="00EC2A3C"/>
    <w:rsid w:val="00EC5538"/>
    <w:rsid w:val="00EC7EE5"/>
    <w:rsid w:val="00ED7920"/>
    <w:rsid w:val="00EE3D65"/>
    <w:rsid w:val="00EE523C"/>
    <w:rsid w:val="00EE5D72"/>
    <w:rsid w:val="00EE5F89"/>
    <w:rsid w:val="00EE6E13"/>
    <w:rsid w:val="00EF3276"/>
    <w:rsid w:val="00EF72F1"/>
    <w:rsid w:val="00EF79FD"/>
    <w:rsid w:val="00F008CF"/>
    <w:rsid w:val="00F07785"/>
    <w:rsid w:val="00F12C2B"/>
    <w:rsid w:val="00F158F2"/>
    <w:rsid w:val="00F16DC0"/>
    <w:rsid w:val="00F2255B"/>
    <w:rsid w:val="00F2282E"/>
    <w:rsid w:val="00F43292"/>
    <w:rsid w:val="00F54463"/>
    <w:rsid w:val="00F5582B"/>
    <w:rsid w:val="00F95B99"/>
    <w:rsid w:val="00F96509"/>
    <w:rsid w:val="00FB5A28"/>
    <w:rsid w:val="00FB7319"/>
    <w:rsid w:val="00FC3B3E"/>
    <w:rsid w:val="00FD0A34"/>
    <w:rsid w:val="00FD5CA5"/>
    <w:rsid w:val="00FD611B"/>
    <w:rsid w:val="00FD7A4A"/>
    <w:rsid w:val="00FF2A5F"/>
    <w:rsid w:val="018ADFE4"/>
    <w:rsid w:val="01F60929"/>
    <w:rsid w:val="020C45A0"/>
    <w:rsid w:val="0530A361"/>
    <w:rsid w:val="0647A6CA"/>
    <w:rsid w:val="07627463"/>
    <w:rsid w:val="088E1BFE"/>
    <w:rsid w:val="08BF2412"/>
    <w:rsid w:val="0CB84914"/>
    <w:rsid w:val="0D06F2F6"/>
    <w:rsid w:val="0E822376"/>
    <w:rsid w:val="0EA2C357"/>
    <w:rsid w:val="1143AEAB"/>
    <w:rsid w:val="1187DB51"/>
    <w:rsid w:val="11A4E294"/>
    <w:rsid w:val="11E3A06D"/>
    <w:rsid w:val="14E5BC4B"/>
    <w:rsid w:val="1580E2A5"/>
    <w:rsid w:val="15B5BD26"/>
    <w:rsid w:val="165F2B5A"/>
    <w:rsid w:val="174902EB"/>
    <w:rsid w:val="17921E24"/>
    <w:rsid w:val="1996CC1C"/>
    <w:rsid w:val="1B19E75B"/>
    <w:rsid w:val="20A20019"/>
    <w:rsid w:val="26EA2FE0"/>
    <w:rsid w:val="280224B1"/>
    <w:rsid w:val="28152E25"/>
    <w:rsid w:val="2B10D988"/>
    <w:rsid w:val="2CD04134"/>
    <w:rsid w:val="2CEC7E2E"/>
    <w:rsid w:val="2DEB5D50"/>
    <w:rsid w:val="2E2C9E1A"/>
    <w:rsid w:val="30241EF0"/>
    <w:rsid w:val="30CCA756"/>
    <w:rsid w:val="31574180"/>
    <w:rsid w:val="3485042A"/>
    <w:rsid w:val="36BA2130"/>
    <w:rsid w:val="36FD70BC"/>
    <w:rsid w:val="37BCA4EC"/>
    <w:rsid w:val="381916DA"/>
    <w:rsid w:val="39AD845D"/>
    <w:rsid w:val="3A8337B4"/>
    <w:rsid w:val="3C3D8D47"/>
    <w:rsid w:val="3D233A62"/>
    <w:rsid w:val="3D953102"/>
    <w:rsid w:val="3F935797"/>
    <w:rsid w:val="4114DD50"/>
    <w:rsid w:val="435123F7"/>
    <w:rsid w:val="443F8AF8"/>
    <w:rsid w:val="44BC7A45"/>
    <w:rsid w:val="44C3BD1A"/>
    <w:rsid w:val="44C40229"/>
    <w:rsid w:val="467CB145"/>
    <w:rsid w:val="48A6C1DF"/>
    <w:rsid w:val="48AF5617"/>
    <w:rsid w:val="48C1A90E"/>
    <w:rsid w:val="4906C6D8"/>
    <w:rsid w:val="493FB075"/>
    <w:rsid w:val="4D4B52EA"/>
    <w:rsid w:val="4F1CA4D0"/>
    <w:rsid w:val="5201BCCA"/>
    <w:rsid w:val="580035A9"/>
    <w:rsid w:val="5A6BEC55"/>
    <w:rsid w:val="5BAC7DF6"/>
    <w:rsid w:val="5D7DCFDC"/>
    <w:rsid w:val="60D282B9"/>
    <w:rsid w:val="64E0D453"/>
    <w:rsid w:val="6CB6000C"/>
    <w:rsid w:val="6F247D7D"/>
    <w:rsid w:val="6F46781E"/>
    <w:rsid w:val="7080F926"/>
    <w:rsid w:val="7558492F"/>
    <w:rsid w:val="7918F2B2"/>
    <w:rsid w:val="7D020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2ECF4F"/>
  <w15:chartTrackingRefBased/>
  <w15:docId w15:val="{066C0BE0-2655-4AF2-B971-7635A84B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link w:val="ListParagraphChar"/>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paragraph" w:styleId="Revision">
    <w:name w:val="Revision"/>
    <w:hidden/>
    <w:uiPriority w:val="99"/>
    <w:semiHidden/>
    <w:rsid w:val="00527501"/>
    <w:pPr>
      <w:spacing w:after="0" w:line="240" w:lineRule="auto"/>
    </w:pPr>
  </w:style>
  <w:style w:type="character" w:styleId="CommentReference">
    <w:name w:val="annotation reference"/>
    <w:basedOn w:val="DefaultParagraphFont"/>
    <w:uiPriority w:val="99"/>
    <w:semiHidden/>
    <w:unhideWhenUsed/>
    <w:rsid w:val="00576F0C"/>
    <w:rPr>
      <w:sz w:val="16"/>
      <w:szCs w:val="16"/>
    </w:rPr>
  </w:style>
  <w:style w:type="paragraph" w:styleId="CommentText">
    <w:name w:val="annotation text"/>
    <w:basedOn w:val="Normal"/>
    <w:link w:val="CommentTextChar"/>
    <w:uiPriority w:val="99"/>
    <w:unhideWhenUsed/>
    <w:rsid w:val="00576F0C"/>
    <w:pPr>
      <w:spacing w:line="240" w:lineRule="auto"/>
    </w:pPr>
    <w:rPr>
      <w:sz w:val="20"/>
      <w:szCs w:val="20"/>
    </w:rPr>
  </w:style>
  <w:style w:type="character" w:customStyle="1" w:styleId="CommentTextChar">
    <w:name w:val="Comment Text Char"/>
    <w:basedOn w:val="DefaultParagraphFont"/>
    <w:link w:val="CommentText"/>
    <w:uiPriority w:val="99"/>
    <w:rsid w:val="00576F0C"/>
    <w:rPr>
      <w:sz w:val="20"/>
      <w:szCs w:val="20"/>
    </w:rPr>
  </w:style>
  <w:style w:type="paragraph" w:styleId="CommentSubject">
    <w:name w:val="annotation subject"/>
    <w:basedOn w:val="CommentText"/>
    <w:next w:val="CommentText"/>
    <w:link w:val="CommentSubjectChar"/>
    <w:uiPriority w:val="99"/>
    <w:semiHidden/>
    <w:unhideWhenUsed/>
    <w:rsid w:val="00576F0C"/>
    <w:rPr>
      <w:b/>
      <w:bCs/>
    </w:rPr>
  </w:style>
  <w:style w:type="character" w:customStyle="1" w:styleId="CommentSubjectChar">
    <w:name w:val="Comment Subject Char"/>
    <w:basedOn w:val="CommentTextChar"/>
    <w:link w:val="CommentSubject"/>
    <w:uiPriority w:val="99"/>
    <w:semiHidden/>
    <w:rsid w:val="00576F0C"/>
    <w:rPr>
      <w:b/>
      <w:bCs/>
      <w:sz w:val="20"/>
      <w:szCs w:val="20"/>
    </w:rPr>
  </w:style>
  <w:style w:type="character" w:styleId="Hyperlink">
    <w:name w:val="Hyperlink"/>
    <w:basedOn w:val="DefaultParagraphFont"/>
    <w:uiPriority w:val="99"/>
    <w:unhideWhenUsed/>
    <w:rsid w:val="00CC71BD"/>
    <w:rPr>
      <w:color w:val="0563C1" w:themeColor="hyperlink"/>
      <w:u w:val="single"/>
    </w:rPr>
  </w:style>
  <w:style w:type="character" w:styleId="UnresolvedMention">
    <w:name w:val="Unresolved Mention"/>
    <w:basedOn w:val="DefaultParagraphFont"/>
    <w:uiPriority w:val="99"/>
    <w:unhideWhenUsed/>
    <w:rsid w:val="00CC71BD"/>
    <w:rPr>
      <w:color w:val="605E5C"/>
      <w:shd w:val="clear" w:color="auto" w:fill="E1DFDD"/>
    </w:rPr>
  </w:style>
  <w:style w:type="character" w:customStyle="1" w:styleId="markedcontent">
    <w:name w:val="markedcontent"/>
    <w:basedOn w:val="DefaultParagraphFont"/>
    <w:rsid w:val="00CB1A14"/>
  </w:style>
  <w:style w:type="character" w:styleId="FollowedHyperlink">
    <w:name w:val="FollowedHyperlink"/>
    <w:basedOn w:val="DefaultParagraphFont"/>
    <w:uiPriority w:val="99"/>
    <w:semiHidden/>
    <w:unhideWhenUsed/>
    <w:rsid w:val="0084470C"/>
    <w:rPr>
      <w:color w:val="954F72" w:themeColor="followedHyperlink"/>
      <w:u w:val="single"/>
    </w:rPr>
  </w:style>
  <w:style w:type="paragraph" w:customStyle="1" w:styleId="Secondnumbering">
    <w:name w:val="Second numbering"/>
    <w:basedOn w:val="Normal"/>
    <w:link w:val="SecondnumberingChar"/>
    <w:qFormat/>
    <w:rsid w:val="00680DA1"/>
    <w:pPr>
      <w:numPr>
        <w:numId w:val="9"/>
      </w:numPr>
      <w:spacing w:after="0" w:line="240" w:lineRule="auto"/>
      <w:ind w:left="1134" w:hanging="283"/>
    </w:pPr>
    <w:rPr>
      <w:lang w:val="en-GB"/>
    </w:rPr>
  </w:style>
  <w:style w:type="character" w:customStyle="1" w:styleId="ListParagraphChar">
    <w:name w:val="List Paragraph Char"/>
    <w:basedOn w:val="DefaultParagraphFont"/>
    <w:link w:val="ListParagraph"/>
    <w:uiPriority w:val="34"/>
    <w:rsid w:val="00680DA1"/>
  </w:style>
  <w:style w:type="character" w:customStyle="1" w:styleId="SecondnumberingChar">
    <w:name w:val="Second numbering Char"/>
    <w:basedOn w:val="DefaultParagraphFont"/>
    <w:link w:val="Secondnumbering"/>
    <w:rsid w:val="00680DA1"/>
    <w:rPr>
      <w:lang w:val="en-GB"/>
    </w:rPr>
  </w:style>
  <w:style w:type="character" w:styleId="Mention">
    <w:name w:val="Mention"/>
    <w:basedOn w:val="DefaultParagraphFont"/>
    <w:uiPriority w:val="99"/>
    <w:unhideWhenUsed/>
    <w:rsid w:val="00845E6C"/>
    <w:rPr>
      <w:color w:val="2B579A"/>
      <w:shd w:val="clear" w:color="auto" w:fill="E1DFDD"/>
    </w:rPr>
  </w:style>
  <w:style w:type="paragraph" w:styleId="FootnoteText">
    <w:name w:val="footnote text"/>
    <w:basedOn w:val="Normal"/>
    <w:link w:val="FootnoteTextChar"/>
    <w:uiPriority w:val="99"/>
    <w:semiHidden/>
    <w:unhideWhenUsed/>
    <w:rsid w:val="00D469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69DF"/>
    <w:rPr>
      <w:sz w:val="20"/>
      <w:szCs w:val="20"/>
    </w:rPr>
  </w:style>
  <w:style w:type="character" w:styleId="FootnoteReference">
    <w:name w:val="footnote reference"/>
    <w:basedOn w:val="DefaultParagraphFont"/>
    <w:uiPriority w:val="99"/>
    <w:semiHidden/>
    <w:unhideWhenUsed/>
    <w:rsid w:val="00D469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504960">
      <w:bodyDiv w:val="1"/>
      <w:marLeft w:val="0"/>
      <w:marRight w:val="0"/>
      <w:marTop w:val="0"/>
      <w:marBottom w:val="0"/>
      <w:divBdr>
        <w:top w:val="none" w:sz="0" w:space="0" w:color="auto"/>
        <w:left w:val="none" w:sz="0" w:space="0" w:color="auto"/>
        <w:bottom w:val="none" w:sz="0" w:space="0" w:color="auto"/>
        <w:right w:val="none" w:sz="0" w:space="0" w:color="auto"/>
      </w:divBdr>
    </w:div>
    <w:div w:id="854149069">
      <w:bodyDiv w:val="1"/>
      <w:marLeft w:val="0"/>
      <w:marRight w:val="0"/>
      <w:marTop w:val="0"/>
      <w:marBottom w:val="0"/>
      <w:divBdr>
        <w:top w:val="none" w:sz="0" w:space="0" w:color="auto"/>
        <w:left w:val="none" w:sz="0" w:space="0" w:color="auto"/>
        <w:bottom w:val="none" w:sz="0" w:space="0" w:color="auto"/>
        <w:right w:val="none" w:sz="0" w:space="0" w:color="auto"/>
      </w:divBdr>
      <w:divsChild>
        <w:div w:id="2134906317">
          <w:marLeft w:val="0"/>
          <w:marRight w:val="0"/>
          <w:marTop w:val="0"/>
          <w:marBottom w:val="0"/>
          <w:divBdr>
            <w:top w:val="none" w:sz="0" w:space="0" w:color="auto"/>
            <w:left w:val="none" w:sz="0" w:space="0" w:color="auto"/>
            <w:bottom w:val="none" w:sz="0" w:space="0" w:color="auto"/>
            <w:right w:val="none" w:sz="0" w:space="0" w:color="auto"/>
          </w:divBdr>
        </w:div>
        <w:div w:id="1470319284">
          <w:marLeft w:val="0"/>
          <w:marRight w:val="0"/>
          <w:marTop w:val="0"/>
          <w:marBottom w:val="0"/>
          <w:divBdr>
            <w:top w:val="none" w:sz="0" w:space="0" w:color="auto"/>
            <w:left w:val="none" w:sz="0" w:space="0" w:color="auto"/>
            <w:bottom w:val="none" w:sz="0" w:space="0" w:color="auto"/>
            <w:right w:val="none" w:sz="0" w:space="0" w:color="auto"/>
          </w:divBdr>
        </w:div>
        <w:div w:id="1020009845">
          <w:marLeft w:val="0"/>
          <w:marRight w:val="0"/>
          <w:marTop w:val="0"/>
          <w:marBottom w:val="0"/>
          <w:divBdr>
            <w:top w:val="none" w:sz="0" w:space="0" w:color="auto"/>
            <w:left w:val="none" w:sz="0" w:space="0" w:color="auto"/>
            <w:bottom w:val="none" w:sz="0" w:space="0" w:color="auto"/>
            <w:right w:val="none" w:sz="0" w:space="0" w:color="auto"/>
          </w:divBdr>
        </w:div>
      </w:divsChild>
    </w:div>
    <w:div w:id="1510749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ansboundarycms.ap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www.transboundarycms.ap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transboundarycms.ap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dc.int/sites/default/files/2021-08/Wildlife_Conservation.pdf"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SharedWithUsers xmlns="c15478a5-0be8-4f5d-8383-b307d5ba8bf6">
      <UserInfo>
        <DisplayName>Clara Nobbe</DisplayName>
        <AccountId>21</AccountId>
        <AccountType/>
      </UserInfo>
      <UserInfo>
        <DisplayName>Aydin Bahramlouian</DisplayName>
        <AccountId>29</AccountId>
        <AccountType/>
      </UserInfo>
    </SharedWithUsers>
    <MediaLengthInSeconds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FBEE4B-F79A-4A7D-A963-27D3D74AB9EE}">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7A8912C1-87BF-4E3B-B718-36F47EF38EAF}">
  <ds:schemaRefs>
    <ds:schemaRef ds:uri="http://schemas.openxmlformats.org/officeDocument/2006/bibliography"/>
  </ds:schemaRefs>
</ds:datastoreItem>
</file>

<file path=customXml/itemProps3.xml><?xml version="1.0" encoding="utf-8"?>
<ds:datastoreItem xmlns:ds="http://schemas.openxmlformats.org/officeDocument/2006/customXml" ds:itemID="{88FCA49D-0D36-4A5D-BFE8-C80288E7D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2E4B6F-BDA5-42D2-A557-388BDAE9C8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2137</Words>
  <Characters>12182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11</cp:revision>
  <dcterms:created xsi:type="dcterms:W3CDTF">2023-09-14T08:07:00Z</dcterms:created>
  <dcterms:modified xsi:type="dcterms:W3CDTF">2023-12-06T10:45:00Z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MediaServiceImageTags">
    <vt:lpwstr/>
  </property>
  <property fmtid="{D5CDD505-2E9C-101B-9397-08002B2CF9AE}" pid="4" name="Order">
    <vt:r8>214600</vt:r8>
  </property>
  <property fmtid="{D5CDD505-2E9C-101B-9397-08002B2CF9AE}" pid="5" name="xd_Signature">
    <vt:bool>false</vt:bool>
  </property>
  <property fmtid="{D5CDD505-2E9C-101B-9397-08002B2CF9AE}" pid="6" name="xd_ProgID">
    <vt:lpwstr/>
  </property>
  <property fmtid="{D5CDD505-2E9C-101B-9397-08002B2CF9AE}" pid="7" name="_ColorHex">
    <vt:lpwstr/>
  </property>
  <property fmtid="{D5CDD505-2E9C-101B-9397-08002B2CF9AE}" pid="8" name="_Emoji">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_ColorTag">
    <vt:lpwstr/>
  </property>
  <property fmtid="{D5CDD505-2E9C-101B-9397-08002B2CF9AE}" pid="13" name="TriggerFlowInfo">
    <vt:lpwstr/>
  </property>
  <property fmtid="{D5CDD505-2E9C-101B-9397-08002B2CF9AE}" pid="14" name="TaxKeyword">
    <vt:lpwstr/>
  </property>
</Properties>
</file>