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FE322E" w14:paraId="20A3DAA5" w14:textId="77777777" w:rsidTr="0069242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32E67AC3" w:rsidR="00EC2A58" w:rsidRPr="0069242E"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69242E">
              <w:rPr>
                <w:rFonts w:eastAsia="Arial" w:cs="Arial"/>
              </w:rPr>
              <w:t>UNEP/CMS/COP1</w:t>
            </w:r>
            <w:r w:rsidR="00BA33FE" w:rsidRPr="0069242E">
              <w:rPr>
                <w:rFonts w:eastAsia="Arial" w:cs="Arial"/>
              </w:rPr>
              <w:t>4</w:t>
            </w:r>
            <w:r w:rsidRPr="0069242E">
              <w:rPr>
                <w:rFonts w:eastAsia="Arial" w:cs="Arial"/>
              </w:rPr>
              <w:t>/Doc.</w:t>
            </w:r>
            <w:r w:rsidR="00FE322E" w:rsidRPr="0069242E">
              <w:rPr>
                <w:rFonts w:eastAsia="Arial" w:cs="Arial"/>
              </w:rPr>
              <w:t>30.2.2</w:t>
            </w:r>
            <w:r w:rsidR="0069242E" w:rsidRPr="0069242E">
              <w:rPr>
                <w:rFonts w:eastAsia="Arial" w:cs="Arial"/>
              </w:rPr>
              <w:t>/Rev</w:t>
            </w:r>
            <w:r w:rsidR="0069242E">
              <w:rPr>
                <w:rFonts w:eastAsia="Arial" w:cs="Arial"/>
              </w:rPr>
              <w:t>.</w:t>
            </w:r>
            <w:r w:rsidR="00A30A6B">
              <w:rPr>
                <w:rFonts w:eastAsia="Arial" w:cs="Arial"/>
              </w:rPr>
              <w:t>2</w:t>
            </w:r>
          </w:p>
          <w:p w14:paraId="51739494" w14:textId="0E730EF0" w:rsidR="00EC2A58" w:rsidRPr="00FE322E" w:rsidRDefault="00A30A6B"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22 novembre</w:t>
            </w:r>
            <w:r w:rsidR="00EC2A58" w:rsidRPr="00FE322E">
              <w:rPr>
                <w:rFonts w:eastAsia="Arial" w:cs="Arial"/>
                <w:lang w:val="fr-FR"/>
              </w:rPr>
              <w:t xml:space="preserve"> 20</w:t>
            </w:r>
            <w:r w:rsidR="00BA33FE" w:rsidRPr="00FE322E">
              <w:rPr>
                <w:rFonts w:eastAsia="Arial" w:cs="Arial"/>
                <w:lang w:val="fr-FR"/>
              </w:rPr>
              <w:t>23</w:t>
            </w:r>
          </w:p>
          <w:p w14:paraId="5A17DC3D" w14:textId="77777777" w:rsidR="00EC2A58" w:rsidRPr="00FE322E"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FE322E"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B58AC39"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69242E">
        <w:rPr>
          <w:rFonts w:eastAsia="Arial" w:cs="Arial"/>
          <w:bCs/>
          <w:lang w:val="fr-FR"/>
        </w:rPr>
        <w:t>1</w:t>
      </w:r>
      <w:r>
        <w:rPr>
          <w:rFonts w:eastAsia="Arial" w:cs="Arial"/>
          <w:bCs/>
          <w:lang w:val="fr-FR"/>
        </w:rPr>
        <w:t xml:space="preserve">2 – </w:t>
      </w:r>
      <w:r w:rsidR="0069242E">
        <w:rPr>
          <w:rFonts w:eastAsia="Arial" w:cs="Arial"/>
          <w:bCs/>
          <w:lang w:val="fr-FR"/>
        </w:rPr>
        <w:t>17 février 2024</w:t>
      </w:r>
    </w:p>
    <w:p w14:paraId="4DD0AB0D" w14:textId="071A61F9"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FE322E">
        <w:rPr>
          <w:rFonts w:eastAsia="Arial" w:cs="Arial"/>
          <w:iCs/>
          <w:lang w:val="fr-FR"/>
        </w:rPr>
        <w:t>30.2</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67C7EDED" w:rsidR="00EC2A58" w:rsidRPr="006B22A1" w:rsidRDefault="006B22A1" w:rsidP="006B22A1">
      <w:pPr>
        <w:widowControl w:val="0"/>
        <w:suppressAutoHyphens/>
        <w:autoSpaceDE w:val="0"/>
        <w:autoSpaceDN w:val="0"/>
        <w:spacing w:after="120" w:line="240" w:lineRule="auto"/>
        <w:jc w:val="center"/>
        <w:textAlignment w:val="baseline"/>
        <w:rPr>
          <w:rFonts w:eastAsia="Times New Roman" w:cs="Arial"/>
          <w:b/>
          <w:bCs/>
          <w:lang w:val="fr-FR"/>
        </w:rPr>
      </w:pPr>
      <w:bookmarkStart w:id="0" w:name="_Hlk130987218"/>
      <w:r>
        <w:rPr>
          <w:rFonts w:eastAsia="Times New Roman" w:cs="Arial"/>
          <w:b/>
          <w:bCs/>
          <w:lang w:val="fr-FR"/>
        </w:rPr>
        <w:t>AIRES DE CONSERVATION TRANSFRONTIÈRES POUR LES ESPÈCES MIGRATRICES</w:t>
      </w:r>
      <w:bookmarkEnd w:id="0"/>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005C3D11">
                <wp:simplePos x="0" y="0"/>
                <wp:positionH relativeFrom="column">
                  <wp:posOffset>781050</wp:posOffset>
                </wp:positionH>
                <wp:positionV relativeFrom="paragraph">
                  <wp:posOffset>147320</wp:posOffset>
                </wp:positionV>
                <wp:extent cx="4419600" cy="20383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419600" cy="2038350"/>
                        </a:xfrm>
                        <a:prstGeom prst="rect">
                          <a:avLst/>
                        </a:prstGeom>
                        <a:solidFill>
                          <a:srgbClr val="FFFFFF"/>
                        </a:solidFill>
                        <a:ln w="3172">
                          <a:solidFill>
                            <a:srgbClr val="000000"/>
                          </a:solidFill>
                          <a:prstDash val="solid"/>
                        </a:ln>
                      </wps:spPr>
                      <wps:txbx>
                        <w:txbxContent>
                          <w:p w14:paraId="1663EA6C" w14:textId="77777777" w:rsidR="00EC2A58" w:rsidRPr="0069242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3622803B" w14:textId="77777777" w:rsidR="00DC77F7" w:rsidRDefault="00DC77F7" w:rsidP="00672A61">
                            <w:pPr>
                              <w:spacing w:after="0" w:line="240" w:lineRule="auto"/>
                              <w:jc w:val="both"/>
                              <w:rPr>
                                <w:rFonts w:cs="Arial"/>
                                <w:lang w:val="fr-FR"/>
                              </w:rPr>
                            </w:pPr>
                            <w:r>
                              <w:rPr>
                                <w:rFonts w:cs="Arial"/>
                                <w:lang w:val="fr-FR"/>
                              </w:rPr>
                              <w:t xml:space="preserve">Ce document rend compte de la mise en œuvre des Décisions 13.116 et 13.117 - </w:t>
                            </w:r>
                            <w:r>
                              <w:rPr>
                                <w:rFonts w:cs="Arial"/>
                                <w:i/>
                                <w:iCs/>
                                <w:lang w:val="fr-FR"/>
                              </w:rPr>
                              <w:t xml:space="preserve">Aires de conservation transfrontières pour les espèces migratrices. </w:t>
                            </w:r>
                            <w:r>
                              <w:rPr>
                                <w:rFonts w:cs="Arial"/>
                                <w:lang w:val="fr-FR"/>
                              </w:rPr>
                              <w:t>Il propose la suppression de ces décisions et l’adoption d’un nouvel ensemble de décisions.</w:t>
                            </w:r>
                          </w:p>
                          <w:p w14:paraId="1EA835BE" w14:textId="77777777" w:rsidR="00DC77F7" w:rsidRDefault="00DC77F7" w:rsidP="00EC2A58">
                            <w:pPr>
                              <w:spacing w:after="0"/>
                              <w:rPr>
                                <w:rFonts w:cs="Arial"/>
                                <w:lang w:val="fr-FR"/>
                              </w:rPr>
                            </w:pPr>
                          </w:p>
                          <w:p w14:paraId="478A8206" w14:textId="039E35BF" w:rsidR="00692605" w:rsidRPr="00692605" w:rsidRDefault="00692605" w:rsidP="00692605">
                            <w:pPr>
                              <w:jc w:val="both"/>
                              <w:rPr>
                                <w:lang w:val="fr-FR"/>
                              </w:rPr>
                            </w:pPr>
                            <w:r w:rsidRPr="00692605">
                              <w:rPr>
                                <w:lang w:val="fr-FR"/>
                              </w:rPr>
                              <w:t xml:space="preserve">Ce document a été révisé par le Secrétariat pour ajouter la recommandation de suppression de la </w:t>
                            </w:r>
                            <w:r>
                              <w:rPr>
                                <w:lang w:val="fr-FR"/>
                              </w:rPr>
                              <w:t>D</w:t>
                            </w:r>
                            <w:r w:rsidRPr="00692605">
                              <w:rPr>
                                <w:lang w:val="fr-FR"/>
                              </w:rPr>
                              <w:t>écision 13.118</w:t>
                            </w:r>
                            <w:r w:rsidR="00A30A6B">
                              <w:rPr>
                                <w:lang w:val="fr-FR"/>
                              </w:rPr>
                              <w:t xml:space="preserve"> </w:t>
                            </w:r>
                            <w:r w:rsidR="00A30A6B" w:rsidRPr="00A30A6B">
                              <w:rPr>
                                <w:lang w:val="fr-FR"/>
                              </w:rPr>
                              <w:t xml:space="preserve">et </w:t>
                            </w:r>
                            <w:r w:rsidR="00A30A6B">
                              <w:rPr>
                                <w:lang w:val="fr-FR"/>
                              </w:rPr>
                              <w:t>pour</w:t>
                            </w:r>
                            <w:r w:rsidR="00A30A6B" w:rsidRPr="00A30A6B">
                              <w:rPr>
                                <w:lang w:val="fr-FR"/>
                              </w:rPr>
                              <w:t xml:space="preserve"> remplacer l'hyperlien vers l'outil </w:t>
                            </w:r>
                            <w:hyperlink r:id="rId12" w:history="1">
                              <w:r w:rsidR="00A30A6B" w:rsidRPr="00C84A78">
                                <w:rPr>
                                  <w:rStyle w:val="Hyperlink"/>
                                  <w:i/>
                                  <w:iCs/>
                                  <w:lang w:val="fr-FR"/>
                                </w:rPr>
                                <w:t>Identifier les opportunités de conservation transfrontalière</w:t>
                              </w:r>
                            </w:hyperlink>
                            <w:r w:rsidR="00A30A6B" w:rsidRPr="00A30A6B">
                              <w:rPr>
                                <w:lang w:val="fr-FR"/>
                              </w:rPr>
                              <w:t xml:space="preserve"> mentionné au paragraphe 6. c.</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48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" strokeweight=".08811mm">
                <v:textbox>
                  <w:txbxContent>
                    <w:p w14:paraId="1663EA6C" w14:textId="77777777" w:rsidR="00EC2A58" w:rsidRPr="0069242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3622803B" w14:textId="77777777" w:rsidR="00DC77F7" w:rsidRDefault="00DC77F7" w:rsidP="00672A61">
                      <w:pPr>
                        <w:spacing w:after="0" w:line="240" w:lineRule="auto"/>
                        <w:jc w:val="both"/>
                        <w:rPr>
                          <w:rFonts w:cs="Arial"/>
                          <w:lang w:val="fr-FR"/>
                        </w:rPr>
                      </w:pPr>
                      <w:r>
                        <w:rPr>
                          <w:rFonts w:cs="Arial"/>
                          <w:lang w:val="fr-FR"/>
                        </w:rPr>
                        <w:t xml:space="preserve">Ce document rend compte de la mise en œuvre des Décisions 13.116 et 13.117 - </w:t>
                      </w:r>
                      <w:r>
                        <w:rPr>
                          <w:rFonts w:cs="Arial"/>
                          <w:i/>
                          <w:iCs/>
                          <w:lang w:val="fr-FR"/>
                        </w:rPr>
                        <w:t xml:space="preserve">Aires de conservation transfrontières pour les espèces migratrices. </w:t>
                      </w:r>
                      <w:r>
                        <w:rPr>
                          <w:rFonts w:cs="Arial"/>
                          <w:lang w:val="fr-FR"/>
                        </w:rPr>
                        <w:t>Il propose la suppression de ces décisions et l’adoption d’un nouvel ensemble de décisions.</w:t>
                      </w:r>
                    </w:p>
                    <w:p w14:paraId="1EA835BE" w14:textId="77777777" w:rsidR="00DC77F7" w:rsidRDefault="00DC77F7" w:rsidP="00EC2A58">
                      <w:pPr>
                        <w:spacing w:after="0"/>
                        <w:rPr>
                          <w:rFonts w:cs="Arial"/>
                          <w:lang w:val="fr-FR"/>
                        </w:rPr>
                      </w:pPr>
                    </w:p>
                    <w:p w14:paraId="478A8206" w14:textId="039E35BF" w:rsidR="00692605" w:rsidRPr="00692605" w:rsidRDefault="00692605" w:rsidP="00692605">
                      <w:pPr>
                        <w:jc w:val="both"/>
                        <w:rPr>
                          <w:lang w:val="fr-FR"/>
                        </w:rPr>
                      </w:pPr>
                      <w:r w:rsidRPr="00692605">
                        <w:rPr>
                          <w:lang w:val="fr-FR"/>
                        </w:rPr>
                        <w:t xml:space="preserve">Ce document a été révisé par le Secrétariat pour ajouter la recommandation de suppression de la </w:t>
                      </w:r>
                      <w:r>
                        <w:rPr>
                          <w:lang w:val="fr-FR"/>
                        </w:rPr>
                        <w:t>D</w:t>
                      </w:r>
                      <w:r w:rsidRPr="00692605">
                        <w:rPr>
                          <w:lang w:val="fr-FR"/>
                        </w:rPr>
                        <w:t>écision 13.118</w:t>
                      </w:r>
                      <w:r w:rsidR="00A30A6B">
                        <w:rPr>
                          <w:lang w:val="fr-FR"/>
                        </w:rPr>
                        <w:t xml:space="preserve"> </w:t>
                      </w:r>
                      <w:r w:rsidR="00A30A6B" w:rsidRPr="00A30A6B">
                        <w:rPr>
                          <w:lang w:val="fr-FR"/>
                        </w:rPr>
                        <w:t xml:space="preserve">et </w:t>
                      </w:r>
                      <w:r w:rsidR="00A30A6B">
                        <w:rPr>
                          <w:lang w:val="fr-FR"/>
                        </w:rPr>
                        <w:t>pour</w:t>
                      </w:r>
                      <w:r w:rsidR="00A30A6B" w:rsidRPr="00A30A6B">
                        <w:rPr>
                          <w:lang w:val="fr-FR"/>
                        </w:rPr>
                        <w:t xml:space="preserve"> remplacer l'hyperlien vers l'outil </w:t>
                      </w:r>
                      <w:hyperlink r:id="rId13" w:history="1">
                        <w:r w:rsidR="00A30A6B" w:rsidRPr="00C84A78">
                          <w:rPr>
                            <w:rStyle w:val="Hyperlink"/>
                            <w:i/>
                            <w:iCs/>
                            <w:lang w:val="fr-FR"/>
                          </w:rPr>
                          <w:t>Identifier les opportunités de conservation transfrontalière</w:t>
                        </w:r>
                      </w:hyperlink>
                      <w:r w:rsidR="00A30A6B" w:rsidRPr="00A30A6B">
                        <w:rPr>
                          <w:lang w:val="fr-FR"/>
                        </w:rPr>
                        <w:t xml:space="preserve"> mentionné au paragraphe 6. c.</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3C3870">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720" w:gutter="0"/>
          <w:cols w:space="720"/>
          <w:titlePg/>
          <w:docGrid w:linePitch="360"/>
        </w:sectPr>
      </w:pPr>
    </w:p>
    <w:p w14:paraId="1171D72E" w14:textId="77777777" w:rsidR="005A6261" w:rsidRDefault="005A6261" w:rsidP="005A6261">
      <w:pPr>
        <w:spacing w:after="0" w:line="240" w:lineRule="auto"/>
        <w:jc w:val="center"/>
        <w:rPr>
          <w:lang w:val="fr-FR"/>
        </w:rPr>
      </w:pPr>
      <w:r>
        <w:rPr>
          <w:rFonts w:eastAsia="Times New Roman" w:cs="Arial"/>
          <w:b/>
          <w:bCs/>
          <w:lang w:val="fr-FR"/>
        </w:rPr>
        <w:lastRenderedPageBreak/>
        <w:t>AIRES DE CONSERVATION TRANSFRONTIÈRES POUR LES ESPÈCES MIGRATRICES</w:t>
      </w:r>
    </w:p>
    <w:p w14:paraId="5758C3AB" w14:textId="77777777" w:rsidR="005A6261" w:rsidRDefault="005A6261" w:rsidP="005A6261">
      <w:pPr>
        <w:spacing w:after="0" w:line="240" w:lineRule="auto"/>
        <w:jc w:val="both"/>
        <w:rPr>
          <w:lang w:val="fr-FR"/>
        </w:rPr>
      </w:pPr>
    </w:p>
    <w:p w14:paraId="38B2E354" w14:textId="77777777" w:rsidR="00672A61" w:rsidRDefault="00672A61" w:rsidP="005A6261">
      <w:pPr>
        <w:spacing w:after="0" w:line="240" w:lineRule="auto"/>
        <w:jc w:val="both"/>
        <w:rPr>
          <w:lang w:val="fr-FR"/>
        </w:rPr>
      </w:pPr>
    </w:p>
    <w:p w14:paraId="03576DA9" w14:textId="77777777" w:rsidR="005A6261" w:rsidRPr="006A7DC4" w:rsidRDefault="005A6261" w:rsidP="005A6261">
      <w:pPr>
        <w:spacing w:after="0" w:line="240" w:lineRule="auto"/>
        <w:jc w:val="both"/>
        <w:rPr>
          <w:u w:val="single"/>
          <w:lang w:val="fr-FR"/>
        </w:rPr>
      </w:pPr>
      <w:r>
        <w:rPr>
          <w:u w:val="single"/>
          <w:lang w:val="fr-FR"/>
        </w:rPr>
        <w:t>Contexte</w:t>
      </w:r>
    </w:p>
    <w:p w14:paraId="4C16AD82" w14:textId="77777777" w:rsidR="005A6261" w:rsidRDefault="005A6261" w:rsidP="005A6261">
      <w:pPr>
        <w:spacing w:after="0" w:line="240" w:lineRule="auto"/>
        <w:jc w:val="both"/>
        <w:rPr>
          <w:lang w:val="fr-FR"/>
        </w:rPr>
      </w:pPr>
    </w:p>
    <w:p w14:paraId="1D0B2826" w14:textId="77777777" w:rsidR="005A6261" w:rsidRDefault="005A6261" w:rsidP="00672A61">
      <w:pPr>
        <w:pStyle w:val="ListParagraph"/>
        <w:numPr>
          <w:ilvl w:val="0"/>
          <w:numId w:val="2"/>
        </w:numPr>
        <w:spacing w:after="0" w:line="240" w:lineRule="auto"/>
        <w:ind w:left="567" w:hanging="567"/>
        <w:jc w:val="both"/>
        <w:rPr>
          <w:lang w:val="fr-FR"/>
        </w:rPr>
      </w:pPr>
      <w:r>
        <w:rPr>
          <w:lang w:val="fr-FR"/>
        </w:rPr>
        <w:t xml:space="preserve">Le concept d’aires de conservation transfrontières (ACT) est inscrit dans la Résolution 12.7 (Rev.COP13) </w:t>
      </w:r>
      <w:r>
        <w:rPr>
          <w:i/>
          <w:iCs/>
          <w:lang w:val="fr-FR"/>
        </w:rPr>
        <w:t>Le rôle des réseaux écologiques pour la conservation des espèces migratrices</w:t>
      </w:r>
      <w:r>
        <w:rPr>
          <w:lang w:val="fr-FR"/>
        </w:rPr>
        <w:t xml:space="preserve">, et défini au paragraphe 11 comme « une aire ou composante d’une vaste région écologique qui chevauche les frontières de deux pays ou plus et se trouve sous leur juridiction nationale, qui peut être composée d’une aire protégée ou plus, ainsi que de plusieurs aires d’utilisation des ressources ». Le concept d’ACT a été initialement défini par les membres de la Communauté de développement de l’Afrique australe dans leur </w:t>
      </w:r>
      <w:hyperlink r:id="rId20" w:history="1">
        <w:r>
          <w:rPr>
            <w:rStyle w:val="Hyperlink"/>
            <w:lang w:val="fr-FR"/>
          </w:rPr>
          <w:t>Protocole sur la conservation de la faune et de la flore sauvages et l’imposition des lois</w:t>
        </w:r>
      </w:hyperlink>
      <w:r>
        <w:rPr>
          <w:lang w:val="fr-FR"/>
        </w:rPr>
        <w:t xml:space="preserve"> de 1999. Depuis, la création d’ACT est devenue un élément essentiel des efforts de conservation en Afrique australe, constituant un exemple pour d’autres régions du continent. Lors de sa 13</w:t>
      </w:r>
      <w:r>
        <w:rPr>
          <w:vertAlign w:val="superscript"/>
          <w:lang w:val="fr-FR"/>
        </w:rPr>
        <w:t>e</w:t>
      </w:r>
      <w:r>
        <w:rPr>
          <w:lang w:val="fr-FR"/>
        </w:rPr>
        <w:t xml:space="preserve"> session (COP13, Gandhinagar, Inde, du 15 au 22 février 2020), la Conférence des Parties a adopté les Décisions 13.116 et 13.117 relatives aux aires de conservation transfrontières afin de soutenir davantage les Parties dans la mise en œuvre de cette approche.</w:t>
      </w:r>
    </w:p>
    <w:p w14:paraId="500FFE10" w14:textId="77777777" w:rsidR="005A6261" w:rsidRDefault="005A6261" w:rsidP="005A6261">
      <w:pPr>
        <w:pStyle w:val="ListParagraph"/>
        <w:spacing w:after="0" w:line="240" w:lineRule="auto"/>
        <w:ind w:left="540"/>
        <w:jc w:val="both"/>
        <w:rPr>
          <w:lang w:val="fr-FR"/>
        </w:rPr>
      </w:pPr>
    </w:p>
    <w:p w14:paraId="62D8A9E9" w14:textId="06DC31C7" w:rsidR="005A6261" w:rsidRPr="00672A61" w:rsidRDefault="005A6261" w:rsidP="00672A61">
      <w:pPr>
        <w:pStyle w:val="ListParagraph"/>
        <w:spacing w:after="0" w:line="240" w:lineRule="auto"/>
        <w:ind w:left="851"/>
        <w:jc w:val="both"/>
        <w:rPr>
          <w:rStyle w:val="field-content"/>
          <w:rFonts w:cs="Arial"/>
          <w:b/>
          <w:bCs/>
          <w:sz w:val="20"/>
          <w:szCs w:val="20"/>
          <w:shd w:val="clear" w:color="auto" w:fill="FFFFFF"/>
          <w:lang w:val="fr-FR"/>
        </w:rPr>
      </w:pPr>
      <w:r w:rsidRPr="00672A61">
        <w:rPr>
          <w:rFonts w:cs="Arial"/>
          <w:b/>
          <w:bCs/>
          <w:sz w:val="20"/>
          <w:szCs w:val="20"/>
          <w:lang w:val="fr-FR"/>
        </w:rPr>
        <w:t>13.116</w:t>
      </w:r>
      <w:r w:rsidRPr="00672A61">
        <w:rPr>
          <w:rFonts w:cs="Arial"/>
          <w:sz w:val="20"/>
          <w:szCs w:val="20"/>
          <w:lang w:val="fr-FR"/>
        </w:rPr>
        <w:t xml:space="preserve"> </w:t>
      </w:r>
      <w:r w:rsidR="00672A61" w:rsidRPr="00672A61">
        <w:rPr>
          <w:rStyle w:val="Strong"/>
          <w:rFonts w:cs="Arial"/>
          <w:sz w:val="20"/>
          <w:szCs w:val="20"/>
          <w:shd w:val="clear" w:color="auto" w:fill="FFFFFF"/>
          <w:lang w:val="fr-FR"/>
        </w:rPr>
        <w:t xml:space="preserve">adressée aux </w:t>
      </w:r>
      <w:r w:rsidR="00672A61" w:rsidRPr="00672A61">
        <w:rPr>
          <w:rStyle w:val="field-content"/>
          <w:rFonts w:cs="Arial"/>
          <w:b/>
          <w:bCs/>
          <w:sz w:val="20"/>
          <w:szCs w:val="20"/>
          <w:shd w:val="clear" w:color="auto" w:fill="FFFFFF"/>
          <w:lang w:val="fr-FR"/>
        </w:rPr>
        <w:t>Parties</w:t>
      </w:r>
    </w:p>
    <w:p w14:paraId="26EAB639" w14:textId="77777777" w:rsidR="00672A61" w:rsidRPr="00672A61" w:rsidRDefault="00672A61" w:rsidP="00672A61">
      <w:pPr>
        <w:pStyle w:val="ListParagraph"/>
        <w:spacing w:after="0" w:line="240" w:lineRule="auto"/>
        <w:ind w:left="851"/>
        <w:jc w:val="both"/>
        <w:rPr>
          <w:rFonts w:cs="Arial"/>
          <w:lang w:val="fr-FR"/>
        </w:rPr>
      </w:pPr>
    </w:p>
    <w:p w14:paraId="6DBAFE2C" w14:textId="77777777" w:rsidR="00672A61" w:rsidRDefault="00672A61" w:rsidP="00672A61">
      <w:pPr>
        <w:pStyle w:val="NormalWeb"/>
        <w:shd w:val="clear" w:color="auto" w:fill="FFFFFF"/>
        <w:spacing w:before="0" w:beforeAutospacing="0" w:after="0" w:afterAutospacing="0"/>
        <w:ind w:left="851"/>
        <w:jc w:val="both"/>
        <w:rPr>
          <w:rFonts w:ascii="Arial" w:hAnsi="Arial" w:cs="Arial"/>
          <w:i/>
          <w:iCs/>
          <w:color w:val="333333"/>
          <w:sz w:val="20"/>
          <w:szCs w:val="20"/>
        </w:rPr>
      </w:pPr>
      <w:r w:rsidRPr="00672A61">
        <w:rPr>
          <w:rFonts w:ascii="Arial" w:hAnsi="Arial" w:cs="Arial"/>
          <w:i/>
          <w:iCs/>
          <w:color w:val="333333"/>
          <w:sz w:val="20"/>
          <w:szCs w:val="20"/>
        </w:rPr>
        <w:t xml:space="preserve">Les Parties </w:t>
      </w:r>
      <w:proofErr w:type="spellStart"/>
      <w:r w:rsidRPr="00672A61">
        <w:rPr>
          <w:rFonts w:ascii="Arial" w:hAnsi="Arial" w:cs="Arial"/>
          <w:i/>
          <w:iCs/>
          <w:color w:val="333333"/>
          <w:sz w:val="20"/>
          <w:szCs w:val="20"/>
        </w:rPr>
        <w:t>sont</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invitées</w:t>
      </w:r>
      <w:proofErr w:type="spellEnd"/>
      <w:r w:rsidRPr="00672A61">
        <w:rPr>
          <w:rFonts w:ascii="Arial" w:hAnsi="Arial" w:cs="Arial"/>
          <w:i/>
          <w:iCs/>
          <w:color w:val="333333"/>
          <w:sz w:val="20"/>
          <w:szCs w:val="20"/>
        </w:rPr>
        <w:t xml:space="preserve"> à:</w:t>
      </w:r>
    </w:p>
    <w:p w14:paraId="1168D007" w14:textId="77777777" w:rsidR="00672A61" w:rsidRPr="00672A61" w:rsidRDefault="00672A61" w:rsidP="00672A61">
      <w:pPr>
        <w:pStyle w:val="NormalWeb"/>
        <w:shd w:val="clear" w:color="auto" w:fill="FFFFFF"/>
        <w:spacing w:before="0" w:beforeAutospacing="0" w:after="0" w:afterAutospacing="0"/>
        <w:ind w:left="851"/>
        <w:jc w:val="both"/>
        <w:rPr>
          <w:rFonts w:ascii="Arial" w:hAnsi="Arial" w:cs="Arial"/>
          <w:i/>
          <w:iCs/>
          <w:color w:val="333333"/>
          <w:sz w:val="20"/>
          <w:szCs w:val="20"/>
        </w:rPr>
      </w:pPr>
    </w:p>
    <w:p w14:paraId="39B5CF0E" w14:textId="36DBD892" w:rsidR="00672A61" w:rsidRDefault="00672A61" w:rsidP="00672A61">
      <w:pPr>
        <w:pStyle w:val="NormalWeb"/>
        <w:numPr>
          <w:ilvl w:val="0"/>
          <w:numId w:val="10"/>
        </w:numPr>
        <w:shd w:val="clear" w:color="auto" w:fill="FFFFFF"/>
        <w:spacing w:before="0" w:beforeAutospacing="0" w:after="0" w:afterAutospacing="0"/>
        <w:jc w:val="both"/>
        <w:rPr>
          <w:rFonts w:ascii="Arial" w:hAnsi="Arial" w:cs="Arial"/>
          <w:i/>
          <w:iCs/>
          <w:color w:val="333333"/>
          <w:sz w:val="20"/>
          <w:szCs w:val="20"/>
        </w:rPr>
      </w:pPr>
      <w:r w:rsidRPr="00672A61">
        <w:rPr>
          <w:rFonts w:ascii="Arial" w:hAnsi="Arial" w:cs="Arial"/>
          <w:i/>
          <w:iCs/>
          <w:color w:val="333333"/>
          <w:sz w:val="20"/>
          <w:szCs w:val="20"/>
        </w:rPr>
        <w:t xml:space="preserve">en se fondant sur les </w:t>
      </w:r>
      <w:proofErr w:type="spellStart"/>
      <w:r w:rsidRPr="00672A61">
        <w:rPr>
          <w:rFonts w:ascii="Arial" w:hAnsi="Arial" w:cs="Arial"/>
          <w:i/>
          <w:iCs/>
          <w:color w:val="333333"/>
          <w:sz w:val="20"/>
          <w:szCs w:val="20"/>
        </w:rPr>
        <w:t>meilleures</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données</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scientifiques</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disponibles</w:t>
      </w:r>
      <w:proofErr w:type="spellEnd"/>
      <w:r w:rsidRPr="00672A61">
        <w:rPr>
          <w:rFonts w:ascii="Arial" w:hAnsi="Arial" w:cs="Arial"/>
          <w:i/>
          <w:iCs/>
          <w:color w:val="333333"/>
          <w:sz w:val="20"/>
          <w:szCs w:val="20"/>
        </w:rPr>
        <w:t xml:space="preserve">, proposer les </w:t>
      </w:r>
      <w:proofErr w:type="spellStart"/>
      <w:r w:rsidRPr="00672A61">
        <w:rPr>
          <w:rFonts w:ascii="Arial" w:hAnsi="Arial" w:cs="Arial"/>
          <w:i/>
          <w:iCs/>
          <w:color w:val="333333"/>
          <w:sz w:val="20"/>
          <w:szCs w:val="20"/>
        </w:rPr>
        <w:t>habi</w:t>
      </w:r>
      <w:proofErr w:type="spellEnd"/>
      <w:r w:rsidRPr="00672A61">
        <w:rPr>
          <w:rFonts w:ascii="Arial" w:hAnsi="Arial" w:cs="Arial"/>
          <w:i/>
          <w:iCs/>
          <w:color w:val="333333"/>
          <w:sz w:val="20"/>
          <w:szCs w:val="20"/>
        </w:rPr>
        <w:t xml:space="preserve">-tats </w:t>
      </w:r>
      <w:proofErr w:type="spellStart"/>
      <w:r w:rsidRPr="00672A61">
        <w:rPr>
          <w:rFonts w:ascii="Arial" w:hAnsi="Arial" w:cs="Arial"/>
          <w:i/>
          <w:iCs/>
          <w:color w:val="333333"/>
          <w:sz w:val="20"/>
          <w:szCs w:val="20"/>
        </w:rPr>
        <w:t>transfrontaliers</w:t>
      </w:r>
      <w:proofErr w:type="spellEnd"/>
      <w:r w:rsidRPr="00672A61">
        <w:rPr>
          <w:rFonts w:ascii="Arial" w:hAnsi="Arial" w:cs="Arial"/>
          <w:i/>
          <w:iCs/>
          <w:color w:val="333333"/>
          <w:sz w:val="20"/>
          <w:szCs w:val="20"/>
        </w:rPr>
        <w:t xml:space="preserve"> des </w:t>
      </w:r>
      <w:proofErr w:type="spellStart"/>
      <w:r w:rsidRPr="00672A61">
        <w:rPr>
          <w:rFonts w:ascii="Arial" w:hAnsi="Arial" w:cs="Arial"/>
          <w:i/>
          <w:iCs/>
          <w:color w:val="333333"/>
          <w:sz w:val="20"/>
          <w:szCs w:val="20"/>
        </w:rPr>
        <w:t>espèces</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inscrites</w:t>
      </w:r>
      <w:proofErr w:type="spellEnd"/>
      <w:r w:rsidRPr="00672A61">
        <w:rPr>
          <w:rFonts w:ascii="Arial" w:hAnsi="Arial" w:cs="Arial"/>
          <w:i/>
          <w:iCs/>
          <w:color w:val="333333"/>
          <w:sz w:val="20"/>
          <w:szCs w:val="20"/>
        </w:rPr>
        <w:t xml:space="preserve"> à la CMS qui </w:t>
      </w:r>
      <w:proofErr w:type="spellStart"/>
      <w:r w:rsidRPr="00672A61">
        <w:rPr>
          <w:rFonts w:ascii="Arial" w:hAnsi="Arial" w:cs="Arial"/>
          <w:i/>
          <w:iCs/>
          <w:color w:val="333333"/>
          <w:sz w:val="20"/>
          <w:szCs w:val="20"/>
        </w:rPr>
        <w:t>pourraient</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être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considérés</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comme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étant</w:t>
      </w:r>
      <w:proofErr w:type="spellEnd"/>
      <w:r w:rsidRPr="00672A61">
        <w:rPr>
          <w:rFonts w:ascii="Arial" w:hAnsi="Arial" w:cs="Arial"/>
          <w:i/>
          <w:iCs/>
          <w:color w:val="333333"/>
          <w:sz w:val="20"/>
          <w:szCs w:val="20"/>
        </w:rPr>
        <w:t xml:space="preserve"> des </w:t>
      </w:r>
      <w:proofErr w:type="spellStart"/>
      <w:r w:rsidRPr="00672A61">
        <w:rPr>
          <w:rFonts w:ascii="Arial" w:hAnsi="Arial" w:cs="Arial"/>
          <w:i/>
          <w:iCs/>
          <w:color w:val="333333"/>
          <w:sz w:val="20"/>
          <w:szCs w:val="20"/>
        </w:rPr>
        <w:t>aires</w:t>
      </w:r>
      <w:proofErr w:type="spellEnd"/>
      <w:r w:rsidRPr="00672A61">
        <w:rPr>
          <w:rFonts w:ascii="Arial" w:hAnsi="Arial" w:cs="Arial"/>
          <w:i/>
          <w:iCs/>
          <w:color w:val="333333"/>
          <w:sz w:val="20"/>
          <w:szCs w:val="20"/>
        </w:rPr>
        <w:t xml:space="preserve"> de conservation </w:t>
      </w:r>
      <w:proofErr w:type="spellStart"/>
      <w:r w:rsidRPr="00672A61">
        <w:rPr>
          <w:rFonts w:ascii="Arial" w:hAnsi="Arial" w:cs="Arial"/>
          <w:i/>
          <w:iCs/>
          <w:color w:val="333333"/>
          <w:sz w:val="20"/>
          <w:szCs w:val="20"/>
        </w:rPr>
        <w:t>transfrontières</w:t>
      </w:r>
      <w:proofErr w:type="spellEnd"/>
      <w:r w:rsidRPr="00672A61">
        <w:rPr>
          <w:rFonts w:ascii="Arial" w:hAnsi="Arial" w:cs="Arial"/>
          <w:i/>
          <w:iCs/>
          <w:color w:val="333333"/>
          <w:sz w:val="20"/>
          <w:szCs w:val="20"/>
        </w:rPr>
        <w:t xml:space="preserve"> (ACT), </w:t>
      </w:r>
      <w:proofErr w:type="spellStart"/>
      <w:r w:rsidRPr="00672A61">
        <w:rPr>
          <w:rFonts w:ascii="Arial" w:hAnsi="Arial" w:cs="Arial"/>
          <w:i/>
          <w:iCs/>
          <w:color w:val="333333"/>
          <w:sz w:val="20"/>
          <w:szCs w:val="20"/>
        </w:rPr>
        <w:t>c’est</w:t>
      </w:r>
      <w:proofErr w:type="spellEnd"/>
      <w:r w:rsidRPr="00672A61">
        <w:rPr>
          <w:rFonts w:ascii="Arial" w:hAnsi="Arial" w:cs="Arial"/>
          <w:i/>
          <w:iCs/>
          <w:color w:val="333333"/>
          <w:sz w:val="20"/>
          <w:szCs w:val="20"/>
        </w:rPr>
        <w:t xml:space="preserve">-à-dire </w:t>
      </w:r>
      <w:proofErr w:type="spellStart"/>
      <w:r w:rsidRPr="00672A61">
        <w:rPr>
          <w:rFonts w:ascii="Arial" w:hAnsi="Arial" w:cs="Arial"/>
          <w:i/>
          <w:iCs/>
          <w:color w:val="333333"/>
          <w:sz w:val="20"/>
          <w:szCs w:val="20"/>
        </w:rPr>
        <w:t>une</w:t>
      </w:r>
      <w:proofErr w:type="spellEnd"/>
      <w:r w:rsidRPr="00672A61">
        <w:rPr>
          <w:rFonts w:ascii="Arial" w:hAnsi="Arial" w:cs="Arial"/>
          <w:i/>
          <w:iCs/>
          <w:color w:val="333333"/>
          <w:sz w:val="20"/>
          <w:szCs w:val="20"/>
        </w:rPr>
        <w:t xml:space="preserve"> zone </w:t>
      </w:r>
      <w:proofErr w:type="spellStart"/>
      <w:r w:rsidRPr="00672A61">
        <w:rPr>
          <w:rFonts w:ascii="Arial" w:hAnsi="Arial" w:cs="Arial"/>
          <w:i/>
          <w:iCs/>
          <w:color w:val="333333"/>
          <w:sz w:val="20"/>
          <w:szCs w:val="20"/>
        </w:rPr>
        <w:t>ou</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partie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d’une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vaste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région</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écologique</w:t>
      </w:r>
      <w:proofErr w:type="spellEnd"/>
      <w:r w:rsidRPr="00672A61">
        <w:rPr>
          <w:rFonts w:ascii="Arial" w:hAnsi="Arial" w:cs="Arial"/>
          <w:i/>
          <w:iCs/>
          <w:color w:val="333333"/>
          <w:sz w:val="20"/>
          <w:szCs w:val="20"/>
        </w:rPr>
        <w:t xml:space="preserve"> qui </w:t>
      </w:r>
      <w:proofErr w:type="spellStart"/>
      <w:r w:rsidRPr="00672A61">
        <w:rPr>
          <w:rFonts w:ascii="Arial" w:hAnsi="Arial" w:cs="Arial"/>
          <w:i/>
          <w:iCs/>
          <w:color w:val="333333"/>
          <w:sz w:val="20"/>
          <w:szCs w:val="20"/>
        </w:rPr>
        <w:t>chevauche</w:t>
      </w:r>
      <w:proofErr w:type="spellEnd"/>
      <w:r w:rsidRPr="00672A61">
        <w:rPr>
          <w:rFonts w:ascii="Arial" w:hAnsi="Arial" w:cs="Arial"/>
          <w:i/>
          <w:iCs/>
          <w:color w:val="333333"/>
          <w:sz w:val="20"/>
          <w:szCs w:val="20"/>
        </w:rPr>
        <w:t xml:space="preserve"> les </w:t>
      </w:r>
      <w:proofErr w:type="spellStart"/>
      <w:r w:rsidRPr="00672A61">
        <w:rPr>
          <w:rFonts w:ascii="Arial" w:hAnsi="Arial" w:cs="Arial"/>
          <w:i/>
          <w:iCs/>
          <w:color w:val="333333"/>
          <w:sz w:val="20"/>
          <w:szCs w:val="20"/>
        </w:rPr>
        <w:t>frontières</w:t>
      </w:r>
      <w:proofErr w:type="spellEnd"/>
      <w:r w:rsidRPr="00672A61">
        <w:rPr>
          <w:rFonts w:ascii="Arial" w:hAnsi="Arial" w:cs="Arial"/>
          <w:i/>
          <w:iCs/>
          <w:color w:val="333333"/>
          <w:sz w:val="20"/>
          <w:szCs w:val="20"/>
        </w:rPr>
        <w:t xml:space="preserve"> de deux </w:t>
      </w:r>
      <w:proofErr w:type="spellStart"/>
      <w:r w:rsidRPr="00672A61">
        <w:rPr>
          <w:rFonts w:ascii="Arial" w:hAnsi="Arial" w:cs="Arial"/>
          <w:i/>
          <w:iCs/>
          <w:color w:val="333333"/>
          <w:sz w:val="20"/>
          <w:szCs w:val="20"/>
        </w:rPr>
        <w:t>ou</w:t>
      </w:r>
      <w:proofErr w:type="spellEnd"/>
      <w:r w:rsidRPr="00672A61">
        <w:rPr>
          <w:rFonts w:ascii="Arial" w:hAnsi="Arial" w:cs="Arial"/>
          <w:i/>
          <w:iCs/>
          <w:color w:val="333333"/>
          <w:sz w:val="20"/>
          <w:szCs w:val="20"/>
        </w:rPr>
        <w:t xml:space="preserve"> plus de deux pays et </w:t>
      </w:r>
      <w:proofErr w:type="spellStart"/>
      <w:r w:rsidRPr="00672A61">
        <w:rPr>
          <w:rFonts w:ascii="Arial" w:hAnsi="Arial" w:cs="Arial"/>
          <w:i/>
          <w:iCs/>
          <w:color w:val="333333"/>
          <w:sz w:val="20"/>
          <w:szCs w:val="20"/>
        </w:rPr>
        <w:t>relève</w:t>
      </w:r>
      <w:proofErr w:type="spellEnd"/>
      <w:r w:rsidRPr="00672A61">
        <w:rPr>
          <w:rFonts w:ascii="Arial" w:hAnsi="Arial" w:cs="Arial"/>
          <w:i/>
          <w:iCs/>
          <w:color w:val="333333"/>
          <w:sz w:val="20"/>
          <w:szCs w:val="20"/>
        </w:rPr>
        <w:t xml:space="preserve"> de </w:t>
      </w:r>
      <w:proofErr w:type="spellStart"/>
      <w:r w:rsidRPr="00672A61">
        <w:rPr>
          <w:rFonts w:ascii="Arial" w:hAnsi="Arial" w:cs="Arial"/>
          <w:i/>
          <w:iCs/>
          <w:color w:val="333333"/>
          <w:sz w:val="20"/>
          <w:szCs w:val="20"/>
        </w:rPr>
        <w:t>leur</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juridiction</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nationale</w:t>
      </w:r>
      <w:proofErr w:type="spellEnd"/>
      <w:r w:rsidRPr="00672A61">
        <w:rPr>
          <w:rFonts w:ascii="Arial" w:hAnsi="Arial" w:cs="Arial"/>
          <w:i/>
          <w:iCs/>
          <w:color w:val="333333"/>
          <w:sz w:val="20"/>
          <w:szCs w:val="20"/>
        </w:rPr>
        <w:t xml:space="preserve">, qui </w:t>
      </w:r>
      <w:proofErr w:type="spellStart"/>
      <w:r w:rsidRPr="00672A61">
        <w:rPr>
          <w:rFonts w:ascii="Arial" w:hAnsi="Arial" w:cs="Arial"/>
          <w:i/>
          <w:iCs/>
          <w:color w:val="333333"/>
          <w:sz w:val="20"/>
          <w:szCs w:val="20"/>
        </w:rPr>
        <w:t>peut</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englober</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une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ou</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plusieurs</w:t>
      </w:r>
      <w:proofErr w:type="spellEnd"/>
      <w:r w:rsidRPr="00672A61">
        <w:rPr>
          <w:rFonts w:ascii="Arial" w:hAnsi="Arial" w:cs="Arial"/>
          <w:i/>
          <w:iCs/>
          <w:color w:val="333333"/>
          <w:sz w:val="20"/>
          <w:szCs w:val="20"/>
        </w:rPr>
        <w:t xml:space="preserve"> zones protégées, </w:t>
      </w:r>
      <w:proofErr w:type="spellStart"/>
      <w:r w:rsidRPr="00672A61">
        <w:rPr>
          <w:rFonts w:ascii="Arial" w:hAnsi="Arial" w:cs="Arial"/>
          <w:i/>
          <w:iCs/>
          <w:color w:val="333333"/>
          <w:sz w:val="20"/>
          <w:szCs w:val="20"/>
        </w:rPr>
        <w:t>ainsi</w:t>
      </w:r>
      <w:proofErr w:type="spellEnd"/>
      <w:r w:rsidRPr="00672A61">
        <w:rPr>
          <w:rFonts w:ascii="Arial" w:hAnsi="Arial" w:cs="Arial"/>
          <w:i/>
          <w:iCs/>
          <w:color w:val="333333"/>
          <w:sz w:val="20"/>
          <w:szCs w:val="20"/>
        </w:rPr>
        <w:t xml:space="preserve"> que de multiples zones </w:t>
      </w:r>
      <w:proofErr w:type="spellStart"/>
      <w:r w:rsidRPr="00672A61">
        <w:rPr>
          <w:rFonts w:ascii="Arial" w:hAnsi="Arial" w:cs="Arial"/>
          <w:i/>
          <w:iCs/>
          <w:color w:val="333333"/>
          <w:sz w:val="20"/>
          <w:szCs w:val="20"/>
        </w:rPr>
        <w:t>d’utilisation</w:t>
      </w:r>
      <w:proofErr w:type="spellEnd"/>
      <w:r w:rsidRPr="00672A61">
        <w:rPr>
          <w:rFonts w:ascii="Arial" w:hAnsi="Arial" w:cs="Arial"/>
          <w:i/>
          <w:iCs/>
          <w:color w:val="333333"/>
          <w:sz w:val="20"/>
          <w:szCs w:val="20"/>
        </w:rPr>
        <w:t xml:space="preserve"> des </w:t>
      </w:r>
      <w:proofErr w:type="spellStart"/>
      <w:r w:rsidRPr="00672A61">
        <w:rPr>
          <w:rFonts w:ascii="Arial" w:hAnsi="Arial" w:cs="Arial"/>
          <w:i/>
          <w:iCs/>
          <w:color w:val="333333"/>
          <w:sz w:val="20"/>
          <w:szCs w:val="20"/>
        </w:rPr>
        <w:t>ressources</w:t>
      </w:r>
      <w:proofErr w:type="spellEnd"/>
      <w:r w:rsidRPr="00672A61">
        <w:rPr>
          <w:rFonts w:ascii="Arial" w:hAnsi="Arial" w:cs="Arial"/>
          <w:i/>
          <w:iCs/>
          <w:color w:val="333333"/>
          <w:sz w:val="20"/>
          <w:szCs w:val="20"/>
        </w:rPr>
        <w:t>;</w:t>
      </w:r>
    </w:p>
    <w:p w14:paraId="34B5A085" w14:textId="77777777" w:rsidR="00672A61" w:rsidRPr="00672A61" w:rsidRDefault="00672A61" w:rsidP="00672A61">
      <w:pPr>
        <w:pStyle w:val="NormalWeb"/>
        <w:shd w:val="clear" w:color="auto" w:fill="FFFFFF"/>
        <w:spacing w:before="0" w:beforeAutospacing="0" w:after="0" w:afterAutospacing="0"/>
        <w:ind w:left="1271"/>
        <w:jc w:val="both"/>
        <w:rPr>
          <w:rFonts w:ascii="Arial" w:hAnsi="Arial" w:cs="Arial"/>
          <w:i/>
          <w:iCs/>
          <w:color w:val="333333"/>
          <w:sz w:val="20"/>
          <w:szCs w:val="20"/>
        </w:rPr>
      </w:pPr>
    </w:p>
    <w:p w14:paraId="0ED50EDA" w14:textId="2AFAF87B" w:rsidR="00672A61" w:rsidRDefault="00672A61" w:rsidP="00672A61">
      <w:pPr>
        <w:pStyle w:val="NormalWeb"/>
        <w:numPr>
          <w:ilvl w:val="0"/>
          <w:numId w:val="10"/>
        </w:numPr>
        <w:shd w:val="clear" w:color="auto" w:fill="FFFFFF"/>
        <w:spacing w:before="0" w:beforeAutospacing="0" w:after="0" w:afterAutospacing="0"/>
        <w:jc w:val="both"/>
        <w:rPr>
          <w:rFonts w:ascii="Arial" w:hAnsi="Arial" w:cs="Arial"/>
          <w:i/>
          <w:iCs/>
          <w:color w:val="333333"/>
          <w:sz w:val="20"/>
          <w:szCs w:val="20"/>
        </w:rPr>
      </w:pPr>
      <w:r w:rsidRPr="00672A61">
        <w:rPr>
          <w:rFonts w:ascii="Arial" w:hAnsi="Arial" w:cs="Arial"/>
          <w:i/>
          <w:iCs/>
          <w:color w:val="333333"/>
          <w:sz w:val="20"/>
          <w:szCs w:val="20"/>
        </w:rPr>
        <w:t xml:space="preserve">prendre des </w:t>
      </w:r>
      <w:proofErr w:type="spellStart"/>
      <w:r w:rsidRPr="00672A61">
        <w:rPr>
          <w:rFonts w:ascii="Arial" w:hAnsi="Arial" w:cs="Arial"/>
          <w:i/>
          <w:iCs/>
          <w:color w:val="333333"/>
          <w:sz w:val="20"/>
          <w:szCs w:val="20"/>
        </w:rPr>
        <w:t>mesures</w:t>
      </w:r>
      <w:proofErr w:type="spellEnd"/>
      <w:r w:rsidRPr="00672A61">
        <w:rPr>
          <w:rFonts w:ascii="Arial" w:hAnsi="Arial" w:cs="Arial"/>
          <w:i/>
          <w:iCs/>
          <w:color w:val="333333"/>
          <w:sz w:val="20"/>
          <w:szCs w:val="20"/>
        </w:rPr>
        <w:t xml:space="preserve"> pour </w:t>
      </w:r>
      <w:proofErr w:type="spellStart"/>
      <w:r w:rsidRPr="00672A61">
        <w:rPr>
          <w:rFonts w:ascii="Arial" w:hAnsi="Arial" w:cs="Arial"/>
          <w:i/>
          <w:iCs/>
          <w:color w:val="333333"/>
          <w:sz w:val="20"/>
          <w:szCs w:val="20"/>
        </w:rPr>
        <w:t>élaborer</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conjointement</w:t>
      </w:r>
      <w:proofErr w:type="spellEnd"/>
      <w:r w:rsidRPr="00672A61">
        <w:rPr>
          <w:rFonts w:ascii="Arial" w:hAnsi="Arial" w:cs="Arial"/>
          <w:i/>
          <w:iCs/>
          <w:color w:val="333333"/>
          <w:sz w:val="20"/>
          <w:szCs w:val="20"/>
        </w:rPr>
        <w:t xml:space="preserve"> avec les États de </w:t>
      </w:r>
      <w:proofErr w:type="spellStart"/>
      <w:r w:rsidRPr="00672A61">
        <w:rPr>
          <w:rFonts w:ascii="Arial" w:hAnsi="Arial" w:cs="Arial"/>
          <w:i/>
          <w:iCs/>
          <w:color w:val="333333"/>
          <w:sz w:val="20"/>
          <w:szCs w:val="20"/>
        </w:rPr>
        <w:t>l’aire</w:t>
      </w:r>
      <w:proofErr w:type="spellEnd"/>
      <w:r w:rsidRPr="00672A61">
        <w:rPr>
          <w:rFonts w:ascii="Arial" w:hAnsi="Arial" w:cs="Arial"/>
          <w:i/>
          <w:iCs/>
          <w:color w:val="333333"/>
          <w:sz w:val="20"/>
          <w:szCs w:val="20"/>
        </w:rPr>
        <w:t xml:space="preserve"> de </w:t>
      </w:r>
      <w:proofErr w:type="spellStart"/>
      <w:r w:rsidRPr="00672A61">
        <w:rPr>
          <w:rFonts w:ascii="Arial" w:hAnsi="Arial" w:cs="Arial"/>
          <w:i/>
          <w:iCs/>
          <w:color w:val="333333"/>
          <w:sz w:val="20"/>
          <w:szCs w:val="20"/>
        </w:rPr>
        <w:t>réparti-tion</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limitrophes</w:t>
      </w:r>
      <w:proofErr w:type="spellEnd"/>
      <w:r w:rsidRPr="00672A61">
        <w:rPr>
          <w:rFonts w:ascii="Arial" w:hAnsi="Arial" w:cs="Arial"/>
          <w:i/>
          <w:iCs/>
          <w:color w:val="333333"/>
          <w:sz w:val="20"/>
          <w:szCs w:val="20"/>
        </w:rPr>
        <w:t xml:space="preserve"> des arrangements </w:t>
      </w:r>
      <w:proofErr w:type="spellStart"/>
      <w:r w:rsidRPr="00672A61">
        <w:rPr>
          <w:rFonts w:ascii="Arial" w:hAnsi="Arial" w:cs="Arial"/>
          <w:i/>
          <w:iCs/>
          <w:color w:val="333333"/>
          <w:sz w:val="20"/>
          <w:szCs w:val="20"/>
        </w:rPr>
        <w:t>bilatéraux</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ou</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multilatéraux</w:t>
      </w:r>
      <w:proofErr w:type="spellEnd"/>
      <w:r w:rsidRPr="00672A61">
        <w:rPr>
          <w:rFonts w:ascii="Arial" w:hAnsi="Arial" w:cs="Arial"/>
          <w:i/>
          <w:iCs/>
          <w:color w:val="333333"/>
          <w:sz w:val="20"/>
          <w:szCs w:val="20"/>
        </w:rPr>
        <w:t xml:space="preserve">, y </w:t>
      </w:r>
      <w:proofErr w:type="spellStart"/>
      <w:r w:rsidRPr="00672A61">
        <w:rPr>
          <w:rFonts w:ascii="Arial" w:hAnsi="Arial" w:cs="Arial"/>
          <w:i/>
          <w:iCs/>
          <w:color w:val="333333"/>
          <w:sz w:val="20"/>
          <w:szCs w:val="20"/>
        </w:rPr>
        <w:t>compris</w:t>
      </w:r>
      <w:proofErr w:type="spellEnd"/>
      <w:r w:rsidRPr="00672A61">
        <w:rPr>
          <w:rFonts w:ascii="Arial" w:hAnsi="Arial" w:cs="Arial"/>
          <w:i/>
          <w:iCs/>
          <w:color w:val="333333"/>
          <w:sz w:val="20"/>
          <w:szCs w:val="20"/>
        </w:rPr>
        <w:t xml:space="preserve"> des plans </w:t>
      </w:r>
      <w:proofErr w:type="spellStart"/>
      <w:r w:rsidRPr="00672A61">
        <w:rPr>
          <w:rFonts w:ascii="Arial" w:hAnsi="Arial" w:cs="Arial"/>
          <w:i/>
          <w:iCs/>
          <w:color w:val="333333"/>
          <w:sz w:val="20"/>
          <w:szCs w:val="20"/>
        </w:rPr>
        <w:t>communs</w:t>
      </w:r>
      <w:proofErr w:type="spellEnd"/>
      <w:r w:rsidRPr="00672A61">
        <w:rPr>
          <w:rFonts w:ascii="Arial" w:hAnsi="Arial" w:cs="Arial"/>
          <w:i/>
          <w:iCs/>
          <w:color w:val="333333"/>
          <w:sz w:val="20"/>
          <w:szCs w:val="20"/>
        </w:rPr>
        <w:t xml:space="preserve"> de gestion </w:t>
      </w:r>
      <w:proofErr w:type="spellStart"/>
      <w:r w:rsidRPr="00672A61">
        <w:rPr>
          <w:rFonts w:ascii="Arial" w:hAnsi="Arial" w:cs="Arial"/>
          <w:i/>
          <w:iCs/>
          <w:color w:val="333333"/>
          <w:sz w:val="20"/>
          <w:szCs w:val="20"/>
        </w:rPr>
        <w:t>afin</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d’améliorer</w:t>
      </w:r>
      <w:proofErr w:type="spellEnd"/>
      <w:r w:rsidRPr="00672A61">
        <w:rPr>
          <w:rFonts w:ascii="Arial" w:hAnsi="Arial" w:cs="Arial"/>
          <w:i/>
          <w:iCs/>
          <w:color w:val="333333"/>
          <w:sz w:val="20"/>
          <w:szCs w:val="20"/>
        </w:rPr>
        <w:t xml:space="preserve"> la conservation des habitats et des </w:t>
      </w:r>
      <w:proofErr w:type="spellStart"/>
      <w:r w:rsidRPr="00672A61">
        <w:rPr>
          <w:rFonts w:ascii="Arial" w:hAnsi="Arial" w:cs="Arial"/>
          <w:i/>
          <w:iCs/>
          <w:color w:val="333333"/>
          <w:sz w:val="20"/>
          <w:szCs w:val="20"/>
        </w:rPr>
        <w:t>espèces</w:t>
      </w:r>
      <w:proofErr w:type="spellEnd"/>
      <w:r w:rsidRPr="00672A61">
        <w:rPr>
          <w:rFonts w:ascii="Arial" w:hAnsi="Arial" w:cs="Arial"/>
          <w:i/>
          <w:iCs/>
          <w:color w:val="333333"/>
          <w:sz w:val="20"/>
          <w:szCs w:val="20"/>
        </w:rPr>
        <w:t xml:space="preserve"> </w:t>
      </w:r>
      <w:proofErr w:type="spellStart"/>
      <w:proofErr w:type="gramStart"/>
      <w:r w:rsidRPr="00672A61">
        <w:rPr>
          <w:rFonts w:ascii="Arial" w:hAnsi="Arial" w:cs="Arial"/>
          <w:i/>
          <w:iCs/>
          <w:color w:val="333333"/>
          <w:sz w:val="20"/>
          <w:szCs w:val="20"/>
        </w:rPr>
        <w:t>concernés</w:t>
      </w:r>
      <w:proofErr w:type="spellEnd"/>
      <w:r w:rsidRPr="00672A61">
        <w:rPr>
          <w:rFonts w:ascii="Arial" w:hAnsi="Arial" w:cs="Arial"/>
          <w:i/>
          <w:iCs/>
          <w:color w:val="333333"/>
          <w:sz w:val="20"/>
          <w:szCs w:val="20"/>
        </w:rPr>
        <w:t>;</w:t>
      </w:r>
      <w:proofErr w:type="gramEnd"/>
    </w:p>
    <w:p w14:paraId="5FE68EA3" w14:textId="77777777" w:rsidR="00672A61" w:rsidRPr="00672A61" w:rsidRDefault="00672A61" w:rsidP="00672A61">
      <w:pPr>
        <w:pStyle w:val="NormalWeb"/>
        <w:shd w:val="clear" w:color="auto" w:fill="FFFFFF"/>
        <w:spacing w:before="0" w:beforeAutospacing="0" w:after="0" w:afterAutospacing="0"/>
        <w:jc w:val="both"/>
        <w:rPr>
          <w:rFonts w:ascii="Arial" w:hAnsi="Arial" w:cs="Arial"/>
          <w:i/>
          <w:iCs/>
          <w:color w:val="333333"/>
          <w:sz w:val="20"/>
          <w:szCs w:val="20"/>
        </w:rPr>
      </w:pPr>
    </w:p>
    <w:p w14:paraId="1EA76E9B" w14:textId="2D2B0759" w:rsidR="00672A61" w:rsidRDefault="00672A61" w:rsidP="00672A61">
      <w:pPr>
        <w:pStyle w:val="NormalWeb"/>
        <w:numPr>
          <w:ilvl w:val="0"/>
          <w:numId w:val="10"/>
        </w:numPr>
        <w:shd w:val="clear" w:color="auto" w:fill="FFFFFF"/>
        <w:spacing w:before="0" w:beforeAutospacing="0" w:after="0" w:afterAutospacing="0"/>
        <w:jc w:val="both"/>
        <w:rPr>
          <w:rFonts w:ascii="Arial" w:hAnsi="Arial" w:cs="Arial"/>
          <w:i/>
          <w:iCs/>
          <w:color w:val="333333"/>
          <w:sz w:val="20"/>
          <w:szCs w:val="20"/>
        </w:rPr>
      </w:pPr>
      <w:proofErr w:type="spellStart"/>
      <w:r w:rsidRPr="00672A61">
        <w:rPr>
          <w:rFonts w:ascii="Arial" w:hAnsi="Arial" w:cs="Arial"/>
          <w:i/>
          <w:iCs/>
          <w:color w:val="333333"/>
          <w:sz w:val="20"/>
          <w:szCs w:val="20"/>
        </w:rPr>
        <w:t>permettre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lors</w:t>
      </w:r>
      <w:proofErr w:type="spellEnd"/>
      <w:r w:rsidRPr="00672A61">
        <w:rPr>
          <w:rFonts w:ascii="Arial" w:hAnsi="Arial" w:cs="Arial"/>
          <w:i/>
          <w:iCs/>
          <w:color w:val="333333"/>
          <w:sz w:val="20"/>
          <w:szCs w:val="20"/>
        </w:rPr>
        <w:t xml:space="preserve"> de </w:t>
      </w:r>
      <w:proofErr w:type="spellStart"/>
      <w:r w:rsidRPr="00672A61">
        <w:rPr>
          <w:rFonts w:ascii="Arial" w:hAnsi="Arial" w:cs="Arial"/>
          <w:i/>
          <w:iCs/>
          <w:color w:val="333333"/>
          <w:sz w:val="20"/>
          <w:szCs w:val="20"/>
        </w:rPr>
        <w:t>l’élaboration</w:t>
      </w:r>
      <w:proofErr w:type="spellEnd"/>
      <w:r w:rsidRPr="00672A61">
        <w:rPr>
          <w:rFonts w:ascii="Arial" w:hAnsi="Arial" w:cs="Arial"/>
          <w:i/>
          <w:iCs/>
          <w:color w:val="333333"/>
          <w:sz w:val="20"/>
          <w:szCs w:val="20"/>
        </w:rPr>
        <w:t xml:space="preserve"> de </w:t>
      </w:r>
      <w:proofErr w:type="spellStart"/>
      <w:r w:rsidRPr="00672A61">
        <w:rPr>
          <w:rFonts w:ascii="Arial" w:hAnsi="Arial" w:cs="Arial"/>
          <w:i/>
          <w:iCs/>
          <w:color w:val="333333"/>
          <w:sz w:val="20"/>
          <w:szCs w:val="20"/>
        </w:rPr>
        <w:t>tels</w:t>
      </w:r>
      <w:proofErr w:type="spellEnd"/>
      <w:r w:rsidRPr="00672A61">
        <w:rPr>
          <w:rFonts w:ascii="Arial" w:hAnsi="Arial" w:cs="Arial"/>
          <w:i/>
          <w:iCs/>
          <w:color w:val="333333"/>
          <w:sz w:val="20"/>
          <w:szCs w:val="20"/>
        </w:rPr>
        <w:t xml:space="preserve"> arrangements, la participation des </w:t>
      </w:r>
      <w:proofErr w:type="spellStart"/>
      <w:r w:rsidRPr="00672A61">
        <w:rPr>
          <w:rFonts w:ascii="Arial" w:hAnsi="Arial" w:cs="Arial"/>
          <w:i/>
          <w:iCs/>
          <w:color w:val="333333"/>
          <w:sz w:val="20"/>
          <w:szCs w:val="20"/>
        </w:rPr>
        <w:t>communau-tés</w:t>
      </w:r>
      <w:proofErr w:type="spellEnd"/>
      <w:r w:rsidRPr="00672A61">
        <w:rPr>
          <w:rFonts w:ascii="Arial" w:hAnsi="Arial" w:cs="Arial"/>
          <w:i/>
          <w:iCs/>
          <w:color w:val="333333"/>
          <w:sz w:val="20"/>
          <w:szCs w:val="20"/>
        </w:rPr>
        <w:t xml:space="preserve"> et parties </w:t>
      </w:r>
      <w:proofErr w:type="spellStart"/>
      <w:r w:rsidRPr="00672A61">
        <w:rPr>
          <w:rFonts w:ascii="Arial" w:hAnsi="Arial" w:cs="Arial"/>
          <w:i/>
          <w:iCs/>
          <w:color w:val="333333"/>
          <w:sz w:val="20"/>
          <w:szCs w:val="20"/>
        </w:rPr>
        <w:t>prenantes</w:t>
      </w:r>
      <w:proofErr w:type="spellEnd"/>
      <w:r w:rsidRPr="00672A61">
        <w:rPr>
          <w:rFonts w:ascii="Arial" w:hAnsi="Arial" w:cs="Arial"/>
          <w:i/>
          <w:iCs/>
          <w:color w:val="333333"/>
          <w:sz w:val="20"/>
          <w:szCs w:val="20"/>
        </w:rPr>
        <w:t xml:space="preserve"> locales </w:t>
      </w:r>
      <w:proofErr w:type="spellStart"/>
      <w:r w:rsidRPr="00672A61">
        <w:rPr>
          <w:rFonts w:ascii="Arial" w:hAnsi="Arial" w:cs="Arial"/>
          <w:i/>
          <w:iCs/>
          <w:color w:val="333333"/>
          <w:sz w:val="20"/>
          <w:szCs w:val="20"/>
        </w:rPr>
        <w:t>afin</w:t>
      </w:r>
      <w:proofErr w:type="spellEnd"/>
      <w:r w:rsidRPr="00672A61">
        <w:rPr>
          <w:rFonts w:ascii="Arial" w:hAnsi="Arial" w:cs="Arial"/>
          <w:i/>
          <w:iCs/>
          <w:color w:val="333333"/>
          <w:sz w:val="20"/>
          <w:szCs w:val="20"/>
        </w:rPr>
        <w:t xml:space="preserve"> que la </w:t>
      </w:r>
      <w:proofErr w:type="spellStart"/>
      <w:r w:rsidRPr="00672A61">
        <w:rPr>
          <w:rFonts w:ascii="Arial" w:hAnsi="Arial" w:cs="Arial"/>
          <w:i/>
          <w:iCs/>
          <w:color w:val="333333"/>
          <w:sz w:val="20"/>
          <w:szCs w:val="20"/>
        </w:rPr>
        <w:t>faune</w:t>
      </w:r>
      <w:proofErr w:type="spellEnd"/>
      <w:r w:rsidRPr="00672A61">
        <w:rPr>
          <w:rFonts w:ascii="Arial" w:hAnsi="Arial" w:cs="Arial"/>
          <w:i/>
          <w:iCs/>
          <w:color w:val="333333"/>
          <w:sz w:val="20"/>
          <w:szCs w:val="20"/>
        </w:rPr>
        <w:t xml:space="preserve"> </w:t>
      </w:r>
      <w:proofErr w:type="spellStart"/>
      <w:r w:rsidRPr="00672A61">
        <w:rPr>
          <w:rFonts w:ascii="Arial" w:hAnsi="Arial" w:cs="Arial"/>
          <w:i/>
          <w:iCs/>
          <w:color w:val="333333"/>
          <w:sz w:val="20"/>
          <w:szCs w:val="20"/>
        </w:rPr>
        <w:t>sauvage</w:t>
      </w:r>
      <w:proofErr w:type="spellEnd"/>
      <w:r w:rsidRPr="00672A61">
        <w:rPr>
          <w:rFonts w:ascii="Arial" w:hAnsi="Arial" w:cs="Arial"/>
          <w:i/>
          <w:iCs/>
          <w:color w:val="333333"/>
          <w:sz w:val="20"/>
          <w:szCs w:val="20"/>
        </w:rPr>
        <w:t xml:space="preserve"> et le </w:t>
      </w:r>
      <w:proofErr w:type="spellStart"/>
      <w:r w:rsidRPr="00672A61">
        <w:rPr>
          <w:rFonts w:ascii="Arial" w:hAnsi="Arial" w:cs="Arial"/>
          <w:i/>
          <w:iCs/>
          <w:color w:val="333333"/>
          <w:sz w:val="20"/>
          <w:szCs w:val="20"/>
        </w:rPr>
        <w:t>développement</w:t>
      </w:r>
      <w:proofErr w:type="spellEnd"/>
      <w:r w:rsidRPr="00672A61">
        <w:rPr>
          <w:rFonts w:ascii="Arial" w:hAnsi="Arial" w:cs="Arial"/>
          <w:i/>
          <w:iCs/>
          <w:color w:val="333333"/>
          <w:sz w:val="20"/>
          <w:szCs w:val="20"/>
        </w:rPr>
        <w:t xml:space="preserve"> durable des </w:t>
      </w:r>
      <w:proofErr w:type="spellStart"/>
      <w:r w:rsidRPr="00672A61">
        <w:rPr>
          <w:rFonts w:ascii="Arial" w:hAnsi="Arial" w:cs="Arial"/>
          <w:i/>
          <w:iCs/>
          <w:color w:val="333333"/>
          <w:sz w:val="20"/>
          <w:szCs w:val="20"/>
        </w:rPr>
        <w:t>communautés</w:t>
      </w:r>
      <w:proofErr w:type="spellEnd"/>
      <w:r w:rsidRPr="00672A61">
        <w:rPr>
          <w:rFonts w:ascii="Arial" w:hAnsi="Arial" w:cs="Arial"/>
          <w:i/>
          <w:iCs/>
          <w:color w:val="333333"/>
          <w:sz w:val="20"/>
          <w:szCs w:val="20"/>
        </w:rPr>
        <w:t xml:space="preserve"> qui </w:t>
      </w:r>
      <w:proofErr w:type="spellStart"/>
      <w:r w:rsidRPr="00672A61">
        <w:rPr>
          <w:rFonts w:ascii="Arial" w:hAnsi="Arial" w:cs="Arial"/>
          <w:i/>
          <w:iCs/>
          <w:color w:val="333333"/>
          <w:sz w:val="20"/>
          <w:szCs w:val="20"/>
        </w:rPr>
        <w:t>vivent</w:t>
      </w:r>
      <w:proofErr w:type="spellEnd"/>
      <w:r w:rsidRPr="00672A61">
        <w:rPr>
          <w:rFonts w:ascii="Arial" w:hAnsi="Arial" w:cs="Arial"/>
          <w:i/>
          <w:iCs/>
          <w:color w:val="333333"/>
          <w:sz w:val="20"/>
          <w:szCs w:val="20"/>
        </w:rPr>
        <w:t xml:space="preserve"> au sein des ACTen </w:t>
      </w:r>
      <w:proofErr w:type="spellStart"/>
      <w:r w:rsidRPr="00672A61">
        <w:rPr>
          <w:rFonts w:ascii="Arial" w:hAnsi="Arial" w:cs="Arial"/>
          <w:i/>
          <w:iCs/>
          <w:color w:val="333333"/>
          <w:sz w:val="20"/>
          <w:szCs w:val="20"/>
        </w:rPr>
        <w:t>bénéficient</w:t>
      </w:r>
      <w:proofErr w:type="spellEnd"/>
      <w:r w:rsidRPr="00672A61">
        <w:rPr>
          <w:rFonts w:ascii="Arial" w:hAnsi="Arial" w:cs="Arial"/>
          <w:i/>
          <w:iCs/>
          <w:color w:val="333333"/>
          <w:sz w:val="20"/>
          <w:szCs w:val="20"/>
        </w:rPr>
        <w:t>; et</w:t>
      </w:r>
    </w:p>
    <w:p w14:paraId="1FEEF49E" w14:textId="77777777" w:rsidR="00672A61" w:rsidRPr="00672A61" w:rsidRDefault="00672A61" w:rsidP="00672A61">
      <w:pPr>
        <w:pStyle w:val="NormalWeb"/>
        <w:shd w:val="clear" w:color="auto" w:fill="FFFFFF"/>
        <w:spacing w:before="0" w:beforeAutospacing="0" w:after="0" w:afterAutospacing="0"/>
        <w:jc w:val="both"/>
        <w:rPr>
          <w:rFonts w:ascii="Arial" w:hAnsi="Arial" w:cs="Arial"/>
          <w:i/>
          <w:iCs/>
          <w:color w:val="333333"/>
          <w:sz w:val="20"/>
          <w:szCs w:val="20"/>
        </w:rPr>
      </w:pPr>
    </w:p>
    <w:p w14:paraId="184AE6A2" w14:textId="5AED9373" w:rsidR="00672A61" w:rsidRPr="00672A61" w:rsidRDefault="00672A61" w:rsidP="00672A61">
      <w:pPr>
        <w:pStyle w:val="NormalWeb"/>
        <w:shd w:val="clear" w:color="auto" w:fill="FFFFFF"/>
        <w:spacing w:before="0" w:beforeAutospacing="0" w:after="0" w:afterAutospacing="0"/>
        <w:ind w:left="1276" w:hanging="425"/>
        <w:jc w:val="both"/>
        <w:rPr>
          <w:rFonts w:ascii="Arial" w:hAnsi="Arial" w:cs="Arial"/>
          <w:i/>
          <w:iCs/>
          <w:color w:val="333333"/>
          <w:sz w:val="20"/>
          <w:szCs w:val="20"/>
        </w:rPr>
      </w:pPr>
      <w:r w:rsidRPr="00672A61">
        <w:rPr>
          <w:rFonts w:ascii="Arial" w:hAnsi="Arial" w:cs="Arial"/>
          <w:i/>
          <w:iCs/>
          <w:color w:val="333333"/>
          <w:sz w:val="20"/>
          <w:szCs w:val="20"/>
        </w:rPr>
        <w:t xml:space="preserve">d) </w:t>
      </w:r>
      <w:r>
        <w:rPr>
          <w:rFonts w:ascii="Arial" w:hAnsi="Arial" w:cs="Arial"/>
          <w:i/>
          <w:iCs/>
          <w:color w:val="333333"/>
          <w:sz w:val="20"/>
          <w:szCs w:val="20"/>
        </w:rPr>
        <w:tab/>
      </w:r>
      <w:r w:rsidRPr="00672A61">
        <w:rPr>
          <w:rFonts w:ascii="Arial" w:hAnsi="Arial" w:cs="Arial"/>
          <w:i/>
          <w:iCs/>
          <w:color w:val="333333"/>
          <w:sz w:val="20"/>
          <w:szCs w:val="20"/>
        </w:rPr>
        <w:t xml:space="preserve">informer le </w:t>
      </w:r>
      <w:proofErr w:type="spellStart"/>
      <w:r w:rsidRPr="00672A61">
        <w:rPr>
          <w:rFonts w:ascii="Arial" w:hAnsi="Arial" w:cs="Arial"/>
          <w:i/>
          <w:iCs/>
          <w:color w:val="333333"/>
          <w:sz w:val="20"/>
          <w:szCs w:val="20"/>
        </w:rPr>
        <w:t>Secrétariat</w:t>
      </w:r>
      <w:proofErr w:type="spellEnd"/>
      <w:r w:rsidRPr="00672A61">
        <w:rPr>
          <w:rFonts w:ascii="Arial" w:hAnsi="Arial" w:cs="Arial"/>
          <w:i/>
          <w:iCs/>
          <w:color w:val="333333"/>
          <w:sz w:val="20"/>
          <w:szCs w:val="20"/>
        </w:rPr>
        <w:t xml:space="preserve"> de </w:t>
      </w:r>
      <w:proofErr w:type="spellStart"/>
      <w:r w:rsidRPr="00672A61">
        <w:rPr>
          <w:rFonts w:ascii="Arial" w:hAnsi="Arial" w:cs="Arial"/>
          <w:i/>
          <w:iCs/>
          <w:color w:val="333333"/>
          <w:sz w:val="20"/>
          <w:szCs w:val="20"/>
        </w:rPr>
        <w:t>toute</w:t>
      </w:r>
      <w:proofErr w:type="spellEnd"/>
      <w:r w:rsidRPr="00672A61">
        <w:rPr>
          <w:rFonts w:ascii="Arial" w:hAnsi="Arial" w:cs="Arial"/>
          <w:i/>
          <w:iCs/>
          <w:color w:val="333333"/>
          <w:sz w:val="20"/>
          <w:szCs w:val="20"/>
        </w:rPr>
        <w:t xml:space="preserve"> zone </w:t>
      </w:r>
      <w:proofErr w:type="spellStart"/>
      <w:r w:rsidRPr="00672A61">
        <w:rPr>
          <w:rFonts w:ascii="Arial" w:hAnsi="Arial" w:cs="Arial"/>
          <w:i/>
          <w:iCs/>
          <w:color w:val="333333"/>
          <w:sz w:val="20"/>
          <w:szCs w:val="20"/>
        </w:rPr>
        <w:t>proposée</w:t>
      </w:r>
      <w:proofErr w:type="spellEnd"/>
      <w:r w:rsidRPr="00672A61">
        <w:rPr>
          <w:rFonts w:ascii="Arial" w:hAnsi="Arial" w:cs="Arial"/>
          <w:i/>
          <w:iCs/>
          <w:color w:val="333333"/>
          <w:sz w:val="20"/>
          <w:szCs w:val="20"/>
        </w:rPr>
        <w:t xml:space="preserve"> en vertu du </w:t>
      </w:r>
      <w:proofErr w:type="spellStart"/>
      <w:r w:rsidRPr="00672A61">
        <w:rPr>
          <w:rFonts w:ascii="Arial" w:hAnsi="Arial" w:cs="Arial"/>
          <w:i/>
          <w:iCs/>
          <w:color w:val="333333"/>
          <w:sz w:val="20"/>
          <w:szCs w:val="20"/>
        </w:rPr>
        <w:t>paragraphe</w:t>
      </w:r>
      <w:proofErr w:type="spellEnd"/>
      <w:r w:rsidRPr="00672A61">
        <w:rPr>
          <w:rFonts w:ascii="Arial" w:hAnsi="Arial" w:cs="Arial"/>
          <w:i/>
          <w:iCs/>
          <w:color w:val="333333"/>
          <w:sz w:val="20"/>
          <w:szCs w:val="20"/>
        </w:rPr>
        <w:t xml:space="preserve"> a).</w:t>
      </w:r>
    </w:p>
    <w:p w14:paraId="5B84827A" w14:textId="77777777" w:rsidR="005A6261" w:rsidRPr="00672A61" w:rsidRDefault="005A6261" w:rsidP="005A6261">
      <w:pPr>
        <w:spacing w:after="0" w:line="240" w:lineRule="auto"/>
        <w:jc w:val="both"/>
        <w:rPr>
          <w:i/>
          <w:iCs/>
          <w:highlight w:val="yellow"/>
          <w:lang w:val="fr-FR"/>
        </w:rPr>
      </w:pPr>
    </w:p>
    <w:p w14:paraId="5FD8C138" w14:textId="35121A4F" w:rsidR="00672A61" w:rsidRPr="00672A61" w:rsidRDefault="00672A61" w:rsidP="00672A61">
      <w:pPr>
        <w:spacing w:after="0" w:line="240" w:lineRule="auto"/>
        <w:ind w:left="851"/>
        <w:rPr>
          <w:rFonts w:eastAsia="Times New Roman" w:cs="Arial"/>
          <w:b/>
          <w:bCs/>
          <w:sz w:val="20"/>
          <w:szCs w:val="20"/>
          <w:lang w:val="en-DE" w:eastAsia="en-DE"/>
        </w:rPr>
      </w:pPr>
      <w:r w:rsidRPr="0069242E">
        <w:rPr>
          <w:rFonts w:eastAsia="Times New Roman" w:cs="Arial"/>
          <w:b/>
          <w:bCs/>
          <w:i/>
          <w:iCs/>
          <w:color w:val="333333"/>
          <w:sz w:val="20"/>
          <w:szCs w:val="20"/>
          <w:shd w:val="clear" w:color="auto" w:fill="FFFFFF"/>
          <w:lang w:val="fr-FR" w:eastAsia="en-DE"/>
        </w:rPr>
        <w:t xml:space="preserve">13.117. </w:t>
      </w:r>
      <w:proofErr w:type="spellStart"/>
      <w:r w:rsidRPr="00672A61">
        <w:rPr>
          <w:rFonts w:eastAsia="Times New Roman" w:cs="Arial"/>
          <w:b/>
          <w:bCs/>
          <w:i/>
          <w:iCs/>
          <w:color w:val="333333"/>
          <w:sz w:val="20"/>
          <w:szCs w:val="20"/>
          <w:shd w:val="clear" w:color="auto" w:fill="FFFFFF"/>
          <w:lang w:val="en-DE" w:eastAsia="en-DE"/>
        </w:rPr>
        <w:t>adressée</w:t>
      </w:r>
      <w:proofErr w:type="spellEnd"/>
      <w:r w:rsidRPr="00672A61">
        <w:rPr>
          <w:rFonts w:eastAsia="Times New Roman" w:cs="Arial"/>
          <w:b/>
          <w:bCs/>
          <w:i/>
          <w:iCs/>
          <w:color w:val="333333"/>
          <w:sz w:val="20"/>
          <w:szCs w:val="20"/>
          <w:shd w:val="clear" w:color="auto" w:fill="FFFFFF"/>
          <w:lang w:val="en-DE" w:eastAsia="en-DE"/>
        </w:rPr>
        <w:t xml:space="preserve"> </w:t>
      </w:r>
      <w:r w:rsidRPr="0069242E">
        <w:rPr>
          <w:rFonts w:eastAsia="Times New Roman" w:cs="Arial"/>
          <w:b/>
          <w:bCs/>
          <w:i/>
          <w:iCs/>
          <w:color w:val="333333"/>
          <w:sz w:val="20"/>
          <w:szCs w:val="20"/>
          <w:shd w:val="clear" w:color="auto" w:fill="FFFFFF"/>
          <w:lang w:val="fr-FR" w:eastAsia="en-DE"/>
        </w:rPr>
        <w:t>au</w:t>
      </w:r>
      <w:r w:rsidRPr="0069242E">
        <w:rPr>
          <w:rFonts w:eastAsia="Times New Roman" w:cs="Arial"/>
          <w:b/>
          <w:bCs/>
          <w:color w:val="333333"/>
          <w:sz w:val="20"/>
          <w:szCs w:val="20"/>
          <w:shd w:val="clear" w:color="auto" w:fill="FFFFFF"/>
          <w:lang w:val="fr-FR" w:eastAsia="en-DE"/>
        </w:rPr>
        <w:t xml:space="preserve"> </w:t>
      </w:r>
      <w:proofErr w:type="spellStart"/>
      <w:r w:rsidRPr="00672A61">
        <w:rPr>
          <w:rFonts w:eastAsia="Times New Roman" w:cs="Arial"/>
          <w:b/>
          <w:bCs/>
          <w:color w:val="333333"/>
          <w:sz w:val="20"/>
          <w:szCs w:val="20"/>
          <w:shd w:val="clear" w:color="auto" w:fill="FFFFFF"/>
          <w:lang w:val="en-DE" w:eastAsia="en-DE"/>
        </w:rPr>
        <w:t>Secrétariat</w:t>
      </w:r>
      <w:proofErr w:type="spellEnd"/>
    </w:p>
    <w:p w14:paraId="19797410" w14:textId="2C86DD8A" w:rsidR="00672A61" w:rsidRPr="00672A61" w:rsidRDefault="00672A61" w:rsidP="00672A61">
      <w:pPr>
        <w:shd w:val="clear" w:color="auto" w:fill="FFFFFF"/>
        <w:spacing w:after="0" w:line="240" w:lineRule="auto"/>
        <w:rPr>
          <w:rFonts w:eastAsia="Times New Roman" w:cs="Arial"/>
          <w:i/>
          <w:iCs/>
          <w:color w:val="333333"/>
          <w:sz w:val="20"/>
          <w:szCs w:val="20"/>
          <w:lang w:val="en-DE" w:eastAsia="en-DE"/>
        </w:rPr>
      </w:pPr>
    </w:p>
    <w:p w14:paraId="636640CF" w14:textId="77777777" w:rsidR="00672A61" w:rsidRDefault="00672A61" w:rsidP="00D04559">
      <w:pPr>
        <w:shd w:val="clear" w:color="auto" w:fill="FFFFFF"/>
        <w:spacing w:after="0" w:line="240" w:lineRule="auto"/>
        <w:ind w:left="851"/>
        <w:rPr>
          <w:rFonts w:eastAsia="Times New Roman" w:cs="Arial"/>
          <w:i/>
          <w:iCs/>
          <w:color w:val="333333"/>
          <w:sz w:val="20"/>
          <w:szCs w:val="20"/>
          <w:lang w:val="en-DE" w:eastAsia="en-DE"/>
        </w:rPr>
      </w:pPr>
      <w:r w:rsidRPr="00672A61">
        <w:rPr>
          <w:rFonts w:eastAsia="Times New Roman" w:cs="Arial"/>
          <w:i/>
          <w:iCs/>
          <w:color w:val="333333"/>
          <w:sz w:val="20"/>
          <w:szCs w:val="20"/>
          <w:lang w:val="en-DE" w:eastAsia="en-DE"/>
        </w:rPr>
        <w:t xml:space="preserve">Le </w:t>
      </w:r>
      <w:proofErr w:type="spellStart"/>
      <w:r w:rsidRPr="00672A61">
        <w:rPr>
          <w:rFonts w:eastAsia="Times New Roman" w:cs="Arial"/>
          <w:i/>
          <w:iCs/>
          <w:color w:val="333333"/>
          <w:sz w:val="20"/>
          <w:szCs w:val="20"/>
          <w:lang w:val="en-DE" w:eastAsia="en-DE"/>
        </w:rPr>
        <w:t>Secrétariat</w:t>
      </w:r>
      <w:proofErr w:type="spellEnd"/>
      <w:r w:rsidRPr="00672A61">
        <w:rPr>
          <w:rFonts w:eastAsia="Times New Roman" w:cs="Arial"/>
          <w:i/>
          <w:iCs/>
          <w:color w:val="333333"/>
          <w:sz w:val="20"/>
          <w:szCs w:val="20"/>
          <w:lang w:val="en-DE" w:eastAsia="en-DE"/>
        </w:rPr>
        <w:t xml:space="preserve">, sous </w:t>
      </w:r>
      <w:proofErr w:type="spellStart"/>
      <w:r w:rsidRPr="00672A61">
        <w:rPr>
          <w:rFonts w:eastAsia="Times New Roman" w:cs="Arial"/>
          <w:i/>
          <w:iCs/>
          <w:color w:val="333333"/>
          <w:sz w:val="20"/>
          <w:szCs w:val="20"/>
          <w:lang w:val="en-DE" w:eastAsia="en-DE"/>
        </w:rPr>
        <w:t>réserve</w:t>
      </w:r>
      <w:proofErr w:type="spellEnd"/>
      <w:r w:rsidRPr="00672A61">
        <w:rPr>
          <w:rFonts w:eastAsia="Times New Roman" w:cs="Arial"/>
          <w:i/>
          <w:iCs/>
          <w:color w:val="333333"/>
          <w:sz w:val="20"/>
          <w:szCs w:val="20"/>
          <w:lang w:val="en-DE" w:eastAsia="en-DE"/>
        </w:rPr>
        <w:t xml:space="preserve"> de la </w:t>
      </w:r>
      <w:proofErr w:type="spellStart"/>
      <w:r w:rsidRPr="00672A61">
        <w:rPr>
          <w:rFonts w:eastAsia="Times New Roman" w:cs="Arial"/>
          <w:i/>
          <w:iCs/>
          <w:color w:val="333333"/>
          <w:sz w:val="20"/>
          <w:szCs w:val="20"/>
          <w:lang w:val="en-DE" w:eastAsia="en-DE"/>
        </w:rPr>
        <w:t>disponibilité</w:t>
      </w:r>
      <w:proofErr w:type="spellEnd"/>
      <w:r w:rsidRPr="00672A61">
        <w:rPr>
          <w:rFonts w:eastAsia="Times New Roman" w:cs="Arial"/>
          <w:i/>
          <w:iCs/>
          <w:color w:val="333333"/>
          <w:sz w:val="20"/>
          <w:szCs w:val="20"/>
          <w:lang w:val="en-DE" w:eastAsia="en-DE"/>
        </w:rPr>
        <w:t xml:space="preserve"> des </w:t>
      </w:r>
      <w:proofErr w:type="spellStart"/>
      <w:r w:rsidRPr="00672A61">
        <w:rPr>
          <w:rFonts w:eastAsia="Times New Roman" w:cs="Arial"/>
          <w:i/>
          <w:iCs/>
          <w:color w:val="333333"/>
          <w:sz w:val="20"/>
          <w:szCs w:val="20"/>
          <w:lang w:val="en-DE" w:eastAsia="en-DE"/>
        </w:rPr>
        <w:t>ressources</w:t>
      </w:r>
      <w:proofErr w:type="spellEnd"/>
      <w:r w:rsidRPr="00672A61">
        <w:rPr>
          <w:rFonts w:eastAsia="Times New Roman" w:cs="Arial"/>
          <w:i/>
          <w:iCs/>
          <w:color w:val="333333"/>
          <w:sz w:val="20"/>
          <w:szCs w:val="20"/>
          <w:lang w:val="en-DE" w:eastAsia="en-DE"/>
        </w:rPr>
        <w:t xml:space="preserve"> </w:t>
      </w:r>
      <w:proofErr w:type="spellStart"/>
      <w:r w:rsidRPr="00672A61">
        <w:rPr>
          <w:rFonts w:eastAsia="Times New Roman" w:cs="Arial"/>
          <w:i/>
          <w:iCs/>
          <w:color w:val="333333"/>
          <w:sz w:val="20"/>
          <w:szCs w:val="20"/>
          <w:lang w:val="en-DE" w:eastAsia="en-DE"/>
        </w:rPr>
        <w:t>externes</w:t>
      </w:r>
      <w:proofErr w:type="spellEnd"/>
      <w:r w:rsidRPr="00672A61">
        <w:rPr>
          <w:rFonts w:eastAsia="Times New Roman" w:cs="Arial"/>
          <w:i/>
          <w:iCs/>
          <w:color w:val="333333"/>
          <w:sz w:val="20"/>
          <w:szCs w:val="20"/>
          <w:lang w:val="en-DE" w:eastAsia="en-DE"/>
        </w:rPr>
        <w:t>:</w:t>
      </w:r>
    </w:p>
    <w:p w14:paraId="3FD287C1" w14:textId="77777777" w:rsidR="00D04559" w:rsidRPr="00672A61" w:rsidRDefault="00D04559" w:rsidP="00D04559">
      <w:pPr>
        <w:shd w:val="clear" w:color="auto" w:fill="FFFFFF"/>
        <w:spacing w:after="0" w:line="240" w:lineRule="auto"/>
        <w:ind w:left="851"/>
        <w:rPr>
          <w:rFonts w:eastAsia="Times New Roman" w:cs="Arial"/>
          <w:i/>
          <w:iCs/>
          <w:color w:val="333333"/>
          <w:sz w:val="20"/>
          <w:szCs w:val="20"/>
          <w:lang w:val="en-DE" w:eastAsia="en-DE"/>
        </w:rPr>
      </w:pPr>
    </w:p>
    <w:p w14:paraId="64D12B79" w14:textId="5EBB9095" w:rsidR="00672A61" w:rsidRPr="00D04559" w:rsidRDefault="00672A61" w:rsidP="00D04559">
      <w:pPr>
        <w:pStyle w:val="ListParagraph"/>
        <w:numPr>
          <w:ilvl w:val="0"/>
          <w:numId w:val="11"/>
        </w:numPr>
        <w:shd w:val="clear" w:color="auto" w:fill="FFFFFF"/>
        <w:spacing w:after="0" w:line="240" w:lineRule="auto"/>
        <w:rPr>
          <w:rFonts w:eastAsia="Times New Roman" w:cs="Arial"/>
          <w:i/>
          <w:iCs/>
          <w:color w:val="333333"/>
          <w:sz w:val="20"/>
          <w:szCs w:val="20"/>
          <w:lang w:val="en-DE" w:eastAsia="en-DE"/>
        </w:rPr>
      </w:pPr>
      <w:proofErr w:type="spellStart"/>
      <w:r w:rsidRPr="00D04559">
        <w:rPr>
          <w:rFonts w:eastAsia="Times New Roman" w:cs="Arial"/>
          <w:i/>
          <w:iCs/>
          <w:color w:val="333333"/>
          <w:sz w:val="20"/>
          <w:szCs w:val="20"/>
          <w:lang w:val="en-DE" w:eastAsia="en-DE"/>
        </w:rPr>
        <w:t>soutient</w:t>
      </w:r>
      <w:proofErr w:type="spellEnd"/>
      <w:r w:rsidRPr="00D04559">
        <w:rPr>
          <w:rFonts w:eastAsia="Times New Roman" w:cs="Arial"/>
          <w:i/>
          <w:iCs/>
          <w:color w:val="333333"/>
          <w:sz w:val="20"/>
          <w:szCs w:val="20"/>
          <w:lang w:val="en-DE" w:eastAsia="en-DE"/>
        </w:rPr>
        <w:t xml:space="preserve"> les Parties dans la mise en </w:t>
      </w:r>
      <w:proofErr w:type="spellStart"/>
      <w:r w:rsidRPr="00D04559">
        <w:rPr>
          <w:rFonts w:eastAsia="Times New Roman" w:cs="Arial"/>
          <w:i/>
          <w:iCs/>
          <w:color w:val="333333"/>
          <w:sz w:val="20"/>
          <w:szCs w:val="20"/>
          <w:lang w:val="en-DE" w:eastAsia="en-DE"/>
        </w:rPr>
        <w:t>œuvre</w:t>
      </w:r>
      <w:proofErr w:type="spellEnd"/>
      <w:r w:rsidRPr="00D04559">
        <w:rPr>
          <w:rFonts w:eastAsia="Times New Roman" w:cs="Arial"/>
          <w:i/>
          <w:iCs/>
          <w:color w:val="333333"/>
          <w:sz w:val="20"/>
          <w:szCs w:val="20"/>
          <w:lang w:val="en-DE" w:eastAsia="en-DE"/>
        </w:rPr>
        <w:t xml:space="preserve"> de la </w:t>
      </w:r>
      <w:proofErr w:type="spellStart"/>
      <w:r w:rsidRPr="00D04559">
        <w:rPr>
          <w:rFonts w:eastAsia="Times New Roman" w:cs="Arial"/>
          <w:i/>
          <w:iCs/>
          <w:color w:val="333333"/>
          <w:sz w:val="20"/>
          <w:szCs w:val="20"/>
          <w:lang w:val="en-DE" w:eastAsia="en-DE"/>
        </w:rPr>
        <w:t>Décision</w:t>
      </w:r>
      <w:proofErr w:type="spellEnd"/>
      <w:r w:rsidRPr="00D04559">
        <w:rPr>
          <w:rFonts w:eastAsia="Times New Roman" w:cs="Arial"/>
          <w:i/>
          <w:iCs/>
          <w:color w:val="333333"/>
          <w:sz w:val="20"/>
          <w:szCs w:val="20"/>
          <w:lang w:val="en-DE" w:eastAsia="en-DE"/>
        </w:rPr>
        <w:t xml:space="preserve"> </w:t>
      </w:r>
      <w:proofErr w:type="gramStart"/>
      <w:r w:rsidRPr="00D04559">
        <w:rPr>
          <w:rFonts w:eastAsia="Times New Roman" w:cs="Arial"/>
          <w:i/>
          <w:iCs/>
          <w:color w:val="333333"/>
          <w:sz w:val="20"/>
          <w:szCs w:val="20"/>
          <w:lang w:val="en-DE" w:eastAsia="en-DE"/>
        </w:rPr>
        <w:t>13.116;</w:t>
      </w:r>
      <w:proofErr w:type="gramEnd"/>
    </w:p>
    <w:p w14:paraId="23AA7E4A" w14:textId="77777777" w:rsidR="00D04559" w:rsidRPr="00D04559" w:rsidRDefault="00D04559" w:rsidP="00D04559">
      <w:pPr>
        <w:pStyle w:val="ListParagraph"/>
        <w:shd w:val="clear" w:color="auto" w:fill="FFFFFF"/>
        <w:spacing w:after="0" w:line="240" w:lineRule="auto"/>
        <w:ind w:left="1271"/>
        <w:rPr>
          <w:rFonts w:eastAsia="Times New Roman" w:cs="Arial"/>
          <w:i/>
          <w:iCs/>
          <w:color w:val="333333"/>
          <w:sz w:val="20"/>
          <w:szCs w:val="20"/>
          <w:lang w:val="en-DE" w:eastAsia="en-DE"/>
        </w:rPr>
      </w:pPr>
    </w:p>
    <w:p w14:paraId="477DBED6" w14:textId="4FB85917" w:rsidR="00672A61" w:rsidRPr="00672A61" w:rsidRDefault="00672A61" w:rsidP="00D04559">
      <w:pPr>
        <w:shd w:val="clear" w:color="auto" w:fill="FFFFFF"/>
        <w:spacing w:after="0" w:line="240" w:lineRule="auto"/>
        <w:ind w:left="1276" w:hanging="425"/>
        <w:rPr>
          <w:rFonts w:eastAsia="Times New Roman" w:cs="Arial"/>
          <w:i/>
          <w:iCs/>
          <w:color w:val="333333"/>
          <w:sz w:val="20"/>
          <w:szCs w:val="20"/>
          <w:lang w:val="en-DE" w:eastAsia="en-DE"/>
        </w:rPr>
      </w:pPr>
      <w:r w:rsidRPr="00672A61">
        <w:rPr>
          <w:rFonts w:eastAsia="Times New Roman" w:cs="Arial"/>
          <w:i/>
          <w:iCs/>
          <w:color w:val="333333"/>
          <w:sz w:val="20"/>
          <w:szCs w:val="20"/>
          <w:lang w:val="en-DE" w:eastAsia="en-DE"/>
        </w:rPr>
        <w:t xml:space="preserve">b) </w:t>
      </w:r>
      <w:r>
        <w:rPr>
          <w:rFonts w:eastAsia="Times New Roman" w:cs="Arial"/>
          <w:i/>
          <w:iCs/>
          <w:color w:val="333333"/>
          <w:sz w:val="20"/>
          <w:szCs w:val="20"/>
          <w:lang w:val="en-DE" w:eastAsia="en-DE"/>
        </w:rPr>
        <w:tab/>
      </w:r>
      <w:r w:rsidRPr="00672A61">
        <w:rPr>
          <w:rFonts w:eastAsia="Times New Roman" w:cs="Arial"/>
          <w:i/>
          <w:iCs/>
          <w:color w:val="333333"/>
          <w:sz w:val="20"/>
          <w:szCs w:val="20"/>
          <w:lang w:val="en-DE" w:eastAsia="en-DE"/>
        </w:rPr>
        <w:t xml:space="preserve">rend </w:t>
      </w:r>
      <w:proofErr w:type="spellStart"/>
      <w:r w:rsidRPr="00672A61">
        <w:rPr>
          <w:rFonts w:eastAsia="Times New Roman" w:cs="Arial"/>
          <w:i/>
          <w:iCs/>
          <w:color w:val="333333"/>
          <w:sz w:val="20"/>
          <w:szCs w:val="20"/>
          <w:lang w:val="en-DE" w:eastAsia="en-DE"/>
        </w:rPr>
        <w:t>compte</w:t>
      </w:r>
      <w:proofErr w:type="spellEnd"/>
      <w:r w:rsidRPr="00672A61">
        <w:rPr>
          <w:rFonts w:eastAsia="Times New Roman" w:cs="Arial"/>
          <w:i/>
          <w:iCs/>
          <w:color w:val="333333"/>
          <w:sz w:val="20"/>
          <w:szCs w:val="20"/>
          <w:lang w:val="en-DE" w:eastAsia="en-DE"/>
        </w:rPr>
        <w:t xml:space="preserve"> à la </w:t>
      </w:r>
      <w:proofErr w:type="spellStart"/>
      <w:r w:rsidRPr="00672A61">
        <w:rPr>
          <w:rFonts w:eastAsia="Times New Roman" w:cs="Arial"/>
          <w:i/>
          <w:iCs/>
          <w:color w:val="333333"/>
          <w:sz w:val="20"/>
          <w:szCs w:val="20"/>
          <w:lang w:val="en-DE" w:eastAsia="en-DE"/>
        </w:rPr>
        <w:t>Conférence</w:t>
      </w:r>
      <w:proofErr w:type="spellEnd"/>
      <w:r w:rsidRPr="00672A61">
        <w:rPr>
          <w:rFonts w:eastAsia="Times New Roman" w:cs="Arial"/>
          <w:i/>
          <w:iCs/>
          <w:color w:val="333333"/>
          <w:sz w:val="20"/>
          <w:szCs w:val="20"/>
          <w:lang w:val="en-DE" w:eastAsia="en-DE"/>
        </w:rPr>
        <w:t xml:space="preserve"> des Parties </w:t>
      </w:r>
      <w:proofErr w:type="spellStart"/>
      <w:r w:rsidRPr="00672A61">
        <w:rPr>
          <w:rFonts w:eastAsia="Times New Roman" w:cs="Arial"/>
          <w:i/>
          <w:iCs/>
          <w:color w:val="333333"/>
          <w:sz w:val="20"/>
          <w:szCs w:val="20"/>
          <w:lang w:val="en-DE" w:eastAsia="en-DE"/>
        </w:rPr>
        <w:t>lors</w:t>
      </w:r>
      <w:proofErr w:type="spellEnd"/>
      <w:r w:rsidRPr="00672A61">
        <w:rPr>
          <w:rFonts w:eastAsia="Times New Roman" w:cs="Arial"/>
          <w:i/>
          <w:iCs/>
          <w:color w:val="333333"/>
          <w:sz w:val="20"/>
          <w:szCs w:val="20"/>
          <w:lang w:val="en-DE" w:eastAsia="en-DE"/>
        </w:rPr>
        <w:t xml:space="preserve"> de </w:t>
      </w:r>
      <w:proofErr w:type="spellStart"/>
      <w:r w:rsidRPr="00672A61">
        <w:rPr>
          <w:rFonts w:eastAsia="Times New Roman" w:cs="Arial"/>
          <w:i/>
          <w:iCs/>
          <w:color w:val="333333"/>
          <w:sz w:val="20"/>
          <w:szCs w:val="20"/>
          <w:lang w:val="en-DE" w:eastAsia="en-DE"/>
        </w:rPr>
        <w:t>sa</w:t>
      </w:r>
      <w:proofErr w:type="spellEnd"/>
      <w:r w:rsidRPr="00672A61">
        <w:rPr>
          <w:rFonts w:eastAsia="Times New Roman" w:cs="Arial"/>
          <w:i/>
          <w:iCs/>
          <w:color w:val="333333"/>
          <w:sz w:val="20"/>
          <w:szCs w:val="20"/>
          <w:lang w:val="en-DE" w:eastAsia="en-DE"/>
        </w:rPr>
        <w:t xml:space="preserve"> 14e session, des </w:t>
      </w:r>
      <w:proofErr w:type="spellStart"/>
      <w:r w:rsidRPr="00672A61">
        <w:rPr>
          <w:rFonts w:eastAsia="Times New Roman" w:cs="Arial"/>
          <w:i/>
          <w:iCs/>
          <w:color w:val="333333"/>
          <w:sz w:val="20"/>
          <w:szCs w:val="20"/>
          <w:lang w:val="en-DE" w:eastAsia="en-DE"/>
        </w:rPr>
        <w:t>progrès</w:t>
      </w:r>
      <w:proofErr w:type="spellEnd"/>
      <w:r w:rsidRPr="00672A61">
        <w:rPr>
          <w:rFonts w:eastAsia="Times New Roman" w:cs="Arial"/>
          <w:i/>
          <w:iCs/>
          <w:color w:val="333333"/>
          <w:sz w:val="20"/>
          <w:szCs w:val="20"/>
          <w:lang w:val="en-DE" w:eastAsia="en-DE"/>
        </w:rPr>
        <w:t xml:space="preserve"> dans la mise en </w:t>
      </w:r>
      <w:proofErr w:type="spellStart"/>
      <w:r w:rsidRPr="00672A61">
        <w:rPr>
          <w:rFonts w:eastAsia="Times New Roman" w:cs="Arial"/>
          <w:i/>
          <w:iCs/>
          <w:color w:val="333333"/>
          <w:sz w:val="20"/>
          <w:szCs w:val="20"/>
          <w:lang w:val="en-DE" w:eastAsia="en-DE"/>
        </w:rPr>
        <w:t>œuvre</w:t>
      </w:r>
      <w:proofErr w:type="spellEnd"/>
      <w:r w:rsidRPr="00672A61">
        <w:rPr>
          <w:rFonts w:eastAsia="Times New Roman" w:cs="Arial"/>
          <w:i/>
          <w:iCs/>
          <w:color w:val="333333"/>
          <w:sz w:val="20"/>
          <w:szCs w:val="20"/>
          <w:lang w:val="en-DE" w:eastAsia="en-DE"/>
        </w:rPr>
        <w:t xml:space="preserve"> de </w:t>
      </w:r>
      <w:proofErr w:type="spellStart"/>
      <w:r w:rsidRPr="00672A61">
        <w:rPr>
          <w:rFonts w:eastAsia="Times New Roman" w:cs="Arial"/>
          <w:i/>
          <w:iCs/>
          <w:color w:val="333333"/>
          <w:sz w:val="20"/>
          <w:szCs w:val="20"/>
          <w:lang w:val="en-DE" w:eastAsia="en-DE"/>
        </w:rPr>
        <w:t>cette</w:t>
      </w:r>
      <w:proofErr w:type="spellEnd"/>
      <w:r w:rsidRPr="00672A61">
        <w:rPr>
          <w:rFonts w:eastAsia="Times New Roman" w:cs="Arial"/>
          <w:i/>
          <w:iCs/>
          <w:color w:val="333333"/>
          <w:sz w:val="20"/>
          <w:szCs w:val="20"/>
          <w:lang w:val="en-DE" w:eastAsia="en-DE"/>
        </w:rPr>
        <w:t xml:space="preserve"> </w:t>
      </w:r>
      <w:proofErr w:type="spellStart"/>
      <w:r w:rsidRPr="00672A61">
        <w:rPr>
          <w:rFonts w:eastAsia="Times New Roman" w:cs="Arial"/>
          <w:i/>
          <w:iCs/>
          <w:color w:val="333333"/>
          <w:sz w:val="20"/>
          <w:szCs w:val="20"/>
          <w:lang w:val="en-DE" w:eastAsia="en-DE"/>
        </w:rPr>
        <w:t>Décision</w:t>
      </w:r>
      <w:proofErr w:type="spellEnd"/>
      <w:proofErr w:type="gramStart"/>
      <w:r w:rsidRPr="00672A61">
        <w:rPr>
          <w:rFonts w:eastAsia="Times New Roman" w:cs="Arial"/>
          <w:i/>
          <w:iCs/>
          <w:color w:val="333333"/>
          <w:sz w:val="20"/>
          <w:szCs w:val="20"/>
          <w:lang w:val="en-DE" w:eastAsia="en-DE"/>
        </w:rPr>
        <w:t>. .</w:t>
      </w:r>
      <w:proofErr w:type="gramEnd"/>
    </w:p>
    <w:p w14:paraId="70AE398B" w14:textId="77777777" w:rsidR="005A6261" w:rsidRPr="00672A61" w:rsidRDefault="005A6261" w:rsidP="005A6261">
      <w:pPr>
        <w:pStyle w:val="ListParagraph"/>
        <w:spacing w:after="0" w:line="240" w:lineRule="auto"/>
        <w:ind w:left="900"/>
        <w:jc w:val="both"/>
        <w:rPr>
          <w:i/>
          <w:iCs/>
          <w:lang w:val="en-DE"/>
        </w:rPr>
      </w:pPr>
    </w:p>
    <w:p w14:paraId="66E28679" w14:textId="77777777" w:rsidR="005A6261" w:rsidRPr="001A1017" w:rsidRDefault="005A6261" w:rsidP="005A6261">
      <w:pPr>
        <w:spacing w:after="0" w:line="240" w:lineRule="auto"/>
        <w:jc w:val="both"/>
        <w:rPr>
          <w:u w:val="single"/>
          <w:lang w:val="fr-FR"/>
        </w:rPr>
      </w:pPr>
      <w:r>
        <w:rPr>
          <w:u w:val="single"/>
          <w:lang w:val="fr-FR"/>
        </w:rPr>
        <w:t xml:space="preserve">Mise en œuvre des Décisions 13.116 et 13.117 </w:t>
      </w:r>
    </w:p>
    <w:p w14:paraId="1B4DCF43" w14:textId="77777777" w:rsidR="005A6261" w:rsidRDefault="005A6261" w:rsidP="005A6261">
      <w:pPr>
        <w:spacing w:after="0" w:line="240" w:lineRule="auto"/>
        <w:jc w:val="both"/>
        <w:rPr>
          <w:lang w:val="fr-FR"/>
        </w:rPr>
      </w:pPr>
    </w:p>
    <w:p w14:paraId="1315081F" w14:textId="77777777" w:rsidR="005A6261" w:rsidRDefault="005A6261" w:rsidP="005A6261">
      <w:pPr>
        <w:pStyle w:val="ListParagraph"/>
        <w:numPr>
          <w:ilvl w:val="0"/>
          <w:numId w:val="2"/>
        </w:numPr>
        <w:spacing w:after="0" w:line="240" w:lineRule="auto"/>
        <w:ind w:left="540" w:hanging="540"/>
        <w:jc w:val="both"/>
        <w:rPr>
          <w:lang w:val="fr-FR"/>
        </w:rPr>
      </w:pPr>
      <w:r>
        <w:rPr>
          <w:lang w:val="fr-FR"/>
        </w:rPr>
        <w:t xml:space="preserve">Conformément à la Décision 13.117, </w:t>
      </w:r>
      <w:bookmarkStart w:id="1" w:name="_Hlk130988020"/>
      <w:r>
        <w:rPr>
          <w:lang w:val="fr-FR"/>
        </w:rPr>
        <w:t xml:space="preserve">le Secrétariat </w:t>
      </w:r>
      <w:bookmarkEnd w:id="1"/>
      <w:r>
        <w:rPr>
          <w:lang w:val="fr-FR"/>
        </w:rPr>
        <w:t>s’est efforcé de soutenir les Parties dans la mise en œuvre de la Décision 13.116 en contribuant à l’obtention de fonds consacrés à des projets et programmes spécifiques relatifs aux ACT.</w:t>
      </w:r>
    </w:p>
    <w:p w14:paraId="37484BE7" w14:textId="0D2BC08C" w:rsidR="005A6261" w:rsidRPr="00672A61" w:rsidRDefault="00672A61" w:rsidP="00672A61">
      <w:pPr>
        <w:pStyle w:val="ListParagraph"/>
        <w:spacing w:after="0" w:line="240" w:lineRule="auto"/>
        <w:ind w:left="540"/>
        <w:jc w:val="both"/>
        <w:rPr>
          <w:lang w:val="fr-FR"/>
        </w:rPr>
      </w:pPr>
      <w:r>
        <w:rPr>
          <w:lang w:val="fr-FR"/>
        </w:rPr>
        <w:br w:type="page"/>
      </w:r>
    </w:p>
    <w:p w14:paraId="7F8991F7" w14:textId="77777777" w:rsidR="005A6261" w:rsidRPr="00043517" w:rsidRDefault="005A6261" w:rsidP="00692605">
      <w:pPr>
        <w:pStyle w:val="ListParagraph"/>
        <w:spacing w:after="0" w:line="240" w:lineRule="auto"/>
        <w:ind w:left="0"/>
        <w:jc w:val="both"/>
        <w:rPr>
          <w:b/>
          <w:lang w:val="fr-FR"/>
        </w:rPr>
      </w:pPr>
      <w:r>
        <w:rPr>
          <w:b/>
          <w:lang w:val="fr-FR"/>
        </w:rPr>
        <w:lastRenderedPageBreak/>
        <w:t>Conservation interrégionale de la faune et de la flore sauvages en Afrique orientale et australe et dans l’océan Indien</w:t>
      </w:r>
    </w:p>
    <w:p w14:paraId="4956A429" w14:textId="77777777" w:rsidR="005A6261" w:rsidRDefault="005A6261" w:rsidP="005A6261">
      <w:pPr>
        <w:spacing w:after="0" w:line="240" w:lineRule="auto"/>
        <w:jc w:val="both"/>
        <w:rPr>
          <w:lang w:val="fr-FR"/>
        </w:rPr>
      </w:pPr>
    </w:p>
    <w:p w14:paraId="1BE48A45" w14:textId="77777777" w:rsidR="005A6261" w:rsidRDefault="005A6261" w:rsidP="005A6261">
      <w:pPr>
        <w:pStyle w:val="ListParagraph"/>
        <w:numPr>
          <w:ilvl w:val="0"/>
          <w:numId w:val="2"/>
        </w:numPr>
        <w:spacing w:after="0" w:line="240" w:lineRule="auto"/>
        <w:ind w:left="540" w:hanging="540"/>
        <w:jc w:val="both"/>
        <w:rPr>
          <w:lang w:val="fr-FR"/>
        </w:rPr>
      </w:pPr>
      <w:r>
        <w:rPr>
          <w:lang w:val="fr-FR"/>
        </w:rPr>
        <w:t xml:space="preserve">En ce qui concerne les ACT, le programme phare du </w:t>
      </w:r>
      <w:bookmarkStart w:id="2" w:name="_Hlk130987687"/>
      <w:r>
        <w:rPr>
          <w:lang w:val="fr-FR"/>
        </w:rPr>
        <w:t>Secrétariat de la CMS est</w:t>
      </w:r>
      <w:bookmarkEnd w:id="2"/>
      <w:r>
        <w:rPr>
          <w:lang w:val="fr-FR"/>
        </w:rPr>
        <w:t xml:space="preserve"> sa collaboration au projet « Conservation interrégionale de la faune et de la flore sauvages en Afrique orientale et australe et dans l’océan Indien », financé par l’Union européenne et mis en œuvre en partenariat avec le Secrétariat de la Convention sur le commerce international des espèces de faune et de flore sauvages menacées d’extinction et l’Office des Nations Unies contre la drogue et le crime (ONUDC). La mise en œuvre de ce projet a débuté en 2020 et devrait se poursuivre jusqu’en août 2024.</w:t>
      </w:r>
    </w:p>
    <w:p w14:paraId="29993696" w14:textId="77777777" w:rsidR="005A6261" w:rsidRDefault="005A6261" w:rsidP="005A6261">
      <w:pPr>
        <w:pStyle w:val="ListParagraph"/>
        <w:spacing w:after="0" w:line="240" w:lineRule="auto"/>
        <w:jc w:val="both"/>
        <w:rPr>
          <w:lang w:val="fr-FR"/>
        </w:rPr>
      </w:pPr>
    </w:p>
    <w:p w14:paraId="75CFD0D6" w14:textId="77777777" w:rsidR="005A6261" w:rsidRDefault="005A6261" w:rsidP="005A6261">
      <w:pPr>
        <w:pStyle w:val="ListParagraph"/>
        <w:numPr>
          <w:ilvl w:val="0"/>
          <w:numId w:val="2"/>
        </w:numPr>
        <w:spacing w:after="0" w:line="240" w:lineRule="auto"/>
        <w:ind w:left="540" w:hanging="540"/>
        <w:jc w:val="both"/>
        <w:rPr>
          <w:lang w:val="fr-FR"/>
        </w:rPr>
      </w:pPr>
      <w:r>
        <w:rPr>
          <w:lang w:val="fr-FR"/>
        </w:rPr>
        <w:t>La participation du Secrétariat de la CMS à ce projet est concentrée sur l’</w:t>
      </w:r>
      <w:r>
        <w:rPr>
          <w:i/>
          <w:lang w:val="fr-FR"/>
        </w:rPr>
        <w:t xml:space="preserve">« Objectif spécifique 3 : Promotion et renforcement de l’établissement et de la gestion durable </w:t>
      </w:r>
      <w:r>
        <w:rPr>
          <w:i/>
          <w:iCs/>
          <w:lang w:val="fr-FR"/>
        </w:rPr>
        <w:t>des aires de conservation transfrontières (ACT)</w:t>
      </w:r>
      <w:r>
        <w:rPr>
          <w:lang w:val="fr-FR"/>
        </w:rPr>
        <w:t xml:space="preserve"> ». Les cinq domaines de résultats de cet objectif sont présentés ci-dessous, ainsi que les activités entreprises et les résultats obtenus à ce jour.</w:t>
      </w:r>
    </w:p>
    <w:p w14:paraId="408B925C" w14:textId="77777777" w:rsidR="005A6261" w:rsidRDefault="005A6261" w:rsidP="005A6261">
      <w:pPr>
        <w:spacing w:after="0" w:line="240" w:lineRule="auto"/>
        <w:jc w:val="both"/>
        <w:rPr>
          <w:lang w:val="fr-FR"/>
        </w:rPr>
      </w:pPr>
    </w:p>
    <w:p w14:paraId="457AAD90" w14:textId="77777777" w:rsidR="005A6261" w:rsidRPr="00043517" w:rsidRDefault="005A6261" w:rsidP="005A6261">
      <w:pPr>
        <w:pStyle w:val="ListParagraph"/>
        <w:numPr>
          <w:ilvl w:val="0"/>
          <w:numId w:val="2"/>
        </w:numPr>
        <w:spacing w:after="0" w:line="240" w:lineRule="auto"/>
        <w:ind w:left="540" w:hanging="540"/>
        <w:jc w:val="both"/>
        <w:rPr>
          <w:i/>
          <w:lang w:val="fr-FR"/>
        </w:rPr>
      </w:pPr>
      <w:r>
        <w:rPr>
          <w:i/>
          <w:lang w:val="fr-FR"/>
        </w:rPr>
        <w:t xml:space="preserve">Résultat 3.1 : Formulation et actualisation d’instruments politiques de haut niveau (protocoles) imposant la création d’ACT. </w:t>
      </w:r>
    </w:p>
    <w:p w14:paraId="0E61347F" w14:textId="77777777" w:rsidR="005A6261" w:rsidRDefault="005A6261" w:rsidP="005A6261">
      <w:pPr>
        <w:pStyle w:val="ListParagraph"/>
        <w:jc w:val="both"/>
        <w:rPr>
          <w:lang w:val="fr-FR"/>
        </w:rPr>
      </w:pPr>
    </w:p>
    <w:p w14:paraId="4227B50B" w14:textId="77777777" w:rsidR="005A6261" w:rsidRPr="00043517" w:rsidRDefault="005A6261" w:rsidP="00672A61">
      <w:pPr>
        <w:pStyle w:val="ListParagraph"/>
        <w:numPr>
          <w:ilvl w:val="1"/>
          <w:numId w:val="2"/>
        </w:numPr>
        <w:spacing w:after="0" w:line="240" w:lineRule="auto"/>
        <w:ind w:left="993"/>
        <w:jc w:val="both"/>
        <w:rPr>
          <w:lang w:val="fr-FR"/>
        </w:rPr>
      </w:pPr>
      <w:r>
        <w:rPr>
          <w:lang w:val="fr-FR"/>
        </w:rPr>
        <w:t xml:space="preserve">Le Groupe de travail technique sur les aires de conservation transfrontières de la Communauté d’Afrique de l’Est (EAC) a bénéficié en 2020 de formations et de soutien au renforcement des capacités. La création de ce groupe de travail avait été approuvée par le </w:t>
      </w:r>
      <w:bookmarkStart w:id="3" w:name="_Hlk130990007"/>
      <w:bookmarkStart w:id="4" w:name="_Hlk130990554"/>
      <w:r>
        <w:rPr>
          <w:lang w:val="fr-FR"/>
        </w:rPr>
        <w:t>Conseil sectoriel sur le tourisme</w:t>
      </w:r>
      <w:bookmarkEnd w:id="3"/>
      <w:r>
        <w:rPr>
          <w:lang w:val="fr-FR"/>
        </w:rPr>
        <w:t xml:space="preserve"> et la gestion de la faune sauvage du Secrétariat de l’EAC</w:t>
      </w:r>
      <w:bookmarkEnd w:id="4"/>
      <w:r>
        <w:rPr>
          <w:lang w:val="fr-FR"/>
        </w:rPr>
        <w:t xml:space="preserve">. Les travaux de ce groupe, qui comprend des points focaux représentant chacun des États membres de l’EAC, portent sur les questions de priorisation et de coordination des ACT, ainsi que sur les discussions relatives aux instruments politiques de haut niveau. Les deuxième et troisième réunions formelles de ce Groupe de travail ont eu lieu en ligne en 2021. En parallèle, le Secrétariat de la CMS a organisé une série de séminaires en ligne sur les accords relatifs aux ACT et la gestion de celles-ci. </w:t>
      </w:r>
    </w:p>
    <w:p w14:paraId="085936B9" w14:textId="77777777" w:rsidR="005A6261" w:rsidRPr="00D5686A" w:rsidRDefault="005A6261" w:rsidP="00672A61">
      <w:pPr>
        <w:pStyle w:val="ListParagraph"/>
        <w:spacing w:after="0" w:line="240" w:lineRule="auto"/>
        <w:ind w:left="993"/>
        <w:jc w:val="both"/>
        <w:rPr>
          <w:lang w:val="fr-FR"/>
        </w:rPr>
      </w:pPr>
      <w:r w:rsidRPr="00D5686A">
        <w:rPr>
          <w:lang w:val="fr-FR"/>
        </w:rPr>
        <w:t xml:space="preserve"> </w:t>
      </w:r>
    </w:p>
    <w:p w14:paraId="619514DF" w14:textId="77777777" w:rsidR="005A6261" w:rsidRDefault="005A6261" w:rsidP="00672A61">
      <w:pPr>
        <w:pStyle w:val="ListParagraph"/>
        <w:numPr>
          <w:ilvl w:val="1"/>
          <w:numId w:val="2"/>
        </w:numPr>
        <w:spacing w:after="0" w:line="240" w:lineRule="auto"/>
        <w:ind w:left="993"/>
        <w:jc w:val="both"/>
        <w:rPr>
          <w:lang w:val="fr-FR"/>
        </w:rPr>
      </w:pPr>
      <w:r>
        <w:rPr>
          <w:lang w:val="fr-FR"/>
        </w:rPr>
        <w:t xml:space="preserve">En juillet 2022, le Secrétariat de l’EAC, avec le soutien du </w:t>
      </w:r>
      <w:bookmarkStart w:id="5" w:name="_Hlk130990968"/>
      <w:r>
        <w:rPr>
          <w:lang w:val="fr-FR"/>
        </w:rPr>
        <w:t>Secrétariat</w:t>
      </w:r>
      <w:bookmarkEnd w:id="5"/>
      <w:r>
        <w:rPr>
          <w:lang w:val="fr-FR"/>
        </w:rPr>
        <w:t xml:space="preserve"> de la CMS et de l’Union internationale pour la conservation de la nature (UICN), a animé un pavillon dans le cadre du Congrès africain sur les aires protégées, organisé au Rwanda. Au cours de cette semaine, 23 activités et événements différents ont été proposés sur le pavillon afin de promouvoir les ACT et autres aires protégées et de présenter les réussites en matière de gestion et de coordination des ACT. Le Groupe de travail technique sur les aires de conservation transfrontières de l’EAC a tenu ses premières réunions de manière informelle à cette occasion. </w:t>
      </w:r>
    </w:p>
    <w:p w14:paraId="2F4E9BA9" w14:textId="77777777" w:rsidR="005A6261" w:rsidRDefault="005A6261" w:rsidP="00672A61">
      <w:pPr>
        <w:pStyle w:val="ListParagraph"/>
        <w:spacing w:after="0" w:line="240" w:lineRule="auto"/>
        <w:ind w:left="993"/>
        <w:jc w:val="both"/>
        <w:rPr>
          <w:lang w:val="fr-FR"/>
        </w:rPr>
      </w:pPr>
    </w:p>
    <w:p w14:paraId="75B66467" w14:textId="77777777" w:rsidR="005A6261" w:rsidRDefault="005A6261" w:rsidP="00672A61">
      <w:pPr>
        <w:pStyle w:val="ListParagraph"/>
        <w:numPr>
          <w:ilvl w:val="1"/>
          <w:numId w:val="2"/>
        </w:numPr>
        <w:spacing w:after="0" w:line="240" w:lineRule="auto"/>
        <w:ind w:left="993"/>
        <w:jc w:val="both"/>
        <w:rPr>
          <w:lang w:val="fr-FR"/>
        </w:rPr>
      </w:pPr>
      <w:r>
        <w:rPr>
          <w:lang w:val="fr-FR"/>
        </w:rPr>
        <w:t xml:space="preserve">En 2021, le Secrétariat de la CMS a demandé au </w:t>
      </w:r>
      <w:proofErr w:type="spellStart"/>
      <w:r>
        <w:rPr>
          <w:lang w:val="fr-FR"/>
        </w:rPr>
        <w:t>Cheetah</w:t>
      </w:r>
      <w:proofErr w:type="spellEnd"/>
      <w:r>
        <w:rPr>
          <w:lang w:val="fr-FR"/>
        </w:rPr>
        <w:t xml:space="preserve"> Conservation </w:t>
      </w:r>
      <w:proofErr w:type="spellStart"/>
      <w:r>
        <w:rPr>
          <w:lang w:val="fr-FR"/>
        </w:rPr>
        <w:t>Fund</w:t>
      </w:r>
      <w:proofErr w:type="spellEnd"/>
      <w:r>
        <w:rPr>
          <w:lang w:val="fr-FR"/>
        </w:rPr>
        <w:t xml:space="preserve"> et à Legal Atlas d’examiner la législation relative aux ACT et aux zones protégées des États membres de l’Autorité intergouvernementale pour le développement (IGAD)</w:t>
      </w:r>
      <w:r>
        <w:rPr>
          <w:rStyle w:val="FootnoteReference"/>
          <w:lang w:val="fr-FR"/>
        </w:rPr>
        <w:footnoteReference w:id="1"/>
      </w:r>
      <w:r>
        <w:rPr>
          <w:lang w:val="fr-FR"/>
        </w:rPr>
        <w:t xml:space="preserve">. Une proposition d’élaboration d’un protocole de l’IGAD relatif aux ACT figurait parmi les résultats de l’évaluation, qui ont été présentés au Comité exécutif du Réseau de lutte contre la fraude liée aux espèces sauvages de la Corne de l’Afrique (HAWEN) de l’IGAD. Ce dernier a approuvé la proposition et a demandé à la CMS de contribuer à l’élaboration d’un protocole relatif aux ACT. Les travaux d’élaboration du protocole, en partenariat avec le </w:t>
      </w:r>
      <w:proofErr w:type="spellStart"/>
      <w:r>
        <w:rPr>
          <w:lang w:val="fr-FR"/>
        </w:rPr>
        <w:t>Cheetah</w:t>
      </w:r>
      <w:proofErr w:type="spellEnd"/>
      <w:r>
        <w:rPr>
          <w:lang w:val="fr-FR"/>
        </w:rPr>
        <w:t xml:space="preserve"> Conservation </w:t>
      </w:r>
      <w:proofErr w:type="spellStart"/>
      <w:r>
        <w:rPr>
          <w:lang w:val="fr-FR"/>
        </w:rPr>
        <w:t>Fund</w:t>
      </w:r>
      <w:proofErr w:type="spellEnd"/>
      <w:r>
        <w:rPr>
          <w:lang w:val="fr-FR"/>
        </w:rPr>
        <w:t>, Legal Atlas et le HAWEN, ont débuté en 2023.</w:t>
      </w:r>
    </w:p>
    <w:p w14:paraId="7136C497" w14:textId="77777777" w:rsidR="005A6261" w:rsidRDefault="005A6261" w:rsidP="00672A61">
      <w:pPr>
        <w:pStyle w:val="ListParagraph"/>
        <w:spacing w:after="0" w:line="240" w:lineRule="auto"/>
        <w:ind w:left="993"/>
        <w:jc w:val="both"/>
        <w:rPr>
          <w:lang w:val="fr-FR"/>
        </w:rPr>
      </w:pPr>
    </w:p>
    <w:p w14:paraId="5D20DAC0" w14:textId="77777777" w:rsidR="005A6261" w:rsidRPr="00043517" w:rsidRDefault="005A6261" w:rsidP="005A6261">
      <w:pPr>
        <w:pStyle w:val="ListParagraph"/>
        <w:numPr>
          <w:ilvl w:val="0"/>
          <w:numId w:val="2"/>
        </w:numPr>
        <w:spacing w:after="0" w:line="240" w:lineRule="auto"/>
        <w:ind w:left="540" w:hanging="540"/>
        <w:jc w:val="both"/>
        <w:rPr>
          <w:i/>
          <w:lang w:val="fr-FR"/>
        </w:rPr>
      </w:pPr>
      <w:r>
        <w:rPr>
          <w:i/>
          <w:lang w:val="fr-FR"/>
        </w:rPr>
        <w:lastRenderedPageBreak/>
        <w:t xml:space="preserve">Résultat 3.2 : Formulation et signature de </w:t>
      </w:r>
      <w:bookmarkStart w:id="6" w:name="_Hlk131070135"/>
      <w:r>
        <w:rPr>
          <w:i/>
          <w:lang w:val="fr-FR"/>
        </w:rPr>
        <w:t>traités, d’accords et de mémorandums d’entente bilatéraux et multilatéraux</w:t>
      </w:r>
      <w:bookmarkEnd w:id="6"/>
      <w:r>
        <w:rPr>
          <w:i/>
          <w:lang w:val="fr-FR"/>
        </w:rPr>
        <w:t xml:space="preserve"> relatifs à la cogestion d’ACT. </w:t>
      </w:r>
    </w:p>
    <w:p w14:paraId="5074E85E" w14:textId="77777777" w:rsidR="005A6261" w:rsidRDefault="005A6261" w:rsidP="005A6261">
      <w:pPr>
        <w:pStyle w:val="ListParagraph"/>
        <w:jc w:val="both"/>
        <w:rPr>
          <w:lang w:val="fr-FR"/>
        </w:rPr>
      </w:pPr>
    </w:p>
    <w:p w14:paraId="30033837" w14:textId="77777777" w:rsidR="005A6261" w:rsidRDefault="005A6261" w:rsidP="00D04559">
      <w:pPr>
        <w:pStyle w:val="ListParagraph"/>
        <w:numPr>
          <w:ilvl w:val="1"/>
          <w:numId w:val="2"/>
        </w:numPr>
        <w:spacing w:after="0" w:line="240" w:lineRule="auto"/>
        <w:ind w:left="993"/>
        <w:jc w:val="both"/>
        <w:rPr>
          <w:lang w:val="fr-FR"/>
        </w:rPr>
      </w:pPr>
      <w:r>
        <w:rPr>
          <w:lang w:val="fr-FR"/>
        </w:rPr>
        <w:t xml:space="preserve">Le Secrétariat de la CMS a mené des consultations avec les pays des régions cibles en 2020. Ces consultations ont permis de constater que, dans toutes les régions, l’un des principaux obstacles à l’établissement ou au renforcement de traités </w:t>
      </w:r>
      <w:bookmarkStart w:id="7" w:name="_Hlk131073606"/>
      <w:r>
        <w:rPr>
          <w:lang w:val="fr-FR"/>
        </w:rPr>
        <w:t>bilatéraux</w:t>
      </w:r>
      <w:bookmarkEnd w:id="7"/>
      <w:r>
        <w:rPr>
          <w:lang w:val="fr-FR"/>
        </w:rPr>
        <w:t xml:space="preserve"> et multilatéraux relatifs aux ACT est</w:t>
      </w:r>
      <w:r>
        <w:rPr>
          <w:color w:val="FF0000"/>
          <w:lang w:val="fr-FR"/>
        </w:rPr>
        <w:t xml:space="preserve"> </w:t>
      </w:r>
      <w:r>
        <w:rPr>
          <w:lang w:val="fr-FR"/>
        </w:rPr>
        <w:t>le manque d’informations fiables et de critères objectifs permettant de désigner les zones potentielles dans lesquelles il serait possible d’établir et de gérer des ACT de manière efficace.</w:t>
      </w:r>
    </w:p>
    <w:p w14:paraId="06905633" w14:textId="77777777" w:rsidR="005A6261" w:rsidRDefault="005A6261" w:rsidP="00D04559">
      <w:pPr>
        <w:pStyle w:val="ListParagraph"/>
        <w:spacing w:after="0" w:line="240" w:lineRule="auto"/>
        <w:ind w:left="993"/>
        <w:jc w:val="both"/>
        <w:rPr>
          <w:lang w:val="fr-FR"/>
        </w:rPr>
      </w:pPr>
    </w:p>
    <w:p w14:paraId="6A478930" w14:textId="77777777" w:rsidR="005A6261" w:rsidRDefault="005A6261" w:rsidP="00D04559">
      <w:pPr>
        <w:pStyle w:val="ListParagraph"/>
        <w:numPr>
          <w:ilvl w:val="1"/>
          <w:numId w:val="2"/>
        </w:numPr>
        <w:spacing w:after="0" w:line="240" w:lineRule="auto"/>
        <w:ind w:left="993"/>
        <w:jc w:val="both"/>
        <w:rPr>
          <w:lang w:val="fr-FR"/>
        </w:rPr>
      </w:pPr>
      <w:r>
        <w:rPr>
          <w:lang w:val="fr-FR"/>
        </w:rPr>
        <w:t xml:space="preserve">En 2021, le Secrétariat de la CMS a demandé au Centre mondial de surveillance pour la conservation du Programme des Nations Unies pour l’Environnement d’élaborer une méthodologie et un nouvel outil en ligne accessible au public permettant de déterminer quelles zones protégées existantes en </w:t>
      </w:r>
      <w:r>
        <w:rPr>
          <w:color w:val="000000" w:themeColor="text1"/>
          <w:lang w:val="fr-FR"/>
        </w:rPr>
        <w:t xml:space="preserve">Afrique sont spatialement adjacentes et écologiquement connectées à travers les frontières nationales et pourraient donc faire l’objet d’une gestion harmonisée. </w:t>
      </w:r>
    </w:p>
    <w:p w14:paraId="5566EC26" w14:textId="77777777" w:rsidR="005A6261" w:rsidRDefault="005A6261" w:rsidP="00D04559">
      <w:pPr>
        <w:pStyle w:val="ListParagraph"/>
        <w:ind w:left="993"/>
        <w:jc w:val="both"/>
        <w:rPr>
          <w:lang w:val="fr-FR"/>
        </w:rPr>
      </w:pPr>
    </w:p>
    <w:p w14:paraId="687E555A" w14:textId="79B2FD3C" w:rsidR="005A6261" w:rsidRPr="005A6DC8" w:rsidRDefault="005A6261" w:rsidP="00D04559">
      <w:pPr>
        <w:pStyle w:val="ListParagraph"/>
        <w:numPr>
          <w:ilvl w:val="1"/>
          <w:numId w:val="2"/>
        </w:numPr>
        <w:spacing w:after="0" w:line="240" w:lineRule="auto"/>
        <w:ind w:left="993"/>
        <w:jc w:val="both"/>
        <w:rPr>
          <w:lang w:val="fr-FR"/>
        </w:rPr>
      </w:pPr>
      <w:r>
        <w:rPr>
          <w:lang w:val="fr-FR"/>
        </w:rPr>
        <w:t>Cet outil (</w:t>
      </w:r>
      <w:hyperlink r:id="rId21" w:history="1">
        <w:r w:rsidR="00C84A78" w:rsidRPr="00C84A78">
          <w:rPr>
            <w:rStyle w:val="Hyperlink"/>
            <w:i/>
            <w:iCs/>
            <w:lang w:val="fr-FR"/>
          </w:rPr>
          <w:t>Identifier les opportunités de conservation transfrontalière</w:t>
        </w:r>
      </w:hyperlink>
      <w:r>
        <w:rPr>
          <w:rStyle w:val="Hyperlink"/>
          <w:lang w:val="fr-FR"/>
        </w:rPr>
        <w:t>)</w:t>
      </w:r>
      <w:r>
        <w:rPr>
          <w:lang w:val="fr-FR"/>
        </w:rPr>
        <w:t>, désormais disponible en ligne, fournit aux gouvernements et aux autres acteurs une base scientifique pour l’établissement d’accords bilatéraux et multilatéraux relatifs aux ACT dans toute l’Afrique. Il a été lancé lors du Congrès africain sur les aires protégées qui s’est tenu au Rwanda en 2022. Un article scientifique s’appuyant sur une analyse réalisée à l’aide de cet outil devrait être publié en temps voulu. Entre 2023 et 2024, le Secrétariat de la CMS assurera la sensibilisation et la formation à l’utilisation de cet outil pour l’élaboration de traités bilatéraux et multilatéraux dans la zone du projet.</w:t>
      </w:r>
    </w:p>
    <w:p w14:paraId="519D5EF2" w14:textId="77777777" w:rsidR="005A6261" w:rsidRPr="005A6DC8" w:rsidRDefault="005A6261" w:rsidP="00D04559">
      <w:pPr>
        <w:pStyle w:val="ListParagraph"/>
        <w:spacing w:after="0" w:line="240" w:lineRule="auto"/>
        <w:ind w:left="993"/>
        <w:jc w:val="both"/>
        <w:rPr>
          <w:lang w:val="fr-FR"/>
        </w:rPr>
      </w:pPr>
    </w:p>
    <w:p w14:paraId="1D50506B" w14:textId="77777777" w:rsidR="005A6261" w:rsidRPr="005A6DC8" w:rsidRDefault="005A6261" w:rsidP="00D04559">
      <w:pPr>
        <w:pStyle w:val="ListParagraph"/>
        <w:numPr>
          <w:ilvl w:val="1"/>
          <w:numId w:val="2"/>
        </w:numPr>
        <w:spacing w:after="0" w:line="240" w:lineRule="auto"/>
        <w:ind w:left="993"/>
        <w:jc w:val="both"/>
        <w:rPr>
          <w:lang w:val="fr-FR"/>
        </w:rPr>
      </w:pPr>
      <w:r>
        <w:rPr>
          <w:lang w:val="fr-FR"/>
        </w:rPr>
        <w:t xml:space="preserve">La CMS a demandé au WWF-Tanzanie d’apporter un appui aux Gouvernements du Mozambique et de la Tanzanie pour la révision de leur mémorandum d’entente relatif à la gestion de l’ACT </w:t>
      </w:r>
      <w:proofErr w:type="spellStart"/>
      <w:r>
        <w:rPr>
          <w:lang w:val="fr-FR"/>
        </w:rPr>
        <w:t>Selous-Niassa</w:t>
      </w:r>
      <w:proofErr w:type="spellEnd"/>
      <w:r>
        <w:rPr>
          <w:lang w:val="fr-FR"/>
        </w:rPr>
        <w:t xml:space="preserve">. Les deux pays ont exprimé leur désir et leur engagement de transformer ce mémorandum d’entente en un traité juridiquement contraignant. La première réunion de négociation sur le champ d’application et le fonctionnement du nouveau traité relatif à l’ACT </w:t>
      </w:r>
      <w:proofErr w:type="spellStart"/>
      <w:r>
        <w:rPr>
          <w:lang w:val="fr-FR"/>
        </w:rPr>
        <w:t>Selous-Niassa</w:t>
      </w:r>
      <w:proofErr w:type="spellEnd"/>
      <w:r>
        <w:rPr>
          <w:lang w:val="fr-FR"/>
        </w:rPr>
        <w:t xml:space="preserve"> s’est tenue le 26 janvier 2023 à Maputo. Les deux Parties y ont convenu d’une feuille de route prévoyant la finalisation du traité d’ici la fin de l’année 2023. </w:t>
      </w:r>
    </w:p>
    <w:p w14:paraId="2D29DEEE" w14:textId="77777777" w:rsidR="005A6261" w:rsidRDefault="005A6261" w:rsidP="00D04559">
      <w:pPr>
        <w:spacing w:after="0" w:line="240" w:lineRule="auto"/>
        <w:ind w:left="993"/>
        <w:jc w:val="both"/>
        <w:rPr>
          <w:lang w:val="fr-FR"/>
        </w:rPr>
      </w:pPr>
    </w:p>
    <w:p w14:paraId="3A5A23EF" w14:textId="77777777" w:rsidR="005A6261" w:rsidRPr="00BA3D8E" w:rsidRDefault="005A6261" w:rsidP="005A6261">
      <w:pPr>
        <w:pStyle w:val="ListParagraph"/>
        <w:numPr>
          <w:ilvl w:val="0"/>
          <w:numId w:val="2"/>
        </w:numPr>
        <w:spacing w:after="0" w:line="240" w:lineRule="auto"/>
        <w:ind w:left="540" w:hanging="540"/>
        <w:jc w:val="both"/>
        <w:rPr>
          <w:i/>
          <w:lang w:val="fr-FR"/>
        </w:rPr>
      </w:pPr>
      <w:r>
        <w:rPr>
          <w:i/>
          <w:lang w:val="fr-FR"/>
        </w:rPr>
        <w:t xml:space="preserve">Résultat 3.3 : Promotion et soutien de l’harmonisation des législations relatives à la conservation de la vie sauvage, à la gestion et à la criminalité. </w:t>
      </w:r>
    </w:p>
    <w:p w14:paraId="2F2148A3" w14:textId="77777777" w:rsidR="005A6261" w:rsidRDefault="005A6261" w:rsidP="005A6261">
      <w:pPr>
        <w:pStyle w:val="ListParagraph"/>
        <w:spacing w:after="0" w:line="240" w:lineRule="auto"/>
        <w:jc w:val="both"/>
        <w:rPr>
          <w:lang w:val="fr-FR"/>
        </w:rPr>
      </w:pPr>
    </w:p>
    <w:p w14:paraId="2AEC73A0" w14:textId="77777777" w:rsidR="005A6261" w:rsidRDefault="005A6261" w:rsidP="00D04559">
      <w:pPr>
        <w:pStyle w:val="ListParagraph"/>
        <w:numPr>
          <w:ilvl w:val="1"/>
          <w:numId w:val="2"/>
        </w:numPr>
        <w:spacing w:after="0" w:line="240" w:lineRule="auto"/>
        <w:ind w:left="993"/>
        <w:jc w:val="both"/>
        <w:rPr>
          <w:lang w:val="fr-FR"/>
        </w:rPr>
      </w:pPr>
      <w:r>
        <w:rPr>
          <w:lang w:val="fr-FR"/>
        </w:rPr>
        <w:t xml:space="preserve">Le Secrétariat de la CMS a demandé au </w:t>
      </w:r>
      <w:proofErr w:type="spellStart"/>
      <w:r>
        <w:rPr>
          <w:lang w:val="fr-FR"/>
        </w:rPr>
        <w:t>Cheetah</w:t>
      </w:r>
      <w:proofErr w:type="spellEnd"/>
      <w:r>
        <w:rPr>
          <w:lang w:val="fr-FR"/>
        </w:rPr>
        <w:t xml:space="preserve"> Conservation </w:t>
      </w:r>
      <w:proofErr w:type="spellStart"/>
      <w:r>
        <w:rPr>
          <w:lang w:val="fr-FR"/>
        </w:rPr>
        <w:t>Fund</w:t>
      </w:r>
      <w:proofErr w:type="spellEnd"/>
      <w:r>
        <w:rPr>
          <w:lang w:val="fr-FR"/>
        </w:rPr>
        <w:t xml:space="preserve"> et à Legal Atlas de réaliser une évaluation juridique des États membres de l’IGAD en ce qui concerne l’harmonisation de la législation relative aux zones protégées, à la conservation de la vie sauvage et au commerce illégal d’espèces sauvages. En consultation avec le Comité exécutif HAWEN de l’IGAD, les cinq domaines clés de la législation suivants ont été choisis pour une analyse comparative exhaustive dans tous les pays :</w:t>
      </w:r>
      <w:r>
        <w:rPr>
          <w:color w:val="FF0000"/>
          <w:lang w:val="fr-FR"/>
        </w:rPr>
        <w:t xml:space="preserve"> </w:t>
      </w:r>
      <w:r>
        <w:rPr>
          <w:lang w:val="fr-FR"/>
        </w:rPr>
        <w:t xml:space="preserve">1) la reconnaissance légale et le statut de protection des espèces migratrices conformément aux obligations découlant de la CMS ; 2) le statut légal des ACT ; 3) les bases juridiques de l’établissement de groupes de travail nationaux sur les espèces sauvages ; 4) les structures juridiques pour le rapatriement des espèces sauvages victimes de trafic ; 5) l’inclusion des atteintes à la vie sauvage dans les lois relatives à la lutte contre le blanchiment d’argent. </w:t>
      </w:r>
    </w:p>
    <w:p w14:paraId="4C1C95DE" w14:textId="77777777" w:rsidR="005A6261" w:rsidRDefault="005A6261" w:rsidP="00D04559">
      <w:pPr>
        <w:pStyle w:val="ListParagraph"/>
        <w:spacing w:after="0" w:line="240" w:lineRule="auto"/>
        <w:ind w:left="993"/>
        <w:jc w:val="both"/>
        <w:rPr>
          <w:lang w:val="fr-FR"/>
        </w:rPr>
      </w:pPr>
    </w:p>
    <w:p w14:paraId="7FAE5031" w14:textId="77777777" w:rsidR="005A6261" w:rsidRDefault="005A6261" w:rsidP="00D04559">
      <w:pPr>
        <w:pStyle w:val="ListParagraph"/>
        <w:numPr>
          <w:ilvl w:val="1"/>
          <w:numId w:val="2"/>
        </w:numPr>
        <w:spacing w:after="0" w:line="240" w:lineRule="auto"/>
        <w:ind w:left="993"/>
        <w:jc w:val="both"/>
        <w:rPr>
          <w:lang w:val="fr-FR"/>
        </w:rPr>
      </w:pPr>
      <w:r>
        <w:rPr>
          <w:lang w:val="fr-FR"/>
        </w:rPr>
        <w:t xml:space="preserve">Cette analyse a porté sur plus de 200 textes législatifs. Un panorama exhaustif du cadre juridique de chaque pays a été dressé, et une série de recommandations pour l’harmonisation juridique a été élaborée et présentée pour examen au Comité </w:t>
      </w:r>
      <w:r>
        <w:rPr>
          <w:lang w:val="fr-FR"/>
        </w:rPr>
        <w:lastRenderedPageBreak/>
        <w:t xml:space="preserve">exécutif du HAWEN de l’IGAD. L’analyse finale réalisée en 2021 a permis de désigner 39 éléments juridiques spécifiques susceptibles d’être harmonisés au niveau régional. Le Secrétariat de la CMS a offert à tous les pays participants de bénéficier d’un soutien supplémentaire au niveau national pour l’harmonisation en 2024. </w:t>
      </w:r>
    </w:p>
    <w:p w14:paraId="5D47733E" w14:textId="77777777" w:rsidR="005A6261" w:rsidRDefault="005A6261" w:rsidP="005A6261">
      <w:pPr>
        <w:spacing w:after="0" w:line="240" w:lineRule="auto"/>
        <w:jc w:val="both"/>
        <w:rPr>
          <w:lang w:val="fr-FR"/>
        </w:rPr>
      </w:pPr>
    </w:p>
    <w:p w14:paraId="191CECB7" w14:textId="77777777" w:rsidR="005A6261" w:rsidRDefault="005A6261" w:rsidP="005A6261">
      <w:pPr>
        <w:pStyle w:val="ListParagraph"/>
        <w:numPr>
          <w:ilvl w:val="0"/>
          <w:numId w:val="2"/>
        </w:numPr>
        <w:spacing w:after="0" w:line="240" w:lineRule="auto"/>
        <w:ind w:left="540" w:hanging="540"/>
        <w:jc w:val="both"/>
        <w:rPr>
          <w:lang w:val="fr-FR"/>
        </w:rPr>
      </w:pPr>
      <w:r>
        <w:rPr>
          <w:i/>
          <w:lang w:val="fr-FR"/>
        </w:rPr>
        <w:t>Résultat 3.4 : Préparation et approbation officielle par les autorités de gestion responsables de plans de gestion des écosystèmes et paysages ou de plans de cogestion des zones protégées à destination des ACT</w:t>
      </w:r>
      <w:r>
        <w:rPr>
          <w:lang w:val="fr-FR"/>
        </w:rPr>
        <w:t xml:space="preserve"> ; et </w:t>
      </w:r>
      <w:r>
        <w:rPr>
          <w:i/>
          <w:lang w:val="fr-FR"/>
        </w:rPr>
        <w:t>Résultat 3.5 : Mise en œuvre dans les ACT des mesures de gestion approuvées conformément aux priorités convenues conjointement.</w:t>
      </w:r>
      <w:r>
        <w:rPr>
          <w:lang w:val="fr-FR"/>
        </w:rPr>
        <w:t xml:space="preserve"> </w:t>
      </w:r>
    </w:p>
    <w:p w14:paraId="05B1DE22" w14:textId="77777777" w:rsidR="005A6261" w:rsidRDefault="005A6261" w:rsidP="005A6261">
      <w:pPr>
        <w:pStyle w:val="ListParagraph"/>
        <w:spacing w:after="0" w:line="240" w:lineRule="auto"/>
        <w:jc w:val="both"/>
        <w:rPr>
          <w:lang w:val="fr-FR"/>
        </w:rPr>
      </w:pPr>
    </w:p>
    <w:p w14:paraId="13A373EE" w14:textId="77777777" w:rsidR="005A6261" w:rsidRDefault="005A6261" w:rsidP="00D04559">
      <w:pPr>
        <w:pStyle w:val="ListParagraph"/>
        <w:numPr>
          <w:ilvl w:val="1"/>
          <w:numId w:val="2"/>
        </w:numPr>
        <w:spacing w:after="0" w:line="240" w:lineRule="auto"/>
        <w:ind w:left="993"/>
        <w:jc w:val="both"/>
        <w:rPr>
          <w:lang w:val="fr-FR"/>
        </w:rPr>
      </w:pPr>
      <w:r>
        <w:rPr>
          <w:lang w:val="fr-FR"/>
        </w:rPr>
        <w:t xml:space="preserve">Le Secrétariat de la CMS, en partenariat avec le WWF-Tanzanie, a soutenu l’examen des politiques d’utilisation des terres, des politiques relatives aux espèces sauvages, des stratégies nationales et régionales relatives à la biodiversité et des plans d’action pour les espèces du corridor écologique de </w:t>
      </w:r>
      <w:proofErr w:type="spellStart"/>
      <w:r>
        <w:rPr>
          <w:lang w:val="fr-FR"/>
        </w:rPr>
        <w:t>Niassa-Selous</w:t>
      </w:r>
      <w:proofErr w:type="spellEnd"/>
      <w:r>
        <w:rPr>
          <w:lang w:val="fr-FR"/>
        </w:rPr>
        <w:t xml:space="preserve">, ainsi que l’évaluation du niveau de cohérence des initiatives de planification nationales et régionales pour cette zone. </w:t>
      </w:r>
      <w:r>
        <w:rPr>
          <w:color w:val="000000" w:themeColor="text1"/>
          <w:lang w:val="fr-FR"/>
        </w:rPr>
        <w:t>Un examen des données historiques et actuelles relatives à la biodiversité et à l’occupation des sols dans cette zone a également été réalisé afin de mettre en relief</w:t>
      </w:r>
      <w:r>
        <w:rPr>
          <w:lang w:val="fr-FR"/>
        </w:rPr>
        <w:t xml:space="preserve"> les tendances et les menaces qui pèsent sur la région. Un forum des parties prenantes a été créé afin de valider les résultats et les recommandations issus de l’évaluation et de guider l’élaboration du futur plan de gestion intégrée de la zone. Un projet de plan de gestion a été présenté aux décideurs du Mozambique et de la Tanzanie au cours du premier trimestre 2022. Les départements gouvernementaux concernés sont actuellement en train d’examiner ce projet de plan et de dresser une liste d’actions prioritaires à mettre en œuvre entre 2023 et 2024.</w:t>
      </w:r>
    </w:p>
    <w:p w14:paraId="00A32012" w14:textId="77777777" w:rsidR="005A6261" w:rsidRDefault="005A6261" w:rsidP="005A6261">
      <w:pPr>
        <w:pStyle w:val="ListParagraph"/>
        <w:spacing w:after="0" w:line="240" w:lineRule="auto"/>
        <w:ind w:left="0"/>
        <w:jc w:val="both"/>
        <w:rPr>
          <w:lang w:val="fr-FR"/>
        </w:rPr>
      </w:pPr>
    </w:p>
    <w:p w14:paraId="0D120545" w14:textId="77777777" w:rsidR="005A6261" w:rsidRDefault="005A6261" w:rsidP="005A6261">
      <w:pPr>
        <w:spacing w:after="0" w:line="240" w:lineRule="auto"/>
        <w:jc w:val="both"/>
        <w:rPr>
          <w:lang w:val="fr-FR"/>
        </w:rPr>
      </w:pPr>
      <w:r>
        <w:rPr>
          <w:u w:val="single"/>
          <w:lang w:val="fr-FR"/>
        </w:rPr>
        <w:t>Actions recommandées :</w:t>
      </w:r>
    </w:p>
    <w:p w14:paraId="0760DA6C" w14:textId="77777777" w:rsidR="005A6261" w:rsidRDefault="005A6261" w:rsidP="005A6261">
      <w:pPr>
        <w:spacing w:after="0" w:line="240" w:lineRule="auto"/>
        <w:jc w:val="both"/>
        <w:rPr>
          <w:lang w:val="fr-FR"/>
        </w:rPr>
      </w:pPr>
    </w:p>
    <w:p w14:paraId="29A8229C" w14:textId="77777777" w:rsidR="005A6261" w:rsidRDefault="005A6261" w:rsidP="005A6261">
      <w:pPr>
        <w:pStyle w:val="ListParagraph"/>
        <w:numPr>
          <w:ilvl w:val="0"/>
          <w:numId w:val="2"/>
        </w:numPr>
        <w:spacing w:after="0" w:line="240" w:lineRule="auto"/>
        <w:ind w:left="540" w:hanging="540"/>
        <w:jc w:val="both"/>
        <w:rPr>
          <w:lang w:val="fr-FR"/>
        </w:rPr>
      </w:pPr>
      <w:r>
        <w:rPr>
          <w:lang w:val="fr-FR"/>
        </w:rPr>
        <w:t>Il est recommandé à la Conférence des Parties :</w:t>
      </w:r>
    </w:p>
    <w:p w14:paraId="324493CD" w14:textId="77777777" w:rsidR="005A6261" w:rsidRDefault="005A6261" w:rsidP="005A6261">
      <w:pPr>
        <w:spacing w:after="0" w:line="240" w:lineRule="auto"/>
        <w:ind w:left="540"/>
        <w:jc w:val="both"/>
        <w:rPr>
          <w:lang w:val="fr-FR"/>
        </w:rPr>
      </w:pPr>
    </w:p>
    <w:p w14:paraId="0BE6E87E" w14:textId="35F43495" w:rsidR="005A6261" w:rsidRDefault="005A6261" w:rsidP="005A6261">
      <w:pPr>
        <w:pStyle w:val="ListParagraph"/>
        <w:numPr>
          <w:ilvl w:val="0"/>
          <w:numId w:val="5"/>
        </w:numPr>
        <w:spacing w:after="0" w:line="240" w:lineRule="auto"/>
        <w:ind w:left="900"/>
        <w:jc w:val="both"/>
        <w:rPr>
          <w:lang w:val="fr-FR"/>
        </w:rPr>
      </w:pPr>
      <w:r>
        <w:rPr>
          <w:lang w:val="fr-FR"/>
        </w:rPr>
        <w:t>d’adopter les projets de décision figurant à l’</w:t>
      </w:r>
      <w:r w:rsidR="00D04559">
        <w:rPr>
          <w:lang w:val="fr-FR"/>
        </w:rPr>
        <w:t>A</w:t>
      </w:r>
      <w:r>
        <w:rPr>
          <w:lang w:val="fr-FR"/>
        </w:rPr>
        <w:t>nnexe du présent document ;</w:t>
      </w:r>
    </w:p>
    <w:p w14:paraId="3471F0C5" w14:textId="77777777" w:rsidR="005A6261" w:rsidRPr="00D724B1" w:rsidRDefault="005A6261" w:rsidP="005A6261">
      <w:pPr>
        <w:pStyle w:val="ListParagraph"/>
        <w:spacing w:after="0" w:line="240" w:lineRule="auto"/>
        <w:ind w:left="900"/>
        <w:jc w:val="both"/>
        <w:rPr>
          <w:lang w:val="fr-FR"/>
        </w:rPr>
      </w:pPr>
    </w:p>
    <w:p w14:paraId="122E803C" w14:textId="23A756CB" w:rsidR="005A6261" w:rsidRDefault="005A6261" w:rsidP="005A6261">
      <w:pPr>
        <w:pStyle w:val="ListParagraph"/>
        <w:numPr>
          <w:ilvl w:val="0"/>
          <w:numId w:val="5"/>
        </w:numPr>
        <w:spacing w:after="0" w:line="240" w:lineRule="auto"/>
        <w:ind w:left="900"/>
        <w:jc w:val="both"/>
        <w:rPr>
          <w:lang w:val="fr-FR"/>
        </w:rPr>
      </w:pPr>
      <w:r>
        <w:rPr>
          <w:lang w:val="fr-FR"/>
        </w:rPr>
        <w:t xml:space="preserve">de supprimer les Décisions 13.116 </w:t>
      </w:r>
      <w:r w:rsidR="00692605">
        <w:rPr>
          <w:lang w:val="fr-FR"/>
        </w:rPr>
        <w:t>à</w:t>
      </w:r>
      <w:r>
        <w:rPr>
          <w:lang w:val="fr-FR"/>
        </w:rPr>
        <w:t xml:space="preserve"> 13.11</w:t>
      </w:r>
      <w:r w:rsidR="00692605">
        <w:rPr>
          <w:lang w:val="fr-FR"/>
        </w:rPr>
        <w:t>8</w:t>
      </w:r>
      <w:r>
        <w:rPr>
          <w:lang w:val="fr-FR"/>
        </w:rPr>
        <w:t>.</w:t>
      </w:r>
    </w:p>
    <w:p w14:paraId="1CFA44A5" w14:textId="77777777" w:rsidR="005A6261" w:rsidRDefault="005A6261" w:rsidP="005A6261">
      <w:pPr>
        <w:pStyle w:val="ListParagraph"/>
        <w:spacing w:after="0" w:line="240" w:lineRule="auto"/>
        <w:ind w:left="900"/>
        <w:jc w:val="both"/>
        <w:rPr>
          <w:lang w:val="fr-FR"/>
        </w:rPr>
      </w:pPr>
    </w:p>
    <w:p w14:paraId="1337BBDB" w14:textId="77777777" w:rsidR="00672A61" w:rsidRDefault="00672A61"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sectPr w:rsidR="00672A61" w:rsidSect="00672A61">
          <w:headerReference w:type="even" r:id="rId22"/>
          <w:headerReference w:type="default" r:id="rId23"/>
          <w:headerReference w:type="first" r:id="rId24"/>
          <w:footerReference w:type="first" r:id="rId25"/>
          <w:pgSz w:w="11906" w:h="16838" w:code="9"/>
          <w:pgMar w:top="1440" w:right="1440" w:bottom="1440" w:left="1440" w:header="567" w:footer="720" w:gutter="0"/>
          <w:cols w:space="720"/>
          <w:titlePg/>
          <w:docGrid w:linePitch="360"/>
        </w:sectPr>
      </w:pPr>
    </w:p>
    <w:p w14:paraId="64F275D2" w14:textId="345EFB6D" w:rsidR="00672A61" w:rsidRPr="00CD0FE9" w:rsidRDefault="00672A61" w:rsidP="00672A61">
      <w:pPr>
        <w:spacing w:after="0" w:line="240" w:lineRule="auto"/>
        <w:jc w:val="right"/>
        <w:rPr>
          <w:rFonts w:cs="Arial"/>
          <w:b/>
          <w:bCs/>
          <w:caps/>
          <w:lang w:val="fr-FR"/>
        </w:rPr>
      </w:pPr>
      <w:r>
        <w:rPr>
          <w:rFonts w:cs="Arial"/>
          <w:b/>
          <w:caps/>
          <w:lang w:val="fr-FR"/>
        </w:rPr>
        <w:lastRenderedPageBreak/>
        <w:t>Annexe</w:t>
      </w:r>
    </w:p>
    <w:p w14:paraId="449EF84B" w14:textId="77777777" w:rsidR="00672A61" w:rsidRPr="00CD0FE9" w:rsidRDefault="00672A61" w:rsidP="00672A61">
      <w:pPr>
        <w:spacing w:after="0" w:line="240" w:lineRule="auto"/>
        <w:rPr>
          <w:rFonts w:cs="Arial"/>
          <w:lang w:val="fr-FR"/>
        </w:rPr>
      </w:pPr>
    </w:p>
    <w:p w14:paraId="21A84185" w14:textId="4D34B91E" w:rsidR="00672A61" w:rsidRDefault="00672A61" w:rsidP="00672A61">
      <w:pPr>
        <w:spacing w:after="0" w:line="240" w:lineRule="auto"/>
        <w:jc w:val="center"/>
        <w:rPr>
          <w:rFonts w:cs="Arial"/>
          <w:lang w:val="fr-FR"/>
        </w:rPr>
      </w:pPr>
      <w:r>
        <w:rPr>
          <w:rFonts w:cs="Arial"/>
          <w:lang w:val="fr-FR"/>
        </w:rPr>
        <w:t>PROJET DE DÉCISION</w:t>
      </w:r>
      <w:r w:rsidR="00D04559">
        <w:rPr>
          <w:rFonts w:cs="Arial"/>
          <w:lang w:val="fr-FR"/>
        </w:rPr>
        <w:t>S</w:t>
      </w:r>
      <w:r>
        <w:rPr>
          <w:rFonts w:cs="Arial"/>
          <w:lang w:val="fr-FR"/>
        </w:rPr>
        <w:t xml:space="preserve"> </w:t>
      </w:r>
    </w:p>
    <w:p w14:paraId="4EE650D9" w14:textId="77777777" w:rsidR="00672A61" w:rsidRDefault="00672A61" w:rsidP="00672A61">
      <w:pPr>
        <w:spacing w:after="0" w:line="240" w:lineRule="auto"/>
        <w:jc w:val="center"/>
        <w:rPr>
          <w:rFonts w:cs="Arial"/>
          <w:lang w:val="fr-FR"/>
        </w:rPr>
      </w:pPr>
    </w:p>
    <w:p w14:paraId="74B8843F" w14:textId="77777777" w:rsidR="00672A61" w:rsidRPr="00CD0FE9" w:rsidRDefault="00672A61" w:rsidP="00672A61">
      <w:pPr>
        <w:spacing w:after="0" w:line="240" w:lineRule="auto"/>
        <w:jc w:val="center"/>
        <w:rPr>
          <w:rFonts w:cs="Arial"/>
          <w:lang w:val="fr-FR"/>
        </w:rPr>
      </w:pPr>
    </w:p>
    <w:p w14:paraId="65B668E9" w14:textId="77777777" w:rsidR="00672A61" w:rsidRDefault="00672A61" w:rsidP="00672A61">
      <w:pPr>
        <w:spacing w:after="0" w:line="240" w:lineRule="auto"/>
        <w:jc w:val="center"/>
        <w:rPr>
          <w:lang w:val="fr-FR"/>
        </w:rPr>
      </w:pPr>
      <w:r>
        <w:rPr>
          <w:rFonts w:eastAsia="Times New Roman" w:cs="Arial"/>
          <w:b/>
          <w:bCs/>
          <w:lang w:val="fr-FR"/>
        </w:rPr>
        <w:t>AIRES DE CONSERVATION TRANSFRONTIÈRES POUR LES ESPÈCES MIGRATRICES</w:t>
      </w:r>
    </w:p>
    <w:p w14:paraId="21E38E95" w14:textId="77777777" w:rsidR="00672A61" w:rsidRDefault="00672A61" w:rsidP="00672A61">
      <w:pPr>
        <w:spacing w:after="0" w:line="240" w:lineRule="auto"/>
        <w:jc w:val="both"/>
        <w:rPr>
          <w:rFonts w:cs="Arial"/>
          <w:b/>
          <w:i/>
          <w:lang w:val="fr-FR"/>
        </w:rPr>
      </w:pPr>
    </w:p>
    <w:p w14:paraId="31E1BF19" w14:textId="77777777" w:rsidR="00672A61" w:rsidRPr="00503A13" w:rsidRDefault="00672A61" w:rsidP="00672A61">
      <w:pPr>
        <w:spacing w:after="0" w:line="240" w:lineRule="auto"/>
        <w:jc w:val="both"/>
        <w:rPr>
          <w:rFonts w:eastAsia="Calibri" w:cs="Arial"/>
          <w:b/>
          <w:i/>
          <w:lang w:val="fr-FR"/>
        </w:rPr>
      </w:pPr>
      <w:r>
        <w:rPr>
          <w:rFonts w:eastAsia="Calibri" w:cs="Arial"/>
          <w:b/>
          <w:i/>
          <w:lang w:val="fr-FR"/>
        </w:rPr>
        <w:t xml:space="preserve">Décision adressée aux Parties </w:t>
      </w:r>
    </w:p>
    <w:p w14:paraId="3C6CFB2C" w14:textId="77777777" w:rsidR="00672A61" w:rsidRPr="00503A13" w:rsidRDefault="00672A61" w:rsidP="00672A61">
      <w:pPr>
        <w:spacing w:after="0" w:line="240" w:lineRule="auto"/>
        <w:jc w:val="both"/>
        <w:rPr>
          <w:rFonts w:eastAsia="Calibri" w:cs="Arial"/>
          <w:lang w:val="fr-FR"/>
        </w:rPr>
      </w:pPr>
    </w:p>
    <w:p w14:paraId="3BEC9FB3" w14:textId="7AAE8CAF" w:rsidR="00672A61" w:rsidRPr="00503A13" w:rsidRDefault="00672A61" w:rsidP="00672A61">
      <w:pPr>
        <w:spacing w:after="0" w:line="240" w:lineRule="auto"/>
        <w:ind w:left="851" w:hanging="851"/>
        <w:jc w:val="both"/>
        <w:rPr>
          <w:rFonts w:eastAsia="Calibri" w:cs="Arial"/>
          <w:lang w:val="fr-FR"/>
        </w:rPr>
      </w:pPr>
      <w:r>
        <w:rPr>
          <w:rFonts w:eastAsia="Calibri" w:cs="Arial"/>
          <w:lang w:val="fr-FR"/>
        </w:rPr>
        <w:t xml:space="preserve">14.AA </w:t>
      </w:r>
      <w:r w:rsidR="00D04559">
        <w:rPr>
          <w:rFonts w:eastAsia="Calibri" w:cs="Arial"/>
          <w:lang w:val="fr-FR"/>
        </w:rPr>
        <w:tab/>
      </w:r>
      <w:r>
        <w:rPr>
          <w:rFonts w:eastAsia="Calibri" w:cs="Arial"/>
          <w:lang w:val="fr-FR"/>
        </w:rPr>
        <w:t>Les Parties qui sont membres de la Communauté de développement de l’Afrique australe, de l’Autorité intergouvernementale pour le développement ou de la Communauté de l’Afrique de l’Est sont invitées à :</w:t>
      </w:r>
    </w:p>
    <w:p w14:paraId="7FB77243" w14:textId="77777777" w:rsidR="00672A61" w:rsidRPr="00503A13" w:rsidRDefault="00672A61" w:rsidP="00672A61">
      <w:pPr>
        <w:spacing w:after="0" w:line="240" w:lineRule="auto"/>
        <w:ind w:left="720" w:hanging="720"/>
        <w:jc w:val="both"/>
        <w:rPr>
          <w:rFonts w:eastAsia="Calibri" w:cs="Arial"/>
          <w:lang w:val="fr-FR"/>
        </w:rPr>
      </w:pPr>
    </w:p>
    <w:p w14:paraId="3BA7652F" w14:textId="77777777" w:rsidR="00672A61" w:rsidRPr="00503A13" w:rsidRDefault="00672A61" w:rsidP="00672A61">
      <w:pPr>
        <w:numPr>
          <w:ilvl w:val="0"/>
          <w:numId w:val="7"/>
        </w:numPr>
        <w:autoSpaceDE w:val="0"/>
        <w:autoSpaceDN w:val="0"/>
        <w:spacing w:after="0" w:line="240" w:lineRule="auto"/>
        <w:ind w:left="1418" w:hanging="567"/>
        <w:jc w:val="both"/>
        <w:rPr>
          <w:rFonts w:eastAsia="Calibri" w:cs="Arial"/>
          <w:lang w:val="fr-FR"/>
        </w:rPr>
      </w:pPr>
      <w:r>
        <w:rPr>
          <w:rFonts w:eastAsia="Calibri" w:cs="Arial"/>
          <w:lang w:val="fr-FR"/>
        </w:rPr>
        <w:t>utiliser l’outil pilote transfrontalier du Centre mondial de surveillance pour la conservation du Programme des Nations Unies pour l’Environnement (PNUE ; ci-après désigné l’« outil ») afin de déterminer les possibilités d’actions de conservation transfrontières à l’aide des données de la base de données mondiale sur les zones protégées et de la base de données mondiale sur les zones clés pour la biodiversité ;</w:t>
      </w:r>
    </w:p>
    <w:p w14:paraId="1FE184D5" w14:textId="77777777" w:rsidR="00672A61" w:rsidRPr="00503A13" w:rsidRDefault="00672A61" w:rsidP="00672A61">
      <w:pPr>
        <w:spacing w:after="0" w:line="240" w:lineRule="auto"/>
        <w:ind w:left="1134" w:hanging="283"/>
        <w:jc w:val="both"/>
        <w:rPr>
          <w:rFonts w:eastAsia="Calibri" w:cs="Arial"/>
          <w:lang w:val="fr-FR"/>
        </w:rPr>
      </w:pPr>
    </w:p>
    <w:p w14:paraId="29B1A12B" w14:textId="77777777" w:rsidR="00672A61" w:rsidRPr="00503A13" w:rsidRDefault="00672A61" w:rsidP="00672A61">
      <w:pPr>
        <w:numPr>
          <w:ilvl w:val="0"/>
          <w:numId w:val="7"/>
        </w:numPr>
        <w:autoSpaceDE w:val="0"/>
        <w:autoSpaceDN w:val="0"/>
        <w:spacing w:after="0" w:line="240" w:lineRule="auto"/>
        <w:ind w:left="1418" w:hanging="567"/>
        <w:jc w:val="both"/>
        <w:rPr>
          <w:rFonts w:eastAsia="Calibri" w:cs="Arial"/>
          <w:lang w:val="fr-FR"/>
        </w:rPr>
      </w:pPr>
      <w:r>
        <w:rPr>
          <w:rFonts w:eastAsia="Calibri" w:cs="Arial"/>
          <w:lang w:val="fr-FR"/>
        </w:rPr>
        <w:t>par l’intermédiaire du Secrétariat, rendre compte au Comité de session du Conseil scientifique lors de sa 7</w:t>
      </w:r>
      <w:r>
        <w:rPr>
          <w:vertAlign w:val="superscript"/>
          <w:lang w:val="fr-FR"/>
        </w:rPr>
        <w:t>e</w:t>
      </w:r>
      <w:r>
        <w:rPr>
          <w:rFonts w:eastAsia="Calibri" w:cs="Arial"/>
          <w:lang w:val="fr-FR"/>
        </w:rPr>
        <w:t xml:space="preserve"> réunion des zones de conservation transfrontières potentielles recensées, ainsi que de la fonctionnalité et de l’utilité de l’outil à cette fin.</w:t>
      </w:r>
    </w:p>
    <w:p w14:paraId="1E80B488" w14:textId="77777777" w:rsidR="00672A61" w:rsidRDefault="00672A61" w:rsidP="00672A61">
      <w:pPr>
        <w:autoSpaceDE w:val="0"/>
        <w:autoSpaceDN w:val="0"/>
        <w:spacing w:after="0" w:line="240" w:lineRule="auto"/>
        <w:jc w:val="both"/>
        <w:rPr>
          <w:rFonts w:eastAsia="Calibri" w:cs="Arial"/>
          <w:lang w:val="fr-FR"/>
        </w:rPr>
      </w:pPr>
    </w:p>
    <w:p w14:paraId="31A7E8C6" w14:textId="77777777" w:rsidR="006D49BA" w:rsidRPr="00503A13" w:rsidRDefault="006D49BA" w:rsidP="00672A61">
      <w:pPr>
        <w:autoSpaceDE w:val="0"/>
        <w:autoSpaceDN w:val="0"/>
        <w:spacing w:after="0" w:line="240" w:lineRule="auto"/>
        <w:jc w:val="both"/>
        <w:rPr>
          <w:rFonts w:eastAsia="Calibri" w:cs="Arial"/>
          <w:lang w:val="fr-FR"/>
        </w:rPr>
      </w:pPr>
    </w:p>
    <w:p w14:paraId="4A9A8AF0" w14:textId="77777777" w:rsidR="00672A61" w:rsidRPr="00503A13" w:rsidRDefault="00672A61" w:rsidP="00672A61">
      <w:pPr>
        <w:spacing w:after="0" w:line="240" w:lineRule="auto"/>
        <w:jc w:val="both"/>
        <w:rPr>
          <w:rFonts w:eastAsia="Calibri" w:cs="Arial"/>
          <w:b/>
          <w:i/>
          <w:lang w:val="fr-FR"/>
        </w:rPr>
      </w:pPr>
      <w:r>
        <w:rPr>
          <w:rFonts w:eastAsia="Calibri" w:cs="Arial"/>
          <w:b/>
          <w:i/>
          <w:lang w:val="fr-FR"/>
        </w:rPr>
        <w:t>Décision adressée au Conseil scientifique</w:t>
      </w:r>
    </w:p>
    <w:p w14:paraId="25D1089C" w14:textId="77777777" w:rsidR="00672A61" w:rsidRPr="00503A13" w:rsidRDefault="00672A61" w:rsidP="00672A61">
      <w:pPr>
        <w:spacing w:after="0" w:line="240" w:lineRule="auto"/>
        <w:jc w:val="both"/>
        <w:rPr>
          <w:rFonts w:eastAsia="Calibri" w:cs="Arial"/>
          <w:lang w:val="fr-FR"/>
        </w:rPr>
      </w:pPr>
    </w:p>
    <w:p w14:paraId="5F43FFF8" w14:textId="0C3EAEF9" w:rsidR="00672A61" w:rsidRPr="00503A13" w:rsidRDefault="00672A61" w:rsidP="00672A61">
      <w:pPr>
        <w:spacing w:after="0" w:line="240" w:lineRule="auto"/>
        <w:ind w:left="851" w:hanging="851"/>
        <w:jc w:val="both"/>
        <w:rPr>
          <w:rFonts w:eastAsia="Calibri" w:cs="Arial"/>
          <w:lang w:val="fr-FR"/>
        </w:rPr>
      </w:pPr>
      <w:r>
        <w:rPr>
          <w:rFonts w:eastAsia="Calibri" w:cs="Arial"/>
          <w:lang w:val="fr-FR"/>
        </w:rPr>
        <w:t xml:space="preserve">14.BB </w:t>
      </w:r>
      <w:r w:rsidR="00D04559">
        <w:rPr>
          <w:rFonts w:eastAsia="Calibri" w:cs="Arial"/>
          <w:lang w:val="fr-FR"/>
        </w:rPr>
        <w:tab/>
      </w:r>
      <w:r>
        <w:rPr>
          <w:rFonts w:eastAsia="Calibri" w:cs="Arial"/>
          <w:lang w:val="fr-FR"/>
        </w:rPr>
        <w:t xml:space="preserve">Le Conseil Scientifique est </w:t>
      </w:r>
      <w:r w:rsidR="006D49BA">
        <w:rPr>
          <w:rFonts w:eastAsia="Calibri" w:cs="Arial"/>
          <w:lang w:val="fr-FR"/>
        </w:rPr>
        <w:t>prié</w:t>
      </w:r>
      <w:r>
        <w:rPr>
          <w:rFonts w:eastAsia="Calibri" w:cs="Arial"/>
          <w:lang w:val="fr-FR"/>
        </w:rPr>
        <w:t xml:space="preserve"> : </w:t>
      </w:r>
    </w:p>
    <w:p w14:paraId="4EBFA8E1" w14:textId="77777777" w:rsidR="00672A61" w:rsidRPr="00503A13" w:rsidRDefault="00672A61" w:rsidP="00672A61">
      <w:pPr>
        <w:spacing w:after="0" w:line="240" w:lineRule="auto"/>
        <w:jc w:val="both"/>
        <w:rPr>
          <w:rFonts w:eastAsia="Calibri" w:cs="Arial"/>
          <w:lang w:val="fr-FR"/>
        </w:rPr>
      </w:pPr>
    </w:p>
    <w:p w14:paraId="29BEAD23" w14:textId="343CFB51" w:rsidR="00672A61" w:rsidRPr="00503A13" w:rsidRDefault="006D49BA" w:rsidP="00672A61">
      <w:pPr>
        <w:numPr>
          <w:ilvl w:val="0"/>
          <w:numId w:val="8"/>
        </w:numPr>
        <w:autoSpaceDE w:val="0"/>
        <w:autoSpaceDN w:val="0"/>
        <w:spacing w:after="0" w:line="240" w:lineRule="auto"/>
        <w:ind w:left="1418" w:hanging="567"/>
        <w:jc w:val="both"/>
        <w:rPr>
          <w:rFonts w:eastAsia="Calibri" w:cs="Arial"/>
          <w:lang w:val="fr-FR"/>
        </w:rPr>
      </w:pPr>
      <w:r>
        <w:rPr>
          <w:rFonts w:eastAsia="Calibri" w:cs="Arial"/>
          <w:lang w:val="fr-FR"/>
        </w:rPr>
        <w:t>d’</w:t>
      </w:r>
      <w:r w:rsidR="00672A61">
        <w:rPr>
          <w:rFonts w:eastAsia="Calibri" w:cs="Arial"/>
          <w:lang w:val="fr-FR"/>
        </w:rPr>
        <w:t>examiner l’utilité de l’outil sur la base des rapports soumis par les Parties par l’intermédiaire du Secrétariat conformément au paragraphe b) de la Décision 14.AA et au paragraphe b) de la Décision 14.CC, formuler des recommandations appropriées à l’intention du Secrétariat et des Parties sur son utilisation ultérieure, et aider à déterminer quelles améliorations devraient être apportées à l’outil afin d’orienter son expansion future, sous réserve de la disponibilité de ressources externes.</w:t>
      </w:r>
    </w:p>
    <w:p w14:paraId="4F2638EE" w14:textId="77777777" w:rsidR="006D49BA" w:rsidRDefault="006D49BA" w:rsidP="00672A61">
      <w:pPr>
        <w:spacing w:after="0" w:line="240" w:lineRule="auto"/>
        <w:jc w:val="both"/>
        <w:rPr>
          <w:rFonts w:eastAsia="Calibri" w:cs="Arial"/>
          <w:lang w:val="fr-FR"/>
        </w:rPr>
      </w:pPr>
    </w:p>
    <w:p w14:paraId="52A4B36A" w14:textId="77777777" w:rsidR="006D49BA" w:rsidRDefault="006D49BA" w:rsidP="00672A61">
      <w:pPr>
        <w:spacing w:after="0" w:line="240" w:lineRule="auto"/>
        <w:jc w:val="both"/>
        <w:rPr>
          <w:rFonts w:eastAsia="Calibri" w:cs="Arial"/>
          <w:lang w:val="fr-FR"/>
        </w:rPr>
      </w:pPr>
    </w:p>
    <w:p w14:paraId="3B135B8A" w14:textId="0862D57C" w:rsidR="00672A61" w:rsidRPr="00503A13" w:rsidRDefault="00672A61" w:rsidP="00672A61">
      <w:pPr>
        <w:spacing w:after="0" w:line="240" w:lineRule="auto"/>
        <w:jc w:val="both"/>
        <w:rPr>
          <w:rFonts w:eastAsia="Calibri" w:cs="Arial"/>
          <w:b/>
          <w:bCs/>
          <w:i/>
          <w:iCs/>
          <w:lang w:val="fr-FR"/>
        </w:rPr>
      </w:pPr>
      <w:r>
        <w:rPr>
          <w:rFonts w:eastAsia="Calibri" w:cs="Arial"/>
          <w:b/>
          <w:bCs/>
          <w:i/>
          <w:iCs/>
          <w:lang w:val="fr-FR"/>
        </w:rPr>
        <w:t>Décision adressée au Secrétariat</w:t>
      </w:r>
    </w:p>
    <w:p w14:paraId="70ABA069" w14:textId="77777777" w:rsidR="00672A61" w:rsidRPr="00503A13" w:rsidRDefault="00672A61" w:rsidP="00672A61">
      <w:pPr>
        <w:spacing w:after="0" w:line="240" w:lineRule="auto"/>
        <w:jc w:val="both"/>
        <w:rPr>
          <w:rFonts w:eastAsia="Calibri" w:cs="Arial"/>
          <w:lang w:val="fr-FR"/>
        </w:rPr>
      </w:pPr>
    </w:p>
    <w:p w14:paraId="0335CFD6" w14:textId="70AF94CC" w:rsidR="00672A61" w:rsidRPr="00503A13" w:rsidRDefault="00672A61" w:rsidP="00672A61">
      <w:pPr>
        <w:spacing w:after="0" w:line="240" w:lineRule="auto"/>
        <w:ind w:left="851" w:hanging="851"/>
        <w:jc w:val="both"/>
        <w:rPr>
          <w:rFonts w:eastAsia="Calibri" w:cs="Arial"/>
          <w:lang w:val="fr-FR"/>
        </w:rPr>
      </w:pPr>
      <w:r>
        <w:rPr>
          <w:rFonts w:eastAsia="Calibri" w:cs="Arial"/>
          <w:lang w:val="fr-FR"/>
        </w:rPr>
        <w:t xml:space="preserve">14.CC </w:t>
      </w:r>
      <w:r w:rsidR="00D04559">
        <w:rPr>
          <w:rFonts w:eastAsia="Calibri" w:cs="Arial"/>
          <w:lang w:val="fr-FR"/>
        </w:rPr>
        <w:tab/>
      </w:r>
      <w:r>
        <w:rPr>
          <w:rFonts w:eastAsia="Calibri" w:cs="Arial"/>
          <w:lang w:val="fr-FR"/>
        </w:rPr>
        <w:t xml:space="preserve">Le Secrétariat, sous réserve de la disponibilité de ressources externes, est invité à : </w:t>
      </w:r>
    </w:p>
    <w:p w14:paraId="4273099A" w14:textId="77777777" w:rsidR="00672A61" w:rsidRPr="00503A13" w:rsidRDefault="00672A61" w:rsidP="00672A61">
      <w:pPr>
        <w:spacing w:after="0" w:line="240" w:lineRule="auto"/>
        <w:ind w:left="720" w:hanging="720"/>
        <w:jc w:val="both"/>
        <w:rPr>
          <w:rFonts w:eastAsia="Calibri" w:cs="Arial"/>
          <w:lang w:val="fr-FR"/>
        </w:rPr>
      </w:pPr>
    </w:p>
    <w:p w14:paraId="52443003" w14:textId="77777777" w:rsidR="00672A61" w:rsidRPr="00CC2B13" w:rsidRDefault="00672A61" w:rsidP="00D04559">
      <w:pPr>
        <w:numPr>
          <w:ilvl w:val="0"/>
          <w:numId w:val="9"/>
        </w:numPr>
        <w:spacing w:after="0" w:line="240" w:lineRule="auto"/>
        <w:ind w:left="1440" w:hanging="630"/>
        <w:jc w:val="both"/>
        <w:rPr>
          <w:rFonts w:eastAsia="Calibri" w:cs="Arial"/>
          <w:lang w:val="fr-FR"/>
        </w:rPr>
      </w:pPr>
      <w:bookmarkStart w:id="8" w:name="_Hlk137461095"/>
      <w:r>
        <w:rPr>
          <w:rFonts w:eastAsia="Calibri" w:cs="Arial"/>
          <w:lang w:val="fr-FR"/>
        </w:rPr>
        <w:t>organiser des webinaires en ligne visant à sensibiliser les Parties mentionnées dans la Décision 14.AA à l’outil en collaboration avec le Centre mondial de surveillance pour la conservation du PNUE et d’autres partenaires ;</w:t>
      </w:r>
    </w:p>
    <w:bookmarkEnd w:id="8"/>
    <w:p w14:paraId="1CF2D67B" w14:textId="77777777" w:rsidR="00672A61" w:rsidRPr="00CC2B13" w:rsidRDefault="00672A61" w:rsidP="00D04559">
      <w:pPr>
        <w:spacing w:after="0" w:line="240" w:lineRule="auto"/>
        <w:ind w:left="1440"/>
        <w:jc w:val="both"/>
        <w:rPr>
          <w:rFonts w:eastAsia="Calibri" w:cs="Arial"/>
          <w:lang w:val="fr-FR"/>
        </w:rPr>
      </w:pPr>
    </w:p>
    <w:p w14:paraId="52E640F1" w14:textId="77777777" w:rsidR="00D04559" w:rsidRDefault="00672A61" w:rsidP="00D04559">
      <w:pPr>
        <w:numPr>
          <w:ilvl w:val="0"/>
          <w:numId w:val="9"/>
        </w:numPr>
        <w:spacing w:after="0" w:line="240" w:lineRule="auto"/>
        <w:ind w:left="1440" w:hanging="630"/>
        <w:jc w:val="both"/>
        <w:rPr>
          <w:rFonts w:eastAsia="Calibri" w:cs="Arial"/>
          <w:lang w:val="fr-FR"/>
        </w:rPr>
      </w:pPr>
      <w:r>
        <w:rPr>
          <w:rFonts w:eastAsia="Calibri" w:cs="Arial"/>
          <w:lang w:val="fr-FR"/>
        </w:rPr>
        <w:t>demander aux Parties mentionnées dans la décision 14.AA de soumettre un retour d’information sur la fonctionnalité et l’utilité de l’outil dans la détermination des possibilités d’actions de conservation transfrontalières, et soumettre un rapport sur le retour d’information reçu au Comité de session du Conseil scientifique lors de sa 7</w:t>
      </w:r>
      <w:r>
        <w:rPr>
          <w:rFonts w:eastAsia="Calibri" w:cs="Arial"/>
          <w:vertAlign w:val="superscript"/>
          <w:lang w:val="fr-FR"/>
        </w:rPr>
        <w:t>e</w:t>
      </w:r>
      <w:r>
        <w:rPr>
          <w:rFonts w:eastAsia="Calibri" w:cs="Arial"/>
          <w:lang w:val="fr-FR"/>
        </w:rPr>
        <w:t xml:space="preserve"> réunion ; </w:t>
      </w:r>
    </w:p>
    <w:p w14:paraId="66563F7B" w14:textId="77777777" w:rsidR="00D04559" w:rsidRDefault="00D04559" w:rsidP="00D04559">
      <w:pPr>
        <w:pStyle w:val="ListParagraph"/>
        <w:spacing w:after="0" w:line="240" w:lineRule="auto"/>
        <w:contextualSpacing w:val="0"/>
        <w:rPr>
          <w:rFonts w:eastAsia="Calibri" w:cs="Arial"/>
          <w:lang w:val="fr-FR"/>
        </w:rPr>
      </w:pPr>
    </w:p>
    <w:p w14:paraId="3173DD71" w14:textId="71E815C2" w:rsidR="0023109C" w:rsidRPr="006D49BA" w:rsidRDefault="00672A61" w:rsidP="006D49BA">
      <w:pPr>
        <w:numPr>
          <w:ilvl w:val="0"/>
          <w:numId w:val="9"/>
        </w:numPr>
        <w:spacing w:after="0" w:line="240" w:lineRule="auto"/>
        <w:ind w:left="1440" w:hanging="630"/>
        <w:jc w:val="both"/>
        <w:rPr>
          <w:rFonts w:eastAsia="Calibri" w:cs="Arial"/>
          <w:lang w:val="fr-FR"/>
        </w:rPr>
      </w:pPr>
      <w:r w:rsidRPr="00D04559">
        <w:rPr>
          <w:rFonts w:eastAsia="Calibri" w:cs="Arial"/>
          <w:lang w:val="fr-FR"/>
        </w:rPr>
        <w:t>rendre compte à la Conférence des Parties, lors de sa 15</w:t>
      </w:r>
      <w:r w:rsidRPr="00D04559">
        <w:rPr>
          <w:vertAlign w:val="superscript"/>
          <w:lang w:val="fr-FR"/>
        </w:rPr>
        <w:t>e</w:t>
      </w:r>
      <w:r w:rsidRPr="00D04559">
        <w:rPr>
          <w:rFonts w:eastAsia="Calibri" w:cs="Arial"/>
          <w:lang w:val="fr-FR"/>
        </w:rPr>
        <w:t xml:space="preserve"> réunion, des progrès accomplis dans la mise en œuvre de ces Décisions.</w:t>
      </w:r>
    </w:p>
    <w:sectPr w:rsidR="0023109C" w:rsidRPr="006D49BA" w:rsidSect="00D93628">
      <w:headerReference w:type="even" r:id="rId26"/>
      <w:headerReference w:type="default" r:id="rId27"/>
      <w:footerReference w:type="even" r:id="rId28"/>
      <w:foot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5F3AEF30" w:rsidR="00EC2A58" w:rsidRPr="00EC2A58" w:rsidRDefault="00EC2A58" w:rsidP="00D04559">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89EC" w14:textId="77777777" w:rsidR="00C84A78" w:rsidRDefault="00C84A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62186857"/>
      <w:docPartObj>
        <w:docPartGallery w:val="Page Numbers (Bottom of Page)"/>
        <w:docPartUnique/>
      </w:docPartObj>
    </w:sdtPr>
    <w:sdtEndPr>
      <w:rPr>
        <w:noProof/>
      </w:rPr>
    </w:sdtEndPr>
    <w:sdtContent>
      <w:p w14:paraId="07D0AFB8" w14:textId="548CF3AB" w:rsidR="00D04559" w:rsidRPr="00D04559" w:rsidRDefault="00D04559" w:rsidP="00D04559">
        <w:pPr>
          <w:pStyle w:val="Footer"/>
          <w:jc w:val="center"/>
          <w:rPr>
            <w:sz w:val="18"/>
            <w:szCs w:val="18"/>
          </w:rPr>
        </w:pPr>
        <w:r w:rsidRPr="00D04559">
          <w:rPr>
            <w:sz w:val="18"/>
            <w:szCs w:val="18"/>
          </w:rPr>
          <w:fldChar w:fldCharType="begin"/>
        </w:r>
        <w:r w:rsidRPr="00D04559">
          <w:rPr>
            <w:sz w:val="18"/>
            <w:szCs w:val="18"/>
          </w:rPr>
          <w:instrText xml:space="preserve"> PAGE   \* MERGEFORMAT </w:instrText>
        </w:r>
        <w:r w:rsidRPr="00D04559">
          <w:rPr>
            <w:sz w:val="18"/>
            <w:szCs w:val="18"/>
          </w:rPr>
          <w:fldChar w:fldCharType="separate"/>
        </w:r>
        <w:r w:rsidRPr="00D04559">
          <w:rPr>
            <w:noProof/>
            <w:sz w:val="18"/>
            <w:szCs w:val="18"/>
          </w:rPr>
          <w:t>2</w:t>
        </w:r>
        <w:r w:rsidRPr="00D0455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AB71" w14:textId="77777777" w:rsidR="006D49BA" w:rsidRPr="002E0DE9" w:rsidRDefault="00D0455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3617B5AC" w14:textId="77777777" w:rsidR="006D49BA" w:rsidRPr="0035024E" w:rsidRDefault="00D04559" w:rsidP="0035024E">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48282AAC" w14:textId="77777777" w:rsidR="005A6261" w:rsidRPr="00672A61" w:rsidRDefault="005A6261" w:rsidP="005A6261">
      <w:pPr>
        <w:pStyle w:val="FootnoteText"/>
        <w:rPr>
          <w:sz w:val="16"/>
          <w:szCs w:val="16"/>
          <w:lang w:val="fr-FR"/>
        </w:rPr>
      </w:pPr>
      <w:r w:rsidRPr="00672A61">
        <w:rPr>
          <w:rStyle w:val="FootnoteReference"/>
          <w:sz w:val="16"/>
          <w:szCs w:val="16"/>
          <w:lang w:val="fr-FR"/>
        </w:rPr>
        <w:footnoteRef/>
      </w:r>
      <w:r w:rsidRPr="00672A61">
        <w:rPr>
          <w:sz w:val="16"/>
          <w:szCs w:val="16"/>
          <w:lang w:val="fr-FR"/>
        </w:rPr>
        <w:t xml:space="preserve"> Djibouti, Érythrée, Éthiopie, Kenya, Somalie, Soudan du Sud, Soudan et Ouganda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CE1B" w14:textId="60A8A066" w:rsidR="00672A61" w:rsidRPr="00692605" w:rsidRDefault="00672A61"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rPr>
    </w:pPr>
    <w:r w:rsidRPr="00692605">
      <w:rPr>
        <w:rFonts w:eastAsia="Arial" w:cs="Arial"/>
        <w:i/>
        <w:sz w:val="18"/>
        <w:szCs w:val="18"/>
      </w:rPr>
      <w:t>UNEP/CMS/COP14/Doc.30.2.2</w:t>
    </w:r>
    <w:r w:rsidR="00692605" w:rsidRPr="00692605">
      <w:rPr>
        <w:rFonts w:eastAsia="Arial" w:cs="Arial"/>
        <w:i/>
        <w:sz w:val="18"/>
        <w:szCs w:val="18"/>
      </w:rPr>
      <w:t>/Rev.</w:t>
    </w:r>
    <w:r w:rsidR="00A30A6B">
      <w:rPr>
        <w:rFonts w:eastAsia="Arial" w:cs="Arial"/>
        <w:i/>
        <w:sz w:val="18"/>
        <w:szCs w:val="1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409D" w14:textId="3657B773" w:rsidR="00672A61" w:rsidRPr="00692605" w:rsidRDefault="00672A61"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692605">
      <w:rPr>
        <w:rFonts w:eastAsia="Arial" w:cs="Arial"/>
        <w:i/>
        <w:sz w:val="18"/>
        <w:szCs w:val="18"/>
      </w:rPr>
      <w:t>UNEP/CMS/COP14/Doc.30.2.2</w:t>
    </w:r>
    <w:r w:rsidR="00692605" w:rsidRPr="00692605">
      <w:rPr>
        <w:rFonts w:eastAsia="Arial" w:cs="Arial"/>
        <w:i/>
        <w:sz w:val="18"/>
        <w:szCs w:val="18"/>
      </w:rPr>
      <w:t>/Rev.</w:t>
    </w:r>
    <w:r w:rsidR="00A30A6B">
      <w:rPr>
        <w:rFonts w:eastAsia="Arial" w:cs="Arial"/>
        <w:i/>
        <w:sz w:val="18"/>
        <w:szCs w:val="18"/>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21573E2E"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672A61">
      <w:rPr>
        <w:rFonts w:cs="Arial"/>
        <w:i/>
        <w:sz w:val="18"/>
        <w:szCs w:val="18"/>
        <w:lang w:val="de-DE"/>
      </w:rPr>
      <w:t>30.2.2</w:t>
    </w:r>
    <w:r w:rsidR="00692605">
      <w:rPr>
        <w:rFonts w:cs="Arial"/>
        <w:i/>
        <w:sz w:val="18"/>
        <w:szCs w:val="18"/>
        <w:lang w:val="de-DE"/>
      </w:rPr>
      <w:t>/Rev.</w:t>
    </w:r>
    <w:r w:rsidR="00A30A6B">
      <w:rPr>
        <w:rFonts w:cs="Arial"/>
        <w:i/>
        <w:sz w:val="18"/>
        <w:szCs w:val="18"/>
        <w:lang w:val="de-DE"/>
      </w:rPr>
      <w:t>2</w:t>
    </w:r>
  </w:p>
  <w:p w14:paraId="2265E9D1" w14:textId="77777777" w:rsidR="0023109C" w:rsidRPr="00692605"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D028" w14:textId="77777777" w:rsidR="006D49BA" w:rsidRPr="002E0DE9" w:rsidRDefault="00D04559" w:rsidP="002E0DE9">
    <w:pPr>
      <w:pStyle w:val="Header"/>
      <w:pBdr>
        <w:bottom w:val="single" w:sz="4" w:space="1" w:color="auto"/>
      </w:pBdr>
      <w:rPr>
        <w:i/>
        <w:sz w:val="18"/>
        <w:szCs w:val="18"/>
        <w:lang w:val="fr-FR"/>
      </w:rPr>
    </w:pPr>
    <w:r>
      <w:rPr>
        <w:rFonts w:eastAsia="Times New Roman" w:cs="Arial"/>
        <w:i/>
        <w:sz w:val="18"/>
        <w:szCs w:val="18"/>
        <w:lang w:val="fr-FR"/>
      </w:rPr>
      <w:t>UNEP/CMS/COP14/</w:t>
    </w:r>
    <w:proofErr w:type="spellStart"/>
    <w:proofErr w:type="gramStart"/>
    <w:r>
      <w:rPr>
        <w:rFonts w:eastAsia="Times New Roman" w:cs="Arial"/>
        <w:i/>
        <w:sz w:val="18"/>
        <w:szCs w:val="18"/>
        <w:lang w:val="fr-FR"/>
      </w:rPr>
      <w:t>Doc..</w:t>
    </w:r>
    <w:proofErr w:type="gramEnd"/>
    <w:r>
      <w:rPr>
        <w:rFonts w:eastAsia="Times New Roman" w:cs="Arial"/>
        <w:i/>
        <w:sz w:val="18"/>
        <w:szCs w:val="18"/>
        <w:shd w:val="clear" w:color="auto" w:fill="FFFF00"/>
        <w:lang w:val="fr-FR"/>
      </w:rPr>
      <w:t>XX</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7F3D" w14:textId="77777777" w:rsidR="006D49BA" w:rsidRPr="002E0DE9" w:rsidRDefault="00D04559" w:rsidP="00842B75">
    <w:pPr>
      <w:pStyle w:val="Header"/>
      <w:pBdr>
        <w:bottom w:val="single" w:sz="4" w:space="1" w:color="auto"/>
      </w:pBdr>
      <w:jc w:val="right"/>
      <w:rPr>
        <w:i/>
        <w:sz w:val="18"/>
        <w:szCs w:val="18"/>
        <w:lang w:val="fr-FR"/>
      </w:rPr>
    </w:pPr>
    <w:r>
      <w:rPr>
        <w:rFonts w:eastAsia="Times New Roman" w:cs="Arial"/>
        <w:i/>
        <w:sz w:val="18"/>
        <w:szCs w:val="18"/>
        <w:lang w:val="fr-FR"/>
      </w:rPr>
      <w:t>UNEP/CMS/COP14/</w:t>
    </w:r>
    <w:proofErr w:type="spellStart"/>
    <w:proofErr w:type="gramStart"/>
    <w:r>
      <w:rPr>
        <w:rFonts w:eastAsia="Times New Roman" w:cs="Arial"/>
        <w:i/>
        <w:sz w:val="18"/>
        <w:szCs w:val="18"/>
        <w:lang w:val="fr-FR"/>
      </w:rPr>
      <w:t>Doc..</w:t>
    </w:r>
    <w:proofErr w:type="gramEnd"/>
    <w:r>
      <w:rPr>
        <w:rFonts w:eastAsia="Times New Roman" w:cs="Arial"/>
        <w:i/>
        <w:sz w:val="18"/>
        <w:szCs w:val="18"/>
        <w:shd w:val="clear" w:color="auto" w:fill="FFFF00"/>
        <w:lang w:val="fr-FR"/>
      </w:rPr>
      <w:t>XX</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E35D" w14:textId="43302C00" w:rsidR="00D04559" w:rsidRPr="00661875" w:rsidRDefault="00D04559"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30.2.2/</w:t>
    </w:r>
    <w:r w:rsidR="006D49BA">
      <w:rPr>
        <w:rFonts w:cs="Arial"/>
        <w:i/>
        <w:sz w:val="18"/>
        <w:szCs w:val="18"/>
        <w:lang w:val="de-DE"/>
      </w:rPr>
      <w:t>Rev.</w:t>
    </w:r>
    <w:r w:rsidR="00C84A78">
      <w:rPr>
        <w:rFonts w:cs="Arial"/>
        <w:i/>
        <w:sz w:val="18"/>
        <w:szCs w:val="18"/>
        <w:lang w:val="de-DE"/>
      </w:rPr>
      <w:t>2</w:t>
    </w:r>
    <w:r w:rsidR="006D49BA">
      <w:rPr>
        <w:rFonts w:cs="Arial"/>
        <w:i/>
        <w:sz w:val="18"/>
        <w:szCs w:val="18"/>
        <w:lang w:val="de-DE"/>
      </w:rPr>
      <w:t>/</w:t>
    </w:r>
    <w:r>
      <w:rPr>
        <w:rFonts w:cs="Arial"/>
        <w:i/>
        <w:sz w:val="18"/>
        <w:szCs w:val="18"/>
        <w:lang w:val="de-DE"/>
      </w:rPr>
      <w:t>Annexe</w:t>
    </w:r>
  </w:p>
  <w:p w14:paraId="5C925DD8" w14:textId="77777777" w:rsidR="00D04559" w:rsidRDefault="00D04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79C4BA96"/>
    <w:lvl w:ilvl="0" w:tplc="9CE6976E">
      <w:start w:val="1"/>
      <w:numFmt w:val="decimal"/>
      <w:lvlText w:val="%1."/>
      <w:lvlJc w:val="left"/>
      <w:pPr>
        <w:ind w:left="360" w:hanging="360"/>
      </w:pPr>
      <w:rPr>
        <w:i w:val="0"/>
        <w:iCs w:val="0"/>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39519E6"/>
    <w:multiLevelType w:val="hybridMultilevel"/>
    <w:tmpl w:val="66F2A7A0"/>
    <w:lvl w:ilvl="0" w:tplc="08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9424BA1"/>
    <w:multiLevelType w:val="hybridMultilevel"/>
    <w:tmpl w:val="01CAD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F79195A"/>
    <w:multiLevelType w:val="hybridMultilevel"/>
    <w:tmpl w:val="7E6C8270"/>
    <w:lvl w:ilvl="0" w:tplc="FCBC7302">
      <w:start w:val="1"/>
      <w:numFmt w:val="lowerLetter"/>
      <w:lvlText w:val="%1)"/>
      <w:lvlJc w:val="left"/>
      <w:pPr>
        <w:ind w:left="1271" w:hanging="42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7"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AAF7842"/>
    <w:multiLevelType w:val="hybridMultilevel"/>
    <w:tmpl w:val="4466893C"/>
    <w:lvl w:ilvl="0" w:tplc="08090017">
      <w:start w:val="1"/>
      <w:numFmt w:val="lowerLetter"/>
      <w:lvlText w:val="%1)"/>
      <w:lvlJc w:val="left"/>
      <w:pPr>
        <w:ind w:left="720" w:hanging="360"/>
      </w:pPr>
    </w:lvl>
    <w:lvl w:ilvl="1" w:tplc="15909506">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5451C63"/>
    <w:multiLevelType w:val="hybridMultilevel"/>
    <w:tmpl w:val="650A934E"/>
    <w:lvl w:ilvl="0" w:tplc="8D94E9AE">
      <w:start w:val="1"/>
      <w:numFmt w:val="lowerLetter"/>
      <w:lvlText w:val="%1)"/>
      <w:lvlJc w:val="left"/>
      <w:pPr>
        <w:ind w:left="1271" w:hanging="42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38902923">
    <w:abstractNumId w:val="7"/>
  </w:num>
  <w:num w:numId="2" w16cid:durableId="1151946556">
    <w:abstractNumId w:val="0"/>
  </w:num>
  <w:num w:numId="3" w16cid:durableId="1966110791">
    <w:abstractNumId w:val="5"/>
  </w:num>
  <w:num w:numId="4" w16cid:durableId="100609720">
    <w:abstractNumId w:val="1"/>
  </w:num>
  <w:num w:numId="5" w16cid:durableId="224995905">
    <w:abstractNumId w:val="4"/>
  </w:num>
  <w:num w:numId="6" w16cid:durableId="1058094234">
    <w:abstractNumId w:val="2"/>
  </w:num>
  <w:num w:numId="7" w16cid:durableId="1205143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777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444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928371">
    <w:abstractNumId w:val="6"/>
  </w:num>
  <w:num w:numId="11" w16cid:durableId="423579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3831DB"/>
    <w:rsid w:val="003C3870"/>
    <w:rsid w:val="004465FF"/>
    <w:rsid w:val="005330F7"/>
    <w:rsid w:val="00563598"/>
    <w:rsid w:val="005A6261"/>
    <w:rsid w:val="005D1E01"/>
    <w:rsid w:val="00672A61"/>
    <w:rsid w:val="0069242E"/>
    <w:rsid w:val="00692605"/>
    <w:rsid w:val="006B22A1"/>
    <w:rsid w:val="006D49BA"/>
    <w:rsid w:val="00870459"/>
    <w:rsid w:val="00871276"/>
    <w:rsid w:val="00896FBB"/>
    <w:rsid w:val="00A30A6B"/>
    <w:rsid w:val="00BA33FE"/>
    <w:rsid w:val="00BB2C32"/>
    <w:rsid w:val="00C84A78"/>
    <w:rsid w:val="00D04559"/>
    <w:rsid w:val="00DC77F7"/>
    <w:rsid w:val="00E65072"/>
    <w:rsid w:val="00EC2A58"/>
    <w:rsid w:val="00F055E9"/>
    <w:rsid w:val="00F935F6"/>
    <w:rsid w:val="00FE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basedOn w:val="DefaultParagraphFont"/>
    <w:uiPriority w:val="99"/>
    <w:unhideWhenUsed/>
    <w:rsid w:val="005A6261"/>
    <w:rPr>
      <w:color w:val="0563C1" w:themeColor="hyperlink"/>
      <w:u w:val="single"/>
    </w:rPr>
  </w:style>
  <w:style w:type="character" w:customStyle="1" w:styleId="ListParagraphChar">
    <w:name w:val="List Paragraph Char"/>
    <w:basedOn w:val="DefaultParagraphFont"/>
    <w:link w:val="ListParagraph"/>
    <w:uiPriority w:val="34"/>
    <w:rsid w:val="005A6261"/>
  </w:style>
  <w:style w:type="paragraph" w:styleId="FootnoteText">
    <w:name w:val="footnote text"/>
    <w:basedOn w:val="Normal"/>
    <w:link w:val="FootnoteTextChar"/>
    <w:uiPriority w:val="99"/>
    <w:semiHidden/>
    <w:unhideWhenUsed/>
    <w:rsid w:val="005A62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261"/>
    <w:rPr>
      <w:sz w:val="20"/>
      <w:szCs w:val="20"/>
    </w:rPr>
  </w:style>
  <w:style w:type="character" w:styleId="FootnoteReference">
    <w:name w:val="footnote reference"/>
    <w:basedOn w:val="DefaultParagraphFont"/>
    <w:uiPriority w:val="99"/>
    <w:semiHidden/>
    <w:unhideWhenUsed/>
    <w:rsid w:val="005A6261"/>
    <w:rPr>
      <w:vertAlign w:val="superscript"/>
    </w:rPr>
  </w:style>
  <w:style w:type="paragraph" w:customStyle="1" w:styleId="Secondnumbering">
    <w:name w:val="Second numbering"/>
    <w:basedOn w:val="Normal"/>
    <w:link w:val="SecondnumberingChar"/>
    <w:qFormat/>
    <w:rsid w:val="00672A61"/>
    <w:pPr>
      <w:numPr>
        <w:numId w:val="6"/>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672A61"/>
    <w:rPr>
      <w:lang w:val="en-GB"/>
    </w:rPr>
  </w:style>
  <w:style w:type="character" w:styleId="Strong">
    <w:name w:val="Strong"/>
    <w:basedOn w:val="DefaultParagraphFont"/>
    <w:uiPriority w:val="22"/>
    <w:qFormat/>
    <w:rsid w:val="00672A61"/>
    <w:rPr>
      <w:b/>
      <w:bCs/>
    </w:rPr>
  </w:style>
  <w:style w:type="character" w:customStyle="1" w:styleId="field-content">
    <w:name w:val="field-content"/>
    <w:basedOn w:val="DefaultParagraphFont"/>
    <w:rsid w:val="00672A61"/>
  </w:style>
  <w:style w:type="paragraph" w:styleId="NormalWeb">
    <w:name w:val="Normal (Web)"/>
    <w:basedOn w:val="Normal"/>
    <w:uiPriority w:val="99"/>
    <w:semiHidden/>
    <w:unhideWhenUsed/>
    <w:rsid w:val="00672A61"/>
    <w:pPr>
      <w:spacing w:before="100" w:beforeAutospacing="1" w:after="100" w:afterAutospacing="1" w:line="240" w:lineRule="auto"/>
    </w:pPr>
    <w:rPr>
      <w:rFonts w:ascii="Times New Roman" w:eastAsia="Times New Roman" w:hAnsi="Times New Roman" w:cs="Times New Roman"/>
      <w:sz w:val="24"/>
      <w:szCs w:val="24"/>
      <w:lang w:val="en-DE" w:eastAsia="en-DE"/>
    </w:rPr>
  </w:style>
  <w:style w:type="character" w:styleId="UnresolvedMention">
    <w:name w:val="Unresolved Mention"/>
    <w:basedOn w:val="DefaultParagraphFont"/>
    <w:uiPriority w:val="99"/>
    <w:semiHidden/>
    <w:unhideWhenUsed/>
    <w:rsid w:val="00C84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34580">
      <w:bodyDiv w:val="1"/>
      <w:marLeft w:val="0"/>
      <w:marRight w:val="0"/>
      <w:marTop w:val="0"/>
      <w:marBottom w:val="0"/>
      <w:divBdr>
        <w:top w:val="none" w:sz="0" w:space="0" w:color="auto"/>
        <w:left w:val="none" w:sz="0" w:space="0" w:color="auto"/>
        <w:bottom w:val="none" w:sz="0" w:space="0" w:color="auto"/>
        <w:right w:val="none" w:sz="0" w:space="0" w:color="auto"/>
      </w:divBdr>
    </w:div>
    <w:div w:id="1548370962">
      <w:bodyDiv w:val="1"/>
      <w:marLeft w:val="0"/>
      <w:marRight w:val="0"/>
      <w:marTop w:val="0"/>
      <w:marBottom w:val="0"/>
      <w:divBdr>
        <w:top w:val="none" w:sz="0" w:space="0" w:color="auto"/>
        <w:left w:val="none" w:sz="0" w:space="0" w:color="auto"/>
        <w:bottom w:val="none" w:sz="0" w:space="0" w:color="auto"/>
        <w:right w:val="none" w:sz="0" w:space="0" w:color="auto"/>
      </w:divBdr>
      <w:divsChild>
        <w:div w:id="1049763219">
          <w:marLeft w:val="0"/>
          <w:marRight w:val="0"/>
          <w:marTop w:val="0"/>
          <w:marBottom w:val="0"/>
          <w:divBdr>
            <w:top w:val="none" w:sz="0" w:space="0" w:color="auto"/>
            <w:left w:val="none" w:sz="0" w:space="0" w:color="auto"/>
            <w:bottom w:val="none" w:sz="0" w:space="0" w:color="auto"/>
            <w:right w:val="none" w:sz="0" w:space="0" w:color="auto"/>
          </w:divBdr>
        </w:div>
        <w:div w:id="1726903750">
          <w:marLeft w:val="0"/>
          <w:marRight w:val="0"/>
          <w:marTop w:val="0"/>
          <w:marBottom w:val="0"/>
          <w:divBdr>
            <w:top w:val="none" w:sz="0" w:space="0" w:color="auto"/>
            <w:left w:val="none" w:sz="0" w:space="0" w:color="auto"/>
            <w:bottom w:val="none" w:sz="0" w:space="0" w:color="auto"/>
            <w:right w:val="none" w:sz="0" w:space="0" w:color="auto"/>
          </w:divBdr>
          <w:divsChild>
            <w:div w:id="3444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boundarycms.app/"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transboundarycms.app/" TargetMode="External"/><Relationship Id="rId7" Type="http://schemas.openxmlformats.org/officeDocument/2006/relationships/settings" Target="settings.xml"/><Relationship Id="rId12" Type="http://schemas.openxmlformats.org/officeDocument/2006/relationships/hyperlink" Target="https://www.transboundarycms.app/"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dc.int/sites/default/files/2021-08/Wildlife_Conservation.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9392F-6D18-4B04-90E3-4D2C99FF695B}"/>
</file>

<file path=customXml/itemProps2.xml><?xml version="1.0" encoding="utf-8"?>
<ds:datastoreItem xmlns:ds="http://schemas.openxmlformats.org/officeDocument/2006/customXml" ds:itemID="{457FCBDB-AB98-4EB3-A3A5-364868991A28}">
  <ds:schemaRefs>
    <ds:schemaRef ds:uri="a7b50396-0b06-45c1-b28e-46f86d566a10"/>
    <ds:schemaRef ds:uri="http://purl.org/dc/elements/1.1/"/>
    <ds:schemaRef ds:uri="http://purl.org/dc/terms/"/>
    <ds:schemaRef ds:uri="985ec44e-1bab-4c0b-9df0-6ba128686fc9"/>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15478a5-0be8-4f5d-8383-b307d5ba8bf6"/>
    <ds:schemaRef ds:uri="http://www.w3.org/XML/1998/namespace"/>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2023-11-23T08:02:00Z</dcterms:created>
  <dcterms:modified xsi:type="dcterms:W3CDTF">2023-11-23T08:02:00Z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