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35EEA24B" w14:textId="77777777" w:rsidTr="0EA2C357">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D165B1D" w14:textId="77777777" w:rsidR="002E0DE9" w:rsidRPr="002E0DE9" w:rsidRDefault="002E0DE9" w:rsidP="00CC71BD">
            <w:pPr>
              <w:widowControl w:val="0"/>
              <w:suppressAutoHyphens/>
              <w:autoSpaceDE w:val="0"/>
              <w:autoSpaceDN w:val="0"/>
              <w:spacing w:after="0" w:line="240" w:lineRule="auto"/>
              <w:jc w:val="both"/>
              <w:textAlignment w:val="baseline"/>
              <w:rPr>
                <w:rFonts w:ascii="Calibri" w:eastAsia="Calibri" w:hAnsi="Calibri" w:cs="Times New Roman"/>
              </w:rPr>
            </w:pPr>
            <w:r w:rsidRPr="002E0DE9">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5971BDD5" w14:textId="77777777" w:rsidR="002E0DE9" w:rsidRPr="002E0DE9" w:rsidRDefault="002E0DE9" w:rsidP="00CC71BD">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rPr>
            </w:pPr>
            <w:r w:rsidRPr="002E0DE9">
              <w:rPr>
                <w:rFonts w:eastAsia="Times New Roman" w:cs="Arial"/>
                <w:b/>
                <w:sz w:val="32"/>
                <w:szCs w:val="32"/>
              </w:rPr>
              <w:t>CONVENTION ON</w:t>
            </w:r>
          </w:p>
          <w:p w14:paraId="7B8C75A2" w14:textId="77777777" w:rsidR="002E0DE9" w:rsidRPr="002E0DE9" w:rsidRDefault="002E0DE9" w:rsidP="00CC71BD">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rPr>
            </w:pPr>
            <w:r w:rsidRPr="002E0DE9">
              <w:rPr>
                <w:rFonts w:eastAsia="Times New Roman" w:cs="Arial"/>
                <w:b/>
                <w:sz w:val="32"/>
                <w:szCs w:val="32"/>
              </w:rPr>
              <w:t>MIGRATORY</w:t>
            </w:r>
          </w:p>
          <w:p w14:paraId="5689BF36" w14:textId="77777777" w:rsidR="002E0DE9" w:rsidRPr="002E0DE9" w:rsidRDefault="002E0DE9" w:rsidP="00CC71BD">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34B506A4" w14:textId="370BB671" w:rsidR="002E0DE9" w:rsidRPr="00BB7FAE" w:rsidRDefault="002E0DE9" w:rsidP="00CC71B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EA2C357">
              <w:rPr>
                <w:rFonts w:eastAsia="Times New Roman" w:cs="Arial"/>
                <w:lang w:val="en-GB"/>
              </w:rPr>
              <w:t>UNEP/CMS/COP1</w:t>
            </w:r>
            <w:r w:rsidR="00842B75" w:rsidRPr="0EA2C357">
              <w:rPr>
                <w:rFonts w:eastAsia="Times New Roman" w:cs="Arial"/>
                <w:lang w:val="en-GB"/>
              </w:rPr>
              <w:t>4</w:t>
            </w:r>
            <w:r w:rsidRPr="0EA2C357">
              <w:rPr>
                <w:rFonts w:eastAsia="Times New Roman" w:cs="Arial"/>
                <w:lang w:val="en-GB"/>
              </w:rPr>
              <w:t>/</w:t>
            </w:r>
            <w:r w:rsidR="006A7DC4" w:rsidRPr="0EA2C357">
              <w:rPr>
                <w:rFonts w:eastAsia="Times New Roman" w:cs="Arial"/>
                <w:lang w:val="en-GB"/>
              </w:rPr>
              <w:t>Doc.</w:t>
            </w:r>
            <w:r w:rsidR="00771E0C">
              <w:rPr>
                <w:rFonts w:eastAsia="Times New Roman" w:cs="Arial"/>
                <w:lang w:val="en-GB"/>
              </w:rPr>
              <w:t>30.2</w:t>
            </w:r>
            <w:r w:rsidR="00771E0C" w:rsidRPr="00E6027A">
              <w:rPr>
                <w:rFonts w:eastAsia="Times New Roman" w:cs="Arial"/>
                <w:lang w:val="en-GB"/>
              </w:rPr>
              <w:t>.2</w:t>
            </w:r>
            <w:r w:rsidR="007E5F11" w:rsidRPr="00E6027A">
              <w:rPr>
                <w:rFonts w:eastAsia="Times New Roman" w:cs="Arial"/>
                <w:lang w:val="en-GB"/>
              </w:rPr>
              <w:t>/Rev.</w:t>
            </w:r>
            <w:r w:rsidR="00364107">
              <w:rPr>
                <w:rFonts w:eastAsia="Times New Roman" w:cs="Arial"/>
                <w:lang w:val="en-GB"/>
              </w:rPr>
              <w:t>2</w:t>
            </w:r>
          </w:p>
          <w:p w14:paraId="1FCC85D7" w14:textId="2801570A" w:rsidR="002E0DE9" w:rsidRPr="00BB7FAE" w:rsidRDefault="00EE490B" w:rsidP="00CC71BD">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Pr>
                <w:rFonts w:eastAsia="Times New Roman" w:cs="Arial"/>
                <w:lang w:val="en-GB"/>
              </w:rPr>
              <w:t>22 November</w:t>
            </w:r>
            <w:r w:rsidR="002E0DE9" w:rsidRPr="002E0DE9">
              <w:rPr>
                <w:rFonts w:eastAsia="Times New Roman" w:cs="Arial"/>
                <w:lang w:val="en-GB"/>
              </w:rPr>
              <w:t xml:space="preserve"> 20</w:t>
            </w:r>
            <w:r w:rsidR="00842B75">
              <w:rPr>
                <w:rFonts w:eastAsia="Times New Roman" w:cs="Arial"/>
                <w:lang w:val="en-GB"/>
              </w:rPr>
              <w:t>23</w:t>
            </w:r>
          </w:p>
          <w:p w14:paraId="04374ECB" w14:textId="77777777" w:rsidR="002E0DE9" w:rsidRPr="002E0DE9" w:rsidRDefault="002E0DE9" w:rsidP="00CC71BD">
            <w:pPr>
              <w:widowControl w:val="0"/>
              <w:suppressAutoHyphens/>
              <w:autoSpaceDE w:val="0"/>
              <w:autoSpaceDN w:val="0"/>
              <w:spacing w:before="120" w:after="120" w:line="240" w:lineRule="auto"/>
              <w:jc w:val="both"/>
              <w:textAlignment w:val="baseline"/>
              <w:rPr>
                <w:rFonts w:eastAsia="Times New Roman" w:cs="Arial"/>
                <w:lang w:val="en-GB"/>
              </w:rPr>
            </w:pPr>
            <w:r w:rsidRPr="002E0DE9">
              <w:rPr>
                <w:rFonts w:eastAsia="Times New Roman" w:cs="Arial"/>
                <w:lang w:val="en-GB"/>
              </w:rPr>
              <w:t>Original: English</w:t>
            </w:r>
          </w:p>
          <w:p w14:paraId="58D67260"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2E0DE9" w:rsidRDefault="002E0DE9" w:rsidP="00CC71BD">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2E0DE9" w:rsidRDefault="002E0DE9" w:rsidP="00CC71BD">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rPr>
      </w:pPr>
      <w:r w:rsidRPr="002E0DE9">
        <w:rPr>
          <w:rFonts w:eastAsia="Times New Roman" w:cs="Arial"/>
          <w:lang w:val="en-GB"/>
        </w:rPr>
        <w:t>1</w:t>
      </w:r>
      <w:r w:rsidR="00842B75">
        <w:rPr>
          <w:rFonts w:eastAsia="Times New Roman" w:cs="Arial"/>
          <w:lang w:val="en-GB"/>
        </w:rPr>
        <w:t>4</w:t>
      </w:r>
      <w:r w:rsidRPr="002E0DE9">
        <w:rPr>
          <w:rFonts w:eastAsia="Times New Roman" w:cs="Arial"/>
          <w:vertAlign w:val="superscript"/>
          <w:lang w:val="en-GB"/>
        </w:rPr>
        <w:t>th</w:t>
      </w:r>
      <w:r w:rsidRPr="002E0DE9">
        <w:rPr>
          <w:rFonts w:eastAsia="Times New Roman" w:cs="Arial"/>
          <w:lang w:val="en-GB"/>
        </w:rPr>
        <w:t xml:space="preserve"> MEETING OF THE CONFERENCE OF THE PARTIES</w:t>
      </w:r>
    </w:p>
    <w:p w14:paraId="1053F937" w14:textId="38932A57" w:rsidR="002E0DE9" w:rsidRPr="00842B75" w:rsidRDefault="00CF5D3B" w:rsidP="00CC71B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sidRPr="00CF5D3B">
        <w:rPr>
          <w:rFonts w:eastAsia="Times New Roman" w:cs="Arial"/>
          <w:bCs/>
        </w:rPr>
        <w:t>Samarkand</w:t>
      </w:r>
      <w:r w:rsidR="002E0DE9" w:rsidRPr="00CF5D3B">
        <w:rPr>
          <w:rFonts w:eastAsia="Times New Roman" w:cs="Arial"/>
          <w:bCs/>
        </w:rPr>
        <w:t xml:space="preserve">, </w:t>
      </w:r>
      <w:r w:rsidR="00842B75" w:rsidRPr="00CF5D3B">
        <w:rPr>
          <w:rFonts w:eastAsia="Times New Roman" w:cs="Arial"/>
          <w:bCs/>
        </w:rPr>
        <w:t>Uzbekistan</w:t>
      </w:r>
      <w:r w:rsidR="002E0DE9" w:rsidRPr="00CF5D3B">
        <w:rPr>
          <w:rFonts w:eastAsia="Times New Roman" w:cs="Arial"/>
          <w:bCs/>
        </w:rPr>
        <w:t>,</w:t>
      </w:r>
      <w:r>
        <w:rPr>
          <w:rFonts w:eastAsia="Times New Roman" w:cs="Arial"/>
          <w:bCs/>
        </w:rPr>
        <w:t xml:space="preserve"> </w:t>
      </w:r>
      <w:r w:rsidR="00E6027A">
        <w:rPr>
          <w:rFonts w:eastAsia="Times New Roman" w:cs="Arial"/>
          <w:bCs/>
        </w:rPr>
        <w:t>1</w:t>
      </w:r>
      <w:r w:rsidRPr="00CF5D3B">
        <w:rPr>
          <w:rFonts w:eastAsia="Times New Roman" w:cs="Arial"/>
          <w:bCs/>
        </w:rPr>
        <w:t>2</w:t>
      </w:r>
      <w:r>
        <w:rPr>
          <w:rFonts w:eastAsia="Times New Roman" w:cs="Arial"/>
          <w:bCs/>
        </w:rPr>
        <w:t xml:space="preserve"> </w:t>
      </w:r>
      <w:r w:rsidR="00E6027A">
        <w:rPr>
          <w:rFonts w:eastAsia="Times New Roman" w:cs="Arial"/>
          <w:bCs/>
        </w:rPr>
        <w:t>–</w:t>
      </w:r>
      <w:r>
        <w:rPr>
          <w:rFonts w:eastAsia="Times New Roman" w:cs="Arial"/>
          <w:bCs/>
        </w:rPr>
        <w:t xml:space="preserve"> </w:t>
      </w:r>
      <w:r w:rsidR="00E6027A">
        <w:rPr>
          <w:rFonts w:eastAsia="Times New Roman" w:cs="Arial"/>
          <w:bCs/>
        </w:rPr>
        <w:t>17 February 2024</w:t>
      </w:r>
    </w:p>
    <w:p w14:paraId="008C6855" w14:textId="0FA48392" w:rsidR="002E0DE9" w:rsidRPr="00CF5D3B" w:rsidRDefault="002E0DE9" w:rsidP="00CC71BD">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00CF5D3B">
        <w:rPr>
          <w:rFonts w:eastAsia="Times New Roman" w:cs="Arial"/>
          <w:iCs/>
        </w:rPr>
        <w:t>Agenda Ite</w:t>
      </w:r>
      <w:r w:rsidR="00B632DD">
        <w:rPr>
          <w:rFonts w:eastAsia="Times New Roman" w:cs="Arial"/>
          <w:iCs/>
        </w:rPr>
        <w:t>m 30.2</w:t>
      </w:r>
    </w:p>
    <w:p w14:paraId="258B44F2" w14:textId="77777777" w:rsidR="002E0DE9" w:rsidRPr="00CF5D3B" w:rsidRDefault="002E0DE9" w:rsidP="00CC71BD">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CF5D3B" w:rsidRDefault="002E0DE9" w:rsidP="00CC71BD">
      <w:pPr>
        <w:widowControl w:val="0"/>
        <w:suppressAutoHyphens/>
        <w:autoSpaceDE w:val="0"/>
        <w:autoSpaceDN w:val="0"/>
        <w:spacing w:after="0" w:line="240" w:lineRule="auto"/>
        <w:jc w:val="both"/>
        <w:textAlignment w:val="baseline"/>
        <w:rPr>
          <w:rFonts w:eastAsia="Times New Roman" w:cs="Arial"/>
        </w:rPr>
      </w:pPr>
    </w:p>
    <w:p w14:paraId="5FE17DCE" w14:textId="1C0E4426" w:rsidR="00FB5A28" w:rsidRDefault="002936F5" w:rsidP="00B632DD">
      <w:pPr>
        <w:widowControl w:val="0"/>
        <w:suppressAutoHyphens/>
        <w:autoSpaceDE w:val="0"/>
        <w:autoSpaceDN w:val="0"/>
        <w:spacing w:after="120" w:line="240" w:lineRule="auto"/>
        <w:jc w:val="center"/>
        <w:textAlignment w:val="baseline"/>
        <w:rPr>
          <w:rFonts w:eastAsia="Times New Roman" w:cs="Arial"/>
          <w:b/>
          <w:bCs/>
          <w:lang w:val="en-GB"/>
        </w:rPr>
      </w:pPr>
      <w:bookmarkStart w:id="0" w:name="_Hlk130987218"/>
      <w:r w:rsidRPr="002936F5">
        <w:rPr>
          <w:rFonts w:eastAsia="Times New Roman" w:cs="Arial"/>
          <w:b/>
          <w:bCs/>
          <w:lang w:val="en-GB"/>
        </w:rPr>
        <w:t>TRANSFRONTIER CONSERVATION AREAS FOR MIGRATORY SPECIES</w:t>
      </w:r>
    </w:p>
    <w:bookmarkEnd w:id="0"/>
    <w:p w14:paraId="38BB4BB4" w14:textId="48DDC991" w:rsidR="002E0DE9" w:rsidRPr="002E0DE9" w:rsidRDefault="008B0AC3" w:rsidP="002D0003">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lang w:val="en-GB"/>
        </w:rPr>
        <w:t xml:space="preserve">(Prepared by </w:t>
      </w:r>
      <w:r w:rsidR="008543A1">
        <w:rPr>
          <w:rFonts w:eastAsia="Times New Roman" w:cs="Arial"/>
          <w:i/>
          <w:lang w:val="en-GB"/>
        </w:rPr>
        <w:t>the Secretariat</w:t>
      </w:r>
      <w:r>
        <w:rPr>
          <w:rFonts w:eastAsia="Times New Roman" w:cs="Arial"/>
          <w:i/>
          <w:lang w:val="en-GB"/>
        </w:rPr>
        <w:t>)</w:t>
      </w:r>
    </w:p>
    <w:p w14:paraId="04541202"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lang w:val="en-GB"/>
        </w:rPr>
      </w:pPr>
    </w:p>
    <w:p w14:paraId="2843937F" w14:textId="77777777" w:rsidR="002E0DE9" w:rsidRPr="002E0DE9" w:rsidRDefault="002E0DE9" w:rsidP="00CC71BD">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77777777" w:rsidR="002E0DE9" w:rsidRPr="002E0DE9" w:rsidRDefault="002E0DE9" w:rsidP="00CC71BD">
      <w:pPr>
        <w:widowControl w:val="0"/>
        <w:suppressAutoHyphens/>
        <w:autoSpaceDE w:val="0"/>
        <w:autoSpaceDN w:val="0"/>
        <w:spacing w:after="0" w:line="240" w:lineRule="auto"/>
        <w:jc w:val="both"/>
        <w:textAlignment w:val="baseline"/>
        <w:rPr>
          <w:rFonts w:ascii="Calibri" w:eastAsia="Calibri" w:hAnsi="Calibri" w:cs="Times New Roman"/>
        </w:rPr>
      </w:pPr>
    </w:p>
    <w:p w14:paraId="5ACBBE25" w14:textId="1299E577" w:rsidR="002E0DE9" w:rsidRPr="002E0DE9" w:rsidRDefault="00C17E06" w:rsidP="00CC71BD">
      <w:pPr>
        <w:widowControl w:val="0"/>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613761F8">
                <wp:simplePos x="0" y="0"/>
                <wp:positionH relativeFrom="margin">
                  <wp:posOffset>914400</wp:posOffset>
                </wp:positionH>
                <wp:positionV relativeFrom="margin">
                  <wp:posOffset>2809240</wp:posOffset>
                </wp:positionV>
                <wp:extent cx="4330700" cy="1990725"/>
                <wp:effectExtent l="0" t="0" r="12700" b="28575"/>
                <wp:wrapSquare wrapText="bothSides"/>
                <wp:docPr id="5" name="Text Box 5"/>
                <wp:cNvGraphicFramePr/>
                <a:graphic xmlns:a="http://schemas.openxmlformats.org/drawingml/2006/main">
                  <a:graphicData uri="http://schemas.microsoft.com/office/word/2010/wordprocessingShape">
                    <wps:wsp>
                      <wps:cNvSpPr txBox="1"/>
                      <wps:spPr>
                        <a:xfrm>
                          <a:off x="0" y="0"/>
                          <a:ext cx="4330700" cy="1990725"/>
                        </a:xfrm>
                        <a:prstGeom prst="rect">
                          <a:avLst/>
                        </a:prstGeom>
                        <a:solidFill>
                          <a:srgbClr val="FFFFFF"/>
                        </a:solidFill>
                        <a:ln w="3172">
                          <a:solidFill>
                            <a:srgbClr val="000000"/>
                          </a:solidFill>
                          <a:prstDash val="solid"/>
                        </a:ln>
                      </wps:spPr>
                      <wps:txbx>
                        <w:txbxContent>
                          <w:p w14:paraId="361301A9" w14:textId="1D3CA965" w:rsidR="002E0DE9" w:rsidRDefault="002E0DE9" w:rsidP="002E0DE9">
                            <w:pPr>
                              <w:spacing w:after="0"/>
                              <w:rPr>
                                <w:rFonts w:cs="Arial"/>
                              </w:rPr>
                            </w:pPr>
                            <w:r>
                              <w:rPr>
                                <w:rFonts w:cs="Arial"/>
                              </w:rPr>
                              <w:t>Summary:</w:t>
                            </w:r>
                          </w:p>
                          <w:p w14:paraId="3B3B48BB" w14:textId="77777777" w:rsidR="00E53A32" w:rsidRDefault="00E53A32" w:rsidP="002E0DE9">
                            <w:pPr>
                              <w:spacing w:after="0"/>
                              <w:rPr>
                                <w:rFonts w:cs="Arial"/>
                              </w:rPr>
                            </w:pPr>
                          </w:p>
                          <w:p w14:paraId="12338272" w14:textId="3F54E0F7" w:rsidR="002E0DE9" w:rsidRDefault="00E53A32" w:rsidP="00B632DD">
                            <w:pPr>
                              <w:spacing w:after="0" w:line="240" w:lineRule="auto"/>
                              <w:jc w:val="both"/>
                              <w:rPr>
                                <w:rFonts w:cs="Arial"/>
                              </w:rPr>
                            </w:pPr>
                            <w:r w:rsidRPr="00E53A32">
                              <w:rPr>
                                <w:rFonts w:cs="Arial"/>
                                <w:lang w:val="en-GB"/>
                              </w:rPr>
                              <w:t>This document</w:t>
                            </w:r>
                            <w:r w:rsidR="005239D3">
                              <w:rPr>
                                <w:rFonts w:cs="Arial"/>
                                <w:lang w:val="en-GB"/>
                              </w:rPr>
                              <w:t xml:space="preserve"> report</w:t>
                            </w:r>
                            <w:r w:rsidR="004F167E">
                              <w:rPr>
                                <w:rFonts w:cs="Arial"/>
                                <w:lang w:val="en-GB"/>
                              </w:rPr>
                              <w:t>s</w:t>
                            </w:r>
                            <w:r w:rsidRPr="00E53A32">
                              <w:rPr>
                                <w:rFonts w:cs="Arial"/>
                                <w:lang w:val="en-GB"/>
                              </w:rPr>
                              <w:t xml:space="preserve"> on the implementation of Decision</w:t>
                            </w:r>
                            <w:r>
                              <w:rPr>
                                <w:rFonts w:cs="Arial"/>
                                <w:lang w:val="en-GB"/>
                              </w:rPr>
                              <w:t>s 13.</w:t>
                            </w:r>
                            <w:r w:rsidR="00F5582B">
                              <w:rPr>
                                <w:rFonts w:cs="Arial"/>
                                <w:lang w:val="en-GB"/>
                              </w:rPr>
                              <w:t>116</w:t>
                            </w:r>
                            <w:r>
                              <w:rPr>
                                <w:rFonts w:cs="Arial"/>
                                <w:lang w:val="en-GB"/>
                              </w:rPr>
                              <w:t xml:space="preserve"> and 13.1</w:t>
                            </w:r>
                            <w:r w:rsidR="00F5582B">
                              <w:rPr>
                                <w:rFonts w:cs="Arial"/>
                                <w:lang w:val="en-GB"/>
                              </w:rPr>
                              <w:t>17</w:t>
                            </w:r>
                            <w:r w:rsidR="00EE6E13">
                              <w:rPr>
                                <w:rFonts w:cs="Arial"/>
                                <w:lang w:val="en-GB"/>
                              </w:rPr>
                              <w:t xml:space="preserve"> </w:t>
                            </w:r>
                            <w:r w:rsidR="00C102F5">
                              <w:rPr>
                                <w:rFonts w:cs="Arial"/>
                                <w:lang w:val="en-GB"/>
                              </w:rPr>
                              <w:t xml:space="preserve">- </w:t>
                            </w:r>
                            <w:r w:rsidR="00C05892" w:rsidRPr="00FF2A5F">
                              <w:rPr>
                                <w:rFonts w:cs="Arial"/>
                                <w:i/>
                                <w:iCs/>
                                <w:lang w:val="en-GB"/>
                              </w:rPr>
                              <w:t>Transfrontier Conservation Areas</w:t>
                            </w:r>
                            <w:r w:rsidR="00F2255B">
                              <w:rPr>
                                <w:rFonts w:cs="Arial"/>
                                <w:i/>
                                <w:iCs/>
                                <w:lang w:val="en-GB"/>
                              </w:rPr>
                              <w:t>.</w:t>
                            </w:r>
                            <w:r w:rsidR="00EC2A3C">
                              <w:rPr>
                                <w:rFonts w:cs="Arial"/>
                                <w:i/>
                                <w:iCs/>
                                <w:lang w:val="en-GB"/>
                              </w:rPr>
                              <w:t xml:space="preserve"> </w:t>
                            </w:r>
                            <w:r w:rsidR="00EC2A3C" w:rsidRPr="00EC2A3C">
                              <w:rPr>
                                <w:rFonts w:cs="Arial"/>
                              </w:rPr>
                              <w:t>It proposes the deletion of these decisions and the adoption of a new set of decisions.</w:t>
                            </w:r>
                          </w:p>
                          <w:p w14:paraId="37905DFE" w14:textId="77777777" w:rsidR="00C17E06" w:rsidRDefault="00C17E06" w:rsidP="00B632DD">
                            <w:pPr>
                              <w:spacing w:after="0" w:line="240" w:lineRule="auto"/>
                              <w:jc w:val="both"/>
                              <w:rPr>
                                <w:rFonts w:cs="Arial"/>
                              </w:rPr>
                            </w:pPr>
                          </w:p>
                          <w:p w14:paraId="745A5683" w14:textId="203AAE1B" w:rsidR="00C17E06" w:rsidRDefault="00C17E06" w:rsidP="00C17E06">
                            <w:pPr>
                              <w:spacing w:after="0" w:line="240" w:lineRule="auto"/>
                              <w:jc w:val="both"/>
                              <w:rPr>
                                <w:rFonts w:cs="Arial"/>
                              </w:rPr>
                            </w:pPr>
                            <w:r w:rsidRPr="00E6027A">
                              <w:rPr>
                                <w:rFonts w:eastAsia="Times New Roman" w:cs="Arial"/>
                              </w:rPr>
                              <w:t>This document was revised by the Secretariat to add the recommendation of deletion of Decision 13.118</w:t>
                            </w:r>
                            <w:r w:rsidR="00153B5D">
                              <w:rPr>
                                <w:rFonts w:eastAsia="Arial" w:cs="Arial"/>
                              </w:rPr>
                              <w:t xml:space="preserve"> and to replace the</w:t>
                            </w:r>
                            <w:r w:rsidR="00BB5675">
                              <w:rPr>
                                <w:rFonts w:eastAsia="Arial" w:cs="Arial"/>
                              </w:rPr>
                              <w:t xml:space="preserve"> hyperlink to the tool </w:t>
                            </w:r>
                            <w:hyperlink r:id="rId12" w:history="1">
                              <w:r w:rsidR="00BB5675" w:rsidRPr="00BB5675">
                                <w:rPr>
                                  <w:rStyle w:val="Hyperlink"/>
                                  <w:rFonts w:eastAsia="Arial" w:cs="Arial"/>
                                  <w:i/>
                                  <w:iCs/>
                                </w:rPr>
                                <w:t>Identifying opportunities for transboundary conservation</w:t>
                              </w:r>
                            </w:hyperlink>
                            <w:r w:rsidR="00B6004A">
                              <w:rPr>
                                <w:rFonts w:eastAsia="Arial" w:cs="Arial"/>
                              </w:rPr>
                              <w:t xml:space="preserve"> </w:t>
                            </w:r>
                            <w:r w:rsidR="00426CC7">
                              <w:rPr>
                                <w:rFonts w:eastAsia="Arial" w:cs="Arial"/>
                              </w:rPr>
                              <w:t xml:space="preserve">mentioned </w:t>
                            </w:r>
                            <w:r w:rsidR="00B6004A">
                              <w:rPr>
                                <w:rFonts w:eastAsia="Arial" w:cs="Arial"/>
                              </w:rPr>
                              <w:t>under paragraph 6. c.</w:t>
                            </w:r>
                          </w:p>
                          <w:p w14:paraId="21C742CC" w14:textId="77777777" w:rsidR="00C17E06" w:rsidRDefault="00C17E06" w:rsidP="00B632DD">
                            <w:pPr>
                              <w:spacing w:after="0" w:line="240" w:lineRule="auto"/>
                              <w:jc w:val="both"/>
                              <w:rPr>
                                <w:rFonts w:cs="Arial"/>
                                <w:lang w:val="en-GB"/>
                              </w:rPr>
                            </w:pPr>
                          </w:p>
                          <w:p w14:paraId="6E3AFEF6" w14:textId="524845D6" w:rsidR="00E53A32" w:rsidRDefault="00E53A32" w:rsidP="002E0DE9">
                            <w:pPr>
                              <w:spacing w:after="0"/>
                              <w:rPr>
                                <w:rFonts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1in;margin-top:221.2pt;width:341pt;height:15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" strokeweight=".08811mm">
                <v:textbox>
                  <w:txbxContent>
                    <w:p w14:paraId="361301A9" w14:textId="1D3CA965" w:rsidR="002E0DE9" w:rsidRDefault="002E0DE9" w:rsidP="002E0DE9">
                      <w:pPr>
                        <w:spacing w:after="0"/>
                        <w:rPr>
                          <w:rFonts w:cs="Arial"/>
                        </w:rPr>
                      </w:pPr>
                      <w:r>
                        <w:rPr>
                          <w:rFonts w:cs="Arial"/>
                        </w:rPr>
                        <w:t>Summary:</w:t>
                      </w:r>
                    </w:p>
                    <w:p w14:paraId="3B3B48BB" w14:textId="77777777" w:rsidR="00E53A32" w:rsidRDefault="00E53A32" w:rsidP="002E0DE9">
                      <w:pPr>
                        <w:spacing w:after="0"/>
                        <w:rPr>
                          <w:rFonts w:cs="Arial"/>
                        </w:rPr>
                      </w:pPr>
                    </w:p>
                    <w:p w14:paraId="12338272" w14:textId="3F54E0F7" w:rsidR="002E0DE9" w:rsidRDefault="00E53A32" w:rsidP="00B632DD">
                      <w:pPr>
                        <w:spacing w:after="0" w:line="240" w:lineRule="auto"/>
                        <w:jc w:val="both"/>
                        <w:rPr>
                          <w:rFonts w:cs="Arial"/>
                        </w:rPr>
                      </w:pPr>
                      <w:r w:rsidRPr="00E53A32">
                        <w:rPr>
                          <w:rFonts w:cs="Arial"/>
                          <w:lang w:val="en-GB"/>
                        </w:rPr>
                        <w:t>This document</w:t>
                      </w:r>
                      <w:r w:rsidR="005239D3">
                        <w:rPr>
                          <w:rFonts w:cs="Arial"/>
                          <w:lang w:val="en-GB"/>
                        </w:rPr>
                        <w:t xml:space="preserve"> report</w:t>
                      </w:r>
                      <w:r w:rsidR="004F167E">
                        <w:rPr>
                          <w:rFonts w:cs="Arial"/>
                          <w:lang w:val="en-GB"/>
                        </w:rPr>
                        <w:t>s</w:t>
                      </w:r>
                      <w:r w:rsidRPr="00E53A32">
                        <w:rPr>
                          <w:rFonts w:cs="Arial"/>
                          <w:lang w:val="en-GB"/>
                        </w:rPr>
                        <w:t xml:space="preserve"> on the implementation of Decision</w:t>
                      </w:r>
                      <w:r>
                        <w:rPr>
                          <w:rFonts w:cs="Arial"/>
                          <w:lang w:val="en-GB"/>
                        </w:rPr>
                        <w:t>s 13.</w:t>
                      </w:r>
                      <w:r w:rsidR="00F5582B">
                        <w:rPr>
                          <w:rFonts w:cs="Arial"/>
                          <w:lang w:val="en-GB"/>
                        </w:rPr>
                        <w:t>116</w:t>
                      </w:r>
                      <w:r>
                        <w:rPr>
                          <w:rFonts w:cs="Arial"/>
                          <w:lang w:val="en-GB"/>
                        </w:rPr>
                        <w:t xml:space="preserve"> and 13.1</w:t>
                      </w:r>
                      <w:r w:rsidR="00F5582B">
                        <w:rPr>
                          <w:rFonts w:cs="Arial"/>
                          <w:lang w:val="en-GB"/>
                        </w:rPr>
                        <w:t>17</w:t>
                      </w:r>
                      <w:r w:rsidR="00EE6E13">
                        <w:rPr>
                          <w:rFonts w:cs="Arial"/>
                          <w:lang w:val="en-GB"/>
                        </w:rPr>
                        <w:t xml:space="preserve"> </w:t>
                      </w:r>
                      <w:r w:rsidR="00C102F5">
                        <w:rPr>
                          <w:rFonts w:cs="Arial"/>
                          <w:lang w:val="en-GB"/>
                        </w:rPr>
                        <w:t xml:space="preserve">- </w:t>
                      </w:r>
                      <w:r w:rsidR="00C05892" w:rsidRPr="00FF2A5F">
                        <w:rPr>
                          <w:rFonts w:cs="Arial"/>
                          <w:i/>
                          <w:iCs/>
                          <w:lang w:val="en-GB"/>
                        </w:rPr>
                        <w:t>Transfrontier Conservation Areas</w:t>
                      </w:r>
                      <w:r w:rsidR="00F2255B">
                        <w:rPr>
                          <w:rFonts w:cs="Arial"/>
                          <w:i/>
                          <w:iCs/>
                          <w:lang w:val="en-GB"/>
                        </w:rPr>
                        <w:t>.</w:t>
                      </w:r>
                      <w:r w:rsidR="00EC2A3C">
                        <w:rPr>
                          <w:rFonts w:cs="Arial"/>
                          <w:i/>
                          <w:iCs/>
                          <w:lang w:val="en-GB"/>
                        </w:rPr>
                        <w:t xml:space="preserve"> </w:t>
                      </w:r>
                      <w:r w:rsidR="00EC2A3C" w:rsidRPr="00EC2A3C">
                        <w:rPr>
                          <w:rFonts w:cs="Arial"/>
                        </w:rPr>
                        <w:t>It proposes the deletion of these decisions and the adoption of a new set of decisions.</w:t>
                      </w:r>
                    </w:p>
                    <w:p w14:paraId="37905DFE" w14:textId="77777777" w:rsidR="00C17E06" w:rsidRDefault="00C17E06" w:rsidP="00B632DD">
                      <w:pPr>
                        <w:spacing w:after="0" w:line="240" w:lineRule="auto"/>
                        <w:jc w:val="both"/>
                        <w:rPr>
                          <w:rFonts w:cs="Arial"/>
                        </w:rPr>
                      </w:pPr>
                    </w:p>
                    <w:p w14:paraId="745A5683" w14:textId="203AAE1B" w:rsidR="00C17E06" w:rsidRDefault="00C17E06" w:rsidP="00C17E06">
                      <w:pPr>
                        <w:spacing w:after="0" w:line="240" w:lineRule="auto"/>
                        <w:jc w:val="both"/>
                        <w:rPr>
                          <w:rFonts w:cs="Arial"/>
                        </w:rPr>
                      </w:pPr>
                      <w:r w:rsidRPr="00E6027A">
                        <w:rPr>
                          <w:rFonts w:eastAsia="Times New Roman" w:cs="Arial"/>
                        </w:rPr>
                        <w:t>This document was revised by the Secretariat to add the recommendation of deletion of Decision 13.118</w:t>
                      </w:r>
                      <w:r w:rsidR="00153B5D">
                        <w:rPr>
                          <w:rFonts w:eastAsia="Arial" w:cs="Arial"/>
                        </w:rPr>
                        <w:t xml:space="preserve"> and to replace the</w:t>
                      </w:r>
                      <w:r w:rsidR="00BB5675">
                        <w:rPr>
                          <w:rFonts w:eastAsia="Arial" w:cs="Arial"/>
                        </w:rPr>
                        <w:t xml:space="preserve"> hyperlink to the tool </w:t>
                      </w:r>
                      <w:hyperlink r:id="rId13" w:history="1">
                        <w:r w:rsidR="00BB5675" w:rsidRPr="00BB5675">
                          <w:rPr>
                            <w:rStyle w:val="Hyperlink"/>
                            <w:rFonts w:eastAsia="Arial" w:cs="Arial"/>
                            <w:i/>
                            <w:iCs/>
                          </w:rPr>
                          <w:t>Identifying opportunities for transboundary conservation</w:t>
                        </w:r>
                      </w:hyperlink>
                      <w:r w:rsidR="00B6004A">
                        <w:rPr>
                          <w:rFonts w:eastAsia="Arial" w:cs="Arial"/>
                        </w:rPr>
                        <w:t xml:space="preserve"> </w:t>
                      </w:r>
                      <w:r w:rsidR="00426CC7">
                        <w:rPr>
                          <w:rFonts w:eastAsia="Arial" w:cs="Arial"/>
                        </w:rPr>
                        <w:t xml:space="preserve">mentioned </w:t>
                      </w:r>
                      <w:r w:rsidR="00B6004A">
                        <w:rPr>
                          <w:rFonts w:eastAsia="Arial" w:cs="Arial"/>
                        </w:rPr>
                        <w:t>under paragraph 6. c.</w:t>
                      </w:r>
                    </w:p>
                    <w:p w14:paraId="21C742CC" w14:textId="77777777" w:rsidR="00C17E06" w:rsidRDefault="00C17E06" w:rsidP="00B632DD">
                      <w:pPr>
                        <w:spacing w:after="0" w:line="240" w:lineRule="auto"/>
                        <w:jc w:val="both"/>
                        <w:rPr>
                          <w:rFonts w:cs="Arial"/>
                          <w:lang w:val="en-GB"/>
                        </w:rPr>
                      </w:pPr>
                    </w:p>
                    <w:p w14:paraId="6E3AFEF6" w14:textId="524845D6" w:rsidR="00E53A32" w:rsidRDefault="00E53A32" w:rsidP="002E0DE9">
                      <w:pPr>
                        <w:spacing w:after="0"/>
                        <w:rPr>
                          <w:rFonts w:cs="Arial"/>
                          <w:lang w:val="en-GB"/>
                        </w:rPr>
                      </w:pPr>
                    </w:p>
                  </w:txbxContent>
                </v:textbox>
                <w10:wrap type="square" anchorx="margin" anchory="margin"/>
              </v:shape>
            </w:pict>
          </mc:Fallback>
        </mc:AlternateContent>
      </w:r>
    </w:p>
    <w:p w14:paraId="554A67C2" w14:textId="5E80E9E5"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227B60E9"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72417F8B"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55C6DA7A"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48B85236"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6236BDED"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692124E8"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3791C321"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6DF7A393"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504B2F65"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6F660C3B"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38F02BC5"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70CBF39D"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5B4DC013"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50CE846C"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1DBB162D"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sz w:val="21"/>
          <w:szCs w:val="21"/>
        </w:rPr>
      </w:pPr>
    </w:p>
    <w:p w14:paraId="2D4E8840" w14:textId="77777777" w:rsidR="002E0DE9" w:rsidRPr="002E0DE9" w:rsidRDefault="002E0DE9" w:rsidP="00CC71BD">
      <w:pPr>
        <w:widowControl w:val="0"/>
        <w:tabs>
          <w:tab w:val="left" w:pos="7245"/>
        </w:tabs>
        <w:suppressAutoHyphens/>
        <w:autoSpaceDE w:val="0"/>
        <w:autoSpaceDN w:val="0"/>
        <w:spacing w:after="0" w:line="240" w:lineRule="auto"/>
        <w:jc w:val="both"/>
        <w:textAlignment w:val="baseline"/>
        <w:rPr>
          <w:rFonts w:eastAsia="Times New Roman" w:cs="Arial"/>
          <w:sz w:val="21"/>
          <w:szCs w:val="21"/>
        </w:rPr>
      </w:pPr>
    </w:p>
    <w:p w14:paraId="38CDD92A"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rPr>
      </w:pPr>
    </w:p>
    <w:p w14:paraId="4C10F8E6" w14:textId="77777777" w:rsidR="002E0DE9" w:rsidRPr="002E0DE9" w:rsidRDefault="002E0DE9" w:rsidP="00CC71BD">
      <w:pPr>
        <w:widowControl w:val="0"/>
        <w:suppressAutoHyphens/>
        <w:autoSpaceDE w:val="0"/>
        <w:autoSpaceDN w:val="0"/>
        <w:spacing w:after="0" w:line="240" w:lineRule="auto"/>
        <w:jc w:val="both"/>
        <w:textAlignment w:val="baseline"/>
        <w:rPr>
          <w:rFonts w:eastAsia="Times New Roman" w:cs="Arial"/>
        </w:rPr>
      </w:pPr>
    </w:p>
    <w:p w14:paraId="422964D3" w14:textId="77777777" w:rsidR="005330F7" w:rsidRDefault="005330F7" w:rsidP="00CC71BD">
      <w:pPr>
        <w:spacing w:after="0" w:line="240" w:lineRule="auto"/>
        <w:jc w:val="both"/>
      </w:pPr>
    </w:p>
    <w:p w14:paraId="490DC140" w14:textId="77777777" w:rsidR="002E0DE9" w:rsidRDefault="002E0DE9" w:rsidP="00CC71BD">
      <w:pPr>
        <w:spacing w:after="0" w:line="240" w:lineRule="auto"/>
        <w:jc w:val="both"/>
      </w:pPr>
    </w:p>
    <w:p w14:paraId="2FBBA2D8" w14:textId="77777777" w:rsidR="002E0DE9" w:rsidRDefault="002E0DE9" w:rsidP="00CC71BD">
      <w:pPr>
        <w:spacing w:after="0" w:line="240" w:lineRule="auto"/>
        <w:jc w:val="both"/>
      </w:pPr>
    </w:p>
    <w:p w14:paraId="4C631634" w14:textId="77777777" w:rsidR="002E0DE9" w:rsidRDefault="002E0DE9" w:rsidP="00CC71BD">
      <w:pPr>
        <w:spacing w:after="0" w:line="240" w:lineRule="auto"/>
        <w:jc w:val="both"/>
      </w:pPr>
    </w:p>
    <w:p w14:paraId="1057ABA6" w14:textId="77777777" w:rsidR="002E0DE9" w:rsidRDefault="002E0DE9" w:rsidP="00CC71BD">
      <w:pPr>
        <w:spacing w:after="0" w:line="240" w:lineRule="auto"/>
        <w:jc w:val="both"/>
      </w:pPr>
    </w:p>
    <w:p w14:paraId="0E60C238" w14:textId="77777777" w:rsidR="002E0DE9" w:rsidRDefault="002E0DE9" w:rsidP="00CC71BD">
      <w:pPr>
        <w:spacing w:after="0" w:line="240" w:lineRule="auto"/>
        <w:jc w:val="both"/>
      </w:pPr>
    </w:p>
    <w:p w14:paraId="310799B0" w14:textId="77777777" w:rsidR="002E0DE9" w:rsidRDefault="002E0DE9" w:rsidP="00CC71BD">
      <w:pPr>
        <w:spacing w:after="0" w:line="240" w:lineRule="auto"/>
        <w:jc w:val="both"/>
      </w:pPr>
    </w:p>
    <w:p w14:paraId="0B9FC963" w14:textId="77777777" w:rsidR="002E0DE9" w:rsidRDefault="002E0DE9" w:rsidP="00CC71BD">
      <w:pPr>
        <w:spacing w:after="0" w:line="240" w:lineRule="auto"/>
        <w:jc w:val="both"/>
      </w:pPr>
    </w:p>
    <w:p w14:paraId="0BFD8348" w14:textId="77777777" w:rsidR="002E0DE9" w:rsidRDefault="002E0DE9" w:rsidP="00CC71BD">
      <w:pPr>
        <w:spacing w:after="0" w:line="240" w:lineRule="auto"/>
        <w:jc w:val="both"/>
      </w:pPr>
    </w:p>
    <w:p w14:paraId="17A209FF" w14:textId="77777777" w:rsidR="002E0DE9" w:rsidRDefault="002E0DE9" w:rsidP="00CC71BD">
      <w:pPr>
        <w:spacing w:after="0" w:line="240" w:lineRule="auto"/>
        <w:jc w:val="both"/>
      </w:pPr>
    </w:p>
    <w:p w14:paraId="3E662EE3" w14:textId="264A523E" w:rsidR="006A7DC4" w:rsidRDefault="006A7DC4" w:rsidP="00CC71BD">
      <w:pPr>
        <w:jc w:val="both"/>
      </w:pPr>
      <w:r>
        <w:br w:type="page"/>
      </w:r>
    </w:p>
    <w:p w14:paraId="0C41E0E1" w14:textId="7F8A92FE" w:rsidR="002E0DE9" w:rsidRDefault="002936F5" w:rsidP="002D0003">
      <w:pPr>
        <w:spacing w:after="0" w:line="240" w:lineRule="auto"/>
        <w:jc w:val="center"/>
      </w:pPr>
      <w:r w:rsidRPr="002936F5">
        <w:rPr>
          <w:rFonts w:eastAsia="Times New Roman" w:cs="Arial"/>
          <w:b/>
          <w:bCs/>
          <w:lang w:val="en-GB"/>
        </w:rPr>
        <w:lastRenderedPageBreak/>
        <w:t>TRANSFRONTIER CONSERVATION AREAS FOR MIGRATORY SPECIES</w:t>
      </w:r>
    </w:p>
    <w:p w14:paraId="71219D98" w14:textId="77777777" w:rsidR="002E0DE9" w:rsidRDefault="002E0DE9" w:rsidP="00CC71BD">
      <w:pPr>
        <w:spacing w:after="0" w:line="240" w:lineRule="auto"/>
        <w:jc w:val="both"/>
      </w:pPr>
    </w:p>
    <w:p w14:paraId="686E4873" w14:textId="77777777" w:rsidR="00B632DD" w:rsidRDefault="00B632DD" w:rsidP="00CC71BD">
      <w:pPr>
        <w:spacing w:after="0" w:line="240" w:lineRule="auto"/>
        <w:jc w:val="both"/>
      </w:pPr>
    </w:p>
    <w:p w14:paraId="31A7B5F9" w14:textId="6D9F230E" w:rsidR="002E0DE9" w:rsidRPr="006A7DC4" w:rsidRDefault="006A7DC4" w:rsidP="00CC71BD">
      <w:pPr>
        <w:spacing w:after="0" w:line="240" w:lineRule="auto"/>
        <w:jc w:val="both"/>
        <w:rPr>
          <w:u w:val="single"/>
        </w:rPr>
      </w:pPr>
      <w:r w:rsidRPr="0EA2C357">
        <w:rPr>
          <w:u w:val="single"/>
        </w:rPr>
        <w:t>Background</w:t>
      </w:r>
    </w:p>
    <w:p w14:paraId="0D10C3B4" w14:textId="57308E5B" w:rsidR="006A7DC4" w:rsidRDefault="006A7DC4" w:rsidP="00CC71BD">
      <w:pPr>
        <w:spacing w:after="0" w:line="240" w:lineRule="auto"/>
        <w:jc w:val="both"/>
      </w:pPr>
    </w:p>
    <w:p w14:paraId="568781E7" w14:textId="16454133" w:rsidR="00E456A0" w:rsidRDefault="001F4332" w:rsidP="000D7959">
      <w:pPr>
        <w:pStyle w:val="ListParagraph"/>
        <w:numPr>
          <w:ilvl w:val="0"/>
          <w:numId w:val="3"/>
        </w:numPr>
        <w:spacing w:after="0" w:line="240" w:lineRule="auto"/>
        <w:ind w:left="540" w:hanging="540"/>
        <w:jc w:val="both"/>
      </w:pPr>
      <w:r>
        <w:t xml:space="preserve">The concept of </w:t>
      </w:r>
      <w:r w:rsidRPr="001F4332">
        <w:t>Transfrontier Conservation Areas (TFCAs)</w:t>
      </w:r>
      <w:r>
        <w:t xml:space="preserve"> </w:t>
      </w:r>
      <w:r w:rsidR="00AB5A29">
        <w:t>w</w:t>
      </w:r>
      <w:r>
        <w:t xml:space="preserve">as </w:t>
      </w:r>
      <w:r w:rsidR="005A03F2">
        <w:t xml:space="preserve">included </w:t>
      </w:r>
      <w:r w:rsidR="00B508DE">
        <w:t xml:space="preserve">in Resolution </w:t>
      </w:r>
      <w:r w:rsidR="00CE490C">
        <w:t>12.7 (Rev.COP1</w:t>
      </w:r>
      <w:r w:rsidR="00320C17">
        <w:t>3</w:t>
      </w:r>
      <w:r w:rsidR="00CE490C">
        <w:t>)</w:t>
      </w:r>
      <w:r w:rsidR="00B9572B">
        <w:t xml:space="preserve"> </w:t>
      </w:r>
      <w:r w:rsidR="00CE490C" w:rsidRPr="00320C17">
        <w:rPr>
          <w:i/>
          <w:iCs/>
        </w:rPr>
        <w:t>The Role of Ecological Networks in the Conservation of Migratory Species</w:t>
      </w:r>
      <w:r w:rsidR="00826E35">
        <w:t xml:space="preserve">, </w:t>
      </w:r>
      <w:r w:rsidR="00826E35" w:rsidRPr="00C102F5">
        <w:t>and de</w:t>
      </w:r>
      <w:r w:rsidR="00826E35">
        <w:t>scribed</w:t>
      </w:r>
      <w:r w:rsidR="00B508DE">
        <w:t xml:space="preserve"> </w:t>
      </w:r>
      <w:r w:rsidR="00600057">
        <w:t>(in</w:t>
      </w:r>
      <w:r w:rsidR="00320C17">
        <w:t xml:space="preserve"> paragraph </w:t>
      </w:r>
      <w:r w:rsidR="00724224">
        <w:t>11</w:t>
      </w:r>
      <w:r w:rsidR="00600057">
        <w:t>)</w:t>
      </w:r>
      <w:r w:rsidR="00320C17">
        <w:t xml:space="preserve"> as </w:t>
      </w:r>
      <w:r w:rsidR="00724224">
        <w:t>“</w:t>
      </w:r>
      <w:r w:rsidR="00724224" w:rsidRPr="00724224">
        <w:t>an area or component of a large ecological region that straddles the boundaries of</w:t>
      </w:r>
      <w:r w:rsidR="00724224">
        <w:t xml:space="preserve"> </w:t>
      </w:r>
      <w:r w:rsidR="00724224" w:rsidRPr="00724224">
        <w:t>two or more countries and is within their national jurisdiction, which may encompass one or</w:t>
      </w:r>
      <w:r w:rsidR="00724224">
        <w:t xml:space="preserve"> </w:t>
      </w:r>
      <w:r w:rsidR="00724224" w:rsidRPr="00724224">
        <w:t>more protected areas, as well as multiple resource use areas</w:t>
      </w:r>
      <w:r w:rsidR="00724224">
        <w:t>”</w:t>
      </w:r>
      <w:r w:rsidR="00B508DE">
        <w:t xml:space="preserve">. </w:t>
      </w:r>
      <w:r w:rsidR="00C102F5" w:rsidRPr="000B16FA">
        <w:t>T</w:t>
      </w:r>
      <w:r w:rsidR="00437896" w:rsidRPr="00C102F5">
        <w:t xml:space="preserve">he </w:t>
      </w:r>
      <w:r w:rsidR="00A91345" w:rsidRPr="00C102F5">
        <w:t>concept</w:t>
      </w:r>
      <w:r w:rsidR="00437896" w:rsidRPr="00C102F5">
        <w:t xml:space="preserve"> of TFCAs</w:t>
      </w:r>
      <w:r w:rsidR="00C102F5" w:rsidRPr="00C102F5">
        <w:t xml:space="preserve"> was initially</w:t>
      </w:r>
      <w:r w:rsidR="00437896" w:rsidRPr="00C102F5">
        <w:t xml:space="preserve"> </w:t>
      </w:r>
      <w:r w:rsidR="0095217A" w:rsidRPr="00C102F5">
        <w:t>defined</w:t>
      </w:r>
      <w:r w:rsidR="002956D2" w:rsidRPr="00C102F5">
        <w:t xml:space="preserve"> by the members of the Southern African Development Community (SADC) in their </w:t>
      </w:r>
      <w:hyperlink r:id="rId14" w:history="1">
        <w:r w:rsidR="002956D2" w:rsidRPr="00043517">
          <w:rPr>
            <w:rStyle w:val="Hyperlink"/>
            <w:color w:val="auto"/>
          </w:rPr>
          <w:t xml:space="preserve">Protocol on </w:t>
        </w:r>
        <w:r w:rsidR="00271300" w:rsidRPr="00043517">
          <w:rPr>
            <w:rStyle w:val="Hyperlink"/>
            <w:color w:val="auto"/>
          </w:rPr>
          <w:t>Wildlife Conservation and Law Enforcement</w:t>
        </w:r>
      </w:hyperlink>
      <w:r w:rsidR="0095217A" w:rsidRPr="00C102F5">
        <w:t xml:space="preserve"> of 1999</w:t>
      </w:r>
      <w:r w:rsidR="0095217A">
        <w:t>.</w:t>
      </w:r>
      <w:r w:rsidR="002956D2">
        <w:t xml:space="preserve"> </w:t>
      </w:r>
      <w:r w:rsidR="00894357">
        <w:t xml:space="preserve">The establishment of TFCAs </w:t>
      </w:r>
      <w:r w:rsidR="00491143">
        <w:t>has sinc</w:t>
      </w:r>
      <w:r w:rsidR="00466EE0">
        <w:t xml:space="preserve">e become </w:t>
      </w:r>
      <w:r w:rsidR="009251D9">
        <w:t>the focus of conservation in Southern Africa</w:t>
      </w:r>
      <w:r w:rsidR="005B33A9">
        <w:t xml:space="preserve"> and</w:t>
      </w:r>
      <w:r w:rsidR="00512503">
        <w:t xml:space="preserve"> </w:t>
      </w:r>
      <w:r w:rsidR="005B33A9">
        <w:t>provide</w:t>
      </w:r>
      <w:r w:rsidR="00B9572B">
        <w:t>s</w:t>
      </w:r>
      <w:r w:rsidR="005B33A9">
        <w:t xml:space="preserve"> an example for other regions on the continent.</w:t>
      </w:r>
      <w:r w:rsidR="009251D9">
        <w:t xml:space="preserve"> </w:t>
      </w:r>
      <w:r w:rsidR="00FB5A28">
        <w:t>At its 13</w:t>
      </w:r>
      <w:r w:rsidR="00FB5A28" w:rsidRPr="00043517">
        <w:rPr>
          <w:vertAlign w:val="superscript"/>
        </w:rPr>
        <w:t>th</w:t>
      </w:r>
      <w:r w:rsidR="00FB5A28">
        <w:t xml:space="preserve"> meeting, the Conference of the Parties</w:t>
      </w:r>
      <w:r w:rsidR="00E456A0">
        <w:t xml:space="preserve"> </w:t>
      </w:r>
      <w:r w:rsidR="005719A0">
        <w:t xml:space="preserve">(COP13) </w:t>
      </w:r>
      <w:r w:rsidR="00E456A0">
        <w:t>adopted Decisions 13.</w:t>
      </w:r>
      <w:r w:rsidR="00526671">
        <w:t>116</w:t>
      </w:r>
      <w:r w:rsidR="00E456A0">
        <w:t xml:space="preserve"> and 13.1</w:t>
      </w:r>
      <w:r w:rsidR="00526671">
        <w:t>17</w:t>
      </w:r>
      <w:r w:rsidR="00E456A0">
        <w:t xml:space="preserve"> on </w:t>
      </w:r>
      <w:r w:rsidR="005B73A2">
        <w:t>T</w:t>
      </w:r>
      <w:r w:rsidR="00526671">
        <w:t xml:space="preserve">ransfrontier </w:t>
      </w:r>
      <w:r w:rsidR="005B73A2">
        <w:t>C</w:t>
      </w:r>
      <w:r w:rsidR="00526671">
        <w:t xml:space="preserve">onservation </w:t>
      </w:r>
      <w:r w:rsidR="005B73A2">
        <w:t>A</w:t>
      </w:r>
      <w:r w:rsidR="00526671">
        <w:t>reas</w:t>
      </w:r>
      <w:r w:rsidR="00A91345">
        <w:t xml:space="preserve"> to </w:t>
      </w:r>
      <w:r w:rsidR="00C9686E">
        <w:t>further support</w:t>
      </w:r>
      <w:r w:rsidR="006E4B49">
        <w:t xml:space="preserve"> Parties </w:t>
      </w:r>
      <w:r w:rsidR="006E4B49" w:rsidRPr="00512503">
        <w:t>in</w:t>
      </w:r>
      <w:r w:rsidR="00C9686E" w:rsidRPr="00512503">
        <w:t xml:space="preserve"> </w:t>
      </w:r>
      <w:r w:rsidR="00512503" w:rsidRPr="000B16FA">
        <w:t xml:space="preserve">implementing </w:t>
      </w:r>
      <w:r w:rsidR="006E4B49" w:rsidRPr="00512503">
        <w:t xml:space="preserve">this </w:t>
      </w:r>
      <w:r w:rsidR="006E4B49">
        <w:t>approach</w:t>
      </w:r>
      <w:r w:rsidR="00E456A0">
        <w:t>.</w:t>
      </w:r>
    </w:p>
    <w:p w14:paraId="7EC8885B" w14:textId="77777777" w:rsidR="00E456A0" w:rsidRDefault="00E456A0" w:rsidP="000D7959">
      <w:pPr>
        <w:pStyle w:val="ListParagraph"/>
        <w:spacing w:after="0" w:line="240" w:lineRule="auto"/>
        <w:ind w:left="540"/>
        <w:jc w:val="both"/>
      </w:pPr>
    </w:p>
    <w:p w14:paraId="2F9CE867" w14:textId="0121EFB9" w:rsidR="00E456A0" w:rsidRPr="000D7959" w:rsidRDefault="00E456A0" w:rsidP="000D7959">
      <w:pPr>
        <w:pStyle w:val="ListParagraph"/>
        <w:spacing w:after="0" w:line="240" w:lineRule="auto"/>
        <w:jc w:val="both"/>
        <w:rPr>
          <w:b/>
          <w:bCs/>
          <w:sz w:val="20"/>
          <w:szCs w:val="20"/>
        </w:rPr>
      </w:pPr>
      <w:r w:rsidRPr="000D7959">
        <w:rPr>
          <w:b/>
          <w:bCs/>
          <w:sz w:val="20"/>
          <w:szCs w:val="20"/>
        </w:rPr>
        <w:t>13.</w:t>
      </w:r>
      <w:r w:rsidR="00526671" w:rsidRPr="000D7959">
        <w:rPr>
          <w:b/>
          <w:bCs/>
          <w:sz w:val="20"/>
          <w:szCs w:val="20"/>
        </w:rPr>
        <w:t>116</w:t>
      </w:r>
      <w:r w:rsidRPr="000D7959">
        <w:rPr>
          <w:b/>
          <w:bCs/>
          <w:sz w:val="20"/>
          <w:szCs w:val="20"/>
        </w:rPr>
        <w:t xml:space="preserve"> Directed to </w:t>
      </w:r>
      <w:bookmarkStart w:id="1" w:name="_Hlk128054634"/>
      <w:r w:rsidRPr="000D7959">
        <w:rPr>
          <w:b/>
          <w:bCs/>
          <w:sz w:val="20"/>
          <w:szCs w:val="20"/>
        </w:rPr>
        <w:t xml:space="preserve">the </w:t>
      </w:r>
      <w:bookmarkEnd w:id="1"/>
      <w:r w:rsidR="00526671" w:rsidRPr="000D7959">
        <w:rPr>
          <w:b/>
          <w:bCs/>
          <w:sz w:val="20"/>
          <w:szCs w:val="20"/>
        </w:rPr>
        <w:t>Parties</w:t>
      </w:r>
    </w:p>
    <w:p w14:paraId="747D32E2" w14:textId="77777777" w:rsidR="00E456A0" w:rsidRPr="000D7959" w:rsidRDefault="00E456A0" w:rsidP="000D7959">
      <w:pPr>
        <w:pStyle w:val="ListParagraph"/>
        <w:spacing w:after="0" w:line="240" w:lineRule="auto"/>
        <w:jc w:val="both"/>
        <w:rPr>
          <w:sz w:val="20"/>
          <w:szCs w:val="20"/>
        </w:rPr>
      </w:pPr>
    </w:p>
    <w:p w14:paraId="7B70CB47" w14:textId="79E30C87" w:rsidR="00526671" w:rsidRPr="000D7959" w:rsidRDefault="00526671" w:rsidP="000D7959">
      <w:pPr>
        <w:pStyle w:val="ListParagraph"/>
        <w:spacing w:after="0" w:line="240" w:lineRule="auto"/>
        <w:jc w:val="both"/>
        <w:rPr>
          <w:i/>
          <w:iCs/>
          <w:sz w:val="20"/>
          <w:szCs w:val="20"/>
        </w:rPr>
      </w:pPr>
      <w:r w:rsidRPr="000D7959">
        <w:rPr>
          <w:i/>
          <w:iCs/>
          <w:sz w:val="20"/>
          <w:szCs w:val="20"/>
        </w:rPr>
        <w:t xml:space="preserve">Parties are invited to: </w:t>
      </w:r>
    </w:p>
    <w:p w14:paraId="31335955" w14:textId="77777777" w:rsidR="00526671" w:rsidRPr="000D7959" w:rsidRDefault="00526671" w:rsidP="000D7959">
      <w:pPr>
        <w:pStyle w:val="ListParagraph"/>
        <w:spacing w:after="0" w:line="240" w:lineRule="auto"/>
        <w:jc w:val="both"/>
        <w:rPr>
          <w:i/>
          <w:iCs/>
          <w:sz w:val="20"/>
          <w:szCs w:val="20"/>
        </w:rPr>
      </w:pPr>
    </w:p>
    <w:p w14:paraId="16F10D7E" w14:textId="1664906E" w:rsidR="00526671" w:rsidRPr="000D7959" w:rsidRDefault="00526671" w:rsidP="000D7959">
      <w:pPr>
        <w:pStyle w:val="ListParagraph"/>
        <w:numPr>
          <w:ilvl w:val="0"/>
          <w:numId w:val="4"/>
        </w:numPr>
        <w:spacing w:after="0" w:line="240" w:lineRule="auto"/>
        <w:ind w:left="1080"/>
        <w:jc w:val="both"/>
        <w:rPr>
          <w:i/>
          <w:iCs/>
          <w:sz w:val="20"/>
          <w:szCs w:val="20"/>
        </w:rPr>
      </w:pPr>
      <w:r w:rsidRPr="000D7959">
        <w:rPr>
          <w:i/>
          <w:iCs/>
          <w:sz w:val="20"/>
          <w:szCs w:val="20"/>
        </w:rPr>
        <w:t xml:space="preserve">based on the best available science, propose transboundary habitats of CMS-listed species, which could be considered as transfrontier conservation areas (TFCAs), meaning an area or component of a large ecological region that straddles the boundaries of two or more countries and is within their national jurisdiction, which may encompass one or more protected areas, as well as multiple resource use areas; </w:t>
      </w:r>
    </w:p>
    <w:p w14:paraId="72BE4F5B" w14:textId="77777777" w:rsidR="00EE5F89" w:rsidRPr="000D7959" w:rsidRDefault="00EE5F89" w:rsidP="000D7959">
      <w:pPr>
        <w:pStyle w:val="ListParagraph"/>
        <w:spacing w:after="0" w:line="240" w:lineRule="auto"/>
        <w:ind w:left="1080" w:hanging="360"/>
        <w:jc w:val="both"/>
        <w:rPr>
          <w:i/>
          <w:iCs/>
          <w:sz w:val="20"/>
          <w:szCs w:val="20"/>
        </w:rPr>
      </w:pPr>
    </w:p>
    <w:p w14:paraId="2CE2457C" w14:textId="2B058954" w:rsidR="00526671" w:rsidRPr="000D7959" w:rsidRDefault="00526671" w:rsidP="000D7959">
      <w:pPr>
        <w:pStyle w:val="ListParagraph"/>
        <w:numPr>
          <w:ilvl w:val="0"/>
          <w:numId w:val="4"/>
        </w:numPr>
        <w:spacing w:after="0" w:line="240" w:lineRule="auto"/>
        <w:ind w:left="1080"/>
        <w:jc w:val="both"/>
        <w:rPr>
          <w:i/>
          <w:iCs/>
          <w:sz w:val="20"/>
          <w:szCs w:val="20"/>
        </w:rPr>
      </w:pPr>
      <w:r w:rsidRPr="000D7959">
        <w:rPr>
          <w:i/>
          <w:iCs/>
          <w:sz w:val="20"/>
          <w:szCs w:val="20"/>
        </w:rPr>
        <w:t xml:space="preserve">take steps to jointly develop with neighbouring Range States bi- or multilateral arrangements, including joint management plans, to improve the conservation of the habitats and species concerned; </w:t>
      </w:r>
    </w:p>
    <w:p w14:paraId="6D4C2EB6" w14:textId="77777777" w:rsidR="00EE5F89" w:rsidRPr="000D7959" w:rsidRDefault="00EE5F89" w:rsidP="000D7959">
      <w:pPr>
        <w:pStyle w:val="ListParagraph"/>
        <w:spacing w:after="0" w:line="240" w:lineRule="auto"/>
        <w:ind w:left="1080" w:hanging="360"/>
        <w:jc w:val="both"/>
        <w:rPr>
          <w:i/>
          <w:iCs/>
          <w:sz w:val="20"/>
          <w:szCs w:val="20"/>
        </w:rPr>
      </w:pPr>
    </w:p>
    <w:p w14:paraId="7AF25583" w14:textId="0E722C4B" w:rsidR="00526671" w:rsidRPr="000D7959" w:rsidRDefault="00526671" w:rsidP="000D7959">
      <w:pPr>
        <w:pStyle w:val="ListParagraph"/>
        <w:numPr>
          <w:ilvl w:val="0"/>
          <w:numId w:val="4"/>
        </w:numPr>
        <w:spacing w:after="0" w:line="240" w:lineRule="auto"/>
        <w:ind w:left="1080"/>
        <w:jc w:val="both"/>
        <w:rPr>
          <w:i/>
          <w:iCs/>
          <w:sz w:val="20"/>
          <w:szCs w:val="20"/>
        </w:rPr>
      </w:pPr>
      <w:r w:rsidRPr="000D7959">
        <w:rPr>
          <w:i/>
          <w:iCs/>
          <w:sz w:val="20"/>
          <w:szCs w:val="20"/>
        </w:rPr>
        <w:t xml:space="preserve">enable, in the development of such arrangements, the participation of local communities and stakeholders for the purposes of benefitting wildlife and the sustainable development of the communities living within a TFCA; and </w:t>
      </w:r>
    </w:p>
    <w:p w14:paraId="7CDCA14E" w14:textId="77777777" w:rsidR="00EE5F89" w:rsidRPr="000D7959" w:rsidRDefault="00EE5F89" w:rsidP="000D7959">
      <w:pPr>
        <w:pStyle w:val="ListParagraph"/>
        <w:spacing w:after="0" w:line="240" w:lineRule="auto"/>
        <w:ind w:left="1080" w:hanging="360"/>
        <w:jc w:val="both"/>
        <w:rPr>
          <w:i/>
          <w:iCs/>
          <w:sz w:val="20"/>
          <w:szCs w:val="20"/>
        </w:rPr>
      </w:pPr>
    </w:p>
    <w:p w14:paraId="79949AA9" w14:textId="3DC7723C" w:rsidR="00E456A0" w:rsidRPr="000D7959" w:rsidRDefault="00526671" w:rsidP="000D7959">
      <w:pPr>
        <w:pStyle w:val="ListParagraph"/>
        <w:numPr>
          <w:ilvl w:val="0"/>
          <w:numId w:val="4"/>
        </w:numPr>
        <w:spacing w:after="0" w:line="240" w:lineRule="auto"/>
        <w:ind w:left="1080"/>
        <w:jc w:val="both"/>
        <w:rPr>
          <w:i/>
          <w:iCs/>
          <w:sz w:val="20"/>
          <w:szCs w:val="20"/>
        </w:rPr>
      </w:pPr>
      <w:r w:rsidRPr="000D7959">
        <w:rPr>
          <w:i/>
          <w:iCs/>
          <w:sz w:val="20"/>
          <w:szCs w:val="20"/>
        </w:rPr>
        <w:t>inform the Secretariat of any such areas proposed under paragraph (a)</w:t>
      </w:r>
    </w:p>
    <w:p w14:paraId="41001DFD" w14:textId="77777777" w:rsidR="00526671" w:rsidRPr="000D7959" w:rsidRDefault="00526671" w:rsidP="000D7959">
      <w:pPr>
        <w:spacing w:after="0" w:line="240" w:lineRule="auto"/>
        <w:ind w:left="720"/>
        <w:jc w:val="both"/>
        <w:rPr>
          <w:i/>
          <w:iCs/>
          <w:sz w:val="20"/>
          <w:szCs w:val="20"/>
        </w:rPr>
      </w:pPr>
    </w:p>
    <w:p w14:paraId="368215C8" w14:textId="052F0783" w:rsidR="00E456A0" w:rsidRPr="000D7959" w:rsidRDefault="00E456A0" w:rsidP="000D7959">
      <w:pPr>
        <w:pStyle w:val="ListParagraph"/>
        <w:spacing w:after="0" w:line="240" w:lineRule="auto"/>
        <w:jc w:val="both"/>
        <w:rPr>
          <w:b/>
          <w:bCs/>
          <w:sz w:val="20"/>
          <w:szCs w:val="20"/>
        </w:rPr>
      </w:pPr>
      <w:r w:rsidRPr="000D7959">
        <w:rPr>
          <w:b/>
          <w:bCs/>
          <w:sz w:val="20"/>
          <w:szCs w:val="20"/>
        </w:rPr>
        <w:t>13.1</w:t>
      </w:r>
      <w:r w:rsidR="00526671" w:rsidRPr="000D7959">
        <w:rPr>
          <w:b/>
          <w:bCs/>
          <w:sz w:val="20"/>
          <w:szCs w:val="20"/>
        </w:rPr>
        <w:t>17</w:t>
      </w:r>
      <w:r w:rsidRPr="000D7959">
        <w:rPr>
          <w:b/>
          <w:bCs/>
          <w:sz w:val="20"/>
          <w:szCs w:val="20"/>
        </w:rPr>
        <w:t xml:space="preserve"> Directed to the Secretariat</w:t>
      </w:r>
    </w:p>
    <w:p w14:paraId="3192B388" w14:textId="63FE33DB" w:rsidR="00E456A0" w:rsidRPr="000D7959" w:rsidRDefault="00E456A0" w:rsidP="000D7959">
      <w:pPr>
        <w:pStyle w:val="ListParagraph"/>
        <w:spacing w:after="0" w:line="240" w:lineRule="auto"/>
        <w:jc w:val="both"/>
        <w:rPr>
          <w:i/>
          <w:iCs/>
          <w:sz w:val="20"/>
          <w:szCs w:val="20"/>
        </w:rPr>
      </w:pPr>
    </w:p>
    <w:p w14:paraId="72646158" w14:textId="50C29999" w:rsidR="00E456A0" w:rsidRPr="000D7959" w:rsidRDefault="00526671" w:rsidP="000D7959">
      <w:pPr>
        <w:pStyle w:val="ListParagraph"/>
        <w:spacing w:after="0" w:line="240" w:lineRule="auto"/>
        <w:jc w:val="both"/>
        <w:rPr>
          <w:sz w:val="20"/>
          <w:szCs w:val="20"/>
        </w:rPr>
      </w:pPr>
      <w:r w:rsidRPr="000D7959">
        <w:rPr>
          <w:i/>
          <w:iCs/>
          <w:sz w:val="20"/>
          <w:szCs w:val="20"/>
        </w:rPr>
        <w:t>The</w:t>
      </w:r>
      <w:r w:rsidR="00E456A0" w:rsidRPr="000D7959">
        <w:rPr>
          <w:i/>
          <w:iCs/>
          <w:sz w:val="20"/>
          <w:szCs w:val="20"/>
        </w:rPr>
        <w:t xml:space="preserve"> Secretariat shall</w:t>
      </w:r>
      <w:r w:rsidR="005D7F10" w:rsidRPr="000D7959">
        <w:rPr>
          <w:i/>
          <w:iCs/>
          <w:sz w:val="20"/>
          <w:szCs w:val="20"/>
        </w:rPr>
        <w:t xml:space="preserve">, </w:t>
      </w:r>
      <w:r w:rsidR="007343C3" w:rsidRPr="000D7959">
        <w:rPr>
          <w:i/>
          <w:iCs/>
          <w:sz w:val="20"/>
          <w:szCs w:val="20"/>
        </w:rPr>
        <w:t>subject to the availability of external resources</w:t>
      </w:r>
      <w:r w:rsidR="00E456A0" w:rsidRPr="000D7959">
        <w:rPr>
          <w:sz w:val="20"/>
          <w:szCs w:val="20"/>
        </w:rPr>
        <w:t>:</w:t>
      </w:r>
    </w:p>
    <w:p w14:paraId="207A95E0" w14:textId="77777777" w:rsidR="00E456A0" w:rsidRPr="000D7959" w:rsidRDefault="00E456A0" w:rsidP="000D7959">
      <w:pPr>
        <w:pStyle w:val="ListParagraph"/>
        <w:spacing w:after="0" w:line="240" w:lineRule="auto"/>
        <w:jc w:val="both"/>
        <w:rPr>
          <w:sz w:val="20"/>
          <w:szCs w:val="20"/>
        </w:rPr>
      </w:pPr>
    </w:p>
    <w:p w14:paraId="31092DD0" w14:textId="77777777" w:rsidR="00526671" w:rsidRPr="000D7959" w:rsidRDefault="00526671" w:rsidP="000D7959">
      <w:pPr>
        <w:pStyle w:val="ListParagraph"/>
        <w:numPr>
          <w:ilvl w:val="0"/>
          <w:numId w:val="5"/>
        </w:numPr>
        <w:spacing w:after="0" w:line="240" w:lineRule="auto"/>
        <w:ind w:left="1080"/>
        <w:jc w:val="both"/>
        <w:rPr>
          <w:i/>
          <w:iCs/>
          <w:sz w:val="20"/>
          <w:szCs w:val="20"/>
        </w:rPr>
      </w:pPr>
      <w:r w:rsidRPr="000D7959">
        <w:rPr>
          <w:i/>
          <w:iCs/>
          <w:sz w:val="20"/>
          <w:szCs w:val="20"/>
        </w:rPr>
        <w:t xml:space="preserve">Support Parties in implementing Decision 13.116; </w:t>
      </w:r>
    </w:p>
    <w:p w14:paraId="7BA512E1" w14:textId="77777777" w:rsidR="00EE5F89" w:rsidRPr="000D7959" w:rsidRDefault="00EE5F89" w:rsidP="000D7959">
      <w:pPr>
        <w:pStyle w:val="ListParagraph"/>
        <w:spacing w:after="0" w:line="240" w:lineRule="auto"/>
        <w:ind w:left="1080" w:hanging="360"/>
        <w:jc w:val="both"/>
        <w:rPr>
          <w:i/>
          <w:iCs/>
          <w:sz w:val="20"/>
          <w:szCs w:val="20"/>
        </w:rPr>
      </w:pPr>
    </w:p>
    <w:p w14:paraId="2BF39D97" w14:textId="482F56C2" w:rsidR="00E456A0" w:rsidRPr="000D7959" w:rsidRDefault="00526671" w:rsidP="000D7959">
      <w:pPr>
        <w:pStyle w:val="ListParagraph"/>
        <w:numPr>
          <w:ilvl w:val="0"/>
          <w:numId w:val="5"/>
        </w:numPr>
        <w:spacing w:after="0" w:line="240" w:lineRule="auto"/>
        <w:ind w:left="1080"/>
        <w:jc w:val="both"/>
        <w:rPr>
          <w:i/>
          <w:iCs/>
          <w:sz w:val="20"/>
          <w:szCs w:val="20"/>
        </w:rPr>
      </w:pPr>
      <w:r w:rsidRPr="000D7959">
        <w:rPr>
          <w:i/>
          <w:iCs/>
          <w:sz w:val="20"/>
          <w:szCs w:val="20"/>
        </w:rPr>
        <w:t>Report to the Conference of the Parties at its 14th meeting on the progress in implementing this Decision</w:t>
      </w:r>
    </w:p>
    <w:p w14:paraId="5B203448" w14:textId="77777777" w:rsidR="00526671" w:rsidRPr="00526671" w:rsidRDefault="00526671" w:rsidP="000D7959">
      <w:pPr>
        <w:pStyle w:val="ListParagraph"/>
        <w:spacing w:after="0" w:line="240" w:lineRule="auto"/>
        <w:ind w:left="900"/>
        <w:jc w:val="both"/>
        <w:rPr>
          <w:i/>
          <w:iCs/>
        </w:rPr>
      </w:pPr>
    </w:p>
    <w:p w14:paraId="183DF7F7" w14:textId="5207A28F" w:rsidR="00E456A0" w:rsidRPr="001A1017" w:rsidRDefault="00E456A0" w:rsidP="000D7959">
      <w:pPr>
        <w:spacing w:after="0" w:line="240" w:lineRule="auto"/>
        <w:jc w:val="both"/>
        <w:rPr>
          <w:u w:val="single"/>
        </w:rPr>
      </w:pPr>
      <w:r w:rsidRPr="001A1017">
        <w:rPr>
          <w:u w:val="single"/>
        </w:rPr>
        <w:t>Implementation of Decisions 13.</w:t>
      </w:r>
      <w:r w:rsidR="00381BA5" w:rsidRPr="001A1017">
        <w:rPr>
          <w:u w:val="single"/>
        </w:rPr>
        <w:t>116</w:t>
      </w:r>
      <w:r w:rsidRPr="001A1017">
        <w:rPr>
          <w:u w:val="single"/>
        </w:rPr>
        <w:t xml:space="preserve"> and 13.1</w:t>
      </w:r>
      <w:r w:rsidR="00381BA5" w:rsidRPr="001A1017">
        <w:rPr>
          <w:u w:val="single"/>
        </w:rPr>
        <w:t>17</w:t>
      </w:r>
      <w:r w:rsidRPr="001A1017">
        <w:rPr>
          <w:u w:val="single"/>
        </w:rPr>
        <w:t xml:space="preserve"> </w:t>
      </w:r>
    </w:p>
    <w:p w14:paraId="1C5E8551" w14:textId="77777777" w:rsidR="00E456A0" w:rsidRDefault="00E456A0" w:rsidP="000D7959">
      <w:pPr>
        <w:spacing w:after="0" w:line="240" w:lineRule="auto"/>
        <w:jc w:val="both"/>
      </w:pPr>
    </w:p>
    <w:p w14:paraId="3A6A5FF1" w14:textId="7581938D" w:rsidR="00E456A0" w:rsidRDefault="00381BA5" w:rsidP="000D7959">
      <w:pPr>
        <w:pStyle w:val="ListParagraph"/>
        <w:numPr>
          <w:ilvl w:val="0"/>
          <w:numId w:val="3"/>
        </w:numPr>
        <w:spacing w:after="0" w:line="240" w:lineRule="auto"/>
        <w:ind w:left="540" w:hanging="540"/>
        <w:jc w:val="both"/>
      </w:pPr>
      <w:r>
        <w:t>In accordance with</w:t>
      </w:r>
      <w:r w:rsidR="007A54FC">
        <w:t xml:space="preserve"> Decision 13.1</w:t>
      </w:r>
      <w:r>
        <w:t>17</w:t>
      </w:r>
      <w:r w:rsidR="007A54FC">
        <w:t xml:space="preserve">, </w:t>
      </w:r>
      <w:bookmarkStart w:id="2" w:name="_Hlk130988020"/>
      <w:r w:rsidR="007A54FC">
        <w:t>t</w:t>
      </w:r>
      <w:r w:rsidR="00FD7A4A">
        <w:t xml:space="preserve">he </w:t>
      </w:r>
      <w:r w:rsidR="00FD7A4A" w:rsidRPr="00C102F5">
        <w:t xml:space="preserve">Secretariat </w:t>
      </w:r>
      <w:bookmarkEnd w:id="2"/>
      <w:r w:rsidR="00B9572B" w:rsidRPr="00C102F5">
        <w:t xml:space="preserve">has </w:t>
      </w:r>
      <w:r w:rsidRPr="00C102F5">
        <w:t>endeavo</w:t>
      </w:r>
      <w:r w:rsidR="00C102F5" w:rsidRPr="000B16FA">
        <w:t>u</w:t>
      </w:r>
      <w:r w:rsidRPr="00C102F5">
        <w:t xml:space="preserve">red to support </w:t>
      </w:r>
      <w:r w:rsidR="00BB2320" w:rsidRPr="00C102F5">
        <w:t>P</w:t>
      </w:r>
      <w:r w:rsidRPr="00C102F5">
        <w:t xml:space="preserve">arties to implement Decision 13.116 </w:t>
      </w:r>
      <w:r w:rsidR="00C102F5" w:rsidRPr="000B16FA">
        <w:t>by</w:t>
      </w:r>
      <w:r w:rsidRPr="00C102F5">
        <w:t xml:space="preserve"> </w:t>
      </w:r>
      <w:r w:rsidR="00C102F5">
        <w:t xml:space="preserve">helping to </w:t>
      </w:r>
      <w:r w:rsidRPr="00C102F5">
        <w:t>secur</w:t>
      </w:r>
      <w:r w:rsidR="00C102F5">
        <w:t>e</w:t>
      </w:r>
      <w:r w:rsidRPr="00C102F5">
        <w:t xml:space="preserve"> funds for</w:t>
      </w:r>
      <w:r>
        <w:t xml:space="preserve"> specific </w:t>
      </w:r>
      <w:r w:rsidR="002936F5">
        <w:t>projects and programmes on TFCAs</w:t>
      </w:r>
      <w:r w:rsidR="00FD7A4A">
        <w:t>.</w:t>
      </w:r>
    </w:p>
    <w:p w14:paraId="25BBA2A9" w14:textId="77777777" w:rsidR="00B41F6F" w:rsidRDefault="00B41F6F" w:rsidP="000D7959">
      <w:pPr>
        <w:pStyle w:val="ListParagraph"/>
        <w:spacing w:after="0" w:line="240" w:lineRule="auto"/>
        <w:ind w:left="540"/>
        <w:jc w:val="both"/>
      </w:pPr>
    </w:p>
    <w:p w14:paraId="4D76CCC9" w14:textId="77777777" w:rsidR="000D7959" w:rsidRDefault="000D7959" w:rsidP="000D7959">
      <w:pPr>
        <w:spacing w:after="0" w:line="240" w:lineRule="auto"/>
        <w:rPr>
          <w:b/>
        </w:rPr>
      </w:pPr>
      <w:r>
        <w:rPr>
          <w:b/>
        </w:rPr>
        <w:br w:type="page"/>
      </w:r>
    </w:p>
    <w:p w14:paraId="358CDB34" w14:textId="4AAF9869" w:rsidR="00F158F2" w:rsidRPr="00043517" w:rsidRDefault="00B41F6F" w:rsidP="000D7959">
      <w:pPr>
        <w:pStyle w:val="ListParagraph"/>
        <w:spacing w:after="0" w:line="240" w:lineRule="auto"/>
        <w:ind w:left="540" w:hanging="540"/>
        <w:jc w:val="both"/>
        <w:rPr>
          <w:b/>
        </w:rPr>
      </w:pPr>
      <w:r w:rsidRPr="00043517">
        <w:rPr>
          <w:b/>
        </w:rPr>
        <w:lastRenderedPageBreak/>
        <w:t>Cross Regional Wildlife Conservation in Eastern and Southern Africa and the Indian</w:t>
      </w:r>
    </w:p>
    <w:p w14:paraId="0DC91827" w14:textId="50152F83" w:rsidR="00FD7A4A" w:rsidRPr="000B16FA" w:rsidRDefault="00B41F6F" w:rsidP="000D7959">
      <w:pPr>
        <w:pStyle w:val="ListParagraph"/>
        <w:spacing w:after="0" w:line="240" w:lineRule="auto"/>
        <w:ind w:left="540" w:hanging="540"/>
        <w:jc w:val="both"/>
        <w:rPr>
          <w:b/>
          <w:bCs/>
        </w:rPr>
      </w:pPr>
      <w:r w:rsidRPr="00043517">
        <w:rPr>
          <w:b/>
        </w:rPr>
        <w:t>Ocean</w:t>
      </w:r>
    </w:p>
    <w:p w14:paraId="5583EA9A" w14:textId="77777777" w:rsidR="00B41F6F" w:rsidRDefault="00B41F6F" w:rsidP="000D7959">
      <w:pPr>
        <w:spacing w:after="0" w:line="240" w:lineRule="auto"/>
        <w:jc w:val="both"/>
      </w:pPr>
    </w:p>
    <w:p w14:paraId="52993AAC" w14:textId="789EDD9C" w:rsidR="002936F5" w:rsidRDefault="002936F5" w:rsidP="000D7959">
      <w:pPr>
        <w:pStyle w:val="ListParagraph"/>
        <w:numPr>
          <w:ilvl w:val="0"/>
          <w:numId w:val="3"/>
        </w:numPr>
        <w:spacing w:after="0" w:line="240" w:lineRule="auto"/>
        <w:ind w:left="540" w:hanging="540"/>
        <w:jc w:val="both"/>
      </w:pPr>
      <w:r>
        <w:t>The flagship progra</w:t>
      </w:r>
      <w:r w:rsidR="00B41F6F">
        <w:t>m</w:t>
      </w:r>
      <w:r>
        <w:t xml:space="preserve">me on TFCAs </w:t>
      </w:r>
      <w:r w:rsidR="00E92E6D">
        <w:t>within</w:t>
      </w:r>
      <w:r>
        <w:t xml:space="preserve"> </w:t>
      </w:r>
      <w:bookmarkStart w:id="3" w:name="_Hlk130987687"/>
      <w:r>
        <w:t>the CMS Secretariat</w:t>
      </w:r>
      <w:r w:rsidR="00E92E6D">
        <w:t xml:space="preserve">, </w:t>
      </w:r>
      <w:r w:rsidR="00E92E6D" w:rsidRPr="007366FF">
        <w:t>is</w:t>
      </w:r>
      <w:bookmarkEnd w:id="3"/>
      <w:r w:rsidR="00DE12B3" w:rsidRPr="007366FF">
        <w:t xml:space="preserve"> its work under</w:t>
      </w:r>
      <w:r w:rsidRPr="007366FF">
        <w:t xml:space="preserve"> </w:t>
      </w:r>
      <w:r>
        <w:t xml:space="preserve">the </w:t>
      </w:r>
      <w:r w:rsidR="00B41F6F">
        <w:t>European Union</w:t>
      </w:r>
      <w:r w:rsidR="00DE12B3">
        <w:t>-</w:t>
      </w:r>
      <w:r w:rsidR="00B41F6F">
        <w:t>funded project</w:t>
      </w:r>
      <w:r w:rsidR="00C102F5">
        <w:t>,</w:t>
      </w:r>
      <w:r w:rsidR="00B41F6F">
        <w:t xml:space="preserve"> </w:t>
      </w:r>
      <w:r w:rsidR="00C102F5">
        <w:t>‘</w:t>
      </w:r>
      <w:r>
        <w:t>Cross Regional Wildlife Conservation in Eastern and Southern Africa and the Indian Ocean</w:t>
      </w:r>
      <w:r w:rsidR="00C102F5">
        <w:t>’</w:t>
      </w:r>
      <w:r>
        <w:t xml:space="preserve">, which is implemented in partnership with the Secretariat for the </w:t>
      </w:r>
      <w:r w:rsidRPr="002936F5">
        <w:t>Convention on International Trade in Endangered Species of Wild Fauna and Flora</w:t>
      </w:r>
      <w:r>
        <w:t xml:space="preserve"> (CITES) and t</w:t>
      </w:r>
      <w:r w:rsidRPr="002936F5">
        <w:t>he United Nations Office on Drugs and Crime</w:t>
      </w:r>
      <w:r w:rsidR="00BA0E45">
        <w:t xml:space="preserve"> (UNODC)</w:t>
      </w:r>
      <w:r>
        <w:t xml:space="preserve">. The implementation of this project started in 2020 and </w:t>
      </w:r>
      <w:r w:rsidR="00BA0E45">
        <w:t xml:space="preserve">is expected to </w:t>
      </w:r>
      <w:r>
        <w:t xml:space="preserve">continue until </w:t>
      </w:r>
      <w:r w:rsidR="007E592B">
        <w:t>August 2024</w:t>
      </w:r>
      <w:r>
        <w:t>.</w:t>
      </w:r>
    </w:p>
    <w:p w14:paraId="26767AF0" w14:textId="77777777" w:rsidR="002936F5" w:rsidRDefault="002936F5" w:rsidP="000D7959">
      <w:pPr>
        <w:pStyle w:val="ListParagraph"/>
        <w:spacing w:after="0" w:line="240" w:lineRule="auto"/>
        <w:jc w:val="both"/>
      </w:pPr>
    </w:p>
    <w:p w14:paraId="27DF5831" w14:textId="3081D4D9" w:rsidR="00FD7A4A" w:rsidRDefault="002936F5" w:rsidP="000D7959">
      <w:pPr>
        <w:pStyle w:val="ListParagraph"/>
        <w:numPr>
          <w:ilvl w:val="0"/>
          <w:numId w:val="3"/>
        </w:numPr>
        <w:spacing w:after="0" w:line="240" w:lineRule="auto"/>
        <w:ind w:left="540" w:hanging="540"/>
        <w:jc w:val="both"/>
      </w:pPr>
      <w:r>
        <w:t>T</w:t>
      </w:r>
      <w:r w:rsidRPr="002936F5">
        <w:t xml:space="preserve">he </w:t>
      </w:r>
      <w:r w:rsidRPr="00051F66">
        <w:t xml:space="preserve">CMS Secretariat’s component of the project </w:t>
      </w:r>
      <w:r w:rsidR="00051F66" w:rsidRPr="00051F66">
        <w:t xml:space="preserve">focuses </w:t>
      </w:r>
      <w:r w:rsidR="00051F66">
        <w:t>on</w:t>
      </w:r>
      <w:r>
        <w:t xml:space="preserve"> </w:t>
      </w:r>
      <w:r w:rsidR="00183126">
        <w:t>‘</w:t>
      </w:r>
      <w:r w:rsidRPr="00043517">
        <w:rPr>
          <w:i/>
        </w:rPr>
        <w:t xml:space="preserve">Specific Objective 3: The establishment and sustainable management of Trans-Frontier Conservation Areas (TFCAs) promoted and </w:t>
      </w:r>
      <w:r w:rsidRPr="000B16FA">
        <w:rPr>
          <w:i/>
          <w:iCs/>
        </w:rPr>
        <w:t>strengthened</w:t>
      </w:r>
      <w:r w:rsidR="00183126">
        <w:t>’</w:t>
      </w:r>
      <w:r>
        <w:t xml:space="preserve">. </w:t>
      </w:r>
      <w:r w:rsidR="00051F66">
        <w:t>The</w:t>
      </w:r>
      <w:r w:rsidR="00B41F6F">
        <w:t xml:space="preserve"> five result areas</w:t>
      </w:r>
      <w:r w:rsidR="00051F66">
        <w:t xml:space="preserve"> for this objective are</w:t>
      </w:r>
      <w:r w:rsidR="00836903">
        <w:t xml:space="preserve"> set out below</w:t>
      </w:r>
      <w:r w:rsidR="00613E3E">
        <w:t xml:space="preserve">, </w:t>
      </w:r>
      <w:r w:rsidR="00051F66" w:rsidRPr="000B16FA">
        <w:t>along</w:t>
      </w:r>
      <w:r w:rsidR="00E62E9B" w:rsidRPr="00051F66">
        <w:t xml:space="preserve"> with </w:t>
      </w:r>
      <w:r w:rsidR="00051F66" w:rsidRPr="000B16FA">
        <w:t xml:space="preserve">the </w:t>
      </w:r>
      <w:r w:rsidR="00E62E9B" w:rsidRPr="00051F66">
        <w:t>activities and outputs delivered so far</w:t>
      </w:r>
      <w:r w:rsidR="00051F66" w:rsidRPr="00051F66">
        <w:t>:</w:t>
      </w:r>
    </w:p>
    <w:p w14:paraId="3406F351" w14:textId="24963F3B" w:rsidR="0EA2C357" w:rsidRDefault="0EA2C357" w:rsidP="000D7959">
      <w:pPr>
        <w:spacing w:after="0" w:line="240" w:lineRule="auto"/>
        <w:jc w:val="both"/>
      </w:pPr>
    </w:p>
    <w:p w14:paraId="5FC84B71" w14:textId="621B2F79" w:rsidR="0017722A" w:rsidRPr="00043517" w:rsidRDefault="00E62E9B" w:rsidP="000D7959">
      <w:pPr>
        <w:pStyle w:val="ListParagraph"/>
        <w:numPr>
          <w:ilvl w:val="0"/>
          <w:numId w:val="3"/>
        </w:numPr>
        <w:spacing w:after="0" w:line="240" w:lineRule="auto"/>
        <w:ind w:left="540" w:hanging="540"/>
        <w:jc w:val="both"/>
        <w:rPr>
          <w:i/>
        </w:rPr>
      </w:pPr>
      <w:r w:rsidRPr="00043517">
        <w:rPr>
          <w:i/>
        </w:rPr>
        <w:t>Result 3.1: High-level political instruments (protocols) mandating the formation of TFCAs formulated/updated</w:t>
      </w:r>
      <w:r w:rsidR="00B41F6F" w:rsidRPr="00043517">
        <w:rPr>
          <w:i/>
        </w:rPr>
        <w:t>:</w:t>
      </w:r>
      <w:r w:rsidR="0017722A" w:rsidRPr="00043517">
        <w:rPr>
          <w:i/>
        </w:rPr>
        <w:t xml:space="preserve"> </w:t>
      </w:r>
    </w:p>
    <w:p w14:paraId="220324F7" w14:textId="77777777" w:rsidR="0017722A" w:rsidRDefault="0017722A" w:rsidP="000D7959">
      <w:pPr>
        <w:pStyle w:val="ListParagraph"/>
        <w:spacing w:after="0" w:line="240" w:lineRule="auto"/>
        <w:jc w:val="both"/>
      </w:pPr>
    </w:p>
    <w:p w14:paraId="58CA879A" w14:textId="1A7A6407" w:rsidR="0051389E" w:rsidRPr="00043517" w:rsidRDefault="0017722A" w:rsidP="00F20394">
      <w:pPr>
        <w:pStyle w:val="ListParagraph"/>
        <w:numPr>
          <w:ilvl w:val="1"/>
          <w:numId w:val="3"/>
        </w:numPr>
        <w:spacing w:after="0" w:line="240" w:lineRule="auto"/>
        <w:ind w:left="900"/>
        <w:jc w:val="both"/>
      </w:pPr>
      <w:r w:rsidRPr="00043517">
        <w:t xml:space="preserve">The establishment, in 2020, </w:t>
      </w:r>
      <w:r w:rsidR="005B2C9B" w:rsidRPr="00043517">
        <w:t xml:space="preserve">of </w:t>
      </w:r>
      <w:r w:rsidRPr="00043517">
        <w:t>training and capacity development support for the East African Community</w:t>
      </w:r>
      <w:r w:rsidR="005B2C9B" w:rsidRPr="00043517">
        <w:t>’s</w:t>
      </w:r>
      <w:r w:rsidR="00965027" w:rsidRPr="00043517">
        <w:t xml:space="preserve"> (EAC)</w:t>
      </w:r>
      <w:r w:rsidRPr="00043517">
        <w:t xml:space="preserve"> Transboundary Conservation Area Technical Working Group (TBCA TWG). The TBCA TWG was established with the approval of the </w:t>
      </w:r>
      <w:bookmarkStart w:id="4" w:name="_Hlk130990007"/>
      <w:bookmarkStart w:id="5" w:name="_Hlk130990554"/>
      <w:r w:rsidRPr="00043517">
        <w:t xml:space="preserve">EAC Secretariat’s </w:t>
      </w:r>
      <w:bookmarkEnd w:id="4"/>
      <w:r w:rsidRPr="00043517">
        <w:t>Sectoral Council on Tourism and Wildlife Management</w:t>
      </w:r>
      <w:bookmarkEnd w:id="5"/>
      <w:r w:rsidRPr="00043517">
        <w:t xml:space="preserve">. </w:t>
      </w:r>
      <w:r w:rsidR="00C55344" w:rsidRPr="00043517">
        <w:t xml:space="preserve">The </w:t>
      </w:r>
      <w:r w:rsidR="000B5F28" w:rsidRPr="00043517">
        <w:t>W</w:t>
      </w:r>
      <w:r w:rsidR="00C55344" w:rsidRPr="00043517">
        <w:t xml:space="preserve">orking </w:t>
      </w:r>
      <w:r w:rsidR="000B5F28" w:rsidRPr="00043517">
        <w:t>G</w:t>
      </w:r>
      <w:r w:rsidR="00C55344" w:rsidRPr="00043517">
        <w:t>roup</w:t>
      </w:r>
      <w:r w:rsidR="000B5F28" w:rsidRPr="00043517">
        <w:t>, which</w:t>
      </w:r>
      <w:r w:rsidR="00C55344" w:rsidRPr="00043517">
        <w:t xml:space="preserve"> includes focal points </w:t>
      </w:r>
      <w:r w:rsidR="000B5F28" w:rsidRPr="00043517">
        <w:t xml:space="preserve">representing each of the </w:t>
      </w:r>
      <w:r w:rsidRPr="00043517">
        <w:t>EAC member state</w:t>
      </w:r>
      <w:r w:rsidR="000B5F28" w:rsidRPr="00043517">
        <w:t xml:space="preserve">s, focuses on </w:t>
      </w:r>
      <w:r w:rsidR="008755C5" w:rsidRPr="00043517">
        <w:t>issues of TFCA prioritization, coordination, and discussions on high-level political instruments</w:t>
      </w:r>
      <w:r w:rsidRPr="00043517">
        <w:t xml:space="preserve">. The second and third formal meetings of the </w:t>
      </w:r>
      <w:r w:rsidR="00237690" w:rsidRPr="00043517">
        <w:t xml:space="preserve">Working Group </w:t>
      </w:r>
      <w:r w:rsidRPr="00043517">
        <w:t xml:space="preserve">were held </w:t>
      </w:r>
      <w:r w:rsidR="008755C5" w:rsidRPr="00043517">
        <w:t>o</w:t>
      </w:r>
      <w:r w:rsidRPr="00043517">
        <w:t>n</w:t>
      </w:r>
      <w:r w:rsidR="008755C5" w:rsidRPr="00043517">
        <w:t>line in</w:t>
      </w:r>
      <w:r w:rsidRPr="00043517">
        <w:t xml:space="preserve"> 2021</w:t>
      </w:r>
      <w:r w:rsidR="005375B9" w:rsidRPr="00043517">
        <w:t>.</w:t>
      </w:r>
      <w:r w:rsidR="008755C5" w:rsidRPr="00043517">
        <w:t xml:space="preserve"> </w:t>
      </w:r>
      <w:r w:rsidR="005375B9" w:rsidRPr="00043517">
        <w:t>A</w:t>
      </w:r>
      <w:r w:rsidR="008755C5" w:rsidRPr="00043517">
        <w:t>longside these, the CMS Secretariat provided a series of webinar training</w:t>
      </w:r>
      <w:r w:rsidR="00855F79" w:rsidRPr="00043517">
        <w:t xml:space="preserve"> sessions</w:t>
      </w:r>
      <w:r w:rsidR="008755C5" w:rsidRPr="00043517">
        <w:t xml:space="preserve"> on TFCA agreements and management</w:t>
      </w:r>
      <w:r w:rsidRPr="00043517">
        <w:t xml:space="preserve">. </w:t>
      </w:r>
    </w:p>
    <w:p w14:paraId="4C9A72D0" w14:textId="578D0A21" w:rsidR="0017722A" w:rsidRDefault="0017722A" w:rsidP="00F20394">
      <w:pPr>
        <w:pStyle w:val="ListParagraph"/>
        <w:spacing w:after="0" w:line="240" w:lineRule="auto"/>
        <w:ind w:left="900" w:hanging="360"/>
        <w:jc w:val="both"/>
      </w:pPr>
      <w:r>
        <w:t xml:space="preserve"> </w:t>
      </w:r>
    </w:p>
    <w:p w14:paraId="1465D296" w14:textId="645C2B3F" w:rsidR="00762860" w:rsidRDefault="008755C5" w:rsidP="00F20394">
      <w:pPr>
        <w:pStyle w:val="ListParagraph"/>
        <w:numPr>
          <w:ilvl w:val="1"/>
          <w:numId w:val="3"/>
        </w:numPr>
        <w:spacing w:after="0" w:line="240" w:lineRule="auto"/>
        <w:ind w:left="900"/>
        <w:jc w:val="both"/>
      </w:pPr>
      <w:r>
        <w:t xml:space="preserve">In </w:t>
      </w:r>
      <w:r w:rsidR="00745B1B">
        <w:t xml:space="preserve">July </w:t>
      </w:r>
      <w:r>
        <w:t>2022</w:t>
      </w:r>
      <w:r w:rsidR="00A45435">
        <w:t>,</w:t>
      </w:r>
      <w:r>
        <w:t xml:space="preserve"> </w:t>
      </w:r>
      <w:r w:rsidR="00A1024B">
        <w:t>t</w:t>
      </w:r>
      <w:r>
        <w:t>he</w:t>
      </w:r>
      <w:r w:rsidR="00A1024B">
        <w:t xml:space="preserve"> </w:t>
      </w:r>
      <w:r w:rsidR="00A1024B" w:rsidRPr="00A1024B">
        <w:t>EAC</w:t>
      </w:r>
      <w:r w:rsidR="00A1024B">
        <w:t xml:space="preserve"> </w:t>
      </w:r>
      <w:r w:rsidR="00A1024B" w:rsidRPr="00A1024B">
        <w:t>Secretariat</w:t>
      </w:r>
      <w:r w:rsidR="00613E3E">
        <w:t>,</w:t>
      </w:r>
      <w:r w:rsidR="00A1024B" w:rsidRPr="00A1024B">
        <w:t xml:space="preserve"> </w:t>
      </w:r>
      <w:r>
        <w:t xml:space="preserve">with support from the </w:t>
      </w:r>
      <w:r w:rsidRPr="008755C5">
        <w:t xml:space="preserve">CMS </w:t>
      </w:r>
      <w:bookmarkStart w:id="6" w:name="_Hlk130990968"/>
      <w:r w:rsidRPr="008755C5">
        <w:t>Secretariat</w:t>
      </w:r>
      <w:r>
        <w:t xml:space="preserve"> </w:t>
      </w:r>
      <w:bookmarkEnd w:id="6"/>
      <w:r>
        <w:t>and IUCN</w:t>
      </w:r>
      <w:r w:rsidR="00613E3E">
        <w:t>,</w:t>
      </w:r>
      <w:r>
        <w:t xml:space="preserve"> hosted a</w:t>
      </w:r>
      <w:r w:rsidR="00A1024B">
        <w:t xml:space="preserve"> pavilion </w:t>
      </w:r>
      <w:r w:rsidR="00745B1B">
        <w:t>i</w:t>
      </w:r>
      <w:r w:rsidR="00A1024B">
        <w:t>n the margins of the African Protected Areas Congress</w:t>
      </w:r>
      <w:r w:rsidR="00745B1B">
        <w:t xml:space="preserve"> in Rwanda</w:t>
      </w:r>
      <w:r w:rsidR="00A1024B">
        <w:t xml:space="preserve">. </w:t>
      </w:r>
      <w:r w:rsidR="00A1024B" w:rsidRPr="00C55344">
        <w:t xml:space="preserve">The activities at the pavilion </w:t>
      </w:r>
      <w:r w:rsidR="00A1024B">
        <w:t>included 23 different events over the course of the week to promote TFCAs</w:t>
      </w:r>
      <w:r w:rsidR="005375B9">
        <w:t xml:space="preserve"> and</w:t>
      </w:r>
      <w:r w:rsidR="00A1024B">
        <w:t xml:space="preserve"> other protected areas, and showcase successes in TFCA management </w:t>
      </w:r>
      <w:r w:rsidR="00014FE0">
        <w:t xml:space="preserve">and </w:t>
      </w:r>
      <w:r w:rsidR="00A1024B">
        <w:t xml:space="preserve">coordination. The </w:t>
      </w:r>
      <w:r w:rsidR="00A1024B" w:rsidRPr="00A1024B">
        <w:t>TBCA TWG</w:t>
      </w:r>
      <w:r w:rsidR="00A1024B">
        <w:t xml:space="preserve"> informal</w:t>
      </w:r>
      <w:r w:rsidR="00762860">
        <w:t>ly</w:t>
      </w:r>
      <w:r w:rsidR="00A1024B">
        <w:t xml:space="preserve"> </w:t>
      </w:r>
      <w:r w:rsidR="00762860">
        <w:t xml:space="preserve">held </w:t>
      </w:r>
      <w:r w:rsidR="00A45435">
        <w:t>its</w:t>
      </w:r>
      <w:r w:rsidR="00762860">
        <w:t xml:space="preserve"> first </w:t>
      </w:r>
      <w:r w:rsidR="00A1024B">
        <w:t>meetings at the pavilion</w:t>
      </w:r>
      <w:r w:rsidR="00762860">
        <w:t xml:space="preserve">. </w:t>
      </w:r>
    </w:p>
    <w:p w14:paraId="1ABA7274" w14:textId="77777777" w:rsidR="0051389E" w:rsidRDefault="0051389E" w:rsidP="00F20394">
      <w:pPr>
        <w:pStyle w:val="ListParagraph"/>
        <w:spacing w:after="0" w:line="240" w:lineRule="auto"/>
        <w:ind w:left="900" w:hanging="360"/>
        <w:jc w:val="both"/>
      </w:pPr>
    </w:p>
    <w:p w14:paraId="3EBF8DF9" w14:textId="7EA852A5" w:rsidR="006B1B6E" w:rsidRDefault="006B1B6E" w:rsidP="00F20394">
      <w:pPr>
        <w:pStyle w:val="ListParagraph"/>
        <w:numPr>
          <w:ilvl w:val="1"/>
          <w:numId w:val="3"/>
        </w:numPr>
        <w:spacing w:after="0" w:line="240" w:lineRule="auto"/>
        <w:ind w:left="900"/>
        <w:jc w:val="both"/>
      </w:pPr>
      <w:r>
        <w:t>In 2021</w:t>
      </w:r>
      <w:r w:rsidR="0083384C">
        <w:t>,</w:t>
      </w:r>
      <w:r>
        <w:t xml:space="preserve"> the CMS Secretariat</w:t>
      </w:r>
      <w:r w:rsidR="00CE6856">
        <w:t xml:space="preserve"> commissioned </w:t>
      </w:r>
      <w:r w:rsidR="00032B9F">
        <w:t xml:space="preserve">the </w:t>
      </w:r>
      <w:r>
        <w:t>Cheetah Conservation Fund</w:t>
      </w:r>
      <w:r w:rsidR="00D62684">
        <w:t xml:space="preserve"> </w:t>
      </w:r>
      <w:r>
        <w:t>and Legal Atlas</w:t>
      </w:r>
      <w:r w:rsidR="00FD611B">
        <w:t xml:space="preserve"> to </w:t>
      </w:r>
      <w:r>
        <w:t xml:space="preserve">review </w:t>
      </w:r>
      <w:r w:rsidR="006D1E35">
        <w:t xml:space="preserve">the </w:t>
      </w:r>
      <w:r w:rsidR="00FD611B">
        <w:t>legislation related to</w:t>
      </w:r>
      <w:r>
        <w:t xml:space="preserve"> TFCA</w:t>
      </w:r>
      <w:r w:rsidR="00D474B2">
        <w:t>s</w:t>
      </w:r>
      <w:r>
        <w:t xml:space="preserve"> and protected areas </w:t>
      </w:r>
      <w:r w:rsidR="006D1E35">
        <w:t xml:space="preserve">of the </w:t>
      </w:r>
      <w:r w:rsidR="006D1E35" w:rsidRPr="005375B9">
        <w:t>member states</w:t>
      </w:r>
      <w:r w:rsidR="006D1E35">
        <w:t xml:space="preserve"> of</w:t>
      </w:r>
      <w:r>
        <w:t xml:space="preserve"> the Intergovernmental Authority on Development (IGAD)</w:t>
      </w:r>
      <w:r w:rsidR="00D469DF">
        <w:rPr>
          <w:rStyle w:val="FootnoteReference"/>
        </w:rPr>
        <w:footnoteReference w:id="2"/>
      </w:r>
      <w:r w:rsidR="006D1E35">
        <w:t>.</w:t>
      </w:r>
      <w:r w:rsidR="000D3F71">
        <w:t xml:space="preserve"> The </w:t>
      </w:r>
      <w:r w:rsidR="00030312">
        <w:t xml:space="preserve">findings of the </w:t>
      </w:r>
      <w:r w:rsidR="000D3F71">
        <w:t>review</w:t>
      </w:r>
      <w:r w:rsidR="00030312">
        <w:t xml:space="preserve"> included a proposal for the development of an IGAD TFCA Protocol. These were</w:t>
      </w:r>
      <w:r w:rsidR="000D3F71">
        <w:t xml:space="preserve"> presented </w:t>
      </w:r>
      <w:r w:rsidR="00902852">
        <w:t>t</w:t>
      </w:r>
      <w:r w:rsidR="000D3F71">
        <w:t>o IGAD’s</w:t>
      </w:r>
      <w:r>
        <w:t xml:space="preserve"> Horn of Africa Wildlife Enforcement Network (HAWEN) Executive Committee</w:t>
      </w:r>
      <w:r w:rsidR="000D3F71">
        <w:t>,</w:t>
      </w:r>
      <w:r w:rsidR="00030312">
        <w:t xml:space="preserve"> which</w:t>
      </w:r>
      <w:r>
        <w:t xml:space="preserve"> approved the </w:t>
      </w:r>
      <w:r w:rsidR="00030312">
        <w:t>proposal</w:t>
      </w:r>
      <w:r w:rsidRPr="005375B9">
        <w:t xml:space="preserve"> and </w:t>
      </w:r>
      <w:r w:rsidR="005375B9" w:rsidRPr="000B16FA">
        <w:t xml:space="preserve">called on the CMS to assist in developing </w:t>
      </w:r>
      <w:r w:rsidR="00030312" w:rsidRPr="00E81CD7">
        <w:t>a TFCA Protocol</w:t>
      </w:r>
      <w:r w:rsidR="005375B9" w:rsidRPr="000B16FA">
        <w:t>.</w:t>
      </w:r>
      <w:r w:rsidRPr="00E81CD7">
        <w:t xml:space="preserve"> Work on the development of the </w:t>
      </w:r>
      <w:r w:rsidR="00B130A4" w:rsidRPr="00E81CD7">
        <w:t>P</w:t>
      </w:r>
      <w:r w:rsidRPr="00E81CD7">
        <w:t xml:space="preserve">rotocol, in partnership with </w:t>
      </w:r>
      <w:r w:rsidR="00D62684" w:rsidRPr="00E81CD7">
        <w:t>C</w:t>
      </w:r>
      <w:r w:rsidR="00D62684">
        <w:t>CF, LA and HAWEN, started in 2023.</w:t>
      </w:r>
    </w:p>
    <w:p w14:paraId="316A6213" w14:textId="723C4DE7" w:rsidR="00D62684" w:rsidRDefault="00D62684" w:rsidP="000D7959">
      <w:pPr>
        <w:pStyle w:val="ListParagraph"/>
        <w:spacing w:after="0" w:line="240" w:lineRule="auto"/>
        <w:ind w:left="1440"/>
        <w:jc w:val="both"/>
      </w:pPr>
    </w:p>
    <w:p w14:paraId="36A72A90" w14:textId="6DEFD4DB" w:rsidR="00D62684" w:rsidRPr="00043517" w:rsidRDefault="00307B65" w:rsidP="000D7959">
      <w:pPr>
        <w:pStyle w:val="ListParagraph"/>
        <w:numPr>
          <w:ilvl w:val="0"/>
          <w:numId w:val="3"/>
        </w:numPr>
        <w:spacing w:after="0" w:line="240" w:lineRule="auto"/>
        <w:ind w:left="540" w:hanging="540"/>
        <w:jc w:val="both"/>
        <w:rPr>
          <w:i/>
        </w:rPr>
      </w:pPr>
      <w:r w:rsidRPr="00043517">
        <w:rPr>
          <w:i/>
        </w:rPr>
        <w:t xml:space="preserve">Result 3.2: </w:t>
      </w:r>
      <w:bookmarkStart w:id="7" w:name="_Hlk131070135"/>
      <w:r w:rsidRPr="00043517">
        <w:rPr>
          <w:i/>
        </w:rPr>
        <w:t>Bilateral and multilateral treaties</w:t>
      </w:r>
      <w:bookmarkEnd w:id="7"/>
      <w:r w:rsidRPr="00043517">
        <w:rPr>
          <w:i/>
        </w:rPr>
        <w:t>/agreements/M</w:t>
      </w:r>
      <w:r w:rsidR="00653CD5" w:rsidRPr="00043517">
        <w:rPr>
          <w:i/>
        </w:rPr>
        <w:t>O</w:t>
      </w:r>
      <w:r w:rsidRPr="00043517">
        <w:rPr>
          <w:i/>
        </w:rPr>
        <w:t>Us for the co-management of specific TFCAs formulated and signed</w:t>
      </w:r>
      <w:r w:rsidR="00D62684" w:rsidRPr="00043517">
        <w:rPr>
          <w:i/>
        </w:rPr>
        <w:t xml:space="preserve">: </w:t>
      </w:r>
    </w:p>
    <w:p w14:paraId="4618AAFB" w14:textId="77777777" w:rsidR="00D62684" w:rsidRDefault="00D62684" w:rsidP="000D7959">
      <w:pPr>
        <w:pStyle w:val="ListParagraph"/>
        <w:spacing w:after="0" w:line="240" w:lineRule="auto"/>
        <w:jc w:val="both"/>
      </w:pPr>
    </w:p>
    <w:p w14:paraId="02ADEFDF" w14:textId="0037DB2C" w:rsidR="00B779CF" w:rsidRDefault="00B779CF" w:rsidP="00F20394">
      <w:pPr>
        <w:pStyle w:val="ListParagraph"/>
        <w:numPr>
          <w:ilvl w:val="1"/>
          <w:numId w:val="3"/>
        </w:numPr>
        <w:spacing w:after="0" w:line="240" w:lineRule="auto"/>
        <w:ind w:left="900"/>
        <w:jc w:val="both"/>
      </w:pPr>
      <w:r>
        <w:t xml:space="preserve">The CMS Secretariat conducted consultations with countries in the target regions in 2020. The consultations identified </w:t>
      </w:r>
      <w:r w:rsidR="00E81CD7">
        <w:t xml:space="preserve">that, in all regions, a key </w:t>
      </w:r>
      <w:r w:rsidR="00E81CD7" w:rsidRPr="00855F79">
        <w:t xml:space="preserve">barrier to establishing </w:t>
      </w:r>
      <w:r w:rsidR="00E81CD7">
        <w:t xml:space="preserve">or strengthening </w:t>
      </w:r>
      <w:bookmarkStart w:id="8" w:name="_Hlk131073606"/>
      <w:r w:rsidR="00E81CD7">
        <w:t>b</w:t>
      </w:r>
      <w:r w:rsidR="00E81CD7" w:rsidRPr="00B779CF">
        <w:t xml:space="preserve">ilateral </w:t>
      </w:r>
      <w:bookmarkEnd w:id="8"/>
      <w:r w:rsidR="00E81CD7" w:rsidRPr="00B779CF">
        <w:t xml:space="preserve">and multilateral treaties </w:t>
      </w:r>
      <w:r w:rsidR="00E81CD7">
        <w:t>for TFCAs is</w:t>
      </w:r>
      <w:r w:rsidR="00E81CD7" w:rsidRPr="00043517" w:rsidDel="005100D6">
        <w:rPr>
          <w:color w:val="FF0000"/>
        </w:rPr>
        <w:t xml:space="preserve"> </w:t>
      </w:r>
      <w:r>
        <w:t xml:space="preserve">the lack of reliable information and </w:t>
      </w:r>
      <w:r w:rsidR="001E5CC7" w:rsidRPr="001E5CC7">
        <w:t>objective criteria for identifying potential areas that are suitable for the successful establishment and management of TFCAs</w:t>
      </w:r>
      <w:r w:rsidR="002C1017">
        <w:t>.</w:t>
      </w:r>
    </w:p>
    <w:p w14:paraId="32B14C75" w14:textId="470A4FC3" w:rsidR="00CC71BD" w:rsidRDefault="00B779CF" w:rsidP="00F20394">
      <w:pPr>
        <w:pStyle w:val="ListParagraph"/>
        <w:numPr>
          <w:ilvl w:val="1"/>
          <w:numId w:val="3"/>
        </w:numPr>
        <w:spacing w:after="0" w:line="240" w:lineRule="auto"/>
        <w:ind w:left="900"/>
        <w:jc w:val="both"/>
      </w:pPr>
      <w:r>
        <w:lastRenderedPageBreak/>
        <w:t>In 2021</w:t>
      </w:r>
      <w:r w:rsidR="00CE6856">
        <w:t>,</w:t>
      </w:r>
      <w:r>
        <w:t xml:space="preserve"> </w:t>
      </w:r>
      <w:r w:rsidR="004B5847">
        <w:t xml:space="preserve">the </w:t>
      </w:r>
      <w:r>
        <w:t xml:space="preserve">CMS </w:t>
      </w:r>
      <w:r w:rsidR="004B5847">
        <w:t xml:space="preserve">Secretariat </w:t>
      </w:r>
      <w:r w:rsidR="00CE6856">
        <w:t>commissioned</w:t>
      </w:r>
      <w:r>
        <w:t xml:space="preserve"> the UN Environment Programme World Conservation Monitoring Centre (UNEP-WCMC) to develop a methodology and a new, publicly available, web-based tool to identify existing protected areas </w:t>
      </w:r>
      <w:r w:rsidR="005E7A4A">
        <w:t xml:space="preserve">in </w:t>
      </w:r>
      <w:r w:rsidR="005E7A4A" w:rsidRPr="00043517">
        <w:rPr>
          <w:color w:val="000000" w:themeColor="text1"/>
        </w:rPr>
        <w:t xml:space="preserve">Africa </w:t>
      </w:r>
      <w:r w:rsidR="00672E7A" w:rsidRPr="000B16FA">
        <w:rPr>
          <w:color w:val="000000" w:themeColor="text1"/>
        </w:rPr>
        <w:t>that</w:t>
      </w:r>
      <w:r w:rsidRPr="00043517">
        <w:rPr>
          <w:color w:val="000000" w:themeColor="text1"/>
        </w:rPr>
        <w:t xml:space="preserve"> are spatially adjacent and ecologically connected across country boundaries</w:t>
      </w:r>
      <w:r w:rsidR="00672E7A" w:rsidRPr="000B16FA">
        <w:rPr>
          <w:color w:val="000000" w:themeColor="text1"/>
        </w:rPr>
        <w:t>,</w:t>
      </w:r>
      <w:r w:rsidRPr="00043517">
        <w:rPr>
          <w:color w:val="000000" w:themeColor="text1"/>
        </w:rPr>
        <w:t xml:space="preserve"> and</w:t>
      </w:r>
      <w:r w:rsidRPr="000B16FA">
        <w:rPr>
          <w:color w:val="000000" w:themeColor="text1"/>
        </w:rPr>
        <w:t xml:space="preserve"> </w:t>
      </w:r>
      <w:r w:rsidR="00672E7A" w:rsidRPr="000B16FA">
        <w:rPr>
          <w:color w:val="000000" w:themeColor="text1"/>
        </w:rPr>
        <w:t>that</w:t>
      </w:r>
      <w:r w:rsidR="00672E7A" w:rsidRPr="00043517">
        <w:rPr>
          <w:color w:val="000000" w:themeColor="text1"/>
        </w:rPr>
        <w:t xml:space="preserve"> </w:t>
      </w:r>
      <w:r w:rsidRPr="00043517">
        <w:rPr>
          <w:color w:val="000000" w:themeColor="text1"/>
        </w:rPr>
        <w:t xml:space="preserve">have the potential for harmonized management. </w:t>
      </w:r>
    </w:p>
    <w:p w14:paraId="04B1432D" w14:textId="77777777" w:rsidR="00237690" w:rsidRDefault="00237690" w:rsidP="00F20394">
      <w:pPr>
        <w:pStyle w:val="ListParagraph"/>
        <w:spacing w:after="0" w:line="240" w:lineRule="auto"/>
        <w:ind w:left="900" w:hanging="360"/>
        <w:jc w:val="both"/>
      </w:pPr>
    </w:p>
    <w:p w14:paraId="2F82AD46" w14:textId="3318C84A" w:rsidR="00E16A90" w:rsidRPr="005A6DC8" w:rsidRDefault="00B779CF" w:rsidP="00F20394">
      <w:pPr>
        <w:pStyle w:val="ListParagraph"/>
        <w:numPr>
          <w:ilvl w:val="1"/>
          <w:numId w:val="3"/>
        </w:numPr>
        <w:spacing w:after="0" w:line="240" w:lineRule="auto"/>
        <w:ind w:left="900"/>
        <w:jc w:val="both"/>
      </w:pPr>
      <w:r>
        <w:t>Th</w:t>
      </w:r>
      <w:r w:rsidR="00417AC1">
        <w:t>e</w:t>
      </w:r>
      <w:r>
        <w:t xml:space="preserve"> tool</w:t>
      </w:r>
      <w:r w:rsidR="00417AC1">
        <w:t xml:space="preserve"> </w:t>
      </w:r>
      <w:r w:rsidR="00672E7A">
        <w:t>(</w:t>
      </w:r>
      <w:hyperlink r:id="rId15" w:history="1">
        <w:r w:rsidR="0084470C" w:rsidRPr="00481A60">
          <w:rPr>
            <w:rStyle w:val="Hyperlink"/>
            <w:i/>
            <w:iCs/>
          </w:rPr>
          <w:t>Identifying opportunities for transboundary conservation</w:t>
        </w:r>
      </w:hyperlink>
      <w:r w:rsidR="00672E7A" w:rsidRPr="000B16FA">
        <w:rPr>
          <w:rStyle w:val="Hyperlink"/>
          <w:color w:val="auto"/>
          <w:u w:val="none"/>
        </w:rPr>
        <w:t>)</w:t>
      </w:r>
      <w:r w:rsidR="00672E7A">
        <w:t xml:space="preserve"> is now online</w:t>
      </w:r>
      <w:r w:rsidR="008B727F">
        <w:t>,</w:t>
      </w:r>
      <w:r w:rsidR="00D60BA2">
        <w:t xml:space="preserve"> providing </w:t>
      </w:r>
      <w:r w:rsidR="00CF33C5">
        <w:t xml:space="preserve">Governments </w:t>
      </w:r>
      <w:r>
        <w:t xml:space="preserve">and other actors with a scientific basis for </w:t>
      </w:r>
      <w:r w:rsidR="00534A1F">
        <w:t>establish</w:t>
      </w:r>
      <w:r w:rsidR="00D474B2">
        <w:t>ing</w:t>
      </w:r>
      <w:r>
        <w:t xml:space="preserve"> bilateral and multilateral TFCA agreements</w:t>
      </w:r>
      <w:r w:rsidR="00534A1F">
        <w:t xml:space="preserve"> across Africa</w:t>
      </w:r>
      <w:r>
        <w:t xml:space="preserve">. The tool </w:t>
      </w:r>
      <w:r w:rsidR="005E7A4A">
        <w:t>was</w:t>
      </w:r>
      <w:r>
        <w:t xml:space="preserve"> </w:t>
      </w:r>
      <w:r w:rsidR="00534A1F">
        <w:t>launched</w:t>
      </w:r>
      <w:r>
        <w:t xml:space="preserve"> at the African Protected Areas Congress in </w:t>
      </w:r>
      <w:r w:rsidR="00534A1F">
        <w:t xml:space="preserve">Rwanda in </w:t>
      </w:r>
      <w:r>
        <w:t>2022</w:t>
      </w:r>
      <w:r w:rsidR="005E7A4A">
        <w:t xml:space="preserve">. A scientific paper based on </w:t>
      </w:r>
      <w:r w:rsidR="002C4921">
        <w:t xml:space="preserve">an </w:t>
      </w:r>
      <w:r w:rsidR="005E7A4A">
        <w:t xml:space="preserve">analysis conducted using the tool </w:t>
      </w:r>
      <w:r w:rsidR="00400C71">
        <w:t>is expected to be</w:t>
      </w:r>
      <w:r w:rsidR="005E7A4A">
        <w:t xml:space="preserve"> published </w:t>
      </w:r>
      <w:r w:rsidR="000C6EFB">
        <w:t xml:space="preserve">in due </w:t>
      </w:r>
      <w:r w:rsidR="000C6EFB" w:rsidRPr="005A6DC8">
        <w:t>course</w:t>
      </w:r>
      <w:r w:rsidR="005E7A4A" w:rsidRPr="005A6DC8">
        <w:t xml:space="preserve">. </w:t>
      </w:r>
      <w:r w:rsidR="00E16A90" w:rsidRPr="005A6DC8">
        <w:t>Between 2023 and 20</w:t>
      </w:r>
      <w:r w:rsidR="006A4F24">
        <w:t>24</w:t>
      </w:r>
      <w:r w:rsidR="00D474B2" w:rsidRPr="005A6DC8">
        <w:t>,</w:t>
      </w:r>
      <w:r w:rsidR="00E16A90" w:rsidRPr="005A6DC8">
        <w:t xml:space="preserve"> the CMS Secretariat will provide sensitization and training on the use of the tool for </w:t>
      </w:r>
      <w:r w:rsidR="00672E7A" w:rsidRPr="005A6DC8">
        <w:t>developing</w:t>
      </w:r>
      <w:r w:rsidR="00E16A90" w:rsidRPr="005A6DC8">
        <w:t xml:space="preserve"> bilateral and multilateral treaties</w:t>
      </w:r>
      <w:r w:rsidR="00A73B71" w:rsidRPr="005A6DC8">
        <w:t xml:space="preserve"> within the project area</w:t>
      </w:r>
      <w:r w:rsidR="00E16A90" w:rsidRPr="005A6DC8">
        <w:t>.</w:t>
      </w:r>
    </w:p>
    <w:p w14:paraId="2D81ABB8" w14:textId="77777777" w:rsidR="0092002A" w:rsidRPr="005A6DC8" w:rsidRDefault="0092002A" w:rsidP="00F20394">
      <w:pPr>
        <w:pStyle w:val="ListParagraph"/>
        <w:spacing w:after="0" w:line="240" w:lineRule="auto"/>
        <w:ind w:left="900" w:hanging="360"/>
        <w:jc w:val="both"/>
      </w:pPr>
    </w:p>
    <w:p w14:paraId="3303886C" w14:textId="26BE9B09" w:rsidR="00E16A90" w:rsidRPr="005A6DC8" w:rsidRDefault="00E16A90" w:rsidP="00F20394">
      <w:pPr>
        <w:pStyle w:val="ListParagraph"/>
        <w:numPr>
          <w:ilvl w:val="1"/>
          <w:numId w:val="3"/>
        </w:numPr>
        <w:spacing w:after="0" w:line="240" w:lineRule="auto"/>
        <w:ind w:left="900"/>
        <w:jc w:val="both"/>
      </w:pPr>
      <w:r w:rsidRPr="005A6DC8">
        <w:t xml:space="preserve">CMS </w:t>
      </w:r>
      <w:r w:rsidR="00A73B71" w:rsidRPr="005A6DC8">
        <w:t xml:space="preserve">commissioned WWF-Tanzania to </w:t>
      </w:r>
      <w:r w:rsidRPr="005A6DC8">
        <w:t xml:space="preserve">support the Governments of </w:t>
      </w:r>
      <w:r w:rsidR="00A73B71" w:rsidRPr="005A6DC8">
        <w:t xml:space="preserve">Mozambique and </w:t>
      </w:r>
      <w:r w:rsidRPr="005A6DC8">
        <w:t>Tanzania to review their existing MOU on the management of the Selous-Niassa TFCA</w:t>
      </w:r>
      <w:r w:rsidR="00975876" w:rsidRPr="005A6DC8">
        <w:t>. Both countries expressed a desire and commitment to upgrad</w:t>
      </w:r>
      <w:r w:rsidR="00672E7A" w:rsidRPr="005A6DC8">
        <w:t>e</w:t>
      </w:r>
      <w:r w:rsidR="00975876" w:rsidRPr="005A6DC8">
        <w:t xml:space="preserve"> the MOU to a </w:t>
      </w:r>
      <w:r w:rsidR="003C1874" w:rsidRPr="005A6DC8">
        <w:t>legally binding</w:t>
      </w:r>
      <w:r w:rsidR="00975876" w:rsidRPr="005A6DC8">
        <w:t xml:space="preserve"> treaty. The first negotiation meeting on the scope and work</w:t>
      </w:r>
      <w:r w:rsidR="008B727F" w:rsidRPr="005A6DC8">
        <w:t>ings</w:t>
      </w:r>
      <w:r w:rsidR="00975876" w:rsidRPr="005A6DC8">
        <w:t xml:space="preserve"> of the new Selous-Niassa TFCA treaty was held on 26 January 2023 in Maputo</w:t>
      </w:r>
      <w:r w:rsidR="00D474B2" w:rsidRPr="005A6DC8">
        <w:t>,</w:t>
      </w:r>
      <w:r w:rsidR="00975876" w:rsidRPr="005A6DC8">
        <w:t xml:space="preserve"> </w:t>
      </w:r>
      <w:r w:rsidR="00672E7A" w:rsidRPr="005A6DC8">
        <w:t>with both Parties</w:t>
      </w:r>
      <w:r w:rsidR="00975876" w:rsidRPr="005A6DC8">
        <w:t xml:space="preserve"> agree</w:t>
      </w:r>
      <w:r w:rsidR="00672E7A" w:rsidRPr="005A6DC8">
        <w:t>ing</w:t>
      </w:r>
      <w:r w:rsidR="00975876" w:rsidRPr="005A6DC8">
        <w:t xml:space="preserve"> on a road</w:t>
      </w:r>
      <w:r w:rsidR="00D474B2" w:rsidRPr="005A6DC8">
        <w:t xml:space="preserve"> </w:t>
      </w:r>
      <w:r w:rsidR="00975876" w:rsidRPr="005A6DC8">
        <w:t xml:space="preserve">map for finalizing the treaty by late 2023. </w:t>
      </w:r>
    </w:p>
    <w:p w14:paraId="1DBA0BE1" w14:textId="77777777" w:rsidR="005E7A4A" w:rsidRDefault="005E7A4A" w:rsidP="000D7959">
      <w:pPr>
        <w:spacing w:after="0" w:line="240" w:lineRule="auto"/>
        <w:ind w:left="1080"/>
        <w:jc w:val="both"/>
      </w:pPr>
    </w:p>
    <w:p w14:paraId="0C5F6B0B" w14:textId="53E64A94" w:rsidR="004B5847" w:rsidRPr="00BA3D8E" w:rsidRDefault="00E25ACC" w:rsidP="000D7959">
      <w:pPr>
        <w:pStyle w:val="ListParagraph"/>
        <w:numPr>
          <w:ilvl w:val="0"/>
          <w:numId w:val="3"/>
        </w:numPr>
        <w:spacing w:after="0" w:line="240" w:lineRule="auto"/>
        <w:ind w:left="540" w:hanging="540"/>
        <w:jc w:val="both"/>
        <w:rPr>
          <w:i/>
        </w:rPr>
      </w:pPr>
      <w:r w:rsidRPr="00BA3D8E">
        <w:rPr>
          <w:i/>
        </w:rPr>
        <w:t>Result 3.3: Harmonization of legislation pertaining to wildlife conservation, management and crime promoted and supported</w:t>
      </w:r>
      <w:r w:rsidR="00975876" w:rsidRPr="00BA3D8E">
        <w:rPr>
          <w:i/>
        </w:rPr>
        <w:t xml:space="preserve">: </w:t>
      </w:r>
    </w:p>
    <w:p w14:paraId="11BF85BD" w14:textId="77777777" w:rsidR="004B5847" w:rsidRDefault="004B5847" w:rsidP="000D7959">
      <w:pPr>
        <w:pStyle w:val="ListParagraph"/>
        <w:spacing w:after="0" w:line="240" w:lineRule="auto"/>
        <w:jc w:val="both"/>
      </w:pPr>
    </w:p>
    <w:p w14:paraId="545B8FB6" w14:textId="0F868532" w:rsidR="00975876" w:rsidRDefault="00975876" w:rsidP="00F20394">
      <w:pPr>
        <w:pStyle w:val="ListParagraph"/>
        <w:numPr>
          <w:ilvl w:val="1"/>
          <w:numId w:val="3"/>
        </w:numPr>
        <w:spacing w:after="0" w:line="240" w:lineRule="auto"/>
        <w:ind w:left="900"/>
        <w:jc w:val="both"/>
      </w:pPr>
      <w:r>
        <w:t xml:space="preserve">The </w:t>
      </w:r>
      <w:r w:rsidR="004B5847">
        <w:t xml:space="preserve">CMS Secretariat </w:t>
      </w:r>
      <w:r w:rsidR="00E94631">
        <w:t>commissioned the</w:t>
      </w:r>
      <w:r w:rsidR="004B5847" w:rsidRPr="004B5847">
        <w:t xml:space="preserve"> Cheetah Conservation Fund and Legal Atlas to complete a legal assessment </w:t>
      </w:r>
      <w:r w:rsidR="005411D2">
        <w:t>of</w:t>
      </w:r>
      <w:r w:rsidR="004B5847" w:rsidRPr="004B5847">
        <w:t xml:space="preserve"> </w:t>
      </w:r>
      <w:r w:rsidR="005411D2">
        <w:t>member states of</w:t>
      </w:r>
      <w:r w:rsidR="004B5847">
        <w:t xml:space="preserve"> </w:t>
      </w:r>
      <w:r w:rsidR="004B5847" w:rsidRPr="004B5847">
        <w:t xml:space="preserve">IGAD </w:t>
      </w:r>
      <w:r w:rsidR="004B5847" w:rsidRPr="00855F79">
        <w:t xml:space="preserve">with respect </w:t>
      </w:r>
      <w:r w:rsidR="004B5847" w:rsidRPr="004B5847">
        <w:t xml:space="preserve">to the harmonization of legislation on protected areas, wildlife conservation and illegal wildlife trade. </w:t>
      </w:r>
      <w:r w:rsidR="004B5847">
        <w:t xml:space="preserve">In consultation with IGAD’s HAWEN </w:t>
      </w:r>
      <w:r w:rsidR="00A243DF">
        <w:t>E</w:t>
      </w:r>
      <w:r w:rsidR="004B5847">
        <w:t xml:space="preserve">xecutive </w:t>
      </w:r>
      <w:r w:rsidR="00A243DF">
        <w:t>C</w:t>
      </w:r>
      <w:r w:rsidR="004B5847">
        <w:t>ommittee</w:t>
      </w:r>
      <w:r w:rsidR="00A243DF">
        <w:t>,</w:t>
      </w:r>
      <w:r w:rsidR="004B5847">
        <w:t xml:space="preserve"> five key areas of legislation were chosen for </w:t>
      </w:r>
      <w:r w:rsidR="00366B72">
        <w:t xml:space="preserve">a </w:t>
      </w:r>
      <w:r w:rsidR="004B5847">
        <w:t>comprehensive comparative analysis across all the countries:</w:t>
      </w:r>
      <w:r w:rsidR="004B5847" w:rsidRPr="00BA3D8E">
        <w:rPr>
          <w:color w:val="FF0000"/>
        </w:rPr>
        <w:t xml:space="preserve"> </w:t>
      </w:r>
      <w:r w:rsidR="004B5847" w:rsidRPr="00855F79">
        <w:t>1</w:t>
      </w:r>
      <w:r w:rsidR="00855F79" w:rsidRPr="00855F79">
        <w:t>)</w:t>
      </w:r>
      <w:r w:rsidR="004B5847">
        <w:t xml:space="preserve"> </w:t>
      </w:r>
      <w:r w:rsidR="00ED7920">
        <w:t>T</w:t>
      </w:r>
      <w:r w:rsidR="004B5847">
        <w:t>he legal recognition and protection status of migratory species</w:t>
      </w:r>
      <w:r w:rsidR="00ED7920">
        <w:t xml:space="preserve"> in line with obligations arising under CMS;</w:t>
      </w:r>
      <w:r w:rsidR="004B5847">
        <w:t xml:space="preserve"> 2</w:t>
      </w:r>
      <w:r w:rsidR="00855F79">
        <w:t>)</w:t>
      </w:r>
      <w:r w:rsidR="004B5847">
        <w:t xml:space="preserve"> </w:t>
      </w:r>
      <w:r w:rsidR="00ED7920">
        <w:t>T</w:t>
      </w:r>
      <w:r w:rsidR="004B5847">
        <w:t>he legal status of TFCAs</w:t>
      </w:r>
      <w:r w:rsidR="00366B72">
        <w:t>;</w:t>
      </w:r>
      <w:r w:rsidR="004B5847">
        <w:t xml:space="preserve"> 3</w:t>
      </w:r>
      <w:r w:rsidR="00855F79">
        <w:t>)</w:t>
      </w:r>
      <w:r w:rsidR="004B5847">
        <w:t xml:space="preserve"> </w:t>
      </w:r>
      <w:r w:rsidR="00ED7920">
        <w:t>T</w:t>
      </w:r>
      <w:r w:rsidR="004B5847">
        <w:t>he legal basis for the establishment of national wildlife task forces</w:t>
      </w:r>
      <w:r w:rsidR="00366B72">
        <w:t>;</w:t>
      </w:r>
      <w:r w:rsidR="004B5847">
        <w:t xml:space="preserve"> 4</w:t>
      </w:r>
      <w:r w:rsidR="00855F79">
        <w:t>)</w:t>
      </w:r>
      <w:r w:rsidR="004B5847">
        <w:t xml:space="preserve"> </w:t>
      </w:r>
      <w:r w:rsidR="00ED7920">
        <w:t>L</w:t>
      </w:r>
      <w:r w:rsidR="004B5847">
        <w:t>egal structures for the repatriation of trafficked wildlife</w:t>
      </w:r>
      <w:r w:rsidR="00366B72">
        <w:t>;</w:t>
      </w:r>
      <w:r w:rsidR="004B5847">
        <w:t xml:space="preserve"> and 5</w:t>
      </w:r>
      <w:r w:rsidR="00855F79">
        <w:t>)</w:t>
      </w:r>
      <w:r w:rsidR="004B5847">
        <w:t xml:space="preserve"> The inclusion of wildlife crime in anti-money</w:t>
      </w:r>
      <w:r w:rsidR="00663740">
        <w:t>-</w:t>
      </w:r>
      <w:r w:rsidR="004B5847">
        <w:t xml:space="preserve">laundering laws. </w:t>
      </w:r>
    </w:p>
    <w:p w14:paraId="119583A9" w14:textId="77777777" w:rsidR="00E25ACC" w:rsidRDefault="00E25ACC" w:rsidP="00F20394">
      <w:pPr>
        <w:pStyle w:val="ListParagraph"/>
        <w:spacing w:after="0" w:line="240" w:lineRule="auto"/>
        <w:ind w:left="900" w:hanging="360"/>
        <w:jc w:val="both"/>
      </w:pPr>
    </w:p>
    <w:p w14:paraId="4085CD37" w14:textId="36B07EE5" w:rsidR="004B5847" w:rsidRDefault="004B5847" w:rsidP="00F20394">
      <w:pPr>
        <w:pStyle w:val="ListParagraph"/>
        <w:numPr>
          <w:ilvl w:val="1"/>
          <w:numId w:val="3"/>
        </w:numPr>
        <w:spacing w:after="0" w:line="240" w:lineRule="auto"/>
        <w:ind w:left="900"/>
        <w:jc w:val="both"/>
      </w:pPr>
      <w:r w:rsidRPr="004B5847">
        <w:t xml:space="preserve">More than 200 pieces of legislation </w:t>
      </w:r>
      <w:r>
        <w:t xml:space="preserve">were included in the </w:t>
      </w:r>
      <w:r w:rsidRPr="004B5847">
        <w:t>analysis</w:t>
      </w:r>
      <w:r>
        <w:t>.</w:t>
      </w:r>
      <w:r w:rsidRPr="004B5847">
        <w:t xml:space="preserve"> </w:t>
      </w:r>
      <w:r>
        <w:t xml:space="preserve">A </w:t>
      </w:r>
      <w:r w:rsidRPr="004B5847">
        <w:t xml:space="preserve">comprehensive legal framework </w:t>
      </w:r>
      <w:r>
        <w:t xml:space="preserve">was produced </w:t>
      </w:r>
      <w:r w:rsidRPr="004B5847">
        <w:t>for each country and a set of recommendations for</w:t>
      </w:r>
      <w:r>
        <w:t xml:space="preserve"> legal</w:t>
      </w:r>
      <w:r w:rsidRPr="004B5847">
        <w:t xml:space="preserve"> harmonization </w:t>
      </w:r>
      <w:r>
        <w:t>were</w:t>
      </w:r>
      <w:r w:rsidRPr="004B5847">
        <w:t xml:space="preserve"> </w:t>
      </w:r>
      <w:r>
        <w:t>developed</w:t>
      </w:r>
      <w:r w:rsidRPr="004B5847">
        <w:t xml:space="preserve"> and presented to IGAD</w:t>
      </w:r>
      <w:r>
        <w:t xml:space="preserve">’s HAWEN </w:t>
      </w:r>
      <w:r w:rsidR="0048194C">
        <w:t>E</w:t>
      </w:r>
      <w:r>
        <w:t xml:space="preserve">xecutive </w:t>
      </w:r>
      <w:r w:rsidR="0048194C">
        <w:t>C</w:t>
      </w:r>
      <w:r w:rsidR="00D64B2E">
        <w:t>ommittee</w:t>
      </w:r>
      <w:r w:rsidRPr="004B5847">
        <w:t xml:space="preserve"> for their consideration. The final analysis in 2021 identified 39 specific legal elements that were viable candidates for regional harmonization. </w:t>
      </w:r>
      <w:r w:rsidR="00D64B2E">
        <w:t xml:space="preserve">The </w:t>
      </w:r>
      <w:r w:rsidRPr="004B5847">
        <w:t xml:space="preserve">CMS </w:t>
      </w:r>
      <w:r w:rsidR="00D64B2E">
        <w:t xml:space="preserve">Secretariat </w:t>
      </w:r>
      <w:r w:rsidRPr="004B5847">
        <w:t>has offered</w:t>
      </w:r>
      <w:r w:rsidR="00D64B2E">
        <w:t xml:space="preserve"> all the participating countries</w:t>
      </w:r>
      <w:r w:rsidRPr="004B5847">
        <w:t xml:space="preserve"> further country-level support </w:t>
      </w:r>
      <w:r w:rsidR="00D64B2E">
        <w:t>for</w:t>
      </w:r>
      <w:r w:rsidRPr="004B5847">
        <w:t xml:space="preserve"> </w:t>
      </w:r>
      <w:r w:rsidR="00D64B2E" w:rsidRPr="004B5847">
        <w:t>harmonization</w:t>
      </w:r>
      <w:r w:rsidR="00D64B2E">
        <w:t xml:space="preserve"> in 2024</w:t>
      </w:r>
      <w:r w:rsidRPr="004B5847">
        <w:t>.</w:t>
      </w:r>
      <w:r w:rsidR="00D64B2E">
        <w:t xml:space="preserve"> </w:t>
      </w:r>
    </w:p>
    <w:p w14:paraId="6A6E6C7B" w14:textId="2C0A3ADD" w:rsidR="004B5847" w:rsidRDefault="004B5847" w:rsidP="000D7959">
      <w:pPr>
        <w:spacing w:after="0" w:line="240" w:lineRule="auto"/>
        <w:jc w:val="both"/>
      </w:pPr>
    </w:p>
    <w:p w14:paraId="0F2AAB24" w14:textId="54B83FF4" w:rsidR="00510A13" w:rsidRDefault="00E25ACC" w:rsidP="000D7959">
      <w:pPr>
        <w:pStyle w:val="ListParagraph"/>
        <w:numPr>
          <w:ilvl w:val="0"/>
          <w:numId w:val="3"/>
        </w:numPr>
        <w:spacing w:after="0" w:line="240" w:lineRule="auto"/>
        <w:ind w:left="540" w:hanging="540"/>
        <w:jc w:val="both"/>
      </w:pPr>
      <w:r w:rsidRPr="00BA3D8E">
        <w:rPr>
          <w:i/>
        </w:rPr>
        <w:t>Result 3.4: Ecosystem/landscape management plans and/or protected area co-management plans prepared for TFCAs and formally approved by the responsible management authorities</w:t>
      </w:r>
      <w:r w:rsidR="00366B72">
        <w:t>;</w:t>
      </w:r>
      <w:r w:rsidRPr="00E25ACC">
        <w:t xml:space="preserve"> and </w:t>
      </w:r>
      <w:r w:rsidRPr="00BA3D8E">
        <w:rPr>
          <w:i/>
        </w:rPr>
        <w:t xml:space="preserve">Result 3.5: Approved management actions implemented </w:t>
      </w:r>
      <w:r w:rsidRPr="00C571C4">
        <w:rPr>
          <w:i/>
        </w:rPr>
        <w:t>in the TFCAs according to jointly-agreed priorities</w:t>
      </w:r>
      <w:r w:rsidR="00510A13">
        <w:t xml:space="preserve">: </w:t>
      </w:r>
    </w:p>
    <w:p w14:paraId="1D1B3EBC" w14:textId="77777777" w:rsidR="00510A13" w:rsidRDefault="00510A13" w:rsidP="000D7959">
      <w:pPr>
        <w:pStyle w:val="ListParagraph"/>
        <w:spacing w:after="0" w:line="240" w:lineRule="auto"/>
        <w:jc w:val="both"/>
      </w:pPr>
    </w:p>
    <w:p w14:paraId="1F810495" w14:textId="296B3CA1" w:rsidR="004B5847" w:rsidRDefault="00510A13" w:rsidP="00F20394">
      <w:pPr>
        <w:pStyle w:val="ListParagraph"/>
        <w:numPr>
          <w:ilvl w:val="1"/>
          <w:numId w:val="3"/>
        </w:numPr>
        <w:spacing w:after="0" w:line="240" w:lineRule="auto"/>
        <w:ind w:left="900"/>
        <w:jc w:val="both"/>
      </w:pPr>
      <w:r>
        <w:t>The CMS Secretariat</w:t>
      </w:r>
      <w:r w:rsidR="00366B72">
        <w:t>,</w:t>
      </w:r>
      <w:r>
        <w:t xml:space="preserve"> in</w:t>
      </w:r>
      <w:r w:rsidRPr="00510A13">
        <w:t xml:space="preserve"> partnership with WWF-Tanzania</w:t>
      </w:r>
      <w:r w:rsidR="00366B72">
        <w:t>,</w:t>
      </w:r>
      <w:r w:rsidRPr="00510A13">
        <w:t xml:space="preserve"> </w:t>
      </w:r>
      <w:r>
        <w:t xml:space="preserve">supported </w:t>
      </w:r>
      <w:r w:rsidR="00625701">
        <w:t>the</w:t>
      </w:r>
      <w:r w:rsidRPr="00510A13">
        <w:t xml:space="preserve"> review</w:t>
      </w:r>
      <w:r w:rsidR="00625701">
        <w:t xml:space="preserve"> of</w:t>
      </w:r>
      <w:r w:rsidRPr="00510A13">
        <w:t xml:space="preserve"> Niassa-Selous Wildlife Corridor (SNWC) wildlife and land</w:t>
      </w:r>
      <w:r w:rsidR="00663740">
        <w:t>-</w:t>
      </w:r>
      <w:r w:rsidRPr="00510A13">
        <w:t xml:space="preserve">use policies, </w:t>
      </w:r>
      <w:r w:rsidR="000B16FA">
        <w:t>n</w:t>
      </w:r>
      <w:r w:rsidRPr="00510A13">
        <w:t>ational/</w:t>
      </w:r>
      <w:r w:rsidR="000B16FA">
        <w:t>r</w:t>
      </w:r>
      <w:r w:rsidRPr="00510A13">
        <w:t>egional biodiversity strategies and species action plans, a</w:t>
      </w:r>
      <w:r w:rsidR="00855F79">
        <w:t>s well as</w:t>
      </w:r>
      <w:r w:rsidRPr="00510A13">
        <w:t xml:space="preserve"> </w:t>
      </w:r>
      <w:r w:rsidR="00AE65BB">
        <w:t>the</w:t>
      </w:r>
      <w:r w:rsidRPr="00510A13">
        <w:t xml:space="preserve"> evaluat</w:t>
      </w:r>
      <w:r w:rsidR="00AE65BB">
        <w:t>ion of</w:t>
      </w:r>
      <w:r w:rsidRPr="00510A13">
        <w:t xml:space="preserve"> the level of coherence in national and regional planning initiatives for this area. </w:t>
      </w:r>
      <w:r w:rsidR="0072234E" w:rsidRPr="0072234E">
        <w:rPr>
          <w:color w:val="000000" w:themeColor="text1"/>
        </w:rPr>
        <w:t>A review of the historical and current biodiversity and land-cover data for the SNWC was also completed, to identify</w:t>
      </w:r>
      <w:r w:rsidRPr="00F158F2">
        <w:t xml:space="preserve"> </w:t>
      </w:r>
      <w:r w:rsidRPr="00510A13">
        <w:t xml:space="preserve">trends and threats to the area. A </w:t>
      </w:r>
      <w:r w:rsidRPr="00510A13">
        <w:lastRenderedPageBreak/>
        <w:t xml:space="preserve">stakeholder forum was established to validate the results and recommendations </w:t>
      </w:r>
      <w:r w:rsidRPr="00F158F2">
        <w:t>of th</w:t>
      </w:r>
      <w:r w:rsidR="00F158F2" w:rsidRPr="000B16FA">
        <w:t>e</w:t>
      </w:r>
      <w:r w:rsidRPr="00F158F2">
        <w:t xml:space="preserve"> review</w:t>
      </w:r>
      <w:r w:rsidR="00404B71">
        <w:t>,</w:t>
      </w:r>
      <w:r w:rsidRPr="00F158F2">
        <w:t xml:space="preserve"> </w:t>
      </w:r>
      <w:r w:rsidRPr="00510A13">
        <w:t>and to guide</w:t>
      </w:r>
      <w:r w:rsidR="001B511E">
        <w:t xml:space="preserve"> the</w:t>
      </w:r>
      <w:r w:rsidRPr="00510A13">
        <w:t xml:space="preserve"> future development of the area’s integrated management plan. </w:t>
      </w:r>
      <w:r>
        <w:t>A draft management plan was</w:t>
      </w:r>
      <w:r w:rsidRPr="00510A13">
        <w:t xml:space="preserve"> presented to decision</w:t>
      </w:r>
      <w:r w:rsidR="00663740">
        <w:t xml:space="preserve"> </w:t>
      </w:r>
      <w:r w:rsidRPr="00510A13">
        <w:t xml:space="preserve">makers from </w:t>
      </w:r>
      <w:r w:rsidR="001B511E" w:rsidRPr="00510A13">
        <w:t xml:space="preserve">Mozambique and </w:t>
      </w:r>
      <w:r w:rsidRPr="00510A13">
        <w:t>Tanzania in the first quarter of 2022</w:t>
      </w:r>
      <w:r>
        <w:t xml:space="preserve"> and the relevant government departments are currently reviewing the draft plan and creating a list of priority actions for implementation between 2023 and 202</w:t>
      </w:r>
      <w:r w:rsidR="00610E75">
        <w:t>4</w:t>
      </w:r>
      <w:r>
        <w:t>.</w:t>
      </w:r>
    </w:p>
    <w:p w14:paraId="4740C0D2" w14:textId="1A3210A2" w:rsidR="00510A13" w:rsidRDefault="00510A13" w:rsidP="000D7959">
      <w:pPr>
        <w:pStyle w:val="ListParagraph"/>
        <w:spacing w:after="0" w:line="240" w:lineRule="auto"/>
        <w:ind w:left="0"/>
        <w:jc w:val="both"/>
      </w:pPr>
    </w:p>
    <w:p w14:paraId="153670D2" w14:textId="795CE4CA" w:rsidR="000F009E" w:rsidRDefault="000F009E" w:rsidP="000D7959">
      <w:pPr>
        <w:spacing w:after="0" w:line="240" w:lineRule="auto"/>
        <w:jc w:val="both"/>
      </w:pPr>
      <w:r w:rsidRPr="0EA2C357">
        <w:rPr>
          <w:u w:val="single"/>
        </w:rPr>
        <w:t>Recommended Actions:</w:t>
      </w:r>
    </w:p>
    <w:p w14:paraId="6492F025" w14:textId="77777777" w:rsidR="000F009E" w:rsidRDefault="000F009E" w:rsidP="000D7959">
      <w:pPr>
        <w:spacing w:after="0" w:line="240" w:lineRule="auto"/>
        <w:jc w:val="both"/>
      </w:pPr>
    </w:p>
    <w:p w14:paraId="74139CB2" w14:textId="116BB7A2" w:rsidR="000F009E" w:rsidRDefault="31574180" w:rsidP="000D7959">
      <w:pPr>
        <w:pStyle w:val="ListParagraph"/>
        <w:numPr>
          <w:ilvl w:val="0"/>
          <w:numId w:val="3"/>
        </w:numPr>
        <w:spacing w:after="0" w:line="240" w:lineRule="auto"/>
        <w:ind w:left="540" w:hanging="540"/>
        <w:jc w:val="both"/>
      </w:pPr>
      <w:r>
        <w:t>The Conference of the Parties is recommended to:</w:t>
      </w:r>
    </w:p>
    <w:p w14:paraId="30C624D5" w14:textId="3C7FCA9C" w:rsidR="000F009E" w:rsidRDefault="000F009E" w:rsidP="000D7959">
      <w:pPr>
        <w:spacing w:after="0" w:line="240" w:lineRule="auto"/>
        <w:ind w:left="540"/>
        <w:jc w:val="both"/>
      </w:pPr>
    </w:p>
    <w:p w14:paraId="27F1503A" w14:textId="52CD10A6" w:rsidR="00CC2B13" w:rsidRDefault="00426E1A" w:rsidP="000D7959">
      <w:pPr>
        <w:pStyle w:val="ListParagraph"/>
        <w:numPr>
          <w:ilvl w:val="0"/>
          <w:numId w:val="7"/>
        </w:numPr>
        <w:spacing w:after="0" w:line="240" w:lineRule="auto"/>
        <w:ind w:left="900"/>
        <w:jc w:val="both"/>
      </w:pPr>
      <w:r>
        <w:t>a</w:t>
      </w:r>
      <w:r w:rsidR="00CC2B13">
        <w:t xml:space="preserve">dopt the Decisions contained in </w:t>
      </w:r>
      <w:r w:rsidR="00802043">
        <w:t xml:space="preserve">the </w:t>
      </w:r>
      <w:r w:rsidR="00CC2B13">
        <w:t>Annex to this document;</w:t>
      </w:r>
    </w:p>
    <w:p w14:paraId="4CAFDC34" w14:textId="77777777" w:rsidR="00CC2B13" w:rsidRPr="00D724B1" w:rsidRDefault="00CC2B13" w:rsidP="000D7959">
      <w:pPr>
        <w:pStyle w:val="ListParagraph"/>
        <w:spacing w:after="0" w:line="240" w:lineRule="auto"/>
        <w:ind w:left="900"/>
        <w:jc w:val="both"/>
      </w:pPr>
    </w:p>
    <w:p w14:paraId="7959DAD3" w14:textId="6A11D527" w:rsidR="00B47F2B" w:rsidRPr="00E6027A" w:rsidRDefault="00426E1A" w:rsidP="000D7959">
      <w:pPr>
        <w:pStyle w:val="ListParagraph"/>
        <w:numPr>
          <w:ilvl w:val="0"/>
          <w:numId w:val="7"/>
        </w:numPr>
        <w:spacing w:after="0" w:line="240" w:lineRule="auto"/>
        <w:ind w:left="900"/>
        <w:jc w:val="both"/>
      </w:pPr>
      <w:r>
        <w:t>d</w:t>
      </w:r>
      <w:r w:rsidR="00EF79FD" w:rsidRPr="00E6027A">
        <w:t xml:space="preserve">elete Decisions </w:t>
      </w:r>
      <w:r w:rsidR="00BE2BAF" w:rsidRPr="00E6027A">
        <w:t>13.</w:t>
      </w:r>
      <w:r w:rsidR="00EF79FD" w:rsidRPr="00E6027A">
        <w:t>116</w:t>
      </w:r>
      <w:r w:rsidR="002B305E" w:rsidRPr="00E6027A">
        <w:t xml:space="preserve"> to 13.118</w:t>
      </w:r>
      <w:r w:rsidR="00CC2B13" w:rsidRPr="00E6027A">
        <w:t>.</w:t>
      </w:r>
    </w:p>
    <w:p w14:paraId="5B3BAB6A" w14:textId="2E7237AF" w:rsidR="00B47F2B" w:rsidRPr="00E456A0" w:rsidRDefault="00B47F2B" w:rsidP="000D7959">
      <w:pPr>
        <w:pStyle w:val="ListParagraph"/>
        <w:spacing w:after="0" w:line="240" w:lineRule="auto"/>
        <w:ind w:left="540"/>
        <w:jc w:val="both"/>
        <w:rPr>
          <w:b/>
          <w:bCs/>
        </w:rPr>
      </w:pPr>
    </w:p>
    <w:p w14:paraId="1B2BDE46" w14:textId="77777777" w:rsidR="00B47F2B" w:rsidRPr="00E456A0" w:rsidRDefault="00B47F2B" w:rsidP="000D7959">
      <w:pPr>
        <w:pStyle w:val="ListParagraph"/>
        <w:spacing w:after="0" w:line="240" w:lineRule="auto"/>
        <w:ind w:left="540"/>
        <w:jc w:val="both"/>
        <w:rPr>
          <w:i/>
          <w:iCs/>
        </w:rPr>
      </w:pPr>
    </w:p>
    <w:p w14:paraId="288C0E21" w14:textId="77777777" w:rsidR="00F20394" w:rsidRDefault="00F20394" w:rsidP="000D7959">
      <w:pPr>
        <w:spacing w:after="0" w:line="240" w:lineRule="auto"/>
        <w:rPr>
          <w:rFonts w:cs="Arial"/>
          <w:b/>
          <w:caps/>
        </w:rPr>
        <w:sectPr w:rsidR="00F20394" w:rsidSect="00D93628">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234AF1C9" w14:textId="600FF2D8" w:rsidR="00680DA1" w:rsidRPr="00CD0FE9" w:rsidRDefault="00680DA1" w:rsidP="00802043">
      <w:pPr>
        <w:spacing w:after="0" w:line="240" w:lineRule="auto"/>
        <w:jc w:val="right"/>
        <w:rPr>
          <w:rFonts w:cs="Arial"/>
        </w:rPr>
      </w:pPr>
      <w:r w:rsidRPr="00CD0FE9">
        <w:rPr>
          <w:rFonts w:cs="Arial"/>
          <w:b/>
          <w:caps/>
        </w:rPr>
        <w:lastRenderedPageBreak/>
        <w:t xml:space="preserve">Annex </w:t>
      </w:r>
    </w:p>
    <w:p w14:paraId="468FFC89" w14:textId="77777777" w:rsidR="00E6027A" w:rsidRDefault="00E6027A" w:rsidP="000D7959">
      <w:pPr>
        <w:spacing w:after="0" w:line="240" w:lineRule="auto"/>
        <w:jc w:val="center"/>
        <w:rPr>
          <w:rFonts w:cs="Arial"/>
        </w:rPr>
      </w:pPr>
    </w:p>
    <w:p w14:paraId="18A3F5F0" w14:textId="77777777" w:rsidR="00426E1A" w:rsidRDefault="00426E1A" w:rsidP="000D7959">
      <w:pPr>
        <w:spacing w:after="0" w:line="240" w:lineRule="auto"/>
        <w:jc w:val="center"/>
        <w:rPr>
          <w:rFonts w:cs="Arial"/>
        </w:rPr>
      </w:pPr>
    </w:p>
    <w:p w14:paraId="3139134C" w14:textId="098ECE60" w:rsidR="00680DA1" w:rsidRDefault="00680DA1" w:rsidP="000D7959">
      <w:pPr>
        <w:spacing w:after="0" w:line="240" w:lineRule="auto"/>
        <w:jc w:val="center"/>
        <w:rPr>
          <w:rFonts w:cs="Arial"/>
        </w:rPr>
      </w:pPr>
      <w:r>
        <w:rPr>
          <w:rFonts w:cs="Arial"/>
        </w:rPr>
        <w:t>DRAFT</w:t>
      </w:r>
      <w:r w:rsidRPr="00CD0FE9">
        <w:rPr>
          <w:rFonts w:cs="Arial"/>
        </w:rPr>
        <w:t xml:space="preserve"> DECISION</w:t>
      </w:r>
      <w:r w:rsidR="006935BB">
        <w:rPr>
          <w:rFonts w:cs="Arial"/>
        </w:rPr>
        <w:t>S</w:t>
      </w:r>
      <w:r>
        <w:rPr>
          <w:rFonts w:cs="Arial"/>
        </w:rPr>
        <w:t xml:space="preserve"> </w:t>
      </w:r>
    </w:p>
    <w:p w14:paraId="214B11D5" w14:textId="77777777" w:rsidR="00680DA1" w:rsidRPr="00CD0FE9" w:rsidRDefault="00680DA1" w:rsidP="000D7959">
      <w:pPr>
        <w:spacing w:after="0" w:line="240" w:lineRule="auto"/>
        <w:jc w:val="center"/>
        <w:rPr>
          <w:rFonts w:cs="Arial"/>
        </w:rPr>
      </w:pPr>
    </w:p>
    <w:p w14:paraId="3096C621" w14:textId="77777777" w:rsidR="00856559" w:rsidRDefault="00856559" w:rsidP="000D7959">
      <w:pPr>
        <w:spacing w:after="0" w:line="240" w:lineRule="auto"/>
        <w:jc w:val="center"/>
      </w:pPr>
      <w:r w:rsidRPr="002936F5">
        <w:rPr>
          <w:rFonts w:eastAsia="Times New Roman" w:cs="Arial"/>
          <w:b/>
          <w:bCs/>
          <w:lang w:val="en-GB"/>
        </w:rPr>
        <w:t>TRANSFRONTIER CONSERVATION AREAS FOR MIGRATORY SPECIES</w:t>
      </w:r>
    </w:p>
    <w:p w14:paraId="2F28FDA0" w14:textId="77777777" w:rsidR="00BF7AB3" w:rsidRDefault="00BF7AB3" w:rsidP="000D7959">
      <w:pPr>
        <w:spacing w:after="0" w:line="240" w:lineRule="auto"/>
        <w:jc w:val="both"/>
        <w:rPr>
          <w:rFonts w:cs="Arial"/>
          <w:b/>
          <w:i/>
        </w:rPr>
      </w:pPr>
    </w:p>
    <w:p w14:paraId="63E231E0" w14:textId="77777777" w:rsidR="00E6027A" w:rsidRDefault="00E6027A" w:rsidP="000D7959">
      <w:pPr>
        <w:spacing w:after="0" w:line="240" w:lineRule="auto"/>
        <w:jc w:val="both"/>
        <w:rPr>
          <w:rFonts w:cs="Arial"/>
          <w:b/>
          <w:i/>
        </w:rPr>
      </w:pPr>
    </w:p>
    <w:p w14:paraId="08C41927" w14:textId="77777777" w:rsidR="00503A13" w:rsidRPr="00503A13" w:rsidRDefault="00503A13" w:rsidP="000D7959">
      <w:pPr>
        <w:spacing w:after="0" w:line="240" w:lineRule="auto"/>
        <w:jc w:val="both"/>
        <w:rPr>
          <w:rFonts w:eastAsia="Calibri" w:cs="Arial"/>
          <w:b/>
          <w:i/>
        </w:rPr>
      </w:pPr>
      <w:r w:rsidRPr="00503A13">
        <w:rPr>
          <w:rFonts w:eastAsia="Calibri" w:cs="Arial"/>
          <w:b/>
          <w:i/>
        </w:rPr>
        <w:t xml:space="preserve">Directed to Parties </w:t>
      </w:r>
    </w:p>
    <w:p w14:paraId="6605B1CD" w14:textId="77777777" w:rsidR="00503A13" w:rsidRPr="00503A13" w:rsidRDefault="00503A13" w:rsidP="000D7959">
      <w:pPr>
        <w:spacing w:after="0" w:line="240" w:lineRule="auto"/>
        <w:jc w:val="both"/>
        <w:rPr>
          <w:rFonts w:eastAsia="Calibri" w:cs="Arial"/>
        </w:rPr>
      </w:pPr>
    </w:p>
    <w:p w14:paraId="0382EE00" w14:textId="1FF48BEE" w:rsidR="00503A13" w:rsidRPr="00503A13" w:rsidRDefault="08BF2412" w:rsidP="00802043">
      <w:pPr>
        <w:spacing w:after="0" w:line="240" w:lineRule="auto"/>
        <w:ind w:left="720" w:hanging="720"/>
        <w:jc w:val="both"/>
        <w:rPr>
          <w:rFonts w:eastAsia="Calibri" w:cs="Arial"/>
        </w:rPr>
      </w:pPr>
      <w:r w:rsidRPr="020C45A0">
        <w:rPr>
          <w:rFonts w:eastAsia="Calibri" w:cs="Arial"/>
        </w:rPr>
        <w:t>14.AA</w:t>
      </w:r>
      <w:r w:rsidR="00802043">
        <w:rPr>
          <w:rFonts w:eastAsia="Calibri" w:cs="Arial"/>
        </w:rPr>
        <w:tab/>
      </w:r>
      <w:r w:rsidRPr="020C45A0">
        <w:rPr>
          <w:rFonts w:eastAsia="Calibri" w:cs="Arial"/>
        </w:rPr>
        <w:t>Parties that are members of the Southern African Development Community</w:t>
      </w:r>
      <w:r w:rsidRPr="020C45A0">
        <w:rPr>
          <w:rFonts w:eastAsia="Calibri" w:cs="Arial"/>
          <w:lang w:val="en-GB"/>
        </w:rPr>
        <w:t xml:space="preserve"> (SADC), the </w:t>
      </w:r>
      <w:r w:rsidRPr="020C45A0">
        <w:rPr>
          <w:rFonts w:eastAsia="Calibri" w:cs="Arial"/>
        </w:rPr>
        <w:t>Intergovernmental Authority on Development</w:t>
      </w:r>
      <w:r w:rsidRPr="020C45A0">
        <w:rPr>
          <w:rFonts w:eastAsia="Calibri" w:cs="Arial"/>
          <w:lang w:val="en-GB"/>
        </w:rPr>
        <w:t xml:space="preserve"> (IGAD) and/or the </w:t>
      </w:r>
      <w:r w:rsidRPr="020C45A0">
        <w:rPr>
          <w:rFonts w:eastAsia="Calibri" w:cs="Arial"/>
        </w:rPr>
        <w:t>East African Community</w:t>
      </w:r>
      <w:r w:rsidRPr="020C45A0">
        <w:rPr>
          <w:rFonts w:eastAsia="Calibri" w:cs="Arial"/>
          <w:lang w:val="en-GB"/>
        </w:rPr>
        <w:t xml:space="preserve"> (EAC) </w:t>
      </w:r>
      <w:r w:rsidRPr="020C45A0">
        <w:rPr>
          <w:rFonts w:eastAsia="Calibri" w:cs="Arial"/>
        </w:rPr>
        <w:t>are requested to:</w:t>
      </w:r>
    </w:p>
    <w:p w14:paraId="50F13863" w14:textId="77777777" w:rsidR="00503A13" w:rsidRPr="00503A13" w:rsidRDefault="00503A13" w:rsidP="000D7959">
      <w:pPr>
        <w:spacing w:after="0" w:line="240" w:lineRule="auto"/>
        <w:ind w:left="720" w:hanging="720"/>
        <w:jc w:val="both"/>
        <w:rPr>
          <w:rFonts w:eastAsia="Calibri" w:cs="Arial"/>
        </w:rPr>
      </w:pPr>
    </w:p>
    <w:p w14:paraId="510D0541" w14:textId="0EEA0A85" w:rsidR="00503A13" w:rsidRPr="00503A13" w:rsidRDefault="00503A13" w:rsidP="00802043">
      <w:pPr>
        <w:numPr>
          <w:ilvl w:val="0"/>
          <w:numId w:val="10"/>
        </w:numPr>
        <w:autoSpaceDE w:val="0"/>
        <w:autoSpaceDN w:val="0"/>
        <w:spacing w:after="0" w:line="240" w:lineRule="auto"/>
        <w:ind w:left="1080"/>
        <w:jc w:val="both"/>
        <w:rPr>
          <w:rFonts w:eastAsia="Calibri" w:cs="Arial"/>
        </w:rPr>
      </w:pPr>
      <w:r w:rsidRPr="00503A13">
        <w:rPr>
          <w:rFonts w:eastAsia="Calibri" w:cs="Arial"/>
        </w:rPr>
        <w:t>Use the UNEP-WCMC pilot Transboundary tool (the ‘Tool’) to identify potential opportunities for transboundary conservation using data from the World Database on Protected Areas and the World Database on Key Biodiversity Areas;</w:t>
      </w:r>
    </w:p>
    <w:p w14:paraId="7B8F7FE7" w14:textId="77777777" w:rsidR="00503A13" w:rsidRPr="00503A13" w:rsidRDefault="00503A13" w:rsidP="00802043">
      <w:pPr>
        <w:spacing w:after="0" w:line="240" w:lineRule="auto"/>
        <w:ind w:left="1080" w:hanging="360"/>
        <w:jc w:val="both"/>
        <w:rPr>
          <w:rFonts w:eastAsia="Calibri" w:cs="Arial"/>
        </w:rPr>
      </w:pPr>
    </w:p>
    <w:p w14:paraId="4B2AB355" w14:textId="27E0D246" w:rsidR="00503A13" w:rsidRPr="00503A13" w:rsidRDefault="00503A13" w:rsidP="00802043">
      <w:pPr>
        <w:numPr>
          <w:ilvl w:val="0"/>
          <w:numId w:val="10"/>
        </w:numPr>
        <w:autoSpaceDE w:val="0"/>
        <w:autoSpaceDN w:val="0"/>
        <w:spacing w:after="0" w:line="240" w:lineRule="auto"/>
        <w:ind w:left="1080"/>
        <w:jc w:val="both"/>
        <w:rPr>
          <w:rFonts w:eastAsia="Calibri" w:cs="Arial"/>
        </w:rPr>
      </w:pPr>
      <w:r w:rsidRPr="00503A13">
        <w:rPr>
          <w:rFonts w:eastAsia="Calibri" w:cs="Arial"/>
        </w:rPr>
        <w:t>Report through the Secretariat to the Scientific Council Sessional Committee at its 7</w:t>
      </w:r>
      <w:r w:rsidRPr="00BA3D8E">
        <w:rPr>
          <w:vertAlign w:val="superscript"/>
        </w:rPr>
        <w:t>th</w:t>
      </w:r>
      <w:r w:rsidRPr="00503A13">
        <w:rPr>
          <w:rFonts w:eastAsia="Calibri" w:cs="Arial"/>
        </w:rPr>
        <w:t xml:space="preserve"> meeting on the potential opportunities for identifying transboundary conservation areas, as well as the functionality and usefulness of the Tool in supporting Parties to identify these.</w:t>
      </w:r>
    </w:p>
    <w:p w14:paraId="4D580B2E" w14:textId="77777777" w:rsidR="00E6027A" w:rsidRPr="00503A13" w:rsidRDefault="00E6027A" w:rsidP="000D7959">
      <w:pPr>
        <w:autoSpaceDE w:val="0"/>
        <w:autoSpaceDN w:val="0"/>
        <w:spacing w:after="0" w:line="240" w:lineRule="auto"/>
        <w:jc w:val="both"/>
        <w:rPr>
          <w:rFonts w:eastAsia="Calibri" w:cs="Arial"/>
        </w:rPr>
      </w:pPr>
    </w:p>
    <w:p w14:paraId="5981D533" w14:textId="77777777" w:rsidR="00503A13" w:rsidRPr="00503A13" w:rsidRDefault="00503A13" w:rsidP="000D7959">
      <w:pPr>
        <w:spacing w:after="0" w:line="240" w:lineRule="auto"/>
        <w:jc w:val="both"/>
        <w:rPr>
          <w:rFonts w:eastAsia="Calibri" w:cs="Arial"/>
          <w:b/>
          <w:i/>
        </w:rPr>
      </w:pPr>
      <w:r w:rsidRPr="00503A13">
        <w:rPr>
          <w:rFonts w:eastAsia="Calibri" w:cs="Arial"/>
          <w:b/>
          <w:i/>
        </w:rPr>
        <w:t>Directed to the Scientific Council</w:t>
      </w:r>
    </w:p>
    <w:p w14:paraId="64DCFDC9" w14:textId="77777777" w:rsidR="00503A13" w:rsidRPr="00503A13" w:rsidRDefault="00503A13" w:rsidP="000D7959">
      <w:pPr>
        <w:spacing w:after="0" w:line="240" w:lineRule="auto"/>
        <w:jc w:val="both"/>
        <w:rPr>
          <w:rFonts w:eastAsia="Calibri" w:cs="Arial"/>
        </w:rPr>
      </w:pPr>
    </w:p>
    <w:p w14:paraId="0D00F651" w14:textId="13A517B2" w:rsidR="00503A13" w:rsidRPr="00503A13" w:rsidRDefault="00503A13" w:rsidP="00802043">
      <w:pPr>
        <w:spacing w:after="0" w:line="240" w:lineRule="auto"/>
        <w:ind w:left="720" w:hanging="720"/>
        <w:jc w:val="both"/>
        <w:rPr>
          <w:rFonts w:eastAsia="Calibri" w:cs="Arial"/>
        </w:rPr>
      </w:pPr>
      <w:r w:rsidRPr="00503A13">
        <w:rPr>
          <w:rFonts w:eastAsia="Calibri" w:cs="Arial"/>
        </w:rPr>
        <w:t>14.BB</w:t>
      </w:r>
      <w:r w:rsidR="00802043">
        <w:rPr>
          <w:rFonts w:eastAsia="Calibri" w:cs="Arial"/>
        </w:rPr>
        <w:tab/>
      </w:r>
      <w:r w:rsidRPr="00503A13">
        <w:rPr>
          <w:rFonts w:eastAsia="Calibri" w:cs="Arial"/>
        </w:rPr>
        <w:t xml:space="preserve">The Scientific Council </w:t>
      </w:r>
      <w:r w:rsidR="00E6027A">
        <w:rPr>
          <w:rFonts w:eastAsia="Calibri" w:cs="Arial"/>
        </w:rPr>
        <w:t>is requested to</w:t>
      </w:r>
      <w:r w:rsidRPr="00503A13">
        <w:rPr>
          <w:rFonts w:eastAsia="Calibri" w:cs="Arial"/>
        </w:rPr>
        <w:t xml:space="preserve">: </w:t>
      </w:r>
    </w:p>
    <w:p w14:paraId="78F64349" w14:textId="77777777" w:rsidR="00503A13" w:rsidRPr="00503A13" w:rsidRDefault="00503A13" w:rsidP="000D7959">
      <w:pPr>
        <w:spacing w:after="0" w:line="240" w:lineRule="auto"/>
        <w:jc w:val="both"/>
        <w:rPr>
          <w:rFonts w:eastAsia="Calibri" w:cs="Arial"/>
        </w:rPr>
      </w:pPr>
    </w:p>
    <w:p w14:paraId="1A803AC3" w14:textId="05F43EAB" w:rsidR="00503A13" w:rsidRPr="00503A13" w:rsidRDefault="00503A13" w:rsidP="00802043">
      <w:pPr>
        <w:numPr>
          <w:ilvl w:val="0"/>
          <w:numId w:val="17"/>
        </w:numPr>
        <w:autoSpaceDE w:val="0"/>
        <w:autoSpaceDN w:val="0"/>
        <w:spacing w:after="0" w:line="240" w:lineRule="auto"/>
        <w:ind w:left="1080"/>
        <w:jc w:val="both"/>
        <w:rPr>
          <w:rFonts w:eastAsia="Calibri" w:cs="Arial"/>
        </w:rPr>
      </w:pPr>
      <w:r w:rsidRPr="00503A13">
        <w:rPr>
          <w:rFonts w:eastAsia="Calibri" w:cs="Arial"/>
        </w:rPr>
        <w:t>Review the usefulness of the Tool based on the reports submitted by Parties through the Secretariat</w:t>
      </w:r>
      <w:r w:rsidR="000B16FA">
        <w:rPr>
          <w:rFonts w:eastAsia="Calibri" w:cs="Arial"/>
        </w:rPr>
        <w:t>,</w:t>
      </w:r>
      <w:r w:rsidRPr="00503A13">
        <w:rPr>
          <w:rFonts w:eastAsia="Calibri" w:cs="Arial"/>
        </w:rPr>
        <w:t xml:space="preserve"> in line with Decisions 14.AA (b) and 14.CC (b)</w:t>
      </w:r>
      <w:r w:rsidR="000B16FA">
        <w:rPr>
          <w:rFonts w:eastAsia="Calibri" w:cs="Arial"/>
        </w:rPr>
        <w:t>,</w:t>
      </w:r>
      <w:r w:rsidRPr="00503A13">
        <w:rPr>
          <w:rFonts w:eastAsia="Calibri" w:cs="Arial"/>
        </w:rPr>
        <w:t xml:space="preserve"> and make appropriate recommendations to the Secretariat and Parties on its further use and to help identify improvements that should be incorporated into the Tool and to inform the future expansion of the Tool</w:t>
      </w:r>
      <w:r w:rsidR="00700A29" w:rsidRPr="00CC2B13">
        <w:rPr>
          <w:rFonts w:eastAsia="Calibri" w:cs="Arial"/>
        </w:rPr>
        <w:t>, subject to the availability of external resources</w:t>
      </w:r>
      <w:r w:rsidRPr="00503A13">
        <w:rPr>
          <w:rFonts w:eastAsia="Calibri" w:cs="Arial"/>
        </w:rPr>
        <w:t>.</w:t>
      </w:r>
    </w:p>
    <w:p w14:paraId="4DB647EC" w14:textId="77777777" w:rsidR="00E6027A" w:rsidRPr="00503A13" w:rsidRDefault="00E6027A" w:rsidP="00E6027A">
      <w:pPr>
        <w:spacing w:after="0" w:line="240" w:lineRule="auto"/>
        <w:jc w:val="both"/>
        <w:rPr>
          <w:rFonts w:eastAsia="Calibri" w:cs="Arial"/>
        </w:rPr>
      </w:pPr>
    </w:p>
    <w:p w14:paraId="73F7A2C8" w14:textId="77777777" w:rsidR="00503A13" w:rsidRPr="00503A13" w:rsidRDefault="08BF2412" w:rsidP="000D7959">
      <w:pPr>
        <w:spacing w:after="0" w:line="240" w:lineRule="auto"/>
        <w:jc w:val="both"/>
        <w:rPr>
          <w:rFonts w:eastAsia="Calibri" w:cs="Arial"/>
          <w:b/>
          <w:bCs/>
          <w:i/>
          <w:iCs/>
        </w:rPr>
      </w:pPr>
      <w:r w:rsidRPr="020C45A0">
        <w:rPr>
          <w:rFonts w:eastAsia="Calibri" w:cs="Arial"/>
          <w:b/>
          <w:bCs/>
          <w:i/>
          <w:iCs/>
        </w:rPr>
        <w:t>Directed to the Secretariat</w:t>
      </w:r>
    </w:p>
    <w:p w14:paraId="7E2CCAEA" w14:textId="77777777" w:rsidR="00503A13" w:rsidRPr="00503A13" w:rsidRDefault="00503A13" w:rsidP="000D7959">
      <w:pPr>
        <w:spacing w:after="0" w:line="240" w:lineRule="auto"/>
        <w:jc w:val="both"/>
        <w:rPr>
          <w:rFonts w:eastAsia="Calibri" w:cs="Arial"/>
        </w:rPr>
      </w:pPr>
    </w:p>
    <w:p w14:paraId="17716161" w14:textId="2AC56868" w:rsidR="00503A13" w:rsidRPr="00503A13" w:rsidRDefault="08BF2412" w:rsidP="00802043">
      <w:pPr>
        <w:spacing w:after="0" w:line="240" w:lineRule="auto"/>
        <w:ind w:left="720" w:hanging="720"/>
        <w:jc w:val="both"/>
        <w:rPr>
          <w:rFonts w:eastAsia="Calibri" w:cs="Arial"/>
        </w:rPr>
      </w:pPr>
      <w:r w:rsidRPr="020C45A0">
        <w:rPr>
          <w:rFonts w:eastAsia="Calibri" w:cs="Arial"/>
        </w:rPr>
        <w:t>14.CC</w:t>
      </w:r>
      <w:r w:rsidR="00802043">
        <w:rPr>
          <w:rFonts w:eastAsia="Calibri" w:cs="Arial"/>
        </w:rPr>
        <w:tab/>
      </w:r>
      <w:r w:rsidRPr="020C45A0">
        <w:rPr>
          <w:rFonts w:eastAsia="Calibri" w:cs="Arial"/>
        </w:rPr>
        <w:t>The Secretariat shall</w:t>
      </w:r>
      <w:r w:rsidR="0E822376" w:rsidRPr="020C45A0">
        <w:rPr>
          <w:rFonts w:eastAsia="Calibri" w:cs="Arial"/>
        </w:rPr>
        <w:t>, subject to the availability of external resources</w:t>
      </w:r>
      <w:r w:rsidRPr="020C45A0">
        <w:rPr>
          <w:rFonts w:eastAsia="Calibri" w:cs="Arial"/>
        </w:rPr>
        <w:t xml:space="preserve">: </w:t>
      </w:r>
    </w:p>
    <w:p w14:paraId="73B18F24" w14:textId="77777777" w:rsidR="00503A13" w:rsidRPr="00503A13" w:rsidRDefault="00503A13" w:rsidP="000D7959">
      <w:pPr>
        <w:spacing w:after="0" w:line="240" w:lineRule="auto"/>
        <w:ind w:left="720" w:hanging="720"/>
        <w:jc w:val="both"/>
        <w:rPr>
          <w:rFonts w:eastAsia="Calibri" w:cs="Arial"/>
        </w:rPr>
      </w:pPr>
    </w:p>
    <w:p w14:paraId="583F9341" w14:textId="3F8AB24C" w:rsidR="00367769" w:rsidRPr="00CC2B13" w:rsidRDefault="00367769" w:rsidP="00802043">
      <w:pPr>
        <w:numPr>
          <w:ilvl w:val="0"/>
          <w:numId w:val="18"/>
        </w:numPr>
        <w:spacing w:after="0" w:line="240" w:lineRule="auto"/>
        <w:ind w:left="1080"/>
        <w:jc w:val="both"/>
        <w:rPr>
          <w:rFonts w:eastAsia="Calibri" w:cs="Arial"/>
        </w:rPr>
      </w:pPr>
      <w:bookmarkStart w:id="11" w:name="_Hlk137461095"/>
      <w:r w:rsidRPr="00CC2B13">
        <w:rPr>
          <w:rFonts w:eastAsia="Calibri" w:cs="Arial"/>
        </w:rPr>
        <w:t xml:space="preserve">In </w:t>
      </w:r>
      <w:r w:rsidR="00F54463" w:rsidRPr="00F54463">
        <w:rPr>
          <w:rFonts w:eastAsia="Calibri" w:cs="Arial"/>
        </w:rPr>
        <w:t>collaboration with UNEP-WCMC and other partners, convene online webinars to raise awareness of the Tool among Parties mentioned in Decision 14.AA</w:t>
      </w:r>
      <w:r w:rsidR="00E6027A">
        <w:rPr>
          <w:rFonts w:eastAsia="Calibri" w:cs="Arial"/>
        </w:rPr>
        <w:t>;</w:t>
      </w:r>
    </w:p>
    <w:bookmarkEnd w:id="11"/>
    <w:p w14:paraId="01F25176" w14:textId="77777777" w:rsidR="00367769" w:rsidRPr="00CC2B13" w:rsidRDefault="00367769" w:rsidP="00802043">
      <w:pPr>
        <w:spacing w:after="0" w:line="240" w:lineRule="auto"/>
        <w:ind w:left="1080" w:hanging="360"/>
        <w:jc w:val="both"/>
        <w:rPr>
          <w:rFonts w:eastAsia="Calibri" w:cs="Arial"/>
        </w:rPr>
      </w:pPr>
    </w:p>
    <w:p w14:paraId="6346C556" w14:textId="6A344582" w:rsidR="005A76A5" w:rsidRPr="00CC2B13" w:rsidRDefault="00BA48B7" w:rsidP="00802043">
      <w:pPr>
        <w:numPr>
          <w:ilvl w:val="0"/>
          <w:numId w:val="18"/>
        </w:numPr>
        <w:spacing w:after="0" w:line="240" w:lineRule="auto"/>
        <w:ind w:left="1080"/>
        <w:jc w:val="both"/>
        <w:rPr>
          <w:rFonts w:eastAsia="Calibri" w:cs="Arial"/>
        </w:rPr>
      </w:pPr>
      <w:r>
        <w:rPr>
          <w:rFonts w:eastAsia="Calibri" w:cs="Arial"/>
        </w:rPr>
        <w:t>Request</w:t>
      </w:r>
      <w:r w:rsidR="00F008CF" w:rsidRPr="00CC2B13">
        <w:rPr>
          <w:rFonts w:eastAsia="Calibri" w:cs="Arial"/>
        </w:rPr>
        <w:t xml:space="preserve"> </w:t>
      </w:r>
      <w:r w:rsidR="00503A13" w:rsidRPr="00503A13">
        <w:rPr>
          <w:rFonts w:eastAsia="Calibri" w:cs="Arial"/>
        </w:rPr>
        <w:t xml:space="preserve">Parties </w:t>
      </w:r>
      <w:r w:rsidR="00F008CF" w:rsidRPr="00CC2B13">
        <w:rPr>
          <w:rFonts w:eastAsia="Calibri" w:cs="Arial"/>
        </w:rPr>
        <w:t>referred to in Decision 14.AA</w:t>
      </w:r>
      <w:r w:rsidR="00503A13" w:rsidRPr="00503A13">
        <w:rPr>
          <w:rFonts w:eastAsia="Calibri" w:cs="Arial"/>
        </w:rPr>
        <w:t xml:space="preserve"> to submit feedback on the functionality and usefulness of the Tool in identifying potential opportunities for transboundary conservation</w:t>
      </w:r>
      <w:r w:rsidR="002F73BD">
        <w:rPr>
          <w:rFonts w:eastAsia="Calibri" w:cs="Arial"/>
        </w:rPr>
        <w:t>,</w:t>
      </w:r>
      <w:r w:rsidR="00503A13" w:rsidRPr="00503A13">
        <w:rPr>
          <w:rFonts w:eastAsia="Calibri" w:cs="Arial"/>
        </w:rPr>
        <w:t xml:space="preserve"> and submit a report on the feedback received to the Scientific Council Sessional Committee at its 7</w:t>
      </w:r>
      <w:r w:rsidR="00503A13" w:rsidRPr="00503A13">
        <w:rPr>
          <w:rFonts w:eastAsia="Calibri" w:cs="Arial"/>
          <w:vertAlign w:val="superscript"/>
        </w:rPr>
        <w:t>th</w:t>
      </w:r>
      <w:r w:rsidR="00503A13" w:rsidRPr="00503A13">
        <w:rPr>
          <w:rFonts w:eastAsia="Calibri" w:cs="Arial"/>
        </w:rPr>
        <w:t xml:space="preserve"> meeting; </w:t>
      </w:r>
    </w:p>
    <w:p w14:paraId="2635B4D3" w14:textId="77777777" w:rsidR="005A76A5" w:rsidRPr="00CC2B13" w:rsidRDefault="005A76A5" w:rsidP="00802043">
      <w:pPr>
        <w:spacing w:after="0" w:line="240" w:lineRule="auto"/>
        <w:ind w:left="1080" w:hanging="360"/>
        <w:jc w:val="both"/>
        <w:rPr>
          <w:rFonts w:eastAsia="Calibri" w:cs="Arial"/>
        </w:rPr>
      </w:pPr>
    </w:p>
    <w:p w14:paraId="0099168F" w14:textId="338DB1E6" w:rsidR="00680DA1" w:rsidRPr="00CC2B13" w:rsidRDefault="00503A13" w:rsidP="00802043">
      <w:pPr>
        <w:numPr>
          <w:ilvl w:val="0"/>
          <w:numId w:val="18"/>
        </w:numPr>
        <w:spacing w:after="0" w:line="240" w:lineRule="auto"/>
        <w:ind w:left="1080"/>
        <w:jc w:val="both"/>
        <w:rPr>
          <w:rFonts w:cs="Arial"/>
        </w:rPr>
      </w:pPr>
      <w:r w:rsidRPr="00503A13">
        <w:rPr>
          <w:rFonts w:eastAsia="Calibri" w:cs="Arial"/>
        </w:rPr>
        <w:t>Report to the Conference of the Parties at its 15</w:t>
      </w:r>
      <w:r w:rsidRPr="00BA3D8E">
        <w:rPr>
          <w:vertAlign w:val="superscript"/>
        </w:rPr>
        <w:t>th</w:t>
      </w:r>
      <w:r w:rsidRPr="00503A13">
        <w:rPr>
          <w:rFonts w:eastAsia="Calibri" w:cs="Arial"/>
        </w:rPr>
        <w:t xml:space="preserve"> meeting on the progress in implementing these Decisions.</w:t>
      </w:r>
    </w:p>
    <w:p w14:paraId="6E9BD4DF" w14:textId="77777777" w:rsidR="00680DA1" w:rsidRPr="00DD07FD" w:rsidRDefault="00680DA1" w:rsidP="000D7959">
      <w:pPr>
        <w:pStyle w:val="Secondnumbering"/>
        <w:numPr>
          <w:ilvl w:val="0"/>
          <w:numId w:val="0"/>
        </w:numPr>
      </w:pPr>
    </w:p>
    <w:p w14:paraId="4A6AC0F7" w14:textId="77777777" w:rsidR="00B47F2B" w:rsidRDefault="00B47F2B" w:rsidP="000D7959">
      <w:pPr>
        <w:spacing w:after="0" w:line="240" w:lineRule="auto"/>
        <w:jc w:val="both"/>
      </w:pPr>
    </w:p>
    <w:sectPr w:rsidR="00B47F2B" w:rsidSect="00D93628">
      <w:headerReference w:type="first" r:id="rId22"/>
      <w:footerReference w:type="first" r:id="rId2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2EAB4" w14:textId="77777777" w:rsidR="00BC1318" w:rsidRDefault="00BC1318" w:rsidP="002E0DE9">
      <w:pPr>
        <w:spacing w:after="0" w:line="240" w:lineRule="auto"/>
      </w:pPr>
      <w:r>
        <w:separator/>
      </w:r>
    </w:p>
  </w:endnote>
  <w:endnote w:type="continuationSeparator" w:id="0">
    <w:p w14:paraId="0C81251F" w14:textId="77777777" w:rsidR="00BC1318" w:rsidRDefault="00BC1318" w:rsidP="002E0DE9">
      <w:pPr>
        <w:spacing w:after="0" w:line="240" w:lineRule="auto"/>
      </w:pPr>
      <w:r>
        <w:continuationSeparator/>
      </w:r>
    </w:p>
  </w:endnote>
  <w:endnote w:type="continuationNotice" w:id="1">
    <w:p w14:paraId="49C417BE" w14:textId="77777777" w:rsidR="00BC1318" w:rsidRDefault="00BC1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47E7" w14:textId="77777777" w:rsidR="003071F2" w:rsidRDefault="003071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999951"/>
      <w:docPartObj>
        <w:docPartGallery w:val="Page Numbers (Bottom of Page)"/>
        <w:docPartUnique/>
      </w:docPartObj>
    </w:sdtPr>
    <w:sdtEndPr>
      <w:rPr>
        <w:noProof/>
        <w:sz w:val="18"/>
        <w:szCs w:val="18"/>
      </w:rPr>
    </w:sdtEndPr>
    <w:sdtContent>
      <w:p w14:paraId="73FDFE4D" w14:textId="5CF50C4D" w:rsidR="00802043" w:rsidRPr="00802043" w:rsidRDefault="00802043">
        <w:pPr>
          <w:pStyle w:val="Footer"/>
          <w:jc w:val="center"/>
          <w:rPr>
            <w:sz w:val="18"/>
            <w:szCs w:val="18"/>
          </w:rPr>
        </w:pPr>
        <w:r w:rsidRPr="00802043">
          <w:rPr>
            <w:sz w:val="18"/>
            <w:szCs w:val="18"/>
          </w:rPr>
          <w:fldChar w:fldCharType="begin"/>
        </w:r>
        <w:r w:rsidRPr="00802043">
          <w:rPr>
            <w:sz w:val="18"/>
            <w:szCs w:val="18"/>
          </w:rPr>
          <w:instrText xml:space="preserve"> PAGE   \* MERGEFORMAT </w:instrText>
        </w:r>
        <w:r w:rsidRPr="00802043">
          <w:rPr>
            <w:sz w:val="18"/>
            <w:szCs w:val="18"/>
          </w:rPr>
          <w:fldChar w:fldCharType="separate"/>
        </w:r>
        <w:r w:rsidRPr="00802043">
          <w:rPr>
            <w:noProof/>
            <w:sz w:val="18"/>
            <w:szCs w:val="18"/>
          </w:rPr>
          <w:t>2</w:t>
        </w:r>
        <w:r w:rsidRPr="0080204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ADC78" w14:textId="77777777" w:rsidR="00BC1318" w:rsidRDefault="00BC1318" w:rsidP="002E0DE9">
      <w:pPr>
        <w:spacing w:after="0" w:line="240" w:lineRule="auto"/>
      </w:pPr>
      <w:r>
        <w:separator/>
      </w:r>
    </w:p>
  </w:footnote>
  <w:footnote w:type="continuationSeparator" w:id="0">
    <w:p w14:paraId="3C99BA62" w14:textId="77777777" w:rsidR="00BC1318" w:rsidRDefault="00BC1318" w:rsidP="002E0DE9">
      <w:pPr>
        <w:spacing w:after="0" w:line="240" w:lineRule="auto"/>
      </w:pPr>
      <w:r>
        <w:continuationSeparator/>
      </w:r>
    </w:p>
  </w:footnote>
  <w:footnote w:type="continuationNotice" w:id="1">
    <w:p w14:paraId="5FD079E2" w14:textId="77777777" w:rsidR="00BC1318" w:rsidRDefault="00BC1318">
      <w:pPr>
        <w:spacing w:after="0" w:line="240" w:lineRule="auto"/>
      </w:pPr>
    </w:p>
  </w:footnote>
  <w:footnote w:id="2">
    <w:p w14:paraId="4D33A3F0" w14:textId="7F29EBC2" w:rsidR="00D469DF" w:rsidRPr="00417A7E" w:rsidRDefault="00D469DF">
      <w:pPr>
        <w:pStyle w:val="FootnoteText"/>
        <w:rPr>
          <w:sz w:val="16"/>
          <w:szCs w:val="16"/>
        </w:rPr>
      </w:pPr>
      <w:r w:rsidRPr="00417A7E">
        <w:rPr>
          <w:rStyle w:val="FootnoteReference"/>
          <w:sz w:val="16"/>
          <w:szCs w:val="16"/>
        </w:rPr>
        <w:footnoteRef/>
      </w:r>
      <w:r w:rsidRPr="00417A7E">
        <w:rPr>
          <w:sz w:val="16"/>
          <w:szCs w:val="16"/>
        </w:rPr>
        <w:t xml:space="preserve"> Djibouti, Eritrea, Ethiopia, Kenya, Somalia, South Sudan, Sudan and Uganda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58C888F3" w:rsidR="002E0DE9" w:rsidRPr="002E0DE9" w:rsidRDefault="002E0DE9" w:rsidP="002E0DE9">
    <w:pPr>
      <w:pStyle w:val="Header"/>
      <w:pBdr>
        <w:bottom w:val="single" w:sz="4" w:space="1" w:color="auto"/>
      </w:pBdr>
      <w:rPr>
        <w:i/>
        <w:sz w:val="18"/>
        <w:szCs w:val="18"/>
      </w:rPr>
    </w:pPr>
    <w:r w:rsidRPr="00E6027A">
      <w:rPr>
        <w:rFonts w:eastAsia="Times New Roman" w:cs="Arial"/>
        <w:i/>
        <w:sz w:val="18"/>
        <w:szCs w:val="18"/>
        <w:lang w:val="en-GB"/>
      </w:rPr>
      <w:t>UNEP/CMS/COP1</w:t>
    </w:r>
    <w:r w:rsidR="00842B75" w:rsidRPr="00E6027A">
      <w:rPr>
        <w:rFonts w:eastAsia="Times New Roman" w:cs="Arial"/>
        <w:i/>
        <w:sz w:val="18"/>
        <w:szCs w:val="18"/>
        <w:lang w:val="en-GB"/>
      </w:rPr>
      <w:t>4</w:t>
    </w:r>
    <w:r w:rsidRPr="00E6027A">
      <w:rPr>
        <w:rFonts w:eastAsia="Times New Roman" w:cs="Arial"/>
        <w:i/>
        <w:sz w:val="18"/>
        <w:szCs w:val="18"/>
        <w:lang w:val="en-GB"/>
      </w:rPr>
      <w:t>/</w:t>
    </w:r>
    <w:r w:rsidR="006A7DC4" w:rsidRPr="00E6027A">
      <w:rPr>
        <w:rFonts w:eastAsia="Times New Roman" w:cs="Arial"/>
        <w:i/>
        <w:sz w:val="18"/>
        <w:szCs w:val="18"/>
        <w:lang w:val="en-GB"/>
      </w:rPr>
      <w:t>Doc</w:t>
    </w:r>
    <w:r w:rsidR="0035024E" w:rsidRPr="00E6027A">
      <w:rPr>
        <w:rFonts w:eastAsia="Times New Roman" w:cs="Arial"/>
        <w:i/>
        <w:sz w:val="18"/>
        <w:szCs w:val="18"/>
        <w:lang w:val="en-GB"/>
      </w:rPr>
      <w:t>.</w:t>
    </w:r>
    <w:r w:rsidR="00B632DD" w:rsidRPr="00E6027A">
      <w:rPr>
        <w:rFonts w:eastAsia="Times New Roman" w:cs="Arial"/>
        <w:i/>
        <w:sz w:val="18"/>
        <w:szCs w:val="18"/>
        <w:lang w:val="en-GB"/>
      </w:rPr>
      <w:t>30.2.2</w:t>
    </w:r>
    <w:r w:rsidR="007E5F11" w:rsidRPr="00E6027A">
      <w:rPr>
        <w:rFonts w:eastAsia="Times New Roman" w:cs="Arial"/>
        <w:i/>
        <w:sz w:val="18"/>
        <w:szCs w:val="18"/>
        <w:lang w:val="en-GB"/>
      </w:rPr>
      <w:t>/Rev.</w:t>
    </w:r>
    <w:r w:rsidR="00364107">
      <w:rPr>
        <w:rFonts w:eastAsia="Times New Roman" w:cs="Arial"/>
        <w:i/>
        <w:sz w:val="18"/>
        <w:szCs w:val="18"/>
        <w:lang w:val="en-GB"/>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AECA702" w:rsidR="002E0DE9" w:rsidRPr="002E0DE9" w:rsidRDefault="002E0DE9" w:rsidP="00842B75">
    <w:pPr>
      <w:pStyle w:val="Header"/>
      <w:pBdr>
        <w:bottom w:val="single" w:sz="4" w:space="1" w:color="auto"/>
      </w:pBdr>
      <w:jc w:val="right"/>
      <w:rPr>
        <w:i/>
        <w:sz w:val="18"/>
        <w:szCs w:val="18"/>
      </w:rPr>
    </w:pPr>
    <w:bookmarkStart w:id="9" w:name="_Hlk137563994"/>
    <w:bookmarkStart w:id="10" w:name="_Hlk137563995"/>
    <w:r w:rsidRPr="00E6027A">
      <w:rPr>
        <w:rFonts w:eastAsia="Times New Roman" w:cs="Arial"/>
        <w:i/>
        <w:sz w:val="18"/>
        <w:szCs w:val="18"/>
        <w:lang w:val="en-GB"/>
      </w:rPr>
      <w:t>UNEP/CMS/COP1</w:t>
    </w:r>
    <w:r w:rsidR="00842B75" w:rsidRPr="00E6027A">
      <w:rPr>
        <w:rFonts w:eastAsia="Times New Roman" w:cs="Arial"/>
        <w:i/>
        <w:sz w:val="18"/>
        <w:szCs w:val="18"/>
        <w:lang w:val="en-GB"/>
      </w:rPr>
      <w:t>4</w:t>
    </w:r>
    <w:r w:rsidRPr="00E6027A">
      <w:rPr>
        <w:rFonts w:eastAsia="Times New Roman" w:cs="Arial"/>
        <w:i/>
        <w:sz w:val="18"/>
        <w:szCs w:val="18"/>
        <w:lang w:val="en-GB"/>
      </w:rPr>
      <w:t>/</w:t>
    </w:r>
    <w:r w:rsidR="006A7DC4" w:rsidRPr="00E6027A">
      <w:rPr>
        <w:rFonts w:eastAsia="Times New Roman" w:cs="Arial"/>
        <w:i/>
        <w:sz w:val="18"/>
        <w:szCs w:val="18"/>
        <w:lang w:val="en-GB"/>
      </w:rPr>
      <w:t>Doc.</w:t>
    </w:r>
    <w:r w:rsidR="00B632DD" w:rsidRPr="00E6027A">
      <w:rPr>
        <w:rFonts w:eastAsia="Times New Roman" w:cs="Arial"/>
        <w:i/>
        <w:sz w:val="18"/>
        <w:szCs w:val="18"/>
        <w:lang w:val="en-GB"/>
      </w:rPr>
      <w:t>30.2.2</w:t>
    </w:r>
    <w:bookmarkEnd w:id="9"/>
    <w:bookmarkEnd w:id="10"/>
    <w:r w:rsidR="007E5F11" w:rsidRPr="00E6027A">
      <w:rPr>
        <w:rFonts w:eastAsia="Times New Roman" w:cs="Arial"/>
        <w:i/>
        <w:sz w:val="18"/>
        <w:szCs w:val="18"/>
        <w:lang w:val="en-GB"/>
      </w:rPr>
      <w:t>/Rev.</w:t>
    </w:r>
    <w:r w:rsidR="003071F2">
      <w:rPr>
        <w:rFonts w:eastAsia="Times New Roman" w:cs="Arial"/>
        <w:i/>
        <w:sz w:val="18"/>
        <w:szCs w:val="18"/>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F494" w14:textId="2543914F" w:rsidR="00F20394" w:rsidRPr="002E0DE9" w:rsidRDefault="00F20394" w:rsidP="00DD5199">
    <w:pPr>
      <w:pStyle w:val="Header"/>
      <w:pBdr>
        <w:bottom w:val="single" w:sz="4" w:space="1" w:color="auto"/>
      </w:pBdr>
      <w:rPr>
        <w:i/>
        <w:sz w:val="18"/>
        <w:szCs w:val="18"/>
      </w:rPr>
    </w:pPr>
    <w:r w:rsidRPr="00E6027A">
      <w:rPr>
        <w:rFonts w:eastAsia="Times New Roman" w:cs="Arial"/>
        <w:i/>
        <w:sz w:val="18"/>
        <w:szCs w:val="18"/>
        <w:lang w:val="en-GB"/>
      </w:rPr>
      <w:t>UNEP/CMS/COP14/Doc.30.2.2</w:t>
    </w:r>
    <w:r w:rsidR="00DD5199" w:rsidRPr="00E6027A">
      <w:rPr>
        <w:rFonts w:eastAsia="Times New Roman" w:cs="Arial"/>
        <w:i/>
        <w:sz w:val="18"/>
        <w:szCs w:val="18"/>
        <w:lang w:val="en-GB"/>
      </w:rPr>
      <w:t>/</w:t>
    </w:r>
    <w:r w:rsidR="007E5F11" w:rsidRPr="00E6027A">
      <w:rPr>
        <w:rFonts w:eastAsia="Times New Roman" w:cs="Arial"/>
        <w:i/>
        <w:sz w:val="18"/>
        <w:szCs w:val="18"/>
        <w:lang w:val="en-GB"/>
      </w:rPr>
      <w:t>Rev.</w:t>
    </w:r>
    <w:r w:rsidR="003071F2">
      <w:rPr>
        <w:rFonts w:eastAsia="Times New Roman" w:cs="Arial"/>
        <w:i/>
        <w:sz w:val="18"/>
        <w:szCs w:val="18"/>
        <w:lang w:val="en-GB"/>
      </w:rPr>
      <w:t>2</w:t>
    </w:r>
    <w:r w:rsidR="007E5F11" w:rsidRPr="00E6027A">
      <w:rPr>
        <w:rFonts w:eastAsia="Times New Roman" w:cs="Arial"/>
        <w:i/>
        <w:sz w:val="18"/>
        <w:szCs w:val="18"/>
        <w:lang w:val="en-GB"/>
      </w:rPr>
      <w:t>/</w:t>
    </w:r>
    <w:r w:rsidR="00802043" w:rsidRPr="00E6027A">
      <w:rPr>
        <w:rFonts w:eastAsia="Times New Roman" w:cs="Arial"/>
        <w:i/>
        <w:sz w:val="18"/>
        <w:szCs w:val="18"/>
        <w:lang w:val="en-GB"/>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79C4BA96"/>
    <w:lvl w:ilvl="0" w:tplc="9CE6976E">
      <w:start w:val="1"/>
      <w:numFmt w:val="decimal"/>
      <w:lvlText w:val="%1."/>
      <w:lvlJc w:val="left"/>
      <w:pPr>
        <w:ind w:left="360" w:hanging="360"/>
      </w:pPr>
      <w:rPr>
        <w:i w:val="0"/>
        <w:iCs w:val="0"/>
      </w:rPr>
    </w:lvl>
    <w:lvl w:ilvl="1" w:tplc="10000019">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 w15:restartNumberingAfterBreak="0">
    <w:nsid w:val="039519E6"/>
    <w:multiLevelType w:val="hybridMultilevel"/>
    <w:tmpl w:val="66F2A7A0"/>
    <w:lvl w:ilvl="0" w:tplc="08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9424BA1"/>
    <w:multiLevelType w:val="hybridMultilevel"/>
    <w:tmpl w:val="01CADF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3C0C23"/>
    <w:multiLevelType w:val="hybridMultilevel"/>
    <w:tmpl w:val="0B204034"/>
    <w:lvl w:ilvl="0" w:tplc="B50874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5051D95"/>
    <w:multiLevelType w:val="hybridMultilevel"/>
    <w:tmpl w:val="15EE8D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AAF7842"/>
    <w:multiLevelType w:val="hybridMultilevel"/>
    <w:tmpl w:val="4466893C"/>
    <w:lvl w:ilvl="0" w:tplc="08090017">
      <w:start w:val="1"/>
      <w:numFmt w:val="lowerLetter"/>
      <w:lvlText w:val="%1)"/>
      <w:lvlJc w:val="left"/>
      <w:pPr>
        <w:ind w:left="720" w:hanging="360"/>
      </w:pPr>
    </w:lvl>
    <w:lvl w:ilvl="1" w:tplc="15909506">
      <w:start w:val="1"/>
      <w:numFmt w:val="lowerRoman"/>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38545421">
    <w:abstractNumId w:val="9"/>
  </w:num>
  <w:num w:numId="2" w16cid:durableId="1909727182">
    <w:abstractNumId w:val="13"/>
  </w:num>
  <w:num w:numId="3" w16cid:durableId="1853378115">
    <w:abstractNumId w:val="0"/>
  </w:num>
  <w:num w:numId="4" w16cid:durableId="2134250739">
    <w:abstractNumId w:val="7"/>
  </w:num>
  <w:num w:numId="5" w16cid:durableId="1707213364">
    <w:abstractNumId w:val="1"/>
  </w:num>
  <w:num w:numId="6" w16cid:durableId="294139101">
    <w:abstractNumId w:val="8"/>
  </w:num>
  <w:num w:numId="7" w16cid:durableId="1831868697">
    <w:abstractNumId w:val="5"/>
  </w:num>
  <w:num w:numId="8" w16cid:durableId="2017263622">
    <w:abstractNumId w:val="14"/>
  </w:num>
  <w:num w:numId="9" w16cid:durableId="103815159">
    <w:abstractNumId w:val="3"/>
  </w:num>
  <w:num w:numId="10" w16cid:durableId="1205143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398827">
    <w:abstractNumId w:val="11"/>
  </w:num>
  <w:num w:numId="13" w16cid:durableId="5434457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0572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7647937">
    <w:abstractNumId w:val="12"/>
  </w:num>
  <w:num w:numId="16" w16cid:durableId="1260484629">
    <w:abstractNumId w:val="2"/>
  </w:num>
  <w:num w:numId="17" w16cid:durableId="377777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44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432C"/>
    <w:rsid w:val="00014FE0"/>
    <w:rsid w:val="00025670"/>
    <w:rsid w:val="00030312"/>
    <w:rsid w:val="00031E17"/>
    <w:rsid w:val="00032B9F"/>
    <w:rsid w:val="000419E0"/>
    <w:rsid w:val="00043517"/>
    <w:rsid w:val="00045EDB"/>
    <w:rsid w:val="00051F66"/>
    <w:rsid w:val="000661B2"/>
    <w:rsid w:val="000766D0"/>
    <w:rsid w:val="00093F23"/>
    <w:rsid w:val="000B16FA"/>
    <w:rsid w:val="000B5F28"/>
    <w:rsid w:val="000C29C6"/>
    <w:rsid w:val="000C6EFB"/>
    <w:rsid w:val="000D2F46"/>
    <w:rsid w:val="000D3F71"/>
    <w:rsid w:val="000D44BA"/>
    <w:rsid w:val="000D7959"/>
    <w:rsid w:val="000F009E"/>
    <w:rsid w:val="000F63B8"/>
    <w:rsid w:val="000F7FB0"/>
    <w:rsid w:val="00123709"/>
    <w:rsid w:val="00125163"/>
    <w:rsid w:val="00153B5D"/>
    <w:rsid w:val="0016158D"/>
    <w:rsid w:val="00174216"/>
    <w:rsid w:val="00174B49"/>
    <w:rsid w:val="0017722A"/>
    <w:rsid w:val="00183126"/>
    <w:rsid w:val="00184D5D"/>
    <w:rsid w:val="00187843"/>
    <w:rsid w:val="001911D4"/>
    <w:rsid w:val="00194B9D"/>
    <w:rsid w:val="001A1017"/>
    <w:rsid w:val="001A612A"/>
    <w:rsid w:val="001B3DA0"/>
    <w:rsid w:val="001B511E"/>
    <w:rsid w:val="001C44FB"/>
    <w:rsid w:val="001D13EC"/>
    <w:rsid w:val="001E5CC7"/>
    <w:rsid w:val="001F4332"/>
    <w:rsid w:val="002061A9"/>
    <w:rsid w:val="00227E27"/>
    <w:rsid w:val="00236852"/>
    <w:rsid w:val="00236D81"/>
    <w:rsid w:val="00237690"/>
    <w:rsid w:val="0024142C"/>
    <w:rsid w:val="00244FDF"/>
    <w:rsid w:val="00257A0C"/>
    <w:rsid w:val="002673C1"/>
    <w:rsid w:val="00271300"/>
    <w:rsid w:val="0028282D"/>
    <w:rsid w:val="00286C1C"/>
    <w:rsid w:val="00287DF8"/>
    <w:rsid w:val="002936F5"/>
    <w:rsid w:val="002956D2"/>
    <w:rsid w:val="002969E2"/>
    <w:rsid w:val="002A051D"/>
    <w:rsid w:val="002A4D7B"/>
    <w:rsid w:val="002B2806"/>
    <w:rsid w:val="002B305E"/>
    <w:rsid w:val="002B34D1"/>
    <w:rsid w:val="002B6F0F"/>
    <w:rsid w:val="002C1017"/>
    <w:rsid w:val="002C37B9"/>
    <w:rsid w:val="002C4921"/>
    <w:rsid w:val="002D0003"/>
    <w:rsid w:val="002E0DE9"/>
    <w:rsid w:val="002F73BD"/>
    <w:rsid w:val="003071F2"/>
    <w:rsid w:val="00307B65"/>
    <w:rsid w:val="00311CDE"/>
    <w:rsid w:val="00320C17"/>
    <w:rsid w:val="00331D38"/>
    <w:rsid w:val="0033727F"/>
    <w:rsid w:val="0035024E"/>
    <w:rsid w:val="00364107"/>
    <w:rsid w:val="00366B72"/>
    <w:rsid w:val="0036711C"/>
    <w:rsid w:val="00367769"/>
    <w:rsid w:val="00375A77"/>
    <w:rsid w:val="00381424"/>
    <w:rsid w:val="00381BA5"/>
    <w:rsid w:val="003936A2"/>
    <w:rsid w:val="003C1874"/>
    <w:rsid w:val="003C569E"/>
    <w:rsid w:val="003D0BE8"/>
    <w:rsid w:val="00400C71"/>
    <w:rsid w:val="0040259F"/>
    <w:rsid w:val="00404B71"/>
    <w:rsid w:val="00417A7E"/>
    <w:rsid w:val="00417AC1"/>
    <w:rsid w:val="00426CC7"/>
    <w:rsid w:val="00426E1A"/>
    <w:rsid w:val="00437896"/>
    <w:rsid w:val="0044166F"/>
    <w:rsid w:val="00447343"/>
    <w:rsid w:val="00450F2D"/>
    <w:rsid w:val="00464C87"/>
    <w:rsid w:val="00466EE0"/>
    <w:rsid w:val="004714F5"/>
    <w:rsid w:val="0048194C"/>
    <w:rsid w:val="00481A60"/>
    <w:rsid w:val="0049097F"/>
    <w:rsid w:val="00491143"/>
    <w:rsid w:val="004B19B8"/>
    <w:rsid w:val="004B5847"/>
    <w:rsid w:val="004D68DE"/>
    <w:rsid w:val="004F167E"/>
    <w:rsid w:val="004F5247"/>
    <w:rsid w:val="00503A13"/>
    <w:rsid w:val="005100D6"/>
    <w:rsid w:val="00510A13"/>
    <w:rsid w:val="00512503"/>
    <w:rsid w:val="0051389E"/>
    <w:rsid w:val="005239D3"/>
    <w:rsid w:val="00525A1B"/>
    <w:rsid w:val="00526671"/>
    <w:rsid w:val="00527501"/>
    <w:rsid w:val="005330F7"/>
    <w:rsid w:val="00534A1F"/>
    <w:rsid w:val="005375B9"/>
    <w:rsid w:val="005411D2"/>
    <w:rsid w:val="00557046"/>
    <w:rsid w:val="00563598"/>
    <w:rsid w:val="005719A0"/>
    <w:rsid w:val="00576F0C"/>
    <w:rsid w:val="00583A6D"/>
    <w:rsid w:val="00590E3F"/>
    <w:rsid w:val="00591DFD"/>
    <w:rsid w:val="005A03F2"/>
    <w:rsid w:val="005A6DC8"/>
    <w:rsid w:val="005A76A5"/>
    <w:rsid w:val="005B2C9B"/>
    <w:rsid w:val="005B33A9"/>
    <w:rsid w:val="005B73A2"/>
    <w:rsid w:val="005C28E8"/>
    <w:rsid w:val="005C5722"/>
    <w:rsid w:val="005D4DBF"/>
    <w:rsid w:val="005D7F10"/>
    <w:rsid w:val="005E6D3C"/>
    <w:rsid w:val="005E7A4A"/>
    <w:rsid w:val="005F2391"/>
    <w:rsid w:val="005F61BF"/>
    <w:rsid w:val="005F738C"/>
    <w:rsid w:val="00600057"/>
    <w:rsid w:val="00602636"/>
    <w:rsid w:val="00610E75"/>
    <w:rsid w:val="00613E3E"/>
    <w:rsid w:val="00616645"/>
    <w:rsid w:val="00625701"/>
    <w:rsid w:val="00636638"/>
    <w:rsid w:val="00645EC6"/>
    <w:rsid w:val="006479C3"/>
    <w:rsid w:val="00653CD5"/>
    <w:rsid w:val="00663740"/>
    <w:rsid w:val="00664A8A"/>
    <w:rsid w:val="00672E7A"/>
    <w:rsid w:val="00680DA1"/>
    <w:rsid w:val="006862C9"/>
    <w:rsid w:val="006935BB"/>
    <w:rsid w:val="006A4F24"/>
    <w:rsid w:val="006A7DC4"/>
    <w:rsid w:val="006B0CEB"/>
    <w:rsid w:val="006B1B6E"/>
    <w:rsid w:val="006B5B5D"/>
    <w:rsid w:val="006D0307"/>
    <w:rsid w:val="006D07C7"/>
    <w:rsid w:val="006D1E35"/>
    <w:rsid w:val="006E2942"/>
    <w:rsid w:val="006E4B49"/>
    <w:rsid w:val="006E58AE"/>
    <w:rsid w:val="006F711F"/>
    <w:rsid w:val="00700A29"/>
    <w:rsid w:val="00707674"/>
    <w:rsid w:val="0072234E"/>
    <w:rsid w:val="00722FBB"/>
    <w:rsid w:val="00724224"/>
    <w:rsid w:val="007343C3"/>
    <w:rsid w:val="007366FF"/>
    <w:rsid w:val="00745B1B"/>
    <w:rsid w:val="00745DAF"/>
    <w:rsid w:val="00762860"/>
    <w:rsid w:val="00762F83"/>
    <w:rsid w:val="00771E0C"/>
    <w:rsid w:val="00791397"/>
    <w:rsid w:val="007A54FC"/>
    <w:rsid w:val="007C7C0D"/>
    <w:rsid w:val="007E0A35"/>
    <w:rsid w:val="007E592B"/>
    <w:rsid w:val="007E5F11"/>
    <w:rsid w:val="007E7221"/>
    <w:rsid w:val="007F594C"/>
    <w:rsid w:val="00802043"/>
    <w:rsid w:val="008026D4"/>
    <w:rsid w:val="00811CBB"/>
    <w:rsid w:val="008168CF"/>
    <w:rsid w:val="0081694F"/>
    <w:rsid w:val="00825ED4"/>
    <w:rsid w:val="00826E35"/>
    <w:rsid w:val="0083384C"/>
    <w:rsid w:val="00836903"/>
    <w:rsid w:val="008421A6"/>
    <w:rsid w:val="00842B75"/>
    <w:rsid w:val="0084470C"/>
    <w:rsid w:val="00845E6C"/>
    <w:rsid w:val="008543A1"/>
    <w:rsid w:val="00854C0F"/>
    <w:rsid w:val="0085524D"/>
    <w:rsid w:val="00855734"/>
    <w:rsid w:val="00855F79"/>
    <w:rsid w:val="00856559"/>
    <w:rsid w:val="00872FF8"/>
    <w:rsid w:val="008755C5"/>
    <w:rsid w:val="008768CB"/>
    <w:rsid w:val="00876E3B"/>
    <w:rsid w:val="00882877"/>
    <w:rsid w:val="00894357"/>
    <w:rsid w:val="00894B4D"/>
    <w:rsid w:val="008A1C77"/>
    <w:rsid w:val="008B0AC3"/>
    <w:rsid w:val="008B727F"/>
    <w:rsid w:val="008D7DA7"/>
    <w:rsid w:val="008E6A17"/>
    <w:rsid w:val="0090057B"/>
    <w:rsid w:val="00902852"/>
    <w:rsid w:val="009043C3"/>
    <w:rsid w:val="0092002A"/>
    <w:rsid w:val="009251D9"/>
    <w:rsid w:val="00933B90"/>
    <w:rsid w:val="00936BA7"/>
    <w:rsid w:val="00942BCE"/>
    <w:rsid w:val="0095217A"/>
    <w:rsid w:val="00965027"/>
    <w:rsid w:val="00975876"/>
    <w:rsid w:val="00981906"/>
    <w:rsid w:val="00984E0E"/>
    <w:rsid w:val="009B5B1D"/>
    <w:rsid w:val="009C3DE2"/>
    <w:rsid w:val="009C4636"/>
    <w:rsid w:val="009C690B"/>
    <w:rsid w:val="009D33BD"/>
    <w:rsid w:val="009F2928"/>
    <w:rsid w:val="00A1024B"/>
    <w:rsid w:val="00A11149"/>
    <w:rsid w:val="00A132CD"/>
    <w:rsid w:val="00A20B32"/>
    <w:rsid w:val="00A230B7"/>
    <w:rsid w:val="00A23D11"/>
    <w:rsid w:val="00A243DF"/>
    <w:rsid w:val="00A44ED2"/>
    <w:rsid w:val="00A45435"/>
    <w:rsid w:val="00A47678"/>
    <w:rsid w:val="00A5154C"/>
    <w:rsid w:val="00A67A32"/>
    <w:rsid w:val="00A73B71"/>
    <w:rsid w:val="00A909EB"/>
    <w:rsid w:val="00A91345"/>
    <w:rsid w:val="00A96955"/>
    <w:rsid w:val="00AA2AAD"/>
    <w:rsid w:val="00AA46AA"/>
    <w:rsid w:val="00AB5A29"/>
    <w:rsid w:val="00AD0D21"/>
    <w:rsid w:val="00AE65BB"/>
    <w:rsid w:val="00AF199D"/>
    <w:rsid w:val="00B10BAF"/>
    <w:rsid w:val="00B12BFB"/>
    <w:rsid w:val="00B130A4"/>
    <w:rsid w:val="00B203AF"/>
    <w:rsid w:val="00B41974"/>
    <w:rsid w:val="00B41F6F"/>
    <w:rsid w:val="00B44187"/>
    <w:rsid w:val="00B47F2B"/>
    <w:rsid w:val="00B508DE"/>
    <w:rsid w:val="00B51A11"/>
    <w:rsid w:val="00B52690"/>
    <w:rsid w:val="00B6004A"/>
    <w:rsid w:val="00B60560"/>
    <w:rsid w:val="00B632DD"/>
    <w:rsid w:val="00B64020"/>
    <w:rsid w:val="00B779CF"/>
    <w:rsid w:val="00B82B1B"/>
    <w:rsid w:val="00B85AC3"/>
    <w:rsid w:val="00B85C7E"/>
    <w:rsid w:val="00B9572B"/>
    <w:rsid w:val="00BA0E45"/>
    <w:rsid w:val="00BA31BE"/>
    <w:rsid w:val="00BA3D8E"/>
    <w:rsid w:val="00BA48B7"/>
    <w:rsid w:val="00BB2320"/>
    <w:rsid w:val="00BB5675"/>
    <w:rsid w:val="00BB6D6E"/>
    <w:rsid w:val="00BB7FAE"/>
    <w:rsid w:val="00BC1318"/>
    <w:rsid w:val="00BD2585"/>
    <w:rsid w:val="00BE0915"/>
    <w:rsid w:val="00BE2BAF"/>
    <w:rsid w:val="00BF7AB3"/>
    <w:rsid w:val="00C05892"/>
    <w:rsid w:val="00C074AB"/>
    <w:rsid w:val="00C102F5"/>
    <w:rsid w:val="00C17E06"/>
    <w:rsid w:val="00C20EBE"/>
    <w:rsid w:val="00C2757C"/>
    <w:rsid w:val="00C523D2"/>
    <w:rsid w:val="00C55344"/>
    <w:rsid w:val="00C571C4"/>
    <w:rsid w:val="00C60DFF"/>
    <w:rsid w:val="00C6421C"/>
    <w:rsid w:val="00C7409D"/>
    <w:rsid w:val="00C85E4A"/>
    <w:rsid w:val="00C93435"/>
    <w:rsid w:val="00C9686E"/>
    <w:rsid w:val="00CB191C"/>
    <w:rsid w:val="00CB1A14"/>
    <w:rsid w:val="00CC2848"/>
    <w:rsid w:val="00CC2B13"/>
    <w:rsid w:val="00CC71BD"/>
    <w:rsid w:val="00CD004C"/>
    <w:rsid w:val="00CD7CAC"/>
    <w:rsid w:val="00CE0CF8"/>
    <w:rsid w:val="00CE2FD8"/>
    <w:rsid w:val="00CE490C"/>
    <w:rsid w:val="00CE6856"/>
    <w:rsid w:val="00CF33C5"/>
    <w:rsid w:val="00CF5D3B"/>
    <w:rsid w:val="00CF6034"/>
    <w:rsid w:val="00CF784C"/>
    <w:rsid w:val="00D0646F"/>
    <w:rsid w:val="00D20009"/>
    <w:rsid w:val="00D21AA3"/>
    <w:rsid w:val="00D31A4D"/>
    <w:rsid w:val="00D469DF"/>
    <w:rsid w:val="00D474B2"/>
    <w:rsid w:val="00D54B8E"/>
    <w:rsid w:val="00D57B65"/>
    <w:rsid w:val="00D6038B"/>
    <w:rsid w:val="00D60BA2"/>
    <w:rsid w:val="00D62684"/>
    <w:rsid w:val="00D64B2E"/>
    <w:rsid w:val="00D724B1"/>
    <w:rsid w:val="00D73F7B"/>
    <w:rsid w:val="00D830B9"/>
    <w:rsid w:val="00D84B7C"/>
    <w:rsid w:val="00D93628"/>
    <w:rsid w:val="00D97E08"/>
    <w:rsid w:val="00DA1194"/>
    <w:rsid w:val="00DA5E41"/>
    <w:rsid w:val="00DC280D"/>
    <w:rsid w:val="00DD5199"/>
    <w:rsid w:val="00DE12B3"/>
    <w:rsid w:val="00DF3C58"/>
    <w:rsid w:val="00E03C67"/>
    <w:rsid w:val="00E040E2"/>
    <w:rsid w:val="00E05E31"/>
    <w:rsid w:val="00E16A90"/>
    <w:rsid w:val="00E17C41"/>
    <w:rsid w:val="00E25ACC"/>
    <w:rsid w:val="00E31179"/>
    <w:rsid w:val="00E317A4"/>
    <w:rsid w:val="00E43E69"/>
    <w:rsid w:val="00E456A0"/>
    <w:rsid w:val="00E53A32"/>
    <w:rsid w:val="00E5425B"/>
    <w:rsid w:val="00E545EB"/>
    <w:rsid w:val="00E6027A"/>
    <w:rsid w:val="00E62E9B"/>
    <w:rsid w:val="00E67E93"/>
    <w:rsid w:val="00E70876"/>
    <w:rsid w:val="00E81CD7"/>
    <w:rsid w:val="00E87AFE"/>
    <w:rsid w:val="00E92E6D"/>
    <w:rsid w:val="00E94631"/>
    <w:rsid w:val="00E948A2"/>
    <w:rsid w:val="00E971C1"/>
    <w:rsid w:val="00EA42D4"/>
    <w:rsid w:val="00EC2A3C"/>
    <w:rsid w:val="00EC5538"/>
    <w:rsid w:val="00EC7EE5"/>
    <w:rsid w:val="00ED6AB2"/>
    <w:rsid w:val="00ED7920"/>
    <w:rsid w:val="00EE3D65"/>
    <w:rsid w:val="00EE490B"/>
    <w:rsid w:val="00EE523C"/>
    <w:rsid w:val="00EE5D72"/>
    <w:rsid w:val="00EE5F89"/>
    <w:rsid w:val="00EE6E13"/>
    <w:rsid w:val="00EF3276"/>
    <w:rsid w:val="00EF72F1"/>
    <w:rsid w:val="00EF79FD"/>
    <w:rsid w:val="00F008CF"/>
    <w:rsid w:val="00F07785"/>
    <w:rsid w:val="00F12C2B"/>
    <w:rsid w:val="00F158F2"/>
    <w:rsid w:val="00F16DC0"/>
    <w:rsid w:val="00F20394"/>
    <w:rsid w:val="00F2255B"/>
    <w:rsid w:val="00F2282E"/>
    <w:rsid w:val="00F43292"/>
    <w:rsid w:val="00F54463"/>
    <w:rsid w:val="00F5582B"/>
    <w:rsid w:val="00F95B99"/>
    <w:rsid w:val="00F96509"/>
    <w:rsid w:val="00FB5A28"/>
    <w:rsid w:val="00FB7319"/>
    <w:rsid w:val="00FC3B3E"/>
    <w:rsid w:val="00FD5CA5"/>
    <w:rsid w:val="00FD611B"/>
    <w:rsid w:val="00FD7A4A"/>
    <w:rsid w:val="00FF2A5F"/>
    <w:rsid w:val="00FF7386"/>
    <w:rsid w:val="018ADFE4"/>
    <w:rsid w:val="01F60929"/>
    <w:rsid w:val="020C45A0"/>
    <w:rsid w:val="0530A361"/>
    <w:rsid w:val="0647A6CA"/>
    <w:rsid w:val="07627463"/>
    <w:rsid w:val="088E1BFE"/>
    <w:rsid w:val="08BF2412"/>
    <w:rsid w:val="0CB84914"/>
    <w:rsid w:val="0D06F2F6"/>
    <w:rsid w:val="0E822376"/>
    <w:rsid w:val="0EA2C357"/>
    <w:rsid w:val="1143AEAB"/>
    <w:rsid w:val="1187DB51"/>
    <w:rsid w:val="11A4E294"/>
    <w:rsid w:val="11E3A06D"/>
    <w:rsid w:val="14E5BC4B"/>
    <w:rsid w:val="1580E2A5"/>
    <w:rsid w:val="15B5BD26"/>
    <w:rsid w:val="165F2B5A"/>
    <w:rsid w:val="174902EB"/>
    <w:rsid w:val="17921E24"/>
    <w:rsid w:val="1996CC1C"/>
    <w:rsid w:val="1B19E75B"/>
    <w:rsid w:val="20A20019"/>
    <w:rsid w:val="26EA2FE0"/>
    <w:rsid w:val="280224B1"/>
    <w:rsid w:val="28152E25"/>
    <w:rsid w:val="2B10D988"/>
    <w:rsid w:val="2CD04134"/>
    <w:rsid w:val="2CEC7E2E"/>
    <w:rsid w:val="2DEB5D50"/>
    <w:rsid w:val="2E2C9E1A"/>
    <w:rsid w:val="30241EF0"/>
    <w:rsid w:val="30CCA756"/>
    <w:rsid w:val="31574180"/>
    <w:rsid w:val="3485042A"/>
    <w:rsid w:val="36BA2130"/>
    <w:rsid w:val="36FD70BC"/>
    <w:rsid w:val="37BCA4EC"/>
    <w:rsid w:val="381916DA"/>
    <w:rsid w:val="39AD845D"/>
    <w:rsid w:val="3A8337B4"/>
    <w:rsid w:val="3C3D8D47"/>
    <w:rsid w:val="3D233A62"/>
    <w:rsid w:val="3D953102"/>
    <w:rsid w:val="3F935797"/>
    <w:rsid w:val="4114DD50"/>
    <w:rsid w:val="435123F7"/>
    <w:rsid w:val="443F8AF8"/>
    <w:rsid w:val="44BC7A45"/>
    <w:rsid w:val="44C3BD1A"/>
    <w:rsid w:val="44C40229"/>
    <w:rsid w:val="467CB145"/>
    <w:rsid w:val="48A6C1DF"/>
    <w:rsid w:val="48AF5617"/>
    <w:rsid w:val="48C1A90E"/>
    <w:rsid w:val="4906C6D8"/>
    <w:rsid w:val="493FB075"/>
    <w:rsid w:val="4D4B52EA"/>
    <w:rsid w:val="4F1CA4D0"/>
    <w:rsid w:val="5201BCCA"/>
    <w:rsid w:val="580035A9"/>
    <w:rsid w:val="5A6BEC55"/>
    <w:rsid w:val="5BAC7DF6"/>
    <w:rsid w:val="5D7DCFDC"/>
    <w:rsid w:val="60D282B9"/>
    <w:rsid w:val="64E0D453"/>
    <w:rsid w:val="6CB6000C"/>
    <w:rsid w:val="6F247D7D"/>
    <w:rsid w:val="6F46781E"/>
    <w:rsid w:val="7080F926"/>
    <w:rsid w:val="7558492F"/>
    <w:rsid w:val="7918F2B2"/>
    <w:rsid w:val="7D02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867C28B7-840C-49CC-B63F-194A1F04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paragraph" w:styleId="Revision">
    <w:name w:val="Revision"/>
    <w:hidden/>
    <w:uiPriority w:val="99"/>
    <w:semiHidden/>
    <w:rsid w:val="00527501"/>
    <w:pPr>
      <w:spacing w:after="0" w:line="240" w:lineRule="auto"/>
    </w:pPr>
  </w:style>
  <w:style w:type="character" w:styleId="CommentReference">
    <w:name w:val="annotation reference"/>
    <w:basedOn w:val="DefaultParagraphFont"/>
    <w:uiPriority w:val="99"/>
    <w:semiHidden/>
    <w:unhideWhenUsed/>
    <w:rsid w:val="00576F0C"/>
    <w:rPr>
      <w:sz w:val="16"/>
      <w:szCs w:val="16"/>
    </w:rPr>
  </w:style>
  <w:style w:type="paragraph" w:styleId="CommentText">
    <w:name w:val="annotation text"/>
    <w:basedOn w:val="Normal"/>
    <w:link w:val="CommentTextChar"/>
    <w:uiPriority w:val="99"/>
    <w:unhideWhenUsed/>
    <w:rsid w:val="00576F0C"/>
    <w:pPr>
      <w:spacing w:line="240" w:lineRule="auto"/>
    </w:pPr>
    <w:rPr>
      <w:sz w:val="20"/>
      <w:szCs w:val="20"/>
    </w:rPr>
  </w:style>
  <w:style w:type="character" w:customStyle="1" w:styleId="CommentTextChar">
    <w:name w:val="Comment Text Char"/>
    <w:basedOn w:val="DefaultParagraphFont"/>
    <w:link w:val="CommentText"/>
    <w:uiPriority w:val="99"/>
    <w:rsid w:val="00576F0C"/>
    <w:rPr>
      <w:sz w:val="20"/>
      <w:szCs w:val="20"/>
    </w:rPr>
  </w:style>
  <w:style w:type="paragraph" w:styleId="CommentSubject">
    <w:name w:val="annotation subject"/>
    <w:basedOn w:val="CommentText"/>
    <w:next w:val="CommentText"/>
    <w:link w:val="CommentSubjectChar"/>
    <w:uiPriority w:val="99"/>
    <w:semiHidden/>
    <w:unhideWhenUsed/>
    <w:rsid w:val="00576F0C"/>
    <w:rPr>
      <w:b/>
      <w:bCs/>
    </w:rPr>
  </w:style>
  <w:style w:type="character" w:customStyle="1" w:styleId="CommentSubjectChar">
    <w:name w:val="Comment Subject Char"/>
    <w:basedOn w:val="CommentTextChar"/>
    <w:link w:val="CommentSubject"/>
    <w:uiPriority w:val="99"/>
    <w:semiHidden/>
    <w:rsid w:val="00576F0C"/>
    <w:rPr>
      <w:b/>
      <w:bCs/>
      <w:sz w:val="20"/>
      <w:szCs w:val="20"/>
    </w:rPr>
  </w:style>
  <w:style w:type="character" w:styleId="Hyperlink">
    <w:name w:val="Hyperlink"/>
    <w:basedOn w:val="DefaultParagraphFont"/>
    <w:uiPriority w:val="99"/>
    <w:unhideWhenUsed/>
    <w:rsid w:val="00CC71BD"/>
    <w:rPr>
      <w:color w:val="0563C1" w:themeColor="hyperlink"/>
      <w:u w:val="single"/>
    </w:rPr>
  </w:style>
  <w:style w:type="character" w:styleId="UnresolvedMention">
    <w:name w:val="Unresolved Mention"/>
    <w:basedOn w:val="DefaultParagraphFont"/>
    <w:uiPriority w:val="99"/>
    <w:unhideWhenUsed/>
    <w:rsid w:val="00CC71BD"/>
    <w:rPr>
      <w:color w:val="605E5C"/>
      <w:shd w:val="clear" w:color="auto" w:fill="E1DFDD"/>
    </w:rPr>
  </w:style>
  <w:style w:type="character" w:customStyle="1" w:styleId="markedcontent">
    <w:name w:val="markedcontent"/>
    <w:basedOn w:val="DefaultParagraphFont"/>
    <w:rsid w:val="00CB1A14"/>
  </w:style>
  <w:style w:type="character" w:styleId="FollowedHyperlink">
    <w:name w:val="FollowedHyperlink"/>
    <w:basedOn w:val="DefaultParagraphFont"/>
    <w:uiPriority w:val="99"/>
    <w:semiHidden/>
    <w:unhideWhenUsed/>
    <w:rsid w:val="0084470C"/>
    <w:rPr>
      <w:color w:val="954F72" w:themeColor="followedHyperlink"/>
      <w:u w:val="single"/>
    </w:rPr>
  </w:style>
  <w:style w:type="paragraph" w:customStyle="1" w:styleId="Secondnumbering">
    <w:name w:val="Second numbering"/>
    <w:basedOn w:val="Normal"/>
    <w:link w:val="SecondnumberingChar"/>
    <w:qFormat/>
    <w:rsid w:val="00680DA1"/>
    <w:pPr>
      <w:numPr>
        <w:numId w:val="9"/>
      </w:numPr>
      <w:spacing w:after="0" w:line="240" w:lineRule="auto"/>
      <w:ind w:left="1134" w:hanging="283"/>
    </w:pPr>
    <w:rPr>
      <w:lang w:val="en-GB"/>
    </w:rPr>
  </w:style>
  <w:style w:type="character" w:customStyle="1" w:styleId="ListParagraphChar">
    <w:name w:val="List Paragraph Char"/>
    <w:basedOn w:val="DefaultParagraphFont"/>
    <w:link w:val="ListParagraph"/>
    <w:uiPriority w:val="34"/>
    <w:rsid w:val="00680DA1"/>
  </w:style>
  <w:style w:type="character" w:customStyle="1" w:styleId="SecondnumberingChar">
    <w:name w:val="Second numbering Char"/>
    <w:basedOn w:val="DefaultParagraphFont"/>
    <w:link w:val="Secondnumbering"/>
    <w:rsid w:val="00680DA1"/>
    <w:rPr>
      <w:lang w:val="en-GB"/>
    </w:rPr>
  </w:style>
  <w:style w:type="character" w:styleId="Mention">
    <w:name w:val="Mention"/>
    <w:basedOn w:val="DefaultParagraphFont"/>
    <w:uiPriority w:val="99"/>
    <w:unhideWhenUsed/>
    <w:rsid w:val="00845E6C"/>
    <w:rPr>
      <w:color w:val="2B579A"/>
      <w:shd w:val="clear" w:color="auto" w:fill="E1DFDD"/>
    </w:rPr>
  </w:style>
  <w:style w:type="paragraph" w:styleId="FootnoteText">
    <w:name w:val="footnote text"/>
    <w:basedOn w:val="Normal"/>
    <w:link w:val="FootnoteTextChar"/>
    <w:uiPriority w:val="99"/>
    <w:semiHidden/>
    <w:unhideWhenUsed/>
    <w:rsid w:val="00D469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69DF"/>
    <w:rPr>
      <w:sz w:val="20"/>
      <w:szCs w:val="20"/>
    </w:rPr>
  </w:style>
  <w:style w:type="character" w:styleId="FootnoteReference">
    <w:name w:val="footnote reference"/>
    <w:basedOn w:val="DefaultParagraphFont"/>
    <w:uiPriority w:val="99"/>
    <w:semiHidden/>
    <w:unhideWhenUsed/>
    <w:rsid w:val="00D46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04960">
      <w:bodyDiv w:val="1"/>
      <w:marLeft w:val="0"/>
      <w:marRight w:val="0"/>
      <w:marTop w:val="0"/>
      <w:marBottom w:val="0"/>
      <w:divBdr>
        <w:top w:val="none" w:sz="0" w:space="0" w:color="auto"/>
        <w:left w:val="none" w:sz="0" w:space="0" w:color="auto"/>
        <w:bottom w:val="none" w:sz="0" w:space="0" w:color="auto"/>
        <w:right w:val="none" w:sz="0" w:space="0" w:color="auto"/>
      </w:divBdr>
    </w:div>
    <w:div w:id="854149069">
      <w:bodyDiv w:val="1"/>
      <w:marLeft w:val="0"/>
      <w:marRight w:val="0"/>
      <w:marTop w:val="0"/>
      <w:marBottom w:val="0"/>
      <w:divBdr>
        <w:top w:val="none" w:sz="0" w:space="0" w:color="auto"/>
        <w:left w:val="none" w:sz="0" w:space="0" w:color="auto"/>
        <w:bottom w:val="none" w:sz="0" w:space="0" w:color="auto"/>
        <w:right w:val="none" w:sz="0" w:space="0" w:color="auto"/>
      </w:divBdr>
      <w:divsChild>
        <w:div w:id="1020009845">
          <w:marLeft w:val="0"/>
          <w:marRight w:val="0"/>
          <w:marTop w:val="0"/>
          <w:marBottom w:val="0"/>
          <w:divBdr>
            <w:top w:val="none" w:sz="0" w:space="0" w:color="auto"/>
            <w:left w:val="none" w:sz="0" w:space="0" w:color="auto"/>
            <w:bottom w:val="none" w:sz="0" w:space="0" w:color="auto"/>
            <w:right w:val="none" w:sz="0" w:space="0" w:color="auto"/>
          </w:divBdr>
        </w:div>
        <w:div w:id="1470319284">
          <w:marLeft w:val="0"/>
          <w:marRight w:val="0"/>
          <w:marTop w:val="0"/>
          <w:marBottom w:val="0"/>
          <w:divBdr>
            <w:top w:val="none" w:sz="0" w:space="0" w:color="auto"/>
            <w:left w:val="none" w:sz="0" w:space="0" w:color="auto"/>
            <w:bottom w:val="none" w:sz="0" w:space="0" w:color="auto"/>
            <w:right w:val="none" w:sz="0" w:space="0" w:color="auto"/>
          </w:divBdr>
        </w:div>
        <w:div w:id="2134906317">
          <w:marLeft w:val="0"/>
          <w:marRight w:val="0"/>
          <w:marTop w:val="0"/>
          <w:marBottom w:val="0"/>
          <w:divBdr>
            <w:top w:val="none" w:sz="0" w:space="0" w:color="auto"/>
            <w:left w:val="none" w:sz="0" w:space="0" w:color="auto"/>
            <w:bottom w:val="none" w:sz="0" w:space="0" w:color="auto"/>
            <w:right w:val="none" w:sz="0" w:space="0" w:color="auto"/>
          </w:divBdr>
        </w:div>
      </w:divsChild>
    </w:div>
    <w:div w:id="15107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boundarycms.ap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ransboundarycms.app/"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ransboundarycms.app/"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dc.int/sites/default/files/2021-08/Wildlife_Conservation.pdf"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Clara Nobbe</DisplayName>
        <AccountId>21</AccountId>
        <AccountType/>
      </UserInfo>
      <UserInfo>
        <DisplayName>Aydin Bahramlouian</DisplayName>
        <AccountId>29</AccountId>
        <AccountType/>
      </UserInfo>
      <UserInfo>
        <DisplayName>Ximena Victoria Cancino Ordenes</DisplayName>
        <AccountId>16</AccountId>
        <AccountType/>
      </UserInfo>
      <UserInfo>
        <DisplayName>Catherine Brueckner</DisplayName>
        <AccountId>12</AccountId>
        <AccountType/>
      </UserInfo>
      <UserInfo>
        <DisplayName>Marc Attallah</DisplayName>
        <AccountId>63</AccountId>
        <AccountType/>
      </UserInfo>
    </SharedWithUsers>
    <MediaLengthInSeconds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912C1-87BF-4E3B-B718-36F47EF38EAF}">
  <ds:schemaRefs>
    <ds:schemaRef ds:uri="http://schemas.openxmlformats.org/officeDocument/2006/bibliography"/>
  </ds:schemaRefs>
</ds:datastoreItem>
</file>

<file path=customXml/itemProps2.xml><?xml version="1.0" encoding="utf-8"?>
<ds:datastoreItem xmlns:ds="http://schemas.openxmlformats.org/officeDocument/2006/customXml" ds:itemID="{68FBEE4B-F79A-4A7D-A963-27D3D74AB9EE}">
  <ds:schemaRefs>
    <ds:schemaRef ds:uri="http://www.w3.org/XML/1998/namespace"/>
    <ds:schemaRef ds:uri="985ec44e-1bab-4c0b-9df0-6ba128686fc9"/>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15478a5-0be8-4f5d-8383-b307d5ba8bf6"/>
    <ds:schemaRef ds:uri="a7b50396-0b06-45c1-b28e-46f86d566a10"/>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A32E4B6F-BDA5-42D2-A557-388BDAE9C834}">
  <ds:schemaRefs>
    <ds:schemaRef ds:uri="http://schemas.microsoft.com/sharepoint/v3/contenttype/forms"/>
  </ds:schemaRefs>
</ds:datastoreItem>
</file>

<file path=customXml/itemProps4.xml><?xml version="1.0" encoding="utf-8"?>
<ds:datastoreItem xmlns:ds="http://schemas.openxmlformats.org/officeDocument/2006/customXml" ds:itemID="{DE60BF1B-3D74-48A1-936A-4BB7F854C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dcterms:created xsi:type="dcterms:W3CDTF">2023-09-14T07:23:00Z</dcterms:created>
  <dcterms:modified xsi:type="dcterms:W3CDTF">2023-11-22T13:34:00Z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diaServiceImageTags">
    <vt:lpwstr/>
  </property>
  <property fmtid="{D5CDD505-2E9C-101B-9397-08002B2CF9AE}" pid="4" name="Order">
    <vt:r8>214600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TaxKeyword">
    <vt:lpwstr/>
  </property>
</Properties>
</file>