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4F24" w14:textId="5DFD5798" w:rsidR="008879F2" w:rsidRPr="00FF5406" w:rsidRDefault="008879F2" w:rsidP="006C5A18">
      <w:pPr>
        <w:jc w:val="right"/>
        <w:rPr>
          <w:rFonts w:cs="Arial"/>
          <w:b/>
          <w:bCs/>
          <w:caps/>
          <w:lang w:val="es-ES"/>
        </w:rPr>
      </w:pPr>
      <w:bookmarkStart w:id="0" w:name="_Hlk134435489"/>
      <w:r w:rsidRPr="00FF5406">
        <w:rPr>
          <w:rFonts w:cs="Arial"/>
          <w:b/>
          <w:caps/>
          <w:lang w:val="es-ES"/>
        </w:rPr>
        <w:t>Anexo 3</w:t>
      </w:r>
    </w:p>
    <w:p w14:paraId="7D0EF80F" w14:textId="77777777" w:rsidR="008879F2" w:rsidRPr="00FF5406" w:rsidRDefault="008879F2" w:rsidP="006C5A18">
      <w:pPr>
        <w:rPr>
          <w:rFonts w:cs="Arial"/>
          <w:lang w:val="es-ES"/>
        </w:rPr>
      </w:pPr>
    </w:p>
    <w:p w14:paraId="3EC1A71E" w14:textId="77777777" w:rsidR="00EC6CD2" w:rsidRPr="00FF5406" w:rsidRDefault="00EC6CD2" w:rsidP="006C5A18">
      <w:pPr>
        <w:rPr>
          <w:rFonts w:cs="Arial"/>
          <w:lang w:val="es-ES"/>
        </w:rPr>
      </w:pPr>
    </w:p>
    <w:p w14:paraId="27A8D36E" w14:textId="4962E796" w:rsidR="003C3EEA" w:rsidRPr="00FF5406" w:rsidRDefault="00F45DA4" w:rsidP="006C5A18">
      <w:pPr>
        <w:pStyle w:val="Title1"/>
        <w:rPr>
          <w:bCs/>
          <w:lang w:val="es-ES"/>
        </w:rPr>
      </w:pPr>
      <w:r w:rsidRPr="00FF5406">
        <w:rPr>
          <w:bCs/>
          <w:lang w:val="es-ES"/>
        </w:rPr>
        <w:t>PLAN DE ACCIÓN PARA ABORDAR LA CAPTURA DE CARNE DE ANIMALES SALVAJES ACUÁTICOS EN ÁFRICA OCCIDENTAL</w:t>
      </w:r>
      <w:bookmarkEnd w:id="0"/>
    </w:p>
    <w:p w14:paraId="12C3DF6E" w14:textId="77777777" w:rsidR="003C3EEA" w:rsidRPr="00FF5406" w:rsidRDefault="003C3EEA" w:rsidP="006C5A18">
      <w:pPr>
        <w:textAlignment w:val="baseline"/>
        <w:rPr>
          <w:rFonts w:eastAsia="Calibri" w:cs="Arial"/>
          <w:lang w:val="es-ES"/>
        </w:rPr>
      </w:pPr>
    </w:p>
    <w:p w14:paraId="2BD602F1" w14:textId="77777777" w:rsidR="00E01399" w:rsidRPr="00FF5406" w:rsidRDefault="00E01399" w:rsidP="006C5A18">
      <w:pPr>
        <w:textAlignment w:val="baseline"/>
        <w:rPr>
          <w:rFonts w:eastAsia="Calibri" w:cs="Arial"/>
          <w:lang w:val="es-ES"/>
        </w:rPr>
      </w:pPr>
    </w:p>
    <w:p w14:paraId="057A3DB2" w14:textId="77777777" w:rsidR="003C3EEA" w:rsidRPr="00FF5406" w:rsidRDefault="00056A3F" w:rsidP="006C5A18">
      <w:pPr>
        <w:textAlignment w:val="baseline"/>
        <w:rPr>
          <w:rFonts w:eastAsia="Calibri" w:cs="Arial"/>
          <w:u w:val="single"/>
          <w:lang w:val="es-ES"/>
        </w:rPr>
      </w:pPr>
      <w:r w:rsidRPr="00FF5406">
        <w:rPr>
          <w:rFonts w:eastAsia="Calibri" w:cs="Arial"/>
          <w:u w:val="single"/>
          <w:lang w:val="es-ES"/>
        </w:rPr>
        <w:t>Antecedentes</w:t>
      </w:r>
    </w:p>
    <w:p w14:paraId="3D9D8432" w14:textId="77777777" w:rsidR="003C3EEA" w:rsidRPr="00FF5406" w:rsidRDefault="003C3EEA" w:rsidP="006C5A18">
      <w:pPr>
        <w:rPr>
          <w:rFonts w:cs="Arial"/>
          <w:lang w:val="es-ES"/>
        </w:rPr>
      </w:pPr>
    </w:p>
    <w:p w14:paraId="5EE54449" w14:textId="7B6193EC" w:rsidR="003C3EEA" w:rsidRPr="00FF5406" w:rsidRDefault="00DE191E" w:rsidP="006C5A18">
      <w:pPr>
        <w:widowControl w:val="0"/>
        <w:numPr>
          <w:ilvl w:val="0"/>
          <w:numId w:val="5"/>
        </w:numPr>
        <w:ind w:left="0" w:hanging="540"/>
        <w:jc w:val="both"/>
        <w:rPr>
          <w:rFonts w:cs="Arial"/>
          <w:lang w:val="es-ES"/>
        </w:rPr>
      </w:pPr>
      <w:r w:rsidRPr="00FF5406">
        <w:rPr>
          <w:rFonts w:cs="Arial"/>
          <w:lang w:val="es-ES"/>
        </w:rPr>
        <w:t>En la mayor parte de África occidental, los animales salvajes acuáticos se capturan y se cazan de forma oportunista y la carne, las partes del cuerpo y/o los huevos se consumen para la subsistencia local, se utilizan para fines tradicionales o se comercializan para obtener ingresos. En los ecosistemas marinos, costeros y fluviales se capturan habitualmente especies acuáticas, como mamíferos, reptiles, peces elasmobranquios y aves acuáticas. La captura y el consumo procedentes de estos ecosistemas se encuentran muy extendidos. En algunos lugares, el consumo de carne salvaje de origen marino se ha mantenido durante milenios, constituyendo como una importante fuente de alimentación, ingresos e identidad cultural para algunas comunidades. Sin embargo, la presión de la seguridad alimentaria, en algunos casos, y las oportunidades económicas de explotación de la vida salvaje, a más altos niveles, en otros, han llevado a una explotación insostenible de algunas especies incluidas en la CMS.</w:t>
      </w:r>
    </w:p>
    <w:p w14:paraId="1C79815C" w14:textId="77777777" w:rsidR="003C3EEA" w:rsidRPr="00FF5406" w:rsidRDefault="003C3EEA" w:rsidP="006C5A18">
      <w:pPr>
        <w:widowControl w:val="0"/>
        <w:ind w:hanging="540"/>
        <w:jc w:val="both"/>
        <w:rPr>
          <w:rFonts w:cs="Arial"/>
          <w:lang w:val="es-ES"/>
        </w:rPr>
      </w:pPr>
    </w:p>
    <w:p w14:paraId="7631F5F0" w14:textId="4E0B0FC9" w:rsidR="0055145C" w:rsidRPr="00FF5406" w:rsidRDefault="00602DCC" w:rsidP="006C5A18">
      <w:pPr>
        <w:widowControl w:val="0"/>
        <w:numPr>
          <w:ilvl w:val="0"/>
          <w:numId w:val="5"/>
        </w:numPr>
        <w:ind w:left="0" w:hanging="540"/>
        <w:jc w:val="both"/>
        <w:rPr>
          <w:rFonts w:cs="Arial"/>
          <w:lang w:val="es-ES"/>
        </w:rPr>
      </w:pPr>
      <w:r w:rsidRPr="00FF5406">
        <w:rPr>
          <w:rFonts w:cs="Arial"/>
          <w:lang w:val="es-ES"/>
        </w:rPr>
        <w:t>Este Plan de Acción para abordar la captura de carne de animales salvajes acuáticos en África occidental tiene por objeto centrar la atención política y científica en estas capturas regionales y, en la medida de lo posible, tomar medidas dirigidas hacia una gestión sostenible de estas actividades. En algunos casos, esto requerirá de cambios significativos en el comportamiento de la comunidad. En otros casos, las comunidades proporcionarán una orientación hacia una gestión que respete las tradiciones locales y proteja las importantes especies acuáticas y sus hábitats.</w:t>
      </w:r>
    </w:p>
    <w:p w14:paraId="1D7523A4" w14:textId="77777777" w:rsidR="00CB4572" w:rsidRPr="00FF5406" w:rsidRDefault="00CB4572" w:rsidP="006C5A18">
      <w:pPr>
        <w:pStyle w:val="ListParagraph"/>
        <w:ind w:left="0"/>
        <w:rPr>
          <w:rFonts w:cs="Arial"/>
          <w:lang w:val="es-ES"/>
        </w:rPr>
      </w:pPr>
    </w:p>
    <w:p w14:paraId="159BCE4D" w14:textId="77777777" w:rsidR="007C5ED0" w:rsidRPr="00FF5406" w:rsidRDefault="007C5ED0" w:rsidP="006C5A18">
      <w:pPr>
        <w:widowControl w:val="0"/>
        <w:numPr>
          <w:ilvl w:val="0"/>
          <w:numId w:val="5"/>
        </w:numPr>
        <w:spacing w:after="80"/>
        <w:ind w:left="0" w:hanging="540"/>
        <w:jc w:val="both"/>
        <w:rPr>
          <w:rFonts w:cs="Arial"/>
          <w:lang w:val="es-ES"/>
        </w:rPr>
      </w:pPr>
      <w:r w:rsidRPr="00FF5406">
        <w:rPr>
          <w:rFonts w:cs="Arial"/>
          <w:lang w:val="es-ES" w:eastAsia="es-ES"/>
        </w:rPr>
        <w:t>El Plan de Acción se divide en seis temáticas:</w:t>
      </w:r>
    </w:p>
    <w:p w14:paraId="15462728" w14:textId="77777777" w:rsidR="007C5ED0" w:rsidRPr="00FF5406" w:rsidRDefault="007C5ED0" w:rsidP="006C5A18">
      <w:pPr>
        <w:numPr>
          <w:ilvl w:val="1"/>
          <w:numId w:val="13"/>
        </w:numPr>
        <w:tabs>
          <w:tab w:val="num" w:pos="851"/>
        </w:tabs>
        <w:suppressAutoHyphens w:val="0"/>
        <w:spacing w:after="80"/>
        <w:ind w:left="540" w:hanging="540"/>
        <w:jc w:val="both"/>
        <w:rPr>
          <w:rFonts w:cs="Arial"/>
          <w:spacing w:val="-2"/>
          <w:lang w:val="es-ES" w:eastAsia="en-GB"/>
        </w:rPr>
      </w:pPr>
      <w:r w:rsidRPr="00FF5406">
        <w:rPr>
          <w:rFonts w:cs="Arial"/>
          <w:lang w:val="es-ES" w:eastAsia="es-ES"/>
        </w:rPr>
        <w:t>Reflexionar sobre los conocimientos científicos e identificar sus lagunas;</w:t>
      </w:r>
    </w:p>
    <w:p w14:paraId="3F58F270" w14:textId="77777777" w:rsidR="007C5ED0" w:rsidRPr="00FF5406" w:rsidRDefault="007C5ED0" w:rsidP="006C5A18">
      <w:pPr>
        <w:numPr>
          <w:ilvl w:val="1"/>
          <w:numId w:val="13"/>
        </w:numPr>
        <w:tabs>
          <w:tab w:val="num" w:pos="851"/>
        </w:tabs>
        <w:suppressAutoHyphens w:val="0"/>
        <w:spacing w:after="80"/>
        <w:ind w:left="540" w:hanging="540"/>
        <w:jc w:val="both"/>
        <w:rPr>
          <w:rFonts w:cs="Arial"/>
          <w:spacing w:val="-2"/>
          <w:lang w:val="es-ES" w:eastAsia="en-GB"/>
        </w:rPr>
      </w:pPr>
      <w:r w:rsidRPr="00FF5406">
        <w:rPr>
          <w:rFonts w:cs="Arial"/>
          <w:lang w:val="es-ES" w:eastAsia="es-ES"/>
        </w:rPr>
        <w:t>Conocer los factores y presiones (flotas de aguas lejanas, migraciones internas, declive de los ecosistemas) y hallar soluciones;</w:t>
      </w:r>
    </w:p>
    <w:p w14:paraId="52598269" w14:textId="77777777" w:rsidR="007C5ED0" w:rsidRPr="00FF5406" w:rsidRDefault="007C5ED0" w:rsidP="006C5A18">
      <w:pPr>
        <w:numPr>
          <w:ilvl w:val="1"/>
          <w:numId w:val="13"/>
        </w:numPr>
        <w:tabs>
          <w:tab w:val="num" w:pos="851"/>
        </w:tabs>
        <w:suppressAutoHyphens w:val="0"/>
        <w:spacing w:after="80"/>
        <w:ind w:left="540" w:hanging="540"/>
        <w:jc w:val="both"/>
        <w:rPr>
          <w:rFonts w:cs="Arial"/>
          <w:spacing w:val="-2"/>
          <w:lang w:val="es-ES" w:eastAsia="en-GB"/>
        </w:rPr>
      </w:pPr>
      <w:r w:rsidRPr="00FF5406">
        <w:rPr>
          <w:rFonts w:cs="Arial"/>
          <w:lang w:val="es-ES" w:eastAsia="es-ES"/>
        </w:rPr>
        <w:t xml:space="preserve">Conocer la interrelación entre pesca y medioambiente (nacional e internacional) y crear vínculos más sólidos; </w:t>
      </w:r>
    </w:p>
    <w:p w14:paraId="4EECDA2C" w14:textId="77777777" w:rsidR="007C5ED0" w:rsidRPr="00FF5406" w:rsidRDefault="007C5ED0" w:rsidP="006C5A18">
      <w:pPr>
        <w:numPr>
          <w:ilvl w:val="1"/>
          <w:numId w:val="13"/>
        </w:numPr>
        <w:tabs>
          <w:tab w:val="num" w:pos="851"/>
        </w:tabs>
        <w:suppressAutoHyphens w:val="0"/>
        <w:spacing w:after="80"/>
        <w:ind w:left="540" w:hanging="540"/>
        <w:jc w:val="both"/>
        <w:rPr>
          <w:rFonts w:cs="Arial"/>
          <w:spacing w:val="-2"/>
          <w:lang w:val="es-ES" w:eastAsia="en-GB"/>
        </w:rPr>
      </w:pPr>
      <w:r w:rsidRPr="00FF5406">
        <w:rPr>
          <w:rFonts w:cs="Arial"/>
          <w:lang w:val="es-ES" w:eastAsia="es-ES"/>
        </w:rPr>
        <w:t xml:space="preserve">Promover soluciones impulsadas por la comunidad y promulgar leyes y velar por su cumplimiento allí donde sea necesario; </w:t>
      </w:r>
    </w:p>
    <w:p w14:paraId="6F7AB6A1" w14:textId="77777777" w:rsidR="007C5ED0" w:rsidRPr="00FF5406" w:rsidRDefault="007C5ED0" w:rsidP="006C5A18">
      <w:pPr>
        <w:numPr>
          <w:ilvl w:val="1"/>
          <w:numId w:val="13"/>
        </w:numPr>
        <w:tabs>
          <w:tab w:val="num" w:pos="851"/>
        </w:tabs>
        <w:suppressAutoHyphens w:val="0"/>
        <w:spacing w:after="80"/>
        <w:ind w:left="540" w:hanging="540"/>
        <w:jc w:val="both"/>
        <w:rPr>
          <w:rFonts w:cs="Arial"/>
          <w:spacing w:val="-2"/>
          <w:lang w:val="es-ES" w:eastAsia="en-GB"/>
        </w:rPr>
      </w:pPr>
      <w:r w:rsidRPr="00FF5406">
        <w:rPr>
          <w:rFonts w:cs="Arial"/>
          <w:lang w:val="es-ES" w:eastAsia="es-ES"/>
        </w:rPr>
        <w:t>Concienciar y promover cambios de comportamiento para lograr una mejor protección de las especies utilizadas para obtener carne de animales salvajes acuáticos; y</w:t>
      </w:r>
    </w:p>
    <w:p w14:paraId="1F65F29B" w14:textId="1A594C75" w:rsidR="0055145C" w:rsidRDefault="007C5ED0" w:rsidP="006C5A18">
      <w:pPr>
        <w:numPr>
          <w:ilvl w:val="1"/>
          <w:numId w:val="13"/>
        </w:numPr>
        <w:ind w:left="540" w:hanging="540"/>
        <w:jc w:val="both"/>
        <w:rPr>
          <w:rFonts w:cs="Arial"/>
          <w:lang w:val="es-ES"/>
        </w:rPr>
      </w:pPr>
      <w:r w:rsidRPr="00FF5406">
        <w:rPr>
          <w:rFonts w:cs="Arial"/>
          <w:lang w:val="es-ES" w:eastAsia="es-ES"/>
        </w:rPr>
        <w:t>Desarrollar y aplicar una estrategia de financiación sostenible para la conservación de las especies utilizadas para obtener carne de animales salvajes acuáticos.</w:t>
      </w:r>
    </w:p>
    <w:p w14:paraId="2723BE68" w14:textId="77777777" w:rsidR="006C5A18" w:rsidRPr="00FF5406" w:rsidRDefault="006C5A18" w:rsidP="006C5A18">
      <w:pPr>
        <w:ind w:left="540"/>
        <w:jc w:val="both"/>
        <w:rPr>
          <w:rFonts w:cs="Arial"/>
          <w:lang w:val="es-ES"/>
        </w:rPr>
      </w:pPr>
    </w:p>
    <w:p w14:paraId="10809936" w14:textId="3082735A" w:rsidR="00CB4572" w:rsidRPr="00FF5406" w:rsidRDefault="00CB4572" w:rsidP="006C5A18">
      <w:pPr>
        <w:ind w:left="540"/>
        <w:jc w:val="both"/>
        <w:rPr>
          <w:rFonts w:cs="Arial"/>
          <w:lang w:val="es-ES"/>
        </w:rPr>
      </w:pPr>
      <w:r w:rsidRPr="00FF5406">
        <w:rPr>
          <w:rFonts w:cs="Arial"/>
          <w:lang w:val="es-ES" w:eastAsia="es-ES"/>
        </w:rPr>
        <w:t>Cada temática presta especial atención a una capacitación necesaria (local y regional), al tiempo que establece vías claras para la financiación y el apoyo de las competencias. Esto demuestra la fuerte necesidad de un planteamiento ascendente, impulsado por las comunidades, que dé a las mismas de toda la región la posibilidad de hacer uso de la información y de hacer frente a las capturas insostenibles de carne de animales salvajes acuáticos.</w:t>
      </w:r>
    </w:p>
    <w:p w14:paraId="685CB032" w14:textId="77777777" w:rsidR="000312AD" w:rsidRPr="00FF5406" w:rsidRDefault="000312AD" w:rsidP="006C5A18">
      <w:pPr>
        <w:jc w:val="both"/>
        <w:rPr>
          <w:rFonts w:cs="Arial"/>
          <w:lang w:val="es-ES"/>
        </w:rPr>
      </w:pPr>
    </w:p>
    <w:p w14:paraId="7D5718DD" w14:textId="7223A3DB" w:rsidR="000312AD" w:rsidRPr="006C5A18" w:rsidRDefault="00C164C2" w:rsidP="008D7F24">
      <w:pPr>
        <w:pStyle w:val="ListParagraph"/>
        <w:numPr>
          <w:ilvl w:val="0"/>
          <w:numId w:val="5"/>
        </w:numPr>
        <w:ind w:left="0" w:hanging="540"/>
        <w:jc w:val="both"/>
        <w:rPr>
          <w:rFonts w:cs="Arial"/>
          <w:lang w:val="es-ES"/>
        </w:rPr>
      </w:pPr>
      <w:r w:rsidRPr="006C5A18">
        <w:rPr>
          <w:rFonts w:cs="Arial"/>
          <w:lang w:val="es-ES"/>
        </w:rPr>
        <w:t xml:space="preserve">El Plan de Acción se ha elaborado a través de cuatro talleres en línea en los que se ha abordado cada temática y un taller presencial final para llegar a un consenso sobre el conjunto. El proceso utilizó un modelo de Plan de Acción desarrollado por los miembros del </w:t>
      </w:r>
      <w:r w:rsidRPr="006C5A18">
        <w:rPr>
          <w:rFonts w:cs="Arial"/>
          <w:lang w:val="es-ES"/>
        </w:rPr>
        <w:lastRenderedPageBreak/>
        <w:t>Grupo de trabajo sobre la carne de animales salvajes acuáticos (AWM WG) para apoyar a los Estados del área de distribución de las Partes de la CMS a través de estas negociaciones del Plan de Acción.</w:t>
      </w:r>
    </w:p>
    <w:p w14:paraId="1CBBE7E5" w14:textId="77777777" w:rsidR="00001CB8" w:rsidRPr="00FF5406" w:rsidRDefault="00001CB8" w:rsidP="008D7F24">
      <w:pPr>
        <w:pStyle w:val="Secondnumbering"/>
        <w:numPr>
          <w:ilvl w:val="0"/>
          <w:numId w:val="0"/>
        </w:numPr>
        <w:jc w:val="both"/>
        <w:rPr>
          <w:rFonts w:cs="Arial"/>
          <w:lang w:val="es-ES"/>
        </w:rPr>
      </w:pPr>
    </w:p>
    <w:p w14:paraId="219554DC" w14:textId="77777777" w:rsidR="008E7800" w:rsidRPr="00FF5406" w:rsidRDefault="008E7800">
      <w:pPr>
        <w:rPr>
          <w:rFonts w:cs="Arial"/>
          <w:lang w:val="es-ES"/>
        </w:rPr>
        <w:sectPr w:rsidR="008E7800" w:rsidRPr="00FF5406" w:rsidSect="00D14E7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formProt w:val="0"/>
          <w:docGrid w:linePitch="360" w:charSpace="8192"/>
        </w:sectPr>
      </w:pPr>
    </w:p>
    <w:p w14:paraId="60E182EE" w14:textId="77777777" w:rsidR="00E16720" w:rsidRPr="00FF5406" w:rsidRDefault="00E16720" w:rsidP="006563FE">
      <w:pPr>
        <w:pStyle w:val="Heading3"/>
        <w:spacing w:before="0" w:after="0"/>
        <w:jc w:val="center"/>
        <w:rPr>
          <w:rFonts w:ascii="Arial" w:hAnsi="Arial" w:cs="Arial"/>
          <w:sz w:val="22"/>
          <w:szCs w:val="22"/>
          <w:lang w:val="es-ES"/>
        </w:rPr>
      </w:pPr>
      <w:r w:rsidRPr="00FF5406">
        <w:rPr>
          <w:rFonts w:ascii="Arial" w:hAnsi="Arial" w:cs="Arial"/>
          <w:sz w:val="22"/>
          <w:szCs w:val="22"/>
          <w:lang w:val="es-ES"/>
        </w:rPr>
        <w:lastRenderedPageBreak/>
        <w:t>Visión</w:t>
      </w:r>
    </w:p>
    <w:p w14:paraId="201E70F3" w14:textId="77777777" w:rsidR="00E16720" w:rsidRPr="00FF5406" w:rsidRDefault="00E16720" w:rsidP="006563FE">
      <w:pPr>
        <w:numPr>
          <w:ilvl w:val="0"/>
          <w:numId w:val="8"/>
        </w:numPr>
        <w:rPr>
          <w:rFonts w:cs="Arial"/>
          <w:lang w:val="es-ES"/>
        </w:rPr>
      </w:pPr>
    </w:p>
    <w:p w14:paraId="4668DF32" w14:textId="66B5A20F" w:rsidR="00E16720" w:rsidRPr="00FF5406" w:rsidRDefault="00D33BED" w:rsidP="00D33BED">
      <w:pPr>
        <w:numPr>
          <w:ilvl w:val="0"/>
          <w:numId w:val="8"/>
        </w:numPr>
        <w:jc w:val="center"/>
        <w:rPr>
          <w:rFonts w:cs="Arial"/>
          <w:b/>
          <w:bCs/>
          <w:i/>
          <w:iCs/>
          <w:lang w:val="es-ES"/>
        </w:rPr>
      </w:pPr>
      <w:r w:rsidRPr="00FF5406">
        <w:rPr>
          <w:rFonts w:cs="Arial"/>
          <w:b/>
          <w:bCs/>
          <w:i/>
          <w:iCs/>
          <w:lang w:val="es-ES"/>
        </w:rPr>
        <w:t>Realizar progresos tangibles hacia la gestión sostenible de la captura de carne de animales salvajes acuáticos en África Occidental y garantizar un estado de conservación positivo para todas las especies afectadas incluidas en la CMS.</w:t>
      </w:r>
    </w:p>
    <w:p w14:paraId="09C36656" w14:textId="77777777" w:rsidR="00E16720" w:rsidRPr="00FF5406" w:rsidRDefault="00E16720" w:rsidP="00E16720">
      <w:pPr>
        <w:rPr>
          <w:rFonts w:cs="Arial"/>
          <w:lang w:val="es-ES"/>
        </w:rPr>
      </w:pPr>
    </w:p>
    <w:p w14:paraId="27106E45" w14:textId="77777777" w:rsidR="00D33BED" w:rsidRPr="00FF5406" w:rsidRDefault="00D33BED" w:rsidP="00E16720">
      <w:pPr>
        <w:rPr>
          <w:rFonts w:cs="Arial"/>
          <w:lang w:val="es-ES"/>
        </w:rPr>
      </w:pPr>
    </w:p>
    <w:p w14:paraId="618D404D" w14:textId="77777777" w:rsidR="00D20A8C" w:rsidRDefault="00E16720" w:rsidP="009D2122">
      <w:pPr>
        <w:pStyle w:val="Heading3"/>
        <w:spacing w:before="0" w:after="0"/>
        <w:jc w:val="center"/>
        <w:rPr>
          <w:rFonts w:ascii="Arial" w:hAnsi="Arial" w:cs="Arial"/>
          <w:sz w:val="22"/>
          <w:szCs w:val="22"/>
          <w:lang w:val="es-ES"/>
        </w:rPr>
      </w:pPr>
      <w:r w:rsidRPr="00FF5406">
        <w:rPr>
          <w:rFonts w:ascii="Arial" w:hAnsi="Arial" w:cs="Arial"/>
          <w:sz w:val="22"/>
          <w:szCs w:val="22"/>
          <w:lang w:val="es-ES"/>
        </w:rPr>
        <w:t xml:space="preserve">Temática 1: </w:t>
      </w:r>
    </w:p>
    <w:p w14:paraId="7D3515C5" w14:textId="77777777" w:rsidR="009D2122" w:rsidRPr="009D2122" w:rsidRDefault="009D2122" w:rsidP="009D2122">
      <w:pPr>
        <w:pStyle w:val="BodyText"/>
        <w:spacing w:after="0" w:line="240" w:lineRule="auto"/>
        <w:rPr>
          <w:lang w:val="es-ES" w:eastAsia="zh-CN" w:bidi="hi-IN"/>
        </w:rPr>
      </w:pPr>
    </w:p>
    <w:p w14:paraId="2839A41F" w14:textId="372DC1AF" w:rsidR="00E16720" w:rsidRPr="00FF5406" w:rsidRDefault="00A111D1" w:rsidP="009D2122">
      <w:pPr>
        <w:pStyle w:val="Heading3"/>
        <w:spacing w:before="0" w:after="0"/>
        <w:jc w:val="center"/>
        <w:rPr>
          <w:rFonts w:ascii="Arial" w:hAnsi="Arial" w:cs="Arial"/>
          <w:sz w:val="22"/>
          <w:szCs w:val="22"/>
          <w:lang w:val="es-ES"/>
        </w:rPr>
      </w:pPr>
      <w:r w:rsidRPr="00FF5406">
        <w:rPr>
          <w:rFonts w:ascii="Arial" w:hAnsi="Arial" w:cs="Arial"/>
          <w:sz w:val="22"/>
          <w:szCs w:val="22"/>
          <w:lang w:val="es-ES"/>
        </w:rPr>
        <w:t>Hacer balance de los conocimientos científicos e identificar sus lagunas</w:t>
      </w:r>
    </w:p>
    <w:p w14:paraId="49EE7B5D" w14:textId="77777777" w:rsidR="000F64AD" w:rsidRPr="00FF5406" w:rsidRDefault="000F64AD" w:rsidP="006563FE">
      <w:pPr>
        <w:numPr>
          <w:ilvl w:val="0"/>
          <w:numId w:val="8"/>
        </w:numPr>
        <w:rPr>
          <w:rFonts w:cs="Arial"/>
          <w:lang w:val="es-ES"/>
        </w:rPr>
      </w:pPr>
    </w:p>
    <w:p w14:paraId="04C76A39" w14:textId="1935C92A" w:rsidR="00E16720" w:rsidRPr="00FF5406" w:rsidRDefault="00624D6A" w:rsidP="006C5A18">
      <w:pPr>
        <w:numPr>
          <w:ilvl w:val="0"/>
          <w:numId w:val="8"/>
        </w:numPr>
        <w:jc w:val="both"/>
        <w:rPr>
          <w:rFonts w:cs="Arial"/>
          <w:lang w:val="es-ES"/>
        </w:rPr>
      </w:pPr>
      <w:r w:rsidRPr="00FF5406">
        <w:rPr>
          <w:rFonts w:cs="Arial"/>
          <w:lang w:val="es-ES"/>
        </w:rPr>
        <w:t>En los ecosistemas marinos, costeros y fluviales se capturan habitualmente especies acuáticas, como mamíferos, reptiles, peces elasmobranquios y aves acuáticas. La captura y el consumo de carne de animales salvajes acuáticos procedentes de estos ecosistemas se encuentran muy extendidos. La investigación y su accesibilidad deben dirigirse a apoyar tanto a los Estados del área de distribución como a las comunidades, con el fin de que aborden las capturas insostenibles de carne de animales salvajes acuáticos.</w:t>
      </w:r>
    </w:p>
    <w:p w14:paraId="7EAEBED8" w14:textId="77777777" w:rsidR="00624D6A" w:rsidRPr="00FF5406" w:rsidRDefault="00624D6A" w:rsidP="006563FE">
      <w:pPr>
        <w:numPr>
          <w:ilvl w:val="0"/>
          <w:numId w:val="8"/>
        </w:numPr>
        <w:rPr>
          <w:rFonts w:cs="Arial"/>
          <w:lang w:val="es-ES"/>
        </w:rPr>
      </w:pPr>
    </w:p>
    <w:p w14:paraId="5CFC053D" w14:textId="77777777" w:rsidR="00C81E05" w:rsidRPr="00FF5406" w:rsidRDefault="00C81E05" w:rsidP="00C81E05">
      <w:pPr>
        <w:numPr>
          <w:ilvl w:val="0"/>
          <w:numId w:val="14"/>
        </w:numPr>
        <w:suppressAutoHyphens w:val="0"/>
        <w:jc w:val="both"/>
        <w:rPr>
          <w:rFonts w:cs="Arial"/>
          <w:spacing w:val="-2"/>
          <w:lang w:val="es-ES" w:eastAsia="en-GB"/>
        </w:rPr>
      </w:pPr>
      <w:r w:rsidRPr="00FF5406">
        <w:rPr>
          <w:rFonts w:cs="Arial"/>
          <w:lang w:val="es-ES" w:eastAsia="es-ES"/>
        </w:rPr>
        <w:t xml:space="preserve">Objetivo temático a 5 años: </w:t>
      </w:r>
      <w:r w:rsidRPr="00FF5406">
        <w:rPr>
          <w:rFonts w:cs="Arial"/>
          <w:b/>
          <w:bCs/>
          <w:lang w:val="es-ES" w:eastAsia="es-ES"/>
        </w:rPr>
        <w:t>Proporcionar unos conocimientos científicos de fácil acceso a los Estados del área de distribución de África occidental y fomentar la recopilación de información para colmar sus lagunas</w:t>
      </w:r>
    </w:p>
    <w:p w14:paraId="7142B192" w14:textId="284793C0" w:rsidR="00E16720" w:rsidRPr="00FF5406" w:rsidRDefault="00E16720" w:rsidP="006563FE">
      <w:pPr>
        <w:numPr>
          <w:ilvl w:val="0"/>
          <w:numId w:val="8"/>
        </w:numPr>
        <w:jc w:val="both"/>
        <w:rPr>
          <w:rFonts w:cs="Arial"/>
          <w:lang w:val="es-ES"/>
        </w:rPr>
      </w:pPr>
    </w:p>
    <w:tbl>
      <w:tblPr>
        <w:tblStyle w:val="TableGrid"/>
        <w:tblW w:w="0" w:type="auto"/>
        <w:tblLook w:val="0000" w:firstRow="0" w:lastRow="0" w:firstColumn="0" w:lastColumn="0" w:noHBand="0" w:noVBand="0"/>
      </w:tblPr>
      <w:tblGrid>
        <w:gridCol w:w="2781"/>
        <w:gridCol w:w="4358"/>
        <w:gridCol w:w="2888"/>
        <w:gridCol w:w="1055"/>
        <w:gridCol w:w="2866"/>
      </w:tblGrid>
      <w:tr w:rsidR="000C6328" w:rsidRPr="006C5A18" w14:paraId="03B1B111" w14:textId="77777777" w:rsidTr="00076A08">
        <w:trPr>
          <w:tblHeader/>
        </w:trPr>
        <w:tc>
          <w:tcPr>
            <w:tcW w:w="0" w:type="auto"/>
            <w:shd w:val="clear" w:color="auto" w:fill="DEEAF6" w:themeFill="accent5" w:themeFillTint="33"/>
          </w:tcPr>
          <w:p w14:paraId="429008FA" w14:textId="77777777" w:rsidR="008B0B52" w:rsidRPr="006C5A18" w:rsidRDefault="008B0B52" w:rsidP="008B0B52">
            <w:pPr>
              <w:numPr>
                <w:ilvl w:val="0"/>
                <w:numId w:val="15"/>
              </w:numPr>
              <w:suppressAutoHyphens/>
              <w:rPr>
                <w:rFonts w:ascii="Arial" w:hAnsi="Arial" w:cs="Arial"/>
                <w:b/>
                <w:bCs/>
                <w:lang w:val="es-ES"/>
              </w:rPr>
            </w:pPr>
            <w:r w:rsidRPr="006C5A18">
              <w:rPr>
                <w:rFonts w:ascii="Arial" w:hAnsi="Arial" w:cs="Arial"/>
                <w:b/>
                <w:bCs/>
                <w:lang w:val="es-ES"/>
              </w:rPr>
              <w:t>Acción</w:t>
            </w:r>
          </w:p>
        </w:tc>
        <w:tc>
          <w:tcPr>
            <w:tcW w:w="0" w:type="auto"/>
            <w:shd w:val="clear" w:color="auto" w:fill="DEEAF6" w:themeFill="accent5" w:themeFillTint="33"/>
          </w:tcPr>
          <w:p w14:paraId="2AB54998" w14:textId="77777777" w:rsidR="008B0B52" w:rsidRPr="006C5A18" w:rsidRDefault="008B0B52" w:rsidP="008B0B52">
            <w:pPr>
              <w:numPr>
                <w:ilvl w:val="0"/>
                <w:numId w:val="15"/>
              </w:numPr>
              <w:suppressAutoHyphens/>
              <w:rPr>
                <w:rFonts w:ascii="Arial" w:hAnsi="Arial" w:cs="Arial"/>
                <w:b/>
                <w:bCs/>
                <w:lang w:val="es-ES"/>
              </w:rPr>
            </w:pPr>
            <w:r w:rsidRPr="006C5A18">
              <w:rPr>
                <w:rFonts w:ascii="Arial" w:hAnsi="Arial" w:cs="Arial"/>
                <w:b/>
                <w:bCs/>
                <w:lang w:val="es-ES"/>
              </w:rPr>
              <w:t>Actividades</w:t>
            </w:r>
          </w:p>
        </w:tc>
        <w:tc>
          <w:tcPr>
            <w:tcW w:w="0" w:type="auto"/>
            <w:shd w:val="clear" w:color="auto" w:fill="DEEAF6" w:themeFill="accent5" w:themeFillTint="33"/>
          </w:tcPr>
          <w:p w14:paraId="07D51FD8" w14:textId="77777777" w:rsidR="008B0B52" w:rsidRPr="006C5A18" w:rsidRDefault="008B0B52" w:rsidP="008B0B52">
            <w:pPr>
              <w:numPr>
                <w:ilvl w:val="0"/>
                <w:numId w:val="15"/>
              </w:numPr>
              <w:suppressAutoHyphens/>
              <w:rPr>
                <w:rFonts w:ascii="Arial" w:hAnsi="Arial" w:cs="Arial"/>
                <w:b/>
                <w:bCs/>
                <w:lang w:val="es-ES"/>
              </w:rPr>
            </w:pPr>
            <w:r w:rsidRPr="006C5A18">
              <w:rPr>
                <w:rFonts w:ascii="Arial" w:hAnsi="Arial" w:cs="Arial"/>
                <w:b/>
                <w:bCs/>
                <w:lang w:val="es-ES"/>
              </w:rPr>
              <w:t>Responsabilidad</w:t>
            </w:r>
          </w:p>
        </w:tc>
        <w:tc>
          <w:tcPr>
            <w:tcW w:w="0" w:type="auto"/>
            <w:shd w:val="clear" w:color="auto" w:fill="DEEAF6" w:themeFill="accent5" w:themeFillTint="33"/>
          </w:tcPr>
          <w:p w14:paraId="163349DC" w14:textId="77777777" w:rsidR="008B0B52" w:rsidRPr="006C5A18" w:rsidRDefault="008B0B52" w:rsidP="008B0B52">
            <w:pPr>
              <w:numPr>
                <w:ilvl w:val="0"/>
                <w:numId w:val="15"/>
              </w:numPr>
              <w:suppressAutoHyphens/>
              <w:rPr>
                <w:rFonts w:ascii="Arial" w:hAnsi="Arial" w:cs="Arial"/>
                <w:b/>
                <w:bCs/>
                <w:lang w:val="es-ES"/>
              </w:rPr>
            </w:pPr>
            <w:r w:rsidRPr="006C5A18">
              <w:rPr>
                <w:rFonts w:ascii="Arial" w:hAnsi="Arial" w:cs="Arial"/>
                <w:b/>
                <w:bCs/>
                <w:lang w:val="es-ES"/>
              </w:rPr>
              <w:t>Período</w:t>
            </w:r>
          </w:p>
        </w:tc>
        <w:tc>
          <w:tcPr>
            <w:tcW w:w="0" w:type="auto"/>
            <w:shd w:val="clear" w:color="auto" w:fill="DEEAF6" w:themeFill="accent5" w:themeFillTint="33"/>
          </w:tcPr>
          <w:p w14:paraId="48A52CBA" w14:textId="77777777" w:rsidR="008B0B52" w:rsidRPr="006C5A18" w:rsidRDefault="008B0B52" w:rsidP="008B0B52">
            <w:pPr>
              <w:numPr>
                <w:ilvl w:val="0"/>
                <w:numId w:val="15"/>
              </w:numPr>
              <w:suppressAutoHyphens/>
              <w:rPr>
                <w:rFonts w:ascii="Arial" w:hAnsi="Arial" w:cs="Arial"/>
                <w:b/>
                <w:bCs/>
                <w:lang w:val="es-ES"/>
              </w:rPr>
            </w:pPr>
            <w:r w:rsidRPr="006C5A18">
              <w:rPr>
                <w:rFonts w:ascii="Arial" w:hAnsi="Arial" w:cs="Arial"/>
                <w:b/>
                <w:bCs/>
                <w:lang w:val="es-ES"/>
              </w:rPr>
              <w:t>Recursos necesarios</w:t>
            </w:r>
          </w:p>
        </w:tc>
      </w:tr>
      <w:tr w:rsidR="000C6328" w:rsidRPr="006C5A18" w14:paraId="0390D09E" w14:textId="77777777" w:rsidTr="00076A08">
        <w:tc>
          <w:tcPr>
            <w:tcW w:w="0" w:type="auto"/>
            <w:vMerge w:val="restart"/>
          </w:tcPr>
          <w:p w14:paraId="21B4A4B0" w14:textId="285B9A0B"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1.1. Consolidar los conocimientos científicos sobre el impacto del consumo de carne de animales salvajes acuáticos de las especies incluidas en la CMS</w:t>
            </w:r>
          </w:p>
        </w:tc>
        <w:tc>
          <w:tcPr>
            <w:tcW w:w="0" w:type="auto"/>
          </w:tcPr>
          <w:p w14:paraId="395A3159" w14:textId="77777777" w:rsidR="008B0B52" w:rsidRDefault="008B0B52" w:rsidP="00076A08">
            <w:pPr>
              <w:numPr>
                <w:ilvl w:val="0"/>
                <w:numId w:val="15"/>
              </w:numPr>
              <w:suppressAutoHyphens/>
              <w:jc w:val="both"/>
              <w:rPr>
                <w:rFonts w:ascii="Arial" w:hAnsi="Arial" w:cs="Arial"/>
                <w:lang w:val="es-ES"/>
              </w:rPr>
            </w:pPr>
            <w:r w:rsidRPr="006C5A18">
              <w:rPr>
                <w:rFonts w:ascii="Arial" w:hAnsi="Arial" w:cs="Arial"/>
                <w:lang w:val="es-ES"/>
              </w:rPr>
              <w:t>1.1.1. Elaborar una nota informativa sobre los conocimientos científicos de cada país, con enlaces a los documentos publicados y en el idioma correspondiente para cada país.</w:t>
            </w:r>
          </w:p>
          <w:p w14:paraId="2A1EC04B" w14:textId="77777777" w:rsidR="00076A08" w:rsidRPr="006C5A18" w:rsidRDefault="00076A08" w:rsidP="00076A08">
            <w:pPr>
              <w:numPr>
                <w:ilvl w:val="0"/>
                <w:numId w:val="15"/>
              </w:numPr>
              <w:suppressAutoHyphens/>
              <w:jc w:val="both"/>
              <w:rPr>
                <w:rFonts w:ascii="Arial" w:hAnsi="Arial" w:cs="Arial"/>
                <w:lang w:val="es-ES"/>
              </w:rPr>
            </w:pPr>
          </w:p>
        </w:tc>
        <w:tc>
          <w:tcPr>
            <w:tcW w:w="0" w:type="auto"/>
          </w:tcPr>
          <w:p w14:paraId="78C3B43E"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Grupo de trabajo sobre la carne de animales salvajes acuáticos de la CMS (AWM WG, en colaboración con los puntos focales)</w:t>
            </w:r>
          </w:p>
        </w:tc>
        <w:tc>
          <w:tcPr>
            <w:tcW w:w="0" w:type="auto"/>
          </w:tcPr>
          <w:p w14:paraId="06E694CE"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2024</w:t>
            </w:r>
          </w:p>
        </w:tc>
        <w:tc>
          <w:tcPr>
            <w:tcW w:w="0" w:type="auto"/>
          </w:tcPr>
          <w:p w14:paraId="56E75410"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Investigación documental y redacción</w:t>
            </w:r>
          </w:p>
        </w:tc>
      </w:tr>
      <w:tr w:rsidR="000C6328" w:rsidRPr="006C5A18" w14:paraId="78AA51BB" w14:textId="77777777" w:rsidTr="00076A08">
        <w:tc>
          <w:tcPr>
            <w:tcW w:w="0" w:type="auto"/>
            <w:vMerge/>
          </w:tcPr>
          <w:p w14:paraId="1D489ECE" w14:textId="77777777" w:rsidR="008B0B52" w:rsidRPr="006C5A18" w:rsidRDefault="008B0B52" w:rsidP="00076A08">
            <w:pPr>
              <w:suppressAutoHyphens/>
              <w:jc w:val="both"/>
              <w:rPr>
                <w:rFonts w:ascii="Arial" w:hAnsi="Arial" w:cs="Arial"/>
                <w:lang w:val="es-ES"/>
              </w:rPr>
            </w:pPr>
          </w:p>
        </w:tc>
        <w:tc>
          <w:tcPr>
            <w:tcW w:w="0" w:type="auto"/>
          </w:tcPr>
          <w:p w14:paraId="3339129C" w14:textId="77777777" w:rsidR="008B0B52" w:rsidRDefault="008B0B52" w:rsidP="00076A08">
            <w:pPr>
              <w:numPr>
                <w:ilvl w:val="0"/>
                <w:numId w:val="15"/>
              </w:numPr>
              <w:suppressAutoHyphens/>
              <w:jc w:val="both"/>
              <w:rPr>
                <w:rFonts w:ascii="Arial" w:hAnsi="Arial" w:cs="Arial"/>
                <w:lang w:val="es-ES"/>
              </w:rPr>
            </w:pPr>
            <w:r w:rsidRPr="006C5A18">
              <w:rPr>
                <w:rFonts w:ascii="Arial" w:hAnsi="Arial" w:cs="Arial"/>
                <w:lang w:val="es-ES"/>
              </w:rPr>
              <w:t>1.1.2. Hacer llegar la nota informativa a todos los Estados del área de distribución del Plan de Acción.</w:t>
            </w:r>
          </w:p>
          <w:p w14:paraId="0601037B" w14:textId="77777777" w:rsidR="006C5A18" w:rsidRPr="006C5A18" w:rsidRDefault="006C5A18" w:rsidP="00076A08">
            <w:pPr>
              <w:numPr>
                <w:ilvl w:val="0"/>
                <w:numId w:val="15"/>
              </w:numPr>
              <w:suppressAutoHyphens/>
              <w:jc w:val="both"/>
              <w:rPr>
                <w:rFonts w:ascii="Arial" w:hAnsi="Arial" w:cs="Arial"/>
                <w:lang w:val="es-ES"/>
              </w:rPr>
            </w:pPr>
          </w:p>
        </w:tc>
        <w:tc>
          <w:tcPr>
            <w:tcW w:w="0" w:type="auto"/>
          </w:tcPr>
          <w:p w14:paraId="6FEF3376"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Secretaría de la CMS</w:t>
            </w:r>
          </w:p>
        </w:tc>
        <w:tc>
          <w:tcPr>
            <w:tcW w:w="0" w:type="auto"/>
          </w:tcPr>
          <w:p w14:paraId="46963565"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2024</w:t>
            </w:r>
          </w:p>
        </w:tc>
        <w:tc>
          <w:tcPr>
            <w:tcW w:w="0" w:type="auto"/>
          </w:tcPr>
          <w:p w14:paraId="0B8B4387"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Trabajo interno de la Secretaría</w:t>
            </w:r>
          </w:p>
        </w:tc>
      </w:tr>
      <w:tr w:rsidR="000C6328" w:rsidRPr="006C5A18" w14:paraId="1B0BAC09" w14:textId="77777777" w:rsidTr="00076A08">
        <w:tc>
          <w:tcPr>
            <w:tcW w:w="0" w:type="auto"/>
            <w:vMerge w:val="restart"/>
          </w:tcPr>
          <w:p w14:paraId="10031D1C" w14:textId="01AB3DB8"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1.2. Identificar y abordar las lagunas en cuanto a los conocimientos científicos</w:t>
            </w:r>
          </w:p>
        </w:tc>
        <w:tc>
          <w:tcPr>
            <w:tcW w:w="0" w:type="auto"/>
          </w:tcPr>
          <w:p w14:paraId="1E3E3B70" w14:textId="77777777" w:rsidR="008B0B52" w:rsidRDefault="008B0B52" w:rsidP="00076A08">
            <w:pPr>
              <w:numPr>
                <w:ilvl w:val="0"/>
                <w:numId w:val="15"/>
              </w:numPr>
              <w:suppressAutoHyphens/>
              <w:jc w:val="both"/>
              <w:rPr>
                <w:rFonts w:ascii="Arial" w:hAnsi="Arial" w:cs="Arial"/>
                <w:lang w:val="es-ES"/>
              </w:rPr>
            </w:pPr>
            <w:r w:rsidRPr="006C5A18">
              <w:rPr>
                <w:rFonts w:ascii="Arial" w:hAnsi="Arial" w:cs="Arial"/>
                <w:lang w:val="es-ES"/>
              </w:rPr>
              <w:t>1.2.1. Evaluar los conocimientos científicos, en relación con la distribución conocida de las especies de cada Estado del área de distribución, e identificar sus lagunas.</w:t>
            </w:r>
          </w:p>
          <w:p w14:paraId="62807F0E" w14:textId="4FFCD4A0" w:rsidR="006C5A18" w:rsidRPr="006C5A18" w:rsidRDefault="006C5A18" w:rsidP="00076A08">
            <w:pPr>
              <w:numPr>
                <w:ilvl w:val="0"/>
                <w:numId w:val="15"/>
              </w:numPr>
              <w:suppressAutoHyphens/>
              <w:jc w:val="both"/>
              <w:rPr>
                <w:rFonts w:ascii="Arial" w:hAnsi="Arial" w:cs="Arial"/>
                <w:lang w:val="es-ES"/>
              </w:rPr>
            </w:pPr>
          </w:p>
        </w:tc>
        <w:tc>
          <w:tcPr>
            <w:tcW w:w="0" w:type="auto"/>
          </w:tcPr>
          <w:p w14:paraId="76972BA7" w14:textId="3175E7B3"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 xml:space="preserve">Puntos focales de África occidental de la CMS, de la CITES, del Convenio de Abiyán, de Ramsar, de la UICN y de la FAO </w:t>
            </w:r>
          </w:p>
        </w:tc>
        <w:tc>
          <w:tcPr>
            <w:tcW w:w="0" w:type="auto"/>
          </w:tcPr>
          <w:p w14:paraId="20729144" w14:textId="1346953F"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2024-2026</w:t>
            </w:r>
          </w:p>
        </w:tc>
        <w:tc>
          <w:tcPr>
            <w:tcW w:w="0" w:type="auto"/>
          </w:tcPr>
          <w:p w14:paraId="663BB13F" w14:textId="15D855D9"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Trabajo interno de los organismos</w:t>
            </w:r>
          </w:p>
        </w:tc>
      </w:tr>
      <w:tr w:rsidR="000C6328" w:rsidRPr="006C5A18" w14:paraId="11D56345" w14:textId="77777777" w:rsidTr="00076A08">
        <w:tc>
          <w:tcPr>
            <w:tcW w:w="0" w:type="auto"/>
            <w:vMerge/>
          </w:tcPr>
          <w:p w14:paraId="29D38932" w14:textId="77777777" w:rsidR="008B0B52" w:rsidRPr="006C5A18" w:rsidRDefault="008B0B52" w:rsidP="00076A08">
            <w:pPr>
              <w:numPr>
                <w:ilvl w:val="0"/>
                <w:numId w:val="15"/>
              </w:numPr>
              <w:suppressAutoHyphens/>
              <w:jc w:val="both"/>
              <w:rPr>
                <w:rFonts w:ascii="Arial" w:hAnsi="Arial" w:cs="Arial"/>
                <w:lang w:val="es-ES"/>
              </w:rPr>
            </w:pPr>
          </w:p>
        </w:tc>
        <w:tc>
          <w:tcPr>
            <w:tcW w:w="0" w:type="auto"/>
          </w:tcPr>
          <w:p w14:paraId="003BD434" w14:textId="7E191A98"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1.2.2. Identificar y dirigirse a instituciones científicas clave, y llevar a cabo campañas conjuntas de recaudación de fondos, con el fin de promover sus contribuciones al Plan de Acción mediante la realización de proyectos esenciales de investigación con respecto a las lagunas de información más acuciantes, tales como las siguientes:</w:t>
            </w:r>
          </w:p>
          <w:p w14:paraId="124885BE" w14:textId="77777777" w:rsidR="008B0B52" w:rsidRPr="006C5A18" w:rsidRDefault="008B0B52" w:rsidP="00076A08">
            <w:pPr>
              <w:numPr>
                <w:ilvl w:val="0"/>
                <w:numId w:val="15"/>
              </w:numPr>
              <w:suppressAutoHyphens/>
              <w:jc w:val="both"/>
              <w:rPr>
                <w:rFonts w:ascii="Arial" w:hAnsi="Arial" w:cs="Arial"/>
                <w:lang w:val="es-ES"/>
              </w:rPr>
            </w:pPr>
          </w:p>
          <w:p w14:paraId="033F7C02"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a) aspectos socioculturales de la captura y el consumo de carne de animales salvajes acuáticos, incluso del papel de los sistemas tabúes;</w:t>
            </w:r>
          </w:p>
          <w:p w14:paraId="3584FA20" w14:textId="77777777" w:rsidR="008B0B52" w:rsidRPr="006C5A18" w:rsidRDefault="008B0B52" w:rsidP="00076A08">
            <w:pPr>
              <w:suppressAutoHyphens/>
              <w:jc w:val="both"/>
              <w:rPr>
                <w:rFonts w:ascii="Arial" w:hAnsi="Arial" w:cs="Arial"/>
                <w:lang w:val="es-ES"/>
              </w:rPr>
            </w:pPr>
          </w:p>
          <w:p w14:paraId="497C7FC4"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b) propiedades nutricionales de la carne de los animales salvajes acuáticos;</w:t>
            </w:r>
          </w:p>
          <w:p w14:paraId="483E529A" w14:textId="77777777" w:rsidR="008B0B52" w:rsidRPr="006C5A18" w:rsidRDefault="008B0B52" w:rsidP="00076A08">
            <w:pPr>
              <w:numPr>
                <w:ilvl w:val="0"/>
                <w:numId w:val="15"/>
              </w:numPr>
              <w:suppressAutoHyphens/>
              <w:jc w:val="both"/>
              <w:rPr>
                <w:rFonts w:ascii="Arial" w:hAnsi="Arial" w:cs="Arial"/>
                <w:lang w:val="es-ES"/>
              </w:rPr>
            </w:pPr>
          </w:p>
          <w:p w14:paraId="19F3B3F7" w14:textId="77777777" w:rsidR="008B0B52" w:rsidRPr="006C5A18" w:rsidRDefault="008B0B52" w:rsidP="00076A08">
            <w:pPr>
              <w:suppressAutoHyphens/>
              <w:jc w:val="both"/>
              <w:rPr>
                <w:rFonts w:ascii="Arial" w:hAnsi="Arial" w:cs="Arial"/>
                <w:lang w:val="es-ES"/>
              </w:rPr>
            </w:pPr>
            <w:r w:rsidRPr="006C5A18">
              <w:rPr>
                <w:rFonts w:ascii="Arial" w:hAnsi="Arial" w:cs="Arial"/>
                <w:lang w:val="es-ES"/>
              </w:rPr>
              <w:t>c) evaluaciones cuantitativas del consumo y comercio de la carne de animales salvajes acuáticos, con el fin de entender lo mejor posible las vías de la demanda y del comercio;</w:t>
            </w:r>
          </w:p>
          <w:p w14:paraId="354BD24A" w14:textId="77777777" w:rsidR="008B0B52" w:rsidRPr="006C5A18" w:rsidRDefault="008B0B52" w:rsidP="00076A08">
            <w:pPr>
              <w:numPr>
                <w:ilvl w:val="0"/>
                <w:numId w:val="15"/>
              </w:numPr>
              <w:suppressAutoHyphens/>
              <w:jc w:val="both"/>
              <w:rPr>
                <w:rFonts w:ascii="Arial" w:hAnsi="Arial" w:cs="Arial"/>
                <w:lang w:val="es-ES"/>
              </w:rPr>
            </w:pPr>
          </w:p>
          <w:p w14:paraId="38CF2644" w14:textId="77777777" w:rsidR="008B0B52" w:rsidRPr="009D2122" w:rsidRDefault="008B0B52" w:rsidP="00076A08">
            <w:pPr>
              <w:numPr>
                <w:ilvl w:val="0"/>
                <w:numId w:val="15"/>
              </w:numPr>
              <w:suppressAutoHyphens/>
              <w:jc w:val="both"/>
              <w:rPr>
                <w:rFonts w:ascii="Arial" w:hAnsi="Arial" w:cs="Arial"/>
                <w:lang w:val="es-ES"/>
              </w:rPr>
            </w:pPr>
            <w:r w:rsidRPr="006C5A18">
              <w:rPr>
                <w:rFonts w:ascii="Arial" w:hAnsi="Arial" w:cs="Arial"/>
                <w:lang w:val="es-ES"/>
              </w:rPr>
              <w:t>d) la sostenibilidad ecológica de las capturas actuales, así como de los parámetros poblacionales, los procesos y las estrategias de gestión de base científica, necesarias para superar los problemas, especialmente ante los efectos del cambio climático en los hábitats;</w:t>
            </w:r>
          </w:p>
          <w:p w14:paraId="7DFBE02E" w14:textId="77777777" w:rsidR="008B0B52" w:rsidRPr="009D2122" w:rsidRDefault="008B0B52" w:rsidP="00076A08">
            <w:pPr>
              <w:numPr>
                <w:ilvl w:val="0"/>
                <w:numId w:val="15"/>
              </w:numPr>
              <w:suppressAutoHyphens/>
              <w:jc w:val="both"/>
              <w:rPr>
                <w:rFonts w:ascii="Arial" w:hAnsi="Arial" w:cs="Arial"/>
                <w:lang w:val="es-ES"/>
              </w:rPr>
            </w:pPr>
          </w:p>
          <w:p w14:paraId="42D450FA"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e) el diseño y ensayo de métodos de pesca para minimizar y, en última instancia, eliminar la mortalidad por capturas incidentales;</w:t>
            </w:r>
          </w:p>
          <w:p w14:paraId="663361DB" w14:textId="77777777" w:rsidR="008B0B52" w:rsidRPr="009D2122" w:rsidRDefault="008B0B52" w:rsidP="00076A08">
            <w:pPr>
              <w:numPr>
                <w:ilvl w:val="0"/>
                <w:numId w:val="15"/>
              </w:numPr>
              <w:suppressAutoHyphens/>
              <w:jc w:val="both"/>
              <w:rPr>
                <w:rFonts w:ascii="Arial" w:hAnsi="Arial" w:cs="Arial"/>
                <w:lang w:val="es-ES"/>
              </w:rPr>
            </w:pPr>
          </w:p>
          <w:p w14:paraId="5C3E02FF" w14:textId="77777777" w:rsidR="008B0B52" w:rsidRPr="009D2122" w:rsidRDefault="008B0B52" w:rsidP="00076A08">
            <w:pPr>
              <w:numPr>
                <w:ilvl w:val="0"/>
                <w:numId w:val="15"/>
              </w:numPr>
              <w:suppressAutoHyphens/>
              <w:jc w:val="both"/>
              <w:rPr>
                <w:rFonts w:ascii="Arial" w:hAnsi="Arial" w:cs="Arial"/>
                <w:lang w:val="es-ES"/>
              </w:rPr>
            </w:pPr>
            <w:r w:rsidRPr="009D2122">
              <w:rPr>
                <w:rFonts w:ascii="Arial" w:hAnsi="Arial" w:cs="Arial"/>
                <w:lang w:val="es-ES"/>
              </w:rPr>
              <w:t>f) el empleo de la carne de animales salvajes acuáticos como cebo para otras actividades pesqueras comerciales y la posibilidad de utilizar cebos alternativos que puedan obtenerse de forma sostenible; y</w:t>
            </w:r>
          </w:p>
          <w:p w14:paraId="5205D4D1" w14:textId="77777777" w:rsidR="008B0B52" w:rsidRPr="009D2122" w:rsidRDefault="008B0B52" w:rsidP="00076A08">
            <w:pPr>
              <w:numPr>
                <w:ilvl w:val="0"/>
                <w:numId w:val="15"/>
              </w:numPr>
              <w:suppressAutoHyphens/>
              <w:jc w:val="both"/>
              <w:rPr>
                <w:rFonts w:ascii="Arial" w:hAnsi="Arial" w:cs="Arial"/>
                <w:lang w:val="es-ES"/>
              </w:rPr>
            </w:pPr>
          </w:p>
          <w:p w14:paraId="44C22A25" w14:textId="77777777" w:rsidR="008B0B52" w:rsidRPr="009D2122" w:rsidRDefault="008B0B52" w:rsidP="00076A08">
            <w:pPr>
              <w:numPr>
                <w:ilvl w:val="0"/>
                <w:numId w:val="15"/>
              </w:numPr>
              <w:suppressAutoHyphens/>
              <w:jc w:val="both"/>
              <w:rPr>
                <w:rFonts w:ascii="Arial" w:hAnsi="Arial" w:cs="Arial"/>
                <w:lang w:val="es-ES"/>
              </w:rPr>
            </w:pPr>
            <w:r w:rsidRPr="009D2122">
              <w:rPr>
                <w:rFonts w:ascii="Arial" w:hAnsi="Arial" w:cs="Arial"/>
                <w:lang w:val="es-ES"/>
              </w:rPr>
              <w:t>g) las rutas migratorias de la megafauna acuática, con el fin de entender lo mejor posible el papel de la inmigración y de la emigración en las poblaciones que se utilizan para obtener carne de animales salvajes acuáticos.</w:t>
            </w:r>
          </w:p>
          <w:p w14:paraId="67D7AD93" w14:textId="77777777" w:rsidR="008B0B52" w:rsidRPr="009D2122" w:rsidRDefault="008B0B52" w:rsidP="00076A08">
            <w:pPr>
              <w:suppressAutoHyphens/>
              <w:jc w:val="both"/>
              <w:rPr>
                <w:rFonts w:ascii="Arial" w:hAnsi="Arial" w:cs="Arial"/>
                <w:lang w:val="es-ES"/>
              </w:rPr>
            </w:pPr>
          </w:p>
          <w:p w14:paraId="33431849" w14:textId="582ABBF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h) la incidencia y el impacto de las zoonosis acuáticas (un enfoque sanitario y la definición de medidas paliativas adecuadas)</w:t>
            </w:r>
          </w:p>
        </w:tc>
        <w:tc>
          <w:tcPr>
            <w:tcW w:w="0" w:type="auto"/>
          </w:tcPr>
          <w:p w14:paraId="3007692F" w14:textId="38086AAD" w:rsidR="008B0B52" w:rsidRPr="006C5A18" w:rsidRDefault="007845EB" w:rsidP="00076A08">
            <w:pPr>
              <w:numPr>
                <w:ilvl w:val="0"/>
                <w:numId w:val="15"/>
              </w:numPr>
              <w:suppressAutoHyphens/>
              <w:jc w:val="both"/>
              <w:rPr>
                <w:rFonts w:ascii="Arial" w:hAnsi="Arial" w:cs="Arial"/>
                <w:lang w:val="es-ES"/>
              </w:rPr>
            </w:pPr>
            <w:r w:rsidRPr="006C5A18">
              <w:rPr>
                <w:rFonts w:ascii="Arial" w:hAnsi="Arial" w:cs="Arial"/>
                <w:lang w:val="es-ES"/>
              </w:rPr>
              <w:lastRenderedPageBreak/>
              <w:t>AWM WG</w:t>
            </w:r>
          </w:p>
        </w:tc>
        <w:tc>
          <w:tcPr>
            <w:tcW w:w="0" w:type="auto"/>
          </w:tcPr>
          <w:p w14:paraId="275B008D" w14:textId="77AAFC37" w:rsidR="008B0B52" w:rsidRPr="006C5A18" w:rsidRDefault="00C4151D" w:rsidP="00076A08">
            <w:pPr>
              <w:numPr>
                <w:ilvl w:val="0"/>
                <w:numId w:val="15"/>
              </w:numPr>
              <w:suppressAutoHyphens/>
              <w:jc w:val="both"/>
              <w:rPr>
                <w:rFonts w:ascii="Arial" w:hAnsi="Arial" w:cs="Arial"/>
                <w:lang w:val="es-ES"/>
              </w:rPr>
            </w:pPr>
            <w:r w:rsidRPr="006C5A18">
              <w:rPr>
                <w:rFonts w:ascii="Arial" w:hAnsi="Arial" w:cs="Arial"/>
                <w:lang w:val="es-ES"/>
              </w:rPr>
              <w:t>2024</w:t>
            </w:r>
          </w:p>
        </w:tc>
        <w:tc>
          <w:tcPr>
            <w:tcW w:w="0" w:type="auto"/>
          </w:tcPr>
          <w:p w14:paraId="6930D7D8" w14:textId="51E739ED" w:rsidR="008B0B52" w:rsidRPr="006C5A18" w:rsidRDefault="00C4151D" w:rsidP="00076A08">
            <w:pPr>
              <w:numPr>
                <w:ilvl w:val="0"/>
                <w:numId w:val="15"/>
              </w:numPr>
              <w:suppressAutoHyphens/>
              <w:jc w:val="both"/>
              <w:rPr>
                <w:rFonts w:ascii="Arial" w:hAnsi="Arial" w:cs="Arial"/>
                <w:lang w:val="es-ES"/>
              </w:rPr>
            </w:pPr>
            <w:r w:rsidRPr="006C5A18">
              <w:rPr>
                <w:rFonts w:ascii="Arial" w:hAnsi="Arial" w:cs="Arial"/>
                <w:lang w:val="es-ES"/>
              </w:rPr>
              <w:t>Trabajo interno del AWM WG tanto para apoyar la recaudación de fondos como para garantizar el compromiso científico, con el fin de comenzar las actividades de investigación</w:t>
            </w:r>
          </w:p>
        </w:tc>
      </w:tr>
      <w:tr w:rsidR="000C6328" w:rsidRPr="006C5A18" w14:paraId="6BD2E29C" w14:textId="77777777" w:rsidTr="00076A08">
        <w:tc>
          <w:tcPr>
            <w:tcW w:w="0" w:type="auto"/>
            <w:vMerge/>
          </w:tcPr>
          <w:p w14:paraId="0CB932B2" w14:textId="77777777" w:rsidR="008B0B52" w:rsidRPr="006C5A18" w:rsidRDefault="008B0B52" w:rsidP="00076A08">
            <w:pPr>
              <w:suppressAutoHyphens/>
              <w:jc w:val="both"/>
              <w:rPr>
                <w:rFonts w:ascii="Arial" w:hAnsi="Arial" w:cs="Arial"/>
                <w:lang w:val="es-ES"/>
              </w:rPr>
            </w:pPr>
          </w:p>
        </w:tc>
        <w:tc>
          <w:tcPr>
            <w:tcW w:w="0" w:type="auto"/>
          </w:tcPr>
          <w:p w14:paraId="37DA7BD4"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1.2.3. Fomentar el establecimiento y la expansión de redes de expertos apropiados, y de actores locales, que dispongan de información relevante, en concreto, aunque no de forma exclusiva, en el seno del Grupo de trabajo sobre la carne de animales salvajes acuáticos de la CMS y de la Red de Vida Silvestre Acuática de Abiyán (colaborando de forma estrecha con otras redes importantes de África occidental) con el fin de respaldar a los Estados del área de distribución en la ejecución del Plan de Acción.</w:t>
            </w:r>
          </w:p>
        </w:tc>
        <w:tc>
          <w:tcPr>
            <w:tcW w:w="0" w:type="auto"/>
          </w:tcPr>
          <w:p w14:paraId="53CD5173"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AWM WG</w:t>
            </w:r>
          </w:p>
        </w:tc>
        <w:tc>
          <w:tcPr>
            <w:tcW w:w="0" w:type="auto"/>
          </w:tcPr>
          <w:p w14:paraId="06BA9607"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2024-2029</w:t>
            </w:r>
          </w:p>
        </w:tc>
        <w:tc>
          <w:tcPr>
            <w:tcW w:w="0" w:type="auto"/>
          </w:tcPr>
          <w:p w14:paraId="3F1A3793" w14:textId="77777777" w:rsidR="008B0B52" w:rsidRPr="006C5A18" w:rsidRDefault="008B0B52" w:rsidP="00076A08">
            <w:pPr>
              <w:numPr>
                <w:ilvl w:val="0"/>
                <w:numId w:val="15"/>
              </w:numPr>
              <w:suppressAutoHyphens/>
              <w:jc w:val="both"/>
              <w:rPr>
                <w:rFonts w:ascii="Arial" w:hAnsi="Arial" w:cs="Arial"/>
                <w:lang w:val="es-ES"/>
              </w:rPr>
            </w:pPr>
            <w:r w:rsidRPr="006C5A18">
              <w:rPr>
                <w:rFonts w:ascii="Arial" w:hAnsi="Arial" w:cs="Arial"/>
                <w:lang w:val="es-ES"/>
              </w:rPr>
              <w:t>Trabajo interno del AWM WG</w:t>
            </w:r>
          </w:p>
        </w:tc>
      </w:tr>
    </w:tbl>
    <w:p w14:paraId="58271FEF" w14:textId="77777777" w:rsidR="00E16720" w:rsidRPr="00FF5406" w:rsidRDefault="00E16720" w:rsidP="00BE0797">
      <w:pPr>
        <w:rPr>
          <w:rFonts w:cs="Arial"/>
          <w:lang w:val="es-ES"/>
        </w:rPr>
      </w:pPr>
    </w:p>
    <w:p w14:paraId="1678E38E" w14:textId="2C2DF187" w:rsidR="009D2122" w:rsidRDefault="009D2122">
      <w:pPr>
        <w:rPr>
          <w:rFonts w:eastAsia="Noto Sans CJK SC" w:cs="Arial"/>
          <w:b/>
          <w:bCs/>
          <w:kern w:val="2"/>
          <w:lang w:val="es-ES" w:eastAsia="zh-CN" w:bidi="hi-IN"/>
        </w:rPr>
      </w:pPr>
      <w:r>
        <w:rPr>
          <w:rFonts w:eastAsia="Noto Sans CJK SC" w:cs="Arial"/>
          <w:b/>
          <w:bCs/>
          <w:kern w:val="2"/>
          <w:lang w:val="es-ES" w:eastAsia="zh-CN" w:bidi="hi-IN"/>
        </w:rPr>
        <w:br w:type="page"/>
      </w:r>
    </w:p>
    <w:p w14:paraId="584206BF" w14:textId="77777777" w:rsidR="00D20A8C" w:rsidRDefault="00E16720" w:rsidP="00076A08">
      <w:pPr>
        <w:pStyle w:val="Heading3"/>
        <w:spacing w:before="0" w:after="0"/>
        <w:jc w:val="center"/>
        <w:rPr>
          <w:rFonts w:ascii="Arial" w:hAnsi="Arial" w:cs="Arial"/>
          <w:sz w:val="22"/>
          <w:szCs w:val="22"/>
          <w:lang w:val="es-ES"/>
        </w:rPr>
      </w:pPr>
      <w:r w:rsidRPr="00FF5406">
        <w:rPr>
          <w:rFonts w:ascii="Arial" w:hAnsi="Arial" w:cs="Arial"/>
          <w:sz w:val="22"/>
          <w:szCs w:val="22"/>
          <w:lang w:val="es-ES"/>
        </w:rPr>
        <w:lastRenderedPageBreak/>
        <w:t xml:space="preserve">Temática 2: </w:t>
      </w:r>
    </w:p>
    <w:p w14:paraId="13D59273" w14:textId="77777777" w:rsidR="006C5A18" w:rsidRPr="006C5A18" w:rsidRDefault="006C5A18" w:rsidP="00076A08">
      <w:pPr>
        <w:pStyle w:val="BodyText"/>
        <w:spacing w:after="0" w:line="240" w:lineRule="auto"/>
        <w:rPr>
          <w:lang w:val="es-ES" w:eastAsia="zh-CN" w:bidi="hi-IN"/>
        </w:rPr>
      </w:pPr>
    </w:p>
    <w:p w14:paraId="7000E784" w14:textId="356AAB7F" w:rsidR="00E16720" w:rsidRPr="00FF5406" w:rsidRDefault="00E16720" w:rsidP="006563FE">
      <w:pPr>
        <w:pStyle w:val="Heading3"/>
        <w:spacing w:before="0" w:after="0"/>
        <w:jc w:val="center"/>
        <w:rPr>
          <w:rFonts w:ascii="Arial" w:hAnsi="Arial" w:cs="Arial"/>
          <w:sz w:val="22"/>
          <w:szCs w:val="22"/>
          <w:lang w:val="es-ES"/>
        </w:rPr>
      </w:pPr>
      <w:r w:rsidRPr="00FF5406">
        <w:rPr>
          <w:rFonts w:ascii="Arial" w:hAnsi="Arial" w:cs="Arial"/>
          <w:sz w:val="22"/>
          <w:szCs w:val="22"/>
          <w:lang w:val="es-ES"/>
        </w:rPr>
        <w:t xml:space="preserve">Conocer los factores y presiones de la captura de la carne de animales salvajes acuáticos </w:t>
      </w:r>
    </w:p>
    <w:p w14:paraId="3A1C8E62" w14:textId="77777777" w:rsidR="0054142C" w:rsidRPr="00FF5406" w:rsidRDefault="0054142C" w:rsidP="006563FE">
      <w:pPr>
        <w:numPr>
          <w:ilvl w:val="0"/>
          <w:numId w:val="8"/>
        </w:numPr>
        <w:jc w:val="both"/>
        <w:rPr>
          <w:rFonts w:cs="Arial"/>
          <w:lang w:val="es-ES"/>
        </w:rPr>
      </w:pPr>
    </w:p>
    <w:p w14:paraId="474DBE51" w14:textId="1B846FE9" w:rsidR="00E16720" w:rsidRPr="00FF5406" w:rsidRDefault="00507709" w:rsidP="006563FE">
      <w:pPr>
        <w:numPr>
          <w:ilvl w:val="0"/>
          <w:numId w:val="8"/>
        </w:numPr>
        <w:jc w:val="both"/>
        <w:rPr>
          <w:rFonts w:cs="Arial"/>
          <w:lang w:val="es-ES"/>
        </w:rPr>
      </w:pPr>
      <w:r w:rsidRPr="00FF5406">
        <w:rPr>
          <w:rFonts w:cs="Arial"/>
          <w:lang w:val="es-ES" w:eastAsia="es-ES"/>
        </w:rPr>
        <w:t>Conocer los factores que impulsan y presionan la captura de carne de animales salvajes acuáticos en la región y en las comunidades es crucial para el diseño de programas de mitigación. Para profundizar en ello, es preciso recopilar y difundir información.</w:t>
      </w:r>
    </w:p>
    <w:p w14:paraId="7C605A6F" w14:textId="77777777" w:rsidR="00507709" w:rsidRPr="00FF5406" w:rsidRDefault="00507709" w:rsidP="006563FE">
      <w:pPr>
        <w:numPr>
          <w:ilvl w:val="0"/>
          <w:numId w:val="8"/>
        </w:numPr>
        <w:jc w:val="both"/>
        <w:rPr>
          <w:rFonts w:cs="Arial"/>
          <w:lang w:val="es-ES"/>
        </w:rPr>
      </w:pPr>
    </w:p>
    <w:p w14:paraId="1A4C7690" w14:textId="77777777" w:rsidR="00AF5191" w:rsidRPr="00FF5406" w:rsidRDefault="00AF5191" w:rsidP="00AF5191">
      <w:pPr>
        <w:numPr>
          <w:ilvl w:val="0"/>
          <w:numId w:val="15"/>
        </w:numPr>
        <w:suppressAutoHyphens w:val="0"/>
        <w:jc w:val="both"/>
        <w:rPr>
          <w:rFonts w:cs="Arial"/>
          <w:spacing w:val="-2"/>
          <w:lang w:val="es-ES" w:eastAsia="en-GB"/>
        </w:rPr>
      </w:pPr>
      <w:r w:rsidRPr="00FF5406">
        <w:rPr>
          <w:rFonts w:cs="Arial"/>
          <w:lang w:val="es-ES" w:eastAsia="es-ES"/>
        </w:rPr>
        <w:t xml:space="preserve">Objetivo temático a 5 años: </w:t>
      </w:r>
      <w:r w:rsidRPr="00FF5406">
        <w:rPr>
          <w:rFonts w:cs="Arial"/>
          <w:b/>
          <w:bCs/>
          <w:lang w:val="es-ES" w:eastAsia="es-ES"/>
        </w:rPr>
        <w:t>Profundizar en el conocimiento de los factores que impulsan y presionan la captura de carne de animales salvajes acuáticos para fundamentar mejor las soluciones</w:t>
      </w:r>
    </w:p>
    <w:p w14:paraId="4B73A019" w14:textId="77777777" w:rsidR="00E16720" w:rsidRPr="00FF5406" w:rsidRDefault="00E16720" w:rsidP="006563FE">
      <w:pPr>
        <w:numPr>
          <w:ilvl w:val="0"/>
          <w:numId w:val="8"/>
        </w:numPr>
        <w:jc w:val="both"/>
        <w:rPr>
          <w:rFonts w:cs="Arial"/>
          <w:lang w:val="es-ES"/>
        </w:rPr>
      </w:pPr>
    </w:p>
    <w:tbl>
      <w:tblPr>
        <w:tblStyle w:val="TableGrid"/>
        <w:tblW w:w="0" w:type="auto"/>
        <w:tblLook w:val="0000" w:firstRow="0" w:lastRow="0" w:firstColumn="0" w:lastColumn="0" w:noHBand="0" w:noVBand="0"/>
      </w:tblPr>
      <w:tblGrid>
        <w:gridCol w:w="2778"/>
        <w:gridCol w:w="3730"/>
        <w:gridCol w:w="2924"/>
        <w:gridCol w:w="1996"/>
        <w:gridCol w:w="2520"/>
      </w:tblGrid>
      <w:tr w:rsidR="000C6328" w:rsidRPr="00FF5406" w14:paraId="0EDE9AB0" w14:textId="77777777" w:rsidTr="00076A08">
        <w:trPr>
          <w:tblHeader/>
        </w:trPr>
        <w:tc>
          <w:tcPr>
            <w:tcW w:w="0" w:type="auto"/>
            <w:shd w:val="clear" w:color="auto" w:fill="DEEAF6" w:themeFill="accent5" w:themeFillTint="33"/>
          </w:tcPr>
          <w:p w14:paraId="64A434A5" w14:textId="77777777" w:rsidR="005B5C7D" w:rsidRPr="00FF5406" w:rsidRDefault="005B5C7D" w:rsidP="005B5C7D">
            <w:pPr>
              <w:numPr>
                <w:ilvl w:val="0"/>
                <w:numId w:val="15"/>
              </w:numPr>
              <w:rPr>
                <w:rFonts w:ascii="Arial" w:hAnsi="Arial" w:cs="Arial"/>
                <w:b/>
                <w:bCs/>
                <w:spacing w:val="-2"/>
                <w:lang w:val="es-ES" w:eastAsia="en-GB"/>
              </w:rPr>
            </w:pPr>
            <w:r w:rsidRPr="00FF5406">
              <w:rPr>
                <w:rFonts w:ascii="Arial" w:hAnsi="Arial" w:cs="Arial"/>
                <w:b/>
                <w:bCs/>
                <w:lang w:val="es-ES" w:eastAsia="es-ES"/>
              </w:rPr>
              <w:t>Acción</w:t>
            </w:r>
          </w:p>
        </w:tc>
        <w:tc>
          <w:tcPr>
            <w:tcW w:w="0" w:type="auto"/>
            <w:shd w:val="clear" w:color="auto" w:fill="DEEAF6" w:themeFill="accent5" w:themeFillTint="33"/>
          </w:tcPr>
          <w:p w14:paraId="0A8495FB" w14:textId="77777777" w:rsidR="005B5C7D" w:rsidRPr="00FF5406" w:rsidRDefault="005B5C7D" w:rsidP="005B5C7D">
            <w:pPr>
              <w:numPr>
                <w:ilvl w:val="0"/>
                <w:numId w:val="15"/>
              </w:numPr>
              <w:rPr>
                <w:rFonts w:ascii="Arial" w:hAnsi="Arial" w:cs="Arial"/>
                <w:b/>
                <w:bCs/>
                <w:spacing w:val="-2"/>
                <w:lang w:val="es-ES" w:eastAsia="en-GB"/>
              </w:rPr>
            </w:pPr>
            <w:r w:rsidRPr="00FF5406">
              <w:rPr>
                <w:rFonts w:ascii="Arial" w:hAnsi="Arial" w:cs="Arial"/>
                <w:b/>
                <w:bCs/>
                <w:lang w:val="es-ES" w:eastAsia="es-ES"/>
              </w:rPr>
              <w:t>Actividades</w:t>
            </w:r>
          </w:p>
        </w:tc>
        <w:tc>
          <w:tcPr>
            <w:tcW w:w="0" w:type="auto"/>
            <w:shd w:val="clear" w:color="auto" w:fill="DEEAF6" w:themeFill="accent5" w:themeFillTint="33"/>
          </w:tcPr>
          <w:p w14:paraId="1B7A7136" w14:textId="77777777" w:rsidR="005B5C7D" w:rsidRPr="00FF5406" w:rsidRDefault="005B5C7D" w:rsidP="005B5C7D">
            <w:pPr>
              <w:numPr>
                <w:ilvl w:val="0"/>
                <w:numId w:val="15"/>
              </w:numPr>
              <w:rPr>
                <w:rFonts w:ascii="Arial" w:hAnsi="Arial" w:cs="Arial"/>
                <w:b/>
                <w:bCs/>
                <w:spacing w:val="-2"/>
                <w:lang w:val="es-ES" w:eastAsia="en-GB"/>
              </w:rPr>
            </w:pPr>
            <w:r w:rsidRPr="00FF5406">
              <w:rPr>
                <w:rFonts w:ascii="Arial" w:hAnsi="Arial" w:cs="Arial"/>
                <w:b/>
                <w:bCs/>
                <w:lang w:val="es-ES" w:eastAsia="es-ES"/>
              </w:rPr>
              <w:t>Responsabilidad</w:t>
            </w:r>
          </w:p>
        </w:tc>
        <w:tc>
          <w:tcPr>
            <w:tcW w:w="0" w:type="auto"/>
            <w:shd w:val="clear" w:color="auto" w:fill="DEEAF6" w:themeFill="accent5" w:themeFillTint="33"/>
          </w:tcPr>
          <w:p w14:paraId="4355F2D8" w14:textId="77777777" w:rsidR="005B5C7D" w:rsidRPr="00FF5406" w:rsidRDefault="005B5C7D" w:rsidP="005B5C7D">
            <w:pPr>
              <w:numPr>
                <w:ilvl w:val="0"/>
                <w:numId w:val="15"/>
              </w:numPr>
              <w:rPr>
                <w:rFonts w:ascii="Arial" w:hAnsi="Arial" w:cs="Arial"/>
                <w:b/>
                <w:bCs/>
                <w:spacing w:val="-2"/>
                <w:lang w:val="es-ES" w:eastAsia="en-GB"/>
              </w:rPr>
            </w:pPr>
            <w:r w:rsidRPr="00FF5406">
              <w:rPr>
                <w:rFonts w:ascii="Arial" w:hAnsi="Arial" w:cs="Arial"/>
                <w:b/>
                <w:bCs/>
                <w:lang w:val="es-ES" w:eastAsia="es-ES"/>
              </w:rPr>
              <w:t>Período</w:t>
            </w:r>
          </w:p>
        </w:tc>
        <w:tc>
          <w:tcPr>
            <w:tcW w:w="0" w:type="auto"/>
            <w:shd w:val="clear" w:color="auto" w:fill="DEEAF6" w:themeFill="accent5" w:themeFillTint="33"/>
          </w:tcPr>
          <w:p w14:paraId="53521438" w14:textId="77777777" w:rsidR="005B5C7D" w:rsidRPr="00FF5406" w:rsidRDefault="005B5C7D" w:rsidP="005B5C7D">
            <w:pPr>
              <w:numPr>
                <w:ilvl w:val="0"/>
                <w:numId w:val="15"/>
              </w:numPr>
              <w:rPr>
                <w:rFonts w:ascii="Arial" w:hAnsi="Arial" w:cs="Arial"/>
                <w:b/>
                <w:bCs/>
                <w:spacing w:val="-2"/>
                <w:lang w:val="es-ES" w:eastAsia="en-GB"/>
              </w:rPr>
            </w:pPr>
            <w:r w:rsidRPr="00FF5406">
              <w:rPr>
                <w:rFonts w:ascii="Arial" w:hAnsi="Arial" w:cs="Arial"/>
                <w:b/>
                <w:bCs/>
                <w:lang w:val="es-ES" w:eastAsia="es-ES"/>
              </w:rPr>
              <w:t>Recursos necesarios</w:t>
            </w:r>
          </w:p>
        </w:tc>
      </w:tr>
      <w:tr w:rsidR="000C6328" w:rsidRPr="00FF5406" w14:paraId="71D4824E" w14:textId="77777777" w:rsidTr="00076A08">
        <w:tc>
          <w:tcPr>
            <w:tcW w:w="0" w:type="auto"/>
            <w:vMerge w:val="restart"/>
          </w:tcPr>
          <w:p w14:paraId="0E16FD16" w14:textId="12C566D9"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 xml:space="preserve">2.1. Conocer lo mejor posible las causas subyacentes de la sobreexplotación de los animales utilizados para obtener carne de animales salvajes acuáticos en la región </w:t>
            </w:r>
          </w:p>
        </w:tc>
        <w:tc>
          <w:tcPr>
            <w:tcW w:w="0" w:type="auto"/>
          </w:tcPr>
          <w:p w14:paraId="22F7FE20" w14:textId="4144A792" w:rsidR="006C5A18"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2.1.1. Preparar una nota informativa relevante para las regiones de África occidental sobre la importancia de la carne de animales salvajes acuáticos como alimento local, según las preferencias de especies para algunos países, y hacer hincapié en las especies protegidas y en las más afectadas, y establecer la situación sobre el terreno para apoyar y permitir que las autoridades correspondientes tomen medidas</w:t>
            </w:r>
          </w:p>
        </w:tc>
        <w:tc>
          <w:tcPr>
            <w:tcW w:w="0" w:type="auto"/>
          </w:tcPr>
          <w:p w14:paraId="1EDCCFE5"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Instituciones de investigación, ONG y organismos gubernamentales competentes, con el apoyo del AWM WG</w:t>
            </w:r>
          </w:p>
        </w:tc>
        <w:tc>
          <w:tcPr>
            <w:tcW w:w="0" w:type="auto"/>
          </w:tcPr>
          <w:p w14:paraId="1820357F"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2025</w:t>
            </w:r>
          </w:p>
        </w:tc>
        <w:tc>
          <w:tcPr>
            <w:tcW w:w="0" w:type="auto"/>
          </w:tcPr>
          <w:p w14:paraId="26B1108C"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Investigación documental y redacción</w:t>
            </w:r>
          </w:p>
        </w:tc>
      </w:tr>
      <w:tr w:rsidR="000C6328" w:rsidRPr="00C70B64" w14:paraId="745399AC" w14:textId="77777777" w:rsidTr="00076A08">
        <w:tc>
          <w:tcPr>
            <w:tcW w:w="0" w:type="auto"/>
            <w:vMerge/>
          </w:tcPr>
          <w:p w14:paraId="7F9C1350" w14:textId="77777777" w:rsidR="005B5C7D" w:rsidRPr="00FF5406" w:rsidRDefault="005B5C7D" w:rsidP="00076A08">
            <w:pPr>
              <w:jc w:val="both"/>
              <w:rPr>
                <w:rFonts w:ascii="Arial" w:hAnsi="Arial" w:cs="Arial"/>
                <w:spacing w:val="-2"/>
                <w:lang w:val="es-ES" w:eastAsia="en-GB"/>
              </w:rPr>
            </w:pPr>
          </w:p>
        </w:tc>
        <w:tc>
          <w:tcPr>
            <w:tcW w:w="0" w:type="auto"/>
          </w:tcPr>
          <w:p w14:paraId="219DEA67" w14:textId="0F2C46F6" w:rsidR="006C5A18"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2.1.2. Investigar y publicar la relación entre la oferta, la demanda y el beneficio de la captura ilegal de carne de animales salvajes acuáticos</w:t>
            </w:r>
          </w:p>
        </w:tc>
        <w:tc>
          <w:tcPr>
            <w:tcW w:w="0" w:type="auto"/>
          </w:tcPr>
          <w:p w14:paraId="42362FD5" w14:textId="77777777" w:rsidR="005B5C7D" w:rsidRPr="00FF5406" w:rsidRDefault="005B5C7D" w:rsidP="00076A08">
            <w:pPr>
              <w:jc w:val="both"/>
              <w:rPr>
                <w:rFonts w:ascii="Arial" w:hAnsi="Arial" w:cs="Arial"/>
                <w:spacing w:val="-2"/>
                <w:lang w:val="es-ES" w:eastAsia="en-GB"/>
              </w:rPr>
            </w:pPr>
            <w:r w:rsidRPr="00FF5406">
              <w:rPr>
                <w:rFonts w:ascii="Arial" w:hAnsi="Arial" w:cs="Arial"/>
                <w:lang w:val="es-ES" w:eastAsia="es-ES"/>
              </w:rPr>
              <w:t>El AWM WG con la estrecha participación de instituciones de investigación de África occidental</w:t>
            </w:r>
          </w:p>
        </w:tc>
        <w:tc>
          <w:tcPr>
            <w:tcW w:w="0" w:type="auto"/>
          </w:tcPr>
          <w:p w14:paraId="33D5E3FC"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2025</w:t>
            </w:r>
          </w:p>
        </w:tc>
        <w:tc>
          <w:tcPr>
            <w:tcW w:w="0" w:type="auto"/>
          </w:tcPr>
          <w:p w14:paraId="2F97F9B6"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Investigación documental y redacción; financiación de la recogida de datos y traducción</w:t>
            </w:r>
          </w:p>
        </w:tc>
      </w:tr>
      <w:tr w:rsidR="000C6328" w:rsidRPr="00C70B64" w14:paraId="78EBE4E5" w14:textId="77777777" w:rsidTr="00076A08">
        <w:tc>
          <w:tcPr>
            <w:tcW w:w="0" w:type="auto"/>
            <w:vMerge/>
          </w:tcPr>
          <w:p w14:paraId="16CB3B75" w14:textId="77777777" w:rsidR="005B5C7D" w:rsidRPr="00FF5406" w:rsidRDefault="005B5C7D" w:rsidP="00076A08">
            <w:pPr>
              <w:jc w:val="both"/>
              <w:rPr>
                <w:rFonts w:ascii="Arial" w:hAnsi="Arial" w:cs="Arial"/>
                <w:spacing w:val="-2"/>
                <w:lang w:val="es-ES" w:eastAsia="en-GB"/>
              </w:rPr>
            </w:pPr>
          </w:p>
        </w:tc>
        <w:tc>
          <w:tcPr>
            <w:tcW w:w="0" w:type="auto"/>
          </w:tcPr>
          <w:p w14:paraId="0DB4C821"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 xml:space="preserve">2.1.3. Investigar y publicar (en francés e inglés) un mejor conocimiento sobre la pesca ilegal, no declarada y no reglamentada (INDNR), y sobre las flotas pesqueras a pequeña escala que faenan en la región, por parte de </w:t>
            </w:r>
            <w:r w:rsidRPr="00FF5406">
              <w:rPr>
                <w:rFonts w:ascii="Arial" w:hAnsi="Arial" w:cs="Arial"/>
                <w:lang w:val="es-ES" w:eastAsia="es-ES"/>
              </w:rPr>
              <w:lastRenderedPageBreak/>
              <w:t>flotas de altura, en relación con la seguridad alimentaria y, en los casos en que no se disponga de esta información, destacar la necesidad de recopilarla</w:t>
            </w:r>
          </w:p>
        </w:tc>
        <w:tc>
          <w:tcPr>
            <w:tcW w:w="0" w:type="auto"/>
          </w:tcPr>
          <w:p w14:paraId="6B6E5E8C" w14:textId="77777777" w:rsidR="005B5C7D" w:rsidRPr="00FF5406" w:rsidRDefault="005B5C7D" w:rsidP="00076A08">
            <w:pPr>
              <w:jc w:val="both"/>
              <w:rPr>
                <w:rFonts w:ascii="Arial" w:hAnsi="Arial" w:cs="Arial"/>
                <w:spacing w:val="-2"/>
                <w:lang w:val="es-ES" w:eastAsia="en-GB"/>
              </w:rPr>
            </w:pPr>
            <w:r w:rsidRPr="00FF5406">
              <w:rPr>
                <w:rFonts w:ascii="Arial" w:hAnsi="Arial" w:cs="Arial"/>
                <w:lang w:val="es-ES" w:eastAsia="es-ES"/>
              </w:rPr>
              <w:lastRenderedPageBreak/>
              <w:t>El AWM WG con la estrecha participación de instituciones de investigación de África occidental</w:t>
            </w:r>
          </w:p>
        </w:tc>
        <w:tc>
          <w:tcPr>
            <w:tcW w:w="0" w:type="auto"/>
          </w:tcPr>
          <w:p w14:paraId="042E026C"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2025/2026</w:t>
            </w:r>
          </w:p>
        </w:tc>
        <w:tc>
          <w:tcPr>
            <w:tcW w:w="0" w:type="auto"/>
          </w:tcPr>
          <w:p w14:paraId="741F8987" w14:textId="77777777" w:rsidR="005B5C7D" w:rsidRPr="00FF5406" w:rsidRDefault="005B5C7D" w:rsidP="00076A08">
            <w:pPr>
              <w:jc w:val="both"/>
              <w:rPr>
                <w:rFonts w:ascii="Arial" w:hAnsi="Arial" w:cs="Arial"/>
                <w:spacing w:val="-2"/>
                <w:lang w:val="es-ES" w:eastAsia="en-GB"/>
              </w:rPr>
            </w:pPr>
            <w:r w:rsidRPr="00FF5406">
              <w:rPr>
                <w:rFonts w:ascii="Arial" w:hAnsi="Arial" w:cs="Arial"/>
                <w:lang w:val="es-ES" w:eastAsia="es-ES"/>
              </w:rPr>
              <w:t>Investigación documental y redacción; financiación de la recogida de datos y traducción</w:t>
            </w:r>
          </w:p>
        </w:tc>
      </w:tr>
      <w:tr w:rsidR="000C6328" w:rsidRPr="00C70B64" w14:paraId="16160C57" w14:textId="77777777" w:rsidTr="00076A08">
        <w:tc>
          <w:tcPr>
            <w:tcW w:w="0" w:type="auto"/>
            <w:vMerge/>
          </w:tcPr>
          <w:p w14:paraId="0915D9DC" w14:textId="77777777" w:rsidR="005B5C7D" w:rsidRPr="00FF5406" w:rsidRDefault="005B5C7D" w:rsidP="00076A08">
            <w:pPr>
              <w:jc w:val="both"/>
              <w:rPr>
                <w:rFonts w:ascii="Arial" w:hAnsi="Arial" w:cs="Arial"/>
                <w:spacing w:val="-2"/>
                <w:lang w:val="es-ES" w:eastAsia="en-GB"/>
              </w:rPr>
            </w:pPr>
          </w:p>
        </w:tc>
        <w:tc>
          <w:tcPr>
            <w:tcW w:w="0" w:type="auto"/>
          </w:tcPr>
          <w:p w14:paraId="265389D7"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 xml:space="preserve">2.1.4. Preparar una nota informativa sobre la vulnerabilidad de los ecosistemas acuáticos de la región en lo que respecta a los efectos del cambio climático y a la pérdida de biodiversidad </w:t>
            </w:r>
          </w:p>
        </w:tc>
        <w:tc>
          <w:tcPr>
            <w:tcW w:w="0" w:type="auto"/>
          </w:tcPr>
          <w:p w14:paraId="6DDBCA6E"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 xml:space="preserve">El AWM WG en colaboración con los puntos focales de la CMS, la CITES, el Convenio de Abiyán, el Ramsar, la UICN y la FAO en cada país (al cotejar todos los conocimientos) </w:t>
            </w:r>
          </w:p>
        </w:tc>
        <w:tc>
          <w:tcPr>
            <w:tcW w:w="0" w:type="auto"/>
          </w:tcPr>
          <w:p w14:paraId="23F1C92F"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2025</w:t>
            </w:r>
          </w:p>
        </w:tc>
        <w:tc>
          <w:tcPr>
            <w:tcW w:w="0" w:type="auto"/>
          </w:tcPr>
          <w:p w14:paraId="0DBFE738"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Trabajo de investigación documental, redacción y traducción</w:t>
            </w:r>
          </w:p>
        </w:tc>
      </w:tr>
      <w:tr w:rsidR="000C6328" w:rsidRPr="00C70B64" w14:paraId="7C398CF7" w14:textId="77777777" w:rsidTr="00076A08">
        <w:tc>
          <w:tcPr>
            <w:tcW w:w="0" w:type="auto"/>
            <w:vMerge w:val="restart"/>
          </w:tcPr>
          <w:p w14:paraId="511AD597" w14:textId="471C276F"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2.2. Conocer lo mejor posible los factores sociales, políticos e institucionales que impulsan la captura ilegal de carne de animales salvajes acuáticos en la región</w:t>
            </w:r>
          </w:p>
        </w:tc>
        <w:tc>
          <w:tcPr>
            <w:tcW w:w="0" w:type="auto"/>
          </w:tcPr>
          <w:p w14:paraId="0D80F0C1"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 xml:space="preserve">2.2.1. Preparar una nota informativa, por país, sobre los sistemas </w:t>
            </w:r>
            <w:proofErr w:type="spellStart"/>
            <w:r w:rsidRPr="00FF5406">
              <w:rPr>
                <w:rFonts w:ascii="Arial" w:hAnsi="Arial" w:cs="Arial"/>
                <w:lang w:val="es-ES" w:eastAsia="es-ES"/>
              </w:rPr>
              <w:t>socioecológicos</w:t>
            </w:r>
            <w:proofErr w:type="spellEnd"/>
            <w:r w:rsidRPr="00FF5406">
              <w:rPr>
                <w:rFonts w:ascii="Arial" w:hAnsi="Arial" w:cs="Arial"/>
                <w:lang w:val="es-ES" w:eastAsia="es-ES"/>
              </w:rPr>
              <w:t xml:space="preserve"> de toda la región, con especial atención en la gestión y gobernanza tradicionales de la fauna y flora silvestres </w:t>
            </w:r>
          </w:p>
        </w:tc>
        <w:tc>
          <w:tcPr>
            <w:tcW w:w="0" w:type="auto"/>
          </w:tcPr>
          <w:p w14:paraId="26A0C8FF"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Puntos focales de la CMS con el apoyo de la sociedad civil y de las instituciones de investigación</w:t>
            </w:r>
          </w:p>
        </w:tc>
        <w:tc>
          <w:tcPr>
            <w:tcW w:w="0" w:type="auto"/>
          </w:tcPr>
          <w:p w14:paraId="014BB0EA"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2026</w:t>
            </w:r>
          </w:p>
        </w:tc>
        <w:tc>
          <w:tcPr>
            <w:tcW w:w="0" w:type="auto"/>
          </w:tcPr>
          <w:p w14:paraId="4FCE9F0E"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Financiación para la recogida de datos complementarios</w:t>
            </w:r>
          </w:p>
          <w:p w14:paraId="44B8AFB5"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Trabajo de investigación documental, redacción y traducción</w:t>
            </w:r>
          </w:p>
        </w:tc>
      </w:tr>
      <w:tr w:rsidR="000C6328" w:rsidRPr="00C70B64" w14:paraId="490302C7" w14:textId="77777777" w:rsidTr="00076A08">
        <w:tc>
          <w:tcPr>
            <w:tcW w:w="0" w:type="auto"/>
            <w:vMerge/>
          </w:tcPr>
          <w:p w14:paraId="5A99AD29" w14:textId="77777777" w:rsidR="005B5C7D" w:rsidRPr="00FF5406" w:rsidRDefault="005B5C7D" w:rsidP="00076A08">
            <w:pPr>
              <w:jc w:val="both"/>
              <w:rPr>
                <w:rFonts w:ascii="Arial" w:hAnsi="Arial" w:cs="Arial"/>
                <w:spacing w:val="-2"/>
                <w:lang w:val="es-ES" w:eastAsia="en-GB"/>
              </w:rPr>
            </w:pPr>
          </w:p>
        </w:tc>
        <w:tc>
          <w:tcPr>
            <w:tcW w:w="0" w:type="auto"/>
          </w:tcPr>
          <w:p w14:paraId="5494E632"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 xml:space="preserve">2.2.2. Preparar una nota informativa sobre las tendencias demográficas como consecuencia del crecimiento de la población y de las migraciones humanas internas </w:t>
            </w:r>
          </w:p>
        </w:tc>
        <w:tc>
          <w:tcPr>
            <w:tcW w:w="0" w:type="auto"/>
          </w:tcPr>
          <w:p w14:paraId="6F4FE002"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Puntos focales de la CMS, la CITES, el Convenio de Abiyán, el Ramsar, la UICN y la FAO, con el apoyo de la sociedad civil y de las instituciones de investigación</w:t>
            </w:r>
          </w:p>
        </w:tc>
        <w:tc>
          <w:tcPr>
            <w:tcW w:w="0" w:type="auto"/>
          </w:tcPr>
          <w:p w14:paraId="66519061"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2026</w:t>
            </w:r>
          </w:p>
        </w:tc>
        <w:tc>
          <w:tcPr>
            <w:tcW w:w="0" w:type="auto"/>
          </w:tcPr>
          <w:p w14:paraId="621CC98E"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Financiación para la recogida de datos complementarios</w:t>
            </w:r>
          </w:p>
          <w:p w14:paraId="056D3125"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Trabajo de investigación documental, redacción y traducción</w:t>
            </w:r>
          </w:p>
        </w:tc>
      </w:tr>
      <w:tr w:rsidR="000C6328" w:rsidRPr="00C70B64" w14:paraId="6987DA2E" w14:textId="77777777" w:rsidTr="00076A08">
        <w:tc>
          <w:tcPr>
            <w:tcW w:w="0" w:type="auto"/>
            <w:vMerge w:val="restart"/>
          </w:tcPr>
          <w:p w14:paraId="418EA650" w14:textId="496F457F" w:rsidR="005B5C7D" w:rsidRPr="00FF5406" w:rsidRDefault="005B5C7D" w:rsidP="00076A08">
            <w:pPr>
              <w:jc w:val="both"/>
              <w:rPr>
                <w:rFonts w:ascii="Arial" w:hAnsi="Arial" w:cs="Arial"/>
                <w:spacing w:val="-2"/>
                <w:lang w:val="es-ES" w:eastAsia="en-GB"/>
              </w:rPr>
            </w:pPr>
            <w:r w:rsidRPr="00FF5406">
              <w:rPr>
                <w:rFonts w:ascii="Arial" w:hAnsi="Arial" w:cs="Arial"/>
                <w:lang w:val="es-ES" w:eastAsia="es-ES"/>
              </w:rPr>
              <w:t xml:space="preserve">2.3. Difundir la información más importante a los responsables políticos, a los organismos de pesca y a los responsables de la </w:t>
            </w:r>
            <w:r w:rsidRPr="00FF5406">
              <w:rPr>
                <w:rFonts w:ascii="Arial" w:hAnsi="Arial" w:cs="Arial"/>
                <w:lang w:val="es-ES" w:eastAsia="es-ES"/>
              </w:rPr>
              <w:lastRenderedPageBreak/>
              <w:t>fauna salvaje de toda la región</w:t>
            </w:r>
          </w:p>
        </w:tc>
        <w:tc>
          <w:tcPr>
            <w:tcW w:w="0" w:type="auto"/>
          </w:tcPr>
          <w:p w14:paraId="188F24AE" w14:textId="78C1E3A5"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lastRenderedPageBreak/>
              <w:t>2.3.1 Desarrollar una estrategia de difusión de la información, generada en el marco de las acciones 1.1, 1.2, 2.1 y 2.2 (local, regional, nacional, etc.)</w:t>
            </w:r>
          </w:p>
        </w:tc>
        <w:tc>
          <w:tcPr>
            <w:tcW w:w="0" w:type="auto"/>
          </w:tcPr>
          <w:p w14:paraId="7FC3600C" w14:textId="77777777" w:rsidR="005B5C7D" w:rsidRPr="00076A08"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El AWM WG en colaboración con los puntos focales de la CMS, la CITES, el Convenio de Abiyán, el Ramsar, la UICN y la FAO</w:t>
            </w:r>
          </w:p>
          <w:p w14:paraId="467EE3FA" w14:textId="77777777" w:rsidR="00076A08" w:rsidRPr="00FF5406" w:rsidRDefault="00076A08" w:rsidP="00076A08">
            <w:pPr>
              <w:numPr>
                <w:ilvl w:val="0"/>
                <w:numId w:val="15"/>
              </w:numPr>
              <w:jc w:val="both"/>
              <w:rPr>
                <w:rFonts w:ascii="Arial" w:hAnsi="Arial" w:cs="Arial"/>
                <w:spacing w:val="-2"/>
                <w:lang w:val="es-ES" w:eastAsia="en-GB"/>
              </w:rPr>
            </w:pPr>
          </w:p>
        </w:tc>
        <w:tc>
          <w:tcPr>
            <w:tcW w:w="0" w:type="auto"/>
          </w:tcPr>
          <w:p w14:paraId="0CFCD394"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2024</w:t>
            </w:r>
          </w:p>
        </w:tc>
        <w:tc>
          <w:tcPr>
            <w:tcW w:w="0" w:type="auto"/>
          </w:tcPr>
          <w:p w14:paraId="5A4D7B81"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Financiación de los recursos regionales de la estrategia (tanto para el AWM WG como para los puntos focales nacionales)</w:t>
            </w:r>
          </w:p>
        </w:tc>
      </w:tr>
      <w:tr w:rsidR="000C6328" w:rsidRPr="00C70B64" w14:paraId="511B6D27" w14:textId="77777777" w:rsidTr="00076A08">
        <w:tc>
          <w:tcPr>
            <w:tcW w:w="0" w:type="auto"/>
            <w:vMerge/>
          </w:tcPr>
          <w:p w14:paraId="559F29EF" w14:textId="77777777" w:rsidR="005B5C7D" w:rsidRPr="00FF5406" w:rsidRDefault="005B5C7D" w:rsidP="00076A08">
            <w:pPr>
              <w:jc w:val="both"/>
              <w:rPr>
                <w:rFonts w:ascii="Arial" w:hAnsi="Arial" w:cs="Arial"/>
                <w:spacing w:val="-2"/>
                <w:lang w:val="es-ES" w:eastAsia="en-GB"/>
              </w:rPr>
            </w:pPr>
          </w:p>
        </w:tc>
        <w:tc>
          <w:tcPr>
            <w:tcW w:w="0" w:type="auto"/>
          </w:tcPr>
          <w:p w14:paraId="5618A1DF"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2.3.2 Desarrollar una estrategia de recaudación de fondos para apoyar la estrategia de difusión, dirigiéndose a los donantes y patrocinadores (Fondo para el Medio Ambiente, (FMAM, Banco Africano de Desarrollo, etc.) y coordinándose con las estrategias regionales correspondientes (como la Estrategia de la CEDEAO para combatir los delitos contra la vida silvestre en África occidental)</w:t>
            </w:r>
          </w:p>
        </w:tc>
        <w:tc>
          <w:tcPr>
            <w:tcW w:w="0" w:type="auto"/>
          </w:tcPr>
          <w:p w14:paraId="0A06BF02"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Secretaría de la CMS, en su caso, en colaboración con la Secretaría de la CEDEAO</w:t>
            </w:r>
          </w:p>
        </w:tc>
        <w:tc>
          <w:tcPr>
            <w:tcW w:w="0" w:type="auto"/>
          </w:tcPr>
          <w:p w14:paraId="3FDA5EC8"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2024</w:t>
            </w:r>
          </w:p>
        </w:tc>
        <w:tc>
          <w:tcPr>
            <w:tcW w:w="0" w:type="auto"/>
          </w:tcPr>
          <w:p w14:paraId="3772FB32"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Financiación de los recursos regionales de la estrategia (tanto para el AWM WG como para los puntos focales nacionales)</w:t>
            </w:r>
          </w:p>
        </w:tc>
      </w:tr>
      <w:tr w:rsidR="000C6328" w:rsidRPr="00C70B64" w14:paraId="6E2EF727" w14:textId="77777777" w:rsidTr="00076A08">
        <w:tc>
          <w:tcPr>
            <w:tcW w:w="0" w:type="auto"/>
            <w:vMerge/>
          </w:tcPr>
          <w:p w14:paraId="048D94F7" w14:textId="77777777" w:rsidR="005B5C7D" w:rsidRPr="00FF5406" w:rsidRDefault="005B5C7D" w:rsidP="00076A08">
            <w:pPr>
              <w:jc w:val="both"/>
              <w:rPr>
                <w:rFonts w:ascii="Arial" w:hAnsi="Arial" w:cs="Arial"/>
                <w:spacing w:val="-2"/>
                <w:lang w:val="es-ES" w:eastAsia="en-GB"/>
              </w:rPr>
            </w:pPr>
          </w:p>
        </w:tc>
        <w:tc>
          <w:tcPr>
            <w:tcW w:w="0" w:type="auto"/>
          </w:tcPr>
          <w:p w14:paraId="46987F1A" w14:textId="4B0CB692"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2.3.3 Recopilar la información resumida y publicada, generada como parte de las acciones 1.1, 1.2, 2.1 y 2.2, resumirla en formatos apropiados para diferentes audiencias y distribuirla a las instituciones nacionales de pesca y vida silvestre de toda la región (como se define en la estrategia @2.3.1). Generar propuestas de financiación para ayudar a los puntos focales a aumentar la capacidad regional</w:t>
            </w:r>
          </w:p>
        </w:tc>
        <w:tc>
          <w:tcPr>
            <w:tcW w:w="0" w:type="auto"/>
          </w:tcPr>
          <w:p w14:paraId="6350EB33"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AWM WG en colaboración con los puntos focales de la CMS y otras instituciones y actores (ONG, etc.) a determinar en la propia estrategia</w:t>
            </w:r>
          </w:p>
        </w:tc>
        <w:tc>
          <w:tcPr>
            <w:tcW w:w="0" w:type="auto"/>
          </w:tcPr>
          <w:p w14:paraId="325BECCE"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2026 con el objetivo de la COP de la CMS, probablemente en 2026</w:t>
            </w:r>
          </w:p>
        </w:tc>
        <w:tc>
          <w:tcPr>
            <w:tcW w:w="0" w:type="auto"/>
          </w:tcPr>
          <w:p w14:paraId="0B98562F" w14:textId="77777777" w:rsidR="005B5C7D" w:rsidRPr="00FF5406" w:rsidRDefault="005B5C7D" w:rsidP="00076A08">
            <w:pPr>
              <w:numPr>
                <w:ilvl w:val="0"/>
                <w:numId w:val="15"/>
              </w:numPr>
              <w:jc w:val="both"/>
              <w:rPr>
                <w:rFonts w:ascii="Arial" w:hAnsi="Arial" w:cs="Arial"/>
                <w:spacing w:val="-2"/>
                <w:lang w:val="es-ES" w:eastAsia="en-GB"/>
              </w:rPr>
            </w:pPr>
            <w:r w:rsidRPr="00FF5406">
              <w:rPr>
                <w:rFonts w:ascii="Arial" w:hAnsi="Arial" w:cs="Arial"/>
                <w:lang w:val="es-ES" w:eastAsia="es-ES"/>
              </w:rPr>
              <w:t>Financiación de los recursos regionales de la estrategia (tanto para el AWM WG como para los puntos focales nacionales)</w:t>
            </w:r>
          </w:p>
        </w:tc>
      </w:tr>
    </w:tbl>
    <w:p w14:paraId="394B8656" w14:textId="77777777" w:rsidR="006758A3" w:rsidRPr="00FF5406" w:rsidRDefault="006758A3" w:rsidP="006758A3">
      <w:pPr>
        <w:rPr>
          <w:rFonts w:cs="Arial"/>
          <w:lang w:val="es-ES"/>
        </w:rPr>
      </w:pPr>
    </w:p>
    <w:p w14:paraId="2A1CCD9E" w14:textId="5B072062" w:rsidR="006C5A18" w:rsidRDefault="006C5A18">
      <w:pPr>
        <w:rPr>
          <w:rFonts w:cs="Arial"/>
          <w:lang w:val="es-ES"/>
        </w:rPr>
      </w:pPr>
      <w:r>
        <w:rPr>
          <w:rFonts w:cs="Arial"/>
          <w:lang w:val="es-ES"/>
        </w:rPr>
        <w:br w:type="page"/>
      </w:r>
    </w:p>
    <w:p w14:paraId="3B72380D" w14:textId="77777777" w:rsidR="005B5C7D" w:rsidRPr="00FF5406" w:rsidRDefault="005B5C7D" w:rsidP="006758A3">
      <w:pPr>
        <w:rPr>
          <w:rFonts w:cs="Arial"/>
          <w:lang w:val="es-ES"/>
        </w:rPr>
      </w:pPr>
    </w:p>
    <w:p w14:paraId="2786350B" w14:textId="77777777" w:rsidR="00D20A8C" w:rsidRDefault="00E16720" w:rsidP="00076A08">
      <w:pPr>
        <w:pStyle w:val="Heading3"/>
        <w:spacing w:before="0" w:after="0"/>
        <w:jc w:val="center"/>
        <w:rPr>
          <w:rFonts w:ascii="Arial" w:hAnsi="Arial" w:cs="Arial"/>
          <w:sz w:val="22"/>
          <w:szCs w:val="22"/>
          <w:lang w:val="es-ES"/>
        </w:rPr>
      </w:pPr>
      <w:r w:rsidRPr="00FF5406">
        <w:rPr>
          <w:rFonts w:ascii="Arial" w:hAnsi="Arial" w:cs="Arial"/>
          <w:sz w:val="22"/>
          <w:szCs w:val="22"/>
          <w:lang w:val="es-ES"/>
        </w:rPr>
        <w:t xml:space="preserve">Temática 3: </w:t>
      </w:r>
    </w:p>
    <w:p w14:paraId="6B012C46" w14:textId="77777777" w:rsidR="006C5A18" w:rsidRPr="006C5A18" w:rsidRDefault="006C5A18" w:rsidP="00076A08">
      <w:pPr>
        <w:pStyle w:val="BodyText"/>
        <w:spacing w:after="0" w:line="240" w:lineRule="auto"/>
        <w:rPr>
          <w:lang w:val="es-ES" w:eastAsia="zh-CN" w:bidi="hi-IN"/>
        </w:rPr>
      </w:pPr>
    </w:p>
    <w:p w14:paraId="67573DA6" w14:textId="3E4183BC" w:rsidR="00E16720" w:rsidRPr="00FF5406" w:rsidRDefault="00B143C0" w:rsidP="00076A08">
      <w:pPr>
        <w:pStyle w:val="Heading3"/>
        <w:spacing w:before="0" w:after="0"/>
        <w:jc w:val="center"/>
        <w:rPr>
          <w:rFonts w:ascii="Arial" w:hAnsi="Arial" w:cs="Arial"/>
          <w:sz w:val="22"/>
          <w:szCs w:val="22"/>
          <w:lang w:val="es-ES"/>
        </w:rPr>
      </w:pPr>
      <w:r w:rsidRPr="00FF5406">
        <w:rPr>
          <w:rFonts w:ascii="Arial" w:hAnsi="Arial" w:cs="Arial"/>
          <w:sz w:val="22"/>
          <w:szCs w:val="22"/>
          <w:lang w:val="es-ES"/>
        </w:rPr>
        <w:t>Conocer la interrelación entre pesca y medioambiente (nacional e internacional) y crear vínculos más sólidos</w:t>
      </w:r>
    </w:p>
    <w:p w14:paraId="38435A9E" w14:textId="77777777" w:rsidR="00E207C7" w:rsidRPr="00FF5406" w:rsidRDefault="00E207C7" w:rsidP="006563FE">
      <w:pPr>
        <w:numPr>
          <w:ilvl w:val="0"/>
          <w:numId w:val="8"/>
        </w:numPr>
        <w:jc w:val="both"/>
        <w:rPr>
          <w:rFonts w:cs="Arial"/>
          <w:lang w:val="es-ES"/>
        </w:rPr>
      </w:pPr>
    </w:p>
    <w:p w14:paraId="249F3DED" w14:textId="332B7DF0" w:rsidR="00E16720" w:rsidRPr="00FF5406" w:rsidRDefault="009F300C" w:rsidP="006563FE">
      <w:pPr>
        <w:numPr>
          <w:ilvl w:val="0"/>
          <w:numId w:val="8"/>
        </w:numPr>
        <w:jc w:val="both"/>
        <w:rPr>
          <w:rFonts w:cs="Arial"/>
          <w:szCs w:val="20"/>
          <w:lang w:val="es-ES"/>
        </w:rPr>
      </w:pPr>
      <w:r w:rsidRPr="00FF5406">
        <w:rPr>
          <w:rFonts w:cs="Arial"/>
          <w:lang w:val="es-ES"/>
        </w:rPr>
        <w:t>A menudo, la carne de animales salvajes acuáticos se ha pasado por alto debido a que no se ha entendido como un mandato, ni de la pesca ni del medioambiente y, sin embargo, es de ambas cosas. La complejidad de los factores que impulsan la pesca, en particular, hace que sea fundamental que los distintos organismos adquieran un conocimiento más profundo tanto de la biodiversidad de la fauna acuática de la región como de las inconsistencias de la gestión.</w:t>
      </w:r>
    </w:p>
    <w:p w14:paraId="31734852" w14:textId="77777777" w:rsidR="009F300C" w:rsidRPr="00FF5406" w:rsidRDefault="009F300C" w:rsidP="006563FE">
      <w:pPr>
        <w:numPr>
          <w:ilvl w:val="0"/>
          <w:numId w:val="8"/>
        </w:numPr>
        <w:jc w:val="both"/>
        <w:rPr>
          <w:rFonts w:cs="Arial"/>
          <w:szCs w:val="20"/>
          <w:lang w:val="es-ES"/>
        </w:rPr>
      </w:pPr>
    </w:p>
    <w:p w14:paraId="03E006DA" w14:textId="77777777" w:rsidR="00547130" w:rsidRPr="00FF5406" w:rsidRDefault="00547130" w:rsidP="00547130">
      <w:pPr>
        <w:numPr>
          <w:ilvl w:val="0"/>
          <w:numId w:val="15"/>
        </w:numPr>
        <w:suppressAutoHyphens w:val="0"/>
        <w:jc w:val="both"/>
        <w:rPr>
          <w:rFonts w:cs="Arial"/>
          <w:spacing w:val="-2"/>
          <w:lang w:val="es-ES" w:eastAsia="en-GB"/>
        </w:rPr>
      </w:pPr>
      <w:r w:rsidRPr="00FF5406">
        <w:rPr>
          <w:rFonts w:cs="Arial"/>
          <w:lang w:val="es-ES" w:eastAsia="es-ES"/>
        </w:rPr>
        <w:t xml:space="preserve">Objetivo temático a 5 años: </w:t>
      </w:r>
      <w:r w:rsidRPr="00FF5406">
        <w:rPr>
          <w:rFonts w:cs="Arial"/>
          <w:b/>
          <w:bCs/>
          <w:lang w:val="es-ES" w:eastAsia="es-ES"/>
        </w:rPr>
        <w:t>Profundizar en el conocimiento de la importancia de la región en el mundo, abordar las inconsistencias de la gestión y las oportunidades de las sinergias y de la mejor gestión</w:t>
      </w:r>
    </w:p>
    <w:p w14:paraId="7D80D847" w14:textId="77777777" w:rsidR="00E16720" w:rsidRPr="00FF5406" w:rsidRDefault="00E16720" w:rsidP="006563FE">
      <w:pPr>
        <w:numPr>
          <w:ilvl w:val="0"/>
          <w:numId w:val="8"/>
        </w:numPr>
        <w:jc w:val="both"/>
        <w:rPr>
          <w:rFonts w:cs="Arial"/>
          <w:lang w:val="es-ES"/>
        </w:rPr>
      </w:pPr>
    </w:p>
    <w:tbl>
      <w:tblPr>
        <w:tblStyle w:val="TableGrid"/>
        <w:tblW w:w="0" w:type="auto"/>
        <w:tblLook w:val="0000" w:firstRow="0" w:lastRow="0" w:firstColumn="0" w:lastColumn="0" w:noHBand="0" w:noVBand="0"/>
      </w:tblPr>
      <w:tblGrid>
        <w:gridCol w:w="3011"/>
        <w:gridCol w:w="4656"/>
        <w:gridCol w:w="3485"/>
        <w:gridCol w:w="1035"/>
        <w:gridCol w:w="1761"/>
      </w:tblGrid>
      <w:tr w:rsidR="000C6328" w:rsidRPr="00FF5406" w14:paraId="7B30D94C" w14:textId="77777777" w:rsidTr="00D65B16">
        <w:trPr>
          <w:tblHeader/>
        </w:trPr>
        <w:tc>
          <w:tcPr>
            <w:tcW w:w="0" w:type="auto"/>
            <w:shd w:val="clear" w:color="auto" w:fill="DEEAF6" w:themeFill="accent5" w:themeFillTint="33"/>
          </w:tcPr>
          <w:p w14:paraId="22AC94A1" w14:textId="77777777" w:rsidR="00D65B16" w:rsidRPr="00FF5406" w:rsidRDefault="00D65B16" w:rsidP="00D65B16">
            <w:pPr>
              <w:numPr>
                <w:ilvl w:val="0"/>
                <w:numId w:val="15"/>
              </w:numPr>
              <w:rPr>
                <w:rFonts w:ascii="Arial" w:eastAsia="Calibri" w:hAnsi="Arial" w:cs="Arial"/>
                <w:b/>
                <w:bCs/>
                <w:spacing w:val="-2"/>
                <w:lang w:val="es-ES" w:eastAsia="en-GB"/>
              </w:rPr>
            </w:pPr>
            <w:r w:rsidRPr="00FF5406">
              <w:rPr>
                <w:rFonts w:ascii="Arial" w:eastAsia="Calibri" w:hAnsi="Arial" w:cs="Arial"/>
                <w:b/>
                <w:bCs/>
                <w:lang w:val="es-ES" w:eastAsia="es-ES"/>
              </w:rPr>
              <w:t>Acción</w:t>
            </w:r>
          </w:p>
        </w:tc>
        <w:tc>
          <w:tcPr>
            <w:tcW w:w="0" w:type="auto"/>
            <w:shd w:val="clear" w:color="auto" w:fill="DEEAF6" w:themeFill="accent5" w:themeFillTint="33"/>
          </w:tcPr>
          <w:p w14:paraId="51CEB004" w14:textId="77777777" w:rsidR="00D65B16" w:rsidRPr="00FF5406" w:rsidRDefault="00D65B16" w:rsidP="00D65B16">
            <w:pPr>
              <w:numPr>
                <w:ilvl w:val="0"/>
                <w:numId w:val="15"/>
              </w:numPr>
              <w:rPr>
                <w:rFonts w:ascii="Arial" w:eastAsia="Calibri" w:hAnsi="Arial" w:cs="Arial"/>
                <w:b/>
                <w:bCs/>
                <w:spacing w:val="-2"/>
                <w:lang w:val="es-ES" w:eastAsia="en-GB"/>
              </w:rPr>
            </w:pPr>
            <w:r w:rsidRPr="00FF5406">
              <w:rPr>
                <w:rFonts w:ascii="Arial" w:eastAsia="Calibri" w:hAnsi="Arial" w:cs="Arial"/>
                <w:b/>
                <w:bCs/>
                <w:lang w:val="es-ES" w:eastAsia="es-ES"/>
              </w:rPr>
              <w:t>Actividades</w:t>
            </w:r>
          </w:p>
        </w:tc>
        <w:tc>
          <w:tcPr>
            <w:tcW w:w="0" w:type="auto"/>
            <w:shd w:val="clear" w:color="auto" w:fill="DEEAF6" w:themeFill="accent5" w:themeFillTint="33"/>
          </w:tcPr>
          <w:p w14:paraId="014366E5" w14:textId="77777777" w:rsidR="00D65B16" w:rsidRPr="00FF5406" w:rsidRDefault="00D65B16" w:rsidP="00D65B16">
            <w:pPr>
              <w:numPr>
                <w:ilvl w:val="0"/>
                <w:numId w:val="15"/>
              </w:numPr>
              <w:rPr>
                <w:rFonts w:ascii="Arial" w:eastAsia="Calibri" w:hAnsi="Arial" w:cs="Arial"/>
                <w:b/>
                <w:bCs/>
                <w:spacing w:val="-2"/>
                <w:lang w:val="es-ES" w:eastAsia="en-GB"/>
              </w:rPr>
            </w:pPr>
            <w:r w:rsidRPr="00FF5406">
              <w:rPr>
                <w:rFonts w:ascii="Arial" w:eastAsia="Calibri" w:hAnsi="Arial" w:cs="Arial"/>
                <w:b/>
                <w:bCs/>
                <w:lang w:val="es-ES" w:eastAsia="es-ES"/>
              </w:rPr>
              <w:t>Responsabilidad</w:t>
            </w:r>
          </w:p>
        </w:tc>
        <w:tc>
          <w:tcPr>
            <w:tcW w:w="0" w:type="auto"/>
            <w:shd w:val="clear" w:color="auto" w:fill="DEEAF6" w:themeFill="accent5" w:themeFillTint="33"/>
          </w:tcPr>
          <w:p w14:paraId="11CEFFB7" w14:textId="77777777" w:rsidR="00D65B16" w:rsidRPr="00FF5406" w:rsidRDefault="00D65B16" w:rsidP="00D65B16">
            <w:pPr>
              <w:numPr>
                <w:ilvl w:val="0"/>
                <w:numId w:val="15"/>
              </w:numPr>
              <w:rPr>
                <w:rFonts w:ascii="Arial" w:eastAsia="Calibri" w:hAnsi="Arial" w:cs="Arial"/>
                <w:b/>
                <w:bCs/>
                <w:spacing w:val="-2"/>
                <w:lang w:val="es-ES" w:eastAsia="en-GB"/>
              </w:rPr>
            </w:pPr>
            <w:r w:rsidRPr="00FF5406">
              <w:rPr>
                <w:rFonts w:ascii="Arial" w:eastAsia="Calibri" w:hAnsi="Arial" w:cs="Arial"/>
                <w:b/>
                <w:bCs/>
                <w:lang w:val="es-ES" w:eastAsia="es-ES"/>
              </w:rPr>
              <w:t>Período</w:t>
            </w:r>
          </w:p>
        </w:tc>
        <w:tc>
          <w:tcPr>
            <w:tcW w:w="0" w:type="auto"/>
            <w:shd w:val="clear" w:color="auto" w:fill="DEEAF6" w:themeFill="accent5" w:themeFillTint="33"/>
          </w:tcPr>
          <w:p w14:paraId="4D34BC83" w14:textId="77777777" w:rsidR="00D65B16" w:rsidRPr="00FF5406" w:rsidRDefault="00D65B16" w:rsidP="00D65B16">
            <w:pPr>
              <w:numPr>
                <w:ilvl w:val="0"/>
                <w:numId w:val="15"/>
              </w:numPr>
              <w:rPr>
                <w:rFonts w:ascii="Arial" w:eastAsia="Calibri" w:hAnsi="Arial" w:cs="Arial"/>
                <w:b/>
                <w:bCs/>
                <w:spacing w:val="-2"/>
                <w:lang w:val="es-ES" w:eastAsia="en-GB"/>
              </w:rPr>
            </w:pPr>
            <w:r w:rsidRPr="00FF5406">
              <w:rPr>
                <w:rFonts w:ascii="Arial" w:eastAsia="Calibri" w:hAnsi="Arial" w:cs="Arial"/>
                <w:b/>
                <w:bCs/>
                <w:lang w:val="es-ES" w:eastAsia="es-ES"/>
              </w:rPr>
              <w:t>Recursos necesarios</w:t>
            </w:r>
          </w:p>
        </w:tc>
      </w:tr>
      <w:tr w:rsidR="000C6328" w:rsidRPr="00FF5406" w14:paraId="47B8ADE3" w14:textId="77777777" w:rsidTr="00F15DB1">
        <w:tc>
          <w:tcPr>
            <w:tcW w:w="0" w:type="auto"/>
            <w:vMerge w:val="restart"/>
          </w:tcPr>
          <w:p w14:paraId="266AC317" w14:textId="5188FD2C"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 xml:space="preserve">3.1. Evaluar el potencial regional para abordar la pérdida de la biodiversidad de la fauna acuática mundial </w:t>
            </w:r>
          </w:p>
        </w:tc>
        <w:tc>
          <w:tcPr>
            <w:tcW w:w="0" w:type="auto"/>
          </w:tcPr>
          <w:p w14:paraId="68CB1541" w14:textId="3DF92F0C"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3.1.1. A partir de la información de las acciones 1.1 y 2.3, investigar más a fondo y elaborar un resumen de tres páginas sobre la riqueza de la biodiversidad de la fauna acuática y de las poblaciones de peces, la importancia de ambos elementos para la seguridad alimentaria y la estabilidad económica, así como el papel que desempeñan los ecosistemas acuáticos de África occidental en un contexto ecológico más amplio, estableciendo, al mismo tiempo, vínculos importantes con los convenios internacionales (CITES, CDB, etc.)</w:t>
            </w:r>
          </w:p>
        </w:tc>
        <w:tc>
          <w:tcPr>
            <w:tcW w:w="0" w:type="auto"/>
          </w:tcPr>
          <w:p w14:paraId="51FB5EE4"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El AWM WG y las instituciones académicas y de investigación regionales, así como las instituciones técnicas encargadas de la gestión de la biodiversidad de la fauna acuática y de la pesca</w:t>
            </w:r>
          </w:p>
        </w:tc>
        <w:tc>
          <w:tcPr>
            <w:tcW w:w="0" w:type="auto"/>
          </w:tcPr>
          <w:p w14:paraId="33742978"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2025</w:t>
            </w:r>
          </w:p>
        </w:tc>
        <w:tc>
          <w:tcPr>
            <w:tcW w:w="0" w:type="auto"/>
          </w:tcPr>
          <w:p w14:paraId="0A67B5DE"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Investigación documental y redacción</w:t>
            </w:r>
          </w:p>
        </w:tc>
      </w:tr>
      <w:tr w:rsidR="000C6328" w:rsidRPr="00FF5406" w14:paraId="2FB0B974" w14:textId="77777777" w:rsidTr="00F15DB1">
        <w:tc>
          <w:tcPr>
            <w:tcW w:w="0" w:type="auto"/>
            <w:vMerge/>
          </w:tcPr>
          <w:p w14:paraId="7208EAA3" w14:textId="77777777" w:rsidR="00D65B16" w:rsidRPr="00FF5406" w:rsidRDefault="00D65B16" w:rsidP="00076A08">
            <w:pPr>
              <w:jc w:val="both"/>
              <w:rPr>
                <w:rFonts w:ascii="Arial" w:eastAsia="Calibri" w:hAnsi="Arial" w:cs="Arial"/>
                <w:spacing w:val="-2"/>
                <w:lang w:val="es-ES" w:eastAsia="en-GB"/>
              </w:rPr>
            </w:pPr>
          </w:p>
        </w:tc>
        <w:tc>
          <w:tcPr>
            <w:tcW w:w="0" w:type="auto"/>
          </w:tcPr>
          <w:p w14:paraId="5B1E6BBF"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 xml:space="preserve">3.1.2. Elaborar una nota informativa de los diferentes organismos internacionales, regionales y nacionales, y de las ONG correspondientes, con especial atención al medio ambiente (CEDEAO, UA, </w:t>
            </w:r>
            <w:proofErr w:type="spellStart"/>
            <w:r w:rsidRPr="00FF5406">
              <w:rPr>
                <w:rFonts w:ascii="Arial" w:eastAsia="Calibri" w:hAnsi="Arial" w:cs="Arial"/>
                <w:lang w:val="es-ES" w:eastAsia="es-ES"/>
              </w:rPr>
              <w:t>BAsD</w:t>
            </w:r>
            <w:proofErr w:type="spellEnd"/>
            <w:r w:rsidRPr="00FF5406">
              <w:rPr>
                <w:rFonts w:ascii="Arial" w:eastAsia="Calibri" w:hAnsi="Arial" w:cs="Arial"/>
                <w:lang w:val="es-ES" w:eastAsia="es-ES"/>
              </w:rPr>
              <w:t>, FAO, etc.) e identificar las inconsistencias</w:t>
            </w:r>
          </w:p>
        </w:tc>
        <w:tc>
          <w:tcPr>
            <w:tcW w:w="0" w:type="auto"/>
          </w:tcPr>
          <w:p w14:paraId="39185408"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El AWM WG en colaboración con los puntos focales de la CMS, la CITES, el Convenio de Abiyán, el Ramsar, la UICN y la FAO</w:t>
            </w:r>
          </w:p>
        </w:tc>
        <w:tc>
          <w:tcPr>
            <w:tcW w:w="0" w:type="auto"/>
          </w:tcPr>
          <w:p w14:paraId="755C81FB"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2024</w:t>
            </w:r>
          </w:p>
        </w:tc>
        <w:tc>
          <w:tcPr>
            <w:tcW w:w="0" w:type="auto"/>
          </w:tcPr>
          <w:p w14:paraId="78F37A88"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Investigación documental y redacción</w:t>
            </w:r>
          </w:p>
        </w:tc>
      </w:tr>
      <w:tr w:rsidR="000C6328" w:rsidRPr="00FF5406" w14:paraId="7BB53C0D" w14:textId="77777777" w:rsidTr="00F15DB1">
        <w:tc>
          <w:tcPr>
            <w:tcW w:w="0" w:type="auto"/>
            <w:vMerge/>
          </w:tcPr>
          <w:p w14:paraId="6EB77D5B" w14:textId="77777777" w:rsidR="00D65B16" w:rsidRPr="00FF5406" w:rsidRDefault="00D65B16" w:rsidP="00076A08">
            <w:pPr>
              <w:jc w:val="both"/>
              <w:rPr>
                <w:rFonts w:ascii="Arial" w:eastAsia="Calibri" w:hAnsi="Arial" w:cs="Arial"/>
                <w:spacing w:val="-2"/>
                <w:lang w:val="es-ES" w:eastAsia="en-GB"/>
              </w:rPr>
            </w:pPr>
          </w:p>
        </w:tc>
        <w:tc>
          <w:tcPr>
            <w:tcW w:w="0" w:type="auto"/>
          </w:tcPr>
          <w:p w14:paraId="10510AB1" w14:textId="77777777" w:rsidR="00D65B16" w:rsidRPr="00FF5406" w:rsidRDefault="00D65B16" w:rsidP="00076A08">
            <w:pPr>
              <w:jc w:val="both"/>
              <w:rPr>
                <w:rFonts w:ascii="Arial" w:eastAsia="Calibri" w:hAnsi="Arial" w:cs="Arial"/>
                <w:spacing w:val="-2"/>
                <w:lang w:val="es-ES" w:eastAsia="en-GB"/>
              </w:rPr>
            </w:pPr>
            <w:r w:rsidRPr="00FF5406">
              <w:rPr>
                <w:rFonts w:ascii="Arial" w:eastAsia="Calibri" w:hAnsi="Arial" w:cs="Arial"/>
                <w:lang w:val="es-ES" w:eastAsia="es-ES"/>
              </w:rPr>
              <w:t>3.1.3. Elaborar una nota informativa sobre la posibilidad de que los organismos internacionales, regionales y nacionales aborden mejor la captura ilegal de la carne de animales salvajes acuáticos</w:t>
            </w:r>
          </w:p>
        </w:tc>
        <w:tc>
          <w:tcPr>
            <w:tcW w:w="0" w:type="auto"/>
          </w:tcPr>
          <w:p w14:paraId="1013DAE1"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El AWM WG en colaboración con los puntos focales de la CMS, la CITES, el Convenio de Abiyán, el Ramsar, la UICN y la FAO</w:t>
            </w:r>
          </w:p>
        </w:tc>
        <w:tc>
          <w:tcPr>
            <w:tcW w:w="0" w:type="auto"/>
          </w:tcPr>
          <w:p w14:paraId="64C0B484"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2024</w:t>
            </w:r>
          </w:p>
        </w:tc>
        <w:tc>
          <w:tcPr>
            <w:tcW w:w="0" w:type="auto"/>
          </w:tcPr>
          <w:p w14:paraId="4FDA106E"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Investigación documental y redacción</w:t>
            </w:r>
          </w:p>
        </w:tc>
      </w:tr>
      <w:tr w:rsidR="000C6328" w:rsidRPr="00FF5406" w14:paraId="2737355B" w14:textId="77777777" w:rsidTr="00F15DB1">
        <w:tc>
          <w:tcPr>
            <w:tcW w:w="0" w:type="auto"/>
          </w:tcPr>
          <w:p w14:paraId="26037841" w14:textId="66C6CFA2" w:rsidR="00D65B16" w:rsidRPr="00FF5406" w:rsidRDefault="00D65B16" w:rsidP="00076A08">
            <w:pPr>
              <w:numPr>
                <w:ilvl w:val="0"/>
                <w:numId w:val="15"/>
              </w:numPr>
              <w:jc w:val="both"/>
              <w:rPr>
                <w:rFonts w:ascii="Arial" w:eastAsia="Calibri" w:hAnsi="Arial" w:cs="Arial"/>
                <w:spacing w:val="-2"/>
                <w:highlight w:val="yellow"/>
                <w:lang w:val="es-ES" w:eastAsia="en-GB"/>
              </w:rPr>
            </w:pPr>
            <w:r w:rsidRPr="00FF5406">
              <w:rPr>
                <w:rFonts w:ascii="Arial" w:eastAsia="Calibri" w:hAnsi="Arial" w:cs="Arial"/>
                <w:lang w:val="es-ES" w:eastAsia="es-ES"/>
              </w:rPr>
              <w:t>3.2. Conocer la competencia de los Acuerdos Multilaterales sobre el Medio Ambiente (AMUMA) para luchar contra la captura ilegal de carne de animales salvajes acuáticos</w:t>
            </w:r>
          </w:p>
        </w:tc>
        <w:tc>
          <w:tcPr>
            <w:tcW w:w="0" w:type="auto"/>
          </w:tcPr>
          <w:p w14:paraId="6E290FFB"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3.2.1. Elaborar una nota informativa sobre los mandatos de la CITES, la CMS y los Convenios de Abiyán, y sobre la función de las Partes y de los observadores para crear una señal fuerte con detalles efectivos en la acción de los organismos</w:t>
            </w:r>
          </w:p>
        </w:tc>
        <w:tc>
          <w:tcPr>
            <w:tcW w:w="0" w:type="auto"/>
          </w:tcPr>
          <w:p w14:paraId="3856FD21"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 xml:space="preserve">El AWM WG y los puntos focales de la CMS, la CITES, la Convención de Abiyán, el Ramsar, la UICN, la CBI y la FAO </w:t>
            </w:r>
          </w:p>
        </w:tc>
        <w:tc>
          <w:tcPr>
            <w:tcW w:w="0" w:type="auto"/>
          </w:tcPr>
          <w:p w14:paraId="7C39B905"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2024</w:t>
            </w:r>
          </w:p>
        </w:tc>
        <w:tc>
          <w:tcPr>
            <w:tcW w:w="0" w:type="auto"/>
          </w:tcPr>
          <w:p w14:paraId="4D7BF372"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Investigación documental y redacción</w:t>
            </w:r>
          </w:p>
        </w:tc>
      </w:tr>
      <w:tr w:rsidR="000C6328" w:rsidRPr="00C70B64" w14:paraId="592ADA15" w14:textId="77777777" w:rsidTr="00F15DB1">
        <w:tc>
          <w:tcPr>
            <w:tcW w:w="0" w:type="auto"/>
          </w:tcPr>
          <w:p w14:paraId="6C87D4B5" w14:textId="2824EB96" w:rsidR="00D65B16" w:rsidRPr="00FF5406" w:rsidRDefault="00D65B16" w:rsidP="00076A08">
            <w:pPr>
              <w:jc w:val="both"/>
              <w:rPr>
                <w:rFonts w:ascii="Arial" w:eastAsia="Calibri" w:hAnsi="Arial" w:cs="Arial"/>
                <w:spacing w:val="-2"/>
                <w:lang w:val="es-ES" w:eastAsia="en-GB"/>
              </w:rPr>
            </w:pPr>
            <w:r w:rsidRPr="00FF5406">
              <w:rPr>
                <w:rFonts w:ascii="Arial" w:eastAsia="Calibri" w:hAnsi="Arial" w:cs="Arial"/>
                <w:lang w:val="es-ES" w:eastAsia="es-ES"/>
              </w:rPr>
              <w:t>3.3. Ampliar el plan de acción para reflejar las intersecciones y oportunidades</w:t>
            </w:r>
          </w:p>
        </w:tc>
        <w:tc>
          <w:tcPr>
            <w:tcW w:w="0" w:type="auto"/>
          </w:tcPr>
          <w:p w14:paraId="31F8126D"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3.3.1. Reunirse como región, en forma de reunión en línea, para estudiar las oportunidades de sinergias entre organismos y ampliar el plan de acción en consecuencia</w:t>
            </w:r>
          </w:p>
        </w:tc>
        <w:tc>
          <w:tcPr>
            <w:tcW w:w="0" w:type="auto"/>
          </w:tcPr>
          <w:p w14:paraId="14E79E04"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Los puntos focales de África occidental de la CMS, la CITES, el Convenio de Abiyán, el Ramsar, la UICN, la CBI y la FAO</w:t>
            </w:r>
          </w:p>
        </w:tc>
        <w:tc>
          <w:tcPr>
            <w:tcW w:w="0" w:type="auto"/>
          </w:tcPr>
          <w:p w14:paraId="14A5BEB2"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2026</w:t>
            </w:r>
          </w:p>
        </w:tc>
        <w:tc>
          <w:tcPr>
            <w:tcW w:w="0" w:type="auto"/>
          </w:tcPr>
          <w:p w14:paraId="359171D4"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Trabajo interno de los organismos</w:t>
            </w:r>
          </w:p>
          <w:p w14:paraId="27C8B094" w14:textId="77777777" w:rsidR="00D65B16" w:rsidRPr="00FF5406" w:rsidRDefault="00D65B16" w:rsidP="00076A08">
            <w:pPr>
              <w:numPr>
                <w:ilvl w:val="0"/>
                <w:numId w:val="15"/>
              </w:numPr>
              <w:jc w:val="both"/>
              <w:rPr>
                <w:rFonts w:ascii="Arial" w:eastAsia="Calibri" w:hAnsi="Arial" w:cs="Arial"/>
                <w:spacing w:val="-2"/>
                <w:lang w:val="es-ES" w:eastAsia="en-GB"/>
              </w:rPr>
            </w:pPr>
            <w:r w:rsidRPr="00FF5406">
              <w:rPr>
                <w:rFonts w:ascii="Arial" w:eastAsia="Calibri" w:hAnsi="Arial" w:cs="Arial"/>
                <w:lang w:val="es-ES" w:eastAsia="es-ES"/>
              </w:rPr>
              <w:t>Costes de interpretación e Internet</w:t>
            </w:r>
          </w:p>
        </w:tc>
      </w:tr>
    </w:tbl>
    <w:p w14:paraId="4E85C9C6" w14:textId="77777777" w:rsidR="00547130" w:rsidRPr="00FF5406" w:rsidRDefault="00547130" w:rsidP="00614984">
      <w:pPr>
        <w:rPr>
          <w:rFonts w:cs="Arial"/>
          <w:lang w:val="es-ES"/>
        </w:rPr>
      </w:pPr>
    </w:p>
    <w:p w14:paraId="51D551E1" w14:textId="77777777" w:rsidR="000A081C" w:rsidRPr="00FF5406" w:rsidRDefault="000A081C" w:rsidP="00614984">
      <w:pPr>
        <w:rPr>
          <w:rFonts w:cs="Arial"/>
          <w:lang w:val="es-ES"/>
        </w:rPr>
      </w:pPr>
    </w:p>
    <w:p w14:paraId="386D1E72" w14:textId="77777777" w:rsidR="00296905" w:rsidRPr="00FF5406" w:rsidRDefault="00296905">
      <w:pPr>
        <w:rPr>
          <w:rFonts w:eastAsia="Noto Sans CJK SC" w:cs="Arial"/>
          <w:b/>
          <w:bCs/>
          <w:kern w:val="2"/>
          <w:lang w:val="es-ES" w:eastAsia="zh-CN" w:bidi="hi-IN"/>
        </w:rPr>
      </w:pPr>
      <w:r w:rsidRPr="00FF5406">
        <w:rPr>
          <w:rFonts w:cs="Arial"/>
          <w:lang w:val="es-ES"/>
        </w:rPr>
        <w:br w:type="page"/>
      </w:r>
    </w:p>
    <w:p w14:paraId="7FA91EA7" w14:textId="45967757" w:rsidR="00D20A8C" w:rsidRDefault="00E16720" w:rsidP="006563FE">
      <w:pPr>
        <w:pStyle w:val="Heading3"/>
        <w:spacing w:before="0" w:after="0"/>
        <w:jc w:val="center"/>
        <w:rPr>
          <w:rFonts w:ascii="Arial" w:hAnsi="Arial" w:cs="Arial"/>
          <w:sz w:val="22"/>
          <w:szCs w:val="22"/>
          <w:lang w:val="es-ES"/>
        </w:rPr>
      </w:pPr>
      <w:r w:rsidRPr="00FF5406">
        <w:rPr>
          <w:rFonts w:ascii="Arial" w:hAnsi="Arial" w:cs="Arial"/>
          <w:sz w:val="22"/>
          <w:szCs w:val="22"/>
          <w:lang w:val="es-ES"/>
        </w:rPr>
        <w:lastRenderedPageBreak/>
        <w:t xml:space="preserve">Temática 4: </w:t>
      </w:r>
    </w:p>
    <w:p w14:paraId="2258A7FC" w14:textId="77777777" w:rsidR="006C5A18" w:rsidRPr="006C5A18" w:rsidRDefault="006C5A18" w:rsidP="006C5A18">
      <w:pPr>
        <w:pStyle w:val="BodyText"/>
        <w:spacing w:after="0" w:line="240" w:lineRule="auto"/>
        <w:rPr>
          <w:lang w:val="es-ES" w:eastAsia="zh-CN" w:bidi="hi-IN"/>
        </w:rPr>
      </w:pPr>
    </w:p>
    <w:p w14:paraId="6BCC6B64" w14:textId="2193BBAA" w:rsidR="00E16720" w:rsidRPr="00FF5406" w:rsidRDefault="00773262" w:rsidP="006563FE">
      <w:pPr>
        <w:pStyle w:val="Heading3"/>
        <w:spacing w:before="0" w:after="0"/>
        <w:jc w:val="center"/>
        <w:rPr>
          <w:rFonts w:ascii="Arial" w:hAnsi="Arial" w:cs="Arial"/>
          <w:sz w:val="22"/>
          <w:szCs w:val="22"/>
          <w:lang w:val="es-ES"/>
        </w:rPr>
      </w:pPr>
      <w:r w:rsidRPr="00FF5406">
        <w:rPr>
          <w:rFonts w:ascii="Arial" w:hAnsi="Arial" w:cs="Arial"/>
          <w:sz w:val="22"/>
          <w:szCs w:val="22"/>
          <w:lang w:val="es-ES"/>
        </w:rPr>
        <w:t>Promover soluciones impulsadas por la comunidad y elaborar leyes y velar por su cumplimiento allí donde sea necesario</w:t>
      </w:r>
    </w:p>
    <w:p w14:paraId="4C191E5E" w14:textId="77777777" w:rsidR="00E207C7" w:rsidRPr="00FF5406" w:rsidRDefault="00E207C7" w:rsidP="00517726">
      <w:pPr>
        <w:jc w:val="both"/>
        <w:rPr>
          <w:rFonts w:cs="Arial"/>
          <w:lang w:val="es-ES"/>
        </w:rPr>
      </w:pPr>
    </w:p>
    <w:p w14:paraId="721AAF72" w14:textId="4C1831C5" w:rsidR="00517726" w:rsidRPr="00FF5406" w:rsidRDefault="00C75476" w:rsidP="00517726">
      <w:pPr>
        <w:jc w:val="both"/>
        <w:rPr>
          <w:lang w:val="es-ES"/>
        </w:rPr>
      </w:pPr>
      <w:r w:rsidRPr="00FF5406">
        <w:rPr>
          <w:lang w:val="es-ES"/>
        </w:rPr>
        <w:t xml:space="preserve">Las leyes tradicionales de protección de la fauna acuática suelen aplicarse con mayor efectividad que la legislación nacional. Por tanto, las soluciones impulsadas por la comunidad pueden suponer herramientas poderosas para conservar a las especies salvajes acuáticas, pero deben ajustarse a las políticas globales, regionales y nacionales. El desconocimiento de estas políticas, cuando existen, constituye una de las principales amenazas para la conservación de las especies salvajes acuáticas, y esto es válido tanto para los miembros de la comunidad como para los responsables de hacer cumplir la ley. Esto se ve agravado por la insuficiencia de recursos humanos, tecnológicos y financieros disponibles para hacer cumplir la ley, así como por la pobreza y la falta de </w:t>
      </w:r>
      <w:proofErr w:type="gramStart"/>
      <w:r w:rsidRPr="00FF5406">
        <w:rPr>
          <w:lang w:val="es-ES"/>
        </w:rPr>
        <w:t>opciones alternativas</w:t>
      </w:r>
      <w:proofErr w:type="gramEnd"/>
      <w:r w:rsidRPr="00FF5406">
        <w:rPr>
          <w:lang w:val="es-ES"/>
        </w:rPr>
        <w:t xml:space="preserve"> de subsistencia de la comunidad.</w:t>
      </w:r>
    </w:p>
    <w:p w14:paraId="55EC3F69" w14:textId="77777777" w:rsidR="0088374F" w:rsidRPr="00FF5406" w:rsidRDefault="0088374F" w:rsidP="00517726">
      <w:pPr>
        <w:jc w:val="both"/>
        <w:rPr>
          <w:rFonts w:cs="Arial"/>
          <w:lang w:val="es-ES"/>
        </w:rPr>
      </w:pPr>
    </w:p>
    <w:p w14:paraId="7509A871" w14:textId="77777777" w:rsidR="00DD6D20" w:rsidRPr="00FF5406" w:rsidRDefault="00DD6D20" w:rsidP="00DD6D20">
      <w:pPr>
        <w:numPr>
          <w:ilvl w:val="0"/>
          <w:numId w:val="15"/>
        </w:numPr>
        <w:suppressAutoHyphens w:val="0"/>
        <w:jc w:val="both"/>
        <w:rPr>
          <w:rFonts w:cs="Arial"/>
          <w:spacing w:val="-2"/>
          <w:lang w:val="es-ES" w:eastAsia="en-GB"/>
        </w:rPr>
      </w:pPr>
      <w:r w:rsidRPr="00FF5406">
        <w:rPr>
          <w:rFonts w:cs="Arial"/>
          <w:lang w:val="es-ES" w:eastAsia="es-ES"/>
        </w:rPr>
        <w:t xml:space="preserve">Objetivo temático a 5 años: </w:t>
      </w:r>
      <w:r w:rsidRPr="00FF5406">
        <w:rPr>
          <w:rFonts w:cs="Arial"/>
          <w:b/>
          <w:bCs/>
          <w:lang w:val="es-ES" w:eastAsia="es-ES"/>
        </w:rPr>
        <w:t>Promover soluciones impulsadas por la comunidad, al tiempo que se promulgan leyes y se refuerza la competencia para velar por su cumplimiento allí donde sea necesario</w:t>
      </w:r>
    </w:p>
    <w:p w14:paraId="1F109528" w14:textId="77777777" w:rsidR="00E16720" w:rsidRPr="00FF5406" w:rsidRDefault="00E16720" w:rsidP="006563FE">
      <w:pPr>
        <w:numPr>
          <w:ilvl w:val="0"/>
          <w:numId w:val="8"/>
        </w:numPr>
        <w:jc w:val="both"/>
        <w:rPr>
          <w:rFonts w:cs="Arial"/>
          <w:lang w:val="es-ES"/>
        </w:rPr>
      </w:pPr>
    </w:p>
    <w:tbl>
      <w:tblPr>
        <w:tblStyle w:val="TableGrid"/>
        <w:tblW w:w="0" w:type="auto"/>
        <w:tblLook w:val="0000" w:firstRow="0" w:lastRow="0" w:firstColumn="0" w:lastColumn="0" w:noHBand="0" w:noVBand="0"/>
      </w:tblPr>
      <w:tblGrid>
        <w:gridCol w:w="2546"/>
        <w:gridCol w:w="4576"/>
        <w:gridCol w:w="3584"/>
        <w:gridCol w:w="1035"/>
        <w:gridCol w:w="2207"/>
      </w:tblGrid>
      <w:tr w:rsidR="000C6328" w:rsidRPr="00FF5406" w14:paraId="336C056C" w14:textId="77777777" w:rsidTr="00297036">
        <w:trPr>
          <w:tblHeader/>
        </w:trPr>
        <w:tc>
          <w:tcPr>
            <w:tcW w:w="0" w:type="auto"/>
            <w:shd w:val="clear" w:color="auto" w:fill="DEEAF6" w:themeFill="accent5" w:themeFillTint="33"/>
          </w:tcPr>
          <w:p w14:paraId="72303372" w14:textId="77777777" w:rsidR="00297036" w:rsidRPr="00FF5406" w:rsidRDefault="00297036" w:rsidP="00076A08">
            <w:pPr>
              <w:numPr>
                <w:ilvl w:val="0"/>
                <w:numId w:val="16"/>
              </w:numPr>
              <w:jc w:val="both"/>
              <w:rPr>
                <w:rFonts w:ascii="Arial" w:eastAsia="Calibri" w:hAnsi="Arial" w:cs="Arial"/>
                <w:b/>
                <w:bCs/>
                <w:spacing w:val="-2"/>
                <w:lang w:val="es-ES" w:eastAsia="en-GB"/>
              </w:rPr>
            </w:pPr>
            <w:r w:rsidRPr="00FF5406">
              <w:rPr>
                <w:rFonts w:ascii="Arial" w:eastAsia="Calibri" w:hAnsi="Arial" w:cs="Arial"/>
                <w:b/>
                <w:bCs/>
                <w:lang w:val="es-ES" w:eastAsia="es-ES"/>
              </w:rPr>
              <w:t xml:space="preserve">Acción </w:t>
            </w:r>
          </w:p>
        </w:tc>
        <w:tc>
          <w:tcPr>
            <w:tcW w:w="0" w:type="auto"/>
            <w:shd w:val="clear" w:color="auto" w:fill="DEEAF6" w:themeFill="accent5" w:themeFillTint="33"/>
          </w:tcPr>
          <w:p w14:paraId="3E329606" w14:textId="77777777" w:rsidR="00297036" w:rsidRPr="00FF5406" w:rsidRDefault="00297036" w:rsidP="00076A08">
            <w:pPr>
              <w:numPr>
                <w:ilvl w:val="0"/>
                <w:numId w:val="16"/>
              </w:numPr>
              <w:jc w:val="both"/>
              <w:rPr>
                <w:rFonts w:ascii="Arial" w:eastAsia="Calibri" w:hAnsi="Arial" w:cs="Arial"/>
                <w:b/>
                <w:bCs/>
                <w:spacing w:val="-2"/>
                <w:lang w:val="es-ES" w:eastAsia="en-GB"/>
              </w:rPr>
            </w:pPr>
            <w:r w:rsidRPr="00FF5406">
              <w:rPr>
                <w:rFonts w:ascii="Arial" w:eastAsia="Calibri" w:hAnsi="Arial" w:cs="Arial"/>
                <w:b/>
                <w:bCs/>
                <w:lang w:val="es-ES" w:eastAsia="es-ES"/>
              </w:rPr>
              <w:t>Actividades</w:t>
            </w:r>
          </w:p>
        </w:tc>
        <w:tc>
          <w:tcPr>
            <w:tcW w:w="0" w:type="auto"/>
            <w:shd w:val="clear" w:color="auto" w:fill="DEEAF6" w:themeFill="accent5" w:themeFillTint="33"/>
          </w:tcPr>
          <w:p w14:paraId="35B23687" w14:textId="77777777" w:rsidR="00297036" w:rsidRPr="00FF5406" w:rsidRDefault="00297036" w:rsidP="00076A08">
            <w:pPr>
              <w:numPr>
                <w:ilvl w:val="0"/>
                <w:numId w:val="16"/>
              </w:numPr>
              <w:jc w:val="both"/>
              <w:rPr>
                <w:rFonts w:ascii="Arial" w:eastAsia="Calibri" w:hAnsi="Arial" w:cs="Arial"/>
                <w:b/>
                <w:bCs/>
                <w:spacing w:val="-2"/>
                <w:lang w:val="es-ES" w:eastAsia="en-GB"/>
              </w:rPr>
            </w:pPr>
            <w:r w:rsidRPr="00FF5406">
              <w:rPr>
                <w:rFonts w:ascii="Arial" w:eastAsia="Calibri" w:hAnsi="Arial" w:cs="Arial"/>
                <w:b/>
                <w:bCs/>
                <w:lang w:val="es-ES" w:eastAsia="es-ES"/>
              </w:rPr>
              <w:t>Responsabilidad</w:t>
            </w:r>
          </w:p>
        </w:tc>
        <w:tc>
          <w:tcPr>
            <w:tcW w:w="0" w:type="auto"/>
            <w:shd w:val="clear" w:color="auto" w:fill="DEEAF6" w:themeFill="accent5" w:themeFillTint="33"/>
          </w:tcPr>
          <w:p w14:paraId="10E2A46D" w14:textId="77777777" w:rsidR="00297036" w:rsidRPr="00FF5406" w:rsidRDefault="00297036" w:rsidP="00076A08">
            <w:pPr>
              <w:numPr>
                <w:ilvl w:val="0"/>
                <w:numId w:val="16"/>
              </w:numPr>
              <w:jc w:val="both"/>
              <w:rPr>
                <w:rFonts w:ascii="Arial" w:eastAsia="Calibri" w:hAnsi="Arial" w:cs="Arial"/>
                <w:b/>
                <w:bCs/>
                <w:spacing w:val="-2"/>
                <w:lang w:val="es-ES" w:eastAsia="en-GB"/>
              </w:rPr>
            </w:pPr>
            <w:r w:rsidRPr="00FF5406">
              <w:rPr>
                <w:rFonts w:ascii="Arial" w:eastAsia="Calibri" w:hAnsi="Arial" w:cs="Arial"/>
                <w:b/>
                <w:bCs/>
                <w:lang w:val="es-ES" w:eastAsia="es-ES"/>
              </w:rPr>
              <w:t>Período</w:t>
            </w:r>
          </w:p>
        </w:tc>
        <w:tc>
          <w:tcPr>
            <w:tcW w:w="0" w:type="auto"/>
            <w:shd w:val="clear" w:color="auto" w:fill="DEEAF6" w:themeFill="accent5" w:themeFillTint="33"/>
          </w:tcPr>
          <w:p w14:paraId="61CA92BB" w14:textId="77777777" w:rsidR="00297036" w:rsidRPr="00FF5406" w:rsidRDefault="00297036" w:rsidP="00076A08">
            <w:pPr>
              <w:numPr>
                <w:ilvl w:val="0"/>
                <w:numId w:val="16"/>
              </w:numPr>
              <w:jc w:val="both"/>
              <w:rPr>
                <w:rFonts w:ascii="Arial" w:eastAsia="Calibri" w:hAnsi="Arial" w:cs="Arial"/>
                <w:b/>
                <w:bCs/>
                <w:spacing w:val="-2"/>
                <w:lang w:val="es-ES" w:eastAsia="en-GB"/>
              </w:rPr>
            </w:pPr>
            <w:r w:rsidRPr="00FF5406">
              <w:rPr>
                <w:rFonts w:ascii="Arial" w:eastAsia="Calibri" w:hAnsi="Arial" w:cs="Arial"/>
                <w:b/>
                <w:bCs/>
                <w:lang w:val="es-ES" w:eastAsia="es-ES"/>
              </w:rPr>
              <w:t xml:space="preserve">Recursos necesarios </w:t>
            </w:r>
          </w:p>
        </w:tc>
      </w:tr>
      <w:tr w:rsidR="000C6328" w:rsidRPr="00C70B64" w14:paraId="130E0D44" w14:textId="77777777" w:rsidTr="00F15DB1">
        <w:tc>
          <w:tcPr>
            <w:tcW w:w="0" w:type="auto"/>
            <w:vMerge w:val="restart"/>
          </w:tcPr>
          <w:p w14:paraId="0270C5C9" w14:textId="46565799"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4.1. Fomentar soluciones impulsadas por la comunidad</w:t>
            </w:r>
          </w:p>
        </w:tc>
        <w:tc>
          <w:tcPr>
            <w:tcW w:w="0" w:type="auto"/>
          </w:tcPr>
          <w:p w14:paraId="7E6EAC49" w14:textId="77777777" w:rsidR="00297036" w:rsidRPr="006C5A18"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4.1.1. Identificar, documentar y publicar ejemplos de buenas prácticas de conservación de especies, impulsadas por la comunidad, y de la gestión adecuada de la carne de animales salvajes acuáticos de toda la región, como medio de sensibilización (responsables políticos y comunidad)</w:t>
            </w:r>
          </w:p>
          <w:p w14:paraId="3B606A50" w14:textId="77777777" w:rsidR="006C5A18" w:rsidRPr="00FF5406" w:rsidRDefault="006C5A18" w:rsidP="00076A08">
            <w:pPr>
              <w:numPr>
                <w:ilvl w:val="0"/>
                <w:numId w:val="16"/>
              </w:numPr>
              <w:jc w:val="both"/>
              <w:rPr>
                <w:rFonts w:ascii="Arial" w:eastAsia="Calibri" w:hAnsi="Arial" w:cs="Arial"/>
                <w:spacing w:val="-2"/>
                <w:lang w:val="es-ES" w:eastAsia="en-GB"/>
              </w:rPr>
            </w:pPr>
          </w:p>
        </w:tc>
        <w:tc>
          <w:tcPr>
            <w:tcW w:w="0" w:type="auto"/>
          </w:tcPr>
          <w:p w14:paraId="7CDB650A"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 xml:space="preserve">El AWM WG en colaboración con los puntos focales de África occidental de la CMS, la CITES, el Convenio de Abiyán, el Ramsar, la UICN, la CBI y la FAO </w:t>
            </w:r>
          </w:p>
        </w:tc>
        <w:tc>
          <w:tcPr>
            <w:tcW w:w="0" w:type="auto"/>
          </w:tcPr>
          <w:p w14:paraId="07C029A5"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2025</w:t>
            </w:r>
          </w:p>
        </w:tc>
        <w:tc>
          <w:tcPr>
            <w:tcW w:w="0" w:type="auto"/>
          </w:tcPr>
          <w:p w14:paraId="720A5FE7"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Trabajo interno del organismo + acceso a internet</w:t>
            </w:r>
          </w:p>
        </w:tc>
      </w:tr>
      <w:tr w:rsidR="000C6328" w:rsidRPr="00C70B64" w14:paraId="02F5397F" w14:textId="77777777" w:rsidTr="00F15DB1">
        <w:tc>
          <w:tcPr>
            <w:tcW w:w="0" w:type="auto"/>
            <w:vMerge/>
          </w:tcPr>
          <w:p w14:paraId="0FC0F5A3" w14:textId="77777777" w:rsidR="00297036" w:rsidRPr="00FF5406" w:rsidRDefault="00297036" w:rsidP="00076A08">
            <w:pPr>
              <w:jc w:val="both"/>
              <w:rPr>
                <w:rFonts w:ascii="Arial" w:eastAsia="Calibri" w:hAnsi="Arial" w:cs="Arial"/>
                <w:spacing w:val="-2"/>
                <w:lang w:val="es-ES" w:eastAsia="en-GB"/>
              </w:rPr>
            </w:pPr>
          </w:p>
        </w:tc>
        <w:tc>
          <w:tcPr>
            <w:tcW w:w="0" w:type="auto"/>
          </w:tcPr>
          <w:p w14:paraId="789C3A57"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4.1.2. Reunirse con estas comunidades para identificar experiencias y soluciones comunes que puedan aplicarse en otros lugares</w:t>
            </w:r>
          </w:p>
        </w:tc>
        <w:tc>
          <w:tcPr>
            <w:tcW w:w="0" w:type="auto"/>
          </w:tcPr>
          <w:p w14:paraId="1C770A6D"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El AWM WG en colaboración con los puntos focales de África occidental de la CMS, la CITES, el Convenio de Abiyán, el Ramsar, la UICN y la FAO</w:t>
            </w:r>
          </w:p>
        </w:tc>
        <w:tc>
          <w:tcPr>
            <w:tcW w:w="0" w:type="auto"/>
          </w:tcPr>
          <w:p w14:paraId="1DD7C3F4"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2026</w:t>
            </w:r>
          </w:p>
        </w:tc>
        <w:tc>
          <w:tcPr>
            <w:tcW w:w="0" w:type="auto"/>
          </w:tcPr>
          <w:p w14:paraId="79851EA3" w14:textId="119128D9" w:rsidR="006C5A18"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Costes sobre el terreno (viajes y talleres) Trabajo interno del organismo + acceso a Internet</w:t>
            </w:r>
          </w:p>
        </w:tc>
      </w:tr>
      <w:tr w:rsidR="000C6328" w:rsidRPr="00FF5406" w14:paraId="777EF194" w14:textId="77777777" w:rsidTr="00F15DB1">
        <w:tc>
          <w:tcPr>
            <w:tcW w:w="0" w:type="auto"/>
            <w:vMerge/>
          </w:tcPr>
          <w:p w14:paraId="6E0CD5DE" w14:textId="77777777" w:rsidR="00297036" w:rsidRPr="00FF5406" w:rsidRDefault="00297036" w:rsidP="00076A08">
            <w:pPr>
              <w:jc w:val="both"/>
              <w:rPr>
                <w:rFonts w:ascii="Arial" w:eastAsia="Calibri" w:hAnsi="Arial" w:cs="Arial"/>
                <w:spacing w:val="-2"/>
                <w:lang w:val="es-ES" w:eastAsia="en-GB"/>
              </w:rPr>
            </w:pPr>
          </w:p>
        </w:tc>
        <w:tc>
          <w:tcPr>
            <w:tcW w:w="0" w:type="auto"/>
          </w:tcPr>
          <w:p w14:paraId="7D7590A5" w14:textId="2DFAEB76" w:rsidR="00297036" w:rsidRPr="00FF5406" w:rsidRDefault="00297036" w:rsidP="00076A08">
            <w:pPr>
              <w:jc w:val="both"/>
              <w:rPr>
                <w:rFonts w:ascii="Arial" w:eastAsia="Calibri" w:hAnsi="Arial" w:cs="Arial"/>
                <w:spacing w:val="-2"/>
                <w:lang w:val="es-ES" w:eastAsia="en-GB"/>
              </w:rPr>
            </w:pPr>
            <w:r w:rsidRPr="00FF5406">
              <w:rPr>
                <w:rFonts w:ascii="Arial" w:eastAsia="Calibri" w:hAnsi="Arial" w:cs="Arial"/>
                <w:lang w:val="es-ES" w:eastAsia="es-ES"/>
              </w:rPr>
              <w:t>4.1.3. Reagrupar la información generada en las acciones 1.1, 2.3 y 3.1 y traducirla a los idiomas locales correspondientes</w:t>
            </w:r>
          </w:p>
        </w:tc>
        <w:tc>
          <w:tcPr>
            <w:tcW w:w="0" w:type="auto"/>
          </w:tcPr>
          <w:p w14:paraId="223AF278"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El AWM WG en colaboración con los puntos focales de África occidental de la CMS, la CITES, el Convenio de Abiyán, el Ramsar, la UICN y la FAO, las ONG locales, la sociedad civil y las universidades</w:t>
            </w:r>
          </w:p>
        </w:tc>
        <w:tc>
          <w:tcPr>
            <w:tcW w:w="0" w:type="auto"/>
          </w:tcPr>
          <w:p w14:paraId="4A74A80E" w14:textId="77777777" w:rsidR="00297036" w:rsidRPr="00FF5406" w:rsidRDefault="00297036" w:rsidP="00076A08">
            <w:pPr>
              <w:jc w:val="both"/>
              <w:rPr>
                <w:rFonts w:ascii="Arial" w:eastAsia="Calibri" w:hAnsi="Arial" w:cs="Arial"/>
                <w:spacing w:val="-2"/>
                <w:lang w:val="es-ES" w:eastAsia="en-GB"/>
              </w:rPr>
            </w:pPr>
            <w:r w:rsidRPr="00FF5406">
              <w:rPr>
                <w:rFonts w:ascii="Arial" w:eastAsia="Calibri" w:hAnsi="Arial" w:cs="Arial"/>
                <w:lang w:val="es-ES" w:eastAsia="es-ES"/>
              </w:rPr>
              <w:t>2026</w:t>
            </w:r>
          </w:p>
        </w:tc>
        <w:tc>
          <w:tcPr>
            <w:tcW w:w="0" w:type="auto"/>
          </w:tcPr>
          <w:p w14:paraId="785FFF58"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Trabajo interno del organismo + acceso a internet</w:t>
            </w:r>
          </w:p>
          <w:p w14:paraId="15D3C024"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Costes de traducción</w:t>
            </w:r>
          </w:p>
        </w:tc>
      </w:tr>
      <w:tr w:rsidR="000C6328" w:rsidRPr="00C70B64" w14:paraId="01458C27" w14:textId="77777777" w:rsidTr="006C5A18">
        <w:trPr>
          <w:trHeight w:val="2303"/>
        </w:trPr>
        <w:tc>
          <w:tcPr>
            <w:tcW w:w="0" w:type="auto"/>
            <w:vMerge/>
          </w:tcPr>
          <w:p w14:paraId="601A9634" w14:textId="77777777" w:rsidR="00297036" w:rsidRPr="00FF5406" w:rsidRDefault="00297036" w:rsidP="00076A08">
            <w:pPr>
              <w:jc w:val="both"/>
              <w:rPr>
                <w:rFonts w:ascii="Arial" w:eastAsia="Calibri" w:hAnsi="Arial" w:cs="Arial"/>
                <w:spacing w:val="-2"/>
                <w:lang w:val="es-ES" w:eastAsia="en-GB"/>
              </w:rPr>
            </w:pPr>
          </w:p>
        </w:tc>
        <w:tc>
          <w:tcPr>
            <w:tcW w:w="0" w:type="auto"/>
          </w:tcPr>
          <w:p w14:paraId="770128CC" w14:textId="77777777" w:rsidR="00297036" w:rsidRPr="00FF5406" w:rsidRDefault="00297036" w:rsidP="00076A08">
            <w:pPr>
              <w:jc w:val="both"/>
              <w:rPr>
                <w:rFonts w:ascii="Arial" w:eastAsia="Calibri" w:hAnsi="Arial" w:cs="Arial"/>
                <w:spacing w:val="-2"/>
                <w:lang w:val="es-ES" w:eastAsia="en-GB"/>
              </w:rPr>
            </w:pPr>
            <w:r w:rsidRPr="00FF5406">
              <w:rPr>
                <w:rFonts w:ascii="Arial" w:eastAsia="Calibri" w:hAnsi="Arial" w:cs="Arial"/>
                <w:lang w:val="es-ES" w:eastAsia="es-ES"/>
              </w:rPr>
              <w:t>4.1.4. Desarrollar y poner en marcha un programa específico para difundir estas experiencias comunes a otras comunidades, fomentando una mayor aceptación de las soluciones impulsadas por la comunidad (por ejemplo, a través de radios comunitarias, folletos, etc.) y facilitando los trayectos de intercambio entre comunidades</w:t>
            </w:r>
          </w:p>
        </w:tc>
        <w:tc>
          <w:tcPr>
            <w:tcW w:w="0" w:type="auto"/>
          </w:tcPr>
          <w:p w14:paraId="02870722"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El AWM WG en colaboración con los puntos focales de África occidental de la CMS, la CITES, el Convenio de Abiyán, el Ramsar, la UICN, la CBI, la FAO, las ONG locales y la sociedad civil</w:t>
            </w:r>
          </w:p>
        </w:tc>
        <w:tc>
          <w:tcPr>
            <w:tcW w:w="0" w:type="auto"/>
          </w:tcPr>
          <w:p w14:paraId="112961EB"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2027</w:t>
            </w:r>
          </w:p>
        </w:tc>
        <w:tc>
          <w:tcPr>
            <w:tcW w:w="0" w:type="auto"/>
          </w:tcPr>
          <w:p w14:paraId="7B9E418C"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 xml:space="preserve">Costes sobre el terreno asociados a la difusión de la información a las comunidades </w:t>
            </w:r>
            <w:r w:rsidRPr="00FF5406">
              <w:rPr>
                <w:rFonts w:ascii="Arial" w:eastAsia="Calibri" w:hAnsi="Arial" w:cs="Arial"/>
                <w:lang w:val="es-ES" w:eastAsia="es-ES"/>
              </w:rPr>
              <w:br/>
              <w:t>Trabajo interno del organismo + acceso a internet</w:t>
            </w:r>
          </w:p>
        </w:tc>
      </w:tr>
      <w:tr w:rsidR="000C6328" w:rsidRPr="00C70B64" w14:paraId="175FEF47" w14:textId="77777777" w:rsidTr="00F15DB1">
        <w:tc>
          <w:tcPr>
            <w:tcW w:w="0" w:type="auto"/>
            <w:vMerge w:val="restart"/>
          </w:tcPr>
          <w:p w14:paraId="5160D171" w14:textId="06B0BDE4" w:rsidR="00297036" w:rsidRPr="00FF5406" w:rsidRDefault="00297036" w:rsidP="00076A08">
            <w:pPr>
              <w:jc w:val="both"/>
              <w:rPr>
                <w:rFonts w:ascii="Arial" w:eastAsia="Calibri" w:hAnsi="Arial" w:cs="Arial"/>
                <w:spacing w:val="-2"/>
                <w:lang w:val="es-ES" w:eastAsia="en-GB"/>
              </w:rPr>
            </w:pPr>
            <w:r w:rsidRPr="00FF5406">
              <w:rPr>
                <w:rFonts w:ascii="Arial" w:eastAsia="Calibri" w:hAnsi="Arial" w:cs="Arial"/>
                <w:lang w:val="es-ES" w:eastAsia="es-ES"/>
              </w:rPr>
              <w:t>4.2. Aumentar el grado de compromiso político para prevenir, combatir y erradicar la captura ilegal de la carne de animales salvajes acuáticos</w:t>
            </w:r>
          </w:p>
        </w:tc>
        <w:tc>
          <w:tcPr>
            <w:tcW w:w="0" w:type="auto"/>
          </w:tcPr>
          <w:p w14:paraId="0A4FAB54" w14:textId="77777777" w:rsidR="00297036" w:rsidRPr="00FF5406" w:rsidRDefault="00297036" w:rsidP="00076A08">
            <w:pPr>
              <w:jc w:val="both"/>
              <w:rPr>
                <w:rFonts w:ascii="Arial" w:eastAsia="Calibri" w:hAnsi="Arial" w:cs="Arial"/>
                <w:spacing w:val="-2"/>
                <w:lang w:val="es-ES" w:eastAsia="en-GB"/>
              </w:rPr>
            </w:pPr>
            <w:r w:rsidRPr="00FF5406">
              <w:rPr>
                <w:rFonts w:ascii="Arial" w:eastAsia="Calibri" w:hAnsi="Arial" w:cs="Arial"/>
                <w:lang w:val="es-ES" w:eastAsia="es-ES"/>
              </w:rPr>
              <w:t xml:space="preserve">4.2.1. Sobre la base de las estrategias internacionales y regionales existentes, establecer y llevar a cabo una estrategia global contra la caza furtiva de carne de animales salvajes acuáticos en cada país, centrada en el compromiso con las comunidades </w:t>
            </w:r>
          </w:p>
        </w:tc>
        <w:tc>
          <w:tcPr>
            <w:tcW w:w="0" w:type="auto"/>
          </w:tcPr>
          <w:p w14:paraId="2D6C6FBD"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 xml:space="preserve">Puntos focales de África occidental de la CMS, la CITES, el Convenio de Abiyán, el Ramsar, la UICN, la CBI y la FAO, con el apoyo de AWM WG </w:t>
            </w:r>
          </w:p>
        </w:tc>
        <w:tc>
          <w:tcPr>
            <w:tcW w:w="0" w:type="auto"/>
          </w:tcPr>
          <w:p w14:paraId="34075E4F"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 xml:space="preserve">2027 </w:t>
            </w:r>
          </w:p>
        </w:tc>
        <w:tc>
          <w:tcPr>
            <w:tcW w:w="0" w:type="auto"/>
          </w:tcPr>
          <w:p w14:paraId="19B9BC77"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Costes sobre el terreno, consultores, talleres, etc.</w:t>
            </w:r>
          </w:p>
          <w:p w14:paraId="057FEAD0"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Trabajo interno del organismo + acceso a internet</w:t>
            </w:r>
          </w:p>
        </w:tc>
      </w:tr>
      <w:tr w:rsidR="000C6328" w:rsidRPr="00C70B64" w14:paraId="225E807A" w14:textId="77777777" w:rsidTr="00F15DB1">
        <w:tc>
          <w:tcPr>
            <w:tcW w:w="0" w:type="auto"/>
            <w:vMerge/>
          </w:tcPr>
          <w:p w14:paraId="0EA4494E" w14:textId="77777777" w:rsidR="00297036" w:rsidRPr="00FF5406" w:rsidRDefault="00297036" w:rsidP="00076A08">
            <w:pPr>
              <w:jc w:val="both"/>
              <w:rPr>
                <w:rFonts w:ascii="Arial" w:eastAsia="Calibri" w:hAnsi="Arial" w:cs="Arial"/>
                <w:spacing w:val="-2"/>
                <w:lang w:val="es-ES" w:eastAsia="en-GB"/>
              </w:rPr>
            </w:pPr>
          </w:p>
        </w:tc>
        <w:tc>
          <w:tcPr>
            <w:tcW w:w="0" w:type="auto"/>
          </w:tcPr>
          <w:p w14:paraId="4F9CE8E3"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4.2.2. Desarrollar un plan regional y medidas que refuercen y apoyen la competencia institucional nacional para la aplicación y el control, eficiente y eficaz, de la captura ilegal de la carne de animales salvajes acuáticos</w:t>
            </w:r>
          </w:p>
        </w:tc>
        <w:tc>
          <w:tcPr>
            <w:tcW w:w="0" w:type="auto"/>
          </w:tcPr>
          <w:p w14:paraId="519F251B" w14:textId="2A8D2F5C"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Puntos focales de África occidental de la CMS, la CITES, el Convenio de Abiyán, el Ramsar, la UICN, la CBI y la FAO, con el apoyo de AWM WG</w:t>
            </w:r>
            <w:r w:rsidR="00FF5406">
              <w:rPr>
                <w:rFonts w:ascii="Arial" w:eastAsia="Calibri" w:hAnsi="Arial" w:cs="Arial"/>
                <w:lang w:val="es-ES" w:eastAsia="es-ES"/>
              </w:rPr>
              <w:t xml:space="preserve"> </w:t>
            </w:r>
          </w:p>
        </w:tc>
        <w:tc>
          <w:tcPr>
            <w:tcW w:w="0" w:type="auto"/>
          </w:tcPr>
          <w:p w14:paraId="615F5213"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2027</w:t>
            </w:r>
          </w:p>
        </w:tc>
        <w:tc>
          <w:tcPr>
            <w:tcW w:w="0" w:type="auto"/>
          </w:tcPr>
          <w:p w14:paraId="20DC97DE"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Costes sobre el terreno, talleres, etc.</w:t>
            </w:r>
          </w:p>
          <w:p w14:paraId="49BAE7E1"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Trabajo interno del organismo + acceso a internet</w:t>
            </w:r>
          </w:p>
        </w:tc>
      </w:tr>
      <w:tr w:rsidR="000C6328" w:rsidRPr="00C70B64" w14:paraId="1908049F" w14:textId="77777777" w:rsidTr="00F15DB1">
        <w:tc>
          <w:tcPr>
            <w:tcW w:w="0" w:type="auto"/>
            <w:vMerge/>
          </w:tcPr>
          <w:p w14:paraId="72E6AAFD" w14:textId="77777777" w:rsidR="00297036" w:rsidRPr="00FF5406" w:rsidRDefault="00297036" w:rsidP="00076A08">
            <w:pPr>
              <w:jc w:val="both"/>
              <w:rPr>
                <w:rFonts w:ascii="Arial" w:eastAsia="Calibri" w:hAnsi="Arial" w:cs="Arial"/>
                <w:spacing w:val="-2"/>
                <w:lang w:val="es-ES" w:eastAsia="en-GB"/>
              </w:rPr>
            </w:pPr>
          </w:p>
        </w:tc>
        <w:tc>
          <w:tcPr>
            <w:tcW w:w="0" w:type="auto"/>
          </w:tcPr>
          <w:p w14:paraId="163A91AA" w14:textId="77777777" w:rsidR="00297036" w:rsidRPr="00FF5406" w:rsidRDefault="00297036" w:rsidP="00076A08">
            <w:pPr>
              <w:jc w:val="both"/>
              <w:rPr>
                <w:rFonts w:ascii="Arial" w:eastAsia="Calibri" w:hAnsi="Arial" w:cs="Arial"/>
                <w:spacing w:val="-2"/>
                <w:lang w:val="es-ES" w:eastAsia="en-GB"/>
              </w:rPr>
            </w:pPr>
            <w:r w:rsidRPr="00FF5406">
              <w:rPr>
                <w:rFonts w:ascii="Arial" w:eastAsia="Calibri" w:hAnsi="Arial" w:cs="Arial"/>
                <w:lang w:val="es-ES" w:eastAsia="es-ES"/>
              </w:rPr>
              <w:t>4.2.3. Crear una sinergia de acción para apoyar a los Estados en la consecución de los objetivos 30x30 del CDB, en materia de áreas protegidas, y una gobernanza adecuada de la conservación comunitaria en la región, con la participación de las comunidades locales, teniendo en cuenta los aspectos socioeconómicos y ecológicos, así como la gobernanza participativa</w:t>
            </w:r>
          </w:p>
        </w:tc>
        <w:tc>
          <w:tcPr>
            <w:tcW w:w="0" w:type="auto"/>
          </w:tcPr>
          <w:p w14:paraId="5FF2F402"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Puntos focales de África occidental de la CMS, el CDB, la CITES, el Convenio de Abiyán, el Ramsar, la UICN, la CBI, la FAO y los comités nacionales asociados</w:t>
            </w:r>
          </w:p>
        </w:tc>
        <w:tc>
          <w:tcPr>
            <w:tcW w:w="0" w:type="auto"/>
          </w:tcPr>
          <w:p w14:paraId="0687D4FC"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2027</w:t>
            </w:r>
          </w:p>
        </w:tc>
        <w:tc>
          <w:tcPr>
            <w:tcW w:w="0" w:type="auto"/>
          </w:tcPr>
          <w:p w14:paraId="24027C60"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Costes sobre el terreno, talleres, etc.</w:t>
            </w:r>
          </w:p>
          <w:p w14:paraId="0E6A2487" w14:textId="77777777" w:rsidR="00297036" w:rsidRPr="00FF5406" w:rsidRDefault="00297036"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Trabajo interno del organismo + acceso a internet</w:t>
            </w:r>
          </w:p>
        </w:tc>
      </w:tr>
    </w:tbl>
    <w:p w14:paraId="7E0BABBB" w14:textId="77777777" w:rsidR="00076A08" w:rsidRDefault="00076A08" w:rsidP="006C5A18">
      <w:pPr>
        <w:pStyle w:val="Heading3"/>
        <w:spacing w:before="0" w:after="0"/>
        <w:jc w:val="center"/>
        <w:rPr>
          <w:rFonts w:ascii="Arial" w:hAnsi="Arial" w:cs="Arial"/>
          <w:sz w:val="22"/>
          <w:szCs w:val="22"/>
          <w:lang w:val="es-ES"/>
        </w:rPr>
      </w:pPr>
    </w:p>
    <w:p w14:paraId="38038FF2" w14:textId="77777777" w:rsidR="00076A08" w:rsidRDefault="00076A08">
      <w:pPr>
        <w:rPr>
          <w:rFonts w:eastAsia="Noto Sans CJK SC" w:cs="Arial"/>
          <w:b/>
          <w:bCs/>
          <w:kern w:val="2"/>
          <w:lang w:val="es-ES" w:eastAsia="zh-CN" w:bidi="hi-IN"/>
        </w:rPr>
      </w:pPr>
      <w:r>
        <w:rPr>
          <w:rFonts w:cs="Arial"/>
          <w:lang w:val="es-ES"/>
        </w:rPr>
        <w:br w:type="page"/>
      </w:r>
    </w:p>
    <w:p w14:paraId="340689D2" w14:textId="20C81CBF" w:rsidR="00DB0EB0" w:rsidRDefault="00DB0EB0" w:rsidP="006C5A18">
      <w:pPr>
        <w:pStyle w:val="Heading3"/>
        <w:spacing w:before="0" w:after="0"/>
        <w:jc w:val="center"/>
        <w:rPr>
          <w:rFonts w:ascii="Arial" w:hAnsi="Arial" w:cs="Arial"/>
          <w:sz w:val="22"/>
          <w:szCs w:val="22"/>
          <w:lang w:val="es-ES"/>
        </w:rPr>
      </w:pPr>
      <w:r w:rsidRPr="00FF5406">
        <w:rPr>
          <w:rFonts w:ascii="Arial" w:hAnsi="Arial" w:cs="Arial"/>
          <w:sz w:val="22"/>
          <w:szCs w:val="22"/>
          <w:lang w:val="es-ES"/>
        </w:rPr>
        <w:lastRenderedPageBreak/>
        <w:t xml:space="preserve">Temática 5: </w:t>
      </w:r>
    </w:p>
    <w:p w14:paraId="253C9C57" w14:textId="77777777" w:rsidR="006C5A18" w:rsidRPr="006C5A18" w:rsidRDefault="006C5A18" w:rsidP="006C5A18">
      <w:pPr>
        <w:pStyle w:val="BodyText"/>
        <w:spacing w:after="0" w:line="240" w:lineRule="auto"/>
        <w:rPr>
          <w:lang w:val="es-ES" w:eastAsia="zh-CN" w:bidi="hi-IN"/>
        </w:rPr>
      </w:pPr>
    </w:p>
    <w:p w14:paraId="79E21481" w14:textId="36927B2E" w:rsidR="00DB0EB0" w:rsidRPr="00FF5406" w:rsidRDefault="00BE080C" w:rsidP="00DB0EB0">
      <w:pPr>
        <w:pStyle w:val="Heading3"/>
        <w:spacing w:before="0" w:after="0"/>
        <w:jc w:val="center"/>
        <w:rPr>
          <w:rFonts w:ascii="Arial" w:hAnsi="Arial" w:cs="Arial"/>
          <w:sz w:val="22"/>
          <w:szCs w:val="22"/>
          <w:lang w:val="es-ES"/>
        </w:rPr>
      </w:pPr>
      <w:r w:rsidRPr="00FF5406">
        <w:rPr>
          <w:rFonts w:ascii="Arial" w:hAnsi="Arial" w:cs="Arial"/>
          <w:sz w:val="22"/>
          <w:szCs w:val="22"/>
          <w:lang w:val="es-ES"/>
        </w:rPr>
        <w:t>Concienciar y promover cambios de comportamiento para lograr una mejor protección de las especies utilizadas para obtener carne de animales salvajes acuáticos</w:t>
      </w:r>
    </w:p>
    <w:p w14:paraId="7139832F" w14:textId="77777777" w:rsidR="00DB0EB0" w:rsidRPr="00FF5406" w:rsidRDefault="00DB0EB0" w:rsidP="003E0CE1">
      <w:pPr>
        <w:jc w:val="both"/>
        <w:rPr>
          <w:rFonts w:cs="Arial"/>
          <w:lang w:val="es-ES"/>
        </w:rPr>
      </w:pPr>
    </w:p>
    <w:p w14:paraId="1E69B4BE" w14:textId="77777777" w:rsidR="003E0CE1" w:rsidRPr="00FF5406" w:rsidRDefault="003E0CE1" w:rsidP="003E0CE1">
      <w:pPr>
        <w:jc w:val="both"/>
        <w:rPr>
          <w:rFonts w:cs="Arial"/>
          <w:spacing w:val="-2"/>
          <w:lang w:val="es-ES" w:eastAsia="en-GB"/>
        </w:rPr>
      </w:pPr>
      <w:r w:rsidRPr="00FF5406">
        <w:rPr>
          <w:rFonts w:cs="Arial"/>
          <w:lang w:val="es-ES" w:eastAsia="es-ES"/>
        </w:rPr>
        <w:t>Las comunidades locales no suelen dar prioridad a la conservación de la biodiversidad ni a las repercusiones a largo plazo de la sobreexplotación. Modificar conductas y actitudes es fundamental para el éxito de las soluciones basadas en la comunidad relativas a la protección de las especies utilizadas para obtener carne de animales salvajes acuáticos. Los programas de educación y concienciación pueden ayudar a las mismas a comprender la importancia del uso sostenible de los recursos.</w:t>
      </w:r>
    </w:p>
    <w:p w14:paraId="3D7DCE8C" w14:textId="77777777" w:rsidR="003E0CE1" w:rsidRPr="00FF5406" w:rsidRDefault="003E0CE1" w:rsidP="003E0CE1">
      <w:pPr>
        <w:jc w:val="both"/>
        <w:rPr>
          <w:rFonts w:cs="Arial"/>
          <w:lang w:val="es-ES"/>
        </w:rPr>
      </w:pPr>
    </w:p>
    <w:p w14:paraId="0850C314" w14:textId="77777777" w:rsidR="00522424" w:rsidRPr="00FF5406" w:rsidRDefault="00522424" w:rsidP="00522424">
      <w:pPr>
        <w:jc w:val="both"/>
        <w:rPr>
          <w:rFonts w:cs="Arial"/>
          <w:spacing w:val="-2"/>
          <w:lang w:val="es-ES" w:eastAsia="en-GB"/>
        </w:rPr>
      </w:pPr>
      <w:r w:rsidRPr="00FF5406">
        <w:rPr>
          <w:rFonts w:cs="Arial"/>
          <w:lang w:val="es-ES" w:eastAsia="es-ES"/>
        </w:rPr>
        <w:t xml:space="preserve">Objetivo temático a 5 años: </w:t>
      </w:r>
      <w:r w:rsidRPr="00FF5406">
        <w:rPr>
          <w:rFonts w:cs="Arial"/>
          <w:b/>
          <w:bCs/>
          <w:lang w:val="es-ES" w:eastAsia="es-ES"/>
        </w:rPr>
        <w:t xml:space="preserve">Transformar la actitud de la comunidad hacia la protección de las especies utilizadas para obtener carne de animales salvajes acuáticos y para la apropiación local de las medidas de conservación </w:t>
      </w:r>
    </w:p>
    <w:p w14:paraId="02706019" w14:textId="77777777" w:rsidR="00DB0EB0" w:rsidRPr="00FF5406" w:rsidRDefault="00DB0EB0" w:rsidP="00DB0EB0">
      <w:pPr>
        <w:numPr>
          <w:ilvl w:val="0"/>
          <w:numId w:val="8"/>
        </w:numPr>
        <w:jc w:val="both"/>
        <w:rPr>
          <w:rFonts w:cs="Arial"/>
          <w:lang w:val="es-ES"/>
        </w:rPr>
      </w:pPr>
    </w:p>
    <w:tbl>
      <w:tblPr>
        <w:tblStyle w:val="TableGrid"/>
        <w:tblW w:w="0" w:type="auto"/>
        <w:tblLook w:val="0000" w:firstRow="0" w:lastRow="0" w:firstColumn="0" w:lastColumn="0" w:noHBand="0" w:noVBand="0"/>
      </w:tblPr>
      <w:tblGrid>
        <w:gridCol w:w="3264"/>
        <w:gridCol w:w="3653"/>
        <w:gridCol w:w="3370"/>
        <w:gridCol w:w="1035"/>
        <w:gridCol w:w="2626"/>
      </w:tblGrid>
      <w:tr w:rsidR="000C6328" w:rsidRPr="00FF5406" w14:paraId="74FF1A5F" w14:textId="77777777" w:rsidTr="00866CD5">
        <w:trPr>
          <w:tblHeader/>
        </w:trPr>
        <w:tc>
          <w:tcPr>
            <w:tcW w:w="0" w:type="auto"/>
            <w:shd w:val="clear" w:color="auto" w:fill="DEEAF6" w:themeFill="accent5" w:themeFillTint="33"/>
          </w:tcPr>
          <w:p w14:paraId="5371467E" w14:textId="77777777" w:rsidR="00866CD5" w:rsidRPr="00FF5406" w:rsidRDefault="00866CD5" w:rsidP="00866CD5">
            <w:pPr>
              <w:numPr>
                <w:ilvl w:val="0"/>
                <w:numId w:val="16"/>
              </w:numPr>
              <w:rPr>
                <w:rFonts w:ascii="Arial" w:eastAsia="Calibri" w:hAnsi="Arial" w:cs="Arial"/>
                <w:b/>
                <w:bCs/>
                <w:spacing w:val="-2"/>
                <w:lang w:val="es-ES" w:eastAsia="en-GB"/>
              </w:rPr>
            </w:pPr>
            <w:r w:rsidRPr="00FF5406">
              <w:rPr>
                <w:rFonts w:ascii="Arial" w:eastAsia="Calibri" w:hAnsi="Arial" w:cs="Arial"/>
                <w:b/>
                <w:bCs/>
                <w:lang w:val="es-ES" w:eastAsia="es-ES"/>
              </w:rPr>
              <w:t xml:space="preserve">Acción </w:t>
            </w:r>
          </w:p>
        </w:tc>
        <w:tc>
          <w:tcPr>
            <w:tcW w:w="0" w:type="auto"/>
            <w:shd w:val="clear" w:color="auto" w:fill="DEEAF6" w:themeFill="accent5" w:themeFillTint="33"/>
          </w:tcPr>
          <w:p w14:paraId="3BAA3AC6" w14:textId="77777777" w:rsidR="00866CD5" w:rsidRPr="00FF5406" w:rsidRDefault="00866CD5" w:rsidP="00866CD5">
            <w:pPr>
              <w:numPr>
                <w:ilvl w:val="0"/>
                <w:numId w:val="16"/>
              </w:numPr>
              <w:rPr>
                <w:rFonts w:ascii="Arial" w:eastAsia="Calibri" w:hAnsi="Arial" w:cs="Arial"/>
                <w:b/>
                <w:bCs/>
                <w:spacing w:val="-2"/>
                <w:lang w:val="es-ES" w:eastAsia="en-GB"/>
              </w:rPr>
            </w:pPr>
            <w:r w:rsidRPr="00FF5406">
              <w:rPr>
                <w:rFonts w:ascii="Arial" w:eastAsia="Calibri" w:hAnsi="Arial" w:cs="Arial"/>
                <w:b/>
                <w:bCs/>
                <w:lang w:val="es-ES" w:eastAsia="es-ES"/>
              </w:rPr>
              <w:t xml:space="preserve">Actividades </w:t>
            </w:r>
          </w:p>
        </w:tc>
        <w:tc>
          <w:tcPr>
            <w:tcW w:w="0" w:type="auto"/>
            <w:shd w:val="clear" w:color="auto" w:fill="DEEAF6" w:themeFill="accent5" w:themeFillTint="33"/>
          </w:tcPr>
          <w:p w14:paraId="0C9D8018" w14:textId="77777777" w:rsidR="00866CD5" w:rsidRPr="00FF5406" w:rsidRDefault="00866CD5" w:rsidP="00866CD5">
            <w:pPr>
              <w:numPr>
                <w:ilvl w:val="0"/>
                <w:numId w:val="16"/>
              </w:numPr>
              <w:rPr>
                <w:rFonts w:ascii="Arial" w:eastAsia="Calibri" w:hAnsi="Arial" w:cs="Arial"/>
                <w:b/>
                <w:bCs/>
                <w:spacing w:val="-2"/>
                <w:lang w:val="es-ES" w:eastAsia="en-GB"/>
              </w:rPr>
            </w:pPr>
            <w:r w:rsidRPr="00FF5406">
              <w:rPr>
                <w:rFonts w:ascii="Arial" w:eastAsia="Calibri" w:hAnsi="Arial" w:cs="Arial"/>
                <w:b/>
                <w:bCs/>
                <w:lang w:val="es-ES" w:eastAsia="es-ES"/>
              </w:rPr>
              <w:t>Responsabilidad</w:t>
            </w:r>
          </w:p>
        </w:tc>
        <w:tc>
          <w:tcPr>
            <w:tcW w:w="0" w:type="auto"/>
            <w:shd w:val="clear" w:color="auto" w:fill="DEEAF6" w:themeFill="accent5" w:themeFillTint="33"/>
          </w:tcPr>
          <w:p w14:paraId="1147DB1C" w14:textId="77777777" w:rsidR="00866CD5" w:rsidRPr="00FF5406" w:rsidRDefault="00866CD5" w:rsidP="00866CD5">
            <w:pPr>
              <w:numPr>
                <w:ilvl w:val="0"/>
                <w:numId w:val="16"/>
              </w:numPr>
              <w:rPr>
                <w:rFonts w:ascii="Arial" w:eastAsia="Calibri" w:hAnsi="Arial" w:cs="Arial"/>
                <w:b/>
                <w:bCs/>
                <w:spacing w:val="-2"/>
                <w:lang w:val="es-ES" w:eastAsia="en-GB"/>
              </w:rPr>
            </w:pPr>
            <w:r w:rsidRPr="00FF5406">
              <w:rPr>
                <w:rFonts w:ascii="Arial" w:eastAsia="Calibri" w:hAnsi="Arial" w:cs="Arial"/>
                <w:b/>
                <w:bCs/>
                <w:lang w:val="es-ES" w:eastAsia="es-ES"/>
              </w:rPr>
              <w:t>Período</w:t>
            </w:r>
          </w:p>
        </w:tc>
        <w:tc>
          <w:tcPr>
            <w:tcW w:w="0" w:type="auto"/>
            <w:shd w:val="clear" w:color="auto" w:fill="DEEAF6" w:themeFill="accent5" w:themeFillTint="33"/>
          </w:tcPr>
          <w:p w14:paraId="0CAD721A" w14:textId="77777777" w:rsidR="00866CD5" w:rsidRPr="00FF5406" w:rsidRDefault="00866CD5" w:rsidP="00866CD5">
            <w:pPr>
              <w:numPr>
                <w:ilvl w:val="0"/>
                <w:numId w:val="16"/>
              </w:numPr>
              <w:rPr>
                <w:rFonts w:ascii="Arial" w:eastAsia="Calibri" w:hAnsi="Arial" w:cs="Arial"/>
                <w:b/>
                <w:bCs/>
                <w:spacing w:val="-2"/>
                <w:lang w:val="es-ES" w:eastAsia="en-GB"/>
              </w:rPr>
            </w:pPr>
            <w:r w:rsidRPr="00FF5406">
              <w:rPr>
                <w:rFonts w:ascii="Arial" w:eastAsia="Calibri" w:hAnsi="Arial" w:cs="Arial"/>
                <w:b/>
                <w:bCs/>
                <w:lang w:val="es-ES" w:eastAsia="es-ES"/>
              </w:rPr>
              <w:t xml:space="preserve">Recursos necesarios </w:t>
            </w:r>
          </w:p>
        </w:tc>
      </w:tr>
      <w:tr w:rsidR="000C6328" w:rsidRPr="00C70B64" w14:paraId="4AF2CACF" w14:textId="77777777" w:rsidTr="00F15DB1">
        <w:tc>
          <w:tcPr>
            <w:tcW w:w="0" w:type="auto"/>
            <w:vMerge w:val="restart"/>
          </w:tcPr>
          <w:p w14:paraId="33644FF1" w14:textId="6B9E1AEB"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5.1. Promover la apropiación de los objetivos de conservación de las especies utilizadas para obtener carne de animales salvajes acuáticos por parte de las comunidades locales</w:t>
            </w:r>
          </w:p>
        </w:tc>
        <w:tc>
          <w:tcPr>
            <w:tcW w:w="0" w:type="auto"/>
          </w:tcPr>
          <w:p w14:paraId="2A5BA705"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5.1.1. Realizar un análisis de la encuesta sobre los conocimientos y actitudes con las comunidades locales.</w:t>
            </w:r>
          </w:p>
        </w:tc>
        <w:tc>
          <w:tcPr>
            <w:tcW w:w="0" w:type="auto"/>
          </w:tcPr>
          <w:p w14:paraId="192335D3"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Puntos focales de África occidental de la CMS, la CITES, el Convenio de Abiyán, el Ramsar, la UICN y la FAO en colaboración con el AWM WG</w:t>
            </w:r>
          </w:p>
        </w:tc>
        <w:tc>
          <w:tcPr>
            <w:tcW w:w="0" w:type="auto"/>
          </w:tcPr>
          <w:p w14:paraId="76D48C4E"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2024</w:t>
            </w:r>
          </w:p>
        </w:tc>
        <w:tc>
          <w:tcPr>
            <w:tcW w:w="0" w:type="auto"/>
          </w:tcPr>
          <w:p w14:paraId="5317966E"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Trabajo interno del organismo + acceso a internet + viajes sobre el terreno + costes de producción e impresión de documentos</w:t>
            </w:r>
          </w:p>
        </w:tc>
      </w:tr>
      <w:tr w:rsidR="000C6328" w:rsidRPr="00C70B64" w14:paraId="1C42C547" w14:textId="77777777" w:rsidTr="00F15DB1">
        <w:tc>
          <w:tcPr>
            <w:tcW w:w="0" w:type="auto"/>
            <w:vMerge/>
          </w:tcPr>
          <w:p w14:paraId="7B5ECCF3" w14:textId="77777777" w:rsidR="00866CD5" w:rsidRPr="00FF5406" w:rsidRDefault="00866CD5" w:rsidP="00076A08">
            <w:pPr>
              <w:jc w:val="both"/>
              <w:rPr>
                <w:rFonts w:ascii="Arial" w:eastAsia="Calibri" w:hAnsi="Arial" w:cs="Arial"/>
                <w:spacing w:val="-2"/>
                <w:lang w:val="es-ES" w:eastAsia="en-GB"/>
              </w:rPr>
            </w:pPr>
          </w:p>
        </w:tc>
        <w:tc>
          <w:tcPr>
            <w:tcW w:w="0" w:type="auto"/>
          </w:tcPr>
          <w:p w14:paraId="7EE974CB"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5.1.2 Desarrollar un programa de educación y comunicación ambiental (EEC) para promover cambios positivos en las conductas, con el fin de reducir el consumo de carne de animales salvajes acuáticos</w:t>
            </w:r>
          </w:p>
        </w:tc>
        <w:tc>
          <w:tcPr>
            <w:tcW w:w="0" w:type="auto"/>
          </w:tcPr>
          <w:p w14:paraId="5D328CF3"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Puntos focales de África occidental de la CMS, la CITES, el Convenio de Abiyán, el Ramsar, la UICN, la FAO, las ONG y los medios de comunicación</w:t>
            </w:r>
          </w:p>
        </w:tc>
        <w:tc>
          <w:tcPr>
            <w:tcW w:w="0" w:type="auto"/>
          </w:tcPr>
          <w:p w14:paraId="77563432"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2025</w:t>
            </w:r>
          </w:p>
        </w:tc>
        <w:tc>
          <w:tcPr>
            <w:tcW w:w="0" w:type="auto"/>
          </w:tcPr>
          <w:p w14:paraId="411D4DE9"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Trabajo interno del organismo + acceso a internet</w:t>
            </w:r>
          </w:p>
        </w:tc>
      </w:tr>
      <w:tr w:rsidR="000C6328" w:rsidRPr="00C70B64" w14:paraId="20512D6B" w14:textId="77777777" w:rsidTr="00F15DB1">
        <w:tc>
          <w:tcPr>
            <w:tcW w:w="0" w:type="auto"/>
            <w:vMerge/>
          </w:tcPr>
          <w:p w14:paraId="5C413C94" w14:textId="77777777" w:rsidR="00866CD5" w:rsidRPr="00FF5406" w:rsidRDefault="00866CD5" w:rsidP="00076A08">
            <w:pPr>
              <w:jc w:val="both"/>
              <w:rPr>
                <w:rFonts w:ascii="Arial" w:eastAsia="Calibri" w:hAnsi="Arial" w:cs="Arial"/>
                <w:spacing w:val="-2"/>
                <w:lang w:val="es-ES" w:eastAsia="en-GB"/>
              </w:rPr>
            </w:pPr>
          </w:p>
        </w:tc>
        <w:tc>
          <w:tcPr>
            <w:tcW w:w="0" w:type="auto"/>
          </w:tcPr>
          <w:p w14:paraId="4DBDEA62"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5.1.3. Aumentar la capacidad, el intercambio de información, la defensa y la concienciación pública de los diferentes grupos comunitarios a nivel local</w:t>
            </w:r>
          </w:p>
        </w:tc>
        <w:tc>
          <w:tcPr>
            <w:tcW w:w="0" w:type="auto"/>
          </w:tcPr>
          <w:p w14:paraId="09D58BAB"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 xml:space="preserve">Puntos focales de África occidental de la CMS, de la CITES, del Convenio de Abiyán, de Ramsar, de la UICN y de la FAO </w:t>
            </w:r>
          </w:p>
        </w:tc>
        <w:tc>
          <w:tcPr>
            <w:tcW w:w="0" w:type="auto"/>
          </w:tcPr>
          <w:p w14:paraId="605BDF55"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2027</w:t>
            </w:r>
          </w:p>
        </w:tc>
        <w:tc>
          <w:tcPr>
            <w:tcW w:w="0" w:type="auto"/>
          </w:tcPr>
          <w:p w14:paraId="3F93B345" w14:textId="77777777" w:rsidR="00866CD5" w:rsidRPr="00FF5406" w:rsidRDefault="00866CD5"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Trabajo interno del organismo + acceso a internet + viajes sobre el terreno + costes de producción e impresión de documentos</w:t>
            </w:r>
          </w:p>
        </w:tc>
      </w:tr>
    </w:tbl>
    <w:p w14:paraId="2A9BBF4C" w14:textId="77777777" w:rsidR="00DB0EB0" w:rsidRPr="00FF5406" w:rsidRDefault="00DB0EB0" w:rsidP="00E16720">
      <w:pPr>
        <w:pStyle w:val="Secondnumbering"/>
        <w:numPr>
          <w:ilvl w:val="0"/>
          <w:numId w:val="0"/>
        </w:numPr>
        <w:jc w:val="both"/>
        <w:rPr>
          <w:rFonts w:cs="Arial"/>
          <w:lang w:val="es-ES"/>
        </w:rPr>
      </w:pPr>
    </w:p>
    <w:p w14:paraId="13897FE3" w14:textId="77777777" w:rsidR="00866CD5" w:rsidRPr="00FF5406" w:rsidRDefault="00866CD5" w:rsidP="00E16720">
      <w:pPr>
        <w:pStyle w:val="Secondnumbering"/>
        <w:numPr>
          <w:ilvl w:val="0"/>
          <w:numId w:val="0"/>
        </w:numPr>
        <w:jc w:val="both"/>
        <w:rPr>
          <w:rFonts w:cs="Arial"/>
          <w:lang w:val="es-ES"/>
        </w:rPr>
      </w:pPr>
    </w:p>
    <w:p w14:paraId="4FEA07C4" w14:textId="77777777" w:rsidR="00296905" w:rsidRPr="00FF5406" w:rsidRDefault="00296905">
      <w:pPr>
        <w:rPr>
          <w:rFonts w:eastAsia="Noto Sans CJK SC" w:cs="Arial"/>
          <w:b/>
          <w:bCs/>
          <w:kern w:val="2"/>
          <w:lang w:val="es-ES" w:eastAsia="zh-CN" w:bidi="hi-IN"/>
        </w:rPr>
      </w:pPr>
      <w:r w:rsidRPr="00FF5406">
        <w:rPr>
          <w:rFonts w:cs="Arial"/>
          <w:lang w:val="es-ES"/>
        </w:rPr>
        <w:br w:type="page"/>
      </w:r>
    </w:p>
    <w:p w14:paraId="614C887C" w14:textId="200DE3D4" w:rsidR="00866CD5" w:rsidRDefault="00866CD5" w:rsidP="006C5A18">
      <w:pPr>
        <w:pStyle w:val="Heading3"/>
        <w:spacing w:before="0" w:after="0"/>
        <w:jc w:val="center"/>
        <w:rPr>
          <w:rFonts w:ascii="Arial" w:hAnsi="Arial" w:cs="Arial"/>
          <w:sz w:val="22"/>
          <w:szCs w:val="22"/>
          <w:lang w:val="es-ES"/>
        </w:rPr>
      </w:pPr>
      <w:r w:rsidRPr="00FF5406">
        <w:rPr>
          <w:rFonts w:ascii="Arial" w:hAnsi="Arial" w:cs="Arial"/>
          <w:sz w:val="22"/>
          <w:szCs w:val="22"/>
          <w:lang w:val="es-ES"/>
        </w:rPr>
        <w:lastRenderedPageBreak/>
        <w:t xml:space="preserve">Temática 6: </w:t>
      </w:r>
    </w:p>
    <w:p w14:paraId="6B8D3C5F" w14:textId="77777777" w:rsidR="006C5A18" w:rsidRPr="006C5A18" w:rsidRDefault="006C5A18" w:rsidP="006C5A18">
      <w:pPr>
        <w:pStyle w:val="BodyText"/>
        <w:spacing w:after="0" w:line="240" w:lineRule="auto"/>
        <w:rPr>
          <w:lang w:val="es-ES" w:eastAsia="zh-CN" w:bidi="hi-IN"/>
        </w:rPr>
      </w:pPr>
    </w:p>
    <w:p w14:paraId="501CDFE0" w14:textId="0D6B8F7F" w:rsidR="00866CD5" w:rsidRPr="00FF5406" w:rsidRDefault="0034207C" w:rsidP="00866CD5">
      <w:pPr>
        <w:pStyle w:val="Heading3"/>
        <w:spacing w:before="0" w:after="0"/>
        <w:jc w:val="center"/>
        <w:rPr>
          <w:rFonts w:ascii="Arial" w:hAnsi="Arial" w:cs="Arial"/>
          <w:sz w:val="22"/>
          <w:szCs w:val="22"/>
          <w:lang w:val="es-ES"/>
        </w:rPr>
      </w:pPr>
      <w:r w:rsidRPr="00FF5406">
        <w:rPr>
          <w:rFonts w:ascii="Arial" w:hAnsi="Arial" w:cs="Arial"/>
          <w:sz w:val="22"/>
          <w:szCs w:val="22"/>
          <w:lang w:val="es-ES"/>
        </w:rPr>
        <w:t>Desarrollar y aplicar una estrategia de financiación sostenible para la conservación de las especies utilizadas para obtener carne de animales salvajes acuáticos</w:t>
      </w:r>
    </w:p>
    <w:p w14:paraId="7EC5849D" w14:textId="77777777" w:rsidR="00866CD5" w:rsidRPr="00FF5406" w:rsidRDefault="00866CD5" w:rsidP="00866CD5">
      <w:pPr>
        <w:jc w:val="both"/>
        <w:rPr>
          <w:rFonts w:cs="Arial"/>
          <w:lang w:val="es-ES"/>
        </w:rPr>
      </w:pPr>
    </w:p>
    <w:p w14:paraId="0DBD7DE7" w14:textId="77777777" w:rsidR="004A4987" w:rsidRPr="00FF5406" w:rsidRDefault="004A4987" w:rsidP="004A4987">
      <w:pPr>
        <w:jc w:val="both"/>
        <w:rPr>
          <w:rFonts w:cs="Arial"/>
          <w:spacing w:val="-2"/>
          <w:lang w:val="es-ES" w:eastAsia="en-GB"/>
        </w:rPr>
      </w:pPr>
      <w:r w:rsidRPr="00FF5406">
        <w:rPr>
          <w:rFonts w:cs="Arial"/>
          <w:lang w:val="es-ES" w:eastAsia="es-ES"/>
        </w:rPr>
        <w:t>Una de las principales limitaciones para la aplicación de los planes de acción de conservación es la disponibilidad de recursos suficientes y sostenibles en el tiempo. Para hacer frente a este desafío, se debe involucrar a los donantes con la suficiente antelación y establecer asociaciones basadas en los intereses de los donantes. Para garantizar la financiación sostenible de la conservación de las especies utilizadas para obtener carne de animales salvajes acuáticos, es fundamental determinar el planteamiento temático y geográfico de los donantes, asegurarse de que se adhieren a la visión estratégica del plan de acción y establecer sistemas de gobernanza para la financiación anticipada.</w:t>
      </w:r>
    </w:p>
    <w:p w14:paraId="3B7D5E71" w14:textId="77777777" w:rsidR="00866CD5" w:rsidRPr="00FF5406" w:rsidRDefault="00866CD5" w:rsidP="00866CD5">
      <w:pPr>
        <w:jc w:val="both"/>
        <w:rPr>
          <w:rFonts w:cs="Arial"/>
          <w:lang w:val="es-ES"/>
        </w:rPr>
      </w:pPr>
    </w:p>
    <w:p w14:paraId="2FA77130" w14:textId="77777777" w:rsidR="00C8450C" w:rsidRPr="00FF5406" w:rsidRDefault="00C8450C" w:rsidP="00C8450C">
      <w:pPr>
        <w:jc w:val="both"/>
        <w:rPr>
          <w:rFonts w:cs="Arial"/>
          <w:spacing w:val="-2"/>
          <w:lang w:val="es-ES" w:eastAsia="en-GB"/>
        </w:rPr>
      </w:pPr>
      <w:r w:rsidRPr="00FF5406">
        <w:rPr>
          <w:rFonts w:cs="Arial"/>
          <w:lang w:val="es-ES" w:eastAsia="es-ES"/>
        </w:rPr>
        <w:t xml:space="preserve">Objetivo temático a 5 años: </w:t>
      </w:r>
      <w:r w:rsidRPr="00FF5406">
        <w:rPr>
          <w:rFonts w:cs="Arial"/>
          <w:b/>
          <w:bCs/>
          <w:lang w:val="es-ES" w:eastAsia="es-ES"/>
        </w:rPr>
        <w:t>Establecer mecanismos de financiación sostenibles para la protección de las especies utilizadas para obtener carne de animales salvajes acuáticos</w:t>
      </w:r>
    </w:p>
    <w:p w14:paraId="45603FB1" w14:textId="77777777" w:rsidR="00866CD5" w:rsidRPr="00FF5406" w:rsidRDefault="00866CD5" w:rsidP="00866CD5">
      <w:pPr>
        <w:numPr>
          <w:ilvl w:val="0"/>
          <w:numId w:val="8"/>
        </w:numPr>
        <w:jc w:val="both"/>
        <w:rPr>
          <w:rFonts w:cs="Arial"/>
          <w:lang w:val="es-ES"/>
        </w:rPr>
      </w:pPr>
    </w:p>
    <w:tbl>
      <w:tblPr>
        <w:tblStyle w:val="TableGrid"/>
        <w:tblW w:w="0" w:type="auto"/>
        <w:tblLook w:val="0000" w:firstRow="0" w:lastRow="0" w:firstColumn="0" w:lastColumn="0" w:noHBand="0" w:noVBand="0"/>
      </w:tblPr>
      <w:tblGrid>
        <w:gridCol w:w="2458"/>
        <w:gridCol w:w="3288"/>
        <w:gridCol w:w="4188"/>
        <w:gridCol w:w="1035"/>
        <w:gridCol w:w="2979"/>
      </w:tblGrid>
      <w:tr w:rsidR="000C6328" w:rsidRPr="00FF5406" w14:paraId="3D1AA30F" w14:textId="77777777" w:rsidTr="003C3483">
        <w:trPr>
          <w:tblHeader/>
        </w:trPr>
        <w:tc>
          <w:tcPr>
            <w:tcW w:w="0" w:type="auto"/>
            <w:shd w:val="clear" w:color="auto" w:fill="DEEAF6" w:themeFill="accent5" w:themeFillTint="33"/>
          </w:tcPr>
          <w:p w14:paraId="6193A9AA" w14:textId="77777777" w:rsidR="00E84C59" w:rsidRPr="00FF5406" w:rsidRDefault="00E84C59" w:rsidP="00E84C59">
            <w:pPr>
              <w:numPr>
                <w:ilvl w:val="0"/>
                <w:numId w:val="16"/>
              </w:numPr>
              <w:rPr>
                <w:rFonts w:ascii="Arial" w:eastAsia="Calibri" w:hAnsi="Arial" w:cs="Arial"/>
                <w:b/>
                <w:bCs/>
                <w:spacing w:val="-2"/>
                <w:lang w:val="es-ES" w:eastAsia="en-GB"/>
              </w:rPr>
            </w:pPr>
            <w:r w:rsidRPr="00FF5406">
              <w:rPr>
                <w:rFonts w:ascii="Arial" w:eastAsia="Calibri" w:hAnsi="Arial" w:cs="Arial"/>
                <w:b/>
                <w:bCs/>
                <w:lang w:val="es-ES" w:eastAsia="es-ES"/>
              </w:rPr>
              <w:t xml:space="preserve">Acción </w:t>
            </w:r>
          </w:p>
        </w:tc>
        <w:tc>
          <w:tcPr>
            <w:tcW w:w="0" w:type="auto"/>
            <w:shd w:val="clear" w:color="auto" w:fill="DEEAF6" w:themeFill="accent5" w:themeFillTint="33"/>
          </w:tcPr>
          <w:p w14:paraId="78E0BC57" w14:textId="77777777" w:rsidR="00E84C59" w:rsidRPr="00FF5406" w:rsidRDefault="00E84C59" w:rsidP="00E84C59">
            <w:pPr>
              <w:numPr>
                <w:ilvl w:val="0"/>
                <w:numId w:val="16"/>
              </w:numPr>
              <w:rPr>
                <w:rFonts w:ascii="Arial" w:eastAsia="Calibri" w:hAnsi="Arial" w:cs="Arial"/>
                <w:b/>
                <w:bCs/>
                <w:spacing w:val="-2"/>
                <w:lang w:val="es-ES" w:eastAsia="en-GB"/>
              </w:rPr>
            </w:pPr>
            <w:r w:rsidRPr="00FF5406">
              <w:rPr>
                <w:rFonts w:ascii="Arial" w:eastAsia="Calibri" w:hAnsi="Arial" w:cs="Arial"/>
                <w:b/>
                <w:bCs/>
                <w:lang w:val="es-ES" w:eastAsia="es-ES"/>
              </w:rPr>
              <w:t xml:space="preserve">Actividades </w:t>
            </w:r>
          </w:p>
        </w:tc>
        <w:tc>
          <w:tcPr>
            <w:tcW w:w="0" w:type="auto"/>
            <w:shd w:val="clear" w:color="auto" w:fill="DEEAF6" w:themeFill="accent5" w:themeFillTint="33"/>
          </w:tcPr>
          <w:p w14:paraId="60A650C9" w14:textId="77777777" w:rsidR="00E84C59" w:rsidRPr="00FF5406" w:rsidRDefault="00E84C59" w:rsidP="00E84C59">
            <w:pPr>
              <w:numPr>
                <w:ilvl w:val="0"/>
                <w:numId w:val="16"/>
              </w:numPr>
              <w:rPr>
                <w:rFonts w:ascii="Arial" w:eastAsia="Calibri" w:hAnsi="Arial" w:cs="Arial"/>
                <w:b/>
                <w:bCs/>
                <w:spacing w:val="-2"/>
                <w:lang w:val="es-ES" w:eastAsia="en-GB"/>
              </w:rPr>
            </w:pPr>
            <w:r w:rsidRPr="00FF5406">
              <w:rPr>
                <w:rFonts w:ascii="Arial" w:eastAsia="Calibri" w:hAnsi="Arial" w:cs="Arial"/>
                <w:b/>
                <w:bCs/>
                <w:lang w:val="es-ES" w:eastAsia="es-ES"/>
              </w:rPr>
              <w:t>Responsabilidad</w:t>
            </w:r>
          </w:p>
        </w:tc>
        <w:tc>
          <w:tcPr>
            <w:tcW w:w="0" w:type="auto"/>
            <w:shd w:val="clear" w:color="auto" w:fill="DEEAF6" w:themeFill="accent5" w:themeFillTint="33"/>
          </w:tcPr>
          <w:p w14:paraId="67762089" w14:textId="77777777" w:rsidR="00E84C59" w:rsidRPr="00FF5406" w:rsidRDefault="00E84C59" w:rsidP="00E84C59">
            <w:pPr>
              <w:numPr>
                <w:ilvl w:val="0"/>
                <w:numId w:val="16"/>
              </w:numPr>
              <w:rPr>
                <w:rFonts w:ascii="Arial" w:eastAsia="Calibri" w:hAnsi="Arial" w:cs="Arial"/>
                <w:b/>
                <w:bCs/>
                <w:spacing w:val="-2"/>
                <w:lang w:val="es-ES" w:eastAsia="en-GB"/>
              </w:rPr>
            </w:pPr>
            <w:r w:rsidRPr="00FF5406">
              <w:rPr>
                <w:rFonts w:ascii="Arial" w:eastAsia="Calibri" w:hAnsi="Arial" w:cs="Arial"/>
                <w:b/>
                <w:bCs/>
                <w:lang w:val="es-ES" w:eastAsia="es-ES"/>
              </w:rPr>
              <w:t>Período</w:t>
            </w:r>
          </w:p>
        </w:tc>
        <w:tc>
          <w:tcPr>
            <w:tcW w:w="0" w:type="auto"/>
            <w:shd w:val="clear" w:color="auto" w:fill="DEEAF6" w:themeFill="accent5" w:themeFillTint="33"/>
          </w:tcPr>
          <w:p w14:paraId="39CB08BA" w14:textId="77777777" w:rsidR="00E84C59" w:rsidRPr="00FF5406" w:rsidRDefault="00E84C59" w:rsidP="00E84C59">
            <w:pPr>
              <w:numPr>
                <w:ilvl w:val="0"/>
                <w:numId w:val="16"/>
              </w:numPr>
              <w:rPr>
                <w:rFonts w:ascii="Arial" w:eastAsia="Calibri" w:hAnsi="Arial" w:cs="Arial"/>
                <w:b/>
                <w:bCs/>
                <w:spacing w:val="-2"/>
                <w:lang w:val="es-ES" w:eastAsia="en-GB"/>
              </w:rPr>
            </w:pPr>
            <w:r w:rsidRPr="00FF5406">
              <w:rPr>
                <w:rFonts w:ascii="Arial" w:eastAsia="Calibri" w:hAnsi="Arial" w:cs="Arial"/>
                <w:b/>
                <w:bCs/>
                <w:lang w:val="es-ES" w:eastAsia="es-ES"/>
              </w:rPr>
              <w:t xml:space="preserve">Recursos necesarios </w:t>
            </w:r>
          </w:p>
        </w:tc>
      </w:tr>
      <w:tr w:rsidR="000C6328" w:rsidRPr="00C70B64" w14:paraId="50685A02" w14:textId="77777777" w:rsidTr="00F15DB1">
        <w:tc>
          <w:tcPr>
            <w:tcW w:w="0" w:type="auto"/>
            <w:vMerge w:val="restart"/>
          </w:tcPr>
          <w:p w14:paraId="58E89537" w14:textId="07B3905E"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6.1. Financiar soluciones basadas en la comunidad y reforzar la aplicación de la ley</w:t>
            </w:r>
          </w:p>
        </w:tc>
        <w:tc>
          <w:tcPr>
            <w:tcW w:w="0" w:type="auto"/>
          </w:tcPr>
          <w:p w14:paraId="6DB15058"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6.1.1 Identificar donantes con intereses geográficos y temáticos convergentes para la conservación de las especies salvajes acuáticas</w:t>
            </w:r>
          </w:p>
        </w:tc>
        <w:tc>
          <w:tcPr>
            <w:tcW w:w="0" w:type="auto"/>
          </w:tcPr>
          <w:p w14:paraId="4664395A"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El AWM WG en colaboración con los puntos focales de África occidental de la CMS, la CITES, el Convenio de Abiyán, el Ramsar, la UICN y la FAO.</w:t>
            </w:r>
          </w:p>
        </w:tc>
        <w:tc>
          <w:tcPr>
            <w:tcW w:w="0" w:type="auto"/>
          </w:tcPr>
          <w:p w14:paraId="0DF9156E"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2024</w:t>
            </w:r>
          </w:p>
        </w:tc>
        <w:tc>
          <w:tcPr>
            <w:tcW w:w="0" w:type="auto"/>
          </w:tcPr>
          <w:p w14:paraId="27B7C75F"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 xml:space="preserve">Trabajo interno del organismo + acceso a internet + </w:t>
            </w:r>
            <w:proofErr w:type="gramStart"/>
            <w:r w:rsidRPr="00FF5406">
              <w:rPr>
                <w:rFonts w:ascii="Arial" w:eastAsia="Calibri" w:hAnsi="Arial" w:cs="Arial"/>
                <w:lang w:val="es-ES" w:eastAsia="es-ES"/>
              </w:rPr>
              <w:t>Zoom</w:t>
            </w:r>
            <w:proofErr w:type="gramEnd"/>
          </w:p>
        </w:tc>
      </w:tr>
      <w:tr w:rsidR="000C6328" w:rsidRPr="00C70B64" w14:paraId="00A5605E" w14:textId="77777777" w:rsidTr="00F15DB1">
        <w:tc>
          <w:tcPr>
            <w:tcW w:w="0" w:type="auto"/>
            <w:vMerge/>
          </w:tcPr>
          <w:p w14:paraId="038ABD54" w14:textId="77777777" w:rsidR="00E84C59" w:rsidRPr="00FF5406" w:rsidRDefault="00E84C59" w:rsidP="00076A08">
            <w:pPr>
              <w:numPr>
                <w:ilvl w:val="0"/>
                <w:numId w:val="16"/>
              </w:numPr>
              <w:jc w:val="both"/>
              <w:rPr>
                <w:rFonts w:ascii="Arial" w:eastAsia="Calibri" w:hAnsi="Arial" w:cs="Arial"/>
                <w:spacing w:val="-2"/>
                <w:lang w:val="es-ES" w:eastAsia="en-GB"/>
              </w:rPr>
            </w:pPr>
          </w:p>
        </w:tc>
        <w:tc>
          <w:tcPr>
            <w:tcW w:w="0" w:type="auto"/>
          </w:tcPr>
          <w:p w14:paraId="7C8DF5D6"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6.1.2 Crear una base de datos para la recaudación de fondos</w:t>
            </w:r>
          </w:p>
        </w:tc>
        <w:tc>
          <w:tcPr>
            <w:tcW w:w="0" w:type="auto"/>
          </w:tcPr>
          <w:p w14:paraId="6D1D1E06"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El AWM WG en colaboración con los puntos focales de África occidental de la CMS, la CITES, el Convenio de Abiyán, el Ramsar, la UICN y la FAO.</w:t>
            </w:r>
          </w:p>
        </w:tc>
        <w:tc>
          <w:tcPr>
            <w:tcW w:w="0" w:type="auto"/>
          </w:tcPr>
          <w:p w14:paraId="1115B083"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2025</w:t>
            </w:r>
          </w:p>
        </w:tc>
        <w:tc>
          <w:tcPr>
            <w:tcW w:w="0" w:type="auto"/>
          </w:tcPr>
          <w:p w14:paraId="08214D76"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Trabajo interno del organismo + acceso a internet</w:t>
            </w:r>
          </w:p>
        </w:tc>
      </w:tr>
      <w:tr w:rsidR="000C6328" w:rsidRPr="00C70B64" w14:paraId="24CEA2D8" w14:textId="77777777" w:rsidTr="00F15DB1">
        <w:tc>
          <w:tcPr>
            <w:tcW w:w="0" w:type="auto"/>
            <w:vMerge/>
          </w:tcPr>
          <w:p w14:paraId="6A2197E8" w14:textId="77777777" w:rsidR="00E84C59" w:rsidRPr="00FF5406" w:rsidRDefault="00E84C59" w:rsidP="00076A08">
            <w:pPr>
              <w:numPr>
                <w:ilvl w:val="0"/>
                <w:numId w:val="16"/>
              </w:numPr>
              <w:jc w:val="both"/>
              <w:rPr>
                <w:rFonts w:ascii="Arial" w:eastAsia="Calibri" w:hAnsi="Arial" w:cs="Arial"/>
                <w:spacing w:val="-2"/>
                <w:lang w:val="es-ES" w:eastAsia="en-GB"/>
              </w:rPr>
            </w:pPr>
          </w:p>
        </w:tc>
        <w:tc>
          <w:tcPr>
            <w:tcW w:w="0" w:type="auto"/>
          </w:tcPr>
          <w:p w14:paraId="25CD8A22"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6.1.3 Establecer mecanismos institucionales para la recaudación sostenible de fondos y para la gestión de los fondos obtenidos</w:t>
            </w:r>
          </w:p>
        </w:tc>
        <w:tc>
          <w:tcPr>
            <w:tcW w:w="0" w:type="auto"/>
          </w:tcPr>
          <w:p w14:paraId="5938EE93"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El AWM WG, previa consulta con los puntos focales de África occidental de la CMS, de la CITES, del Convenio de Abiyán, del Ramsar, de la UICN, de la FAO y de la CEDEAO</w:t>
            </w:r>
          </w:p>
        </w:tc>
        <w:tc>
          <w:tcPr>
            <w:tcW w:w="0" w:type="auto"/>
          </w:tcPr>
          <w:p w14:paraId="78256E64"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2025</w:t>
            </w:r>
          </w:p>
        </w:tc>
        <w:tc>
          <w:tcPr>
            <w:tcW w:w="0" w:type="auto"/>
          </w:tcPr>
          <w:p w14:paraId="4F08EF3C"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 xml:space="preserve">Trabajo interno del organismo + acceso a internet + </w:t>
            </w:r>
            <w:proofErr w:type="gramStart"/>
            <w:r w:rsidRPr="00FF5406">
              <w:rPr>
                <w:rFonts w:ascii="Arial" w:eastAsia="Calibri" w:hAnsi="Arial" w:cs="Arial"/>
                <w:lang w:val="es-ES" w:eastAsia="es-ES"/>
              </w:rPr>
              <w:t>Zoom</w:t>
            </w:r>
            <w:proofErr w:type="gramEnd"/>
          </w:p>
        </w:tc>
      </w:tr>
      <w:tr w:rsidR="000C6328" w:rsidRPr="00C70B64" w14:paraId="6541AF58" w14:textId="77777777" w:rsidTr="00F15DB1">
        <w:tc>
          <w:tcPr>
            <w:tcW w:w="0" w:type="auto"/>
            <w:vMerge/>
          </w:tcPr>
          <w:p w14:paraId="521F3635" w14:textId="77777777" w:rsidR="00E84C59" w:rsidRPr="00FF5406" w:rsidRDefault="00E84C59" w:rsidP="00076A08">
            <w:pPr>
              <w:numPr>
                <w:ilvl w:val="0"/>
                <w:numId w:val="16"/>
              </w:numPr>
              <w:jc w:val="both"/>
              <w:rPr>
                <w:rFonts w:ascii="Arial" w:eastAsia="Calibri" w:hAnsi="Arial" w:cs="Arial"/>
                <w:spacing w:val="-2"/>
                <w:lang w:val="es-ES" w:eastAsia="en-GB"/>
              </w:rPr>
            </w:pPr>
          </w:p>
        </w:tc>
        <w:tc>
          <w:tcPr>
            <w:tcW w:w="0" w:type="auto"/>
          </w:tcPr>
          <w:p w14:paraId="126F7037"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6.1.4 Promover la estrategia de financiación entre los socios financieros (documentos de promoción)</w:t>
            </w:r>
          </w:p>
        </w:tc>
        <w:tc>
          <w:tcPr>
            <w:tcW w:w="0" w:type="auto"/>
          </w:tcPr>
          <w:p w14:paraId="5830A31A"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El AWM WG, previa consulta con los puntos focales de África occidental de la CMS, de la CITES, del Convenio de Abiyán, del Ramsar, de la UICN, de la FAO y de la CEDEAO</w:t>
            </w:r>
          </w:p>
        </w:tc>
        <w:tc>
          <w:tcPr>
            <w:tcW w:w="0" w:type="auto"/>
          </w:tcPr>
          <w:p w14:paraId="5CEE1454"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2026</w:t>
            </w:r>
          </w:p>
        </w:tc>
        <w:tc>
          <w:tcPr>
            <w:tcW w:w="0" w:type="auto"/>
          </w:tcPr>
          <w:p w14:paraId="348ECC55" w14:textId="39BCBC0F"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t>Trabajo interno del organismo + acceso a internet + viajes y talleres + coste de elaboración de los materiales</w:t>
            </w:r>
          </w:p>
        </w:tc>
      </w:tr>
      <w:tr w:rsidR="000C6328" w:rsidRPr="00C70B64" w14:paraId="4987F73B" w14:textId="77777777" w:rsidTr="00F15DB1">
        <w:tc>
          <w:tcPr>
            <w:tcW w:w="0" w:type="auto"/>
          </w:tcPr>
          <w:p w14:paraId="07C72EF7" w14:textId="77777777" w:rsidR="00E84C59" w:rsidRPr="00FF5406" w:rsidRDefault="00E84C59" w:rsidP="00076A08">
            <w:pPr>
              <w:numPr>
                <w:ilvl w:val="0"/>
                <w:numId w:val="16"/>
              </w:numPr>
              <w:jc w:val="both"/>
              <w:rPr>
                <w:rFonts w:ascii="Arial" w:eastAsia="Calibri" w:hAnsi="Arial" w:cs="Arial"/>
                <w:spacing w:val="-2"/>
                <w:lang w:val="es-ES" w:eastAsia="en-GB"/>
              </w:rPr>
            </w:pPr>
            <w:r w:rsidRPr="00FF5406">
              <w:rPr>
                <w:rFonts w:ascii="Arial" w:eastAsia="Calibri" w:hAnsi="Arial" w:cs="Arial"/>
                <w:lang w:val="es-ES" w:eastAsia="es-ES"/>
              </w:rPr>
              <w:lastRenderedPageBreak/>
              <w:t>6.2 Apoyar la coordinación y aplicación del Plan de Acción</w:t>
            </w:r>
          </w:p>
        </w:tc>
        <w:tc>
          <w:tcPr>
            <w:tcW w:w="0" w:type="auto"/>
          </w:tcPr>
          <w:p w14:paraId="7F617525" w14:textId="77777777" w:rsidR="00E84C59" w:rsidRPr="00FF5406" w:rsidRDefault="00E84C59" w:rsidP="00076A08">
            <w:pPr>
              <w:numPr>
                <w:ilvl w:val="0"/>
                <w:numId w:val="16"/>
              </w:numPr>
              <w:jc w:val="both"/>
              <w:rPr>
                <w:rFonts w:ascii="Arial" w:eastAsia="Calibri" w:hAnsi="Arial" w:cs="Arial"/>
                <w:lang w:val="es-ES"/>
              </w:rPr>
            </w:pPr>
            <w:r w:rsidRPr="00FF5406">
              <w:rPr>
                <w:rFonts w:ascii="Arial" w:eastAsia="Calibri" w:hAnsi="Arial" w:cs="Arial"/>
                <w:lang w:val="es-ES" w:eastAsia="es-ES"/>
              </w:rPr>
              <w:t>6.2.1. Financiar y contratar a un coordinador regional para apoyar a los puntos focales de la CMS en la ejecución del Plan de Acción.</w:t>
            </w:r>
          </w:p>
        </w:tc>
        <w:tc>
          <w:tcPr>
            <w:tcW w:w="0" w:type="auto"/>
          </w:tcPr>
          <w:p w14:paraId="58D80E37" w14:textId="77777777" w:rsidR="00E84C59" w:rsidRPr="00FF5406" w:rsidRDefault="00E84C59" w:rsidP="00076A08">
            <w:pPr>
              <w:ind w:left="58" w:right="145"/>
              <w:jc w:val="both"/>
              <w:rPr>
                <w:rFonts w:ascii="Arial" w:eastAsia="Arial" w:hAnsi="Arial" w:cs="Arial"/>
                <w:spacing w:val="-1"/>
                <w:lang w:val="es-ES"/>
              </w:rPr>
            </w:pPr>
            <w:r w:rsidRPr="00FF5406">
              <w:rPr>
                <w:rFonts w:ascii="Arial" w:eastAsia="Calibri" w:hAnsi="Arial" w:cs="Arial"/>
                <w:lang w:val="es-ES" w:eastAsia="es-ES"/>
              </w:rPr>
              <w:t>Organismos donantes y puntos focales de la CMS en África Occidental</w:t>
            </w:r>
          </w:p>
        </w:tc>
        <w:tc>
          <w:tcPr>
            <w:tcW w:w="0" w:type="auto"/>
          </w:tcPr>
          <w:p w14:paraId="73A644E5" w14:textId="77777777" w:rsidR="00E84C59" w:rsidRPr="00FF5406" w:rsidRDefault="00E84C59" w:rsidP="00076A08">
            <w:pPr>
              <w:numPr>
                <w:ilvl w:val="0"/>
                <w:numId w:val="16"/>
              </w:numPr>
              <w:jc w:val="both"/>
              <w:rPr>
                <w:rFonts w:ascii="Arial" w:eastAsia="Calibri" w:hAnsi="Arial" w:cs="Arial"/>
                <w:highlight w:val="yellow"/>
                <w:lang w:val="es-ES"/>
              </w:rPr>
            </w:pPr>
            <w:r w:rsidRPr="00FF5406">
              <w:rPr>
                <w:rFonts w:ascii="Arial" w:eastAsia="Calibri" w:hAnsi="Arial" w:cs="Arial"/>
                <w:lang w:val="es-ES" w:eastAsia="es-ES"/>
              </w:rPr>
              <w:t>2024</w:t>
            </w:r>
          </w:p>
        </w:tc>
        <w:tc>
          <w:tcPr>
            <w:tcW w:w="0" w:type="auto"/>
          </w:tcPr>
          <w:p w14:paraId="4CADFB21" w14:textId="77777777" w:rsidR="00E84C59" w:rsidRPr="00FF5406" w:rsidRDefault="00E84C59" w:rsidP="00076A08">
            <w:pPr>
              <w:numPr>
                <w:ilvl w:val="0"/>
                <w:numId w:val="16"/>
              </w:numPr>
              <w:jc w:val="both"/>
              <w:rPr>
                <w:rFonts w:ascii="Arial" w:eastAsia="Calibri" w:hAnsi="Arial" w:cs="Arial"/>
                <w:lang w:val="es-ES"/>
              </w:rPr>
            </w:pPr>
            <w:r w:rsidRPr="00FF5406">
              <w:rPr>
                <w:rFonts w:ascii="Arial" w:eastAsia="Calibri" w:hAnsi="Arial" w:cs="Arial"/>
                <w:lang w:val="es-ES" w:eastAsia="es-ES"/>
              </w:rPr>
              <w:t>Salario y costes de mantenimiento (oficina, viajes, etc.)</w:t>
            </w:r>
          </w:p>
        </w:tc>
      </w:tr>
    </w:tbl>
    <w:p w14:paraId="4C224F3F" w14:textId="77777777" w:rsidR="00866CD5" w:rsidRPr="00FF5406" w:rsidRDefault="00866CD5" w:rsidP="00E16720">
      <w:pPr>
        <w:pStyle w:val="Secondnumbering"/>
        <w:numPr>
          <w:ilvl w:val="0"/>
          <w:numId w:val="0"/>
        </w:numPr>
        <w:jc w:val="both"/>
        <w:rPr>
          <w:rFonts w:cs="Arial"/>
          <w:lang w:val="es-ES"/>
        </w:rPr>
      </w:pPr>
    </w:p>
    <w:sectPr w:rsidR="00866CD5" w:rsidRPr="00FF5406" w:rsidSect="006C5A18">
      <w:pgSz w:w="16838" w:h="11906" w:orient="landscape"/>
      <w:pgMar w:top="1440" w:right="1440" w:bottom="1260" w:left="1440"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D403" w14:textId="77777777" w:rsidR="00E702FD" w:rsidRDefault="00E702FD">
      <w:r>
        <w:separator/>
      </w:r>
    </w:p>
  </w:endnote>
  <w:endnote w:type="continuationSeparator" w:id="0">
    <w:p w14:paraId="6C88E767" w14:textId="77777777" w:rsidR="00E702FD" w:rsidRDefault="00E7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Noto Sans CJK SC">
    <w:panose1 w:val="00000000000000000000"/>
    <w:charset w:val="80"/>
    <w:family w:val="swiss"/>
    <w:notTrueType/>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Liberation Sans">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5817" w14:textId="080A7F9A" w:rsidR="003C3EEA" w:rsidRDefault="00056A3F">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B00E3D">
      <w:rPr>
        <w:noProof/>
        <w:sz w:val="18"/>
        <w:szCs w:val="18"/>
      </w:rPr>
      <w:t>16</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163501"/>
      <w:docPartObj>
        <w:docPartGallery w:val="Page Numbers (Bottom of Page)"/>
        <w:docPartUnique/>
      </w:docPartObj>
    </w:sdtPr>
    <w:sdtEndPr/>
    <w:sdtContent>
      <w:p w14:paraId="490CC48E" w14:textId="1E7DCB2A" w:rsidR="003C3EEA" w:rsidRDefault="00056A3F">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B00E3D">
          <w:rPr>
            <w:noProof/>
            <w:sz w:val="18"/>
            <w:szCs w:val="18"/>
          </w:rPr>
          <w:t>15</w:t>
        </w:r>
        <w:r>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5D48" w14:textId="77777777" w:rsidR="003C3EEA" w:rsidRDefault="00056A3F">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AE222" w14:textId="77777777" w:rsidR="00E702FD" w:rsidRDefault="00E702FD">
      <w:r>
        <w:separator/>
      </w:r>
    </w:p>
  </w:footnote>
  <w:footnote w:type="continuationSeparator" w:id="0">
    <w:p w14:paraId="64D8794C" w14:textId="77777777" w:rsidR="00E702FD" w:rsidRDefault="00E7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2C44" w14:textId="2926B23D" w:rsidR="00BF36D5" w:rsidRPr="00C70B64" w:rsidRDefault="00BF36D5" w:rsidP="00BF36D5">
    <w:pPr>
      <w:pStyle w:val="Header"/>
      <w:pBdr>
        <w:bottom w:val="single" w:sz="4" w:space="1" w:color="000000"/>
      </w:pBdr>
      <w:rPr>
        <w:rFonts w:cs="Arial"/>
        <w:i/>
        <w:sz w:val="18"/>
        <w:szCs w:val="18"/>
        <w:lang w:val="en-US"/>
      </w:rPr>
    </w:pPr>
    <w:r w:rsidRPr="00C70B64">
      <w:rPr>
        <w:rFonts w:cs="Arial"/>
        <w:i/>
        <w:sz w:val="18"/>
        <w:szCs w:val="18"/>
        <w:lang w:val="en-US"/>
      </w:rPr>
      <w:t>UNEP/CMS/COP14/Doc.30.1.2/Rev.3/Anexo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49E7" w14:textId="26A10538" w:rsidR="003C3EEA" w:rsidRPr="00C70B64" w:rsidRDefault="00056A3F">
    <w:pPr>
      <w:pStyle w:val="Header"/>
      <w:pBdr>
        <w:bottom w:val="single" w:sz="4" w:space="1" w:color="000000"/>
      </w:pBdr>
      <w:jc w:val="right"/>
      <w:rPr>
        <w:rFonts w:cs="Arial"/>
        <w:i/>
        <w:sz w:val="18"/>
        <w:szCs w:val="18"/>
        <w:lang w:val="en-US"/>
      </w:rPr>
    </w:pPr>
    <w:r w:rsidRPr="00C70B64">
      <w:rPr>
        <w:rFonts w:cs="Arial"/>
        <w:i/>
        <w:sz w:val="18"/>
        <w:szCs w:val="18"/>
        <w:lang w:val="en-US"/>
      </w:rPr>
      <w:t>UNEP/CMS/COP14/Doc.30.1.2/Rev.</w:t>
    </w:r>
    <w:r w:rsidR="006C5A18">
      <w:rPr>
        <w:rFonts w:cs="Arial"/>
        <w:i/>
        <w:sz w:val="18"/>
        <w:szCs w:val="18"/>
        <w:lang w:val="en-US"/>
      </w:rPr>
      <w:t>3</w:t>
    </w:r>
    <w:r w:rsidRPr="00C70B64">
      <w:rPr>
        <w:rFonts w:cs="Arial"/>
        <w:i/>
        <w:sz w:val="18"/>
        <w:szCs w:val="18"/>
        <w:lang w:val="en-US"/>
      </w:rPr>
      <w:t>/Anexo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2A9C" w14:textId="77777777" w:rsidR="003C3EEA" w:rsidRDefault="00056A3F">
    <w:pPr>
      <w:pStyle w:val="Header"/>
      <w:pBdr>
        <w:bottom w:val="single" w:sz="4" w:space="1" w:color="000000"/>
      </w:pBdr>
      <w:rPr>
        <w:rFonts w:cs="Arial"/>
        <w:i/>
        <w:sz w:val="18"/>
        <w:szCs w:val="18"/>
        <w:lang w:val="de-DE"/>
      </w:rPr>
    </w:pPr>
    <w:r>
      <w:rPr>
        <w:rFonts w:cs="Arial"/>
        <w:i/>
        <w:sz w:val="18"/>
        <w:szCs w:val="18"/>
        <w:lang w:val="de-DE"/>
      </w:rPr>
      <w:t xml:space="preserve">UNEP/CMS/COP14/Doc.[  </w:t>
    </w:r>
    <w:r>
      <w:rPr>
        <w:rFonts w:cs="Arial"/>
        <w:i/>
        <w:sz w:val="18"/>
        <w:szCs w:val="18"/>
        <w:lang w:val="de-DE"/>
      </w:rPr>
      <w:t>]/Anexo[...]</w:t>
    </w:r>
  </w:p>
  <w:p w14:paraId="54B299BB" w14:textId="77777777" w:rsidR="003C3EEA" w:rsidRDefault="003C3EEA">
    <w:pPr>
      <w:tabs>
        <w:tab w:val="center" w:pos="4680"/>
        <w:tab w:val="right" w:pos="9360"/>
      </w:tabs>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8EB"/>
    <w:multiLevelType w:val="multilevel"/>
    <w:tmpl w:val="7B527A7E"/>
    <w:lvl w:ilvl="0">
      <w:start w:val="1"/>
      <w:numFmt w:val="lowerRoman"/>
      <w:pStyle w:val="Thirdnumberingi"/>
      <w:lvlText w:val="%1)."/>
      <w:lvlJc w:val="right"/>
      <w:pPr>
        <w:tabs>
          <w:tab w:val="num" w:pos="0"/>
        </w:tabs>
        <w:ind w:left="2001" w:hanging="360"/>
      </w:pPr>
    </w:lvl>
    <w:lvl w:ilvl="1">
      <w:start w:val="1"/>
      <w:numFmt w:val="lowerLetter"/>
      <w:lvlText w:val="%2."/>
      <w:lvlJc w:val="left"/>
      <w:pPr>
        <w:tabs>
          <w:tab w:val="num" w:pos="0"/>
        </w:tabs>
        <w:ind w:left="2721" w:hanging="360"/>
      </w:pPr>
    </w:lvl>
    <w:lvl w:ilvl="2">
      <w:start w:val="1"/>
      <w:numFmt w:val="lowerRoman"/>
      <w:lvlText w:val="%3."/>
      <w:lvlJc w:val="right"/>
      <w:pPr>
        <w:tabs>
          <w:tab w:val="num" w:pos="0"/>
        </w:tabs>
        <w:ind w:left="3441" w:hanging="180"/>
      </w:pPr>
    </w:lvl>
    <w:lvl w:ilvl="3">
      <w:start w:val="1"/>
      <w:numFmt w:val="decimal"/>
      <w:lvlText w:val="%4."/>
      <w:lvlJc w:val="left"/>
      <w:pPr>
        <w:tabs>
          <w:tab w:val="num" w:pos="0"/>
        </w:tabs>
        <w:ind w:left="4161" w:hanging="360"/>
      </w:pPr>
    </w:lvl>
    <w:lvl w:ilvl="4">
      <w:start w:val="1"/>
      <w:numFmt w:val="lowerLetter"/>
      <w:lvlText w:val="%5."/>
      <w:lvlJc w:val="left"/>
      <w:pPr>
        <w:tabs>
          <w:tab w:val="num" w:pos="0"/>
        </w:tabs>
        <w:ind w:left="4881" w:hanging="360"/>
      </w:pPr>
    </w:lvl>
    <w:lvl w:ilvl="5">
      <w:start w:val="1"/>
      <w:numFmt w:val="lowerRoman"/>
      <w:lvlText w:val="%6."/>
      <w:lvlJc w:val="right"/>
      <w:pPr>
        <w:tabs>
          <w:tab w:val="num" w:pos="0"/>
        </w:tabs>
        <w:ind w:left="5601" w:hanging="180"/>
      </w:pPr>
    </w:lvl>
    <w:lvl w:ilvl="6">
      <w:start w:val="1"/>
      <w:numFmt w:val="decimal"/>
      <w:lvlText w:val="%7."/>
      <w:lvlJc w:val="left"/>
      <w:pPr>
        <w:tabs>
          <w:tab w:val="num" w:pos="0"/>
        </w:tabs>
        <w:ind w:left="6321" w:hanging="360"/>
      </w:pPr>
    </w:lvl>
    <w:lvl w:ilvl="7">
      <w:start w:val="1"/>
      <w:numFmt w:val="lowerLetter"/>
      <w:lvlText w:val="%8."/>
      <w:lvlJc w:val="left"/>
      <w:pPr>
        <w:tabs>
          <w:tab w:val="num" w:pos="0"/>
        </w:tabs>
        <w:ind w:left="7041" w:hanging="360"/>
      </w:pPr>
    </w:lvl>
    <w:lvl w:ilvl="8">
      <w:start w:val="1"/>
      <w:numFmt w:val="lowerRoman"/>
      <w:lvlText w:val="%9."/>
      <w:lvlJc w:val="right"/>
      <w:pPr>
        <w:tabs>
          <w:tab w:val="num" w:pos="0"/>
        </w:tabs>
        <w:ind w:left="7761" w:hanging="180"/>
      </w:pPr>
    </w:lvl>
  </w:abstractNum>
  <w:abstractNum w:abstractNumId="1" w15:restartNumberingAfterBreak="0">
    <w:nsid w:val="10C6322F"/>
    <w:multiLevelType w:val="multilevel"/>
    <w:tmpl w:val="FF342BC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97A0F20"/>
    <w:multiLevelType w:val="multilevel"/>
    <w:tmpl w:val="CB287C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443306"/>
    <w:multiLevelType w:val="multilevel"/>
    <w:tmpl w:val="4F6A28A6"/>
    <w:lvl w:ilvl="0">
      <w:start w:val="1"/>
      <w:numFmt w:val="upperLetter"/>
      <w:pStyle w:val="FourthnumberingA"/>
      <w:lvlText w:val="%1."/>
      <w:lvlJc w:val="righ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4" w15:restartNumberingAfterBreak="0">
    <w:nsid w:val="1E5F5A0F"/>
    <w:multiLevelType w:val="multilevel"/>
    <w:tmpl w:val="70201C84"/>
    <w:lvl w:ilvl="0">
      <w:start w:val="1"/>
      <w:numFmt w:val="decimal"/>
      <w:pStyle w:val="Firstnumbering"/>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92B07E2"/>
    <w:multiLevelType w:val="hybridMultilevel"/>
    <w:tmpl w:val="3BB4E72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3B143C6"/>
    <w:multiLevelType w:val="multilevel"/>
    <w:tmpl w:val="7C6468B8"/>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35401934"/>
    <w:multiLevelType w:val="multilevel"/>
    <w:tmpl w:val="DE5ABBDA"/>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384C77CB"/>
    <w:multiLevelType w:val="multilevel"/>
    <w:tmpl w:val="D466C86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39C02B0E"/>
    <w:multiLevelType w:val="hybridMultilevel"/>
    <w:tmpl w:val="D0721BE2"/>
    <w:lvl w:ilvl="0" w:tplc="FFFFFFFF">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43769D"/>
    <w:multiLevelType w:val="multilevel"/>
    <w:tmpl w:val="8A7E76D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B0D16CC"/>
    <w:multiLevelType w:val="hybridMultilevel"/>
    <w:tmpl w:val="3FFC24EA"/>
    <w:lvl w:ilvl="0" w:tplc="FFFFFFFF">
      <w:start w:val="1"/>
      <w:numFmt w:val="bullet"/>
      <w:lvlText w:val=""/>
      <w:lvlJc w:val="left"/>
      <w:pPr>
        <w:ind w:left="720" w:hanging="360"/>
      </w:pPr>
      <w:rPr>
        <w:rFonts w:ascii="Symbol" w:hAnsi="Symbol" w:hint="default"/>
      </w:rPr>
    </w:lvl>
    <w:lvl w:ilvl="1" w:tplc="200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D30C26"/>
    <w:multiLevelType w:val="multilevel"/>
    <w:tmpl w:val="661223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41F2A90"/>
    <w:multiLevelType w:val="multilevel"/>
    <w:tmpl w:val="0532923A"/>
    <w:lvl w:ilvl="0">
      <w:start w:val="1"/>
      <w:numFmt w:val="lowerLetter"/>
      <w:lvlText w:val="%1."/>
      <w:lvlJc w:val="left"/>
      <w:pPr>
        <w:tabs>
          <w:tab w:val="num" w:pos="0"/>
        </w:tabs>
        <w:ind w:left="0" w:firstLine="0"/>
      </w:pPr>
      <w:rPr>
        <w:sz w:val="22"/>
        <w:szCs w:val="3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4" w15:restartNumberingAfterBreak="0">
    <w:nsid w:val="7B1E112B"/>
    <w:multiLevelType w:val="multilevel"/>
    <w:tmpl w:val="200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7C442201"/>
    <w:multiLevelType w:val="multilevel"/>
    <w:tmpl w:val="85849BA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46150906">
    <w:abstractNumId w:val="4"/>
  </w:num>
  <w:num w:numId="2" w16cid:durableId="1305159064">
    <w:abstractNumId w:val="7"/>
  </w:num>
  <w:num w:numId="3" w16cid:durableId="1918593993">
    <w:abstractNumId w:val="0"/>
  </w:num>
  <w:num w:numId="4" w16cid:durableId="1520587250">
    <w:abstractNumId w:val="3"/>
  </w:num>
  <w:num w:numId="5" w16cid:durableId="1541362405">
    <w:abstractNumId w:val="14"/>
  </w:num>
  <w:num w:numId="6" w16cid:durableId="1410352233">
    <w:abstractNumId w:val="10"/>
  </w:num>
  <w:num w:numId="7" w16cid:durableId="1187133052">
    <w:abstractNumId w:val="2"/>
  </w:num>
  <w:num w:numId="8" w16cid:durableId="1674452090">
    <w:abstractNumId w:val="6"/>
  </w:num>
  <w:num w:numId="9" w16cid:durableId="865949431">
    <w:abstractNumId w:val="13"/>
  </w:num>
  <w:num w:numId="10" w16cid:durableId="2045205349">
    <w:abstractNumId w:val="1"/>
  </w:num>
  <w:num w:numId="11" w16cid:durableId="980110149">
    <w:abstractNumId w:val="5"/>
  </w:num>
  <w:num w:numId="12" w16cid:durableId="1306592341">
    <w:abstractNumId w:val="9"/>
  </w:num>
  <w:num w:numId="13" w16cid:durableId="2044161968">
    <w:abstractNumId w:val="11"/>
  </w:num>
  <w:num w:numId="14" w16cid:durableId="1288589864">
    <w:abstractNumId w:val="8"/>
  </w:num>
  <w:num w:numId="15" w16cid:durableId="2039045221">
    <w:abstractNumId w:val="15"/>
  </w:num>
  <w:num w:numId="16" w16cid:durableId="150288644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9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EEA"/>
    <w:rsid w:val="00001CB8"/>
    <w:rsid w:val="00004D35"/>
    <w:rsid w:val="0000793C"/>
    <w:rsid w:val="00010DCD"/>
    <w:rsid w:val="00027455"/>
    <w:rsid w:val="000312AD"/>
    <w:rsid w:val="00050303"/>
    <w:rsid w:val="00056A3F"/>
    <w:rsid w:val="00060EF6"/>
    <w:rsid w:val="00063C8B"/>
    <w:rsid w:val="00073424"/>
    <w:rsid w:val="00076A08"/>
    <w:rsid w:val="00080347"/>
    <w:rsid w:val="0009047F"/>
    <w:rsid w:val="000A081C"/>
    <w:rsid w:val="000C27FE"/>
    <w:rsid w:val="000C6328"/>
    <w:rsid w:val="000C7523"/>
    <w:rsid w:val="000D7331"/>
    <w:rsid w:val="000F0975"/>
    <w:rsid w:val="000F1DE9"/>
    <w:rsid w:val="000F5664"/>
    <w:rsid w:val="000F64AD"/>
    <w:rsid w:val="00100F72"/>
    <w:rsid w:val="00117CAE"/>
    <w:rsid w:val="001412CE"/>
    <w:rsid w:val="00141E8A"/>
    <w:rsid w:val="00145EB1"/>
    <w:rsid w:val="001522F2"/>
    <w:rsid w:val="00153BE9"/>
    <w:rsid w:val="001619BD"/>
    <w:rsid w:val="00164A18"/>
    <w:rsid w:val="00170A34"/>
    <w:rsid w:val="00197188"/>
    <w:rsid w:val="001A6DBD"/>
    <w:rsid w:val="001B1D55"/>
    <w:rsid w:val="001B61AD"/>
    <w:rsid w:val="001B718B"/>
    <w:rsid w:val="001B7213"/>
    <w:rsid w:val="001B7563"/>
    <w:rsid w:val="001D0295"/>
    <w:rsid w:val="001F0826"/>
    <w:rsid w:val="00223A22"/>
    <w:rsid w:val="00237C48"/>
    <w:rsid w:val="00237D72"/>
    <w:rsid w:val="002442CC"/>
    <w:rsid w:val="00246449"/>
    <w:rsid w:val="0025414D"/>
    <w:rsid w:val="002736AE"/>
    <w:rsid w:val="00273E27"/>
    <w:rsid w:val="00284C5D"/>
    <w:rsid w:val="002944C0"/>
    <w:rsid w:val="00296905"/>
    <w:rsid w:val="00297036"/>
    <w:rsid w:val="002D2303"/>
    <w:rsid w:val="002D42C7"/>
    <w:rsid w:val="00305D9B"/>
    <w:rsid w:val="00317D84"/>
    <w:rsid w:val="003223BC"/>
    <w:rsid w:val="003226BF"/>
    <w:rsid w:val="00332B52"/>
    <w:rsid w:val="00333089"/>
    <w:rsid w:val="00340AAC"/>
    <w:rsid w:val="0034207C"/>
    <w:rsid w:val="00364E36"/>
    <w:rsid w:val="00383EFD"/>
    <w:rsid w:val="003C3483"/>
    <w:rsid w:val="003C3EEA"/>
    <w:rsid w:val="003C4B1A"/>
    <w:rsid w:val="003D0418"/>
    <w:rsid w:val="003E0CE1"/>
    <w:rsid w:val="003F2EC8"/>
    <w:rsid w:val="00405DB8"/>
    <w:rsid w:val="0041240E"/>
    <w:rsid w:val="00416CD3"/>
    <w:rsid w:val="00421F3A"/>
    <w:rsid w:val="004268D0"/>
    <w:rsid w:val="00443B7B"/>
    <w:rsid w:val="0044763D"/>
    <w:rsid w:val="00447681"/>
    <w:rsid w:val="00451A0A"/>
    <w:rsid w:val="00452384"/>
    <w:rsid w:val="00473361"/>
    <w:rsid w:val="00482005"/>
    <w:rsid w:val="00494726"/>
    <w:rsid w:val="004A445D"/>
    <w:rsid w:val="004A4987"/>
    <w:rsid w:val="004A57E6"/>
    <w:rsid w:val="004B5F18"/>
    <w:rsid w:val="004C2D8E"/>
    <w:rsid w:val="004C523F"/>
    <w:rsid w:val="004C65D2"/>
    <w:rsid w:val="004D065A"/>
    <w:rsid w:val="004D190D"/>
    <w:rsid w:val="004D441B"/>
    <w:rsid w:val="004D4574"/>
    <w:rsid w:val="004F0C06"/>
    <w:rsid w:val="004F2299"/>
    <w:rsid w:val="005034A3"/>
    <w:rsid w:val="00507709"/>
    <w:rsid w:val="00512F58"/>
    <w:rsid w:val="00517726"/>
    <w:rsid w:val="005202B2"/>
    <w:rsid w:val="00522424"/>
    <w:rsid w:val="0052354E"/>
    <w:rsid w:val="00524ECF"/>
    <w:rsid w:val="005332A1"/>
    <w:rsid w:val="0054142C"/>
    <w:rsid w:val="00541C6F"/>
    <w:rsid w:val="00547130"/>
    <w:rsid w:val="0055145C"/>
    <w:rsid w:val="00571753"/>
    <w:rsid w:val="00576618"/>
    <w:rsid w:val="005B5C7D"/>
    <w:rsid w:val="005B7AF3"/>
    <w:rsid w:val="005C1B9A"/>
    <w:rsid w:val="005C7892"/>
    <w:rsid w:val="005E4BA2"/>
    <w:rsid w:val="005E7682"/>
    <w:rsid w:val="00602DCC"/>
    <w:rsid w:val="00603583"/>
    <w:rsid w:val="00614984"/>
    <w:rsid w:val="006237BA"/>
    <w:rsid w:val="00624D6A"/>
    <w:rsid w:val="006563FE"/>
    <w:rsid w:val="00665EB7"/>
    <w:rsid w:val="006758A3"/>
    <w:rsid w:val="006769C7"/>
    <w:rsid w:val="006806D4"/>
    <w:rsid w:val="006868D7"/>
    <w:rsid w:val="006C5A18"/>
    <w:rsid w:val="006C7934"/>
    <w:rsid w:val="006D102E"/>
    <w:rsid w:val="006D3D14"/>
    <w:rsid w:val="006E7AB6"/>
    <w:rsid w:val="00705499"/>
    <w:rsid w:val="0071120E"/>
    <w:rsid w:val="00716A3D"/>
    <w:rsid w:val="0072014E"/>
    <w:rsid w:val="007530FD"/>
    <w:rsid w:val="00753F77"/>
    <w:rsid w:val="00770210"/>
    <w:rsid w:val="00773262"/>
    <w:rsid w:val="007845EB"/>
    <w:rsid w:val="007B5F3D"/>
    <w:rsid w:val="007C1399"/>
    <w:rsid w:val="007C5ED0"/>
    <w:rsid w:val="007D4672"/>
    <w:rsid w:val="007D6994"/>
    <w:rsid w:val="007E0D6E"/>
    <w:rsid w:val="007F3258"/>
    <w:rsid w:val="0080445B"/>
    <w:rsid w:val="00816AAA"/>
    <w:rsid w:val="008211D2"/>
    <w:rsid w:val="0083145B"/>
    <w:rsid w:val="00841EB6"/>
    <w:rsid w:val="008454DA"/>
    <w:rsid w:val="0086347B"/>
    <w:rsid w:val="008635FD"/>
    <w:rsid w:val="00865712"/>
    <w:rsid w:val="00866CD5"/>
    <w:rsid w:val="00877D1D"/>
    <w:rsid w:val="008803C0"/>
    <w:rsid w:val="00882E56"/>
    <w:rsid w:val="0088374F"/>
    <w:rsid w:val="008879F2"/>
    <w:rsid w:val="008B0B52"/>
    <w:rsid w:val="008C5438"/>
    <w:rsid w:val="008D023A"/>
    <w:rsid w:val="008D5082"/>
    <w:rsid w:val="008D7F24"/>
    <w:rsid w:val="008E4F97"/>
    <w:rsid w:val="008E7800"/>
    <w:rsid w:val="008F11B9"/>
    <w:rsid w:val="008F2CEB"/>
    <w:rsid w:val="009069A2"/>
    <w:rsid w:val="009126E2"/>
    <w:rsid w:val="0092692F"/>
    <w:rsid w:val="00933BD1"/>
    <w:rsid w:val="00951978"/>
    <w:rsid w:val="00964F9C"/>
    <w:rsid w:val="009707DC"/>
    <w:rsid w:val="00972DB1"/>
    <w:rsid w:val="00975C64"/>
    <w:rsid w:val="00976290"/>
    <w:rsid w:val="00987040"/>
    <w:rsid w:val="009915E8"/>
    <w:rsid w:val="00992EE3"/>
    <w:rsid w:val="009D2122"/>
    <w:rsid w:val="009D27CC"/>
    <w:rsid w:val="009E63AE"/>
    <w:rsid w:val="009F300C"/>
    <w:rsid w:val="00A111D1"/>
    <w:rsid w:val="00A1350C"/>
    <w:rsid w:val="00A43057"/>
    <w:rsid w:val="00A55BF3"/>
    <w:rsid w:val="00A5673F"/>
    <w:rsid w:val="00A63E66"/>
    <w:rsid w:val="00A93F8E"/>
    <w:rsid w:val="00AA44A8"/>
    <w:rsid w:val="00AA6F46"/>
    <w:rsid w:val="00AC7D78"/>
    <w:rsid w:val="00AE337D"/>
    <w:rsid w:val="00AE5CA6"/>
    <w:rsid w:val="00AF5191"/>
    <w:rsid w:val="00B00CF1"/>
    <w:rsid w:val="00B00E3D"/>
    <w:rsid w:val="00B029C8"/>
    <w:rsid w:val="00B143C0"/>
    <w:rsid w:val="00B2735F"/>
    <w:rsid w:val="00B30C62"/>
    <w:rsid w:val="00B30CAD"/>
    <w:rsid w:val="00B32DAE"/>
    <w:rsid w:val="00B54431"/>
    <w:rsid w:val="00B66BA5"/>
    <w:rsid w:val="00B75A78"/>
    <w:rsid w:val="00B77C64"/>
    <w:rsid w:val="00B973E0"/>
    <w:rsid w:val="00BB3951"/>
    <w:rsid w:val="00BB43FB"/>
    <w:rsid w:val="00BC1186"/>
    <w:rsid w:val="00BC3C0D"/>
    <w:rsid w:val="00BC586B"/>
    <w:rsid w:val="00BD5B56"/>
    <w:rsid w:val="00BD6F6E"/>
    <w:rsid w:val="00BE0797"/>
    <w:rsid w:val="00BE080C"/>
    <w:rsid w:val="00BF36D5"/>
    <w:rsid w:val="00BF3C5F"/>
    <w:rsid w:val="00C05092"/>
    <w:rsid w:val="00C0542E"/>
    <w:rsid w:val="00C164C2"/>
    <w:rsid w:val="00C21CCE"/>
    <w:rsid w:val="00C21D6C"/>
    <w:rsid w:val="00C26B89"/>
    <w:rsid w:val="00C2708E"/>
    <w:rsid w:val="00C3299E"/>
    <w:rsid w:val="00C4151D"/>
    <w:rsid w:val="00C46DE7"/>
    <w:rsid w:val="00C54785"/>
    <w:rsid w:val="00C70B64"/>
    <w:rsid w:val="00C75476"/>
    <w:rsid w:val="00C81E05"/>
    <w:rsid w:val="00C82E2D"/>
    <w:rsid w:val="00C8450C"/>
    <w:rsid w:val="00CA62FD"/>
    <w:rsid w:val="00CB2265"/>
    <w:rsid w:val="00CB2946"/>
    <w:rsid w:val="00CB4572"/>
    <w:rsid w:val="00CB5310"/>
    <w:rsid w:val="00CC042F"/>
    <w:rsid w:val="00CC2ECB"/>
    <w:rsid w:val="00CD5CC7"/>
    <w:rsid w:val="00CE6DBD"/>
    <w:rsid w:val="00CF52E1"/>
    <w:rsid w:val="00D06184"/>
    <w:rsid w:val="00D071A5"/>
    <w:rsid w:val="00D0755D"/>
    <w:rsid w:val="00D129FC"/>
    <w:rsid w:val="00D14E7C"/>
    <w:rsid w:val="00D20A8C"/>
    <w:rsid w:val="00D23263"/>
    <w:rsid w:val="00D33BED"/>
    <w:rsid w:val="00D44CF0"/>
    <w:rsid w:val="00D456B1"/>
    <w:rsid w:val="00D459D2"/>
    <w:rsid w:val="00D5387C"/>
    <w:rsid w:val="00D53EB3"/>
    <w:rsid w:val="00D65B16"/>
    <w:rsid w:val="00D83DBC"/>
    <w:rsid w:val="00DB0EB0"/>
    <w:rsid w:val="00DB22C2"/>
    <w:rsid w:val="00DB41BA"/>
    <w:rsid w:val="00DC07E1"/>
    <w:rsid w:val="00DC21D0"/>
    <w:rsid w:val="00DD62AA"/>
    <w:rsid w:val="00DD6D20"/>
    <w:rsid w:val="00DD7951"/>
    <w:rsid w:val="00DE191E"/>
    <w:rsid w:val="00DE3218"/>
    <w:rsid w:val="00DE7106"/>
    <w:rsid w:val="00DF45B9"/>
    <w:rsid w:val="00E01399"/>
    <w:rsid w:val="00E01E68"/>
    <w:rsid w:val="00E16720"/>
    <w:rsid w:val="00E207C7"/>
    <w:rsid w:val="00E36174"/>
    <w:rsid w:val="00E56D83"/>
    <w:rsid w:val="00E607AE"/>
    <w:rsid w:val="00E61373"/>
    <w:rsid w:val="00E6181B"/>
    <w:rsid w:val="00E702FD"/>
    <w:rsid w:val="00E77968"/>
    <w:rsid w:val="00E84C59"/>
    <w:rsid w:val="00E9233E"/>
    <w:rsid w:val="00EA2D9A"/>
    <w:rsid w:val="00EB5073"/>
    <w:rsid w:val="00EC6CD2"/>
    <w:rsid w:val="00EE6823"/>
    <w:rsid w:val="00EF68BD"/>
    <w:rsid w:val="00F1414B"/>
    <w:rsid w:val="00F45DA4"/>
    <w:rsid w:val="00F6155C"/>
    <w:rsid w:val="00F61793"/>
    <w:rsid w:val="00F660E9"/>
    <w:rsid w:val="00F67D11"/>
    <w:rsid w:val="00F702D1"/>
    <w:rsid w:val="00F734DA"/>
    <w:rsid w:val="00F97E25"/>
    <w:rsid w:val="00FA0FFE"/>
    <w:rsid w:val="00FA57A6"/>
    <w:rsid w:val="00FB228B"/>
    <w:rsid w:val="00FC1C7B"/>
    <w:rsid w:val="00FD22C4"/>
    <w:rsid w:val="00FF0D87"/>
    <w:rsid w:val="00FF540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C6D7"/>
  <w15:docId w15:val="{AAABACCB-CA97-4FD9-8292-4D1127B0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84"/>
    <w:rPr>
      <w:lang w:val="en-GB"/>
    </w:rPr>
  </w:style>
  <w:style w:type="paragraph" w:styleId="Heading1">
    <w:name w:val="heading 1"/>
    <w:basedOn w:val="Heading"/>
    <w:next w:val="BodyText"/>
    <w:link w:val="Heading1Char"/>
    <w:uiPriority w:val="9"/>
    <w:qFormat/>
    <w:rsid w:val="00E16720"/>
    <w:pPr>
      <w:numPr>
        <w:numId w:val="8"/>
      </w:numPr>
      <w:jc w:val="center"/>
      <w:outlineLvl w:val="0"/>
    </w:pPr>
    <w:rPr>
      <w:rFonts w:ascii="Segoe UI Semibold" w:eastAsia="Noto Sans CJK SC" w:hAnsi="Segoe UI Semibold" w:cs="Lohit Devanagari"/>
      <w:bCs/>
      <w:kern w:val="2"/>
      <w:sz w:val="32"/>
      <w:szCs w:val="36"/>
      <w:lang w:val="en-AU" w:eastAsia="zh-CN" w:bidi="hi-IN"/>
    </w:rPr>
  </w:style>
  <w:style w:type="paragraph" w:styleId="Heading2">
    <w:name w:val="heading 2"/>
    <w:basedOn w:val="Heading"/>
    <w:next w:val="BodyText"/>
    <w:link w:val="Heading2Char"/>
    <w:uiPriority w:val="9"/>
    <w:unhideWhenUsed/>
    <w:qFormat/>
    <w:rsid w:val="00E16720"/>
    <w:pPr>
      <w:numPr>
        <w:ilvl w:val="1"/>
        <w:numId w:val="8"/>
      </w:numPr>
      <w:spacing w:before="468" w:after="312"/>
      <w:jc w:val="center"/>
      <w:outlineLvl w:val="1"/>
    </w:pPr>
    <w:rPr>
      <w:rFonts w:ascii="Segoe UI Semibold" w:eastAsia="Noto Sans CJK SC" w:hAnsi="Segoe UI Semibold" w:cs="Lohit Devanagari"/>
      <w:bCs/>
      <w:kern w:val="2"/>
      <w:sz w:val="24"/>
      <w:szCs w:val="32"/>
      <w:lang w:val="en-AU" w:eastAsia="zh-CN" w:bidi="hi-IN"/>
    </w:rPr>
  </w:style>
  <w:style w:type="paragraph" w:styleId="Heading3">
    <w:name w:val="heading 3"/>
    <w:basedOn w:val="Heading"/>
    <w:next w:val="BodyText"/>
    <w:link w:val="Heading3Char"/>
    <w:uiPriority w:val="9"/>
    <w:unhideWhenUsed/>
    <w:qFormat/>
    <w:rsid w:val="00E16720"/>
    <w:pPr>
      <w:numPr>
        <w:ilvl w:val="2"/>
        <w:numId w:val="7"/>
      </w:numPr>
      <w:spacing w:before="140"/>
      <w:outlineLvl w:val="2"/>
    </w:pPr>
    <w:rPr>
      <w:rFonts w:eastAsia="Noto Sans CJK SC" w:cs="Lohit Devanagari"/>
      <w:b/>
      <w:bCs/>
      <w:kern w:val="2"/>
      <w:lang w:val="en-A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0DE9"/>
  </w:style>
  <w:style w:type="character" w:customStyle="1" w:styleId="FooterChar">
    <w:name w:val="Footer Char"/>
    <w:basedOn w:val="DefaultParagraphFont"/>
    <w:link w:val="Footer"/>
    <w:uiPriority w:val="99"/>
    <w:qFormat/>
    <w:rsid w:val="002E0DE9"/>
  </w:style>
  <w:style w:type="character" w:customStyle="1" w:styleId="BalloonTextChar">
    <w:name w:val="Balloon Text Char"/>
    <w:basedOn w:val="DefaultParagraphFont"/>
    <w:link w:val="BalloonText"/>
    <w:uiPriority w:val="99"/>
    <w:semiHidden/>
    <w:qFormat/>
    <w:rsid w:val="00EC6EE1"/>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8C3546"/>
    <w:rPr>
      <w:lang w:val="en-GB"/>
    </w:rPr>
  </w:style>
  <w:style w:type="character" w:customStyle="1" w:styleId="FirstnumberingChar">
    <w:name w:val="First numbering Char"/>
    <w:basedOn w:val="ListParagraphChar"/>
    <w:link w:val="Firstnumbering"/>
    <w:qFormat/>
    <w:rsid w:val="008C3546"/>
    <w:rPr>
      <w:lang w:val="en-GB"/>
    </w:rPr>
  </w:style>
  <w:style w:type="character" w:customStyle="1" w:styleId="SecondnumberingChar">
    <w:name w:val="Second numbering Char"/>
    <w:basedOn w:val="FirstnumberingChar"/>
    <w:link w:val="Secondnumbering"/>
    <w:qFormat/>
    <w:rsid w:val="00360838"/>
    <w:rPr>
      <w:lang w:val="en-GB"/>
    </w:rPr>
  </w:style>
  <w:style w:type="character" w:customStyle="1" w:styleId="ThirdnumberingiChar">
    <w:name w:val="Third numbering i) Char"/>
    <w:basedOn w:val="SecondnumberingChar"/>
    <w:link w:val="Thirdnumberingi"/>
    <w:qFormat/>
    <w:rsid w:val="00360838"/>
    <w:rPr>
      <w:lang w:val="en-GB"/>
    </w:rPr>
  </w:style>
  <w:style w:type="character" w:customStyle="1" w:styleId="FourthnumberingAChar">
    <w:name w:val="Fourth numbering A. Char"/>
    <w:basedOn w:val="ThirdnumberingiChar"/>
    <w:link w:val="FourthnumberingA"/>
    <w:qFormat/>
    <w:rsid w:val="00360838"/>
    <w:rPr>
      <w:lang w:val="en-GB"/>
    </w:rPr>
  </w:style>
  <w:style w:type="character" w:customStyle="1" w:styleId="TITLEChar">
    <w:name w:val="TITLE Char"/>
    <w:basedOn w:val="DefaultParagraphFont"/>
    <w:link w:val="Title1"/>
    <w:qFormat/>
    <w:rsid w:val="004B7071"/>
    <w:rPr>
      <w:rFonts w:eastAsia="Times New Roman" w:cs="Arial"/>
      <w:b/>
      <w:caps/>
      <w:lang w:val="en-GB"/>
    </w:rPr>
  </w:style>
  <w:style w:type="character" w:styleId="Hyperlink">
    <w:name w:val="Hyperlink"/>
    <w:basedOn w:val="DefaultParagraphFont"/>
    <w:uiPriority w:val="99"/>
    <w:unhideWhenUsed/>
    <w:rsid w:val="00B20241"/>
    <w:rPr>
      <w:color w:val="0563C1" w:themeColor="hyperlink"/>
      <w:u w:val="single"/>
    </w:rPr>
  </w:style>
  <w:style w:type="character" w:customStyle="1" w:styleId="UnresolvedMention1">
    <w:name w:val="Unresolved Mention1"/>
    <w:basedOn w:val="DefaultParagraphFont"/>
    <w:uiPriority w:val="99"/>
    <w:unhideWhenUsed/>
    <w:qFormat/>
    <w:rsid w:val="00B20241"/>
    <w:rPr>
      <w:color w:val="605E5C"/>
      <w:shd w:val="clear" w:color="auto" w:fill="E1DFDD"/>
    </w:rPr>
  </w:style>
  <w:style w:type="character" w:styleId="CommentReference">
    <w:name w:val="annotation reference"/>
    <w:basedOn w:val="DefaultParagraphFont"/>
    <w:uiPriority w:val="99"/>
    <w:semiHidden/>
    <w:unhideWhenUsed/>
    <w:qFormat/>
    <w:rsid w:val="00AB20F3"/>
    <w:rPr>
      <w:sz w:val="16"/>
      <w:szCs w:val="16"/>
    </w:rPr>
  </w:style>
  <w:style w:type="character" w:customStyle="1" w:styleId="CommentTextChar">
    <w:name w:val="Comment Text Char"/>
    <w:basedOn w:val="DefaultParagraphFont"/>
    <w:link w:val="CommentText"/>
    <w:uiPriority w:val="99"/>
    <w:qFormat/>
    <w:rsid w:val="00AB20F3"/>
    <w:rPr>
      <w:sz w:val="20"/>
      <w:szCs w:val="20"/>
      <w:lang w:val="en-GB"/>
    </w:rPr>
  </w:style>
  <w:style w:type="character" w:customStyle="1" w:styleId="CommentSubjectChar">
    <w:name w:val="Comment Subject Char"/>
    <w:basedOn w:val="CommentTextChar"/>
    <w:link w:val="CommentSubject"/>
    <w:uiPriority w:val="99"/>
    <w:semiHidden/>
    <w:qFormat/>
    <w:rsid w:val="00AB20F3"/>
    <w:rPr>
      <w:b/>
      <w:bCs/>
      <w:sz w:val="20"/>
      <w:szCs w:val="20"/>
      <w:lang w:val="en-GB"/>
    </w:rPr>
  </w:style>
  <w:style w:type="character" w:customStyle="1" w:styleId="Mention1">
    <w:name w:val="Mention1"/>
    <w:basedOn w:val="DefaultParagraphFont"/>
    <w:uiPriority w:val="99"/>
    <w:unhideWhenUsed/>
    <w:qFormat/>
    <w:rsid w:val="007E7A1A"/>
    <w:rPr>
      <w:color w:val="2B579A"/>
      <w:shd w:val="clear" w:color="auto" w:fill="E1DFDD"/>
    </w:rPr>
  </w:style>
  <w:style w:type="character" w:styleId="LineNumber">
    <w:name w:val="line numbe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0DE9"/>
    <w:pPr>
      <w:tabs>
        <w:tab w:val="center" w:pos="4680"/>
        <w:tab w:val="right" w:pos="9360"/>
      </w:tabs>
    </w:pPr>
  </w:style>
  <w:style w:type="paragraph" w:styleId="Footer">
    <w:name w:val="footer"/>
    <w:basedOn w:val="Normal"/>
    <w:link w:val="FooterChar"/>
    <w:uiPriority w:val="99"/>
    <w:unhideWhenUsed/>
    <w:rsid w:val="002E0DE9"/>
    <w:pPr>
      <w:tabs>
        <w:tab w:val="center" w:pos="4680"/>
        <w:tab w:val="right" w:pos="9360"/>
      </w:tabs>
    </w:pPr>
  </w:style>
  <w:style w:type="paragraph" w:styleId="BalloonText">
    <w:name w:val="Balloon Text"/>
    <w:basedOn w:val="Normal"/>
    <w:link w:val="BalloonTextChar"/>
    <w:uiPriority w:val="99"/>
    <w:semiHidden/>
    <w:unhideWhenUsed/>
    <w:qFormat/>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paragraph" w:customStyle="1" w:styleId="Thirdnumberingi">
    <w:name w:val="Third numbering i)"/>
    <w:basedOn w:val="Secondnumbering"/>
    <w:link w:val="ThirdnumberingiChar"/>
    <w:qFormat/>
    <w:rsid w:val="00360838"/>
    <w:pPr>
      <w:numPr>
        <w:numId w:val="3"/>
      </w:numPr>
      <w:ind w:left="1701" w:hanging="283"/>
    </w:pPr>
  </w:style>
  <w:style w:type="paragraph" w:customStyle="1" w:styleId="FourthnumberingA">
    <w:name w:val="Fourth numbering A."/>
    <w:basedOn w:val="Thirdnumberingi"/>
    <w:link w:val="FourthnumberingAChar"/>
    <w:qFormat/>
    <w:rsid w:val="00360838"/>
    <w:pPr>
      <w:numPr>
        <w:numId w:val="4"/>
      </w:numPr>
      <w:ind w:left="2268" w:hanging="283"/>
    </w:p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jc w:val="center"/>
      <w:textAlignment w:val="baseline"/>
      <w:outlineLvl w:val="1"/>
    </w:pPr>
    <w:rPr>
      <w:rFonts w:eastAsia="Times New Roman" w:cs="Arial"/>
      <w:b/>
      <w:caps/>
    </w:rPr>
  </w:style>
  <w:style w:type="paragraph" w:styleId="Revision">
    <w:name w:val="Revision"/>
    <w:uiPriority w:val="99"/>
    <w:semiHidden/>
    <w:qFormat/>
    <w:rsid w:val="00BE0EA7"/>
    <w:rPr>
      <w:lang w:val="en-GB"/>
    </w:rPr>
  </w:style>
  <w:style w:type="paragraph" w:styleId="CommentText">
    <w:name w:val="annotation text"/>
    <w:basedOn w:val="Normal"/>
    <w:link w:val="CommentTextChar"/>
    <w:uiPriority w:val="99"/>
    <w:unhideWhenUsed/>
    <w:qFormat/>
    <w:rsid w:val="00AB20F3"/>
    <w:rPr>
      <w:sz w:val="20"/>
      <w:szCs w:val="20"/>
    </w:rPr>
  </w:style>
  <w:style w:type="paragraph" w:styleId="CommentSubject">
    <w:name w:val="annotation subject"/>
    <w:basedOn w:val="CommentText"/>
    <w:next w:val="CommentText"/>
    <w:link w:val="CommentSubjectChar"/>
    <w:uiPriority w:val="99"/>
    <w:semiHidden/>
    <w:unhideWhenUsed/>
    <w:qFormat/>
    <w:rsid w:val="00AB20F3"/>
    <w:rPr>
      <w:b/>
      <w:bCs/>
    </w:rPr>
  </w:style>
  <w:style w:type="paragraph" w:customStyle="1" w:styleId="FrameContents">
    <w:name w:val="Frame Contents"/>
    <w:basedOn w:val="Normal"/>
    <w:qFormat/>
  </w:style>
  <w:style w:type="character" w:customStyle="1" w:styleId="Heading1Char">
    <w:name w:val="Heading 1 Char"/>
    <w:basedOn w:val="DefaultParagraphFont"/>
    <w:link w:val="Heading1"/>
    <w:uiPriority w:val="9"/>
    <w:rsid w:val="00E16720"/>
    <w:rPr>
      <w:rFonts w:ascii="Segoe UI Semibold" w:eastAsia="Noto Sans CJK SC" w:hAnsi="Segoe UI Semibold" w:cs="Lohit Devanagari"/>
      <w:bCs/>
      <w:kern w:val="2"/>
      <w:sz w:val="32"/>
      <w:szCs w:val="36"/>
      <w:lang w:val="en-AU" w:eastAsia="zh-CN" w:bidi="hi-IN"/>
    </w:rPr>
  </w:style>
  <w:style w:type="character" w:customStyle="1" w:styleId="Heading2Char">
    <w:name w:val="Heading 2 Char"/>
    <w:basedOn w:val="DefaultParagraphFont"/>
    <w:link w:val="Heading2"/>
    <w:uiPriority w:val="9"/>
    <w:rsid w:val="00E16720"/>
    <w:rPr>
      <w:rFonts w:ascii="Segoe UI Semibold" w:eastAsia="Noto Sans CJK SC" w:hAnsi="Segoe UI Semibold" w:cs="Lohit Devanagari"/>
      <w:bCs/>
      <w:kern w:val="2"/>
      <w:sz w:val="24"/>
      <w:szCs w:val="32"/>
      <w:lang w:val="en-AU" w:eastAsia="zh-CN" w:bidi="hi-IN"/>
    </w:rPr>
  </w:style>
  <w:style w:type="character" w:customStyle="1" w:styleId="Heading3Char">
    <w:name w:val="Heading 3 Char"/>
    <w:basedOn w:val="DefaultParagraphFont"/>
    <w:link w:val="Heading3"/>
    <w:uiPriority w:val="9"/>
    <w:rsid w:val="00E16720"/>
    <w:rPr>
      <w:rFonts w:ascii="Liberation Sans" w:eastAsia="Noto Sans CJK SC" w:hAnsi="Liberation Sans" w:cs="Lohit Devanagari"/>
      <w:b/>
      <w:bCs/>
      <w:kern w:val="2"/>
      <w:sz w:val="28"/>
      <w:szCs w:val="28"/>
      <w:lang w:val="en-AU" w:eastAsia="zh-CN" w:bidi="hi-IN"/>
    </w:rPr>
  </w:style>
  <w:style w:type="table" w:styleId="TableGrid">
    <w:name w:val="Table Grid"/>
    <w:basedOn w:val="TableNormal"/>
    <w:uiPriority w:val="39"/>
    <w:rsid w:val="008B0B52"/>
    <w:pPr>
      <w:suppressAutoHyphens w:val="0"/>
    </w:pPr>
    <w:rPr>
      <w:rFonts w:asciiTheme="minorHAnsi" w:hAnsi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3" ma:contentTypeDescription="Crear nuevo documento." ma:contentTypeScope="" ma:versionID="797262fa5ec8c1532af734d3ecb4767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d70c5b799a45b70f12541f85f9ba2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Heidrun Frisch-Nwakanma</DisplayName>
        <AccountId>28</AccountId>
        <AccountType/>
      </UserInfo>
      <UserInfo>
        <DisplayName>Catherine Brueckner</DisplayName>
        <AccountId>12</AccountId>
        <AccountType/>
      </UserInfo>
    </SharedWithUsers>
    <MariaJoseOrtiz xmlns="a7b50396-0b06-45c1-b28e-46f86d566a10" xsi:nil="true"/>
    <Notes xmlns="a7b50396-0b06-45c1-b28e-46f86d566a10" xsi:nil="true"/>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D1728-2A79-4CBA-8069-1949BCB49824}">
  <ds:schemaRefs>
    <ds:schemaRef ds:uri="http://schemas.openxmlformats.org/officeDocument/2006/bibliography"/>
  </ds:schemaRefs>
</ds:datastoreItem>
</file>

<file path=customXml/itemProps2.xml><?xml version="1.0" encoding="utf-8"?>
<ds:datastoreItem xmlns:ds="http://schemas.openxmlformats.org/officeDocument/2006/customXml" ds:itemID="{121AD57C-091E-4C8D-B70B-0C7A88BED565}"/>
</file>

<file path=customXml/itemProps3.xml><?xml version="1.0" encoding="utf-8"?>
<ds:datastoreItem xmlns:ds="http://schemas.openxmlformats.org/officeDocument/2006/customXml" ds:itemID="{CC640F67-7722-4E2B-97CB-1EE8F6A3189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CEBF781-995B-4B3A-BBC6-55FBDFC89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4066</Words>
  <Characters>23178</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cp:revision>
  <cp:lastPrinted>2019-09-19T11:54:00Z</cp:lastPrinted>
  <dcterms:created xsi:type="dcterms:W3CDTF">2023-10-24T07:49:00Z</dcterms:created>
  <dcterms:modified xsi:type="dcterms:W3CDTF">2023-10-24T12:18:00Z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05bc49294cfdd6bcb19e861dd6bbfaf8b0152488cac6a0cfe63811c813a85bae</vt:lpwstr>
  </property>
  <property fmtid="{D5CDD505-2E9C-101B-9397-08002B2CF9AE}" pid="4" name="MediaServiceImageTags">
    <vt:lpwstr/>
  </property>
  <property fmtid="{D5CDD505-2E9C-101B-9397-08002B2CF9AE}" pid="5" name="TaxKeyword">
    <vt:lpwstr/>
  </property>
</Properties>
</file>