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4F24" w14:textId="5DFD5798" w:rsidR="008879F2" w:rsidRPr="000C6328" w:rsidRDefault="008879F2" w:rsidP="008879F2">
      <w:pPr>
        <w:jc w:val="right"/>
        <w:rPr>
          <w:rFonts w:cs="Arial"/>
          <w:b/>
          <w:bCs/>
          <w:caps/>
        </w:rPr>
      </w:pPr>
      <w:bookmarkStart w:id="0" w:name="_Hlk134435489"/>
      <w:r w:rsidRPr="000C6328">
        <w:rPr>
          <w:rFonts w:cs="Arial"/>
          <w:b/>
          <w:caps/>
        </w:rPr>
        <w:t xml:space="preserve">Annex </w:t>
      </w:r>
      <w:r w:rsidR="008454DA" w:rsidRPr="000C6328">
        <w:rPr>
          <w:rFonts w:cs="Arial"/>
          <w:b/>
          <w:caps/>
        </w:rPr>
        <w:t>3</w:t>
      </w:r>
    </w:p>
    <w:p w14:paraId="7D0EF80F" w14:textId="77777777" w:rsidR="008879F2" w:rsidRPr="000C6328" w:rsidRDefault="008879F2" w:rsidP="008879F2">
      <w:pPr>
        <w:rPr>
          <w:rFonts w:cs="Arial"/>
        </w:rPr>
      </w:pPr>
    </w:p>
    <w:p w14:paraId="3EC1A71E" w14:textId="77777777" w:rsidR="00EC6CD2" w:rsidRPr="000C6328" w:rsidRDefault="00EC6CD2" w:rsidP="008879F2">
      <w:pPr>
        <w:rPr>
          <w:rFonts w:cs="Arial"/>
        </w:rPr>
      </w:pPr>
    </w:p>
    <w:p w14:paraId="27A8D36E" w14:textId="4962E796" w:rsidR="003C3EEA" w:rsidRPr="000C6328" w:rsidRDefault="00F45DA4">
      <w:pPr>
        <w:pStyle w:val="Title1"/>
        <w:rPr>
          <w:bCs/>
        </w:rPr>
      </w:pPr>
      <w:r w:rsidRPr="000C6328">
        <w:rPr>
          <w:bCs/>
        </w:rPr>
        <w:t>ACTION PLAN TO ADDRESS AQUATIC WILD MEAT HARVESTS IN WEST AFRICA</w:t>
      </w:r>
      <w:bookmarkEnd w:id="0"/>
    </w:p>
    <w:p w14:paraId="12C3DF6E" w14:textId="77777777" w:rsidR="003C3EEA" w:rsidRPr="000C6328" w:rsidRDefault="003C3EEA">
      <w:pPr>
        <w:textAlignment w:val="baseline"/>
        <w:rPr>
          <w:rFonts w:eastAsia="Calibri" w:cs="Arial"/>
        </w:rPr>
      </w:pPr>
    </w:p>
    <w:p w14:paraId="2BD602F1" w14:textId="77777777" w:rsidR="00E01399" w:rsidRPr="000C6328" w:rsidRDefault="00E01399">
      <w:pPr>
        <w:textAlignment w:val="baseline"/>
        <w:rPr>
          <w:rFonts w:eastAsia="Calibri" w:cs="Arial"/>
        </w:rPr>
      </w:pPr>
    </w:p>
    <w:p w14:paraId="057A3DB2" w14:textId="77777777" w:rsidR="003C3EEA" w:rsidRPr="000C6328" w:rsidRDefault="00056A3F">
      <w:pPr>
        <w:textAlignment w:val="baseline"/>
        <w:rPr>
          <w:rFonts w:eastAsia="Calibri" w:cs="Arial"/>
          <w:u w:val="single"/>
        </w:rPr>
      </w:pPr>
      <w:r w:rsidRPr="000C6328">
        <w:rPr>
          <w:rFonts w:eastAsia="Calibri" w:cs="Arial"/>
          <w:u w:val="single"/>
        </w:rPr>
        <w:t>Background</w:t>
      </w:r>
    </w:p>
    <w:p w14:paraId="3D9D8432" w14:textId="77777777" w:rsidR="003C3EEA" w:rsidRPr="000C6328" w:rsidRDefault="003C3EEA">
      <w:pPr>
        <w:rPr>
          <w:rFonts w:cs="Arial"/>
        </w:rPr>
      </w:pPr>
    </w:p>
    <w:p w14:paraId="5EE54449" w14:textId="7B6193EC" w:rsidR="003C3EEA" w:rsidRPr="000C6328" w:rsidRDefault="00DE191E" w:rsidP="000324AF">
      <w:pPr>
        <w:widowControl w:val="0"/>
        <w:numPr>
          <w:ilvl w:val="0"/>
          <w:numId w:val="5"/>
        </w:numPr>
        <w:spacing w:after="80"/>
        <w:ind w:left="540" w:hanging="540"/>
        <w:jc w:val="both"/>
        <w:rPr>
          <w:rFonts w:cs="Arial"/>
        </w:rPr>
      </w:pPr>
      <w:r w:rsidRPr="000C6328">
        <w:rPr>
          <w:rFonts w:cs="Arial"/>
        </w:rPr>
        <w:t>Across most of West Africa aquatic wild animals are hunted or taken opportunistically, and the meat, body parts, and/or eggs are consumed for local subsistence, used for traditional purposes, or traded for income. Aquatic species, including mammals, reptiles, elasmobranch fish, and aquatic birds, are regularly taken in marine, coastal, and riverine ecosystems. Harvest and consumption from these ecosystems are widespread. In some places some aquatic wild meat harvests have been sustained for millennia, serving as an important source of nutrition, income, and cultural identity for some communities. Yet, food security pressure in some instances, and economic opportunities to exploit wildlife at higher levels in others, have led to unsustainable exploitation of some CMS-listed species.</w:t>
      </w:r>
    </w:p>
    <w:p w14:paraId="1C79815C" w14:textId="77777777" w:rsidR="003C3EEA" w:rsidRPr="000C6328" w:rsidRDefault="003C3EEA" w:rsidP="000324AF">
      <w:pPr>
        <w:widowControl w:val="0"/>
        <w:spacing w:after="80"/>
        <w:ind w:left="540" w:hanging="540"/>
        <w:jc w:val="both"/>
        <w:rPr>
          <w:rFonts w:cs="Arial"/>
        </w:rPr>
      </w:pPr>
    </w:p>
    <w:p w14:paraId="7631F5F0" w14:textId="4E0B0FC9" w:rsidR="0055145C" w:rsidRPr="000C6328" w:rsidRDefault="00602DCC" w:rsidP="000324AF">
      <w:pPr>
        <w:widowControl w:val="0"/>
        <w:numPr>
          <w:ilvl w:val="0"/>
          <w:numId w:val="5"/>
        </w:numPr>
        <w:spacing w:after="80"/>
        <w:ind w:left="540" w:hanging="540"/>
        <w:jc w:val="both"/>
        <w:rPr>
          <w:rFonts w:cs="Arial"/>
        </w:rPr>
      </w:pPr>
      <w:r w:rsidRPr="000C6328">
        <w:rPr>
          <w:rFonts w:cs="Arial"/>
        </w:rPr>
        <w:t>This Action Plan to Address Aquatic Wild Meat Harvests in West Africa seeks to focus policy and science attention on these regional harvests, and where possible to take steps towards sustainable management of these activities. In some cases, this will require significant changes in community behaviour. In other cases, communities can provide direction for forward management that both respects local traditions and sustains important aquatic species and their habitats.</w:t>
      </w:r>
    </w:p>
    <w:p w14:paraId="1D7523A4" w14:textId="77777777" w:rsidR="00CB4572" w:rsidRPr="000C6328" w:rsidRDefault="00CB4572" w:rsidP="000324AF">
      <w:pPr>
        <w:pStyle w:val="ListParagraph"/>
        <w:spacing w:after="80"/>
        <w:contextualSpacing w:val="0"/>
        <w:rPr>
          <w:rFonts w:cs="Arial"/>
        </w:rPr>
      </w:pPr>
    </w:p>
    <w:p w14:paraId="159BCE4D" w14:textId="77777777" w:rsidR="007C5ED0" w:rsidRPr="000C6328" w:rsidRDefault="007C5ED0" w:rsidP="000324AF">
      <w:pPr>
        <w:widowControl w:val="0"/>
        <w:numPr>
          <w:ilvl w:val="0"/>
          <w:numId w:val="5"/>
        </w:numPr>
        <w:spacing w:after="80"/>
        <w:ind w:left="540" w:hanging="540"/>
        <w:jc w:val="both"/>
        <w:rPr>
          <w:rFonts w:cs="Arial"/>
        </w:rPr>
      </w:pPr>
      <w:r w:rsidRPr="000C6328">
        <w:rPr>
          <w:rFonts w:cs="Arial"/>
          <w:spacing w:val="-2"/>
          <w:lang w:eastAsia="en-GB"/>
        </w:rPr>
        <w:t>The Action Plan is segmented into six themes:</w:t>
      </w:r>
    </w:p>
    <w:p w14:paraId="15462728" w14:textId="77777777" w:rsidR="007C5ED0" w:rsidRPr="000C6328" w:rsidRDefault="007C5ED0" w:rsidP="000324AF">
      <w:pPr>
        <w:numPr>
          <w:ilvl w:val="1"/>
          <w:numId w:val="13"/>
        </w:numPr>
        <w:tabs>
          <w:tab w:val="num" w:pos="851"/>
        </w:tabs>
        <w:suppressAutoHyphens w:val="0"/>
        <w:spacing w:after="80"/>
        <w:ind w:left="851"/>
        <w:jc w:val="both"/>
        <w:rPr>
          <w:rFonts w:cs="Arial"/>
          <w:spacing w:val="-2"/>
          <w:lang w:eastAsia="en-GB"/>
        </w:rPr>
      </w:pPr>
      <w:r w:rsidRPr="000C6328">
        <w:rPr>
          <w:rFonts w:cs="Arial"/>
          <w:spacing w:val="-2"/>
          <w:lang w:eastAsia="en-GB"/>
        </w:rPr>
        <w:t>Reflecting on known science and identifying scientific gaps;</w:t>
      </w:r>
    </w:p>
    <w:p w14:paraId="3F58F270" w14:textId="77777777" w:rsidR="007C5ED0" w:rsidRPr="000C6328" w:rsidRDefault="007C5ED0" w:rsidP="000324AF">
      <w:pPr>
        <w:numPr>
          <w:ilvl w:val="1"/>
          <w:numId w:val="13"/>
        </w:numPr>
        <w:tabs>
          <w:tab w:val="num" w:pos="851"/>
        </w:tabs>
        <w:suppressAutoHyphens w:val="0"/>
        <w:spacing w:after="80"/>
        <w:ind w:left="851"/>
        <w:jc w:val="both"/>
        <w:rPr>
          <w:rFonts w:cs="Arial"/>
          <w:spacing w:val="-2"/>
          <w:lang w:eastAsia="en-GB"/>
        </w:rPr>
      </w:pPr>
      <w:r w:rsidRPr="000C6328">
        <w:rPr>
          <w:rFonts w:cs="Arial"/>
          <w:spacing w:val="-2"/>
          <w:lang w:eastAsia="en-GB"/>
        </w:rPr>
        <w:t>Understanding drivers and pressures (distant water fleets, internal migrations, ecosystem decline) and forming solutions;</w:t>
      </w:r>
    </w:p>
    <w:p w14:paraId="52598269" w14:textId="77777777" w:rsidR="007C5ED0" w:rsidRPr="000C6328" w:rsidRDefault="007C5ED0" w:rsidP="000324AF">
      <w:pPr>
        <w:numPr>
          <w:ilvl w:val="1"/>
          <w:numId w:val="13"/>
        </w:numPr>
        <w:tabs>
          <w:tab w:val="num" w:pos="851"/>
        </w:tabs>
        <w:suppressAutoHyphens w:val="0"/>
        <w:spacing w:after="80"/>
        <w:ind w:left="851"/>
        <w:jc w:val="both"/>
        <w:rPr>
          <w:rFonts w:cs="Arial"/>
          <w:spacing w:val="-2"/>
          <w:lang w:eastAsia="en-GB"/>
        </w:rPr>
      </w:pPr>
      <w:r w:rsidRPr="000C6328">
        <w:rPr>
          <w:rFonts w:cs="Arial"/>
          <w:spacing w:val="-2"/>
          <w:lang w:eastAsia="en-GB"/>
        </w:rPr>
        <w:t xml:space="preserve">Understanding the intersection between fisheries and environment (domestic and international) and creating stronger linkages; </w:t>
      </w:r>
    </w:p>
    <w:p w14:paraId="4EECDA2C" w14:textId="77777777" w:rsidR="007C5ED0" w:rsidRPr="000C6328" w:rsidRDefault="007C5ED0" w:rsidP="000324AF">
      <w:pPr>
        <w:numPr>
          <w:ilvl w:val="1"/>
          <w:numId w:val="13"/>
        </w:numPr>
        <w:tabs>
          <w:tab w:val="num" w:pos="851"/>
        </w:tabs>
        <w:suppressAutoHyphens w:val="0"/>
        <w:spacing w:after="80"/>
        <w:ind w:left="851"/>
        <w:jc w:val="both"/>
        <w:rPr>
          <w:rFonts w:cs="Arial"/>
          <w:spacing w:val="-2"/>
          <w:lang w:eastAsia="en-GB"/>
        </w:rPr>
      </w:pPr>
      <w:r w:rsidRPr="000C6328">
        <w:rPr>
          <w:rFonts w:cs="Arial"/>
          <w:spacing w:val="-2"/>
          <w:lang w:eastAsia="en-GB"/>
        </w:rPr>
        <w:t xml:space="preserve">Fostering community-driven solutions and building laws and enforcement where needed; </w:t>
      </w:r>
    </w:p>
    <w:p w14:paraId="6F7AB6A1" w14:textId="77777777" w:rsidR="007C5ED0" w:rsidRPr="000C6328" w:rsidRDefault="007C5ED0" w:rsidP="000324AF">
      <w:pPr>
        <w:numPr>
          <w:ilvl w:val="1"/>
          <w:numId w:val="13"/>
        </w:numPr>
        <w:tabs>
          <w:tab w:val="num" w:pos="851"/>
        </w:tabs>
        <w:suppressAutoHyphens w:val="0"/>
        <w:spacing w:after="80"/>
        <w:ind w:left="851"/>
        <w:jc w:val="both"/>
        <w:rPr>
          <w:rFonts w:cs="Arial"/>
          <w:spacing w:val="-2"/>
          <w:lang w:eastAsia="en-GB"/>
        </w:rPr>
      </w:pPr>
      <w:r w:rsidRPr="000C6328">
        <w:rPr>
          <w:rFonts w:cs="Arial"/>
          <w:spacing w:val="-2"/>
          <w:lang w:eastAsia="en-GB"/>
        </w:rPr>
        <w:t>Raising Awareness and promoting behaviour change to achieve better protection of species used as aquatic wild meat; and</w:t>
      </w:r>
    </w:p>
    <w:p w14:paraId="1F65F29B" w14:textId="1A594C75" w:rsidR="0055145C" w:rsidRPr="00957F6D" w:rsidRDefault="007C5ED0" w:rsidP="007C5ED0">
      <w:pPr>
        <w:numPr>
          <w:ilvl w:val="1"/>
          <w:numId w:val="13"/>
        </w:numPr>
        <w:ind w:left="851"/>
        <w:jc w:val="both"/>
        <w:rPr>
          <w:rFonts w:cs="Arial"/>
        </w:rPr>
      </w:pPr>
      <w:r w:rsidRPr="000C6328">
        <w:rPr>
          <w:rFonts w:cs="Arial"/>
          <w:spacing w:val="-2"/>
          <w:lang w:eastAsia="en-GB"/>
        </w:rPr>
        <w:t>Developing and implementing a sustainable funding strategy for conservation of species used as aquatic wild meat.</w:t>
      </w:r>
    </w:p>
    <w:p w14:paraId="7EA24F46" w14:textId="77777777" w:rsidR="00957F6D" w:rsidRPr="000C6328" w:rsidRDefault="00957F6D" w:rsidP="00957F6D">
      <w:pPr>
        <w:ind w:left="851"/>
        <w:jc w:val="both"/>
        <w:rPr>
          <w:rFonts w:cs="Arial"/>
        </w:rPr>
      </w:pPr>
    </w:p>
    <w:p w14:paraId="10809936" w14:textId="3082735A" w:rsidR="00CB4572" w:rsidRPr="000C6328" w:rsidRDefault="00CB4572" w:rsidP="00CB4572">
      <w:pPr>
        <w:ind w:left="491"/>
        <w:jc w:val="both"/>
        <w:rPr>
          <w:rFonts w:cs="Arial"/>
        </w:rPr>
      </w:pPr>
      <w:r w:rsidRPr="000C6328">
        <w:rPr>
          <w:rFonts w:cs="Arial"/>
          <w:spacing w:val="-2"/>
          <w:lang w:eastAsia="en-GB"/>
        </w:rPr>
        <w:t>Each theme provides focused attention on necessary capacity building (local and regional), while also setting out clear pathways for funding and capacity support. This reflects the strong need for a bottom up, community-driven approach, that gives communities across the region the ability to harness information and address unsustainable aquatic wild meat takes.</w:t>
      </w:r>
    </w:p>
    <w:p w14:paraId="685CB032" w14:textId="77777777" w:rsidR="000312AD" w:rsidRPr="000C6328" w:rsidRDefault="000312AD" w:rsidP="008D7F24">
      <w:pPr>
        <w:jc w:val="both"/>
        <w:rPr>
          <w:rFonts w:cs="Arial"/>
        </w:rPr>
      </w:pPr>
    </w:p>
    <w:p w14:paraId="7D5718DD" w14:textId="0AFF9D00" w:rsidR="000312AD" w:rsidRPr="00957F6D" w:rsidRDefault="00C164C2" w:rsidP="008D7F24">
      <w:pPr>
        <w:pStyle w:val="ListParagraph"/>
        <w:numPr>
          <w:ilvl w:val="0"/>
          <w:numId w:val="5"/>
        </w:numPr>
        <w:ind w:left="540" w:hanging="540"/>
        <w:jc w:val="both"/>
        <w:rPr>
          <w:rFonts w:cs="Arial"/>
        </w:rPr>
      </w:pPr>
      <w:r w:rsidRPr="000C6328">
        <w:rPr>
          <w:rFonts w:cs="Arial"/>
        </w:rPr>
        <w:t xml:space="preserve">The Action Plan has been developed through a series of four online workshops addressing each theme and a final face-to-face workshop to build consensus on the whole. </w:t>
      </w:r>
      <w:r w:rsidR="00816AAA" w:rsidRPr="000C6328">
        <w:rPr>
          <w:rFonts w:cs="Arial"/>
        </w:rPr>
        <w:t>The process used a strawman of the Action Plan developed by members of the Aquatic Wild Meat Working Group (AWM WG) to support CMS Party Range States through these Action Plan negotiations.</w:t>
      </w:r>
    </w:p>
    <w:p w14:paraId="1CBBE7E5" w14:textId="77777777" w:rsidR="00001CB8" w:rsidRPr="000C6328" w:rsidRDefault="00001CB8" w:rsidP="008D7F24">
      <w:pPr>
        <w:pStyle w:val="Secondnumbering"/>
        <w:numPr>
          <w:ilvl w:val="0"/>
          <w:numId w:val="0"/>
        </w:numPr>
        <w:jc w:val="both"/>
        <w:rPr>
          <w:rFonts w:cs="Arial"/>
        </w:rPr>
      </w:pPr>
    </w:p>
    <w:p w14:paraId="219554DC" w14:textId="77777777" w:rsidR="008E7800" w:rsidRDefault="008E7800">
      <w:pPr>
        <w:rPr>
          <w:rFonts w:cs="Arial"/>
        </w:rPr>
        <w:sectPr w:rsidR="008E7800" w:rsidSect="00D14E7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formProt w:val="0"/>
          <w:docGrid w:linePitch="360" w:charSpace="8192"/>
        </w:sectPr>
      </w:pPr>
    </w:p>
    <w:p w14:paraId="196E745F" w14:textId="3EF6D7E8" w:rsidR="00E16720" w:rsidRPr="000C6328" w:rsidRDefault="00E16720">
      <w:pPr>
        <w:rPr>
          <w:rFonts w:cs="Arial"/>
        </w:rPr>
      </w:pPr>
    </w:p>
    <w:p w14:paraId="60E182EE" w14:textId="77777777" w:rsidR="00E16720" w:rsidRPr="000C6328" w:rsidRDefault="00E16720" w:rsidP="006563FE">
      <w:pPr>
        <w:pStyle w:val="Heading3"/>
        <w:spacing w:before="0" w:after="0"/>
        <w:jc w:val="center"/>
        <w:rPr>
          <w:rFonts w:ascii="Arial" w:hAnsi="Arial" w:cs="Arial"/>
          <w:sz w:val="22"/>
          <w:szCs w:val="22"/>
          <w:lang w:val="en-GB"/>
        </w:rPr>
      </w:pPr>
      <w:r w:rsidRPr="000C6328">
        <w:rPr>
          <w:rFonts w:ascii="Arial" w:hAnsi="Arial" w:cs="Arial"/>
          <w:sz w:val="22"/>
          <w:szCs w:val="22"/>
          <w:lang w:val="en-GB"/>
        </w:rPr>
        <w:t>Vision</w:t>
      </w:r>
    </w:p>
    <w:p w14:paraId="201E70F3" w14:textId="77777777" w:rsidR="00E16720" w:rsidRPr="000C6328" w:rsidRDefault="00E16720" w:rsidP="006563FE">
      <w:pPr>
        <w:numPr>
          <w:ilvl w:val="0"/>
          <w:numId w:val="8"/>
        </w:numPr>
        <w:rPr>
          <w:rFonts w:cs="Arial"/>
        </w:rPr>
      </w:pPr>
    </w:p>
    <w:p w14:paraId="4668DF32" w14:textId="66B5A20F" w:rsidR="00E16720" w:rsidRPr="000C6328" w:rsidRDefault="00D33BED" w:rsidP="00D33BED">
      <w:pPr>
        <w:numPr>
          <w:ilvl w:val="0"/>
          <w:numId w:val="8"/>
        </w:numPr>
        <w:jc w:val="center"/>
        <w:rPr>
          <w:rFonts w:cs="Arial"/>
          <w:b/>
          <w:bCs/>
          <w:i/>
          <w:iCs/>
        </w:rPr>
      </w:pPr>
      <w:r w:rsidRPr="000C6328">
        <w:rPr>
          <w:rFonts w:cs="Arial"/>
          <w:b/>
          <w:bCs/>
          <w:i/>
          <w:iCs/>
        </w:rPr>
        <w:t>To make tangible progress towards the sustainable management of aquatic wild meat harvesting across West Africa and to secure a positive conservation status for all impacted CMS-listed species.</w:t>
      </w:r>
    </w:p>
    <w:p w14:paraId="09C36656" w14:textId="77777777" w:rsidR="00E16720" w:rsidRPr="000C6328" w:rsidRDefault="00E16720" w:rsidP="00E16720">
      <w:pPr>
        <w:rPr>
          <w:rFonts w:cs="Arial"/>
        </w:rPr>
      </w:pPr>
    </w:p>
    <w:p w14:paraId="27106E45" w14:textId="77777777" w:rsidR="00D33BED" w:rsidRPr="000C6328" w:rsidRDefault="00D33BED" w:rsidP="00E16720">
      <w:pPr>
        <w:rPr>
          <w:rFonts w:cs="Arial"/>
        </w:rPr>
      </w:pPr>
    </w:p>
    <w:p w14:paraId="618D404D" w14:textId="77777777" w:rsidR="00D20A8C" w:rsidRPr="000C6328" w:rsidRDefault="00E16720" w:rsidP="006563FE">
      <w:pPr>
        <w:pStyle w:val="Heading3"/>
        <w:spacing w:before="0" w:after="0"/>
        <w:jc w:val="center"/>
        <w:rPr>
          <w:rFonts w:ascii="Arial" w:hAnsi="Arial" w:cs="Arial"/>
          <w:sz w:val="22"/>
          <w:szCs w:val="22"/>
          <w:lang w:val="en-GB"/>
        </w:rPr>
      </w:pPr>
      <w:r w:rsidRPr="000C6328">
        <w:rPr>
          <w:rFonts w:ascii="Arial" w:hAnsi="Arial" w:cs="Arial"/>
          <w:sz w:val="22"/>
          <w:szCs w:val="22"/>
          <w:lang w:val="en-GB"/>
        </w:rPr>
        <w:t xml:space="preserve">Theme 1: </w:t>
      </w:r>
    </w:p>
    <w:p w14:paraId="2839A41F" w14:textId="372DC1AF" w:rsidR="00E16720" w:rsidRPr="000C6328" w:rsidRDefault="00A111D1" w:rsidP="006563FE">
      <w:pPr>
        <w:pStyle w:val="Heading3"/>
        <w:spacing w:before="0" w:after="0"/>
        <w:jc w:val="center"/>
        <w:rPr>
          <w:rFonts w:ascii="Arial" w:hAnsi="Arial" w:cs="Arial"/>
          <w:sz w:val="22"/>
          <w:szCs w:val="22"/>
          <w:lang w:val="en-GB"/>
        </w:rPr>
      </w:pPr>
      <w:r w:rsidRPr="000C6328">
        <w:rPr>
          <w:rFonts w:ascii="Arial" w:hAnsi="Arial" w:cs="Arial"/>
          <w:sz w:val="22"/>
          <w:szCs w:val="22"/>
          <w:lang w:val="en-GB"/>
        </w:rPr>
        <w:t>Taking stock of scientific knowledge and identifying gaps</w:t>
      </w:r>
    </w:p>
    <w:p w14:paraId="49EE7B5D" w14:textId="77777777" w:rsidR="000F64AD" w:rsidRPr="000C6328" w:rsidRDefault="000F64AD" w:rsidP="006563FE">
      <w:pPr>
        <w:numPr>
          <w:ilvl w:val="0"/>
          <w:numId w:val="8"/>
        </w:numPr>
        <w:rPr>
          <w:rFonts w:cs="Arial"/>
        </w:rPr>
      </w:pPr>
    </w:p>
    <w:p w14:paraId="04C76A39" w14:textId="1935C92A" w:rsidR="00E16720" w:rsidRPr="000C6328" w:rsidRDefault="00624D6A" w:rsidP="006563FE">
      <w:pPr>
        <w:numPr>
          <w:ilvl w:val="0"/>
          <w:numId w:val="8"/>
        </w:numPr>
        <w:rPr>
          <w:rFonts w:cs="Arial"/>
        </w:rPr>
      </w:pPr>
      <w:r w:rsidRPr="000C6328">
        <w:rPr>
          <w:rFonts w:cs="Arial"/>
        </w:rPr>
        <w:t>Aquatic species, including mammals, reptiles, elasmobranch fish, and aquatic birds, are regularly taken in marine, coastal, and riverine ecosystems. Aquatic wild meat harvest and consumption from these ecosystems is widespread. Research and its accessibility should be directed to support both Range States and communities to address unsustainable aquatic wild meat takes.</w:t>
      </w:r>
    </w:p>
    <w:p w14:paraId="7EAEBED8" w14:textId="77777777" w:rsidR="00624D6A" w:rsidRPr="000C6328" w:rsidRDefault="00624D6A" w:rsidP="006563FE">
      <w:pPr>
        <w:numPr>
          <w:ilvl w:val="0"/>
          <w:numId w:val="8"/>
        </w:numPr>
        <w:rPr>
          <w:rFonts w:cs="Arial"/>
        </w:rPr>
      </w:pPr>
    </w:p>
    <w:p w14:paraId="5CFC053D" w14:textId="77777777" w:rsidR="00C81E05" w:rsidRPr="000C6328" w:rsidRDefault="00C81E05" w:rsidP="00C81E05">
      <w:pPr>
        <w:numPr>
          <w:ilvl w:val="0"/>
          <w:numId w:val="14"/>
        </w:numPr>
        <w:suppressAutoHyphens w:val="0"/>
        <w:jc w:val="both"/>
        <w:rPr>
          <w:rFonts w:cs="Arial"/>
          <w:spacing w:val="-2"/>
          <w:lang w:eastAsia="en-GB"/>
        </w:rPr>
      </w:pPr>
      <w:r w:rsidRPr="000C6328">
        <w:rPr>
          <w:rFonts w:cs="Arial"/>
          <w:spacing w:val="-2"/>
          <w:lang w:eastAsia="en-GB"/>
        </w:rPr>
        <w:t xml:space="preserve">5-year theme goal: </w:t>
      </w:r>
      <w:r w:rsidRPr="000C6328">
        <w:rPr>
          <w:rFonts w:cs="Arial"/>
          <w:b/>
          <w:bCs/>
          <w:spacing w:val="-2"/>
          <w:lang w:eastAsia="en-GB"/>
        </w:rPr>
        <w:t>To make known science readily available to range states across West Africa and foster the collection of information to fill the scientific knowledge gaps</w:t>
      </w:r>
    </w:p>
    <w:p w14:paraId="7142B192" w14:textId="284793C0" w:rsidR="00E16720" w:rsidRPr="000C6328" w:rsidRDefault="00E16720" w:rsidP="006563FE">
      <w:pPr>
        <w:numPr>
          <w:ilvl w:val="0"/>
          <w:numId w:val="8"/>
        </w:numPr>
        <w:jc w:val="both"/>
        <w:rPr>
          <w:rFonts w:cs="Arial"/>
        </w:rPr>
      </w:pPr>
    </w:p>
    <w:tbl>
      <w:tblPr>
        <w:tblStyle w:val="TableGrid"/>
        <w:tblW w:w="0" w:type="auto"/>
        <w:tblLook w:val="0000" w:firstRow="0" w:lastRow="0" w:firstColumn="0" w:lastColumn="0" w:noHBand="0" w:noVBand="0"/>
      </w:tblPr>
      <w:tblGrid>
        <w:gridCol w:w="2385"/>
        <w:gridCol w:w="5651"/>
        <w:gridCol w:w="2475"/>
        <w:gridCol w:w="833"/>
        <w:gridCol w:w="2604"/>
      </w:tblGrid>
      <w:tr w:rsidR="000C6328" w:rsidRPr="00957F6D" w14:paraId="03B1B111" w14:textId="77777777" w:rsidTr="00CD5CC7">
        <w:trPr>
          <w:tblHeader/>
        </w:trPr>
        <w:tc>
          <w:tcPr>
            <w:tcW w:w="0" w:type="auto"/>
            <w:shd w:val="clear" w:color="auto" w:fill="DEEAF6" w:themeFill="accent5" w:themeFillTint="33"/>
          </w:tcPr>
          <w:p w14:paraId="429008FA" w14:textId="77777777" w:rsidR="008B0B52" w:rsidRPr="00957F6D" w:rsidRDefault="008B0B52" w:rsidP="00957F6D">
            <w:pPr>
              <w:numPr>
                <w:ilvl w:val="0"/>
                <w:numId w:val="15"/>
              </w:numPr>
              <w:suppressAutoHyphens/>
              <w:rPr>
                <w:rFonts w:ascii="Arial" w:hAnsi="Arial" w:cs="Arial"/>
                <w:b/>
                <w:bCs/>
                <w:sz w:val="20"/>
                <w:szCs w:val="20"/>
              </w:rPr>
            </w:pPr>
            <w:r w:rsidRPr="00957F6D">
              <w:rPr>
                <w:rFonts w:ascii="Arial" w:hAnsi="Arial" w:cs="Arial"/>
                <w:b/>
                <w:bCs/>
                <w:sz w:val="20"/>
                <w:szCs w:val="20"/>
              </w:rPr>
              <w:t>Action</w:t>
            </w:r>
          </w:p>
        </w:tc>
        <w:tc>
          <w:tcPr>
            <w:tcW w:w="0" w:type="auto"/>
            <w:shd w:val="clear" w:color="auto" w:fill="DEEAF6" w:themeFill="accent5" w:themeFillTint="33"/>
          </w:tcPr>
          <w:p w14:paraId="2AB54998" w14:textId="77777777" w:rsidR="008B0B52" w:rsidRPr="00957F6D" w:rsidRDefault="008B0B52" w:rsidP="00957F6D">
            <w:pPr>
              <w:numPr>
                <w:ilvl w:val="0"/>
                <w:numId w:val="15"/>
              </w:numPr>
              <w:suppressAutoHyphens/>
              <w:rPr>
                <w:rFonts w:ascii="Arial" w:hAnsi="Arial" w:cs="Arial"/>
                <w:b/>
                <w:bCs/>
                <w:sz w:val="20"/>
                <w:szCs w:val="20"/>
              </w:rPr>
            </w:pPr>
            <w:r w:rsidRPr="00957F6D">
              <w:rPr>
                <w:rFonts w:ascii="Arial" w:hAnsi="Arial" w:cs="Arial"/>
                <w:b/>
                <w:bCs/>
                <w:sz w:val="20"/>
                <w:szCs w:val="20"/>
              </w:rPr>
              <w:t>Activities</w:t>
            </w:r>
          </w:p>
        </w:tc>
        <w:tc>
          <w:tcPr>
            <w:tcW w:w="0" w:type="auto"/>
            <w:shd w:val="clear" w:color="auto" w:fill="DEEAF6" w:themeFill="accent5" w:themeFillTint="33"/>
          </w:tcPr>
          <w:p w14:paraId="07D51FD8" w14:textId="77777777" w:rsidR="008B0B52" w:rsidRPr="00957F6D" w:rsidRDefault="008B0B52" w:rsidP="00957F6D">
            <w:pPr>
              <w:numPr>
                <w:ilvl w:val="0"/>
                <w:numId w:val="15"/>
              </w:numPr>
              <w:suppressAutoHyphens/>
              <w:rPr>
                <w:rFonts w:ascii="Arial" w:hAnsi="Arial" w:cs="Arial"/>
                <w:b/>
                <w:bCs/>
                <w:sz w:val="20"/>
                <w:szCs w:val="20"/>
              </w:rPr>
            </w:pPr>
            <w:r w:rsidRPr="00957F6D">
              <w:rPr>
                <w:rFonts w:ascii="Arial" w:hAnsi="Arial" w:cs="Arial"/>
                <w:b/>
                <w:bCs/>
                <w:sz w:val="20"/>
                <w:szCs w:val="20"/>
              </w:rPr>
              <w:t>Responsibility</w:t>
            </w:r>
          </w:p>
        </w:tc>
        <w:tc>
          <w:tcPr>
            <w:tcW w:w="0" w:type="auto"/>
            <w:shd w:val="clear" w:color="auto" w:fill="DEEAF6" w:themeFill="accent5" w:themeFillTint="33"/>
          </w:tcPr>
          <w:p w14:paraId="163349DC" w14:textId="77777777" w:rsidR="008B0B52" w:rsidRPr="00957F6D" w:rsidRDefault="008B0B52" w:rsidP="00957F6D">
            <w:pPr>
              <w:numPr>
                <w:ilvl w:val="0"/>
                <w:numId w:val="15"/>
              </w:numPr>
              <w:suppressAutoHyphens/>
              <w:rPr>
                <w:rFonts w:ascii="Arial" w:hAnsi="Arial" w:cs="Arial"/>
                <w:b/>
                <w:bCs/>
                <w:sz w:val="20"/>
                <w:szCs w:val="20"/>
              </w:rPr>
            </w:pPr>
            <w:r w:rsidRPr="00957F6D">
              <w:rPr>
                <w:rFonts w:ascii="Arial" w:hAnsi="Arial" w:cs="Arial"/>
                <w:b/>
                <w:bCs/>
                <w:sz w:val="20"/>
                <w:szCs w:val="20"/>
              </w:rPr>
              <w:t>Time frame</w:t>
            </w:r>
          </w:p>
        </w:tc>
        <w:tc>
          <w:tcPr>
            <w:tcW w:w="0" w:type="auto"/>
            <w:shd w:val="clear" w:color="auto" w:fill="DEEAF6" w:themeFill="accent5" w:themeFillTint="33"/>
          </w:tcPr>
          <w:p w14:paraId="48A52CBA" w14:textId="77777777" w:rsidR="008B0B52" w:rsidRPr="00957F6D" w:rsidRDefault="008B0B52" w:rsidP="00957F6D">
            <w:pPr>
              <w:numPr>
                <w:ilvl w:val="0"/>
                <w:numId w:val="15"/>
              </w:numPr>
              <w:suppressAutoHyphens/>
              <w:rPr>
                <w:rFonts w:ascii="Arial" w:hAnsi="Arial" w:cs="Arial"/>
                <w:b/>
                <w:bCs/>
                <w:sz w:val="20"/>
                <w:szCs w:val="20"/>
              </w:rPr>
            </w:pPr>
            <w:r w:rsidRPr="00957F6D">
              <w:rPr>
                <w:rFonts w:ascii="Arial" w:hAnsi="Arial" w:cs="Arial"/>
                <w:b/>
                <w:bCs/>
                <w:sz w:val="20"/>
                <w:szCs w:val="20"/>
              </w:rPr>
              <w:t>Resources needed</w:t>
            </w:r>
          </w:p>
        </w:tc>
      </w:tr>
      <w:tr w:rsidR="000C6328" w:rsidRPr="00957F6D" w14:paraId="0390D09E" w14:textId="77777777" w:rsidTr="00CD5CC7">
        <w:tc>
          <w:tcPr>
            <w:tcW w:w="0" w:type="auto"/>
            <w:vMerge w:val="restart"/>
          </w:tcPr>
          <w:p w14:paraId="21B4A4B0" w14:textId="285B9A0B"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1.1. Consolidate scientific knowledge on the impact of aquatic wild meat harvest on CMS-listed species</w:t>
            </w:r>
          </w:p>
        </w:tc>
        <w:tc>
          <w:tcPr>
            <w:tcW w:w="0" w:type="auto"/>
          </w:tcPr>
          <w:p w14:paraId="2A1EC04B"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1.1.1. Produce a briefing note on scientific knowledge for each country, with links to published documents and in the appropriate language for each country.</w:t>
            </w:r>
          </w:p>
        </w:tc>
        <w:tc>
          <w:tcPr>
            <w:tcW w:w="0" w:type="auto"/>
          </w:tcPr>
          <w:p w14:paraId="78C3B43E"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CMS Aquatic Wild Meat Working Group (AWM WG in collaboration with Focal Points)</w:t>
            </w:r>
          </w:p>
        </w:tc>
        <w:tc>
          <w:tcPr>
            <w:tcW w:w="0" w:type="auto"/>
          </w:tcPr>
          <w:p w14:paraId="06E694CE"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2024</w:t>
            </w:r>
          </w:p>
        </w:tc>
        <w:tc>
          <w:tcPr>
            <w:tcW w:w="0" w:type="auto"/>
          </w:tcPr>
          <w:p w14:paraId="56E75410"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Desktop research and writing time</w:t>
            </w:r>
          </w:p>
        </w:tc>
      </w:tr>
      <w:tr w:rsidR="000C6328" w:rsidRPr="00957F6D" w14:paraId="78AA51BB" w14:textId="77777777" w:rsidTr="00CD5CC7">
        <w:tc>
          <w:tcPr>
            <w:tcW w:w="0" w:type="auto"/>
            <w:vMerge/>
          </w:tcPr>
          <w:p w14:paraId="1D489ECE" w14:textId="77777777" w:rsidR="008B0B52" w:rsidRPr="00957F6D" w:rsidRDefault="008B0B52" w:rsidP="00957F6D">
            <w:pPr>
              <w:suppressAutoHyphens/>
              <w:rPr>
                <w:rFonts w:ascii="Arial" w:hAnsi="Arial" w:cs="Arial"/>
                <w:sz w:val="20"/>
                <w:szCs w:val="20"/>
              </w:rPr>
            </w:pPr>
          </w:p>
        </w:tc>
        <w:tc>
          <w:tcPr>
            <w:tcW w:w="0" w:type="auto"/>
          </w:tcPr>
          <w:p w14:paraId="0601037B"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1.1.2. Make the briefing note available to all Range States of the Action Plan.</w:t>
            </w:r>
          </w:p>
        </w:tc>
        <w:tc>
          <w:tcPr>
            <w:tcW w:w="0" w:type="auto"/>
          </w:tcPr>
          <w:p w14:paraId="6FEF3376"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CMS Secretariat</w:t>
            </w:r>
          </w:p>
        </w:tc>
        <w:tc>
          <w:tcPr>
            <w:tcW w:w="0" w:type="auto"/>
          </w:tcPr>
          <w:p w14:paraId="46963565"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2024</w:t>
            </w:r>
          </w:p>
        </w:tc>
        <w:tc>
          <w:tcPr>
            <w:tcW w:w="0" w:type="auto"/>
          </w:tcPr>
          <w:p w14:paraId="0B8B4387"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Internal Secretariat time</w:t>
            </w:r>
          </w:p>
        </w:tc>
      </w:tr>
      <w:tr w:rsidR="000C6328" w:rsidRPr="00957F6D" w14:paraId="1B0BAC09" w14:textId="77777777" w:rsidTr="00CD5CC7">
        <w:tc>
          <w:tcPr>
            <w:tcW w:w="0" w:type="auto"/>
            <w:vMerge w:val="restart"/>
          </w:tcPr>
          <w:p w14:paraId="10031D1C" w14:textId="01AB3DB8"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1.2. Identify and address gaps in scientific knowledge</w:t>
            </w:r>
          </w:p>
        </w:tc>
        <w:tc>
          <w:tcPr>
            <w:tcW w:w="0" w:type="auto"/>
          </w:tcPr>
          <w:p w14:paraId="62807F0E" w14:textId="4FFCD4A0"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1.2.1. Assess scientific knowledge against known species distribution in each Range State and identify scientific knowledge gaps.</w:t>
            </w:r>
          </w:p>
        </w:tc>
        <w:tc>
          <w:tcPr>
            <w:tcW w:w="0" w:type="auto"/>
          </w:tcPr>
          <w:p w14:paraId="76972BA7" w14:textId="3175E7B3"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 xml:space="preserve">West African Focal Points of CMS, CITES, Abidjan Convention, Ramsar, IUCN, and FAO </w:t>
            </w:r>
          </w:p>
        </w:tc>
        <w:tc>
          <w:tcPr>
            <w:tcW w:w="0" w:type="auto"/>
          </w:tcPr>
          <w:p w14:paraId="20729144" w14:textId="1346953F"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2024-2026</w:t>
            </w:r>
          </w:p>
        </w:tc>
        <w:tc>
          <w:tcPr>
            <w:tcW w:w="0" w:type="auto"/>
          </w:tcPr>
          <w:p w14:paraId="663BB13F" w14:textId="15D855D9"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Internal agency time</w:t>
            </w:r>
          </w:p>
        </w:tc>
      </w:tr>
      <w:tr w:rsidR="000C6328" w:rsidRPr="00957F6D" w14:paraId="11D56345" w14:textId="77777777" w:rsidTr="00CD5CC7">
        <w:tc>
          <w:tcPr>
            <w:tcW w:w="0" w:type="auto"/>
            <w:vMerge/>
          </w:tcPr>
          <w:p w14:paraId="29D38932" w14:textId="77777777" w:rsidR="008B0B52" w:rsidRPr="00957F6D" w:rsidRDefault="008B0B52" w:rsidP="00957F6D">
            <w:pPr>
              <w:numPr>
                <w:ilvl w:val="0"/>
                <w:numId w:val="15"/>
              </w:numPr>
              <w:suppressAutoHyphens/>
              <w:rPr>
                <w:rFonts w:ascii="Arial" w:hAnsi="Arial" w:cs="Arial"/>
                <w:sz w:val="20"/>
                <w:szCs w:val="20"/>
              </w:rPr>
            </w:pPr>
          </w:p>
        </w:tc>
        <w:tc>
          <w:tcPr>
            <w:tcW w:w="0" w:type="auto"/>
          </w:tcPr>
          <w:p w14:paraId="003BD434" w14:textId="7E191A98"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1.2.2. Identify and approach key scientific institutions and conduct joint fundraising campaigns with them to promote their contributions to the Action Plan by conducting key research projects on the most pressing information gaps, such as:</w:t>
            </w:r>
          </w:p>
          <w:p w14:paraId="124885BE" w14:textId="77777777" w:rsidR="008B0B52" w:rsidRPr="00957F6D" w:rsidRDefault="008B0B52" w:rsidP="00957F6D">
            <w:pPr>
              <w:numPr>
                <w:ilvl w:val="0"/>
                <w:numId w:val="15"/>
              </w:numPr>
              <w:suppressAutoHyphens/>
              <w:rPr>
                <w:rFonts w:ascii="Arial" w:hAnsi="Arial" w:cs="Arial"/>
                <w:sz w:val="20"/>
                <w:szCs w:val="20"/>
              </w:rPr>
            </w:pPr>
          </w:p>
          <w:p w14:paraId="033F7C02"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a) socio-cultural aspects of harvesting and consuming aquatic wild meat, including the role of taboos systems;</w:t>
            </w:r>
          </w:p>
          <w:p w14:paraId="497C7FC4" w14:textId="77777777" w:rsidR="008B0B52" w:rsidRPr="00957F6D" w:rsidRDefault="008B0B52" w:rsidP="00957F6D">
            <w:pPr>
              <w:suppressAutoHyphens/>
              <w:rPr>
                <w:rFonts w:ascii="Arial" w:hAnsi="Arial" w:cs="Arial"/>
                <w:sz w:val="20"/>
                <w:szCs w:val="20"/>
              </w:rPr>
            </w:pPr>
            <w:r w:rsidRPr="00957F6D">
              <w:rPr>
                <w:rFonts w:ascii="Arial" w:hAnsi="Arial" w:cs="Arial"/>
                <w:sz w:val="20"/>
                <w:szCs w:val="20"/>
              </w:rPr>
              <w:lastRenderedPageBreak/>
              <w:t>b) nutritional roles aquatic wild meat provides;</w:t>
            </w:r>
          </w:p>
          <w:p w14:paraId="483E529A" w14:textId="77777777" w:rsidR="008B0B52" w:rsidRPr="00957F6D" w:rsidRDefault="008B0B52" w:rsidP="00957F6D">
            <w:pPr>
              <w:numPr>
                <w:ilvl w:val="0"/>
                <w:numId w:val="15"/>
              </w:numPr>
              <w:suppressAutoHyphens/>
              <w:rPr>
                <w:rFonts w:ascii="Arial" w:hAnsi="Arial" w:cs="Arial"/>
                <w:sz w:val="20"/>
                <w:szCs w:val="20"/>
              </w:rPr>
            </w:pPr>
          </w:p>
          <w:p w14:paraId="19F3B3F7" w14:textId="77777777" w:rsidR="008B0B52" w:rsidRPr="00957F6D" w:rsidRDefault="008B0B52" w:rsidP="00957F6D">
            <w:pPr>
              <w:suppressAutoHyphens/>
              <w:rPr>
                <w:rFonts w:ascii="Arial" w:hAnsi="Arial" w:cs="Arial"/>
                <w:sz w:val="20"/>
                <w:szCs w:val="20"/>
              </w:rPr>
            </w:pPr>
            <w:r w:rsidRPr="00957F6D">
              <w:rPr>
                <w:rFonts w:ascii="Arial" w:hAnsi="Arial" w:cs="Arial"/>
                <w:sz w:val="20"/>
                <w:szCs w:val="20"/>
              </w:rPr>
              <w:t>c) quantitative assessments of consumption and trade in aquatic wild meat to better understand demand and trade pathways;</w:t>
            </w:r>
          </w:p>
          <w:p w14:paraId="354BD24A" w14:textId="77777777" w:rsidR="008B0B52" w:rsidRPr="00957F6D" w:rsidRDefault="008B0B52" w:rsidP="00957F6D">
            <w:pPr>
              <w:numPr>
                <w:ilvl w:val="0"/>
                <w:numId w:val="15"/>
              </w:numPr>
              <w:suppressAutoHyphens/>
              <w:rPr>
                <w:rFonts w:ascii="Arial" w:hAnsi="Arial" w:cs="Arial"/>
                <w:sz w:val="20"/>
                <w:szCs w:val="20"/>
              </w:rPr>
            </w:pPr>
          </w:p>
          <w:p w14:paraId="38CF2644"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d) ecological sustainability of current harvests, as well as the population parameters, processes, and science-based management strategies needed to overcome problems, especially in the face of climate change impacts on habitats;</w:t>
            </w:r>
          </w:p>
          <w:p w14:paraId="7DFBE02E" w14:textId="77777777" w:rsidR="008B0B52" w:rsidRPr="00957F6D" w:rsidRDefault="008B0B52" w:rsidP="00957F6D">
            <w:pPr>
              <w:numPr>
                <w:ilvl w:val="0"/>
                <w:numId w:val="15"/>
              </w:numPr>
              <w:suppressAutoHyphens/>
              <w:rPr>
                <w:rFonts w:ascii="Arial" w:hAnsi="Arial" w:cs="Arial"/>
                <w:sz w:val="20"/>
                <w:szCs w:val="20"/>
              </w:rPr>
            </w:pPr>
          </w:p>
          <w:p w14:paraId="42D450FA"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e) the design and testing of fishing methods to minimise and ultimately eliminate bycatch mortality;</w:t>
            </w:r>
          </w:p>
          <w:p w14:paraId="663361DB" w14:textId="77777777" w:rsidR="008B0B52" w:rsidRPr="00957F6D" w:rsidRDefault="008B0B52" w:rsidP="00957F6D">
            <w:pPr>
              <w:numPr>
                <w:ilvl w:val="0"/>
                <w:numId w:val="15"/>
              </w:numPr>
              <w:suppressAutoHyphens/>
              <w:rPr>
                <w:rFonts w:ascii="Arial" w:hAnsi="Arial" w:cs="Arial"/>
                <w:sz w:val="20"/>
                <w:szCs w:val="20"/>
              </w:rPr>
            </w:pPr>
          </w:p>
          <w:p w14:paraId="5C3E02FF"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f) use of aquatic wild meat as bait for other commercial fisheries and the possibility of using alternative baits that can be derived sustainably; and</w:t>
            </w:r>
          </w:p>
          <w:p w14:paraId="5205D4D1" w14:textId="77777777" w:rsidR="008B0B52" w:rsidRPr="00957F6D" w:rsidRDefault="008B0B52" w:rsidP="00957F6D">
            <w:pPr>
              <w:numPr>
                <w:ilvl w:val="0"/>
                <w:numId w:val="15"/>
              </w:numPr>
              <w:suppressAutoHyphens/>
              <w:rPr>
                <w:rFonts w:ascii="Arial" w:hAnsi="Arial" w:cs="Arial"/>
                <w:sz w:val="20"/>
                <w:szCs w:val="20"/>
              </w:rPr>
            </w:pPr>
          </w:p>
          <w:p w14:paraId="44C22A25"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g) migration routes for aquatic megafauna with a view to better understanding the role of immigration and emigration in populations being used for aquatic wild meat.</w:t>
            </w:r>
          </w:p>
          <w:p w14:paraId="67D7AD93" w14:textId="77777777" w:rsidR="008B0B52" w:rsidRPr="00957F6D" w:rsidRDefault="008B0B52" w:rsidP="00957F6D">
            <w:pPr>
              <w:suppressAutoHyphens/>
              <w:rPr>
                <w:rFonts w:ascii="Arial" w:hAnsi="Arial" w:cs="Arial"/>
                <w:sz w:val="20"/>
                <w:szCs w:val="20"/>
              </w:rPr>
            </w:pPr>
          </w:p>
          <w:p w14:paraId="33431849" w14:textId="582ABBF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h) incidence and impact of aquatic zoonoses (one health approach and definition of appropriate mitigation measures)</w:t>
            </w:r>
          </w:p>
        </w:tc>
        <w:tc>
          <w:tcPr>
            <w:tcW w:w="0" w:type="auto"/>
          </w:tcPr>
          <w:p w14:paraId="3007692F" w14:textId="38086AAD" w:rsidR="008B0B52" w:rsidRPr="00957F6D" w:rsidRDefault="007845EB" w:rsidP="00957F6D">
            <w:pPr>
              <w:numPr>
                <w:ilvl w:val="0"/>
                <w:numId w:val="15"/>
              </w:numPr>
              <w:suppressAutoHyphens/>
              <w:rPr>
                <w:rFonts w:ascii="Arial" w:hAnsi="Arial" w:cs="Arial"/>
                <w:sz w:val="20"/>
                <w:szCs w:val="20"/>
              </w:rPr>
            </w:pPr>
            <w:r w:rsidRPr="00957F6D">
              <w:rPr>
                <w:rFonts w:ascii="Arial" w:hAnsi="Arial" w:cs="Arial"/>
                <w:sz w:val="20"/>
                <w:szCs w:val="20"/>
              </w:rPr>
              <w:lastRenderedPageBreak/>
              <w:t>AWM WG</w:t>
            </w:r>
          </w:p>
        </w:tc>
        <w:tc>
          <w:tcPr>
            <w:tcW w:w="0" w:type="auto"/>
          </w:tcPr>
          <w:p w14:paraId="275B008D" w14:textId="77AAFC37" w:rsidR="008B0B52" w:rsidRPr="00957F6D" w:rsidRDefault="00C4151D" w:rsidP="00957F6D">
            <w:pPr>
              <w:numPr>
                <w:ilvl w:val="0"/>
                <w:numId w:val="15"/>
              </w:numPr>
              <w:suppressAutoHyphens/>
              <w:rPr>
                <w:rFonts w:ascii="Arial" w:hAnsi="Arial" w:cs="Arial"/>
                <w:sz w:val="20"/>
                <w:szCs w:val="20"/>
              </w:rPr>
            </w:pPr>
            <w:r w:rsidRPr="00957F6D">
              <w:rPr>
                <w:rFonts w:ascii="Arial" w:hAnsi="Arial" w:cs="Arial"/>
                <w:sz w:val="20"/>
                <w:szCs w:val="20"/>
              </w:rPr>
              <w:t>2024</w:t>
            </w:r>
          </w:p>
        </w:tc>
        <w:tc>
          <w:tcPr>
            <w:tcW w:w="0" w:type="auto"/>
          </w:tcPr>
          <w:p w14:paraId="6930D7D8" w14:textId="51E739ED" w:rsidR="008B0B52" w:rsidRPr="00957F6D" w:rsidRDefault="00C4151D" w:rsidP="00957F6D">
            <w:pPr>
              <w:numPr>
                <w:ilvl w:val="0"/>
                <w:numId w:val="15"/>
              </w:numPr>
              <w:suppressAutoHyphens/>
              <w:rPr>
                <w:rFonts w:ascii="Arial" w:hAnsi="Arial" w:cs="Arial"/>
                <w:sz w:val="20"/>
                <w:szCs w:val="20"/>
              </w:rPr>
            </w:pPr>
            <w:r w:rsidRPr="00957F6D">
              <w:rPr>
                <w:rFonts w:ascii="Arial" w:hAnsi="Arial" w:cs="Arial"/>
                <w:sz w:val="20"/>
                <w:szCs w:val="20"/>
              </w:rPr>
              <w:t>Internal AWM WG time to both support fundraising efforts and secure scientific commitment to begin research activities</w:t>
            </w:r>
          </w:p>
        </w:tc>
      </w:tr>
      <w:tr w:rsidR="000C6328" w:rsidRPr="00957F6D" w14:paraId="6BD2E29C" w14:textId="77777777" w:rsidTr="00CD5CC7">
        <w:tc>
          <w:tcPr>
            <w:tcW w:w="0" w:type="auto"/>
            <w:vMerge/>
          </w:tcPr>
          <w:p w14:paraId="0CB932B2" w14:textId="77777777" w:rsidR="008B0B52" w:rsidRPr="00957F6D" w:rsidRDefault="008B0B52" w:rsidP="00957F6D">
            <w:pPr>
              <w:suppressAutoHyphens/>
              <w:rPr>
                <w:rFonts w:ascii="Arial" w:hAnsi="Arial" w:cs="Arial"/>
                <w:sz w:val="20"/>
                <w:szCs w:val="20"/>
              </w:rPr>
            </w:pPr>
          </w:p>
        </w:tc>
        <w:tc>
          <w:tcPr>
            <w:tcW w:w="0" w:type="auto"/>
          </w:tcPr>
          <w:p w14:paraId="37DA7BD4"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1.2.3. Encourage the establishment and expansion of a networks of appropriate experts and local actors with important information, specifically but not limited to within the CMS Aquatic Wild Meat Working Group and the Abidjan Aquatic Wildlife Network (working closely with other important networks in West Africa) to support Range States with the delivery of the Action Plan.</w:t>
            </w:r>
          </w:p>
        </w:tc>
        <w:tc>
          <w:tcPr>
            <w:tcW w:w="0" w:type="auto"/>
          </w:tcPr>
          <w:p w14:paraId="53CD5173"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AWM WG</w:t>
            </w:r>
          </w:p>
        </w:tc>
        <w:tc>
          <w:tcPr>
            <w:tcW w:w="0" w:type="auto"/>
          </w:tcPr>
          <w:p w14:paraId="06BA9607"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2024-2029</w:t>
            </w:r>
          </w:p>
        </w:tc>
        <w:tc>
          <w:tcPr>
            <w:tcW w:w="0" w:type="auto"/>
          </w:tcPr>
          <w:p w14:paraId="3F1A3793" w14:textId="77777777" w:rsidR="008B0B52" w:rsidRPr="00957F6D" w:rsidRDefault="008B0B52" w:rsidP="00957F6D">
            <w:pPr>
              <w:numPr>
                <w:ilvl w:val="0"/>
                <w:numId w:val="15"/>
              </w:numPr>
              <w:suppressAutoHyphens/>
              <w:rPr>
                <w:rFonts w:ascii="Arial" w:hAnsi="Arial" w:cs="Arial"/>
                <w:sz w:val="20"/>
                <w:szCs w:val="20"/>
              </w:rPr>
            </w:pPr>
            <w:r w:rsidRPr="00957F6D">
              <w:rPr>
                <w:rFonts w:ascii="Arial" w:hAnsi="Arial" w:cs="Arial"/>
                <w:sz w:val="20"/>
                <w:szCs w:val="20"/>
              </w:rPr>
              <w:t>Internal AWM WG time</w:t>
            </w:r>
          </w:p>
        </w:tc>
      </w:tr>
    </w:tbl>
    <w:p w14:paraId="58271FEF" w14:textId="77777777" w:rsidR="00E16720" w:rsidRPr="000C6328" w:rsidRDefault="00E16720" w:rsidP="00BE0797">
      <w:pPr>
        <w:rPr>
          <w:rFonts w:cs="Arial"/>
        </w:rPr>
      </w:pPr>
    </w:p>
    <w:p w14:paraId="1678E38E" w14:textId="647B7D9B" w:rsidR="00957F6D" w:rsidRDefault="00957F6D">
      <w:pPr>
        <w:rPr>
          <w:rFonts w:eastAsia="Noto Sans CJK SC" w:cs="Arial"/>
          <w:b/>
          <w:bCs/>
          <w:kern w:val="2"/>
          <w:lang w:eastAsia="zh-CN" w:bidi="hi-IN"/>
        </w:rPr>
      </w:pPr>
      <w:r>
        <w:rPr>
          <w:rFonts w:eastAsia="Noto Sans CJK SC" w:cs="Arial"/>
          <w:b/>
          <w:bCs/>
          <w:kern w:val="2"/>
          <w:lang w:eastAsia="zh-CN" w:bidi="hi-IN"/>
        </w:rPr>
        <w:br w:type="page"/>
      </w:r>
    </w:p>
    <w:p w14:paraId="584206BF" w14:textId="77777777" w:rsidR="00D20A8C" w:rsidRPr="000C6328" w:rsidRDefault="00E16720" w:rsidP="006563FE">
      <w:pPr>
        <w:pStyle w:val="Heading3"/>
        <w:spacing w:before="0" w:after="0"/>
        <w:jc w:val="center"/>
        <w:rPr>
          <w:rFonts w:ascii="Arial" w:hAnsi="Arial" w:cs="Arial"/>
          <w:sz w:val="22"/>
          <w:szCs w:val="22"/>
          <w:lang w:val="en-GB"/>
        </w:rPr>
      </w:pPr>
      <w:r w:rsidRPr="000C6328">
        <w:rPr>
          <w:rFonts w:ascii="Arial" w:hAnsi="Arial" w:cs="Arial"/>
          <w:sz w:val="22"/>
          <w:szCs w:val="22"/>
          <w:lang w:val="en-GB"/>
        </w:rPr>
        <w:lastRenderedPageBreak/>
        <w:t xml:space="preserve">Theme 2: </w:t>
      </w:r>
    </w:p>
    <w:p w14:paraId="7000E784" w14:textId="356AAB7F" w:rsidR="00E16720" w:rsidRPr="000C6328" w:rsidRDefault="00E16720" w:rsidP="006563FE">
      <w:pPr>
        <w:pStyle w:val="Heading3"/>
        <w:spacing w:before="0" w:after="0"/>
        <w:jc w:val="center"/>
        <w:rPr>
          <w:rFonts w:ascii="Arial" w:hAnsi="Arial" w:cs="Arial"/>
          <w:sz w:val="22"/>
          <w:szCs w:val="22"/>
          <w:lang w:val="en-GB"/>
        </w:rPr>
      </w:pPr>
      <w:r w:rsidRPr="000C6328">
        <w:rPr>
          <w:rFonts w:ascii="Arial" w:hAnsi="Arial" w:cs="Arial"/>
          <w:sz w:val="22"/>
          <w:szCs w:val="22"/>
          <w:lang w:val="en-GB"/>
        </w:rPr>
        <w:t xml:space="preserve">Understanding drivers and pressures for aquatic wild meat harvest </w:t>
      </w:r>
    </w:p>
    <w:p w14:paraId="3A1C8E62" w14:textId="77777777" w:rsidR="0054142C" w:rsidRPr="000C6328" w:rsidRDefault="0054142C" w:rsidP="006563FE">
      <w:pPr>
        <w:numPr>
          <w:ilvl w:val="0"/>
          <w:numId w:val="8"/>
        </w:numPr>
        <w:jc w:val="both"/>
        <w:rPr>
          <w:rFonts w:cs="Arial"/>
        </w:rPr>
      </w:pPr>
    </w:p>
    <w:p w14:paraId="474DBE51" w14:textId="1B846FE9" w:rsidR="00E16720" w:rsidRPr="000C6328" w:rsidRDefault="00507709" w:rsidP="006563FE">
      <w:pPr>
        <w:numPr>
          <w:ilvl w:val="0"/>
          <w:numId w:val="8"/>
        </w:numPr>
        <w:jc w:val="both"/>
        <w:rPr>
          <w:rFonts w:cs="Arial"/>
        </w:rPr>
      </w:pPr>
      <w:r w:rsidRPr="000C6328">
        <w:rPr>
          <w:rFonts w:cs="Arial"/>
          <w:spacing w:val="-2"/>
          <w:lang w:eastAsia="en-GB"/>
        </w:rPr>
        <w:t>Understanding the drivers and pressures for aquatic wild meat takes across the region and within communities is crucial for designing mitigation programmes. Information to deepen that information should be gathered and circulated.</w:t>
      </w:r>
    </w:p>
    <w:p w14:paraId="7C605A6F" w14:textId="77777777" w:rsidR="00507709" w:rsidRPr="000C6328" w:rsidRDefault="00507709" w:rsidP="006563FE">
      <w:pPr>
        <w:numPr>
          <w:ilvl w:val="0"/>
          <w:numId w:val="8"/>
        </w:numPr>
        <w:jc w:val="both"/>
        <w:rPr>
          <w:rFonts w:cs="Arial"/>
        </w:rPr>
      </w:pPr>
    </w:p>
    <w:p w14:paraId="1A4C7690" w14:textId="77777777" w:rsidR="00AF5191" w:rsidRPr="000C6328" w:rsidRDefault="00AF5191" w:rsidP="00AF5191">
      <w:pPr>
        <w:numPr>
          <w:ilvl w:val="0"/>
          <w:numId w:val="15"/>
        </w:numPr>
        <w:suppressAutoHyphens w:val="0"/>
        <w:jc w:val="both"/>
        <w:rPr>
          <w:rFonts w:cs="Arial"/>
          <w:spacing w:val="-2"/>
          <w:lang w:eastAsia="en-GB"/>
        </w:rPr>
      </w:pPr>
      <w:r w:rsidRPr="000C6328">
        <w:rPr>
          <w:rFonts w:cs="Arial"/>
          <w:spacing w:val="-2"/>
          <w:lang w:eastAsia="en-GB"/>
        </w:rPr>
        <w:t xml:space="preserve">5-year theme goal: </w:t>
      </w:r>
      <w:r w:rsidRPr="000C6328">
        <w:rPr>
          <w:rFonts w:cs="Arial"/>
          <w:b/>
          <w:bCs/>
          <w:spacing w:val="-2"/>
          <w:lang w:eastAsia="en-GB"/>
        </w:rPr>
        <w:t>To develop a deeper understand of the drivers and pressures for aquatic wild meat harvest to better inform solutions</w:t>
      </w:r>
    </w:p>
    <w:p w14:paraId="4B73A019" w14:textId="77777777" w:rsidR="00E16720" w:rsidRPr="000C6328" w:rsidRDefault="00E16720" w:rsidP="006563FE">
      <w:pPr>
        <w:numPr>
          <w:ilvl w:val="0"/>
          <w:numId w:val="8"/>
        </w:numPr>
        <w:jc w:val="both"/>
        <w:rPr>
          <w:rFonts w:cs="Arial"/>
        </w:rPr>
      </w:pPr>
    </w:p>
    <w:tbl>
      <w:tblPr>
        <w:tblStyle w:val="TableGrid"/>
        <w:tblW w:w="0" w:type="auto"/>
        <w:tblLook w:val="0000" w:firstRow="0" w:lastRow="0" w:firstColumn="0" w:lastColumn="0" w:noHBand="0" w:noVBand="0"/>
      </w:tblPr>
      <w:tblGrid>
        <w:gridCol w:w="2541"/>
        <w:gridCol w:w="4716"/>
        <w:gridCol w:w="2922"/>
        <w:gridCol w:w="1461"/>
        <w:gridCol w:w="2308"/>
      </w:tblGrid>
      <w:tr w:rsidR="000C6328" w:rsidRPr="00957F6D" w14:paraId="0EDE9AB0" w14:textId="77777777" w:rsidTr="005B5C7D">
        <w:trPr>
          <w:tblHeader/>
        </w:trPr>
        <w:tc>
          <w:tcPr>
            <w:tcW w:w="0" w:type="auto"/>
            <w:shd w:val="clear" w:color="auto" w:fill="DEEAF6" w:themeFill="accent5" w:themeFillTint="33"/>
          </w:tcPr>
          <w:p w14:paraId="64A434A5" w14:textId="77777777" w:rsidR="005B5C7D" w:rsidRPr="00957F6D" w:rsidRDefault="005B5C7D" w:rsidP="00957F6D">
            <w:pPr>
              <w:numPr>
                <w:ilvl w:val="0"/>
                <w:numId w:val="15"/>
              </w:numPr>
              <w:spacing w:before="40" w:after="40"/>
              <w:rPr>
                <w:rFonts w:ascii="Arial" w:hAnsi="Arial" w:cs="Arial"/>
                <w:b/>
                <w:bCs/>
                <w:spacing w:val="-2"/>
                <w:sz w:val="20"/>
                <w:szCs w:val="20"/>
                <w:lang w:eastAsia="en-GB"/>
              </w:rPr>
            </w:pPr>
            <w:r w:rsidRPr="00957F6D">
              <w:rPr>
                <w:rFonts w:ascii="Arial" w:hAnsi="Arial" w:cs="Arial"/>
                <w:b/>
                <w:bCs/>
                <w:spacing w:val="-2"/>
                <w:sz w:val="20"/>
                <w:szCs w:val="20"/>
                <w:lang w:eastAsia="en-GB"/>
              </w:rPr>
              <w:t>Action</w:t>
            </w:r>
          </w:p>
        </w:tc>
        <w:tc>
          <w:tcPr>
            <w:tcW w:w="0" w:type="auto"/>
            <w:shd w:val="clear" w:color="auto" w:fill="DEEAF6" w:themeFill="accent5" w:themeFillTint="33"/>
          </w:tcPr>
          <w:p w14:paraId="0A8495FB" w14:textId="77777777" w:rsidR="005B5C7D" w:rsidRPr="00957F6D" w:rsidRDefault="005B5C7D" w:rsidP="00957F6D">
            <w:pPr>
              <w:numPr>
                <w:ilvl w:val="0"/>
                <w:numId w:val="15"/>
              </w:numPr>
              <w:spacing w:before="40" w:after="40"/>
              <w:rPr>
                <w:rFonts w:ascii="Arial" w:hAnsi="Arial" w:cs="Arial"/>
                <w:b/>
                <w:bCs/>
                <w:spacing w:val="-2"/>
                <w:sz w:val="20"/>
                <w:szCs w:val="20"/>
                <w:lang w:eastAsia="en-GB"/>
              </w:rPr>
            </w:pPr>
            <w:r w:rsidRPr="00957F6D">
              <w:rPr>
                <w:rFonts w:ascii="Arial" w:hAnsi="Arial" w:cs="Arial"/>
                <w:b/>
                <w:bCs/>
                <w:spacing w:val="-2"/>
                <w:sz w:val="20"/>
                <w:szCs w:val="20"/>
                <w:lang w:eastAsia="en-GB"/>
              </w:rPr>
              <w:t>Activities</w:t>
            </w:r>
          </w:p>
        </w:tc>
        <w:tc>
          <w:tcPr>
            <w:tcW w:w="0" w:type="auto"/>
            <w:shd w:val="clear" w:color="auto" w:fill="DEEAF6" w:themeFill="accent5" w:themeFillTint="33"/>
          </w:tcPr>
          <w:p w14:paraId="1B7A7136" w14:textId="77777777" w:rsidR="005B5C7D" w:rsidRPr="00957F6D" w:rsidRDefault="005B5C7D" w:rsidP="00957F6D">
            <w:pPr>
              <w:numPr>
                <w:ilvl w:val="0"/>
                <w:numId w:val="15"/>
              </w:numPr>
              <w:spacing w:before="40" w:after="40"/>
              <w:rPr>
                <w:rFonts w:ascii="Arial" w:hAnsi="Arial" w:cs="Arial"/>
                <w:b/>
                <w:bCs/>
                <w:spacing w:val="-2"/>
                <w:sz w:val="20"/>
                <w:szCs w:val="20"/>
                <w:lang w:eastAsia="en-GB"/>
              </w:rPr>
            </w:pPr>
            <w:r w:rsidRPr="00957F6D">
              <w:rPr>
                <w:rFonts w:ascii="Arial" w:hAnsi="Arial" w:cs="Arial"/>
                <w:b/>
                <w:bCs/>
                <w:spacing w:val="-2"/>
                <w:sz w:val="20"/>
                <w:szCs w:val="20"/>
                <w:lang w:eastAsia="en-GB"/>
              </w:rPr>
              <w:t>Responsibility</w:t>
            </w:r>
          </w:p>
        </w:tc>
        <w:tc>
          <w:tcPr>
            <w:tcW w:w="0" w:type="auto"/>
            <w:shd w:val="clear" w:color="auto" w:fill="DEEAF6" w:themeFill="accent5" w:themeFillTint="33"/>
          </w:tcPr>
          <w:p w14:paraId="4355F2D8" w14:textId="77777777" w:rsidR="005B5C7D" w:rsidRPr="00957F6D" w:rsidRDefault="005B5C7D" w:rsidP="00957F6D">
            <w:pPr>
              <w:numPr>
                <w:ilvl w:val="0"/>
                <w:numId w:val="15"/>
              </w:numPr>
              <w:spacing w:before="40" w:after="40"/>
              <w:rPr>
                <w:rFonts w:ascii="Arial" w:hAnsi="Arial" w:cs="Arial"/>
                <w:b/>
                <w:bCs/>
                <w:spacing w:val="-2"/>
                <w:sz w:val="20"/>
                <w:szCs w:val="20"/>
                <w:lang w:eastAsia="en-GB"/>
              </w:rPr>
            </w:pPr>
            <w:r w:rsidRPr="00957F6D">
              <w:rPr>
                <w:rFonts w:ascii="Arial" w:hAnsi="Arial" w:cs="Arial"/>
                <w:b/>
                <w:bCs/>
                <w:spacing w:val="-2"/>
                <w:sz w:val="20"/>
                <w:szCs w:val="20"/>
                <w:lang w:eastAsia="en-GB"/>
              </w:rPr>
              <w:t>Time frame</w:t>
            </w:r>
          </w:p>
        </w:tc>
        <w:tc>
          <w:tcPr>
            <w:tcW w:w="0" w:type="auto"/>
            <w:shd w:val="clear" w:color="auto" w:fill="DEEAF6" w:themeFill="accent5" w:themeFillTint="33"/>
          </w:tcPr>
          <w:p w14:paraId="53521438" w14:textId="77777777" w:rsidR="005B5C7D" w:rsidRPr="00957F6D" w:rsidRDefault="005B5C7D" w:rsidP="00957F6D">
            <w:pPr>
              <w:numPr>
                <w:ilvl w:val="0"/>
                <w:numId w:val="15"/>
              </w:numPr>
              <w:spacing w:before="40" w:after="40"/>
              <w:rPr>
                <w:rFonts w:ascii="Arial" w:hAnsi="Arial" w:cs="Arial"/>
                <w:b/>
                <w:bCs/>
                <w:spacing w:val="-2"/>
                <w:sz w:val="20"/>
                <w:szCs w:val="20"/>
                <w:lang w:eastAsia="en-GB"/>
              </w:rPr>
            </w:pPr>
            <w:r w:rsidRPr="00957F6D">
              <w:rPr>
                <w:rFonts w:ascii="Arial" w:hAnsi="Arial" w:cs="Arial"/>
                <w:b/>
                <w:bCs/>
                <w:spacing w:val="-2"/>
                <w:sz w:val="20"/>
                <w:szCs w:val="20"/>
                <w:lang w:eastAsia="en-GB"/>
              </w:rPr>
              <w:t>Resources needed</w:t>
            </w:r>
          </w:p>
        </w:tc>
      </w:tr>
      <w:tr w:rsidR="000C6328" w:rsidRPr="00957F6D" w14:paraId="71D4824E" w14:textId="77777777" w:rsidTr="00F15DB1">
        <w:tc>
          <w:tcPr>
            <w:tcW w:w="0" w:type="auto"/>
            <w:vMerge w:val="restart"/>
          </w:tcPr>
          <w:p w14:paraId="0E16FD16" w14:textId="12C566D9"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 xml:space="preserve">2.1. Better understand the root causes for overexploitation of animals used as aquatic wild meat in the region </w:t>
            </w:r>
          </w:p>
        </w:tc>
        <w:tc>
          <w:tcPr>
            <w:tcW w:w="0" w:type="auto"/>
          </w:tcPr>
          <w:p w14:paraId="22F7FE20"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 xml:space="preserve">2.1.1. Prepare a briefing note relevant to regions across West Africa on the importance of aquatic wild meat as a local food with species preferences for some countries, with an emphasis on protected species and species most affected, establishing the situation on the ground to support and enable relevant authorities to </w:t>
            </w:r>
            <w:proofErr w:type="gramStart"/>
            <w:r w:rsidRPr="00957F6D">
              <w:rPr>
                <w:rFonts w:ascii="Arial" w:hAnsi="Arial" w:cs="Arial"/>
                <w:spacing w:val="-2"/>
                <w:sz w:val="20"/>
                <w:szCs w:val="20"/>
                <w:lang w:eastAsia="en-GB"/>
              </w:rPr>
              <w:t>take action</w:t>
            </w:r>
            <w:proofErr w:type="gramEnd"/>
          </w:p>
        </w:tc>
        <w:tc>
          <w:tcPr>
            <w:tcW w:w="0" w:type="auto"/>
          </w:tcPr>
          <w:p w14:paraId="1EDCCFE5"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Research institutions, NGOs, and Government agencies in charge, with the support of the AWM WG</w:t>
            </w:r>
          </w:p>
        </w:tc>
        <w:tc>
          <w:tcPr>
            <w:tcW w:w="0" w:type="auto"/>
          </w:tcPr>
          <w:p w14:paraId="1820357F"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2025</w:t>
            </w:r>
          </w:p>
        </w:tc>
        <w:tc>
          <w:tcPr>
            <w:tcW w:w="0" w:type="auto"/>
          </w:tcPr>
          <w:p w14:paraId="26B1108C"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Desktop research and writing time</w:t>
            </w:r>
          </w:p>
        </w:tc>
      </w:tr>
      <w:tr w:rsidR="000C6328" w:rsidRPr="00957F6D" w14:paraId="745399AC" w14:textId="77777777" w:rsidTr="00F15DB1">
        <w:tc>
          <w:tcPr>
            <w:tcW w:w="0" w:type="auto"/>
            <w:vMerge/>
          </w:tcPr>
          <w:p w14:paraId="7F9C1350" w14:textId="77777777" w:rsidR="005B5C7D" w:rsidRPr="00957F6D" w:rsidRDefault="005B5C7D" w:rsidP="00957F6D">
            <w:pPr>
              <w:spacing w:before="40" w:after="40"/>
              <w:rPr>
                <w:rFonts w:ascii="Arial" w:hAnsi="Arial" w:cs="Arial"/>
                <w:spacing w:val="-2"/>
                <w:sz w:val="20"/>
                <w:szCs w:val="20"/>
                <w:lang w:eastAsia="en-GB"/>
              </w:rPr>
            </w:pPr>
          </w:p>
        </w:tc>
        <w:tc>
          <w:tcPr>
            <w:tcW w:w="0" w:type="auto"/>
          </w:tcPr>
          <w:p w14:paraId="219DEA67"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2.1.2. Research and publish the relationship between supply, demand, and the benefit of aquatic illegal wild meat harvesting</w:t>
            </w:r>
          </w:p>
        </w:tc>
        <w:tc>
          <w:tcPr>
            <w:tcW w:w="0" w:type="auto"/>
          </w:tcPr>
          <w:p w14:paraId="42362FD5" w14:textId="77777777" w:rsidR="005B5C7D" w:rsidRPr="00957F6D" w:rsidRDefault="005B5C7D" w:rsidP="00957F6D">
            <w:pPr>
              <w:spacing w:before="40" w:after="40"/>
              <w:rPr>
                <w:rFonts w:ascii="Arial" w:hAnsi="Arial" w:cs="Arial"/>
                <w:spacing w:val="-2"/>
                <w:sz w:val="20"/>
                <w:szCs w:val="20"/>
                <w:lang w:eastAsia="en-GB"/>
              </w:rPr>
            </w:pPr>
            <w:r w:rsidRPr="00957F6D">
              <w:rPr>
                <w:rFonts w:ascii="Arial" w:hAnsi="Arial" w:cs="Arial"/>
                <w:spacing w:val="-2"/>
                <w:sz w:val="20"/>
                <w:szCs w:val="20"/>
                <w:lang w:eastAsia="en-GB"/>
              </w:rPr>
              <w:t>AWM WG closely involving West African research institutions</w:t>
            </w:r>
          </w:p>
        </w:tc>
        <w:tc>
          <w:tcPr>
            <w:tcW w:w="0" w:type="auto"/>
          </w:tcPr>
          <w:p w14:paraId="33D5E3FC"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2025</w:t>
            </w:r>
          </w:p>
        </w:tc>
        <w:tc>
          <w:tcPr>
            <w:tcW w:w="0" w:type="auto"/>
          </w:tcPr>
          <w:p w14:paraId="2F97F9B6"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Desktop research and writing time, funding for field data collection and translation</w:t>
            </w:r>
          </w:p>
        </w:tc>
      </w:tr>
      <w:tr w:rsidR="000C6328" w:rsidRPr="00957F6D" w14:paraId="78EBE4E5" w14:textId="77777777" w:rsidTr="00F15DB1">
        <w:tc>
          <w:tcPr>
            <w:tcW w:w="0" w:type="auto"/>
            <w:vMerge/>
          </w:tcPr>
          <w:p w14:paraId="16CB3B75" w14:textId="77777777" w:rsidR="005B5C7D" w:rsidRPr="00957F6D" w:rsidRDefault="005B5C7D" w:rsidP="00957F6D">
            <w:pPr>
              <w:spacing w:before="40" w:after="40"/>
              <w:rPr>
                <w:rFonts w:ascii="Arial" w:hAnsi="Arial" w:cs="Arial"/>
                <w:spacing w:val="-2"/>
                <w:sz w:val="20"/>
                <w:szCs w:val="20"/>
                <w:lang w:eastAsia="en-GB"/>
              </w:rPr>
            </w:pPr>
          </w:p>
        </w:tc>
        <w:tc>
          <w:tcPr>
            <w:tcW w:w="0" w:type="auto"/>
          </w:tcPr>
          <w:p w14:paraId="0DB4C821"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 xml:space="preserve">2.1.3. Research and publish (in French and English) a better understanding of illegal, </w:t>
            </w:r>
            <w:proofErr w:type="gramStart"/>
            <w:r w:rsidRPr="00957F6D">
              <w:rPr>
                <w:rFonts w:ascii="Arial" w:hAnsi="Arial" w:cs="Arial"/>
                <w:spacing w:val="-2"/>
                <w:sz w:val="20"/>
                <w:szCs w:val="20"/>
                <w:lang w:eastAsia="en-GB"/>
              </w:rPr>
              <w:t>unreported</w:t>
            </w:r>
            <w:proofErr w:type="gramEnd"/>
            <w:r w:rsidRPr="00957F6D">
              <w:rPr>
                <w:rFonts w:ascii="Arial" w:hAnsi="Arial" w:cs="Arial"/>
                <w:spacing w:val="-2"/>
                <w:sz w:val="20"/>
                <w:szCs w:val="20"/>
                <w:lang w:eastAsia="en-GB"/>
              </w:rPr>
              <w:t xml:space="preserve"> and unregulated (IUU) and small-scale fishing fleets fishing in the region by distant water fleets in relation with to food security, and where this information is not available to highlight the need to gather this data</w:t>
            </w:r>
          </w:p>
        </w:tc>
        <w:tc>
          <w:tcPr>
            <w:tcW w:w="0" w:type="auto"/>
          </w:tcPr>
          <w:p w14:paraId="6B6E5E8C" w14:textId="77777777" w:rsidR="005B5C7D" w:rsidRPr="00957F6D" w:rsidRDefault="005B5C7D" w:rsidP="00957F6D">
            <w:pPr>
              <w:spacing w:before="40" w:after="40"/>
              <w:rPr>
                <w:rFonts w:ascii="Arial" w:hAnsi="Arial" w:cs="Arial"/>
                <w:spacing w:val="-2"/>
                <w:sz w:val="20"/>
                <w:szCs w:val="20"/>
                <w:lang w:eastAsia="en-GB"/>
              </w:rPr>
            </w:pPr>
            <w:r w:rsidRPr="00957F6D">
              <w:rPr>
                <w:rFonts w:ascii="Arial" w:hAnsi="Arial" w:cs="Arial"/>
                <w:spacing w:val="-2"/>
                <w:sz w:val="20"/>
                <w:szCs w:val="20"/>
                <w:lang w:eastAsia="en-GB"/>
              </w:rPr>
              <w:t>AWM WG closely involving West African research institutions</w:t>
            </w:r>
          </w:p>
        </w:tc>
        <w:tc>
          <w:tcPr>
            <w:tcW w:w="0" w:type="auto"/>
          </w:tcPr>
          <w:p w14:paraId="042E026C"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2025/2026</w:t>
            </w:r>
          </w:p>
        </w:tc>
        <w:tc>
          <w:tcPr>
            <w:tcW w:w="0" w:type="auto"/>
          </w:tcPr>
          <w:p w14:paraId="741F8987" w14:textId="77777777" w:rsidR="005B5C7D" w:rsidRPr="00957F6D" w:rsidRDefault="005B5C7D" w:rsidP="00957F6D">
            <w:pPr>
              <w:spacing w:before="40" w:after="40"/>
              <w:rPr>
                <w:rFonts w:ascii="Arial" w:hAnsi="Arial" w:cs="Arial"/>
                <w:spacing w:val="-2"/>
                <w:sz w:val="20"/>
                <w:szCs w:val="20"/>
                <w:lang w:eastAsia="en-GB"/>
              </w:rPr>
            </w:pPr>
            <w:r w:rsidRPr="00957F6D">
              <w:rPr>
                <w:rFonts w:ascii="Arial" w:hAnsi="Arial" w:cs="Arial"/>
                <w:spacing w:val="-2"/>
                <w:sz w:val="20"/>
                <w:szCs w:val="20"/>
                <w:lang w:eastAsia="en-GB"/>
              </w:rPr>
              <w:t>Desktop research and writing time, funding for field data collection and translation</w:t>
            </w:r>
          </w:p>
        </w:tc>
      </w:tr>
      <w:tr w:rsidR="000C6328" w:rsidRPr="00957F6D" w14:paraId="16160C57" w14:textId="77777777" w:rsidTr="00F15DB1">
        <w:tc>
          <w:tcPr>
            <w:tcW w:w="0" w:type="auto"/>
            <w:vMerge/>
          </w:tcPr>
          <w:p w14:paraId="0915D9DC" w14:textId="77777777" w:rsidR="005B5C7D" w:rsidRPr="00957F6D" w:rsidRDefault="005B5C7D" w:rsidP="00957F6D">
            <w:pPr>
              <w:spacing w:before="40" w:after="40"/>
              <w:rPr>
                <w:rFonts w:ascii="Arial" w:hAnsi="Arial" w:cs="Arial"/>
                <w:spacing w:val="-2"/>
                <w:sz w:val="20"/>
                <w:szCs w:val="20"/>
                <w:lang w:eastAsia="en-GB"/>
              </w:rPr>
            </w:pPr>
          </w:p>
        </w:tc>
        <w:tc>
          <w:tcPr>
            <w:tcW w:w="0" w:type="auto"/>
          </w:tcPr>
          <w:p w14:paraId="265389D7"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 xml:space="preserve">2.1.4. Prepare a briefing note on the vulnerability of the region aquatic ecosystems to the impacts of climate change and biodiversity loss </w:t>
            </w:r>
          </w:p>
        </w:tc>
        <w:tc>
          <w:tcPr>
            <w:tcW w:w="0" w:type="auto"/>
          </w:tcPr>
          <w:p w14:paraId="6DDBCA6E"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 xml:space="preserve">AWM WG in collaboration with CMS, CITES, Abidjan Convention, Ramsar, IUCN, and FAO Focal Points in each country (collating the entire body of knowledge) </w:t>
            </w:r>
          </w:p>
        </w:tc>
        <w:tc>
          <w:tcPr>
            <w:tcW w:w="0" w:type="auto"/>
          </w:tcPr>
          <w:p w14:paraId="23F1C92F"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2025</w:t>
            </w:r>
          </w:p>
        </w:tc>
        <w:tc>
          <w:tcPr>
            <w:tcW w:w="0" w:type="auto"/>
          </w:tcPr>
          <w:p w14:paraId="0DBFE738"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Desktop research writing, and translation time</w:t>
            </w:r>
          </w:p>
        </w:tc>
      </w:tr>
      <w:tr w:rsidR="000C6328" w:rsidRPr="00957F6D" w14:paraId="7C398CF7" w14:textId="77777777" w:rsidTr="00F15DB1">
        <w:tc>
          <w:tcPr>
            <w:tcW w:w="0" w:type="auto"/>
            <w:vMerge w:val="restart"/>
          </w:tcPr>
          <w:p w14:paraId="511AD597" w14:textId="471C276F"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 xml:space="preserve">2.2. Better understand the social, </w:t>
            </w:r>
            <w:proofErr w:type="gramStart"/>
            <w:r w:rsidRPr="00957F6D">
              <w:rPr>
                <w:rFonts w:ascii="Arial" w:hAnsi="Arial" w:cs="Arial"/>
                <w:spacing w:val="-2"/>
                <w:sz w:val="20"/>
                <w:szCs w:val="20"/>
                <w:lang w:eastAsia="en-GB"/>
              </w:rPr>
              <w:t>political</w:t>
            </w:r>
            <w:proofErr w:type="gramEnd"/>
            <w:r w:rsidRPr="00957F6D">
              <w:rPr>
                <w:rFonts w:ascii="Arial" w:hAnsi="Arial" w:cs="Arial"/>
                <w:spacing w:val="-2"/>
                <w:sz w:val="20"/>
                <w:szCs w:val="20"/>
                <w:lang w:eastAsia="en-GB"/>
              </w:rPr>
              <w:t xml:space="preserve"> and institutional drivers for </w:t>
            </w:r>
            <w:r w:rsidRPr="00957F6D">
              <w:rPr>
                <w:rFonts w:ascii="Arial" w:hAnsi="Arial" w:cs="Arial"/>
                <w:spacing w:val="-2"/>
                <w:sz w:val="20"/>
                <w:szCs w:val="20"/>
                <w:lang w:eastAsia="en-GB"/>
              </w:rPr>
              <w:lastRenderedPageBreak/>
              <w:t>illegal aquatic wild meat harvesting in the region</w:t>
            </w:r>
          </w:p>
        </w:tc>
        <w:tc>
          <w:tcPr>
            <w:tcW w:w="0" w:type="auto"/>
          </w:tcPr>
          <w:p w14:paraId="0D80F0C1"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lastRenderedPageBreak/>
              <w:t xml:space="preserve">2.2.1. Prepare a briefing note, per country, on the socio-ecological systems across the region with </w:t>
            </w:r>
            <w:r w:rsidRPr="00957F6D">
              <w:rPr>
                <w:rFonts w:ascii="Arial" w:hAnsi="Arial" w:cs="Arial"/>
                <w:spacing w:val="-2"/>
                <w:sz w:val="20"/>
                <w:szCs w:val="20"/>
                <w:lang w:eastAsia="en-GB"/>
              </w:rPr>
              <w:lastRenderedPageBreak/>
              <w:t xml:space="preserve">focus on traditional wildlife management and governance </w:t>
            </w:r>
          </w:p>
        </w:tc>
        <w:tc>
          <w:tcPr>
            <w:tcW w:w="0" w:type="auto"/>
          </w:tcPr>
          <w:p w14:paraId="26A0C8FF"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lastRenderedPageBreak/>
              <w:t>CMS Focal Points with the support of civil society and research institutions</w:t>
            </w:r>
          </w:p>
        </w:tc>
        <w:tc>
          <w:tcPr>
            <w:tcW w:w="0" w:type="auto"/>
          </w:tcPr>
          <w:p w14:paraId="014BB0EA"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2026</w:t>
            </w:r>
          </w:p>
        </w:tc>
        <w:tc>
          <w:tcPr>
            <w:tcW w:w="0" w:type="auto"/>
          </w:tcPr>
          <w:p w14:paraId="4FCE9F0E"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Funding for complimentary data collection</w:t>
            </w:r>
          </w:p>
          <w:p w14:paraId="44B8AFB5"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lastRenderedPageBreak/>
              <w:t>Desktop research, writing, and translation time</w:t>
            </w:r>
          </w:p>
        </w:tc>
      </w:tr>
      <w:tr w:rsidR="000C6328" w:rsidRPr="00957F6D" w14:paraId="490302C7" w14:textId="77777777" w:rsidTr="00F15DB1">
        <w:tc>
          <w:tcPr>
            <w:tcW w:w="0" w:type="auto"/>
            <w:vMerge/>
          </w:tcPr>
          <w:p w14:paraId="5A99AD29" w14:textId="77777777" w:rsidR="005B5C7D" w:rsidRPr="00957F6D" w:rsidRDefault="005B5C7D" w:rsidP="00957F6D">
            <w:pPr>
              <w:spacing w:before="40" w:after="40"/>
              <w:rPr>
                <w:rFonts w:ascii="Arial" w:hAnsi="Arial" w:cs="Arial"/>
                <w:spacing w:val="-2"/>
                <w:sz w:val="20"/>
                <w:szCs w:val="20"/>
                <w:lang w:eastAsia="en-GB"/>
              </w:rPr>
            </w:pPr>
          </w:p>
        </w:tc>
        <w:tc>
          <w:tcPr>
            <w:tcW w:w="0" w:type="auto"/>
          </w:tcPr>
          <w:p w14:paraId="5494E632"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 xml:space="preserve">2.2.2. Prepare a briefing note on the demographic trends as consequence of human population growth and internal human migrations </w:t>
            </w:r>
          </w:p>
        </w:tc>
        <w:tc>
          <w:tcPr>
            <w:tcW w:w="0" w:type="auto"/>
          </w:tcPr>
          <w:p w14:paraId="6F4FE002"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CMS, CITES, Abidjan Convention, Ramsar, IUCN, and FAO Focal Points with the support of civil society and research institutions</w:t>
            </w:r>
          </w:p>
        </w:tc>
        <w:tc>
          <w:tcPr>
            <w:tcW w:w="0" w:type="auto"/>
          </w:tcPr>
          <w:p w14:paraId="66519061"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2026</w:t>
            </w:r>
          </w:p>
        </w:tc>
        <w:tc>
          <w:tcPr>
            <w:tcW w:w="0" w:type="auto"/>
          </w:tcPr>
          <w:p w14:paraId="621CC98E"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Funding for complimentary data collection</w:t>
            </w:r>
          </w:p>
          <w:p w14:paraId="056D3125"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Desktop research, writing, and translation time</w:t>
            </w:r>
          </w:p>
        </w:tc>
      </w:tr>
      <w:tr w:rsidR="000C6328" w:rsidRPr="00957F6D" w14:paraId="6987DA2E" w14:textId="77777777" w:rsidTr="00F15DB1">
        <w:tc>
          <w:tcPr>
            <w:tcW w:w="0" w:type="auto"/>
            <w:vMerge w:val="restart"/>
          </w:tcPr>
          <w:p w14:paraId="418EA650" w14:textId="496F457F" w:rsidR="005B5C7D" w:rsidRPr="00957F6D" w:rsidRDefault="005B5C7D" w:rsidP="00957F6D">
            <w:pPr>
              <w:spacing w:before="40" w:after="40"/>
              <w:rPr>
                <w:rFonts w:ascii="Arial" w:hAnsi="Arial" w:cs="Arial"/>
                <w:spacing w:val="-2"/>
                <w:sz w:val="20"/>
                <w:szCs w:val="20"/>
                <w:lang w:eastAsia="en-GB"/>
              </w:rPr>
            </w:pPr>
            <w:r w:rsidRPr="00957F6D">
              <w:rPr>
                <w:rFonts w:ascii="Arial" w:hAnsi="Arial" w:cs="Arial"/>
                <w:spacing w:val="-2"/>
                <w:sz w:val="20"/>
                <w:szCs w:val="20"/>
                <w:lang w:eastAsia="en-GB"/>
              </w:rPr>
              <w:t>2.3. Disseminate core information to policy makers, fisheries agencies, and wildlife managers across the region</w:t>
            </w:r>
          </w:p>
        </w:tc>
        <w:tc>
          <w:tcPr>
            <w:tcW w:w="0" w:type="auto"/>
          </w:tcPr>
          <w:p w14:paraId="188F24AE" w14:textId="78C1E3A5"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2.3.1 Develop a strategy for the dissemination of the information generated as part of actions 1</w:t>
            </w:r>
            <w:r w:rsidR="00E01E68" w:rsidRPr="00957F6D">
              <w:rPr>
                <w:rFonts w:ascii="Arial" w:hAnsi="Arial" w:cs="Arial"/>
                <w:spacing w:val="-2"/>
                <w:sz w:val="20"/>
                <w:szCs w:val="20"/>
                <w:lang w:eastAsia="en-GB"/>
              </w:rPr>
              <w:t>.1</w:t>
            </w:r>
            <w:r w:rsidRPr="00957F6D">
              <w:rPr>
                <w:rFonts w:ascii="Arial" w:hAnsi="Arial" w:cs="Arial"/>
                <w:spacing w:val="-2"/>
                <w:sz w:val="20"/>
                <w:szCs w:val="20"/>
                <w:lang w:eastAsia="en-GB"/>
              </w:rPr>
              <w:t xml:space="preserve">, </w:t>
            </w:r>
            <w:r w:rsidR="00D129FC" w:rsidRPr="00957F6D">
              <w:rPr>
                <w:rFonts w:ascii="Arial" w:hAnsi="Arial" w:cs="Arial"/>
                <w:spacing w:val="-2"/>
                <w:sz w:val="20"/>
                <w:szCs w:val="20"/>
                <w:lang w:eastAsia="en-GB"/>
              </w:rPr>
              <w:t>1.2</w:t>
            </w:r>
            <w:r w:rsidRPr="00957F6D">
              <w:rPr>
                <w:rFonts w:ascii="Arial" w:hAnsi="Arial" w:cs="Arial"/>
                <w:spacing w:val="-2"/>
                <w:sz w:val="20"/>
                <w:szCs w:val="20"/>
                <w:lang w:eastAsia="en-GB"/>
              </w:rPr>
              <w:t xml:space="preserve">, </w:t>
            </w:r>
            <w:r w:rsidR="00D129FC" w:rsidRPr="00957F6D">
              <w:rPr>
                <w:rFonts w:ascii="Arial" w:hAnsi="Arial" w:cs="Arial"/>
                <w:spacing w:val="-2"/>
                <w:sz w:val="20"/>
                <w:szCs w:val="20"/>
                <w:lang w:eastAsia="en-GB"/>
              </w:rPr>
              <w:t>2.1</w:t>
            </w:r>
            <w:r w:rsidRPr="00957F6D">
              <w:rPr>
                <w:rFonts w:ascii="Arial" w:hAnsi="Arial" w:cs="Arial"/>
                <w:spacing w:val="-2"/>
                <w:sz w:val="20"/>
                <w:szCs w:val="20"/>
                <w:lang w:eastAsia="en-GB"/>
              </w:rPr>
              <w:t xml:space="preserve"> and </w:t>
            </w:r>
            <w:r w:rsidR="00D129FC" w:rsidRPr="00957F6D">
              <w:rPr>
                <w:rFonts w:ascii="Arial" w:hAnsi="Arial" w:cs="Arial"/>
                <w:spacing w:val="-2"/>
                <w:sz w:val="20"/>
                <w:szCs w:val="20"/>
                <w:lang w:eastAsia="en-GB"/>
              </w:rPr>
              <w:t>2.2</w:t>
            </w:r>
            <w:r w:rsidRPr="00957F6D">
              <w:rPr>
                <w:rFonts w:ascii="Arial" w:hAnsi="Arial" w:cs="Arial"/>
                <w:spacing w:val="-2"/>
                <w:sz w:val="20"/>
                <w:szCs w:val="20"/>
                <w:lang w:eastAsia="en-GB"/>
              </w:rPr>
              <w:t xml:space="preserve"> (local, regional, national etc.)</w:t>
            </w:r>
          </w:p>
        </w:tc>
        <w:tc>
          <w:tcPr>
            <w:tcW w:w="0" w:type="auto"/>
          </w:tcPr>
          <w:p w14:paraId="467EE3FA"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AWM WG in collaboration with CMS, CITES, Abidjan Convention, Ramsar, IUCN and FAO Focal Points</w:t>
            </w:r>
          </w:p>
        </w:tc>
        <w:tc>
          <w:tcPr>
            <w:tcW w:w="0" w:type="auto"/>
          </w:tcPr>
          <w:p w14:paraId="0CFCD394"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2024</w:t>
            </w:r>
          </w:p>
        </w:tc>
        <w:tc>
          <w:tcPr>
            <w:tcW w:w="0" w:type="auto"/>
          </w:tcPr>
          <w:p w14:paraId="5A4D7B81"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Funding for regional resourcing of the strategy (for both the AWM WG and also national Focal Points)</w:t>
            </w:r>
          </w:p>
        </w:tc>
      </w:tr>
      <w:tr w:rsidR="000C6328" w:rsidRPr="00957F6D" w14:paraId="511B6D27" w14:textId="77777777" w:rsidTr="00F15DB1">
        <w:tc>
          <w:tcPr>
            <w:tcW w:w="0" w:type="auto"/>
            <w:vMerge/>
          </w:tcPr>
          <w:p w14:paraId="559F29EF" w14:textId="77777777" w:rsidR="005B5C7D" w:rsidRPr="00957F6D" w:rsidRDefault="005B5C7D" w:rsidP="00957F6D">
            <w:pPr>
              <w:spacing w:before="40" w:after="40"/>
              <w:rPr>
                <w:rFonts w:ascii="Arial" w:hAnsi="Arial" w:cs="Arial"/>
                <w:spacing w:val="-2"/>
                <w:sz w:val="20"/>
                <w:szCs w:val="20"/>
                <w:lang w:eastAsia="en-GB"/>
              </w:rPr>
            </w:pPr>
          </w:p>
        </w:tc>
        <w:tc>
          <w:tcPr>
            <w:tcW w:w="0" w:type="auto"/>
          </w:tcPr>
          <w:p w14:paraId="5618A1DF"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2.3.2 Develop a fundraising strategy to support the dissemination strategy, targeting and working with donors and funders (GEF, African Development Bank etc.) and coordinate with relevant regional strategies (such as the ECOWAS West African Strategy for Wildlife Crime)</w:t>
            </w:r>
          </w:p>
        </w:tc>
        <w:tc>
          <w:tcPr>
            <w:tcW w:w="0" w:type="auto"/>
          </w:tcPr>
          <w:p w14:paraId="0A06BF02"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CMS Secretariat, where appropriate in collaboration with the ECOWAS Secretariat</w:t>
            </w:r>
          </w:p>
        </w:tc>
        <w:tc>
          <w:tcPr>
            <w:tcW w:w="0" w:type="auto"/>
          </w:tcPr>
          <w:p w14:paraId="3FDA5EC8"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2024</w:t>
            </w:r>
          </w:p>
        </w:tc>
        <w:tc>
          <w:tcPr>
            <w:tcW w:w="0" w:type="auto"/>
          </w:tcPr>
          <w:p w14:paraId="3772FB32"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Funding for regional resourcing of the strategy (for both the AWM WG and also national Focal Points)</w:t>
            </w:r>
          </w:p>
        </w:tc>
      </w:tr>
      <w:tr w:rsidR="000C6328" w:rsidRPr="00957F6D" w14:paraId="6E2EF727" w14:textId="77777777" w:rsidTr="00F15DB1">
        <w:tc>
          <w:tcPr>
            <w:tcW w:w="0" w:type="auto"/>
            <w:vMerge/>
          </w:tcPr>
          <w:p w14:paraId="048D94F7" w14:textId="77777777" w:rsidR="005B5C7D" w:rsidRPr="00957F6D" w:rsidRDefault="005B5C7D" w:rsidP="00957F6D">
            <w:pPr>
              <w:spacing w:before="40" w:after="40"/>
              <w:rPr>
                <w:rFonts w:ascii="Arial" w:hAnsi="Arial" w:cs="Arial"/>
                <w:spacing w:val="-2"/>
                <w:sz w:val="20"/>
                <w:szCs w:val="20"/>
                <w:lang w:eastAsia="en-GB"/>
              </w:rPr>
            </w:pPr>
          </w:p>
        </w:tc>
        <w:tc>
          <w:tcPr>
            <w:tcW w:w="0" w:type="auto"/>
          </w:tcPr>
          <w:p w14:paraId="46987F1A" w14:textId="4B0CB692"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 xml:space="preserve">2.3.3 Gather the summary and published information generated as part of actions </w:t>
            </w:r>
            <w:r w:rsidR="006237BA" w:rsidRPr="00957F6D">
              <w:rPr>
                <w:rFonts w:ascii="Arial" w:hAnsi="Arial" w:cs="Arial"/>
                <w:spacing w:val="-2"/>
                <w:sz w:val="20"/>
                <w:szCs w:val="20"/>
                <w:lang w:eastAsia="en-GB"/>
              </w:rPr>
              <w:t>1.1, 1.2, 2.1 and 2.2</w:t>
            </w:r>
            <w:r w:rsidRPr="00957F6D">
              <w:rPr>
                <w:rFonts w:ascii="Arial" w:hAnsi="Arial" w:cs="Arial"/>
                <w:spacing w:val="-2"/>
                <w:sz w:val="20"/>
                <w:szCs w:val="20"/>
                <w:lang w:eastAsia="en-GB"/>
              </w:rPr>
              <w:t>, summarise into appropriate formats for different audiences and distribute to national fisheries and wildlife institutions across the region (as defined in the strategy @2.3.1). Generate funding proposals to support the Focal Points to increase regional capacity</w:t>
            </w:r>
          </w:p>
        </w:tc>
        <w:tc>
          <w:tcPr>
            <w:tcW w:w="0" w:type="auto"/>
          </w:tcPr>
          <w:p w14:paraId="6350EB33"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AWM WG in collaboration with CMS Focal Points and other institutions and actors (NGOs etc.) to be determined in the strategy itself</w:t>
            </w:r>
          </w:p>
        </w:tc>
        <w:tc>
          <w:tcPr>
            <w:tcW w:w="0" w:type="auto"/>
          </w:tcPr>
          <w:p w14:paraId="325BECCE"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2026 aiming for CMS COP probably in 2026</w:t>
            </w:r>
          </w:p>
        </w:tc>
        <w:tc>
          <w:tcPr>
            <w:tcW w:w="0" w:type="auto"/>
          </w:tcPr>
          <w:p w14:paraId="0B98562F" w14:textId="77777777" w:rsidR="005B5C7D" w:rsidRPr="00957F6D" w:rsidRDefault="005B5C7D" w:rsidP="00957F6D">
            <w:pPr>
              <w:numPr>
                <w:ilvl w:val="0"/>
                <w:numId w:val="15"/>
              </w:numPr>
              <w:spacing w:before="40" w:after="40"/>
              <w:rPr>
                <w:rFonts w:ascii="Arial" w:hAnsi="Arial" w:cs="Arial"/>
                <w:spacing w:val="-2"/>
                <w:sz w:val="20"/>
                <w:szCs w:val="20"/>
                <w:lang w:eastAsia="en-GB"/>
              </w:rPr>
            </w:pPr>
            <w:r w:rsidRPr="00957F6D">
              <w:rPr>
                <w:rFonts w:ascii="Arial" w:hAnsi="Arial" w:cs="Arial"/>
                <w:spacing w:val="-2"/>
                <w:sz w:val="20"/>
                <w:szCs w:val="20"/>
                <w:lang w:eastAsia="en-GB"/>
              </w:rPr>
              <w:t>Funding for regional resourcing of the strategy (for both the AWM WG and also national Focal Points)</w:t>
            </w:r>
          </w:p>
        </w:tc>
      </w:tr>
    </w:tbl>
    <w:p w14:paraId="394B8656" w14:textId="77777777" w:rsidR="006758A3" w:rsidRPr="00957F6D" w:rsidRDefault="006758A3" w:rsidP="00957F6D">
      <w:pPr>
        <w:spacing w:before="40" w:after="40"/>
        <w:rPr>
          <w:rFonts w:cs="Arial"/>
          <w:sz w:val="20"/>
          <w:szCs w:val="20"/>
        </w:rPr>
      </w:pPr>
    </w:p>
    <w:p w14:paraId="2A1CCD9E" w14:textId="2D2A5D37" w:rsidR="00957F6D" w:rsidRDefault="00957F6D" w:rsidP="00957F6D">
      <w:pPr>
        <w:spacing w:before="40" w:after="40"/>
        <w:rPr>
          <w:rFonts w:cs="Arial"/>
          <w:sz w:val="20"/>
          <w:szCs w:val="20"/>
        </w:rPr>
      </w:pPr>
      <w:r>
        <w:rPr>
          <w:rFonts w:cs="Arial"/>
          <w:sz w:val="20"/>
          <w:szCs w:val="20"/>
        </w:rPr>
        <w:br w:type="page"/>
      </w:r>
    </w:p>
    <w:p w14:paraId="4D46D85A" w14:textId="77777777" w:rsidR="005B5C7D" w:rsidRPr="00957F6D" w:rsidRDefault="005B5C7D" w:rsidP="00957F6D">
      <w:pPr>
        <w:spacing w:before="40" w:after="40"/>
        <w:rPr>
          <w:rFonts w:cs="Arial"/>
        </w:rPr>
      </w:pPr>
    </w:p>
    <w:p w14:paraId="2786350B" w14:textId="77777777" w:rsidR="00D20A8C" w:rsidRPr="00957F6D" w:rsidRDefault="00E16720" w:rsidP="00957F6D">
      <w:pPr>
        <w:pStyle w:val="Heading3"/>
        <w:spacing w:before="40" w:after="40"/>
        <w:jc w:val="center"/>
        <w:rPr>
          <w:rFonts w:ascii="Arial" w:hAnsi="Arial" w:cs="Arial"/>
          <w:sz w:val="22"/>
          <w:szCs w:val="22"/>
          <w:lang w:val="en-GB"/>
        </w:rPr>
      </w:pPr>
      <w:r w:rsidRPr="00957F6D">
        <w:rPr>
          <w:rFonts w:ascii="Arial" w:hAnsi="Arial" w:cs="Arial"/>
          <w:sz w:val="22"/>
          <w:szCs w:val="22"/>
          <w:lang w:val="en-GB"/>
        </w:rPr>
        <w:t xml:space="preserve">Theme 3: </w:t>
      </w:r>
    </w:p>
    <w:p w14:paraId="67573DA6" w14:textId="3E4183BC" w:rsidR="00E16720" w:rsidRPr="00957F6D" w:rsidRDefault="00B143C0" w:rsidP="00957F6D">
      <w:pPr>
        <w:pStyle w:val="Heading3"/>
        <w:spacing w:before="40" w:after="40"/>
        <w:jc w:val="center"/>
        <w:rPr>
          <w:rFonts w:ascii="Arial" w:hAnsi="Arial" w:cs="Arial"/>
          <w:sz w:val="22"/>
          <w:szCs w:val="22"/>
          <w:lang w:val="en-GB"/>
        </w:rPr>
      </w:pPr>
      <w:r w:rsidRPr="00957F6D">
        <w:rPr>
          <w:rFonts w:ascii="Arial" w:hAnsi="Arial" w:cs="Arial"/>
          <w:sz w:val="22"/>
          <w:szCs w:val="22"/>
          <w:lang w:val="en-GB"/>
        </w:rPr>
        <w:t>Understanding the intersection between fisheries and environment (domestic and international) and creating stronger linkages</w:t>
      </w:r>
    </w:p>
    <w:p w14:paraId="38435A9E" w14:textId="77777777" w:rsidR="00E207C7" w:rsidRPr="000C6328" w:rsidRDefault="00E207C7" w:rsidP="006563FE">
      <w:pPr>
        <w:numPr>
          <w:ilvl w:val="0"/>
          <w:numId w:val="8"/>
        </w:numPr>
        <w:jc w:val="both"/>
        <w:rPr>
          <w:rFonts w:cs="Arial"/>
        </w:rPr>
      </w:pPr>
    </w:p>
    <w:p w14:paraId="249F3DED" w14:textId="332B7DF0" w:rsidR="00E16720" w:rsidRPr="000C6328" w:rsidRDefault="009F300C" w:rsidP="006563FE">
      <w:pPr>
        <w:numPr>
          <w:ilvl w:val="0"/>
          <w:numId w:val="8"/>
        </w:numPr>
        <w:jc w:val="both"/>
        <w:rPr>
          <w:rFonts w:cs="Arial"/>
          <w:szCs w:val="20"/>
        </w:rPr>
      </w:pPr>
      <w:r w:rsidRPr="000C6328">
        <w:rPr>
          <w:rFonts w:cs="Arial"/>
        </w:rPr>
        <w:t>Aquatic wild meat has often been overlooked because it has not been understood to be either the mandate of fisheries or environment, yet it is both. The complexities of fisheries drivers in particular make it critical that deeper understanding of both the region’s aquatic faunal biodiversity as well as the inconsistencies of management are developed across agencies.</w:t>
      </w:r>
    </w:p>
    <w:p w14:paraId="31734852" w14:textId="77777777" w:rsidR="009F300C" w:rsidRPr="000C6328" w:rsidRDefault="009F300C" w:rsidP="006563FE">
      <w:pPr>
        <w:numPr>
          <w:ilvl w:val="0"/>
          <w:numId w:val="8"/>
        </w:numPr>
        <w:jc w:val="both"/>
        <w:rPr>
          <w:rFonts w:cs="Arial"/>
          <w:szCs w:val="20"/>
        </w:rPr>
      </w:pPr>
    </w:p>
    <w:p w14:paraId="03E006DA" w14:textId="77777777" w:rsidR="00547130" w:rsidRPr="000C6328" w:rsidRDefault="00547130" w:rsidP="00547130">
      <w:pPr>
        <w:numPr>
          <w:ilvl w:val="0"/>
          <w:numId w:val="15"/>
        </w:numPr>
        <w:suppressAutoHyphens w:val="0"/>
        <w:jc w:val="both"/>
        <w:rPr>
          <w:rFonts w:cs="Arial"/>
          <w:spacing w:val="-2"/>
          <w:lang w:eastAsia="en-GB"/>
        </w:rPr>
      </w:pPr>
      <w:r w:rsidRPr="000C6328">
        <w:rPr>
          <w:rFonts w:cs="Arial"/>
          <w:spacing w:val="-2"/>
          <w:lang w:eastAsia="en-GB"/>
        </w:rPr>
        <w:t xml:space="preserve">5-year theme goal: </w:t>
      </w:r>
      <w:r w:rsidRPr="000C6328">
        <w:rPr>
          <w:rFonts w:cs="Arial"/>
          <w:b/>
          <w:bCs/>
          <w:spacing w:val="-2"/>
          <w:lang w:eastAsia="en-GB"/>
        </w:rPr>
        <w:t>To develop a deeper understand of the region’s importance in the world, address the inconsistencies of management, and the opportunities for synergies and better management</w:t>
      </w:r>
    </w:p>
    <w:p w14:paraId="7D80D847" w14:textId="77777777" w:rsidR="00E16720" w:rsidRPr="000C6328" w:rsidRDefault="00E16720" w:rsidP="006563FE">
      <w:pPr>
        <w:numPr>
          <w:ilvl w:val="0"/>
          <w:numId w:val="8"/>
        </w:numPr>
        <w:jc w:val="both"/>
        <w:rPr>
          <w:rFonts w:cs="Arial"/>
        </w:rPr>
      </w:pPr>
    </w:p>
    <w:tbl>
      <w:tblPr>
        <w:tblStyle w:val="TableGrid"/>
        <w:tblW w:w="0" w:type="auto"/>
        <w:tblLook w:val="0000" w:firstRow="0" w:lastRow="0" w:firstColumn="0" w:lastColumn="0" w:noHBand="0" w:noVBand="0"/>
      </w:tblPr>
      <w:tblGrid>
        <w:gridCol w:w="2743"/>
        <w:gridCol w:w="5563"/>
        <w:gridCol w:w="3215"/>
        <w:gridCol w:w="819"/>
        <w:gridCol w:w="1608"/>
      </w:tblGrid>
      <w:tr w:rsidR="000C6328" w:rsidRPr="00957F6D" w14:paraId="7B30D94C" w14:textId="77777777" w:rsidTr="00D65B16">
        <w:trPr>
          <w:tblHeader/>
        </w:trPr>
        <w:tc>
          <w:tcPr>
            <w:tcW w:w="0" w:type="auto"/>
            <w:shd w:val="clear" w:color="auto" w:fill="DEEAF6" w:themeFill="accent5" w:themeFillTint="33"/>
          </w:tcPr>
          <w:p w14:paraId="22AC94A1" w14:textId="77777777" w:rsidR="00D65B16" w:rsidRPr="00957F6D" w:rsidRDefault="00D65B16" w:rsidP="00957F6D">
            <w:pPr>
              <w:numPr>
                <w:ilvl w:val="0"/>
                <w:numId w:val="15"/>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Action</w:t>
            </w:r>
          </w:p>
        </w:tc>
        <w:tc>
          <w:tcPr>
            <w:tcW w:w="0" w:type="auto"/>
            <w:shd w:val="clear" w:color="auto" w:fill="DEEAF6" w:themeFill="accent5" w:themeFillTint="33"/>
          </w:tcPr>
          <w:p w14:paraId="51CEB004" w14:textId="77777777" w:rsidR="00D65B16" w:rsidRPr="00957F6D" w:rsidRDefault="00D65B16" w:rsidP="00957F6D">
            <w:pPr>
              <w:numPr>
                <w:ilvl w:val="0"/>
                <w:numId w:val="15"/>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Activities</w:t>
            </w:r>
          </w:p>
        </w:tc>
        <w:tc>
          <w:tcPr>
            <w:tcW w:w="0" w:type="auto"/>
            <w:shd w:val="clear" w:color="auto" w:fill="DEEAF6" w:themeFill="accent5" w:themeFillTint="33"/>
          </w:tcPr>
          <w:p w14:paraId="014366E5" w14:textId="77777777" w:rsidR="00D65B16" w:rsidRPr="00957F6D" w:rsidRDefault="00D65B16" w:rsidP="00957F6D">
            <w:pPr>
              <w:numPr>
                <w:ilvl w:val="0"/>
                <w:numId w:val="15"/>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Responsibility</w:t>
            </w:r>
          </w:p>
        </w:tc>
        <w:tc>
          <w:tcPr>
            <w:tcW w:w="0" w:type="auto"/>
            <w:shd w:val="clear" w:color="auto" w:fill="DEEAF6" w:themeFill="accent5" w:themeFillTint="33"/>
          </w:tcPr>
          <w:p w14:paraId="11CEFFB7" w14:textId="77777777" w:rsidR="00D65B16" w:rsidRPr="00957F6D" w:rsidRDefault="00D65B16" w:rsidP="00957F6D">
            <w:pPr>
              <w:numPr>
                <w:ilvl w:val="0"/>
                <w:numId w:val="15"/>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Time frame</w:t>
            </w:r>
          </w:p>
        </w:tc>
        <w:tc>
          <w:tcPr>
            <w:tcW w:w="0" w:type="auto"/>
            <w:shd w:val="clear" w:color="auto" w:fill="DEEAF6" w:themeFill="accent5" w:themeFillTint="33"/>
          </w:tcPr>
          <w:p w14:paraId="4D34BC83" w14:textId="77777777" w:rsidR="00D65B16" w:rsidRPr="00957F6D" w:rsidRDefault="00D65B16" w:rsidP="00957F6D">
            <w:pPr>
              <w:numPr>
                <w:ilvl w:val="0"/>
                <w:numId w:val="15"/>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Resources needed</w:t>
            </w:r>
          </w:p>
        </w:tc>
      </w:tr>
      <w:tr w:rsidR="000C6328" w:rsidRPr="00957F6D" w14:paraId="47B8ADE3" w14:textId="77777777" w:rsidTr="00F15DB1">
        <w:tc>
          <w:tcPr>
            <w:tcW w:w="0" w:type="auto"/>
            <w:vMerge w:val="restart"/>
          </w:tcPr>
          <w:p w14:paraId="266AC317" w14:textId="5188FD2C"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3.1. Assess the regional potential to address global aquatic faunal biodiversity loss </w:t>
            </w:r>
          </w:p>
        </w:tc>
        <w:tc>
          <w:tcPr>
            <w:tcW w:w="0" w:type="auto"/>
          </w:tcPr>
          <w:p w14:paraId="68CB1541" w14:textId="3DF92F0C"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3.1.1. Drawing on the information provided in actions 1</w:t>
            </w:r>
            <w:r w:rsidR="00A1350C" w:rsidRPr="00957F6D">
              <w:rPr>
                <w:rFonts w:ascii="Arial" w:eastAsia="Calibri" w:hAnsi="Arial" w:cs="Arial"/>
                <w:spacing w:val="-2"/>
                <w:sz w:val="20"/>
                <w:szCs w:val="20"/>
                <w:lang w:eastAsia="en-GB"/>
              </w:rPr>
              <w:t>.1</w:t>
            </w:r>
            <w:r w:rsidRPr="00957F6D">
              <w:rPr>
                <w:rFonts w:ascii="Arial" w:eastAsia="Calibri" w:hAnsi="Arial" w:cs="Arial"/>
                <w:spacing w:val="-2"/>
                <w:sz w:val="20"/>
                <w:szCs w:val="20"/>
                <w:lang w:eastAsia="en-GB"/>
              </w:rPr>
              <w:t xml:space="preserve"> and </w:t>
            </w:r>
            <w:r w:rsidR="00A1350C" w:rsidRPr="00957F6D">
              <w:rPr>
                <w:rFonts w:ascii="Arial" w:eastAsia="Calibri" w:hAnsi="Arial" w:cs="Arial"/>
                <w:spacing w:val="-2"/>
                <w:sz w:val="20"/>
                <w:szCs w:val="20"/>
                <w:lang w:eastAsia="en-GB"/>
              </w:rPr>
              <w:t>2.3</w:t>
            </w:r>
            <w:r w:rsidRPr="00957F6D">
              <w:rPr>
                <w:rFonts w:ascii="Arial" w:eastAsia="Calibri" w:hAnsi="Arial" w:cs="Arial"/>
                <w:spacing w:val="-2"/>
                <w:sz w:val="20"/>
                <w:szCs w:val="20"/>
                <w:lang w:eastAsia="en-GB"/>
              </w:rPr>
              <w:t>, research further and create a three-page summary of the richness of the aquatic faunal biodiversity and fish stocks, the importance of both elements for food security and economic stability, and the role West African’s aquatic ecosystems play in a broader ecological context, while also making important linkages to international conventions (CITES, CBD, etc.)</w:t>
            </w:r>
          </w:p>
        </w:tc>
        <w:tc>
          <w:tcPr>
            <w:tcW w:w="0" w:type="auto"/>
          </w:tcPr>
          <w:p w14:paraId="51FB5EE4"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AWM WG and regional research and academic institutions, as well as technical institutions in charge of management of aquatic faunal biodiversity and fisheries</w:t>
            </w:r>
          </w:p>
        </w:tc>
        <w:tc>
          <w:tcPr>
            <w:tcW w:w="0" w:type="auto"/>
          </w:tcPr>
          <w:p w14:paraId="33742978"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2025</w:t>
            </w:r>
          </w:p>
        </w:tc>
        <w:tc>
          <w:tcPr>
            <w:tcW w:w="0" w:type="auto"/>
          </w:tcPr>
          <w:p w14:paraId="0A67B5DE"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Desktop research and writing time</w:t>
            </w:r>
          </w:p>
        </w:tc>
      </w:tr>
      <w:tr w:rsidR="000C6328" w:rsidRPr="00957F6D" w14:paraId="2FB0B974" w14:textId="77777777" w:rsidTr="00F15DB1">
        <w:tc>
          <w:tcPr>
            <w:tcW w:w="0" w:type="auto"/>
            <w:vMerge/>
          </w:tcPr>
          <w:p w14:paraId="7208EAA3" w14:textId="77777777" w:rsidR="00D65B16" w:rsidRPr="00957F6D" w:rsidRDefault="00D65B16" w:rsidP="00957F6D">
            <w:pPr>
              <w:spacing w:before="40" w:after="40"/>
              <w:rPr>
                <w:rFonts w:ascii="Arial" w:eastAsia="Calibri" w:hAnsi="Arial" w:cs="Arial"/>
                <w:spacing w:val="-2"/>
                <w:sz w:val="20"/>
                <w:szCs w:val="20"/>
                <w:lang w:eastAsia="en-GB"/>
              </w:rPr>
            </w:pPr>
          </w:p>
        </w:tc>
        <w:tc>
          <w:tcPr>
            <w:tcW w:w="0" w:type="auto"/>
          </w:tcPr>
          <w:p w14:paraId="5B1E6BBF"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3.1.2. Develop a briefing note of different international, </w:t>
            </w:r>
            <w:proofErr w:type="gramStart"/>
            <w:r w:rsidRPr="00957F6D">
              <w:rPr>
                <w:rFonts w:ascii="Arial" w:eastAsia="Calibri" w:hAnsi="Arial" w:cs="Arial"/>
                <w:spacing w:val="-2"/>
                <w:sz w:val="20"/>
                <w:szCs w:val="20"/>
                <w:lang w:eastAsia="en-GB"/>
              </w:rPr>
              <w:t>regional</w:t>
            </w:r>
            <w:proofErr w:type="gramEnd"/>
            <w:r w:rsidRPr="00957F6D">
              <w:rPr>
                <w:rFonts w:ascii="Arial" w:eastAsia="Calibri" w:hAnsi="Arial" w:cs="Arial"/>
                <w:spacing w:val="-2"/>
                <w:sz w:val="20"/>
                <w:szCs w:val="20"/>
                <w:lang w:eastAsia="en-GB"/>
              </w:rPr>
              <w:t xml:space="preserve"> and domestic agencies, and relevant NGOs, with focus on environment (ECOWAS, AU, ADB, FAO etc.), and identify inconsistencies</w:t>
            </w:r>
          </w:p>
        </w:tc>
        <w:tc>
          <w:tcPr>
            <w:tcW w:w="0" w:type="auto"/>
          </w:tcPr>
          <w:p w14:paraId="39185408"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AWM WG in collaboration with CMS, CITES, Abidjan Convention, Ramsar, IUCN, and FAO Focal Points</w:t>
            </w:r>
          </w:p>
        </w:tc>
        <w:tc>
          <w:tcPr>
            <w:tcW w:w="0" w:type="auto"/>
          </w:tcPr>
          <w:p w14:paraId="755C81FB"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2024</w:t>
            </w:r>
          </w:p>
        </w:tc>
        <w:tc>
          <w:tcPr>
            <w:tcW w:w="0" w:type="auto"/>
          </w:tcPr>
          <w:p w14:paraId="78F37A88"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Desktop research and writing time</w:t>
            </w:r>
          </w:p>
        </w:tc>
      </w:tr>
      <w:tr w:rsidR="000C6328" w:rsidRPr="00957F6D" w14:paraId="7BB53C0D" w14:textId="77777777" w:rsidTr="00F15DB1">
        <w:tc>
          <w:tcPr>
            <w:tcW w:w="0" w:type="auto"/>
            <w:vMerge/>
          </w:tcPr>
          <w:p w14:paraId="6EB77D5B" w14:textId="77777777" w:rsidR="00D65B16" w:rsidRPr="00957F6D" w:rsidRDefault="00D65B16" w:rsidP="00957F6D">
            <w:pPr>
              <w:spacing w:before="40" w:after="40"/>
              <w:rPr>
                <w:rFonts w:ascii="Arial" w:eastAsia="Calibri" w:hAnsi="Arial" w:cs="Arial"/>
                <w:spacing w:val="-2"/>
                <w:sz w:val="20"/>
                <w:szCs w:val="20"/>
                <w:lang w:eastAsia="en-GB"/>
              </w:rPr>
            </w:pPr>
          </w:p>
        </w:tc>
        <w:tc>
          <w:tcPr>
            <w:tcW w:w="0" w:type="auto"/>
          </w:tcPr>
          <w:p w14:paraId="10510AB1" w14:textId="77777777" w:rsidR="00D65B16" w:rsidRPr="00957F6D" w:rsidRDefault="00D65B16" w:rsidP="00957F6D">
            <w:p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3.1.3. Develop a briefing note on opportunities for international, regional, and domestic agency to better address illegal aquatic wild meat harvesting</w:t>
            </w:r>
          </w:p>
        </w:tc>
        <w:tc>
          <w:tcPr>
            <w:tcW w:w="0" w:type="auto"/>
          </w:tcPr>
          <w:p w14:paraId="1013DAE1"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AWM WG collaboration with CMS, CITES, Abidjan Convention, Ramsar, IUCN, and FAO Focal Points</w:t>
            </w:r>
          </w:p>
        </w:tc>
        <w:tc>
          <w:tcPr>
            <w:tcW w:w="0" w:type="auto"/>
          </w:tcPr>
          <w:p w14:paraId="64C0B484"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2024</w:t>
            </w:r>
          </w:p>
        </w:tc>
        <w:tc>
          <w:tcPr>
            <w:tcW w:w="0" w:type="auto"/>
          </w:tcPr>
          <w:p w14:paraId="4FDA106E"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Desktop research and writing time</w:t>
            </w:r>
          </w:p>
        </w:tc>
      </w:tr>
      <w:tr w:rsidR="000C6328" w:rsidRPr="00957F6D" w14:paraId="2737355B" w14:textId="77777777" w:rsidTr="00F15DB1">
        <w:tc>
          <w:tcPr>
            <w:tcW w:w="0" w:type="auto"/>
          </w:tcPr>
          <w:p w14:paraId="26037841" w14:textId="66C6CFA2" w:rsidR="00D65B16" w:rsidRPr="00957F6D" w:rsidRDefault="00D65B16" w:rsidP="00957F6D">
            <w:pPr>
              <w:numPr>
                <w:ilvl w:val="0"/>
                <w:numId w:val="15"/>
              </w:numPr>
              <w:spacing w:before="40" w:after="40"/>
              <w:rPr>
                <w:rFonts w:ascii="Arial" w:eastAsia="Calibri" w:hAnsi="Arial" w:cs="Arial"/>
                <w:spacing w:val="-2"/>
                <w:sz w:val="20"/>
                <w:szCs w:val="20"/>
                <w:highlight w:val="yellow"/>
                <w:lang w:eastAsia="en-GB"/>
              </w:rPr>
            </w:pPr>
            <w:r w:rsidRPr="00957F6D">
              <w:rPr>
                <w:rFonts w:ascii="Arial" w:eastAsia="Calibri" w:hAnsi="Arial" w:cs="Arial"/>
                <w:spacing w:val="-2"/>
                <w:sz w:val="20"/>
                <w:szCs w:val="20"/>
                <w:lang w:eastAsia="en-GB"/>
              </w:rPr>
              <w:t>3.2. Understand the capacity of Multilateral Environmental Agreements (MEAs) to combat illegal aquatic wild meat harvesting</w:t>
            </w:r>
          </w:p>
        </w:tc>
        <w:tc>
          <w:tcPr>
            <w:tcW w:w="0" w:type="auto"/>
          </w:tcPr>
          <w:p w14:paraId="6E290FFB"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3.2.1. Develop a briefing note on the mandates of CITES, CMS, and the Abidjan Conventions, and the roles of Parties and observers to create a strong signal with effective details for agency action</w:t>
            </w:r>
          </w:p>
        </w:tc>
        <w:tc>
          <w:tcPr>
            <w:tcW w:w="0" w:type="auto"/>
          </w:tcPr>
          <w:p w14:paraId="3856FD21"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AWM WG and Focal Points of CMS, CITES, Abidjan Convention, Ramsar, IUCN, IWC and FAO </w:t>
            </w:r>
          </w:p>
        </w:tc>
        <w:tc>
          <w:tcPr>
            <w:tcW w:w="0" w:type="auto"/>
          </w:tcPr>
          <w:p w14:paraId="7C39B905"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2024</w:t>
            </w:r>
          </w:p>
        </w:tc>
        <w:tc>
          <w:tcPr>
            <w:tcW w:w="0" w:type="auto"/>
          </w:tcPr>
          <w:p w14:paraId="4D7BF372"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Desktop research and writing time</w:t>
            </w:r>
          </w:p>
        </w:tc>
      </w:tr>
      <w:tr w:rsidR="000C6328" w:rsidRPr="00957F6D" w14:paraId="592ADA15" w14:textId="77777777" w:rsidTr="00F15DB1">
        <w:tc>
          <w:tcPr>
            <w:tcW w:w="0" w:type="auto"/>
          </w:tcPr>
          <w:p w14:paraId="6C87D4B5" w14:textId="2824EB96" w:rsidR="00D65B16" w:rsidRPr="00957F6D" w:rsidRDefault="00D65B16" w:rsidP="00957F6D">
            <w:p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lastRenderedPageBreak/>
              <w:t>3.3. Expand the action plan to reflect the intersections and opportunities</w:t>
            </w:r>
          </w:p>
        </w:tc>
        <w:tc>
          <w:tcPr>
            <w:tcW w:w="0" w:type="auto"/>
          </w:tcPr>
          <w:p w14:paraId="31F8126D"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3.3.1. Meet as a region, as an online meeting, to explore opportunities for synergies between agencies and expand the action plan accordingly</w:t>
            </w:r>
          </w:p>
        </w:tc>
        <w:tc>
          <w:tcPr>
            <w:tcW w:w="0" w:type="auto"/>
          </w:tcPr>
          <w:p w14:paraId="14E79E04"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West African Focal Points of CMS, CITES, Abidjan Convention, Ramsar, IUCN, IWC and FAO</w:t>
            </w:r>
          </w:p>
        </w:tc>
        <w:tc>
          <w:tcPr>
            <w:tcW w:w="0" w:type="auto"/>
          </w:tcPr>
          <w:p w14:paraId="14A5BEB2"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2026</w:t>
            </w:r>
          </w:p>
        </w:tc>
        <w:tc>
          <w:tcPr>
            <w:tcW w:w="0" w:type="auto"/>
          </w:tcPr>
          <w:p w14:paraId="359171D4"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Internal agency time</w:t>
            </w:r>
          </w:p>
          <w:p w14:paraId="27C8B094" w14:textId="77777777" w:rsidR="00D65B16" w:rsidRPr="00957F6D" w:rsidRDefault="00D65B16" w:rsidP="00957F6D">
            <w:pPr>
              <w:numPr>
                <w:ilvl w:val="0"/>
                <w:numId w:val="15"/>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Interpretation and internet costs</w:t>
            </w:r>
          </w:p>
        </w:tc>
      </w:tr>
    </w:tbl>
    <w:p w14:paraId="4E85C9C6" w14:textId="77777777" w:rsidR="00547130" w:rsidRPr="000C6328" w:rsidRDefault="00547130" w:rsidP="00614984">
      <w:pPr>
        <w:rPr>
          <w:rFonts w:cs="Arial"/>
        </w:rPr>
      </w:pPr>
    </w:p>
    <w:p w14:paraId="51D551E1" w14:textId="77777777" w:rsidR="000A081C" w:rsidRPr="000C6328" w:rsidRDefault="000A081C" w:rsidP="00614984">
      <w:pPr>
        <w:rPr>
          <w:rFonts w:cs="Arial"/>
        </w:rPr>
      </w:pPr>
    </w:p>
    <w:p w14:paraId="386D1E72" w14:textId="77777777" w:rsidR="00296905" w:rsidRDefault="00296905">
      <w:pPr>
        <w:rPr>
          <w:rFonts w:eastAsia="Noto Sans CJK SC" w:cs="Arial"/>
          <w:b/>
          <w:bCs/>
          <w:kern w:val="2"/>
          <w:lang w:eastAsia="zh-CN" w:bidi="hi-IN"/>
        </w:rPr>
      </w:pPr>
      <w:r>
        <w:rPr>
          <w:rFonts w:cs="Arial"/>
        </w:rPr>
        <w:br w:type="page"/>
      </w:r>
    </w:p>
    <w:p w14:paraId="7FA91EA7" w14:textId="45967757" w:rsidR="00D20A8C" w:rsidRPr="000C6328" w:rsidRDefault="00E16720" w:rsidP="006563FE">
      <w:pPr>
        <w:pStyle w:val="Heading3"/>
        <w:spacing w:before="0" w:after="0"/>
        <w:jc w:val="center"/>
        <w:rPr>
          <w:rFonts w:ascii="Arial" w:hAnsi="Arial" w:cs="Arial"/>
          <w:sz w:val="22"/>
          <w:szCs w:val="22"/>
          <w:lang w:val="en-GB"/>
        </w:rPr>
      </w:pPr>
      <w:r w:rsidRPr="000C6328">
        <w:rPr>
          <w:rFonts w:ascii="Arial" w:hAnsi="Arial" w:cs="Arial"/>
          <w:sz w:val="22"/>
          <w:szCs w:val="22"/>
          <w:lang w:val="en-GB"/>
        </w:rPr>
        <w:lastRenderedPageBreak/>
        <w:t xml:space="preserve">Theme 4: </w:t>
      </w:r>
    </w:p>
    <w:p w14:paraId="6BCC6B64" w14:textId="2193BBAA" w:rsidR="00E16720" w:rsidRPr="000C6328" w:rsidRDefault="00773262" w:rsidP="006563FE">
      <w:pPr>
        <w:pStyle w:val="Heading3"/>
        <w:spacing w:before="0" w:after="0"/>
        <w:jc w:val="center"/>
        <w:rPr>
          <w:rFonts w:ascii="Arial" w:hAnsi="Arial" w:cs="Arial"/>
          <w:sz w:val="22"/>
          <w:szCs w:val="22"/>
          <w:lang w:val="en-GB"/>
        </w:rPr>
      </w:pPr>
      <w:r w:rsidRPr="000C6328">
        <w:rPr>
          <w:rFonts w:ascii="Arial" w:hAnsi="Arial" w:cs="Arial"/>
          <w:sz w:val="22"/>
          <w:szCs w:val="22"/>
          <w:lang w:val="en-GB"/>
        </w:rPr>
        <w:t>Fostering community-driven solutions and building laws and enforcement where needed</w:t>
      </w:r>
    </w:p>
    <w:p w14:paraId="4C191E5E" w14:textId="77777777" w:rsidR="00E207C7" w:rsidRDefault="00E207C7" w:rsidP="00517726">
      <w:pPr>
        <w:jc w:val="both"/>
        <w:rPr>
          <w:rFonts w:cs="Arial"/>
        </w:rPr>
      </w:pPr>
    </w:p>
    <w:p w14:paraId="721AAF72" w14:textId="4C1831C5" w:rsidR="00517726" w:rsidRDefault="00C75476" w:rsidP="00517726">
      <w:pPr>
        <w:jc w:val="both"/>
      </w:pPr>
      <w:r>
        <w:t xml:space="preserve">Traditional laws for protecting aquatic wildlife are often more effectively enforced than national legislation. Community driven solutions can therefore be powerful tools for conserving aquatic wildmeat species, but must be aligned with global, </w:t>
      </w:r>
      <w:proofErr w:type="gramStart"/>
      <w:r>
        <w:t>regional</w:t>
      </w:r>
      <w:proofErr w:type="gramEnd"/>
      <w:r>
        <w:t xml:space="preserve"> and national policies. Lack of awareness of such policies</w:t>
      </w:r>
      <w:r w:rsidR="00BC586B">
        <w:t>,</w:t>
      </w:r>
      <w:r>
        <w:t xml:space="preserve"> where they</w:t>
      </w:r>
      <w:r w:rsidR="00296905">
        <w:t xml:space="preserve"> </w:t>
      </w:r>
      <w:r>
        <w:t>exist, is a major threat to conservation of aquatic wildmeat species and this is true for community members as well as for enforcement staff.</w:t>
      </w:r>
      <w:r w:rsidR="00296905">
        <w:t xml:space="preserve"> </w:t>
      </w:r>
      <w:r>
        <w:t>This i</w:t>
      </w:r>
      <w:r w:rsidR="00296905">
        <w:t>s</w:t>
      </w:r>
      <w:r>
        <w:t xml:space="preserve"> further compounded by inadequate human, technological and financial resources available for enforcement as well as by poverty and lack of alternative community livelihood options.</w:t>
      </w:r>
    </w:p>
    <w:p w14:paraId="55EC3F69" w14:textId="77777777" w:rsidR="0088374F" w:rsidRPr="000C6328" w:rsidRDefault="0088374F" w:rsidP="00517726">
      <w:pPr>
        <w:jc w:val="both"/>
        <w:rPr>
          <w:rFonts w:cs="Arial"/>
        </w:rPr>
      </w:pPr>
    </w:p>
    <w:p w14:paraId="7509A871" w14:textId="77777777" w:rsidR="00DD6D20" w:rsidRPr="000C6328" w:rsidRDefault="00DD6D20" w:rsidP="00DD6D20">
      <w:pPr>
        <w:numPr>
          <w:ilvl w:val="0"/>
          <w:numId w:val="15"/>
        </w:numPr>
        <w:suppressAutoHyphens w:val="0"/>
        <w:jc w:val="both"/>
        <w:rPr>
          <w:rFonts w:cs="Arial"/>
          <w:spacing w:val="-2"/>
          <w:lang w:eastAsia="en-GB"/>
        </w:rPr>
      </w:pPr>
      <w:r w:rsidRPr="000C6328">
        <w:rPr>
          <w:rFonts w:cs="Arial"/>
          <w:spacing w:val="-2"/>
          <w:lang w:eastAsia="en-GB"/>
        </w:rPr>
        <w:t xml:space="preserve">5-year theme goal: </w:t>
      </w:r>
      <w:r w:rsidRPr="000C6328">
        <w:rPr>
          <w:rFonts w:cs="Arial"/>
          <w:b/>
          <w:bCs/>
          <w:spacing w:val="-2"/>
          <w:lang w:eastAsia="en-GB"/>
        </w:rPr>
        <w:t>To foster community-driven solutions, while also building laws and enforcement capacity where needed</w:t>
      </w:r>
    </w:p>
    <w:p w14:paraId="1F109528" w14:textId="77777777" w:rsidR="00E16720" w:rsidRPr="000C6328" w:rsidRDefault="00E16720" w:rsidP="006563FE">
      <w:pPr>
        <w:numPr>
          <w:ilvl w:val="0"/>
          <w:numId w:val="8"/>
        </w:numPr>
        <w:jc w:val="both"/>
        <w:rPr>
          <w:rFonts w:cs="Arial"/>
        </w:rPr>
      </w:pPr>
    </w:p>
    <w:tbl>
      <w:tblPr>
        <w:tblStyle w:val="TableGrid"/>
        <w:tblW w:w="0" w:type="auto"/>
        <w:tblLook w:val="0000" w:firstRow="0" w:lastRow="0" w:firstColumn="0" w:lastColumn="0" w:noHBand="0" w:noVBand="0"/>
      </w:tblPr>
      <w:tblGrid>
        <w:gridCol w:w="2531"/>
        <w:gridCol w:w="5114"/>
        <w:gridCol w:w="3324"/>
        <w:gridCol w:w="822"/>
        <w:gridCol w:w="2157"/>
      </w:tblGrid>
      <w:tr w:rsidR="000C6328" w:rsidRPr="00957F6D" w14:paraId="336C056C" w14:textId="77777777" w:rsidTr="00297036">
        <w:trPr>
          <w:tblHeader/>
        </w:trPr>
        <w:tc>
          <w:tcPr>
            <w:tcW w:w="0" w:type="auto"/>
            <w:shd w:val="clear" w:color="auto" w:fill="DEEAF6" w:themeFill="accent5" w:themeFillTint="33"/>
          </w:tcPr>
          <w:p w14:paraId="72303372" w14:textId="77777777" w:rsidR="00297036" w:rsidRPr="00957F6D" w:rsidRDefault="00297036" w:rsidP="00957F6D">
            <w:pPr>
              <w:numPr>
                <w:ilvl w:val="0"/>
                <w:numId w:val="16"/>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 xml:space="preserve">Action </w:t>
            </w:r>
          </w:p>
        </w:tc>
        <w:tc>
          <w:tcPr>
            <w:tcW w:w="0" w:type="auto"/>
            <w:shd w:val="clear" w:color="auto" w:fill="DEEAF6" w:themeFill="accent5" w:themeFillTint="33"/>
          </w:tcPr>
          <w:p w14:paraId="3E329606" w14:textId="77777777" w:rsidR="00297036" w:rsidRPr="00957F6D" w:rsidRDefault="00297036" w:rsidP="00957F6D">
            <w:pPr>
              <w:numPr>
                <w:ilvl w:val="0"/>
                <w:numId w:val="16"/>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Activities</w:t>
            </w:r>
          </w:p>
        </w:tc>
        <w:tc>
          <w:tcPr>
            <w:tcW w:w="0" w:type="auto"/>
            <w:shd w:val="clear" w:color="auto" w:fill="DEEAF6" w:themeFill="accent5" w:themeFillTint="33"/>
          </w:tcPr>
          <w:p w14:paraId="35B23687" w14:textId="77777777" w:rsidR="00297036" w:rsidRPr="00957F6D" w:rsidRDefault="00297036" w:rsidP="00957F6D">
            <w:pPr>
              <w:numPr>
                <w:ilvl w:val="0"/>
                <w:numId w:val="16"/>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Responsibility</w:t>
            </w:r>
          </w:p>
        </w:tc>
        <w:tc>
          <w:tcPr>
            <w:tcW w:w="0" w:type="auto"/>
            <w:shd w:val="clear" w:color="auto" w:fill="DEEAF6" w:themeFill="accent5" w:themeFillTint="33"/>
          </w:tcPr>
          <w:p w14:paraId="10E2A46D" w14:textId="77777777" w:rsidR="00297036" w:rsidRPr="00957F6D" w:rsidRDefault="00297036" w:rsidP="00957F6D">
            <w:pPr>
              <w:numPr>
                <w:ilvl w:val="0"/>
                <w:numId w:val="16"/>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Time frame</w:t>
            </w:r>
          </w:p>
        </w:tc>
        <w:tc>
          <w:tcPr>
            <w:tcW w:w="0" w:type="auto"/>
            <w:shd w:val="clear" w:color="auto" w:fill="DEEAF6" w:themeFill="accent5" w:themeFillTint="33"/>
          </w:tcPr>
          <w:p w14:paraId="61CA92BB" w14:textId="77777777" w:rsidR="00297036" w:rsidRPr="00957F6D" w:rsidRDefault="00297036" w:rsidP="00957F6D">
            <w:pPr>
              <w:numPr>
                <w:ilvl w:val="0"/>
                <w:numId w:val="16"/>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 xml:space="preserve">Resources needed </w:t>
            </w:r>
          </w:p>
        </w:tc>
      </w:tr>
      <w:tr w:rsidR="000C6328" w:rsidRPr="00957F6D" w14:paraId="130E0D44" w14:textId="77777777" w:rsidTr="00F15DB1">
        <w:tc>
          <w:tcPr>
            <w:tcW w:w="0" w:type="auto"/>
            <w:vMerge w:val="restart"/>
          </w:tcPr>
          <w:p w14:paraId="0270C5C9" w14:textId="46565799"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4.1. Foster community-driven solutions</w:t>
            </w:r>
          </w:p>
        </w:tc>
        <w:tc>
          <w:tcPr>
            <w:tcW w:w="0" w:type="auto"/>
          </w:tcPr>
          <w:p w14:paraId="3B606A50"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4.1.1. Identify, </w:t>
            </w:r>
            <w:proofErr w:type="gramStart"/>
            <w:r w:rsidRPr="00957F6D">
              <w:rPr>
                <w:rFonts w:ascii="Arial" w:eastAsia="Calibri" w:hAnsi="Arial" w:cs="Arial"/>
                <w:spacing w:val="-2"/>
                <w:sz w:val="20"/>
                <w:szCs w:val="20"/>
                <w:lang w:eastAsia="en-GB"/>
              </w:rPr>
              <w:t>document</w:t>
            </w:r>
            <w:proofErr w:type="gramEnd"/>
            <w:r w:rsidRPr="00957F6D">
              <w:rPr>
                <w:rFonts w:ascii="Arial" w:eastAsia="Calibri" w:hAnsi="Arial" w:cs="Arial"/>
                <w:spacing w:val="-2"/>
                <w:sz w:val="20"/>
                <w:szCs w:val="20"/>
                <w:lang w:eastAsia="en-GB"/>
              </w:rPr>
              <w:t xml:space="preserve"> and publish good practice examples of community-driven led species conservation and appropriate aquatic wild meat management from across the region to use as a tool for awareness raising (policy makers and community)</w:t>
            </w:r>
          </w:p>
        </w:tc>
        <w:tc>
          <w:tcPr>
            <w:tcW w:w="0" w:type="auto"/>
          </w:tcPr>
          <w:p w14:paraId="7CDB650A"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AWM WG in collaboration with West African Focal Points of CMS, CITES, Abidjan Convention, Ramsar, IUCN, IWC and FAO </w:t>
            </w:r>
          </w:p>
        </w:tc>
        <w:tc>
          <w:tcPr>
            <w:tcW w:w="0" w:type="auto"/>
          </w:tcPr>
          <w:p w14:paraId="07C029A5"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2025</w:t>
            </w:r>
          </w:p>
        </w:tc>
        <w:tc>
          <w:tcPr>
            <w:tcW w:w="0" w:type="auto"/>
          </w:tcPr>
          <w:p w14:paraId="720A5FE7"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Internal agency time + internet access</w:t>
            </w:r>
          </w:p>
        </w:tc>
      </w:tr>
      <w:tr w:rsidR="000C6328" w:rsidRPr="00957F6D" w14:paraId="02F5397F" w14:textId="77777777" w:rsidTr="00F15DB1">
        <w:tc>
          <w:tcPr>
            <w:tcW w:w="0" w:type="auto"/>
            <w:vMerge/>
          </w:tcPr>
          <w:p w14:paraId="0FC0F5A3" w14:textId="77777777" w:rsidR="00297036" w:rsidRPr="00957F6D" w:rsidRDefault="00297036" w:rsidP="00957F6D">
            <w:pPr>
              <w:spacing w:before="40" w:after="40"/>
              <w:rPr>
                <w:rFonts w:ascii="Arial" w:eastAsia="Calibri" w:hAnsi="Arial" w:cs="Arial"/>
                <w:spacing w:val="-2"/>
                <w:sz w:val="20"/>
                <w:szCs w:val="20"/>
                <w:lang w:eastAsia="en-GB"/>
              </w:rPr>
            </w:pPr>
          </w:p>
        </w:tc>
        <w:tc>
          <w:tcPr>
            <w:tcW w:w="0" w:type="auto"/>
          </w:tcPr>
          <w:p w14:paraId="789C3A57"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4.1.2. Meet with these communities to find common learnings and solutions that can be applied elsewhere</w:t>
            </w:r>
          </w:p>
        </w:tc>
        <w:tc>
          <w:tcPr>
            <w:tcW w:w="0" w:type="auto"/>
          </w:tcPr>
          <w:p w14:paraId="1C770A6D"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AWM WG in collaboration with West African Focal Points of CMS, CITES, Abidjan Convention, Ramsar, IUCN, and FAO</w:t>
            </w:r>
          </w:p>
        </w:tc>
        <w:tc>
          <w:tcPr>
            <w:tcW w:w="0" w:type="auto"/>
          </w:tcPr>
          <w:p w14:paraId="1DD7C3F4"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2026</w:t>
            </w:r>
          </w:p>
        </w:tc>
        <w:tc>
          <w:tcPr>
            <w:tcW w:w="0" w:type="auto"/>
          </w:tcPr>
          <w:p w14:paraId="79851EA3"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Field costs (travel and workshops) Internal agency time + internet access</w:t>
            </w:r>
          </w:p>
        </w:tc>
      </w:tr>
      <w:tr w:rsidR="000C6328" w:rsidRPr="00957F6D" w14:paraId="777EF194" w14:textId="77777777" w:rsidTr="00F15DB1">
        <w:tc>
          <w:tcPr>
            <w:tcW w:w="0" w:type="auto"/>
            <w:vMerge/>
          </w:tcPr>
          <w:p w14:paraId="6E0CD5DE" w14:textId="77777777" w:rsidR="00297036" w:rsidRPr="00957F6D" w:rsidRDefault="00297036" w:rsidP="00957F6D">
            <w:pPr>
              <w:spacing w:before="40" w:after="40"/>
              <w:rPr>
                <w:rFonts w:ascii="Arial" w:eastAsia="Calibri" w:hAnsi="Arial" w:cs="Arial"/>
                <w:spacing w:val="-2"/>
                <w:sz w:val="20"/>
                <w:szCs w:val="20"/>
                <w:lang w:eastAsia="en-GB"/>
              </w:rPr>
            </w:pPr>
          </w:p>
        </w:tc>
        <w:tc>
          <w:tcPr>
            <w:tcW w:w="0" w:type="auto"/>
          </w:tcPr>
          <w:p w14:paraId="7D7590A5" w14:textId="2DFAEB76" w:rsidR="00297036" w:rsidRPr="00957F6D" w:rsidRDefault="00297036" w:rsidP="00957F6D">
            <w:p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4.1.3. Repackage the information generated in actions </w:t>
            </w:r>
            <w:r w:rsidR="00A93F8E" w:rsidRPr="00957F6D">
              <w:rPr>
                <w:rFonts w:ascii="Arial" w:eastAsia="Calibri" w:hAnsi="Arial" w:cs="Arial"/>
                <w:sz w:val="20"/>
                <w:szCs w:val="20"/>
                <w:lang w:val="en-US"/>
              </w:rPr>
              <w:t>1.1, 2.3 and 3.1</w:t>
            </w:r>
            <w:r w:rsidRPr="00957F6D">
              <w:rPr>
                <w:rFonts w:ascii="Arial" w:eastAsia="Calibri" w:hAnsi="Arial" w:cs="Arial"/>
                <w:spacing w:val="-2"/>
                <w:sz w:val="20"/>
                <w:szCs w:val="20"/>
                <w:lang w:eastAsia="en-GB"/>
              </w:rPr>
              <w:t>, and translate into appropriate local languages</w:t>
            </w:r>
          </w:p>
        </w:tc>
        <w:tc>
          <w:tcPr>
            <w:tcW w:w="0" w:type="auto"/>
          </w:tcPr>
          <w:p w14:paraId="223AF278"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AWM WG in collaboration with West African Focal Points of CMS, CITES, Abidjan Convention, Ramsar, IUCN, and FAO, local NGOs, civil society, and universities</w:t>
            </w:r>
          </w:p>
        </w:tc>
        <w:tc>
          <w:tcPr>
            <w:tcW w:w="0" w:type="auto"/>
          </w:tcPr>
          <w:p w14:paraId="4A74A80E" w14:textId="77777777" w:rsidR="00297036" w:rsidRPr="00957F6D" w:rsidRDefault="00297036" w:rsidP="00957F6D">
            <w:p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2026</w:t>
            </w:r>
          </w:p>
        </w:tc>
        <w:tc>
          <w:tcPr>
            <w:tcW w:w="0" w:type="auto"/>
          </w:tcPr>
          <w:p w14:paraId="785FFF58"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Internal agency time + internet access</w:t>
            </w:r>
          </w:p>
          <w:p w14:paraId="15D3C024"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Translation costs</w:t>
            </w:r>
          </w:p>
        </w:tc>
      </w:tr>
      <w:tr w:rsidR="000C6328" w:rsidRPr="00957F6D" w14:paraId="01458C27" w14:textId="77777777" w:rsidTr="00F15DB1">
        <w:trPr>
          <w:trHeight w:val="2688"/>
        </w:trPr>
        <w:tc>
          <w:tcPr>
            <w:tcW w:w="0" w:type="auto"/>
            <w:vMerge/>
          </w:tcPr>
          <w:p w14:paraId="601A9634" w14:textId="77777777" w:rsidR="00297036" w:rsidRPr="00957F6D" w:rsidRDefault="00297036" w:rsidP="00957F6D">
            <w:pPr>
              <w:spacing w:before="40" w:after="40"/>
              <w:rPr>
                <w:rFonts w:ascii="Arial" w:eastAsia="Calibri" w:hAnsi="Arial" w:cs="Arial"/>
                <w:spacing w:val="-2"/>
                <w:sz w:val="20"/>
                <w:szCs w:val="20"/>
                <w:lang w:eastAsia="en-GB"/>
              </w:rPr>
            </w:pPr>
          </w:p>
        </w:tc>
        <w:tc>
          <w:tcPr>
            <w:tcW w:w="0" w:type="auto"/>
          </w:tcPr>
          <w:p w14:paraId="770128CC" w14:textId="77777777" w:rsidR="00297036" w:rsidRPr="00957F6D" w:rsidRDefault="00297036" w:rsidP="00957F6D">
            <w:p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4.1.4. Develop and implement a dedicated programme to disseminate these common learnings to other communities, fostering the wider uptake of community-driven solutions (including through community radios, brochures etc.) and facilitating exchange trips between communities</w:t>
            </w:r>
          </w:p>
        </w:tc>
        <w:tc>
          <w:tcPr>
            <w:tcW w:w="0" w:type="auto"/>
          </w:tcPr>
          <w:p w14:paraId="02870722"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AWM WG in collaboration with West African Focal Points of CMS, CITES, Abidjan Convention, Ramsar, IUCN, IWC and FAO, local NGOs, civil society</w:t>
            </w:r>
          </w:p>
        </w:tc>
        <w:tc>
          <w:tcPr>
            <w:tcW w:w="0" w:type="auto"/>
          </w:tcPr>
          <w:p w14:paraId="112961EB"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2027</w:t>
            </w:r>
          </w:p>
        </w:tc>
        <w:tc>
          <w:tcPr>
            <w:tcW w:w="0" w:type="auto"/>
          </w:tcPr>
          <w:p w14:paraId="7B9E418C"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Ground costs associated with disseminating the information to communities </w:t>
            </w:r>
            <w:r w:rsidRPr="00957F6D">
              <w:rPr>
                <w:rFonts w:ascii="Arial" w:eastAsia="Calibri" w:hAnsi="Arial" w:cs="Arial"/>
                <w:spacing w:val="-2"/>
                <w:sz w:val="20"/>
                <w:szCs w:val="20"/>
                <w:lang w:eastAsia="en-GB"/>
              </w:rPr>
              <w:br/>
              <w:t>Internal agency time + internet access</w:t>
            </w:r>
          </w:p>
        </w:tc>
      </w:tr>
      <w:tr w:rsidR="000C6328" w:rsidRPr="00957F6D" w14:paraId="175FEF47" w14:textId="77777777" w:rsidTr="00F15DB1">
        <w:tc>
          <w:tcPr>
            <w:tcW w:w="0" w:type="auto"/>
            <w:vMerge w:val="restart"/>
          </w:tcPr>
          <w:p w14:paraId="5160D171" w14:textId="06B0BDE4" w:rsidR="00297036" w:rsidRPr="00957F6D" w:rsidRDefault="00297036" w:rsidP="00957F6D">
            <w:p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4.2. Increase the level of political commitment to prevent, combat, and eradicate illegal aquatic wild meat harvesting</w:t>
            </w:r>
          </w:p>
        </w:tc>
        <w:tc>
          <w:tcPr>
            <w:tcW w:w="0" w:type="auto"/>
          </w:tcPr>
          <w:p w14:paraId="0A4FAB54" w14:textId="77777777" w:rsidR="00297036" w:rsidRPr="00957F6D" w:rsidRDefault="00297036" w:rsidP="00957F6D">
            <w:p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4.2.1. Drawing on existing international and regional strategies, establish and carry out a comprehensive anti-poaching strategy for aquatic wild meat within each country, focused on engagement with communities </w:t>
            </w:r>
          </w:p>
        </w:tc>
        <w:tc>
          <w:tcPr>
            <w:tcW w:w="0" w:type="auto"/>
          </w:tcPr>
          <w:p w14:paraId="2D6C6FBD"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West African Focal Points of CMS, CITES, Abidjan Convention, Ramsar, IUCN, IWC and FAO, supported by the AWM WG </w:t>
            </w:r>
          </w:p>
        </w:tc>
        <w:tc>
          <w:tcPr>
            <w:tcW w:w="0" w:type="auto"/>
          </w:tcPr>
          <w:p w14:paraId="34075E4F"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2027 </w:t>
            </w:r>
          </w:p>
        </w:tc>
        <w:tc>
          <w:tcPr>
            <w:tcW w:w="0" w:type="auto"/>
          </w:tcPr>
          <w:p w14:paraId="19B9BC77"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Ground costs, consultants, workshops etc.</w:t>
            </w:r>
          </w:p>
          <w:p w14:paraId="057FEAD0"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Internal agency time + internet access</w:t>
            </w:r>
          </w:p>
        </w:tc>
      </w:tr>
      <w:tr w:rsidR="000C6328" w:rsidRPr="00957F6D" w14:paraId="225E807A" w14:textId="77777777" w:rsidTr="00F15DB1">
        <w:tc>
          <w:tcPr>
            <w:tcW w:w="0" w:type="auto"/>
            <w:vMerge/>
          </w:tcPr>
          <w:p w14:paraId="0EA4494E" w14:textId="77777777" w:rsidR="00297036" w:rsidRPr="00957F6D" w:rsidRDefault="00297036" w:rsidP="00957F6D">
            <w:pPr>
              <w:spacing w:before="40" w:after="40"/>
              <w:rPr>
                <w:rFonts w:ascii="Arial" w:eastAsia="Calibri" w:hAnsi="Arial" w:cs="Arial"/>
                <w:spacing w:val="-2"/>
                <w:sz w:val="20"/>
                <w:szCs w:val="20"/>
                <w:lang w:eastAsia="en-GB"/>
              </w:rPr>
            </w:pPr>
          </w:p>
        </w:tc>
        <w:tc>
          <w:tcPr>
            <w:tcW w:w="0" w:type="auto"/>
          </w:tcPr>
          <w:p w14:paraId="4F9CE8E3"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4.2.2. Develop a regional plan and tools that strengthen and support national institutional capacity for efficient and effective enforcement and monitoring of illegal aquatic wild meat harvesting</w:t>
            </w:r>
          </w:p>
        </w:tc>
        <w:tc>
          <w:tcPr>
            <w:tcW w:w="0" w:type="auto"/>
          </w:tcPr>
          <w:p w14:paraId="519F251B"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West African Focal Points of CMS, CITES, Abidjan Convention, Ramsar, IUCN, IWC and FAO, supported by the AWM WG  </w:t>
            </w:r>
          </w:p>
        </w:tc>
        <w:tc>
          <w:tcPr>
            <w:tcW w:w="0" w:type="auto"/>
          </w:tcPr>
          <w:p w14:paraId="615F5213"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2027</w:t>
            </w:r>
          </w:p>
        </w:tc>
        <w:tc>
          <w:tcPr>
            <w:tcW w:w="0" w:type="auto"/>
          </w:tcPr>
          <w:p w14:paraId="20DC97DE"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Ground costs, workshops etc.</w:t>
            </w:r>
          </w:p>
          <w:p w14:paraId="49BAE7E1"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Internal agency time + internet access</w:t>
            </w:r>
          </w:p>
        </w:tc>
      </w:tr>
      <w:tr w:rsidR="000C6328" w:rsidRPr="00957F6D" w14:paraId="1908049F" w14:textId="77777777" w:rsidTr="00F15DB1">
        <w:tc>
          <w:tcPr>
            <w:tcW w:w="0" w:type="auto"/>
            <w:vMerge/>
          </w:tcPr>
          <w:p w14:paraId="72E6AAFD" w14:textId="77777777" w:rsidR="00297036" w:rsidRPr="00957F6D" w:rsidRDefault="00297036" w:rsidP="00957F6D">
            <w:pPr>
              <w:spacing w:before="40" w:after="40"/>
              <w:rPr>
                <w:rFonts w:ascii="Arial" w:eastAsia="Calibri" w:hAnsi="Arial" w:cs="Arial"/>
                <w:spacing w:val="-2"/>
                <w:sz w:val="20"/>
                <w:szCs w:val="20"/>
                <w:lang w:eastAsia="en-GB"/>
              </w:rPr>
            </w:pPr>
          </w:p>
        </w:tc>
        <w:tc>
          <w:tcPr>
            <w:tcW w:w="0" w:type="auto"/>
          </w:tcPr>
          <w:p w14:paraId="163A91AA" w14:textId="77777777" w:rsidR="00297036" w:rsidRPr="00957F6D" w:rsidRDefault="00297036" w:rsidP="00957F6D">
            <w:p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4.2.3. Create a synergy of action to support the states to achieve the CBD 30x30 objectives of protected areas and appropriate community conservation governance in the region with involvement of local communities, </w:t>
            </w:r>
            <w:proofErr w:type="gramStart"/>
            <w:r w:rsidRPr="00957F6D">
              <w:rPr>
                <w:rFonts w:ascii="Arial" w:eastAsia="Calibri" w:hAnsi="Arial" w:cs="Arial"/>
                <w:spacing w:val="-2"/>
                <w:sz w:val="20"/>
                <w:szCs w:val="20"/>
                <w:lang w:eastAsia="en-GB"/>
              </w:rPr>
              <w:t>taking into account</w:t>
            </w:r>
            <w:proofErr w:type="gramEnd"/>
            <w:r w:rsidRPr="00957F6D">
              <w:rPr>
                <w:rFonts w:ascii="Arial" w:eastAsia="Calibri" w:hAnsi="Arial" w:cs="Arial"/>
                <w:spacing w:val="-2"/>
                <w:sz w:val="20"/>
                <w:szCs w:val="20"/>
                <w:lang w:eastAsia="en-GB"/>
              </w:rPr>
              <w:t xml:space="preserve"> socioeconomic and ecological aspects as well as participatory governance</w:t>
            </w:r>
          </w:p>
        </w:tc>
        <w:tc>
          <w:tcPr>
            <w:tcW w:w="0" w:type="auto"/>
          </w:tcPr>
          <w:p w14:paraId="5FF2F402"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West African Focal Points of CMS, CBD, CITES, Abidjan Convention, Ramsar, IUCN, IWC and FAO and associated national committees</w:t>
            </w:r>
          </w:p>
        </w:tc>
        <w:tc>
          <w:tcPr>
            <w:tcW w:w="0" w:type="auto"/>
          </w:tcPr>
          <w:p w14:paraId="0687D4FC"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2027</w:t>
            </w:r>
          </w:p>
        </w:tc>
        <w:tc>
          <w:tcPr>
            <w:tcW w:w="0" w:type="auto"/>
          </w:tcPr>
          <w:p w14:paraId="24027C60"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Ground costs, workshops etc.</w:t>
            </w:r>
          </w:p>
          <w:p w14:paraId="0E6A2487" w14:textId="77777777" w:rsidR="00297036" w:rsidRPr="00957F6D" w:rsidRDefault="00297036"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Internal agency time + internet access</w:t>
            </w:r>
          </w:p>
        </w:tc>
      </w:tr>
    </w:tbl>
    <w:p w14:paraId="0747CF3E" w14:textId="77777777" w:rsidR="00E16720" w:rsidRPr="000C6328" w:rsidRDefault="00E16720" w:rsidP="00E16720">
      <w:pPr>
        <w:pStyle w:val="Secondnumbering"/>
        <w:numPr>
          <w:ilvl w:val="0"/>
          <w:numId w:val="0"/>
        </w:numPr>
        <w:jc w:val="both"/>
        <w:rPr>
          <w:rFonts w:cs="Arial"/>
        </w:rPr>
      </w:pPr>
    </w:p>
    <w:p w14:paraId="46702A27" w14:textId="77777777" w:rsidR="00DB0EB0" w:rsidRPr="000C6328" w:rsidRDefault="00DB0EB0" w:rsidP="00E16720">
      <w:pPr>
        <w:pStyle w:val="Secondnumbering"/>
        <w:numPr>
          <w:ilvl w:val="0"/>
          <w:numId w:val="0"/>
        </w:numPr>
        <w:jc w:val="both"/>
        <w:rPr>
          <w:rFonts w:cs="Arial"/>
        </w:rPr>
      </w:pPr>
    </w:p>
    <w:p w14:paraId="24099E62" w14:textId="77777777" w:rsidR="00296905" w:rsidRDefault="00296905">
      <w:pPr>
        <w:rPr>
          <w:rFonts w:eastAsia="Noto Sans CJK SC" w:cs="Arial"/>
          <w:b/>
          <w:bCs/>
          <w:kern w:val="2"/>
          <w:lang w:eastAsia="zh-CN" w:bidi="hi-IN"/>
        </w:rPr>
      </w:pPr>
      <w:r>
        <w:rPr>
          <w:rFonts w:cs="Arial"/>
        </w:rPr>
        <w:br w:type="page"/>
      </w:r>
    </w:p>
    <w:p w14:paraId="340689D2" w14:textId="4D35CD16" w:rsidR="00DB0EB0" w:rsidRPr="000C6328" w:rsidRDefault="00DB0EB0" w:rsidP="00DB0EB0">
      <w:pPr>
        <w:pStyle w:val="Heading3"/>
        <w:spacing w:before="0" w:after="0"/>
        <w:jc w:val="center"/>
        <w:rPr>
          <w:rFonts w:ascii="Arial" w:hAnsi="Arial" w:cs="Arial"/>
          <w:sz w:val="22"/>
          <w:szCs w:val="22"/>
          <w:lang w:val="en-GB"/>
        </w:rPr>
      </w:pPr>
      <w:r w:rsidRPr="000C6328">
        <w:rPr>
          <w:rFonts w:ascii="Arial" w:hAnsi="Arial" w:cs="Arial"/>
          <w:sz w:val="22"/>
          <w:szCs w:val="22"/>
          <w:lang w:val="en-GB"/>
        </w:rPr>
        <w:lastRenderedPageBreak/>
        <w:t xml:space="preserve">Theme 5: </w:t>
      </w:r>
    </w:p>
    <w:p w14:paraId="79E21481" w14:textId="36927B2E" w:rsidR="00DB0EB0" w:rsidRPr="000C6328" w:rsidRDefault="00BE080C" w:rsidP="00DB0EB0">
      <w:pPr>
        <w:pStyle w:val="Heading3"/>
        <w:spacing w:before="0" w:after="0"/>
        <w:jc w:val="center"/>
        <w:rPr>
          <w:rFonts w:ascii="Arial" w:hAnsi="Arial" w:cs="Arial"/>
          <w:sz w:val="22"/>
          <w:szCs w:val="22"/>
          <w:lang w:val="en-GB"/>
        </w:rPr>
      </w:pPr>
      <w:r w:rsidRPr="000C6328">
        <w:rPr>
          <w:rFonts w:ascii="Arial" w:hAnsi="Arial" w:cs="Arial"/>
          <w:sz w:val="22"/>
          <w:szCs w:val="22"/>
          <w:lang w:val="en-GB"/>
        </w:rPr>
        <w:t xml:space="preserve">Raising Awareness and promoting behaviour change to achieve better protection of species used as aquatic wild </w:t>
      </w:r>
      <w:proofErr w:type="gramStart"/>
      <w:r w:rsidRPr="000C6328">
        <w:rPr>
          <w:rFonts w:ascii="Arial" w:hAnsi="Arial" w:cs="Arial"/>
          <w:sz w:val="22"/>
          <w:szCs w:val="22"/>
          <w:lang w:val="en-GB"/>
        </w:rPr>
        <w:t>meat</w:t>
      </w:r>
      <w:proofErr w:type="gramEnd"/>
    </w:p>
    <w:p w14:paraId="7139832F" w14:textId="77777777" w:rsidR="00DB0EB0" w:rsidRPr="000C6328" w:rsidRDefault="00DB0EB0" w:rsidP="003E0CE1">
      <w:pPr>
        <w:jc w:val="both"/>
        <w:rPr>
          <w:rFonts w:cs="Arial"/>
        </w:rPr>
      </w:pPr>
    </w:p>
    <w:p w14:paraId="1E69B4BE" w14:textId="77777777" w:rsidR="003E0CE1" w:rsidRPr="000C6328" w:rsidRDefault="003E0CE1" w:rsidP="003E0CE1">
      <w:pPr>
        <w:jc w:val="both"/>
        <w:rPr>
          <w:rFonts w:cs="Arial"/>
          <w:spacing w:val="-2"/>
          <w:lang w:eastAsia="en-GB"/>
        </w:rPr>
      </w:pPr>
      <w:r w:rsidRPr="000C6328">
        <w:rPr>
          <w:rFonts w:cs="Arial"/>
          <w:spacing w:val="-2"/>
          <w:lang w:eastAsia="en-GB"/>
        </w:rPr>
        <w:t>Local communities do not often make biodiversity conservation or the long-term consequences of overexploitation a priority. Changing behaviours and attitudes is critical to the success of community-based solutions for protection of species used as aquatic wild meat. Education and awareness programs can help them understand the importance of sustainable resource use.</w:t>
      </w:r>
    </w:p>
    <w:p w14:paraId="3D7DCE8C" w14:textId="77777777" w:rsidR="003E0CE1" w:rsidRPr="000C6328" w:rsidRDefault="003E0CE1" w:rsidP="003E0CE1">
      <w:pPr>
        <w:jc w:val="both"/>
        <w:rPr>
          <w:rFonts w:cs="Arial"/>
        </w:rPr>
      </w:pPr>
    </w:p>
    <w:p w14:paraId="0850C314" w14:textId="77777777" w:rsidR="00522424" w:rsidRPr="000C6328" w:rsidRDefault="00522424" w:rsidP="00522424">
      <w:pPr>
        <w:jc w:val="both"/>
        <w:rPr>
          <w:rFonts w:cs="Arial"/>
          <w:spacing w:val="-2"/>
          <w:lang w:eastAsia="en-GB"/>
        </w:rPr>
      </w:pPr>
      <w:proofErr w:type="gramStart"/>
      <w:r w:rsidRPr="000C6328">
        <w:rPr>
          <w:rFonts w:cs="Arial"/>
          <w:spacing w:val="-2"/>
          <w:lang w:eastAsia="en-GB"/>
        </w:rPr>
        <w:t>5 year</w:t>
      </w:r>
      <w:proofErr w:type="gramEnd"/>
      <w:r w:rsidRPr="000C6328">
        <w:rPr>
          <w:rFonts w:cs="Arial"/>
          <w:spacing w:val="-2"/>
          <w:lang w:eastAsia="en-GB"/>
        </w:rPr>
        <w:t xml:space="preserve"> theme goal: </w:t>
      </w:r>
      <w:r w:rsidRPr="000C6328">
        <w:rPr>
          <w:rFonts w:cs="Arial"/>
          <w:b/>
          <w:bCs/>
          <w:spacing w:val="-2"/>
          <w:lang w:eastAsia="en-GB"/>
        </w:rPr>
        <w:t xml:space="preserve">Transforming community attitudes towards protection of species used as aquatic wild meat and local ownership of conservation measures </w:t>
      </w:r>
    </w:p>
    <w:p w14:paraId="02706019" w14:textId="77777777" w:rsidR="00DB0EB0" w:rsidRPr="000C6328" w:rsidRDefault="00DB0EB0" w:rsidP="00DB0EB0">
      <w:pPr>
        <w:numPr>
          <w:ilvl w:val="0"/>
          <w:numId w:val="8"/>
        </w:numPr>
        <w:jc w:val="both"/>
        <w:rPr>
          <w:rFonts w:cs="Arial"/>
        </w:rPr>
      </w:pPr>
    </w:p>
    <w:tbl>
      <w:tblPr>
        <w:tblStyle w:val="TableGrid"/>
        <w:tblW w:w="0" w:type="auto"/>
        <w:tblLook w:val="0000" w:firstRow="0" w:lastRow="0" w:firstColumn="0" w:lastColumn="0" w:noHBand="0" w:noVBand="0"/>
      </w:tblPr>
      <w:tblGrid>
        <w:gridCol w:w="2958"/>
        <w:gridCol w:w="4232"/>
        <w:gridCol w:w="3362"/>
        <w:gridCol w:w="850"/>
        <w:gridCol w:w="2546"/>
      </w:tblGrid>
      <w:tr w:rsidR="000C6328" w:rsidRPr="00957F6D" w14:paraId="74FF1A5F" w14:textId="77777777" w:rsidTr="00866CD5">
        <w:trPr>
          <w:tblHeader/>
        </w:trPr>
        <w:tc>
          <w:tcPr>
            <w:tcW w:w="0" w:type="auto"/>
            <w:shd w:val="clear" w:color="auto" w:fill="DEEAF6" w:themeFill="accent5" w:themeFillTint="33"/>
          </w:tcPr>
          <w:p w14:paraId="5371467E" w14:textId="77777777" w:rsidR="00866CD5" w:rsidRPr="00957F6D" w:rsidRDefault="00866CD5" w:rsidP="00957F6D">
            <w:pPr>
              <w:numPr>
                <w:ilvl w:val="0"/>
                <w:numId w:val="16"/>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 xml:space="preserve">Action </w:t>
            </w:r>
          </w:p>
        </w:tc>
        <w:tc>
          <w:tcPr>
            <w:tcW w:w="0" w:type="auto"/>
            <w:shd w:val="clear" w:color="auto" w:fill="DEEAF6" w:themeFill="accent5" w:themeFillTint="33"/>
          </w:tcPr>
          <w:p w14:paraId="3BAA3AC6" w14:textId="77777777" w:rsidR="00866CD5" w:rsidRPr="00957F6D" w:rsidRDefault="00866CD5" w:rsidP="00957F6D">
            <w:pPr>
              <w:numPr>
                <w:ilvl w:val="0"/>
                <w:numId w:val="16"/>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 xml:space="preserve">Activities </w:t>
            </w:r>
          </w:p>
        </w:tc>
        <w:tc>
          <w:tcPr>
            <w:tcW w:w="0" w:type="auto"/>
            <w:shd w:val="clear" w:color="auto" w:fill="DEEAF6" w:themeFill="accent5" w:themeFillTint="33"/>
          </w:tcPr>
          <w:p w14:paraId="0C9D8018" w14:textId="77777777" w:rsidR="00866CD5" w:rsidRPr="00957F6D" w:rsidRDefault="00866CD5" w:rsidP="00957F6D">
            <w:pPr>
              <w:numPr>
                <w:ilvl w:val="0"/>
                <w:numId w:val="16"/>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Responsibility</w:t>
            </w:r>
          </w:p>
        </w:tc>
        <w:tc>
          <w:tcPr>
            <w:tcW w:w="0" w:type="auto"/>
            <w:shd w:val="clear" w:color="auto" w:fill="DEEAF6" w:themeFill="accent5" w:themeFillTint="33"/>
          </w:tcPr>
          <w:p w14:paraId="1147DB1C" w14:textId="77777777" w:rsidR="00866CD5" w:rsidRPr="00957F6D" w:rsidRDefault="00866CD5" w:rsidP="00957F6D">
            <w:pPr>
              <w:numPr>
                <w:ilvl w:val="0"/>
                <w:numId w:val="16"/>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Time frame</w:t>
            </w:r>
          </w:p>
        </w:tc>
        <w:tc>
          <w:tcPr>
            <w:tcW w:w="0" w:type="auto"/>
            <w:shd w:val="clear" w:color="auto" w:fill="DEEAF6" w:themeFill="accent5" w:themeFillTint="33"/>
          </w:tcPr>
          <w:p w14:paraId="0CAD721A" w14:textId="77777777" w:rsidR="00866CD5" w:rsidRPr="00957F6D" w:rsidRDefault="00866CD5" w:rsidP="00957F6D">
            <w:pPr>
              <w:numPr>
                <w:ilvl w:val="0"/>
                <w:numId w:val="16"/>
              </w:numPr>
              <w:spacing w:before="40" w:after="4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 xml:space="preserve">Resources needed </w:t>
            </w:r>
          </w:p>
        </w:tc>
      </w:tr>
      <w:tr w:rsidR="000C6328" w:rsidRPr="00957F6D" w14:paraId="4AF2CACF" w14:textId="77777777" w:rsidTr="00F15DB1">
        <w:tc>
          <w:tcPr>
            <w:tcW w:w="0" w:type="auto"/>
            <w:vMerge w:val="restart"/>
          </w:tcPr>
          <w:p w14:paraId="33644FF1" w14:textId="6B9E1AEB"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5.1. Promote ownership of conservation objectives for species used as aquatic wild meat by local communities</w:t>
            </w:r>
          </w:p>
        </w:tc>
        <w:tc>
          <w:tcPr>
            <w:tcW w:w="0" w:type="auto"/>
          </w:tcPr>
          <w:p w14:paraId="2A5BA705" w14:textId="77777777"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5.1.1. Undertake Knowledge and attitudes Survey Analysis with local communities.</w:t>
            </w:r>
          </w:p>
        </w:tc>
        <w:tc>
          <w:tcPr>
            <w:tcW w:w="0" w:type="auto"/>
          </w:tcPr>
          <w:p w14:paraId="192335D3" w14:textId="77777777"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West African Focal Points of CMS, CITES, Abidjan Convention, Ramsar, IUCN, and FAO in collaboration with the AWM WG</w:t>
            </w:r>
          </w:p>
        </w:tc>
        <w:tc>
          <w:tcPr>
            <w:tcW w:w="0" w:type="auto"/>
          </w:tcPr>
          <w:p w14:paraId="76D48C4E" w14:textId="77777777"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2024</w:t>
            </w:r>
          </w:p>
        </w:tc>
        <w:tc>
          <w:tcPr>
            <w:tcW w:w="0" w:type="auto"/>
          </w:tcPr>
          <w:p w14:paraId="5317966E" w14:textId="77777777"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Internal agency time + internet access + field trips + document production and printing fees</w:t>
            </w:r>
          </w:p>
        </w:tc>
      </w:tr>
      <w:tr w:rsidR="000C6328" w:rsidRPr="00957F6D" w14:paraId="1C42C547" w14:textId="77777777" w:rsidTr="00F15DB1">
        <w:tc>
          <w:tcPr>
            <w:tcW w:w="0" w:type="auto"/>
            <w:vMerge/>
          </w:tcPr>
          <w:p w14:paraId="7B5ECCF3" w14:textId="77777777" w:rsidR="00866CD5" w:rsidRPr="00957F6D" w:rsidRDefault="00866CD5" w:rsidP="00957F6D">
            <w:pPr>
              <w:spacing w:before="40" w:after="40"/>
              <w:rPr>
                <w:rFonts w:ascii="Arial" w:eastAsia="Calibri" w:hAnsi="Arial" w:cs="Arial"/>
                <w:spacing w:val="-2"/>
                <w:sz w:val="20"/>
                <w:szCs w:val="20"/>
                <w:lang w:eastAsia="en-GB"/>
              </w:rPr>
            </w:pPr>
          </w:p>
        </w:tc>
        <w:tc>
          <w:tcPr>
            <w:tcW w:w="0" w:type="auto"/>
          </w:tcPr>
          <w:p w14:paraId="7EE974CB" w14:textId="77777777"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5.1.2 Develop an environmental education and communication (EEC) programme to promote positive changes in attitudes and behaviour to reduce aquatic wild meat harvesting</w:t>
            </w:r>
          </w:p>
        </w:tc>
        <w:tc>
          <w:tcPr>
            <w:tcW w:w="0" w:type="auto"/>
          </w:tcPr>
          <w:p w14:paraId="5D328CF3" w14:textId="77777777"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West African Focal Points of CMS, CITES, Abidjan Convention, Ramsar, IUCN and FAO, </w:t>
            </w:r>
            <w:proofErr w:type="gramStart"/>
            <w:r w:rsidRPr="00957F6D">
              <w:rPr>
                <w:rFonts w:ascii="Arial" w:eastAsia="Calibri" w:hAnsi="Arial" w:cs="Arial"/>
                <w:spacing w:val="-2"/>
                <w:sz w:val="20"/>
                <w:szCs w:val="20"/>
                <w:lang w:eastAsia="en-GB"/>
              </w:rPr>
              <w:t>NGOs</w:t>
            </w:r>
            <w:proofErr w:type="gramEnd"/>
            <w:r w:rsidRPr="00957F6D">
              <w:rPr>
                <w:rFonts w:ascii="Arial" w:eastAsia="Calibri" w:hAnsi="Arial" w:cs="Arial"/>
                <w:spacing w:val="-2"/>
                <w:sz w:val="20"/>
                <w:szCs w:val="20"/>
                <w:lang w:eastAsia="en-GB"/>
              </w:rPr>
              <w:t xml:space="preserve"> and media</w:t>
            </w:r>
          </w:p>
        </w:tc>
        <w:tc>
          <w:tcPr>
            <w:tcW w:w="0" w:type="auto"/>
          </w:tcPr>
          <w:p w14:paraId="77563432" w14:textId="77777777"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2025</w:t>
            </w:r>
          </w:p>
        </w:tc>
        <w:tc>
          <w:tcPr>
            <w:tcW w:w="0" w:type="auto"/>
          </w:tcPr>
          <w:p w14:paraId="411D4DE9" w14:textId="77777777"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Internal agency time + internet access</w:t>
            </w:r>
          </w:p>
        </w:tc>
      </w:tr>
      <w:tr w:rsidR="000C6328" w:rsidRPr="00957F6D" w14:paraId="20512D6B" w14:textId="77777777" w:rsidTr="00F15DB1">
        <w:tc>
          <w:tcPr>
            <w:tcW w:w="0" w:type="auto"/>
            <w:vMerge/>
          </w:tcPr>
          <w:p w14:paraId="5C413C94" w14:textId="77777777" w:rsidR="00866CD5" w:rsidRPr="00957F6D" w:rsidRDefault="00866CD5" w:rsidP="00957F6D">
            <w:pPr>
              <w:spacing w:before="40" w:after="40"/>
              <w:rPr>
                <w:rFonts w:ascii="Arial" w:eastAsia="Calibri" w:hAnsi="Arial" w:cs="Arial"/>
                <w:spacing w:val="-2"/>
                <w:sz w:val="20"/>
                <w:szCs w:val="20"/>
                <w:lang w:eastAsia="en-GB"/>
              </w:rPr>
            </w:pPr>
          </w:p>
        </w:tc>
        <w:tc>
          <w:tcPr>
            <w:tcW w:w="0" w:type="auto"/>
          </w:tcPr>
          <w:p w14:paraId="4DBDEA62" w14:textId="77777777"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5.1.3. Increase capacity, information exchange, </w:t>
            </w:r>
            <w:proofErr w:type="gramStart"/>
            <w:r w:rsidRPr="00957F6D">
              <w:rPr>
                <w:rFonts w:ascii="Arial" w:eastAsia="Calibri" w:hAnsi="Arial" w:cs="Arial"/>
                <w:spacing w:val="-2"/>
                <w:sz w:val="20"/>
                <w:szCs w:val="20"/>
                <w:lang w:eastAsia="en-GB"/>
              </w:rPr>
              <w:t>advocacy</w:t>
            </w:r>
            <w:proofErr w:type="gramEnd"/>
            <w:r w:rsidRPr="00957F6D">
              <w:rPr>
                <w:rFonts w:ascii="Arial" w:eastAsia="Calibri" w:hAnsi="Arial" w:cs="Arial"/>
                <w:spacing w:val="-2"/>
                <w:sz w:val="20"/>
                <w:szCs w:val="20"/>
                <w:lang w:eastAsia="en-GB"/>
              </w:rPr>
              <w:t xml:space="preserve"> and public awareness of different community groups at local level</w:t>
            </w:r>
          </w:p>
        </w:tc>
        <w:tc>
          <w:tcPr>
            <w:tcW w:w="0" w:type="auto"/>
          </w:tcPr>
          <w:p w14:paraId="09D58BAB" w14:textId="77777777"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West African Focal Points of CMS, CITES, Abidjan Convention, Ramsar, IUCN, and FAO </w:t>
            </w:r>
          </w:p>
        </w:tc>
        <w:tc>
          <w:tcPr>
            <w:tcW w:w="0" w:type="auto"/>
          </w:tcPr>
          <w:p w14:paraId="605BDF55" w14:textId="77777777"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2027</w:t>
            </w:r>
          </w:p>
        </w:tc>
        <w:tc>
          <w:tcPr>
            <w:tcW w:w="0" w:type="auto"/>
          </w:tcPr>
          <w:p w14:paraId="3F93B345" w14:textId="77777777" w:rsidR="00866CD5" w:rsidRPr="00957F6D" w:rsidRDefault="00866CD5" w:rsidP="00957F6D">
            <w:pPr>
              <w:numPr>
                <w:ilvl w:val="0"/>
                <w:numId w:val="16"/>
              </w:numPr>
              <w:spacing w:before="40" w:after="4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Internal agency time + internet access + field trips + document production and printing fees</w:t>
            </w:r>
          </w:p>
        </w:tc>
      </w:tr>
    </w:tbl>
    <w:p w14:paraId="2A9BBF4C" w14:textId="77777777" w:rsidR="00DB0EB0" w:rsidRPr="000C6328" w:rsidRDefault="00DB0EB0" w:rsidP="00E16720">
      <w:pPr>
        <w:pStyle w:val="Secondnumbering"/>
        <w:numPr>
          <w:ilvl w:val="0"/>
          <w:numId w:val="0"/>
        </w:numPr>
        <w:jc w:val="both"/>
        <w:rPr>
          <w:rFonts w:cs="Arial"/>
        </w:rPr>
      </w:pPr>
    </w:p>
    <w:p w14:paraId="13897FE3" w14:textId="77777777" w:rsidR="00866CD5" w:rsidRPr="000C6328" w:rsidRDefault="00866CD5" w:rsidP="00E16720">
      <w:pPr>
        <w:pStyle w:val="Secondnumbering"/>
        <w:numPr>
          <w:ilvl w:val="0"/>
          <w:numId w:val="0"/>
        </w:numPr>
        <w:jc w:val="both"/>
        <w:rPr>
          <w:rFonts w:cs="Arial"/>
        </w:rPr>
      </w:pPr>
    </w:p>
    <w:p w14:paraId="4FEA07C4" w14:textId="77777777" w:rsidR="00296905" w:rsidRDefault="00296905">
      <w:pPr>
        <w:rPr>
          <w:rFonts w:eastAsia="Noto Sans CJK SC" w:cs="Arial"/>
          <w:b/>
          <w:bCs/>
          <w:kern w:val="2"/>
          <w:lang w:eastAsia="zh-CN" w:bidi="hi-IN"/>
        </w:rPr>
      </w:pPr>
      <w:r>
        <w:rPr>
          <w:rFonts w:cs="Arial"/>
        </w:rPr>
        <w:br w:type="page"/>
      </w:r>
    </w:p>
    <w:p w14:paraId="614C887C" w14:textId="200DE3D4" w:rsidR="00866CD5" w:rsidRPr="000C6328" w:rsidRDefault="00866CD5" w:rsidP="00866CD5">
      <w:pPr>
        <w:pStyle w:val="Heading3"/>
        <w:spacing w:before="0" w:after="0"/>
        <w:jc w:val="center"/>
        <w:rPr>
          <w:rFonts w:ascii="Arial" w:hAnsi="Arial" w:cs="Arial"/>
          <w:sz w:val="22"/>
          <w:szCs w:val="22"/>
          <w:lang w:val="en-GB"/>
        </w:rPr>
      </w:pPr>
      <w:r w:rsidRPr="000C6328">
        <w:rPr>
          <w:rFonts w:ascii="Arial" w:hAnsi="Arial" w:cs="Arial"/>
          <w:sz w:val="22"/>
          <w:szCs w:val="22"/>
          <w:lang w:val="en-GB"/>
        </w:rPr>
        <w:lastRenderedPageBreak/>
        <w:t xml:space="preserve">Theme 6: </w:t>
      </w:r>
    </w:p>
    <w:p w14:paraId="501CDFE0" w14:textId="0D6B8F7F" w:rsidR="00866CD5" w:rsidRPr="000C6328" w:rsidRDefault="0034207C" w:rsidP="00866CD5">
      <w:pPr>
        <w:pStyle w:val="Heading3"/>
        <w:spacing w:before="0" w:after="0"/>
        <w:jc w:val="center"/>
        <w:rPr>
          <w:rFonts w:ascii="Arial" w:hAnsi="Arial" w:cs="Arial"/>
          <w:sz w:val="22"/>
          <w:szCs w:val="22"/>
          <w:lang w:val="en-GB"/>
        </w:rPr>
      </w:pPr>
      <w:r w:rsidRPr="000C6328">
        <w:rPr>
          <w:rFonts w:ascii="Arial" w:hAnsi="Arial" w:cs="Arial"/>
          <w:sz w:val="22"/>
          <w:szCs w:val="22"/>
          <w:lang w:val="en-GB"/>
        </w:rPr>
        <w:t xml:space="preserve">Developing and implementing a sustainable funding strategy for conservation of species used as aquatic wild </w:t>
      </w:r>
      <w:proofErr w:type="gramStart"/>
      <w:r w:rsidRPr="000C6328">
        <w:rPr>
          <w:rFonts w:ascii="Arial" w:hAnsi="Arial" w:cs="Arial"/>
          <w:sz w:val="22"/>
          <w:szCs w:val="22"/>
          <w:lang w:val="en-GB"/>
        </w:rPr>
        <w:t>meat</w:t>
      </w:r>
      <w:proofErr w:type="gramEnd"/>
    </w:p>
    <w:p w14:paraId="7EC5849D" w14:textId="77777777" w:rsidR="00866CD5" w:rsidRPr="000C6328" w:rsidRDefault="00866CD5" w:rsidP="00866CD5">
      <w:pPr>
        <w:jc w:val="both"/>
        <w:rPr>
          <w:rFonts w:cs="Arial"/>
        </w:rPr>
      </w:pPr>
    </w:p>
    <w:p w14:paraId="0DBD7DE7" w14:textId="77777777" w:rsidR="004A4987" w:rsidRPr="004A4987" w:rsidRDefault="004A4987" w:rsidP="004A4987">
      <w:pPr>
        <w:jc w:val="both"/>
        <w:rPr>
          <w:rFonts w:cs="Arial"/>
          <w:spacing w:val="-2"/>
          <w:lang w:eastAsia="en-GB"/>
        </w:rPr>
      </w:pPr>
      <w:r w:rsidRPr="004A4987">
        <w:rPr>
          <w:rFonts w:cs="Arial"/>
          <w:spacing w:val="-2"/>
          <w:lang w:eastAsia="en-GB"/>
        </w:rPr>
        <w:t>A major constraint to implementing conservation action plans, is the availability of resources that are both adequate and sustained over time. To address this challenge, it is important to engage donors early enough and establish partnerships based on the interests of the donors. Mapping donors thematic and geographic focus, ensuring donors buy into the strategic vision of the action plan, and establishing governance systems for anticipated funding are key to ensuring sustainable funding conservation of species used as aquatic wild meat.</w:t>
      </w:r>
    </w:p>
    <w:p w14:paraId="3B7D5E71" w14:textId="77777777" w:rsidR="00866CD5" w:rsidRPr="000C6328" w:rsidRDefault="00866CD5" w:rsidP="00866CD5">
      <w:pPr>
        <w:jc w:val="both"/>
        <w:rPr>
          <w:rFonts w:cs="Arial"/>
        </w:rPr>
      </w:pPr>
    </w:p>
    <w:p w14:paraId="2FA77130" w14:textId="77777777" w:rsidR="00C8450C" w:rsidRPr="000C6328" w:rsidRDefault="00C8450C" w:rsidP="00C8450C">
      <w:pPr>
        <w:jc w:val="both"/>
        <w:rPr>
          <w:rFonts w:cs="Arial"/>
          <w:spacing w:val="-2"/>
          <w:lang w:eastAsia="en-GB"/>
        </w:rPr>
      </w:pPr>
      <w:proofErr w:type="gramStart"/>
      <w:r w:rsidRPr="000C6328">
        <w:rPr>
          <w:rFonts w:cs="Arial"/>
          <w:spacing w:val="-2"/>
          <w:lang w:eastAsia="en-GB"/>
        </w:rPr>
        <w:t>5 year</w:t>
      </w:r>
      <w:proofErr w:type="gramEnd"/>
      <w:r w:rsidRPr="000C6328">
        <w:rPr>
          <w:rFonts w:cs="Arial"/>
          <w:spacing w:val="-2"/>
          <w:lang w:eastAsia="en-GB"/>
        </w:rPr>
        <w:t xml:space="preserve"> theme goal: </w:t>
      </w:r>
      <w:r w:rsidRPr="000C6328">
        <w:rPr>
          <w:rFonts w:cs="Arial"/>
          <w:b/>
          <w:bCs/>
          <w:spacing w:val="-2"/>
          <w:lang w:eastAsia="en-GB"/>
        </w:rPr>
        <w:t>Establishing sustainable funding mechanisms for the protection of species used as aquatic wild meat</w:t>
      </w:r>
    </w:p>
    <w:p w14:paraId="45603FB1" w14:textId="77777777" w:rsidR="00866CD5" w:rsidRPr="000C6328" w:rsidRDefault="00866CD5" w:rsidP="00866CD5">
      <w:pPr>
        <w:numPr>
          <w:ilvl w:val="0"/>
          <w:numId w:val="8"/>
        </w:numPr>
        <w:jc w:val="both"/>
        <w:rPr>
          <w:rFonts w:cs="Arial"/>
        </w:rPr>
      </w:pPr>
    </w:p>
    <w:tbl>
      <w:tblPr>
        <w:tblStyle w:val="TableGrid"/>
        <w:tblW w:w="0" w:type="auto"/>
        <w:tblLook w:val="0000" w:firstRow="0" w:lastRow="0" w:firstColumn="0" w:lastColumn="0" w:noHBand="0" w:noVBand="0"/>
      </w:tblPr>
      <w:tblGrid>
        <w:gridCol w:w="2661"/>
        <w:gridCol w:w="3539"/>
        <w:gridCol w:w="3912"/>
        <w:gridCol w:w="878"/>
        <w:gridCol w:w="2958"/>
      </w:tblGrid>
      <w:tr w:rsidR="000C6328" w:rsidRPr="00957F6D" w14:paraId="3D1AA30F" w14:textId="77777777" w:rsidTr="003C3483">
        <w:trPr>
          <w:tblHeader/>
        </w:trPr>
        <w:tc>
          <w:tcPr>
            <w:tcW w:w="0" w:type="auto"/>
            <w:shd w:val="clear" w:color="auto" w:fill="DEEAF6" w:themeFill="accent5" w:themeFillTint="33"/>
          </w:tcPr>
          <w:p w14:paraId="6193A9AA" w14:textId="77777777" w:rsidR="00E84C59" w:rsidRPr="00957F6D" w:rsidRDefault="00E84C59" w:rsidP="00957F6D">
            <w:pPr>
              <w:numPr>
                <w:ilvl w:val="0"/>
                <w:numId w:val="16"/>
              </w:numPr>
              <w:spacing w:before="40" w:after="40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 xml:space="preserve">Action </w:t>
            </w:r>
          </w:p>
        </w:tc>
        <w:tc>
          <w:tcPr>
            <w:tcW w:w="0" w:type="auto"/>
            <w:shd w:val="clear" w:color="auto" w:fill="DEEAF6" w:themeFill="accent5" w:themeFillTint="33"/>
          </w:tcPr>
          <w:p w14:paraId="78E0BC57" w14:textId="77777777" w:rsidR="00E84C59" w:rsidRPr="00957F6D" w:rsidRDefault="00E84C59" w:rsidP="00957F6D">
            <w:pPr>
              <w:numPr>
                <w:ilvl w:val="0"/>
                <w:numId w:val="16"/>
              </w:numPr>
              <w:spacing w:before="40" w:after="40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 xml:space="preserve">Activities </w:t>
            </w:r>
          </w:p>
        </w:tc>
        <w:tc>
          <w:tcPr>
            <w:tcW w:w="0" w:type="auto"/>
            <w:shd w:val="clear" w:color="auto" w:fill="DEEAF6" w:themeFill="accent5" w:themeFillTint="33"/>
          </w:tcPr>
          <w:p w14:paraId="60A650C9" w14:textId="77777777" w:rsidR="00E84C59" w:rsidRPr="00957F6D" w:rsidRDefault="00E84C59" w:rsidP="00957F6D">
            <w:pPr>
              <w:numPr>
                <w:ilvl w:val="0"/>
                <w:numId w:val="16"/>
              </w:numPr>
              <w:spacing w:before="40" w:after="40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Responsibility</w:t>
            </w:r>
          </w:p>
        </w:tc>
        <w:tc>
          <w:tcPr>
            <w:tcW w:w="0" w:type="auto"/>
            <w:shd w:val="clear" w:color="auto" w:fill="DEEAF6" w:themeFill="accent5" w:themeFillTint="33"/>
          </w:tcPr>
          <w:p w14:paraId="67762089" w14:textId="77777777" w:rsidR="00E84C59" w:rsidRPr="00957F6D" w:rsidRDefault="00E84C59" w:rsidP="00957F6D">
            <w:pPr>
              <w:numPr>
                <w:ilvl w:val="0"/>
                <w:numId w:val="16"/>
              </w:numPr>
              <w:spacing w:before="40" w:after="40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Time frame</w:t>
            </w:r>
          </w:p>
        </w:tc>
        <w:tc>
          <w:tcPr>
            <w:tcW w:w="0" w:type="auto"/>
            <w:shd w:val="clear" w:color="auto" w:fill="DEEAF6" w:themeFill="accent5" w:themeFillTint="33"/>
          </w:tcPr>
          <w:p w14:paraId="39CB08BA" w14:textId="77777777" w:rsidR="00E84C59" w:rsidRPr="00957F6D" w:rsidRDefault="00E84C59" w:rsidP="00957F6D">
            <w:pPr>
              <w:numPr>
                <w:ilvl w:val="0"/>
                <w:numId w:val="16"/>
              </w:numPr>
              <w:spacing w:before="40" w:after="400"/>
              <w:rPr>
                <w:rFonts w:ascii="Arial" w:eastAsia="Calibri" w:hAnsi="Arial" w:cs="Arial"/>
                <w:b/>
                <w:bCs/>
                <w:spacing w:val="-2"/>
                <w:sz w:val="20"/>
                <w:szCs w:val="20"/>
                <w:lang w:eastAsia="en-GB"/>
              </w:rPr>
            </w:pPr>
            <w:r w:rsidRPr="00957F6D">
              <w:rPr>
                <w:rFonts w:ascii="Arial" w:eastAsia="Calibri" w:hAnsi="Arial" w:cs="Arial"/>
                <w:b/>
                <w:bCs/>
                <w:spacing w:val="-2"/>
                <w:sz w:val="20"/>
                <w:szCs w:val="20"/>
                <w:lang w:eastAsia="en-GB"/>
              </w:rPr>
              <w:t xml:space="preserve">Resources needed </w:t>
            </w:r>
          </w:p>
        </w:tc>
      </w:tr>
      <w:tr w:rsidR="000C6328" w:rsidRPr="00957F6D" w14:paraId="50685A02" w14:textId="77777777" w:rsidTr="00F15DB1">
        <w:tc>
          <w:tcPr>
            <w:tcW w:w="0" w:type="auto"/>
            <w:vMerge w:val="restart"/>
          </w:tcPr>
          <w:p w14:paraId="58E89537" w14:textId="07B3905E"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6.1. Funding community-based solutions and stronger enforcement</w:t>
            </w:r>
          </w:p>
        </w:tc>
        <w:tc>
          <w:tcPr>
            <w:tcW w:w="0" w:type="auto"/>
          </w:tcPr>
          <w:p w14:paraId="6DB15058"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6.1.1 Map donors with convergent geographic and thematic interests for conservation of aquatic wild meat species</w:t>
            </w:r>
          </w:p>
        </w:tc>
        <w:tc>
          <w:tcPr>
            <w:tcW w:w="0" w:type="auto"/>
          </w:tcPr>
          <w:p w14:paraId="4664395A"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AWM WG in collaboration with West African focal points of CMS, CITES, Abidjan Convention, Ramsar, IUCN and FAO.</w:t>
            </w:r>
          </w:p>
        </w:tc>
        <w:tc>
          <w:tcPr>
            <w:tcW w:w="0" w:type="auto"/>
          </w:tcPr>
          <w:p w14:paraId="0DF9156E"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2024</w:t>
            </w:r>
          </w:p>
        </w:tc>
        <w:tc>
          <w:tcPr>
            <w:tcW w:w="0" w:type="auto"/>
          </w:tcPr>
          <w:p w14:paraId="27B7C75F"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Internal agency time + internet access + Zoom</w:t>
            </w:r>
          </w:p>
        </w:tc>
      </w:tr>
      <w:tr w:rsidR="000C6328" w:rsidRPr="00957F6D" w14:paraId="00A5605E" w14:textId="77777777" w:rsidTr="00F15DB1">
        <w:tc>
          <w:tcPr>
            <w:tcW w:w="0" w:type="auto"/>
            <w:vMerge/>
          </w:tcPr>
          <w:p w14:paraId="038ABD54"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p>
        </w:tc>
        <w:tc>
          <w:tcPr>
            <w:tcW w:w="0" w:type="auto"/>
          </w:tcPr>
          <w:p w14:paraId="7C8DF5D6"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6.1.2 Create fundraising database</w:t>
            </w:r>
          </w:p>
        </w:tc>
        <w:tc>
          <w:tcPr>
            <w:tcW w:w="0" w:type="auto"/>
          </w:tcPr>
          <w:p w14:paraId="6D1D1E06"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AWM WG in collaboration with West African focal points of CMS, CITES, Abidjan Convention, Ramsar, IUCN and FAO.</w:t>
            </w:r>
          </w:p>
        </w:tc>
        <w:tc>
          <w:tcPr>
            <w:tcW w:w="0" w:type="auto"/>
          </w:tcPr>
          <w:p w14:paraId="1115B083"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2025</w:t>
            </w:r>
          </w:p>
        </w:tc>
        <w:tc>
          <w:tcPr>
            <w:tcW w:w="0" w:type="auto"/>
          </w:tcPr>
          <w:p w14:paraId="08214D76"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Internal agency time + internet access</w:t>
            </w:r>
          </w:p>
        </w:tc>
      </w:tr>
      <w:tr w:rsidR="000C6328" w:rsidRPr="00957F6D" w14:paraId="24CEA2D8" w14:textId="77777777" w:rsidTr="00F15DB1">
        <w:tc>
          <w:tcPr>
            <w:tcW w:w="0" w:type="auto"/>
            <w:vMerge/>
          </w:tcPr>
          <w:p w14:paraId="6A2197E8"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p>
        </w:tc>
        <w:tc>
          <w:tcPr>
            <w:tcW w:w="0" w:type="auto"/>
          </w:tcPr>
          <w:p w14:paraId="25CD8A22"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6.1.3 Establish institutional mechanisms for sustainable fundraising and management of acquired funds</w:t>
            </w:r>
          </w:p>
        </w:tc>
        <w:tc>
          <w:tcPr>
            <w:tcW w:w="0" w:type="auto"/>
          </w:tcPr>
          <w:p w14:paraId="5938EE93"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AWM WG after consulting West African focal points of CMS, CITES, Abidjan Convention, Ramsar, IUCN, </w:t>
            </w:r>
            <w:proofErr w:type="gramStart"/>
            <w:r w:rsidRPr="00957F6D">
              <w:rPr>
                <w:rFonts w:ascii="Arial" w:eastAsia="Calibri" w:hAnsi="Arial" w:cs="Arial"/>
                <w:spacing w:val="-2"/>
                <w:sz w:val="20"/>
                <w:szCs w:val="20"/>
                <w:lang w:eastAsia="en-GB"/>
              </w:rPr>
              <w:t>FAO</w:t>
            </w:r>
            <w:proofErr w:type="gramEnd"/>
            <w:r w:rsidRPr="00957F6D">
              <w:rPr>
                <w:rFonts w:ascii="Arial" w:eastAsia="Calibri" w:hAnsi="Arial" w:cs="Arial"/>
                <w:spacing w:val="-2"/>
                <w:sz w:val="20"/>
                <w:szCs w:val="20"/>
                <w:lang w:eastAsia="en-GB"/>
              </w:rPr>
              <w:t xml:space="preserve"> and ECOWAS</w:t>
            </w:r>
          </w:p>
        </w:tc>
        <w:tc>
          <w:tcPr>
            <w:tcW w:w="0" w:type="auto"/>
          </w:tcPr>
          <w:p w14:paraId="78256E64"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2025</w:t>
            </w:r>
          </w:p>
        </w:tc>
        <w:tc>
          <w:tcPr>
            <w:tcW w:w="0" w:type="auto"/>
          </w:tcPr>
          <w:p w14:paraId="4F08EF3C"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Internal agency time + internet access + Zoom</w:t>
            </w:r>
          </w:p>
        </w:tc>
      </w:tr>
      <w:tr w:rsidR="000C6328" w:rsidRPr="00957F6D" w14:paraId="6541AF58" w14:textId="77777777" w:rsidTr="00F15DB1">
        <w:tc>
          <w:tcPr>
            <w:tcW w:w="0" w:type="auto"/>
            <w:vMerge/>
          </w:tcPr>
          <w:p w14:paraId="521F3635"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p>
        </w:tc>
        <w:tc>
          <w:tcPr>
            <w:tcW w:w="0" w:type="auto"/>
          </w:tcPr>
          <w:p w14:paraId="126F7037"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6.1.4 Promote the funding strategy to financial partners (advocacy documents)</w:t>
            </w:r>
          </w:p>
        </w:tc>
        <w:tc>
          <w:tcPr>
            <w:tcW w:w="0" w:type="auto"/>
          </w:tcPr>
          <w:p w14:paraId="5830A31A"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AWM WG after consulting West African focal points of CMS, CITES, Abidjan Convention, Ramsar, IUCN, </w:t>
            </w:r>
            <w:proofErr w:type="gramStart"/>
            <w:r w:rsidRPr="00957F6D">
              <w:rPr>
                <w:rFonts w:ascii="Arial" w:eastAsia="Calibri" w:hAnsi="Arial" w:cs="Arial"/>
                <w:spacing w:val="-2"/>
                <w:sz w:val="20"/>
                <w:szCs w:val="20"/>
                <w:lang w:eastAsia="en-GB"/>
              </w:rPr>
              <w:t>FAO</w:t>
            </w:r>
            <w:proofErr w:type="gramEnd"/>
            <w:r w:rsidRPr="00957F6D">
              <w:rPr>
                <w:rFonts w:ascii="Arial" w:eastAsia="Calibri" w:hAnsi="Arial" w:cs="Arial"/>
                <w:spacing w:val="-2"/>
                <w:sz w:val="20"/>
                <w:szCs w:val="20"/>
                <w:lang w:eastAsia="en-GB"/>
              </w:rPr>
              <w:t xml:space="preserve"> and ECOWAS</w:t>
            </w:r>
          </w:p>
        </w:tc>
        <w:tc>
          <w:tcPr>
            <w:tcW w:w="0" w:type="auto"/>
          </w:tcPr>
          <w:p w14:paraId="5CEE1454"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2026</w:t>
            </w:r>
          </w:p>
        </w:tc>
        <w:tc>
          <w:tcPr>
            <w:tcW w:w="0" w:type="auto"/>
          </w:tcPr>
          <w:p w14:paraId="348ECC55" w14:textId="39BCBC0F"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t xml:space="preserve">Internal agency time + internet access + workshops and travel </w:t>
            </w:r>
            <w:r w:rsidR="000C6328" w:rsidRPr="00957F6D">
              <w:rPr>
                <w:rFonts w:ascii="Arial" w:eastAsia="Calibri" w:hAnsi="Arial" w:cs="Arial"/>
                <w:spacing w:val="-2"/>
                <w:sz w:val="20"/>
                <w:szCs w:val="20"/>
                <w:lang w:eastAsia="en-GB"/>
              </w:rPr>
              <w:t xml:space="preserve">+ </w:t>
            </w:r>
            <w:r w:rsidR="000C6328" w:rsidRPr="00957F6D">
              <w:rPr>
                <w:rFonts w:ascii="Arial" w:eastAsia="Calibri" w:hAnsi="Arial" w:cs="Arial"/>
                <w:sz w:val="20"/>
                <w:szCs w:val="20"/>
              </w:rPr>
              <w:t>cost of producing materials</w:t>
            </w:r>
          </w:p>
        </w:tc>
      </w:tr>
      <w:tr w:rsidR="000C6328" w:rsidRPr="00957F6D" w14:paraId="4987F73B" w14:textId="77777777" w:rsidTr="00F15DB1">
        <w:tc>
          <w:tcPr>
            <w:tcW w:w="0" w:type="auto"/>
          </w:tcPr>
          <w:p w14:paraId="07C72EF7" w14:textId="77777777" w:rsidR="00E84C59" w:rsidRPr="00957F6D" w:rsidRDefault="00E84C59" w:rsidP="00957F6D">
            <w:pPr>
              <w:numPr>
                <w:ilvl w:val="0"/>
                <w:numId w:val="16"/>
              </w:numPr>
              <w:spacing w:before="40" w:after="400"/>
              <w:rPr>
                <w:rFonts w:ascii="Arial" w:eastAsia="Calibri" w:hAnsi="Arial" w:cs="Arial"/>
                <w:spacing w:val="-2"/>
                <w:sz w:val="20"/>
                <w:szCs w:val="20"/>
                <w:lang w:eastAsia="en-GB"/>
              </w:rPr>
            </w:pPr>
            <w:r w:rsidRPr="00957F6D">
              <w:rPr>
                <w:rFonts w:ascii="Arial" w:eastAsia="Calibri" w:hAnsi="Arial" w:cs="Arial"/>
                <w:spacing w:val="-2"/>
                <w:sz w:val="20"/>
                <w:szCs w:val="20"/>
                <w:lang w:eastAsia="en-GB"/>
              </w:rPr>
              <w:lastRenderedPageBreak/>
              <w:t>6.2 Support coordination and implementation of the Action Plan</w:t>
            </w:r>
          </w:p>
        </w:tc>
        <w:tc>
          <w:tcPr>
            <w:tcW w:w="0" w:type="auto"/>
          </w:tcPr>
          <w:p w14:paraId="7F617525" w14:textId="77777777" w:rsidR="00E84C59" w:rsidRPr="00957F6D" w:rsidRDefault="00E84C59" w:rsidP="00957F6D">
            <w:pPr>
              <w:numPr>
                <w:ilvl w:val="0"/>
                <w:numId w:val="16"/>
              </w:numPr>
              <w:spacing w:before="40" w:after="400"/>
              <w:rPr>
                <w:rFonts w:ascii="Arial" w:eastAsia="Calibri" w:hAnsi="Arial" w:cs="Arial"/>
                <w:sz w:val="20"/>
                <w:szCs w:val="20"/>
              </w:rPr>
            </w:pPr>
            <w:r w:rsidRPr="00957F6D">
              <w:rPr>
                <w:rFonts w:ascii="Arial" w:eastAsia="Calibri" w:hAnsi="Arial" w:cs="Arial"/>
                <w:spacing w:val="-2"/>
                <w:sz w:val="20"/>
                <w:szCs w:val="20"/>
                <w:lang w:eastAsia="en-GB"/>
              </w:rPr>
              <w:t>6.2.1. Fund and recruit a regional coordinator to support the CMS Focal Points with Action Plan delivery.</w:t>
            </w:r>
          </w:p>
        </w:tc>
        <w:tc>
          <w:tcPr>
            <w:tcW w:w="0" w:type="auto"/>
          </w:tcPr>
          <w:p w14:paraId="58D80E37" w14:textId="77777777" w:rsidR="00E84C59" w:rsidRPr="00957F6D" w:rsidRDefault="00E84C59" w:rsidP="00957F6D">
            <w:pPr>
              <w:spacing w:before="40" w:after="400"/>
              <w:ind w:left="58" w:right="145"/>
              <w:rPr>
                <w:rFonts w:ascii="Arial" w:eastAsia="Arial" w:hAnsi="Arial" w:cs="Arial"/>
                <w:spacing w:val="-1"/>
                <w:sz w:val="20"/>
                <w:szCs w:val="20"/>
              </w:rPr>
            </w:pPr>
            <w:r w:rsidRPr="00957F6D">
              <w:rPr>
                <w:rFonts w:ascii="Arial" w:eastAsia="Calibri" w:hAnsi="Arial" w:cs="Arial"/>
                <w:spacing w:val="-2"/>
                <w:sz w:val="20"/>
                <w:szCs w:val="20"/>
                <w:lang w:eastAsia="en-GB"/>
              </w:rPr>
              <w:t>Donor agencies and West African CMS Focal Points</w:t>
            </w:r>
          </w:p>
        </w:tc>
        <w:tc>
          <w:tcPr>
            <w:tcW w:w="0" w:type="auto"/>
          </w:tcPr>
          <w:p w14:paraId="73A644E5" w14:textId="77777777" w:rsidR="00E84C59" w:rsidRPr="00957F6D" w:rsidRDefault="00E84C59" w:rsidP="00957F6D">
            <w:pPr>
              <w:numPr>
                <w:ilvl w:val="0"/>
                <w:numId w:val="16"/>
              </w:numPr>
              <w:spacing w:before="40" w:after="400"/>
              <w:rPr>
                <w:rFonts w:ascii="Arial" w:eastAsia="Calibri" w:hAnsi="Arial" w:cs="Arial"/>
                <w:sz w:val="20"/>
                <w:szCs w:val="20"/>
                <w:highlight w:val="yellow"/>
              </w:rPr>
            </w:pPr>
            <w:r w:rsidRPr="00957F6D">
              <w:rPr>
                <w:rFonts w:ascii="Arial" w:eastAsia="Calibri" w:hAnsi="Arial" w:cs="Arial"/>
                <w:spacing w:val="-2"/>
                <w:sz w:val="20"/>
                <w:szCs w:val="20"/>
                <w:lang w:eastAsia="en-GB"/>
              </w:rPr>
              <w:t>2024</w:t>
            </w:r>
          </w:p>
        </w:tc>
        <w:tc>
          <w:tcPr>
            <w:tcW w:w="0" w:type="auto"/>
          </w:tcPr>
          <w:p w14:paraId="4CADFB21" w14:textId="77777777" w:rsidR="00E84C59" w:rsidRPr="00957F6D" w:rsidRDefault="00E84C59" w:rsidP="00957F6D">
            <w:pPr>
              <w:numPr>
                <w:ilvl w:val="0"/>
                <w:numId w:val="16"/>
              </w:numPr>
              <w:spacing w:before="40" w:after="400"/>
              <w:rPr>
                <w:rFonts w:ascii="Arial" w:eastAsia="Calibri" w:hAnsi="Arial" w:cs="Arial"/>
                <w:sz w:val="20"/>
                <w:szCs w:val="20"/>
              </w:rPr>
            </w:pPr>
            <w:r w:rsidRPr="00957F6D">
              <w:rPr>
                <w:rFonts w:ascii="Arial" w:eastAsia="Calibri" w:hAnsi="Arial" w:cs="Arial"/>
                <w:spacing w:val="-2"/>
                <w:sz w:val="20"/>
                <w:szCs w:val="20"/>
                <w:lang w:eastAsia="en-GB"/>
              </w:rPr>
              <w:t>Salary and support costs (office, travel etc.)</w:t>
            </w:r>
          </w:p>
        </w:tc>
      </w:tr>
    </w:tbl>
    <w:p w14:paraId="4C224F3F" w14:textId="77777777" w:rsidR="00866CD5" w:rsidRPr="000C6328" w:rsidRDefault="00866CD5" w:rsidP="00E16720">
      <w:pPr>
        <w:pStyle w:val="Secondnumbering"/>
        <w:numPr>
          <w:ilvl w:val="0"/>
          <w:numId w:val="0"/>
        </w:numPr>
        <w:jc w:val="both"/>
        <w:rPr>
          <w:rFonts w:cs="Arial"/>
        </w:rPr>
      </w:pPr>
    </w:p>
    <w:sectPr w:rsidR="00866CD5" w:rsidRPr="000C6328" w:rsidSect="008E7800">
      <w:footerReference w:type="default" r:id="rId17"/>
      <w:pgSz w:w="16838" w:h="11906" w:orient="landscape"/>
      <w:pgMar w:top="1440" w:right="1440" w:bottom="1440" w:left="1440" w:header="72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4A8F" w14:textId="77777777" w:rsidR="009915E8" w:rsidRDefault="009915E8">
      <w:r>
        <w:separator/>
      </w:r>
    </w:p>
  </w:endnote>
  <w:endnote w:type="continuationSeparator" w:id="0">
    <w:p w14:paraId="5595A4FA" w14:textId="77777777" w:rsidR="009915E8" w:rsidRDefault="0099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Noto Sans CJK SC">
    <w:panose1 w:val="00000000000000000000"/>
    <w:charset w:val="80"/>
    <w:family w:val="swiss"/>
    <w:notTrueType/>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Liberation Sans">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50151470"/>
      <w:docPartObj>
        <w:docPartGallery w:val="Page Numbers (Bottom of Page)"/>
        <w:docPartUnique/>
      </w:docPartObj>
    </w:sdtPr>
    <w:sdtEndPr>
      <w:rPr>
        <w:noProof/>
      </w:rPr>
    </w:sdtEndPr>
    <w:sdtContent>
      <w:p w14:paraId="0FE75817" w14:textId="1DA8C5F6" w:rsidR="003C3EEA" w:rsidRPr="00957F6D" w:rsidRDefault="00957F6D" w:rsidP="00957F6D">
        <w:pPr>
          <w:pStyle w:val="Footer"/>
          <w:jc w:val="center"/>
          <w:rPr>
            <w:sz w:val="18"/>
            <w:szCs w:val="18"/>
          </w:rPr>
        </w:pPr>
        <w:r w:rsidRPr="00957F6D">
          <w:rPr>
            <w:sz w:val="18"/>
            <w:szCs w:val="18"/>
          </w:rPr>
          <w:fldChar w:fldCharType="begin"/>
        </w:r>
        <w:r w:rsidRPr="00957F6D">
          <w:rPr>
            <w:sz w:val="18"/>
            <w:szCs w:val="18"/>
          </w:rPr>
          <w:instrText xml:space="preserve"> PAGE   \* MERGEFORMAT </w:instrText>
        </w:r>
        <w:r w:rsidRPr="00957F6D">
          <w:rPr>
            <w:sz w:val="18"/>
            <w:szCs w:val="18"/>
          </w:rPr>
          <w:fldChar w:fldCharType="separate"/>
        </w:r>
        <w:r w:rsidRPr="00957F6D">
          <w:rPr>
            <w:noProof/>
            <w:sz w:val="18"/>
            <w:szCs w:val="18"/>
          </w:rPr>
          <w:t>2</w:t>
        </w:r>
        <w:r w:rsidRPr="00957F6D">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C48E" w14:textId="3E264D3A" w:rsidR="003C3EEA" w:rsidRDefault="003C3EEA">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5D48" w14:textId="77777777" w:rsidR="003C3EEA" w:rsidRDefault="00056A3F">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53074843"/>
      <w:docPartObj>
        <w:docPartGallery w:val="Page Numbers (Bottom of Page)"/>
        <w:docPartUnique/>
      </w:docPartObj>
    </w:sdtPr>
    <w:sdtEndPr>
      <w:rPr>
        <w:noProof/>
      </w:rPr>
    </w:sdtEndPr>
    <w:sdtContent>
      <w:p w14:paraId="450F9A64" w14:textId="51053B10" w:rsidR="00957F6D" w:rsidRPr="00957F6D" w:rsidRDefault="00957F6D" w:rsidP="00957F6D">
        <w:pPr>
          <w:pStyle w:val="Footer"/>
          <w:jc w:val="center"/>
          <w:rPr>
            <w:sz w:val="18"/>
            <w:szCs w:val="18"/>
          </w:rPr>
        </w:pPr>
        <w:r w:rsidRPr="00957F6D">
          <w:rPr>
            <w:sz w:val="18"/>
            <w:szCs w:val="18"/>
          </w:rPr>
          <w:fldChar w:fldCharType="begin"/>
        </w:r>
        <w:r w:rsidRPr="00957F6D">
          <w:rPr>
            <w:sz w:val="18"/>
            <w:szCs w:val="18"/>
          </w:rPr>
          <w:instrText xml:space="preserve"> PAGE   \* MERGEFORMAT </w:instrText>
        </w:r>
        <w:r w:rsidRPr="00957F6D">
          <w:rPr>
            <w:sz w:val="18"/>
            <w:szCs w:val="18"/>
          </w:rPr>
          <w:fldChar w:fldCharType="separate"/>
        </w:r>
        <w:r w:rsidRPr="00957F6D">
          <w:rPr>
            <w:noProof/>
            <w:sz w:val="18"/>
            <w:szCs w:val="18"/>
          </w:rPr>
          <w:t>2</w:t>
        </w:r>
        <w:r w:rsidRPr="00957F6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9182" w14:textId="77777777" w:rsidR="009915E8" w:rsidRDefault="009915E8">
      <w:r>
        <w:separator/>
      </w:r>
    </w:p>
  </w:footnote>
  <w:footnote w:type="continuationSeparator" w:id="0">
    <w:p w14:paraId="7368816E" w14:textId="77777777" w:rsidR="009915E8" w:rsidRDefault="00991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2C44" w14:textId="2926B23D" w:rsidR="00BF36D5" w:rsidRDefault="00BF36D5" w:rsidP="00BF36D5">
    <w:pPr>
      <w:pStyle w:val="Header"/>
      <w:pBdr>
        <w:bottom w:val="single" w:sz="4" w:space="1" w:color="000000"/>
      </w:pBdr>
      <w:rPr>
        <w:rFonts w:cs="Arial"/>
        <w:i/>
        <w:sz w:val="18"/>
        <w:szCs w:val="18"/>
        <w:lang w:val="de-DE"/>
      </w:rPr>
    </w:pPr>
    <w:r>
      <w:rPr>
        <w:rFonts w:cs="Arial"/>
        <w:i/>
        <w:sz w:val="18"/>
        <w:szCs w:val="18"/>
        <w:lang w:val="de-DE"/>
      </w:rPr>
      <w:t>UNEP/CMS/COP14/Doc.</w:t>
    </w:r>
    <w:r w:rsidR="004F2299">
      <w:rPr>
        <w:rFonts w:cs="Arial"/>
        <w:i/>
        <w:sz w:val="18"/>
        <w:szCs w:val="18"/>
        <w:lang w:val="de-DE"/>
      </w:rPr>
      <w:t>30.1.2</w:t>
    </w:r>
    <w:r>
      <w:rPr>
        <w:rFonts w:cs="Arial"/>
        <w:i/>
        <w:sz w:val="18"/>
        <w:szCs w:val="18"/>
        <w:lang w:val="de-DE"/>
      </w:rPr>
      <w:t>/</w:t>
    </w:r>
    <w:r w:rsidR="00BC1186">
      <w:rPr>
        <w:rFonts w:cs="Arial"/>
        <w:i/>
        <w:sz w:val="18"/>
        <w:szCs w:val="18"/>
        <w:lang w:val="de-DE"/>
      </w:rPr>
      <w:t>Rev.3</w:t>
    </w:r>
    <w:r w:rsidR="00F734DA">
      <w:rPr>
        <w:rFonts w:cs="Arial"/>
        <w:i/>
        <w:sz w:val="18"/>
        <w:szCs w:val="18"/>
        <w:lang w:val="de-DE"/>
      </w:rPr>
      <w:t>/</w:t>
    </w:r>
    <w:r>
      <w:rPr>
        <w:rFonts w:cs="Arial"/>
        <w:i/>
        <w:sz w:val="18"/>
        <w:szCs w:val="18"/>
        <w:lang w:val="de-DE"/>
      </w:rPr>
      <w:t xml:space="preserve">Annex </w:t>
    </w:r>
    <w:r w:rsidR="008454DA">
      <w:rPr>
        <w:rFonts w:cs="Arial"/>
        <w:i/>
        <w:sz w:val="18"/>
        <w:szCs w:val="18"/>
        <w:lang w:val="de-DE"/>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49E7" w14:textId="0B0CB50E" w:rsidR="003C3EEA" w:rsidRDefault="00056A3F">
    <w:pPr>
      <w:pStyle w:val="Header"/>
      <w:pBdr>
        <w:bottom w:val="single" w:sz="4" w:space="1" w:color="000000"/>
      </w:pBdr>
      <w:jc w:val="right"/>
      <w:rPr>
        <w:rFonts w:cs="Arial"/>
        <w:i/>
        <w:sz w:val="18"/>
        <w:szCs w:val="18"/>
        <w:lang w:val="de-DE"/>
      </w:rPr>
    </w:pPr>
    <w:r>
      <w:rPr>
        <w:rFonts w:cs="Arial"/>
        <w:i/>
        <w:sz w:val="18"/>
        <w:szCs w:val="18"/>
        <w:lang w:val="de-DE"/>
      </w:rPr>
      <w:t>UNEP/CMS/COP14/Doc.</w:t>
    </w:r>
    <w:r w:rsidR="00841EB6">
      <w:rPr>
        <w:rFonts w:cs="Arial"/>
        <w:i/>
        <w:sz w:val="18"/>
        <w:szCs w:val="18"/>
        <w:lang w:val="de-DE"/>
      </w:rPr>
      <w:t>30.1.2</w:t>
    </w:r>
    <w:r>
      <w:rPr>
        <w:rFonts w:cs="Arial"/>
        <w:i/>
        <w:sz w:val="18"/>
        <w:szCs w:val="18"/>
        <w:lang w:val="de-DE"/>
      </w:rPr>
      <w:t>/</w:t>
    </w:r>
    <w:r w:rsidR="00BC1186">
      <w:rPr>
        <w:rFonts w:cs="Arial"/>
        <w:i/>
        <w:sz w:val="18"/>
        <w:szCs w:val="18"/>
        <w:lang w:val="de-DE"/>
      </w:rPr>
      <w:t>Rev.3</w:t>
    </w:r>
    <w:r w:rsidR="00F734DA">
      <w:rPr>
        <w:rFonts w:cs="Arial"/>
        <w:i/>
        <w:sz w:val="18"/>
        <w:szCs w:val="18"/>
        <w:lang w:val="de-DE"/>
      </w:rPr>
      <w:t>/</w:t>
    </w:r>
    <w:r>
      <w:rPr>
        <w:rFonts w:cs="Arial"/>
        <w:i/>
        <w:sz w:val="18"/>
        <w:szCs w:val="18"/>
        <w:lang w:val="de-DE"/>
      </w:rPr>
      <w:t xml:space="preserve">Annex </w:t>
    </w:r>
    <w:r w:rsidR="008454DA">
      <w:rPr>
        <w:rFonts w:cs="Arial"/>
        <w:i/>
        <w:sz w:val="18"/>
        <w:szCs w:val="18"/>
        <w:lang w:val="de-DE"/>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2A9C" w14:textId="77777777" w:rsidR="003C3EEA" w:rsidRDefault="00056A3F">
    <w:pPr>
      <w:pStyle w:val="Header"/>
      <w:pBdr>
        <w:bottom w:val="single" w:sz="4" w:space="1" w:color="000000"/>
      </w:pBdr>
      <w:rPr>
        <w:rFonts w:cs="Arial"/>
        <w:i/>
        <w:sz w:val="18"/>
        <w:szCs w:val="18"/>
        <w:lang w:val="de-DE"/>
      </w:rPr>
    </w:pPr>
    <w:r>
      <w:rPr>
        <w:rFonts w:cs="Arial"/>
        <w:i/>
        <w:sz w:val="18"/>
        <w:szCs w:val="18"/>
        <w:lang w:val="de-DE"/>
      </w:rPr>
      <w:t>UNEP/CMS/COP14/Doc.[  ]/Annex[...]</w:t>
    </w:r>
  </w:p>
  <w:p w14:paraId="54B299BB" w14:textId="77777777" w:rsidR="003C3EEA" w:rsidRDefault="003C3EEA">
    <w:pPr>
      <w:tabs>
        <w:tab w:val="center" w:pos="4680"/>
        <w:tab w:val="right" w:pos="9360"/>
      </w:tabs>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8EB"/>
    <w:multiLevelType w:val="multilevel"/>
    <w:tmpl w:val="7B527A7E"/>
    <w:lvl w:ilvl="0">
      <w:start w:val="1"/>
      <w:numFmt w:val="lowerRoman"/>
      <w:pStyle w:val="Thirdnumberingi"/>
      <w:lvlText w:val="%1)."/>
      <w:lvlJc w:val="right"/>
      <w:pPr>
        <w:tabs>
          <w:tab w:val="num" w:pos="0"/>
        </w:tabs>
        <w:ind w:left="2001" w:hanging="360"/>
      </w:pPr>
    </w:lvl>
    <w:lvl w:ilvl="1">
      <w:start w:val="1"/>
      <w:numFmt w:val="lowerLetter"/>
      <w:lvlText w:val="%2."/>
      <w:lvlJc w:val="left"/>
      <w:pPr>
        <w:tabs>
          <w:tab w:val="num" w:pos="0"/>
        </w:tabs>
        <w:ind w:left="2721" w:hanging="360"/>
      </w:pPr>
    </w:lvl>
    <w:lvl w:ilvl="2">
      <w:start w:val="1"/>
      <w:numFmt w:val="lowerRoman"/>
      <w:lvlText w:val="%3."/>
      <w:lvlJc w:val="right"/>
      <w:pPr>
        <w:tabs>
          <w:tab w:val="num" w:pos="0"/>
        </w:tabs>
        <w:ind w:left="3441" w:hanging="180"/>
      </w:pPr>
    </w:lvl>
    <w:lvl w:ilvl="3">
      <w:start w:val="1"/>
      <w:numFmt w:val="decimal"/>
      <w:lvlText w:val="%4."/>
      <w:lvlJc w:val="left"/>
      <w:pPr>
        <w:tabs>
          <w:tab w:val="num" w:pos="0"/>
        </w:tabs>
        <w:ind w:left="4161" w:hanging="360"/>
      </w:pPr>
    </w:lvl>
    <w:lvl w:ilvl="4">
      <w:start w:val="1"/>
      <w:numFmt w:val="lowerLetter"/>
      <w:lvlText w:val="%5."/>
      <w:lvlJc w:val="left"/>
      <w:pPr>
        <w:tabs>
          <w:tab w:val="num" w:pos="0"/>
        </w:tabs>
        <w:ind w:left="4881" w:hanging="360"/>
      </w:pPr>
    </w:lvl>
    <w:lvl w:ilvl="5">
      <w:start w:val="1"/>
      <w:numFmt w:val="lowerRoman"/>
      <w:lvlText w:val="%6."/>
      <w:lvlJc w:val="right"/>
      <w:pPr>
        <w:tabs>
          <w:tab w:val="num" w:pos="0"/>
        </w:tabs>
        <w:ind w:left="5601" w:hanging="180"/>
      </w:pPr>
    </w:lvl>
    <w:lvl w:ilvl="6">
      <w:start w:val="1"/>
      <w:numFmt w:val="decimal"/>
      <w:lvlText w:val="%7."/>
      <w:lvlJc w:val="left"/>
      <w:pPr>
        <w:tabs>
          <w:tab w:val="num" w:pos="0"/>
        </w:tabs>
        <w:ind w:left="6321" w:hanging="360"/>
      </w:pPr>
    </w:lvl>
    <w:lvl w:ilvl="7">
      <w:start w:val="1"/>
      <w:numFmt w:val="lowerLetter"/>
      <w:lvlText w:val="%8."/>
      <w:lvlJc w:val="left"/>
      <w:pPr>
        <w:tabs>
          <w:tab w:val="num" w:pos="0"/>
        </w:tabs>
        <w:ind w:left="7041" w:hanging="360"/>
      </w:pPr>
    </w:lvl>
    <w:lvl w:ilvl="8">
      <w:start w:val="1"/>
      <w:numFmt w:val="lowerRoman"/>
      <w:lvlText w:val="%9."/>
      <w:lvlJc w:val="right"/>
      <w:pPr>
        <w:tabs>
          <w:tab w:val="num" w:pos="0"/>
        </w:tabs>
        <w:ind w:left="7761" w:hanging="180"/>
      </w:pPr>
    </w:lvl>
  </w:abstractNum>
  <w:abstractNum w:abstractNumId="1" w15:restartNumberingAfterBreak="0">
    <w:nsid w:val="10C6322F"/>
    <w:multiLevelType w:val="multilevel"/>
    <w:tmpl w:val="FF342BC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97A0F20"/>
    <w:multiLevelType w:val="multilevel"/>
    <w:tmpl w:val="CB287C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443306"/>
    <w:multiLevelType w:val="multilevel"/>
    <w:tmpl w:val="4F6A28A6"/>
    <w:lvl w:ilvl="0">
      <w:start w:val="1"/>
      <w:numFmt w:val="upperLetter"/>
      <w:pStyle w:val="FourthnumberingA"/>
      <w:lvlText w:val="%1."/>
      <w:lvlJc w:val="righ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4" w15:restartNumberingAfterBreak="0">
    <w:nsid w:val="1E5F5A0F"/>
    <w:multiLevelType w:val="multilevel"/>
    <w:tmpl w:val="70201C84"/>
    <w:lvl w:ilvl="0">
      <w:start w:val="1"/>
      <w:numFmt w:val="decimal"/>
      <w:pStyle w:val="Firstnumbering"/>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92B07E2"/>
    <w:multiLevelType w:val="hybridMultilevel"/>
    <w:tmpl w:val="3BB4E72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3B143C6"/>
    <w:multiLevelType w:val="multilevel"/>
    <w:tmpl w:val="7C6468B8"/>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35401934"/>
    <w:multiLevelType w:val="multilevel"/>
    <w:tmpl w:val="DE5ABBDA"/>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384C77CB"/>
    <w:multiLevelType w:val="multilevel"/>
    <w:tmpl w:val="D466C86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39C02B0E"/>
    <w:multiLevelType w:val="hybridMultilevel"/>
    <w:tmpl w:val="D0721BE2"/>
    <w:lvl w:ilvl="0" w:tplc="FFFFFFFF">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43769D"/>
    <w:multiLevelType w:val="multilevel"/>
    <w:tmpl w:val="8A7E76D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B0D16CC"/>
    <w:multiLevelType w:val="hybridMultilevel"/>
    <w:tmpl w:val="3FFC24EA"/>
    <w:lvl w:ilvl="0" w:tplc="FFFFFFFF">
      <w:start w:val="1"/>
      <w:numFmt w:val="bullet"/>
      <w:lvlText w:val=""/>
      <w:lvlJc w:val="left"/>
      <w:pPr>
        <w:ind w:left="720" w:hanging="360"/>
      </w:pPr>
      <w:rPr>
        <w:rFonts w:ascii="Symbol" w:hAnsi="Symbol" w:hint="default"/>
      </w:rPr>
    </w:lvl>
    <w:lvl w:ilvl="1" w:tplc="200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0D30C26"/>
    <w:multiLevelType w:val="multilevel"/>
    <w:tmpl w:val="661223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41F2A90"/>
    <w:multiLevelType w:val="multilevel"/>
    <w:tmpl w:val="0532923A"/>
    <w:lvl w:ilvl="0">
      <w:start w:val="1"/>
      <w:numFmt w:val="lowerLetter"/>
      <w:lvlText w:val="%1."/>
      <w:lvlJc w:val="left"/>
      <w:pPr>
        <w:tabs>
          <w:tab w:val="num" w:pos="0"/>
        </w:tabs>
        <w:ind w:left="0" w:firstLine="0"/>
      </w:pPr>
      <w:rPr>
        <w:sz w:val="22"/>
        <w:szCs w:val="3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4" w15:restartNumberingAfterBreak="0">
    <w:nsid w:val="7B1E112B"/>
    <w:multiLevelType w:val="multilevel"/>
    <w:tmpl w:val="2000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7C442201"/>
    <w:multiLevelType w:val="multilevel"/>
    <w:tmpl w:val="85849BA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997919929">
    <w:abstractNumId w:val="4"/>
  </w:num>
  <w:num w:numId="2" w16cid:durableId="1110197012">
    <w:abstractNumId w:val="7"/>
  </w:num>
  <w:num w:numId="3" w16cid:durableId="1583103437">
    <w:abstractNumId w:val="0"/>
  </w:num>
  <w:num w:numId="4" w16cid:durableId="1712151677">
    <w:abstractNumId w:val="3"/>
  </w:num>
  <w:num w:numId="5" w16cid:durableId="1131483525">
    <w:abstractNumId w:val="14"/>
  </w:num>
  <w:num w:numId="6" w16cid:durableId="692417621">
    <w:abstractNumId w:val="10"/>
  </w:num>
  <w:num w:numId="7" w16cid:durableId="1156071323">
    <w:abstractNumId w:val="2"/>
  </w:num>
  <w:num w:numId="8" w16cid:durableId="1529368219">
    <w:abstractNumId w:val="6"/>
  </w:num>
  <w:num w:numId="9" w16cid:durableId="460462378">
    <w:abstractNumId w:val="13"/>
  </w:num>
  <w:num w:numId="10" w16cid:durableId="1351836596">
    <w:abstractNumId w:val="1"/>
  </w:num>
  <w:num w:numId="11" w16cid:durableId="674458968">
    <w:abstractNumId w:val="5"/>
  </w:num>
  <w:num w:numId="12" w16cid:durableId="1735929601">
    <w:abstractNumId w:val="9"/>
  </w:num>
  <w:num w:numId="13" w16cid:durableId="1292596912">
    <w:abstractNumId w:val="11"/>
  </w:num>
  <w:num w:numId="14" w16cid:durableId="1145439474">
    <w:abstractNumId w:val="8"/>
  </w:num>
  <w:num w:numId="15" w16cid:durableId="1496191893">
    <w:abstractNumId w:val="15"/>
  </w:num>
  <w:num w:numId="16" w16cid:durableId="44782425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EA"/>
    <w:rsid w:val="00001CB8"/>
    <w:rsid w:val="00004D35"/>
    <w:rsid w:val="0000793C"/>
    <w:rsid w:val="00010DCD"/>
    <w:rsid w:val="00027455"/>
    <w:rsid w:val="000312AD"/>
    <w:rsid w:val="000324AF"/>
    <w:rsid w:val="00050303"/>
    <w:rsid w:val="00056A3F"/>
    <w:rsid w:val="00060EF6"/>
    <w:rsid w:val="00063C8B"/>
    <w:rsid w:val="00073424"/>
    <w:rsid w:val="00080347"/>
    <w:rsid w:val="0009047F"/>
    <w:rsid w:val="000A081C"/>
    <w:rsid w:val="000C27FE"/>
    <w:rsid w:val="000C6328"/>
    <w:rsid w:val="000C7523"/>
    <w:rsid w:val="000D7331"/>
    <w:rsid w:val="000F0975"/>
    <w:rsid w:val="000F1DE9"/>
    <w:rsid w:val="000F5664"/>
    <w:rsid w:val="000F64AD"/>
    <w:rsid w:val="00100F72"/>
    <w:rsid w:val="00117CAE"/>
    <w:rsid w:val="001412CE"/>
    <w:rsid w:val="00141E8A"/>
    <w:rsid w:val="00145EB1"/>
    <w:rsid w:val="001522F2"/>
    <w:rsid w:val="00153BE9"/>
    <w:rsid w:val="001619BD"/>
    <w:rsid w:val="00164A18"/>
    <w:rsid w:val="00170A34"/>
    <w:rsid w:val="00197188"/>
    <w:rsid w:val="001A6DBD"/>
    <w:rsid w:val="001B1D55"/>
    <w:rsid w:val="001B61AD"/>
    <w:rsid w:val="001B718B"/>
    <w:rsid w:val="001B7213"/>
    <w:rsid w:val="001B7563"/>
    <w:rsid w:val="001D0295"/>
    <w:rsid w:val="001F0826"/>
    <w:rsid w:val="00223A22"/>
    <w:rsid w:val="00237C48"/>
    <w:rsid w:val="00237D72"/>
    <w:rsid w:val="002442CC"/>
    <w:rsid w:val="00246449"/>
    <w:rsid w:val="0025414D"/>
    <w:rsid w:val="002736AE"/>
    <w:rsid w:val="00273E27"/>
    <w:rsid w:val="00284C5D"/>
    <w:rsid w:val="002944C0"/>
    <w:rsid w:val="00296905"/>
    <w:rsid w:val="00297036"/>
    <w:rsid w:val="002D2303"/>
    <w:rsid w:val="002D42C7"/>
    <w:rsid w:val="00305D9B"/>
    <w:rsid w:val="00317D84"/>
    <w:rsid w:val="003223BC"/>
    <w:rsid w:val="003226BF"/>
    <w:rsid w:val="00332B52"/>
    <w:rsid w:val="00333089"/>
    <w:rsid w:val="00340AAC"/>
    <w:rsid w:val="0034207C"/>
    <w:rsid w:val="00364E36"/>
    <w:rsid w:val="00383EFD"/>
    <w:rsid w:val="003C3483"/>
    <w:rsid w:val="003C3EEA"/>
    <w:rsid w:val="003C4B1A"/>
    <w:rsid w:val="003D0418"/>
    <w:rsid w:val="003E0CE1"/>
    <w:rsid w:val="003F2EC8"/>
    <w:rsid w:val="00405DB8"/>
    <w:rsid w:val="0041240E"/>
    <w:rsid w:val="00416CD3"/>
    <w:rsid w:val="00421F3A"/>
    <w:rsid w:val="004268D0"/>
    <w:rsid w:val="00443B7B"/>
    <w:rsid w:val="0044763D"/>
    <w:rsid w:val="00447681"/>
    <w:rsid w:val="00451A0A"/>
    <w:rsid w:val="00452384"/>
    <w:rsid w:val="00473361"/>
    <w:rsid w:val="00482005"/>
    <w:rsid w:val="00494726"/>
    <w:rsid w:val="004A445D"/>
    <w:rsid w:val="004A4987"/>
    <w:rsid w:val="004A57E6"/>
    <w:rsid w:val="004B5F18"/>
    <w:rsid w:val="004C2D8E"/>
    <w:rsid w:val="004C523F"/>
    <w:rsid w:val="004C65D2"/>
    <w:rsid w:val="004D065A"/>
    <w:rsid w:val="004D190D"/>
    <w:rsid w:val="004D441B"/>
    <w:rsid w:val="004D4574"/>
    <w:rsid w:val="004F0C06"/>
    <w:rsid w:val="004F2299"/>
    <w:rsid w:val="005034A3"/>
    <w:rsid w:val="00507709"/>
    <w:rsid w:val="00512F58"/>
    <w:rsid w:val="00517726"/>
    <w:rsid w:val="005202B2"/>
    <w:rsid w:val="00522424"/>
    <w:rsid w:val="0052354E"/>
    <w:rsid w:val="00524ECF"/>
    <w:rsid w:val="005332A1"/>
    <w:rsid w:val="0054142C"/>
    <w:rsid w:val="00541C6F"/>
    <w:rsid w:val="00547130"/>
    <w:rsid w:val="0055145C"/>
    <w:rsid w:val="00571753"/>
    <w:rsid w:val="00576618"/>
    <w:rsid w:val="005B5C7D"/>
    <w:rsid w:val="005B7AF3"/>
    <w:rsid w:val="005C1B9A"/>
    <w:rsid w:val="005C7892"/>
    <w:rsid w:val="005E4BA2"/>
    <w:rsid w:val="005E7682"/>
    <w:rsid w:val="00602DCC"/>
    <w:rsid w:val="00603583"/>
    <w:rsid w:val="00614984"/>
    <w:rsid w:val="006237BA"/>
    <w:rsid w:val="00624D6A"/>
    <w:rsid w:val="006563FE"/>
    <w:rsid w:val="00665EB7"/>
    <w:rsid w:val="006758A3"/>
    <w:rsid w:val="006769C7"/>
    <w:rsid w:val="006868D7"/>
    <w:rsid w:val="006C7934"/>
    <w:rsid w:val="006D102E"/>
    <w:rsid w:val="006D3D14"/>
    <w:rsid w:val="006E7AB6"/>
    <w:rsid w:val="00705499"/>
    <w:rsid w:val="0071120E"/>
    <w:rsid w:val="00716A3D"/>
    <w:rsid w:val="0072014E"/>
    <w:rsid w:val="007530FD"/>
    <w:rsid w:val="00753F77"/>
    <w:rsid w:val="00770210"/>
    <w:rsid w:val="00773262"/>
    <w:rsid w:val="007845EB"/>
    <w:rsid w:val="007B5F3D"/>
    <w:rsid w:val="007C1399"/>
    <w:rsid w:val="007C5ED0"/>
    <w:rsid w:val="007D4672"/>
    <w:rsid w:val="007D6994"/>
    <w:rsid w:val="007F3258"/>
    <w:rsid w:val="0080445B"/>
    <w:rsid w:val="00816AAA"/>
    <w:rsid w:val="008211D2"/>
    <w:rsid w:val="0083145B"/>
    <w:rsid w:val="00841EB6"/>
    <w:rsid w:val="008454DA"/>
    <w:rsid w:val="0086347B"/>
    <w:rsid w:val="008635FD"/>
    <w:rsid w:val="00865712"/>
    <w:rsid w:val="00866CD5"/>
    <w:rsid w:val="00877D1D"/>
    <w:rsid w:val="008803C0"/>
    <w:rsid w:val="00882E56"/>
    <w:rsid w:val="0088374F"/>
    <w:rsid w:val="008879F2"/>
    <w:rsid w:val="008B0B52"/>
    <w:rsid w:val="008C5438"/>
    <w:rsid w:val="008D023A"/>
    <w:rsid w:val="008D5082"/>
    <w:rsid w:val="008D7F24"/>
    <w:rsid w:val="008E4F97"/>
    <w:rsid w:val="008E7800"/>
    <w:rsid w:val="008F11B9"/>
    <w:rsid w:val="008F2CEB"/>
    <w:rsid w:val="009069A2"/>
    <w:rsid w:val="009126E2"/>
    <w:rsid w:val="0092692F"/>
    <w:rsid w:val="00933BD1"/>
    <w:rsid w:val="00951978"/>
    <w:rsid w:val="00957F6D"/>
    <w:rsid w:val="00964F9C"/>
    <w:rsid w:val="009707DC"/>
    <w:rsid w:val="00972DB1"/>
    <w:rsid w:val="00976290"/>
    <w:rsid w:val="00987040"/>
    <w:rsid w:val="009915E8"/>
    <w:rsid w:val="00992EE3"/>
    <w:rsid w:val="009D27CC"/>
    <w:rsid w:val="009E63AE"/>
    <w:rsid w:val="009F300C"/>
    <w:rsid w:val="00A111D1"/>
    <w:rsid w:val="00A1350C"/>
    <w:rsid w:val="00A43057"/>
    <w:rsid w:val="00A55BF3"/>
    <w:rsid w:val="00A5673F"/>
    <w:rsid w:val="00A63E66"/>
    <w:rsid w:val="00A93F8E"/>
    <w:rsid w:val="00AA44A8"/>
    <w:rsid w:val="00AA6F46"/>
    <w:rsid w:val="00AC7D78"/>
    <w:rsid w:val="00AE5CA6"/>
    <w:rsid w:val="00AF5191"/>
    <w:rsid w:val="00B00CF1"/>
    <w:rsid w:val="00B029C8"/>
    <w:rsid w:val="00B143C0"/>
    <w:rsid w:val="00B2735F"/>
    <w:rsid w:val="00B30C62"/>
    <w:rsid w:val="00B30CAD"/>
    <w:rsid w:val="00B32DAE"/>
    <w:rsid w:val="00B54431"/>
    <w:rsid w:val="00B66BA5"/>
    <w:rsid w:val="00B75A78"/>
    <w:rsid w:val="00B973E0"/>
    <w:rsid w:val="00BB3951"/>
    <w:rsid w:val="00BB43FB"/>
    <w:rsid w:val="00BC1186"/>
    <w:rsid w:val="00BC3C0D"/>
    <w:rsid w:val="00BC586B"/>
    <w:rsid w:val="00BD5B56"/>
    <w:rsid w:val="00BD6F6E"/>
    <w:rsid w:val="00BE0797"/>
    <w:rsid w:val="00BE080C"/>
    <w:rsid w:val="00BF36D5"/>
    <w:rsid w:val="00BF3C5F"/>
    <w:rsid w:val="00C05092"/>
    <w:rsid w:val="00C0542E"/>
    <w:rsid w:val="00C164C2"/>
    <w:rsid w:val="00C21CCE"/>
    <w:rsid w:val="00C21D6C"/>
    <w:rsid w:val="00C26B89"/>
    <w:rsid w:val="00C2708E"/>
    <w:rsid w:val="00C3299E"/>
    <w:rsid w:val="00C4151D"/>
    <w:rsid w:val="00C46DE7"/>
    <w:rsid w:val="00C54785"/>
    <w:rsid w:val="00C75476"/>
    <w:rsid w:val="00C81E05"/>
    <w:rsid w:val="00C82E2D"/>
    <w:rsid w:val="00C8450C"/>
    <w:rsid w:val="00CA62FD"/>
    <w:rsid w:val="00CB2265"/>
    <w:rsid w:val="00CB2946"/>
    <w:rsid w:val="00CB4572"/>
    <w:rsid w:val="00CB5310"/>
    <w:rsid w:val="00CC042F"/>
    <w:rsid w:val="00CC2ECB"/>
    <w:rsid w:val="00CD5CC7"/>
    <w:rsid w:val="00CE6DBD"/>
    <w:rsid w:val="00CF52E1"/>
    <w:rsid w:val="00D06184"/>
    <w:rsid w:val="00D071A5"/>
    <w:rsid w:val="00D0755D"/>
    <w:rsid w:val="00D129FC"/>
    <w:rsid w:val="00D14E7C"/>
    <w:rsid w:val="00D20A8C"/>
    <w:rsid w:val="00D23263"/>
    <w:rsid w:val="00D33BED"/>
    <w:rsid w:val="00D44CF0"/>
    <w:rsid w:val="00D456B1"/>
    <w:rsid w:val="00D459D2"/>
    <w:rsid w:val="00D5387C"/>
    <w:rsid w:val="00D53EB3"/>
    <w:rsid w:val="00D65B16"/>
    <w:rsid w:val="00D83DBC"/>
    <w:rsid w:val="00DB0EB0"/>
    <w:rsid w:val="00DB22C2"/>
    <w:rsid w:val="00DB41BA"/>
    <w:rsid w:val="00DC07E1"/>
    <w:rsid w:val="00DC21D0"/>
    <w:rsid w:val="00DD62AA"/>
    <w:rsid w:val="00DD6D20"/>
    <w:rsid w:val="00DD7951"/>
    <w:rsid w:val="00DE191E"/>
    <w:rsid w:val="00DE3218"/>
    <w:rsid w:val="00DE7106"/>
    <w:rsid w:val="00DF45B9"/>
    <w:rsid w:val="00E01399"/>
    <w:rsid w:val="00E01E68"/>
    <w:rsid w:val="00E16720"/>
    <w:rsid w:val="00E207C7"/>
    <w:rsid w:val="00E36174"/>
    <w:rsid w:val="00E56D83"/>
    <w:rsid w:val="00E607AE"/>
    <w:rsid w:val="00E61373"/>
    <w:rsid w:val="00E6181B"/>
    <w:rsid w:val="00E77968"/>
    <w:rsid w:val="00E84C59"/>
    <w:rsid w:val="00E9233E"/>
    <w:rsid w:val="00EA2D9A"/>
    <w:rsid w:val="00EB5073"/>
    <w:rsid w:val="00EC6CD2"/>
    <w:rsid w:val="00EE6823"/>
    <w:rsid w:val="00EF68BD"/>
    <w:rsid w:val="00F1414B"/>
    <w:rsid w:val="00F45DA4"/>
    <w:rsid w:val="00F6155C"/>
    <w:rsid w:val="00F61793"/>
    <w:rsid w:val="00F660E9"/>
    <w:rsid w:val="00F67D11"/>
    <w:rsid w:val="00F702D1"/>
    <w:rsid w:val="00F734DA"/>
    <w:rsid w:val="00F97E25"/>
    <w:rsid w:val="00FA0FFE"/>
    <w:rsid w:val="00FA57A6"/>
    <w:rsid w:val="00FB228B"/>
    <w:rsid w:val="00FC1C7B"/>
    <w:rsid w:val="00FD22C4"/>
    <w:rsid w:val="00FF0D8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C6D7"/>
  <w15:docId w15:val="{AAABACCB-CA97-4FD9-8292-4D1127B0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84"/>
    <w:rPr>
      <w:lang w:val="en-GB"/>
    </w:rPr>
  </w:style>
  <w:style w:type="paragraph" w:styleId="Heading1">
    <w:name w:val="heading 1"/>
    <w:basedOn w:val="Heading"/>
    <w:next w:val="BodyText"/>
    <w:link w:val="Heading1Char"/>
    <w:uiPriority w:val="9"/>
    <w:qFormat/>
    <w:rsid w:val="00E16720"/>
    <w:pPr>
      <w:numPr>
        <w:numId w:val="8"/>
      </w:numPr>
      <w:jc w:val="center"/>
      <w:outlineLvl w:val="0"/>
    </w:pPr>
    <w:rPr>
      <w:rFonts w:ascii="Segoe UI Semibold" w:eastAsia="Noto Sans CJK SC" w:hAnsi="Segoe UI Semibold" w:cs="Lohit Devanagari"/>
      <w:bCs/>
      <w:kern w:val="2"/>
      <w:sz w:val="32"/>
      <w:szCs w:val="36"/>
      <w:lang w:val="en-AU" w:eastAsia="zh-CN" w:bidi="hi-IN"/>
    </w:rPr>
  </w:style>
  <w:style w:type="paragraph" w:styleId="Heading2">
    <w:name w:val="heading 2"/>
    <w:basedOn w:val="Heading"/>
    <w:next w:val="BodyText"/>
    <w:link w:val="Heading2Char"/>
    <w:uiPriority w:val="9"/>
    <w:unhideWhenUsed/>
    <w:qFormat/>
    <w:rsid w:val="00E16720"/>
    <w:pPr>
      <w:numPr>
        <w:ilvl w:val="1"/>
        <w:numId w:val="8"/>
      </w:numPr>
      <w:spacing w:before="468" w:after="312"/>
      <w:jc w:val="center"/>
      <w:outlineLvl w:val="1"/>
    </w:pPr>
    <w:rPr>
      <w:rFonts w:ascii="Segoe UI Semibold" w:eastAsia="Noto Sans CJK SC" w:hAnsi="Segoe UI Semibold" w:cs="Lohit Devanagari"/>
      <w:bCs/>
      <w:kern w:val="2"/>
      <w:sz w:val="24"/>
      <w:szCs w:val="32"/>
      <w:lang w:val="en-AU" w:eastAsia="zh-CN" w:bidi="hi-IN"/>
    </w:rPr>
  </w:style>
  <w:style w:type="paragraph" w:styleId="Heading3">
    <w:name w:val="heading 3"/>
    <w:basedOn w:val="Heading"/>
    <w:next w:val="BodyText"/>
    <w:link w:val="Heading3Char"/>
    <w:uiPriority w:val="9"/>
    <w:unhideWhenUsed/>
    <w:qFormat/>
    <w:rsid w:val="00E16720"/>
    <w:pPr>
      <w:numPr>
        <w:ilvl w:val="2"/>
        <w:numId w:val="7"/>
      </w:numPr>
      <w:spacing w:before="140"/>
      <w:outlineLvl w:val="2"/>
    </w:pPr>
    <w:rPr>
      <w:rFonts w:eastAsia="Noto Sans CJK SC" w:cs="Lohit Devanagari"/>
      <w:b/>
      <w:bCs/>
      <w:kern w:val="2"/>
      <w:lang w:val="en-A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0DE9"/>
  </w:style>
  <w:style w:type="character" w:customStyle="1" w:styleId="FooterChar">
    <w:name w:val="Footer Char"/>
    <w:basedOn w:val="DefaultParagraphFont"/>
    <w:link w:val="Footer"/>
    <w:uiPriority w:val="99"/>
    <w:qFormat/>
    <w:rsid w:val="002E0DE9"/>
  </w:style>
  <w:style w:type="character" w:customStyle="1" w:styleId="BalloonTextChar">
    <w:name w:val="Balloon Text Char"/>
    <w:basedOn w:val="DefaultParagraphFont"/>
    <w:link w:val="BalloonText"/>
    <w:uiPriority w:val="99"/>
    <w:semiHidden/>
    <w:qFormat/>
    <w:rsid w:val="00EC6EE1"/>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8C3546"/>
    <w:rPr>
      <w:lang w:val="en-GB"/>
    </w:rPr>
  </w:style>
  <w:style w:type="character" w:customStyle="1" w:styleId="FirstnumberingChar">
    <w:name w:val="First numbering Char"/>
    <w:basedOn w:val="ListParagraphChar"/>
    <w:link w:val="Firstnumbering"/>
    <w:qFormat/>
    <w:rsid w:val="008C3546"/>
    <w:rPr>
      <w:lang w:val="en-GB"/>
    </w:rPr>
  </w:style>
  <w:style w:type="character" w:customStyle="1" w:styleId="SecondnumberingChar">
    <w:name w:val="Second numbering Char"/>
    <w:basedOn w:val="FirstnumberingChar"/>
    <w:link w:val="Secondnumbering"/>
    <w:qFormat/>
    <w:rsid w:val="00360838"/>
    <w:rPr>
      <w:lang w:val="en-GB"/>
    </w:rPr>
  </w:style>
  <w:style w:type="character" w:customStyle="1" w:styleId="ThirdnumberingiChar">
    <w:name w:val="Third numbering i) Char"/>
    <w:basedOn w:val="SecondnumberingChar"/>
    <w:link w:val="Thirdnumberingi"/>
    <w:qFormat/>
    <w:rsid w:val="00360838"/>
    <w:rPr>
      <w:lang w:val="en-GB"/>
    </w:rPr>
  </w:style>
  <w:style w:type="character" w:customStyle="1" w:styleId="FourthnumberingAChar">
    <w:name w:val="Fourth numbering A. Char"/>
    <w:basedOn w:val="ThirdnumberingiChar"/>
    <w:link w:val="FourthnumberingA"/>
    <w:qFormat/>
    <w:rsid w:val="00360838"/>
    <w:rPr>
      <w:lang w:val="en-GB"/>
    </w:rPr>
  </w:style>
  <w:style w:type="character" w:customStyle="1" w:styleId="TITLEChar">
    <w:name w:val="TITLE Char"/>
    <w:basedOn w:val="DefaultParagraphFont"/>
    <w:link w:val="Title1"/>
    <w:qFormat/>
    <w:rsid w:val="004B7071"/>
    <w:rPr>
      <w:rFonts w:eastAsia="Times New Roman" w:cs="Arial"/>
      <w:b/>
      <w:caps/>
      <w:lang w:val="en-GB"/>
    </w:rPr>
  </w:style>
  <w:style w:type="character" w:styleId="Hyperlink">
    <w:name w:val="Hyperlink"/>
    <w:basedOn w:val="DefaultParagraphFont"/>
    <w:uiPriority w:val="99"/>
    <w:unhideWhenUsed/>
    <w:rsid w:val="00B20241"/>
    <w:rPr>
      <w:color w:val="0563C1" w:themeColor="hyperlink"/>
      <w:u w:val="single"/>
    </w:rPr>
  </w:style>
  <w:style w:type="character" w:styleId="UnresolvedMention">
    <w:name w:val="Unresolved Mention"/>
    <w:basedOn w:val="DefaultParagraphFont"/>
    <w:uiPriority w:val="99"/>
    <w:unhideWhenUsed/>
    <w:qFormat/>
    <w:rsid w:val="00B20241"/>
    <w:rPr>
      <w:color w:val="605E5C"/>
      <w:shd w:val="clear" w:color="auto" w:fill="E1DFDD"/>
    </w:rPr>
  </w:style>
  <w:style w:type="character" w:styleId="CommentReference">
    <w:name w:val="annotation reference"/>
    <w:basedOn w:val="DefaultParagraphFont"/>
    <w:uiPriority w:val="99"/>
    <w:semiHidden/>
    <w:unhideWhenUsed/>
    <w:qFormat/>
    <w:rsid w:val="00AB20F3"/>
    <w:rPr>
      <w:sz w:val="16"/>
      <w:szCs w:val="16"/>
    </w:rPr>
  </w:style>
  <w:style w:type="character" w:customStyle="1" w:styleId="CommentTextChar">
    <w:name w:val="Comment Text Char"/>
    <w:basedOn w:val="DefaultParagraphFont"/>
    <w:link w:val="CommentText"/>
    <w:uiPriority w:val="99"/>
    <w:qFormat/>
    <w:rsid w:val="00AB20F3"/>
    <w:rPr>
      <w:sz w:val="20"/>
      <w:szCs w:val="20"/>
      <w:lang w:val="en-GB"/>
    </w:rPr>
  </w:style>
  <w:style w:type="character" w:customStyle="1" w:styleId="CommentSubjectChar">
    <w:name w:val="Comment Subject Char"/>
    <w:basedOn w:val="CommentTextChar"/>
    <w:link w:val="CommentSubject"/>
    <w:uiPriority w:val="99"/>
    <w:semiHidden/>
    <w:qFormat/>
    <w:rsid w:val="00AB20F3"/>
    <w:rPr>
      <w:b/>
      <w:bCs/>
      <w:sz w:val="20"/>
      <w:szCs w:val="20"/>
      <w:lang w:val="en-GB"/>
    </w:rPr>
  </w:style>
  <w:style w:type="character" w:styleId="Mention">
    <w:name w:val="Mention"/>
    <w:basedOn w:val="DefaultParagraphFont"/>
    <w:uiPriority w:val="99"/>
    <w:unhideWhenUsed/>
    <w:qFormat/>
    <w:rsid w:val="007E7A1A"/>
    <w:rPr>
      <w:color w:val="2B579A"/>
      <w:shd w:val="clear" w:color="auto" w:fill="E1DFDD"/>
    </w:rPr>
  </w:style>
  <w:style w:type="character" w:styleId="LineNumber">
    <w:name w:val="line numbe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E0DE9"/>
    <w:pPr>
      <w:tabs>
        <w:tab w:val="center" w:pos="4680"/>
        <w:tab w:val="right" w:pos="9360"/>
      </w:tabs>
    </w:pPr>
  </w:style>
  <w:style w:type="paragraph" w:styleId="Footer">
    <w:name w:val="footer"/>
    <w:basedOn w:val="Normal"/>
    <w:link w:val="FooterChar"/>
    <w:uiPriority w:val="99"/>
    <w:unhideWhenUsed/>
    <w:rsid w:val="002E0DE9"/>
    <w:pPr>
      <w:tabs>
        <w:tab w:val="center" w:pos="4680"/>
        <w:tab w:val="right" w:pos="9360"/>
      </w:tabs>
    </w:pPr>
  </w:style>
  <w:style w:type="paragraph" w:styleId="BalloonText">
    <w:name w:val="Balloon Text"/>
    <w:basedOn w:val="Normal"/>
    <w:link w:val="BalloonTextChar"/>
    <w:uiPriority w:val="99"/>
    <w:semiHidden/>
    <w:unhideWhenUsed/>
    <w:qFormat/>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paragraph" w:customStyle="1" w:styleId="Thirdnumberingi">
    <w:name w:val="Third numbering i)"/>
    <w:basedOn w:val="Secondnumbering"/>
    <w:link w:val="ThirdnumberingiChar"/>
    <w:qFormat/>
    <w:rsid w:val="00360838"/>
    <w:pPr>
      <w:numPr>
        <w:numId w:val="3"/>
      </w:numPr>
      <w:ind w:left="1701" w:hanging="283"/>
    </w:pPr>
  </w:style>
  <w:style w:type="paragraph" w:customStyle="1" w:styleId="FourthnumberingA">
    <w:name w:val="Fourth numbering A."/>
    <w:basedOn w:val="Thirdnumberingi"/>
    <w:link w:val="FourthnumberingAChar"/>
    <w:qFormat/>
    <w:rsid w:val="00360838"/>
    <w:pPr>
      <w:numPr>
        <w:numId w:val="4"/>
      </w:numPr>
      <w:ind w:left="2268" w:hanging="283"/>
    </w:p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jc w:val="center"/>
      <w:textAlignment w:val="baseline"/>
      <w:outlineLvl w:val="1"/>
    </w:pPr>
    <w:rPr>
      <w:rFonts w:eastAsia="Times New Roman" w:cs="Arial"/>
      <w:b/>
      <w:caps/>
    </w:rPr>
  </w:style>
  <w:style w:type="paragraph" w:styleId="Revision">
    <w:name w:val="Revision"/>
    <w:uiPriority w:val="99"/>
    <w:semiHidden/>
    <w:qFormat/>
    <w:rsid w:val="00BE0EA7"/>
    <w:rPr>
      <w:lang w:val="en-GB"/>
    </w:rPr>
  </w:style>
  <w:style w:type="paragraph" w:styleId="CommentText">
    <w:name w:val="annotation text"/>
    <w:basedOn w:val="Normal"/>
    <w:link w:val="CommentTextChar"/>
    <w:uiPriority w:val="99"/>
    <w:unhideWhenUsed/>
    <w:qFormat/>
    <w:rsid w:val="00AB20F3"/>
    <w:rPr>
      <w:sz w:val="20"/>
      <w:szCs w:val="20"/>
    </w:rPr>
  </w:style>
  <w:style w:type="paragraph" w:styleId="CommentSubject">
    <w:name w:val="annotation subject"/>
    <w:basedOn w:val="CommentText"/>
    <w:next w:val="CommentText"/>
    <w:link w:val="CommentSubjectChar"/>
    <w:uiPriority w:val="99"/>
    <w:semiHidden/>
    <w:unhideWhenUsed/>
    <w:qFormat/>
    <w:rsid w:val="00AB20F3"/>
    <w:rPr>
      <w:b/>
      <w:bCs/>
    </w:rPr>
  </w:style>
  <w:style w:type="paragraph" w:customStyle="1" w:styleId="FrameContents">
    <w:name w:val="Frame Contents"/>
    <w:basedOn w:val="Normal"/>
    <w:qFormat/>
  </w:style>
  <w:style w:type="character" w:customStyle="1" w:styleId="Heading1Char">
    <w:name w:val="Heading 1 Char"/>
    <w:basedOn w:val="DefaultParagraphFont"/>
    <w:link w:val="Heading1"/>
    <w:uiPriority w:val="9"/>
    <w:rsid w:val="00E16720"/>
    <w:rPr>
      <w:rFonts w:ascii="Segoe UI Semibold" w:eastAsia="Noto Sans CJK SC" w:hAnsi="Segoe UI Semibold" w:cs="Lohit Devanagari"/>
      <w:bCs/>
      <w:kern w:val="2"/>
      <w:sz w:val="32"/>
      <w:szCs w:val="36"/>
      <w:lang w:val="en-AU" w:eastAsia="zh-CN" w:bidi="hi-IN"/>
    </w:rPr>
  </w:style>
  <w:style w:type="character" w:customStyle="1" w:styleId="Heading2Char">
    <w:name w:val="Heading 2 Char"/>
    <w:basedOn w:val="DefaultParagraphFont"/>
    <w:link w:val="Heading2"/>
    <w:uiPriority w:val="9"/>
    <w:rsid w:val="00E16720"/>
    <w:rPr>
      <w:rFonts w:ascii="Segoe UI Semibold" w:eastAsia="Noto Sans CJK SC" w:hAnsi="Segoe UI Semibold" w:cs="Lohit Devanagari"/>
      <w:bCs/>
      <w:kern w:val="2"/>
      <w:sz w:val="24"/>
      <w:szCs w:val="32"/>
      <w:lang w:val="en-AU" w:eastAsia="zh-CN" w:bidi="hi-IN"/>
    </w:rPr>
  </w:style>
  <w:style w:type="character" w:customStyle="1" w:styleId="Heading3Char">
    <w:name w:val="Heading 3 Char"/>
    <w:basedOn w:val="DefaultParagraphFont"/>
    <w:link w:val="Heading3"/>
    <w:uiPriority w:val="9"/>
    <w:rsid w:val="00E16720"/>
    <w:rPr>
      <w:rFonts w:ascii="Liberation Sans" w:eastAsia="Noto Sans CJK SC" w:hAnsi="Liberation Sans" w:cs="Lohit Devanagari"/>
      <w:b/>
      <w:bCs/>
      <w:kern w:val="2"/>
      <w:sz w:val="28"/>
      <w:szCs w:val="28"/>
      <w:lang w:val="en-AU" w:eastAsia="zh-CN" w:bidi="hi-IN"/>
    </w:rPr>
  </w:style>
  <w:style w:type="table" w:styleId="TableGrid">
    <w:name w:val="Table Grid"/>
    <w:basedOn w:val="TableNormal"/>
    <w:uiPriority w:val="39"/>
    <w:rsid w:val="008B0B52"/>
    <w:pPr>
      <w:suppressAutoHyphens w:val="0"/>
    </w:pPr>
    <w:rPr>
      <w:rFonts w:asciiTheme="minorHAnsi" w:hAnsi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Heidrun Frisch-Nwakanma</DisplayName>
        <AccountId>28</AccountId>
        <AccountType/>
      </UserInfo>
      <UserInfo>
        <DisplayName>Catherine Brueckner</DisplayName>
        <AccountId>12</AccountId>
        <AccountType/>
      </UserInfo>
    </SharedWithUsers>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CC640F67-7722-4E2B-97CB-1EE8F6A3189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CEBF781-995B-4B3A-BBC6-55FBDFC89E96}">
  <ds:schemaRefs>
    <ds:schemaRef ds:uri="http://schemas.microsoft.com/sharepoint/v3/contenttype/forms"/>
  </ds:schemaRefs>
</ds:datastoreItem>
</file>

<file path=customXml/itemProps4.xml><?xml version="1.0" encoding="utf-8"?>
<ds:datastoreItem xmlns:ds="http://schemas.openxmlformats.org/officeDocument/2006/customXml" ds:itemID="{D255976C-EDB8-4B4D-9BEC-533F5A178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3241</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2019-09-19T11:54:00Z</cp:lastPrinted>
  <dcterms:created xsi:type="dcterms:W3CDTF">2023-10-20T10:24:00Z</dcterms:created>
  <dcterms:modified xsi:type="dcterms:W3CDTF">2023-10-20T10:24:00Z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05bc49294cfdd6bcb19e861dd6bbfaf8b0152488cac6a0cfe63811c813a85bae</vt:lpwstr>
  </property>
  <property fmtid="{D5CDD505-2E9C-101B-9397-08002B2CF9AE}" pid="4" name="MediaServiceImageTags">
    <vt:lpwstr/>
  </property>
  <property fmtid="{D5CDD505-2E9C-101B-9397-08002B2CF9AE}" pid="5" name="TaxKeyword">
    <vt:lpwstr/>
  </property>
</Properties>
</file>