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861CEE" w:rsidRPr="000F4BDA" w14:paraId="48904368" w14:textId="77777777" w:rsidTr="00BE325A">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7BBCD3C" w14:textId="77777777" w:rsidR="00861CEE" w:rsidRPr="00002A97" w:rsidRDefault="00861CEE" w:rsidP="00BE325A">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1B082A37" wp14:editId="23483A5A">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2ABD73B4" w14:textId="77777777" w:rsidR="00861CEE" w:rsidRPr="00002A97" w:rsidRDefault="00861CEE" w:rsidP="00BE325A">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410C925D" w14:textId="77777777" w:rsidR="00861CEE" w:rsidRPr="00002A97" w:rsidRDefault="00861CEE" w:rsidP="00BE325A">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1A57C8B0" w14:textId="77777777" w:rsidR="00861CEE" w:rsidRPr="00002A97" w:rsidRDefault="00861CEE" w:rsidP="00BE325A">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34BAC5AE" w14:textId="77777777" w:rsidR="00861CEE" w:rsidRPr="00002A97" w:rsidRDefault="00861CEE" w:rsidP="00BE325A">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7C3E7175" w14:textId="3412F396" w:rsidR="00861CEE" w:rsidRPr="008F08D0" w:rsidRDefault="00861CEE" w:rsidP="00BE325A">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8F08D0">
              <w:rPr>
                <w:rFonts w:eastAsia="Times New Roman" w:cs="Arial"/>
                <w:szCs w:val="24"/>
                <w:lang w:val="es-ES" w:eastAsia="es-ES"/>
              </w:rPr>
              <w:t>UNEP/CMS/COP14/Doc.</w:t>
            </w:r>
            <w:r w:rsidR="00405591" w:rsidRPr="008F08D0">
              <w:rPr>
                <w:rFonts w:eastAsia="Times New Roman" w:cs="Arial"/>
                <w:szCs w:val="24"/>
                <w:lang w:val="es-ES" w:eastAsia="es-ES"/>
              </w:rPr>
              <w:t>29.7</w:t>
            </w:r>
          </w:p>
          <w:p w14:paraId="0293A020" w14:textId="2F70AF1A" w:rsidR="00861CEE" w:rsidRPr="008F08D0" w:rsidRDefault="001F1BE3" w:rsidP="00BE325A">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8F08D0">
              <w:rPr>
                <w:rFonts w:eastAsia="Times New Roman" w:cs="Arial"/>
                <w:szCs w:val="24"/>
                <w:lang w:val="es-ES" w:eastAsia="es-ES"/>
              </w:rPr>
              <w:t>15 de junio</w:t>
            </w:r>
            <w:r w:rsidR="00861CEE" w:rsidRPr="008F08D0">
              <w:rPr>
                <w:rFonts w:eastAsia="Times New Roman" w:cs="Arial"/>
                <w:szCs w:val="24"/>
                <w:lang w:val="es-ES" w:eastAsia="es-ES"/>
              </w:rPr>
              <w:t xml:space="preserve"> 2023</w:t>
            </w:r>
          </w:p>
          <w:p w14:paraId="7472A099" w14:textId="77777777" w:rsidR="00861CEE" w:rsidRPr="00002A97" w:rsidRDefault="00861CEE" w:rsidP="00BE325A">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6C87F788" w14:textId="77777777" w:rsidR="00861CEE" w:rsidRPr="000F4BDA" w:rsidRDefault="00861CEE" w:rsidP="00BE325A">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3730072E" w14:textId="77777777" w:rsidR="00861CEE" w:rsidRPr="00002A97" w:rsidRDefault="00861CEE" w:rsidP="00BE325A">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6176C27F" w14:textId="77777777" w:rsidR="00861CEE" w:rsidRPr="00002A97" w:rsidRDefault="00861CEE" w:rsidP="00861CEE">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24107A8C" w14:textId="77777777" w:rsidR="00861CEE" w:rsidRPr="00002A97" w:rsidRDefault="00861CEE" w:rsidP="00861CEE">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273A22BB" w14:textId="0CBED52E" w:rsidR="00861CEE" w:rsidRPr="00002A97" w:rsidRDefault="00861CEE" w:rsidP="00861CE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8F08D0">
        <w:rPr>
          <w:rFonts w:eastAsia="Times New Roman" w:cs="Arial"/>
          <w:bCs/>
          <w:szCs w:val="24"/>
          <w:lang w:val="es-ES" w:eastAsia="es-ES"/>
        </w:rPr>
        <w:t>1</w:t>
      </w:r>
      <w:r>
        <w:rPr>
          <w:rFonts w:eastAsia="Times New Roman" w:cs="Arial"/>
          <w:bCs/>
          <w:szCs w:val="24"/>
          <w:lang w:val="es-ES" w:eastAsia="es-ES"/>
        </w:rPr>
        <w:t xml:space="preserve">2 – </w:t>
      </w:r>
      <w:r w:rsidR="008F08D0">
        <w:rPr>
          <w:rFonts w:eastAsia="Times New Roman" w:cs="Arial"/>
          <w:bCs/>
          <w:szCs w:val="24"/>
          <w:lang w:val="es-ES" w:eastAsia="es-ES"/>
        </w:rPr>
        <w:t>17 de febrero 2024</w:t>
      </w:r>
    </w:p>
    <w:p w14:paraId="7C53198D" w14:textId="5F45D31C" w:rsidR="00861CEE" w:rsidRPr="00002A97" w:rsidRDefault="00861CEE" w:rsidP="00861CEE">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405591">
        <w:rPr>
          <w:rFonts w:eastAsia="Times New Roman" w:cs="Arial"/>
          <w:szCs w:val="24"/>
          <w:lang w:val="es-ES" w:eastAsia="es-ES"/>
        </w:rPr>
        <w:t>29</w:t>
      </w:r>
      <w:r w:rsidR="00321E19">
        <w:rPr>
          <w:rFonts w:eastAsia="Times New Roman" w:cs="Arial"/>
          <w:szCs w:val="24"/>
          <w:lang w:val="es-ES" w:eastAsia="es-ES"/>
        </w:rPr>
        <w:t>.7</w:t>
      </w:r>
      <w:r w:rsidRPr="00002A97">
        <w:rPr>
          <w:rFonts w:eastAsia="Times New Roman" w:cs="Arial"/>
          <w:szCs w:val="24"/>
          <w:lang w:val="es-ES" w:eastAsia="es-ES"/>
        </w:rPr>
        <w:t xml:space="preserve"> del orden del día</w:t>
      </w:r>
    </w:p>
    <w:p w14:paraId="7408EC0D" w14:textId="77777777" w:rsidR="002E0DE9" w:rsidRPr="00BC6FC2" w:rsidRDefault="002E0DE9" w:rsidP="00EC4F04">
      <w:pPr>
        <w:widowControl w:val="0"/>
        <w:suppressAutoHyphens/>
        <w:autoSpaceDE w:val="0"/>
        <w:autoSpaceDN w:val="0"/>
        <w:spacing w:after="0" w:line="240" w:lineRule="auto"/>
        <w:textAlignment w:val="baseline"/>
        <w:rPr>
          <w:rFonts w:eastAsia="Times New Roman" w:cs="Arial"/>
          <w:lang w:val="es-ES"/>
        </w:rPr>
      </w:pPr>
    </w:p>
    <w:p w14:paraId="1554ADA7" w14:textId="77777777" w:rsidR="002E0DE9" w:rsidRPr="00BC6FC2" w:rsidRDefault="002E0DE9" w:rsidP="00EC4F04">
      <w:pPr>
        <w:widowControl w:val="0"/>
        <w:suppressAutoHyphens/>
        <w:autoSpaceDE w:val="0"/>
        <w:autoSpaceDN w:val="0"/>
        <w:spacing w:after="0" w:line="240" w:lineRule="auto"/>
        <w:textAlignment w:val="baseline"/>
        <w:rPr>
          <w:rFonts w:eastAsia="Times New Roman" w:cs="Arial"/>
          <w:lang w:val="es-ES"/>
        </w:rPr>
      </w:pPr>
    </w:p>
    <w:p w14:paraId="6C96AE1E" w14:textId="7E6635ED" w:rsidR="002E0DE9" w:rsidRPr="00BC6FC2" w:rsidRDefault="00C24598"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BC6FC2">
        <w:rPr>
          <w:rFonts w:eastAsia="Times New Roman" w:cs="Arial"/>
          <w:b/>
          <w:bCs/>
          <w:lang w:val="es-ES"/>
        </w:rPr>
        <w:t>PASTOREO Y ESPECIES MIGRATORIAS</w:t>
      </w:r>
    </w:p>
    <w:p w14:paraId="57504EB6" w14:textId="664D5D24" w:rsidR="002E0DE9" w:rsidRPr="00BC6FC2"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BC6FC2">
        <w:rPr>
          <w:rFonts w:eastAsia="Times New Roman" w:cs="Arial"/>
          <w:i/>
          <w:lang w:val="es-ES"/>
        </w:rPr>
        <w:t>(Preparado por la Secretaría</w:t>
      </w:r>
    </w:p>
    <w:p w14:paraId="25A47AE0" w14:textId="196B5311" w:rsidR="002E0DE9" w:rsidRPr="00BC6FC2" w:rsidRDefault="002E0DE9" w:rsidP="00EC4F04">
      <w:pPr>
        <w:widowControl w:val="0"/>
        <w:suppressAutoHyphens/>
        <w:autoSpaceDE w:val="0"/>
        <w:autoSpaceDN w:val="0"/>
        <w:spacing w:after="0" w:line="240" w:lineRule="auto"/>
        <w:textAlignment w:val="baseline"/>
        <w:rPr>
          <w:rFonts w:ascii="Calibri" w:eastAsia="Calibri" w:hAnsi="Calibri" w:cs="Times New Roman"/>
          <w:lang w:val="es-ES"/>
        </w:rPr>
      </w:pPr>
    </w:p>
    <w:p w14:paraId="320AAD7B" w14:textId="455E7E54" w:rsidR="002E0DE9" w:rsidRPr="00BC6FC2" w:rsidRDefault="00405591" w:rsidP="00EC4F04">
      <w:pPr>
        <w:widowControl w:val="0"/>
        <w:suppressAutoHyphens/>
        <w:autoSpaceDE w:val="0"/>
        <w:autoSpaceDN w:val="0"/>
        <w:spacing w:after="0" w:line="240" w:lineRule="auto"/>
        <w:textAlignment w:val="baseline"/>
        <w:rPr>
          <w:rFonts w:eastAsia="Times New Roman" w:cs="Arial"/>
          <w:sz w:val="21"/>
          <w:szCs w:val="21"/>
          <w:lang w:val="es-ES"/>
        </w:rPr>
      </w:pPr>
      <w:r w:rsidRPr="00BC6FC2">
        <w:rPr>
          <w:rFonts w:eastAsia="Times New Roman" w:cs="Arial"/>
          <w:noProof/>
          <w:sz w:val="21"/>
          <w:szCs w:val="21"/>
          <w:lang w:val="es-ES"/>
        </w:rPr>
        <mc:AlternateContent>
          <mc:Choice Requires="wps">
            <w:drawing>
              <wp:anchor distT="0" distB="0" distL="114300" distR="114300" simplePos="0" relativeHeight="251658752" behindDoc="0" locked="0" layoutInCell="1" allowOverlap="1" wp14:anchorId="13CF45B1" wp14:editId="60AD0E8A">
                <wp:simplePos x="0" y="0"/>
                <wp:positionH relativeFrom="column">
                  <wp:posOffset>813435</wp:posOffset>
                </wp:positionH>
                <wp:positionV relativeFrom="paragraph">
                  <wp:posOffset>120015</wp:posOffset>
                </wp:positionV>
                <wp:extent cx="4629150" cy="1105232"/>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1105232"/>
                        </a:xfrm>
                        <a:prstGeom prst="rect">
                          <a:avLst/>
                        </a:prstGeom>
                        <a:solidFill>
                          <a:srgbClr val="FFFFFF"/>
                        </a:solidFill>
                        <a:ln w="3172">
                          <a:solidFill>
                            <a:srgbClr val="000000"/>
                          </a:solidFill>
                          <a:prstDash val="solid"/>
                        </a:ln>
                      </wps:spPr>
                      <wps:txbx>
                        <w:txbxContent>
                          <w:p w14:paraId="69DC25A9" w14:textId="77777777" w:rsidR="002E0DE9" w:rsidRPr="006F528E" w:rsidRDefault="002E0DE9" w:rsidP="002E0DE9">
                            <w:pPr>
                              <w:spacing w:after="0"/>
                              <w:rPr>
                                <w:rFonts w:cs="Arial"/>
                                <w:lang w:val="es-CO"/>
                              </w:rPr>
                            </w:pPr>
                            <w:r w:rsidRPr="006F528E">
                              <w:rPr>
                                <w:rFonts w:cs="Arial"/>
                                <w:lang w:val="es-CO"/>
                              </w:rPr>
                              <w:t>Resumen:</w:t>
                            </w:r>
                          </w:p>
                          <w:p w14:paraId="4ED8EAEE" w14:textId="77777777" w:rsidR="00C24598" w:rsidRPr="006F528E" w:rsidRDefault="00C24598" w:rsidP="002E0DE9">
                            <w:pPr>
                              <w:spacing w:after="0"/>
                              <w:rPr>
                                <w:rFonts w:cs="Arial"/>
                                <w:lang w:val="es-CO"/>
                              </w:rPr>
                            </w:pPr>
                          </w:p>
                          <w:p w14:paraId="4D91994B" w14:textId="750F0AE2" w:rsidR="009E4279" w:rsidRPr="006F528E" w:rsidRDefault="00C7436A" w:rsidP="009E4279">
                            <w:pPr>
                              <w:spacing w:after="0" w:line="240" w:lineRule="auto"/>
                              <w:jc w:val="both"/>
                              <w:rPr>
                                <w:lang w:val="es-CO"/>
                              </w:rPr>
                            </w:pPr>
                            <w:r w:rsidRPr="006F528E">
                              <w:rPr>
                                <w:rFonts w:cs="Arial"/>
                                <w:lang w:val="es-CO"/>
                              </w:rPr>
                              <w:t>Este documento expone el impacto del pastoreo en las especies migratorias y propone la adopción de Decisiones sobre este tema.</w:t>
                            </w:r>
                          </w:p>
                          <w:p w14:paraId="46228FF2" w14:textId="65B2A590" w:rsidR="00C7436A" w:rsidRPr="006F528E" w:rsidRDefault="00C7436A" w:rsidP="002E0DE9">
                            <w:pPr>
                              <w:spacing w:after="0"/>
                              <w:rPr>
                                <w:rFonts w:cs="Arial"/>
                                <w:lang w:val="es-CO"/>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64.05pt;margin-top:9.45pt;width:364.5pt;height:8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" strokeweight=".08811mm">
                <v:textbox>
                  <w:txbxContent>
                    <w:p w14:paraId="69DC25A9" w14:textId="77777777" w:rsidR="002E0DE9" w:rsidRPr="006F528E" w:rsidRDefault="002E0DE9" w:rsidP="002E0DE9">
                      <w:pPr>
                        <w:spacing w:after="0"/>
                        <w:rPr>
                          <w:rFonts w:cs="Arial"/>
                          <w:lang w:val="es-CO"/>
                        </w:rPr>
                      </w:pPr>
                      <w:r w:rsidRPr="006F528E">
                        <w:rPr>
                          <w:rFonts w:cs="Arial"/>
                          <w:lang w:val="es-CO"/>
                        </w:rPr>
                        <w:t>Resumen:</w:t>
                      </w:r>
                    </w:p>
                    <w:p w14:paraId="4ED8EAEE" w14:textId="77777777" w:rsidR="00C24598" w:rsidRPr="006F528E" w:rsidRDefault="00C24598" w:rsidP="002E0DE9">
                      <w:pPr>
                        <w:spacing w:after="0"/>
                        <w:rPr>
                          <w:rFonts w:cs="Arial"/>
                          <w:lang w:val="es-CO"/>
                        </w:rPr>
                      </w:pPr>
                    </w:p>
                    <w:p w14:paraId="4D91994B" w14:textId="750F0AE2" w:rsidR="009E4279" w:rsidRPr="006F528E" w:rsidRDefault="00C7436A" w:rsidP="009E4279">
                      <w:pPr>
                        <w:spacing w:after="0" w:line="240" w:lineRule="auto"/>
                        <w:jc w:val="both"/>
                        <w:rPr>
                          <w:lang w:val="es-CO"/>
                        </w:rPr>
                      </w:pPr>
                      <w:r w:rsidRPr="006F528E">
                        <w:rPr>
                          <w:rFonts w:cs="Arial"/>
                          <w:lang w:val="es-CO"/>
                        </w:rPr>
                        <w:t>Este documento expone el impacto del pastoreo en las especies migratorias y propone la adopción de Decisiones sobre este tema.</w:t>
                      </w:r>
                    </w:p>
                    <w:p w14:paraId="46228FF2" w14:textId="65B2A590" w:rsidR="00C7436A" w:rsidRPr="006F528E" w:rsidRDefault="00C7436A" w:rsidP="002E0DE9">
                      <w:pPr>
                        <w:spacing w:after="0"/>
                        <w:rPr>
                          <w:rFonts w:cs="Arial"/>
                          <w:lang w:val="es-CO"/>
                        </w:rPr>
                      </w:pPr>
                    </w:p>
                  </w:txbxContent>
                </v:textbox>
              </v:shape>
            </w:pict>
          </mc:Fallback>
        </mc:AlternateContent>
      </w:r>
    </w:p>
    <w:p w14:paraId="5EAE13CF" w14:textId="77777777" w:rsidR="002E0DE9" w:rsidRPr="00BC6F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73ADB04" w14:textId="77777777" w:rsidR="002E0DE9" w:rsidRPr="00BC6F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07F11B19" w14:textId="77777777" w:rsidR="002E0DE9" w:rsidRPr="00BC6F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7777777" w:rsidR="002E0DE9" w:rsidRPr="00BC6F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77777777" w:rsidR="002E0DE9" w:rsidRPr="00BC6F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77777777" w:rsidR="002E0DE9" w:rsidRPr="00BC6F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77777777" w:rsidR="002E0DE9" w:rsidRPr="00BC6F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BC6F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BC6F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BC6F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BC6F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BC6F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BC6F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BC6F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BC6F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BC6F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BC6FC2"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77777777" w:rsidR="002E0DE9" w:rsidRPr="00BC6FC2" w:rsidRDefault="002E0DE9" w:rsidP="00EC4F04">
      <w:pPr>
        <w:widowControl w:val="0"/>
        <w:suppressAutoHyphens/>
        <w:autoSpaceDE w:val="0"/>
        <w:autoSpaceDN w:val="0"/>
        <w:spacing w:after="0" w:line="240" w:lineRule="auto"/>
        <w:textAlignment w:val="baseline"/>
        <w:rPr>
          <w:rFonts w:eastAsia="Times New Roman" w:cs="Arial"/>
          <w:lang w:val="es-ES"/>
        </w:rPr>
      </w:pPr>
    </w:p>
    <w:p w14:paraId="650AE9B2" w14:textId="77777777" w:rsidR="002E0DE9" w:rsidRPr="00BC6FC2" w:rsidRDefault="002E0DE9" w:rsidP="00EC4F04">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BC6FC2" w:rsidRDefault="005330F7" w:rsidP="00EC4F04">
      <w:pPr>
        <w:spacing w:after="0" w:line="240" w:lineRule="auto"/>
        <w:rPr>
          <w:lang w:val="es-ES"/>
        </w:rPr>
      </w:pPr>
    </w:p>
    <w:p w14:paraId="111843FD" w14:textId="77777777" w:rsidR="002E0DE9" w:rsidRPr="00BC6FC2" w:rsidRDefault="002E0DE9" w:rsidP="00EC4F04">
      <w:pPr>
        <w:spacing w:after="0" w:line="240" w:lineRule="auto"/>
        <w:rPr>
          <w:lang w:val="es-ES"/>
        </w:rPr>
      </w:pPr>
    </w:p>
    <w:p w14:paraId="6AF4E8FF" w14:textId="77777777" w:rsidR="002E0DE9" w:rsidRPr="00BC6FC2" w:rsidRDefault="002E0DE9" w:rsidP="00EC4F04">
      <w:pPr>
        <w:spacing w:after="0" w:line="240" w:lineRule="auto"/>
        <w:rPr>
          <w:lang w:val="es-ES"/>
        </w:rPr>
      </w:pPr>
    </w:p>
    <w:p w14:paraId="509B5F4B" w14:textId="77777777" w:rsidR="002E0DE9" w:rsidRPr="00BC6FC2" w:rsidRDefault="002E0DE9" w:rsidP="00EC4F04">
      <w:pPr>
        <w:spacing w:after="0" w:line="240" w:lineRule="auto"/>
        <w:rPr>
          <w:lang w:val="es-ES"/>
        </w:rPr>
      </w:pPr>
    </w:p>
    <w:p w14:paraId="73A3A65F" w14:textId="77777777" w:rsidR="00661875" w:rsidRPr="00BC6FC2" w:rsidRDefault="00661875" w:rsidP="00EC4F04">
      <w:pPr>
        <w:spacing w:after="0" w:line="240" w:lineRule="auto"/>
        <w:rPr>
          <w:lang w:val="es-ES"/>
        </w:rPr>
        <w:sectPr w:rsidR="00661875" w:rsidRPr="00BC6FC2" w:rsidSect="00405591">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73909C5D" w14:textId="5EB76E3C" w:rsidR="002E0DE9" w:rsidRPr="00BC6FC2" w:rsidRDefault="00DA3AF0" w:rsidP="004B7071">
      <w:pPr>
        <w:pStyle w:val="Title1"/>
        <w:rPr>
          <w:lang w:val="es-ES"/>
        </w:rPr>
      </w:pPr>
      <w:r w:rsidRPr="00BC6FC2">
        <w:rPr>
          <w:lang w:val="es-ES"/>
        </w:rPr>
        <w:lastRenderedPageBreak/>
        <w:t>Pastoreo y especies migratorias</w:t>
      </w:r>
    </w:p>
    <w:p w14:paraId="0DCB8F07" w14:textId="77777777" w:rsidR="002E0DE9" w:rsidRDefault="002E0DE9" w:rsidP="00EC4F04">
      <w:pPr>
        <w:suppressAutoHyphens/>
        <w:autoSpaceDN w:val="0"/>
        <w:spacing w:after="0" w:line="240" w:lineRule="auto"/>
        <w:textAlignment w:val="baseline"/>
        <w:rPr>
          <w:rFonts w:eastAsia="Calibri" w:cs="Arial"/>
          <w:lang w:val="es-ES"/>
        </w:rPr>
      </w:pPr>
    </w:p>
    <w:p w14:paraId="709697A6" w14:textId="77777777" w:rsidR="001F1BE3" w:rsidRPr="00BC6FC2" w:rsidRDefault="001F1BE3" w:rsidP="00EC4F04">
      <w:pPr>
        <w:suppressAutoHyphens/>
        <w:autoSpaceDN w:val="0"/>
        <w:spacing w:after="0" w:line="240" w:lineRule="auto"/>
        <w:textAlignment w:val="baseline"/>
        <w:rPr>
          <w:rFonts w:eastAsia="Calibri" w:cs="Arial"/>
          <w:lang w:val="es-ES"/>
        </w:rPr>
      </w:pPr>
    </w:p>
    <w:p w14:paraId="3C86903F" w14:textId="77777777" w:rsidR="002E0DE9" w:rsidRPr="00BC6FC2" w:rsidRDefault="002E0DE9" w:rsidP="00726109">
      <w:pPr>
        <w:suppressAutoHyphens/>
        <w:autoSpaceDN w:val="0"/>
        <w:spacing w:after="0" w:line="240" w:lineRule="auto"/>
        <w:jc w:val="both"/>
        <w:textAlignment w:val="baseline"/>
        <w:rPr>
          <w:rFonts w:eastAsia="Calibri" w:cs="Arial"/>
          <w:u w:val="single"/>
          <w:lang w:val="es-ES"/>
        </w:rPr>
      </w:pPr>
      <w:r w:rsidRPr="00BC6FC2">
        <w:rPr>
          <w:rFonts w:eastAsia="Calibri" w:cs="Arial"/>
          <w:u w:val="single"/>
          <w:lang w:val="es-ES"/>
        </w:rPr>
        <w:t>Antecedentes</w:t>
      </w:r>
    </w:p>
    <w:p w14:paraId="115888D2" w14:textId="77777777" w:rsidR="002E0DE9" w:rsidRPr="00BC6FC2" w:rsidRDefault="002E0DE9" w:rsidP="00726109">
      <w:pPr>
        <w:spacing w:after="0" w:line="240" w:lineRule="auto"/>
        <w:jc w:val="both"/>
        <w:rPr>
          <w:rFonts w:cs="Arial"/>
          <w:lang w:val="es-ES"/>
        </w:rPr>
      </w:pPr>
    </w:p>
    <w:p w14:paraId="626E7775" w14:textId="05EDE12F" w:rsidR="0079012C" w:rsidRPr="00BC6FC2" w:rsidRDefault="0079012C" w:rsidP="00726109">
      <w:pPr>
        <w:pStyle w:val="ListParagraph"/>
        <w:numPr>
          <w:ilvl w:val="0"/>
          <w:numId w:val="6"/>
        </w:numPr>
        <w:spacing w:after="0" w:line="240" w:lineRule="auto"/>
        <w:ind w:left="540" w:hanging="540"/>
        <w:jc w:val="both"/>
        <w:rPr>
          <w:rFonts w:cs="Arial"/>
          <w:lang w:val="es-ES"/>
        </w:rPr>
      </w:pPr>
      <w:bookmarkStart w:id="0" w:name="_Hlk19517251"/>
      <w:r w:rsidRPr="00BC6FC2">
        <w:rPr>
          <w:rFonts w:cs="Arial"/>
          <w:lang w:val="es-ES"/>
        </w:rPr>
        <w:t>El pastoreo es una práctica de cría de animales para el ganado que se remonta a siglos atrás. Consiste en el desplazamiento de rebaños en busca de pastos frescos y fuentes de agua. Suele practicarse en regiones áridas o semiáridas con extensas praderas y pastizales donde la agricultura puede resultar difícil. Una de las características clave del pastoreo es su dependencia del forraje natural, ya que el ganado se alimenta principalmente de hierbas, arbustos y otra vegetación en estado salvaje. Los pastores suelen cuidar de grandes rebaños de animales</w:t>
      </w:r>
      <w:r w:rsidR="00032B7F" w:rsidRPr="00BC6FC2">
        <w:rPr>
          <w:color w:val="FF0000"/>
          <w:lang w:val="es-ES"/>
        </w:rPr>
        <w:t xml:space="preserve">. </w:t>
      </w:r>
      <w:r w:rsidRPr="00BC6FC2">
        <w:rPr>
          <w:rFonts w:cs="Arial"/>
          <w:lang w:val="es-ES"/>
        </w:rPr>
        <w:t>El pastoreo puede adoptar diversas formas, como el pastoreo nómada, el pastoreo trashumante, el pastoreo sedentario, el agropastoreo y la ganadería.</w:t>
      </w:r>
    </w:p>
    <w:p w14:paraId="72796B37" w14:textId="77777777" w:rsidR="0079012C" w:rsidRPr="00BC6FC2" w:rsidRDefault="0079012C" w:rsidP="00726109">
      <w:pPr>
        <w:pStyle w:val="ListParagraph"/>
        <w:spacing w:after="0" w:line="240" w:lineRule="auto"/>
        <w:ind w:left="540" w:hanging="540"/>
        <w:jc w:val="both"/>
        <w:rPr>
          <w:rFonts w:cs="Arial"/>
          <w:lang w:val="es-ES"/>
        </w:rPr>
      </w:pPr>
    </w:p>
    <w:p w14:paraId="6175D257" w14:textId="2D1DFE68" w:rsidR="001B3759" w:rsidRPr="00BC6FC2" w:rsidRDefault="001B3759" w:rsidP="00726109">
      <w:pPr>
        <w:pStyle w:val="ListParagraph"/>
        <w:numPr>
          <w:ilvl w:val="0"/>
          <w:numId w:val="6"/>
        </w:numPr>
        <w:spacing w:after="0" w:line="240" w:lineRule="auto"/>
        <w:ind w:left="540" w:hanging="540"/>
        <w:jc w:val="both"/>
        <w:rPr>
          <w:rFonts w:cs="Arial"/>
          <w:lang w:val="es-ES"/>
        </w:rPr>
      </w:pPr>
      <w:r w:rsidRPr="00BC6FC2">
        <w:rPr>
          <w:rFonts w:cs="Arial"/>
          <w:lang w:val="es-ES"/>
        </w:rPr>
        <w:t>El pastoreo contribuye de forma significativa a la producción de carne en varias partes del mundo, sobre todo en regiones áridas y semiáridas donde otras formas de agricultura pueden ser limitadas, como en el Sahel, África Oriental, el Cuerno de África, Asia Central, Oriente Medio, Sudamérica y Oceanía. Por ejemplo, casi el 75 % del ganado que llega al matadero de Yaundé (Camerún) procede de la Alta Sabana de Guinea, y la mayoría de ellos (más del 75 %) se crían mediante el pastoreo trashumante. (</w:t>
      </w:r>
      <w:hyperlink r:id="rId18" w:history="1">
        <w:r w:rsidRPr="00BC6FC2">
          <w:rPr>
            <w:rStyle w:val="Hyperlink"/>
            <w:rFonts w:cs="Arial"/>
            <w:lang w:val="es-ES"/>
          </w:rPr>
          <w:t>Nfor et al.</w:t>
        </w:r>
        <w:r w:rsidR="00B24E17" w:rsidRPr="00BC6FC2">
          <w:rPr>
            <w:rStyle w:val="Hyperlink"/>
            <w:rFonts w:cs="Arial"/>
            <w:i/>
            <w:iCs/>
            <w:lang w:val="es-ES"/>
          </w:rPr>
          <w:t>,</w:t>
        </w:r>
        <w:r w:rsidRPr="00BC6FC2">
          <w:rPr>
            <w:rStyle w:val="Hyperlink"/>
            <w:rFonts w:cs="Arial"/>
            <w:lang w:val="es-ES"/>
          </w:rPr>
          <w:t>2014</w:t>
        </w:r>
      </w:hyperlink>
      <w:r w:rsidRPr="00BC6FC2">
        <w:rPr>
          <w:rFonts w:cs="Arial"/>
          <w:lang w:val="es-ES"/>
        </w:rPr>
        <w:t>).</w:t>
      </w:r>
    </w:p>
    <w:p w14:paraId="57E6FC3B" w14:textId="77777777" w:rsidR="000859FD" w:rsidRPr="00BC6FC2" w:rsidRDefault="000859FD" w:rsidP="00726109">
      <w:pPr>
        <w:pStyle w:val="ListParagraph"/>
        <w:spacing w:after="0" w:line="240" w:lineRule="auto"/>
        <w:ind w:left="540" w:hanging="540"/>
        <w:jc w:val="both"/>
        <w:rPr>
          <w:rFonts w:cs="Arial"/>
          <w:lang w:val="es-ES"/>
        </w:rPr>
      </w:pPr>
    </w:p>
    <w:p w14:paraId="65DE73BC" w14:textId="1F0C2AF0" w:rsidR="000859FD" w:rsidRPr="00BC6FC2" w:rsidRDefault="000859FD" w:rsidP="00726109">
      <w:pPr>
        <w:pStyle w:val="ListParagraph"/>
        <w:numPr>
          <w:ilvl w:val="0"/>
          <w:numId w:val="6"/>
        </w:numPr>
        <w:spacing w:after="0" w:line="240" w:lineRule="auto"/>
        <w:ind w:left="540" w:hanging="540"/>
        <w:jc w:val="both"/>
        <w:rPr>
          <w:rFonts w:eastAsia="Calibri" w:cs="Arial"/>
          <w:lang w:val="es-ES"/>
        </w:rPr>
      </w:pPr>
      <w:r w:rsidRPr="00BC6FC2">
        <w:rPr>
          <w:rFonts w:cs="Arial"/>
          <w:lang w:val="es-ES"/>
        </w:rPr>
        <w:t>El consumo mundial de carne ha ido en aumento con el incremento de la riqueza y de la población humana. Entre 2000 y 2019, el consumo mundial de carne per cápita aumentó de 29,5 a 34 kg/persona/año (</w:t>
      </w:r>
      <w:hyperlink r:id="rId19">
        <w:r w:rsidRPr="00BC6FC2">
          <w:rPr>
            <w:rStyle w:val="Hyperlink"/>
            <w:lang w:val="es-ES"/>
          </w:rPr>
          <w:t>Garrido 2021</w:t>
        </w:r>
      </w:hyperlink>
      <w:r w:rsidRPr="00BC6FC2">
        <w:rPr>
          <w:rFonts w:cs="Arial"/>
          <w:lang w:val="es-ES"/>
        </w:rPr>
        <w:t>). Esta tendencia se consolida, y se prevé que el consumo global de carne aumente un 14 % en 2030 en comparación con la media de 2018-2020. Se prevé que el consumo de carne de vacuno y ovino, parte de la cual se cría en pastizales, aumente un 5,9 % y un 15,7 %, respectivamente. (</w:t>
      </w:r>
      <w:hyperlink r:id="rId20">
        <w:r w:rsidRPr="00BC6FC2">
          <w:rPr>
            <w:rStyle w:val="Hyperlink"/>
            <w:lang w:val="es-ES"/>
          </w:rPr>
          <w:t>FAO 2021</w:t>
        </w:r>
      </w:hyperlink>
      <w:r w:rsidRPr="00BC6FC2">
        <w:rPr>
          <w:rFonts w:cs="Arial"/>
          <w:lang w:val="es-ES"/>
        </w:rPr>
        <w:t>). Se calcula que el pastoreo aporta alrededor del 10 % de la producción mundial de carne, con 1000 millones de animales gestionados (</w:t>
      </w:r>
      <w:hyperlink r:id="rId21" w:history="1">
        <w:r w:rsidR="0028128F" w:rsidRPr="00BC6FC2">
          <w:rPr>
            <w:rStyle w:val="Hyperlink"/>
            <w:rFonts w:eastAsia="Calibri" w:cs="Arial"/>
            <w:lang w:val="es-ES"/>
          </w:rPr>
          <w:t>Jenet et. al 2017</w:t>
        </w:r>
      </w:hyperlink>
      <w:r w:rsidRPr="00BC6FC2">
        <w:rPr>
          <w:rFonts w:cs="Arial"/>
          <w:lang w:val="es-ES"/>
        </w:rPr>
        <w:t>); el aumento de la demanda de carne puede conducir a un incremento del ganado de pastoreo.</w:t>
      </w:r>
    </w:p>
    <w:p w14:paraId="5A6C690C" w14:textId="77777777" w:rsidR="001B3759" w:rsidRPr="00BC6FC2" w:rsidRDefault="001B3759" w:rsidP="00726109">
      <w:pPr>
        <w:pStyle w:val="ListParagraph"/>
        <w:spacing w:after="0" w:line="240" w:lineRule="auto"/>
        <w:ind w:left="540" w:hanging="540"/>
        <w:jc w:val="both"/>
        <w:rPr>
          <w:rFonts w:cs="Arial"/>
          <w:lang w:val="es-ES"/>
        </w:rPr>
      </w:pPr>
    </w:p>
    <w:p w14:paraId="610C21F3" w14:textId="24F79F24" w:rsidR="003B6746" w:rsidRPr="00BC6FC2" w:rsidRDefault="00A039BA" w:rsidP="00726109">
      <w:pPr>
        <w:pStyle w:val="ListParagraph"/>
        <w:numPr>
          <w:ilvl w:val="0"/>
          <w:numId w:val="6"/>
        </w:numPr>
        <w:spacing w:after="0" w:line="240" w:lineRule="auto"/>
        <w:ind w:left="540" w:hanging="540"/>
        <w:jc w:val="both"/>
        <w:rPr>
          <w:rFonts w:cs="Arial"/>
          <w:lang w:val="es-ES"/>
        </w:rPr>
      </w:pPr>
      <w:r w:rsidRPr="00BC6FC2">
        <w:rPr>
          <w:rFonts w:cs="Arial"/>
          <w:lang w:val="es-ES"/>
        </w:rPr>
        <w:t>El aumento de la demanda de carne ejerce presión sobre los pastos naturales y otros ecosistemas. La conversión de estas zonas en pastizales artificiales o la expansión de las tierras de cultivo para producir piensos destinados a la producción industrial de carne tienen innegables repercusiones negativas sobre la biodiversidad (</w:t>
      </w:r>
      <w:r w:rsidRPr="00BC6FC2">
        <w:rPr>
          <w:rStyle w:val="Hyperlink"/>
          <w:rFonts w:eastAsia="Calibri"/>
          <w:lang w:val="es-ES"/>
        </w:rPr>
        <w:t>Semenchuk et. al 2022</w:t>
      </w:r>
      <w:r w:rsidRPr="00BC6FC2">
        <w:rPr>
          <w:rFonts w:cs="Arial"/>
          <w:lang w:val="es-ES"/>
        </w:rPr>
        <w:t>). Sin embargo, se ha determinado que incluso el pastoreo que no se basa en la conversión de tierras tiene efectos adversos sobre el estado de conservación de las especies migratorias de animales salvajes cuando se practica a niveles que superan la capacidad de carga de los ecosistemas.</w:t>
      </w:r>
    </w:p>
    <w:p w14:paraId="73F7876D" w14:textId="77777777" w:rsidR="00025F35" w:rsidRPr="00BC6FC2" w:rsidRDefault="00025F35" w:rsidP="00726109">
      <w:pPr>
        <w:pStyle w:val="ListParagraph"/>
        <w:spacing w:after="0" w:line="240" w:lineRule="auto"/>
        <w:ind w:left="540" w:hanging="540"/>
        <w:jc w:val="both"/>
        <w:rPr>
          <w:lang w:val="es-ES"/>
        </w:rPr>
      </w:pPr>
    </w:p>
    <w:p w14:paraId="703EBAA4" w14:textId="323E82EB" w:rsidR="006F2837" w:rsidRPr="00BC6FC2" w:rsidRDefault="00EC0A0C" w:rsidP="00726109">
      <w:pPr>
        <w:pStyle w:val="ListParagraph"/>
        <w:numPr>
          <w:ilvl w:val="0"/>
          <w:numId w:val="6"/>
        </w:numPr>
        <w:spacing w:after="0" w:line="240" w:lineRule="auto"/>
        <w:ind w:left="540" w:hanging="540"/>
        <w:jc w:val="both"/>
        <w:rPr>
          <w:rFonts w:cs="Arial"/>
          <w:lang w:val="es-ES"/>
        </w:rPr>
      </w:pPr>
      <w:r w:rsidRPr="00BC6FC2">
        <w:rPr>
          <w:rFonts w:cs="Arial"/>
          <w:lang w:val="es-ES"/>
        </w:rPr>
        <w:t>A menudo, los pastizales utilizados por los pastores constituyen hábitats importantes para las especies migratorias. El pastoreo puede tener efectos tanto positivos como negativos en las especies migratorias. A continuación se resumen algunos casos prácticos. Por otra parte, tanto los pastores como las especies migratorias se ven afectados por presiones sobre los pastizales en referencia al cambio climático.</w:t>
      </w:r>
    </w:p>
    <w:p w14:paraId="318B2209" w14:textId="77777777" w:rsidR="006F2837" w:rsidRPr="00BC6FC2" w:rsidRDefault="006F2837" w:rsidP="00726109">
      <w:pPr>
        <w:pStyle w:val="ListParagraph"/>
        <w:spacing w:after="0" w:line="240" w:lineRule="auto"/>
        <w:ind w:left="540" w:hanging="540"/>
        <w:rPr>
          <w:lang w:val="es-ES"/>
        </w:rPr>
      </w:pPr>
    </w:p>
    <w:p w14:paraId="4DAA8E86" w14:textId="3D434355" w:rsidR="00C26A21" w:rsidRPr="00BC6FC2" w:rsidRDefault="00C26A21" w:rsidP="00726109">
      <w:pPr>
        <w:pStyle w:val="ListParagraph"/>
        <w:numPr>
          <w:ilvl w:val="0"/>
          <w:numId w:val="6"/>
        </w:numPr>
        <w:spacing w:after="0" w:line="240" w:lineRule="auto"/>
        <w:ind w:left="540" w:hanging="540"/>
        <w:jc w:val="both"/>
        <w:rPr>
          <w:rFonts w:cs="Arial"/>
          <w:lang w:val="es-ES"/>
        </w:rPr>
      </w:pPr>
      <w:r w:rsidRPr="00BC6FC2">
        <w:rPr>
          <w:lang w:val="es-ES"/>
        </w:rPr>
        <w:t>Las tierras de pastoreo de las que dependen tanto los pastores como las especies migratorias están amenazadas por el cambio climático, la degradación y el cambio de uso del suelo. Esto hace que los pastores y las especies migratorias se enfrenten a amenazas similares y dependan cada vez más de los mismos limitados recursos. Bajo la amenaza del cambio climático, se prevé que aproximadamente la mitad de los pastizales del mundo experimenten de forma simultánea una disminución de la biomasa media y un aumento de la variabilidad interanual (</w:t>
      </w:r>
      <w:hyperlink r:id="rId22" w:history="1">
        <w:r w:rsidRPr="00BC6FC2">
          <w:rPr>
            <w:rStyle w:val="Hyperlink"/>
            <w:rFonts w:cs="Arial"/>
            <w:lang w:val="es-ES"/>
          </w:rPr>
          <w:t>Godde et al.</w:t>
        </w:r>
        <w:r w:rsidR="00B24E17" w:rsidRPr="00BC6FC2">
          <w:rPr>
            <w:rStyle w:val="Hyperlink"/>
            <w:rFonts w:cs="Arial"/>
            <w:i/>
            <w:iCs/>
            <w:lang w:val="es-ES"/>
          </w:rPr>
          <w:t>,</w:t>
        </w:r>
        <w:r w:rsidRPr="00BC6FC2">
          <w:rPr>
            <w:rStyle w:val="Hyperlink"/>
            <w:rFonts w:cs="Arial"/>
            <w:lang w:val="es-ES"/>
          </w:rPr>
          <w:t>2020</w:t>
        </w:r>
      </w:hyperlink>
      <w:r w:rsidRPr="00BC6FC2">
        <w:rPr>
          <w:lang w:val="es-ES"/>
        </w:rPr>
        <w:t xml:space="preserve">), ambos factores </w:t>
      </w:r>
      <w:r w:rsidRPr="00BC6FC2">
        <w:rPr>
          <w:lang w:val="es-ES"/>
        </w:rPr>
        <w:lastRenderedPageBreak/>
        <w:t>potencialmente perjudiciales para la producción ganadera y para la conservación de las especies migratorias.</w:t>
      </w:r>
    </w:p>
    <w:p w14:paraId="62A0FE94" w14:textId="285ACA24" w:rsidR="001B3759" w:rsidRPr="00BC6FC2" w:rsidRDefault="001B3759" w:rsidP="00726109">
      <w:pPr>
        <w:pStyle w:val="ListParagraph"/>
        <w:spacing w:after="0" w:line="240" w:lineRule="auto"/>
        <w:ind w:left="540" w:hanging="540"/>
        <w:jc w:val="both"/>
        <w:rPr>
          <w:rFonts w:cs="Arial"/>
          <w:lang w:val="es-ES"/>
        </w:rPr>
      </w:pPr>
    </w:p>
    <w:p w14:paraId="0D497E15" w14:textId="0B32C1D6" w:rsidR="00632BEC" w:rsidRDefault="00632BEC" w:rsidP="00726109">
      <w:pPr>
        <w:spacing w:after="0" w:line="240" w:lineRule="auto"/>
        <w:ind w:left="540" w:hanging="540"/>
        <w:jc w:val="both"/>
        <w:rPr>
          <w:rFonts w:eastAsia="Calibri" w:cs="Arial"/>
          <w:u w:val="single"/>
          <w:lang w:val="es-ES"/>
        </w:rPr>
      </w:pPr>
      <w:bookmarkStart w:id="1" w:name="_Hlk137732239"/>
      <w:r w:rsidRPr="00BC6FC2">
        <w:rPr>
          <w:rFonts w:eastAsia="Calibri" w:cs="Arial"/>
          <w:u w:val="single"/>
          <w:lang w:val="es-ES"/>
        </w:rPr>
        <w:t>Efectos positivos del pastoreo en las especies migratorias</w:t>
      </w:r>
    </w:p>
    <w:p w14:paraId="0B31EDF7" w14:textId="77777777" w:rsidR="00726109" w:rsidRPr="00BC6FC2" w:rsidRDefault="00726109" w:rsidP="00726109">
      <w:pPr>
        <w:spacing w:after="0" w:line="240" w:lineRule="auto"/>
        <w:ind w:left="540" w:hanging="540"/>
        <w:jc w:val="both"/>
        <w:rPr>
          <w:rFonts w:eastAsia="Calibri" w:cs="Arial"/>
          <w:u w:val="single"/>
          <w:lang w:val="es-ES"/>
        </w:rPr>
      </w:pPr>
    </w:p>
    <w:p w14:paraId="0CD22DEB" w14:textId="0E41AFB7" w:rsidR="00632BEC" w:rsidRPr="00BC6FC2" w:rsidRDefault="00632BEC" w:rsidP="00726109">
      <w:pPr>
        <w:pStyle w:val="ListParagraph"/>
        <w:numPr>
          <w:ilvl w:val="0"/>
          <w:numId w:val="6"/>
        </w:numPr>
        <w:spacing w:after="0" w:line="240" w:lineRule="auto"/>
        <w:ind w:left="540" w:hanging="540"/>
        <w:jc w:val="both"/>
        <w:rPr>
          <w:rFonts w:eastAsia="Calibri" w:cs="Arial"/>
          <w:lang w:val="es-ES"/>
        </w:rPr>
      </w:pPr>
      <w:r w:rsidRPr="00BC6FC2">
        <w:rPr>
          <w:rFonts w:eastAsia="Calibri" w:cs="Arial"/>
          <w:lang w:val="es-ES"/>
        </w:rPr>
        <w:t xml:space="preserve">La gestión comunitaria equitativa de las tierras de pastoreo puede ser eficaz para la restauración de tierras y ecosistemas vitales para las especies migratorias (por ejemplo, en Túnez, véase </w:t>
      </w:r>
      <w:hyperlink r:id="rId23" w:history="1">
        <w:r w:rsidRPr="00BC6FC2">
          <w:rPr>
            <w:rStyle w:val="Hyperlink"/>
            <w:rFonts w:eastAsia="Calibri" w:cs="Arial"/>
            <w:lang w:val="es-ES"/>
          </w:rPr>
          <w:t>Fetoui et al. (2018)</w:t>
        </w:r>
      </w:hyperlink>
      <w:r w:rsidRPr="00BC6FC2">
        <w:rPr>
          <w:rFonts w:eastAsia="Calibri" w:cs="Arial"/>
          <w:lang w:val="es-ES"/>
        </w:rPr>
        <w:t xml:space="preserve">). Mientras que el aumento de la presión del pastoreo en zonas áridas más cálidas y pobres en especies </w:t>
      </w:r>
      <w:r w:rsidRPr="00BC6FC2">
        <w:rPr>
          <w:color w:val="000000" w:themeColor="text1"/>
          <w:lang w:val="es-ES"/>
        </w:rPr>
        <w:t xml:space="preserve">reduce </w:t>
      </w:r>
      <w:r w:rsidRPr="00BC6FC2">
        <w:rPr>
          <w:rFonts w:eastAsia="Calibri" w:cs="Arial"/>
          <w:lang w:val="es-ES"/>
        </w:rPr>
        <w:t>la prestación de servicios ecosistémicos, en zonas más frías y ricas en especies, el pastoreo puede tener efectos positivos en la prestación de servicios ecosistémicos</w:t>
      </w:r>
      <w:r w:rsidRPr="00BC6FC2">
        <w:rPr>
          <w:color w:val="FF0000"/>
          <w:lang w:val="es-ES"/>
        </w:rPr>
        <w:t xml:space="preserve"> </w:t>
      </w:r>
      <w:r w:rsidRPr="00BC6FC2">
        <w:rPr>
          <w:rFonts w:eastAsia="Calibri" w:cs="Arial"/>
          <w:lang w:val="es-ES"/>
        </w:rPr>
        <w:t>(</w:t>
      </w:r>
      <w:hyperlink r:id="rId24">
        <w:r w:rsidR="002E78B1" w:rsidRPr="00BC6FC2">
          <w:rPr>
            <w:rStyle w:val="Hyperlink"/>
            <w:rFonts w:cs="Arial"/>
            <w:lang w:val="es-ES"/>
          </w:rPr>
          <w:t>Maestre et al., 2022)</w:t>
        </w:r>
      </w:hyperlink>
      <w:r w:rsidRPr="00BC6FC2">
        <w:rPr>
          <w:rFonts w:eastAsia="Calibri" w:cs="Arial"/>
          <w:lang w:val="es-ES"/>
        </w:rPr>
        <w:t>. Asimismo, el pastoreo móvil tradicional llevado a cabo a niveles sostenibles para los ecosistemas podría contribuir de forma importante al mantenimiento de la conectividad de los ecosistemas (</w:t>
      </w:r>
      <w:hyperlink r:id="rId25" w:history="1">
        <w:r w:rsidRPr="00BC6FC2">
          <w:rPr>
            <w:rStyle w:val="Hyperlink"/>
            <w:rFonts w:cs="Arial"/>
            <w:lang w:val="es-ES"/>
          </w:rPr>
          <w:t>Yılmaz et al.,</w:t>
        </w:r>
        <w:r w:rsidRPr="00BC6FC2">
          <w:rPr>
            <w:rStyle w:val="Hyperlink"/>
            <w:rFonts w:cs="Arial"/>
            <w:i/>
            <w:iCs/>
            <w:lang w:val="es-ES"/>
          </w:rPr>
          <w:t xml:space="preserve"> </w:t>
        </w:r>
        <w:r w:rsidRPr="00BC6FC2">
          <w:rPr>
            <w:rStyle w:val="Hyperlink"/>
            <w:rFonts w:cs="Arial"/>
            <w:lang w:val="es-ES"/>
          </w:rPr>
          <w:t>2019</w:t>
        </w:r>
      </w:hyperlink>
      <w:r w:rsidRPr="00BC6FC2">
        <w:rPr>
          <w:rFonts w:cs="Arial"/>
          <w:lang w:val="es-ES"/>
        </w:rPr>
        <w:t>).</w:t>
      </w:r>
    </w:p>
    <w:p w14:paraId="76383CF3" w14:textId="77777777" w:rsidR="00632BEC" w:rsidRPr="00BC6FC2" w:rsidRDefault="00632BEC" w:rsidP="00726109">
      <w:pPr>
        <w:pStyle w:val="ListParagraph"/>
        <w:spacing w:after="0" w:line="240" w:lineRule="auto"/>
        <w:ind w:left="540" w:hanging="540"/>
        <w:jc w:val="both"/>
        <w:rPr>
          <w:lang w:val="es-ES"/>
        </w:rPr>
      </w:pPr>
    </w:p>
    <w:p w14:paraId="66873966" w14:textId="13CC6F32" w:rsidR="00632BEC" w:rsidRPr="00BC6FC2" w:rsidRDefault="00632BEC" w:rsidP="00726109">
      <w:pPr>
        <w:pStyle w:val="ListParagraph"/>
        <w:numPr>
          <w:ilvl w:val="0"/>
          <w:numId w:val="6"/>
        </w:numPr>
        <w:spacing w:after="0" w:line="240" w:lineRule="auto"/>
        <w:ind w:left="540" w:hanging="540"/>
        <w:jc w:val="both"/>
        <w:rPr>
          <w:rFonts w:eastAsia="Calibri" w:cs="Arial"/>
          <w:lang w:val="es-ES"/>
        </w:rPr>
      </w:pPr>
      <w:r w:rsidRPr="00BC6FC2">
        <w:rPr>
          <w:rFonts w:eastAsia="Calibri" w:cs="Arial"/>
          <w:lang w:val="es-ES"/>
        </w:rPr>
        <w:t>Un estudio sobre los leopardos de las nieves (</w:t>
      </w:r>
      <w:r w:rsidRPr="00BC6FC2">
        <w:rPr>
          <w:rFonts w:eastAsia="Calibri" w:cs="Arial"/>
          <w:i/>
          <w:iCs/>
          <w:lang w:val="es-ES"/>
        </w:rPr>
        <w:t>Uncia uncia</w:t>
      </w:r>
      <w:r w:rsidRPr="00BC6FC2">
        <w:rPr>
          <w:rFonts w:eastAsia="Calibri" w:cs="Arial"/>
          <w:lang w:val="es-ES"/>
        </w:rPr>
        <w:t>) y sus presas en la meseta tibetana demostró que la coexistencia de pastores y especies migratorias es posible (</w:t>
      </w:r>
      <w:hyperlink r:id="rId26" w:history="1">
        <w:r w:rsidR="5F4FE9C3" w:rsidRPr="00BC6FC2">
          <w:rPr>
            <w:rStyle w:val="Hyperlink"/>
            <w:lang w:val="es-ES"/>
          </w:rPr>
          <w:t>Xiao</w:t>
        </w:r>
        <w:r w:rsidR="5F4FE9C3" w:rsidRPr="00BC6FC2">
          <w:rPr>
            <w:rStyle w:val="Hyperlink"/>
            <w:i/>
            <w:iCs/>
            <w:lang w:val="es-ES"/>
          </w:rPr>
          <w:t xml:space="preserve"> </w:t>
        </w:r>
        <w:r w:rsidR="5F4FE9C3" w:rsidRPr="00BC6FC2">
          <w:rPr>
            <w:rStyle w:val="Hyperlink"/>
            <w:lang w:val="es-ES"/>
          </w:rPr>
          <w:t>et al.</w:t>
        </w:r>
        <w:r w:rsidR="5F4FE9C3" w:rsidRPr="00BC6FC2">
          <w:rPr>
            <w:rStyle w:val="Hyperlink"/>
            <w:i/>
            <w:iCs/>
            <w:lang w:val="es-ES"/>
          </w:rPr>
          <w:t xml:space="preserve">, </w:t>
        </w:r>
        <w:r w:rsidR="5F4FE9C3" w:rsidRPr="00BC6FC2">
          <w:rPr>
            <w:rStyle w:val="Hyperlink"/>
            <w:lang w:val="es-ES"/>
          </w:rPr>
          <w:t>2022</w:t>
        </w:r>
      </w:hyperlink>
      <w:r w:rsidR="00C02C66" w:rsidRPr="00BC6FC2">
        <w:rPr>
          <w:rFonts w:eastAsia="Calibri" w:cs="Arial"/>
          <w:lang w:val="es-ES"/>
        </w:rPr>
        <w:t>). El aumento de las actividades nómadas de pastoreo no ha perjudicado significativamente a las poblaciones del barral (</w:t>
      </w:r>
      <w:r w:rsidRPr="00BC6FC2">
        <w:rPr>
          <w:i/>
          <w:iCs/>
          <w:lang w:val="es-ES"/>
        </w:rPr>
        <w:t>Pseudois nayaur</w:t>
      </w:r>
      <w:r w:rsidRPr="00BC6FC2">
        <w:rPr>
          <w:rFonts w:eastAsia="Calibri" w:cs="Arial"/>
          <w:lang w:val="es-ES"/>
        </w:rPr>
        <w:t>) y el leopardo de las nieves, posiblemente debido a la segregación espacio-temporal del uso del hábitat por parte de los pastores tradicionales y la fauna salvaje, así como al bajo nivel de sacrificios por represalias debido a las creencias religiosas de los pastores (</w:t>
      </w:r>
      <w:hyperlink r:id="rId27">
        <w:r w:rsidRPr="00BC6FC2">
          <w:rPr>
            <w:rStyle w:val="Hyperlink"/>
            <w:rFonts w:eastAsia="Calibri" w:cs="Arial"/>
            <w:lang w:val="es-ES"/>
          </w:rPr>
          <w:t>Xiao et al., 2022</w:t>
        </w:r>
      </w:hyperlink>
      <w:r w:rsidRPr="00BC6FC2">
        <w:rPr>
          <w:rFonts w:eastAsia="Calibri" w:cs="Arial"/>
          <w:lang w:val="es-ES"/>
        </w:rPr>
        <w:t>).</w:t>
      </w:r>
    </w:p>
    <w:p w14:paraId="6CB1F976" w14:textId="77777777" w:rsidR="00632BEC" w:rsidRPr="00BC6FC2" w:rsidRDefault="00632BEC" w:rsidP="00726109">
      <w:pPr>
        <w:pStyle w:val="ListParagraph"/>
        <w:spacing w:after="0" w:line="240" w:lineRule="auto"/>
        <w:ind w:left="540" w:hanging="540"/>
        <w:jc w:val="both"/>
        <w:rPr>
          <w:rFonts w:eastAsia="Calibri" w:cs="Arial"/>
          <w:lang w:val="es-ES"/>
        </w:rPr>
      </w:pPr>
    </w:p>
    <w:p w14:paraId="02BC03EE" w14:textId="3476BB1C" w:rsidR="00632BEC" w:rsidRPr="00BC6FC2" w:rsidRDefault="00874C1C" w:rsidP="00726109">
      <w:pPr>
        <w:pStyle w:val="ListParagraph"/>
        <w:numPr>
          <w:ilvl w:val="0"/>
          <w:numId w:val="6"/>
        </w:numPr>
        <w:spacing w:after="0" w:line="240" w:lineRule="auto"/>
        <w:ind w:left="540" w:hanging="540"/>
        <w:jc w:val="both"/>
        <w:rPr>
          <w:rFonts w:eastAsia="Calibri" w:cs="Arial"/>
          <w:lang w:val="es-ES"/>
        </w:rPr>
      </w:pPr>
      <w:r w:rsidRPr="00BC6FC2">
        <w:rPr>
          <w:rFonts w:eastAsia="Calibri" w:cs="Arial"/>
          <w:lang w:val="es-ES"/>
        </w:rPr>
        <w:t xml:space="preserve">En el caso de las especies aviares, muchos estudios destacan los efectos positivos de los programas agroambientales cuando se aplican en praderas en Europa (véase, por ejemplo, </w:t>
      </w:r>
      <w:hyperlink r:id="rId28" w:history="1">
        <w:r w:rsidR="00632BEC" w:rsidRPr="00BC6FC2">
          <w:rPr>
            <w:rStyle w:val="Hyperlink"/>
            <w:rFonts w:eastAsia="Calibri" w:cs="Arial"/>
            <w:lang w:val="es-ES"/>
          </w:rPr>
          <w:t>Tarjuelo et al. (2021)</w:t>
        </w:r>
      </w:hyperlink>
      <w:r w:rsidRPr="00BC6FC2">
        <w:rPr>
          <w:rFonts w:eastAsia="Calibri" w:cs="Arial"/>
          <w:lang w:val="es-ES"/>
        </w:rPr>
        <w:t>). Del mismo modo, los niveles moderados de pastoreo de ganado han tenido efectos positivos en las comunidades de aves de la meseta Tibetana-Qinghai (</w:t>
      </w:r>
      <w:hyperlink r:id="rId29" w:history="1">
        <w:r w:rsidR="00A33C47" w:rsidRPr="00BC6FC2">
          <w:rPr>
            <w:rStyle w:val="Hyperlink"/>
            <w:rFonts w:eastAsia="Calibri" w:cs="Arial"/>
            <w:lang w:val="es-ES"/>
          </w:rPr>
          <w:t>Li Li et al., 2022</w:t>
        </w:r>
      </w:hyperlink>
      <w:r w:rsidR="00A33C47" w:rsidRPr="00BC6FC2">
        <w:rPr>
          <w:rFonts w:eastAsia="Calibri" w:cs="Arial"/>
          <w:lang w:val="es-ES"/>
        </w:rPr>
        <w:t>)</w:t>
      </w:r>
      <w:r w:rsidR="00632BEC" w:rsidRPr="00BC6FC2">
        <w:rPr>
          <w:rFonts w:eastAsia="Calibri" w:cs="Arial"/>
          <w:lang w:val="es-ES"/>
        </w:rPr>
        <w:t xml:space="preserve">. </w:t>
      </w:r>
    </w:p>
    <w:p w14:paraId="79CB547A" w14:textId="77777777" w:rsidR="008E5426" w:rsidRPr="00BC6FC2" w:rsidRDefault="008E5426" w:rsidP="00726109">
      <w:pPr>
        <w:pStyle w:val="ListParagraph"/>
        <w:spacing w:after="0" w:line="240" w:lineRule="auto"/>
        <w:ind w:left="540" w:hanging="540"/>
        <w:jc w:val="both"/>
        <w:rPr>
          <w:rFonts w:cs="Arial"/>
          <w:lang w:val="es-ES"/>
        </w:rPr>
      </w:pPr>
    </w:p>
    <w:p w14:paraId="0B29585A" w14:textId="08285FE8" w:rsidR="008E5426" w:rsidRDefault="00B90999" w:rsidP="00726109">
      <w:pPr>
        <w:pStyle w:val="ListParagraph"/>
        <w:numPr>
          <w:ilvl w:val="0"/>
          <w:numId w:val="6"/>
        </w:numPr>
        <w:spacing w:after="0" w:line="240" w:lineRule="auto"/>
        <w:ind w:left="540" w:hanging="540"/>
        <w:jc w:val="both"/>
        <w:rPr>
          <w:rFonts w:cs="Arial"/>
          <w:lang w:val="es-ES"/>
        </w:rPr>
      </w:pPr>
      <w:r w:rsidRPr="00BC6FC2">
        <w:rPr>
          <w:rFonts w:cs="Arial"/>
          <w:lang w:val="es-ES"/>
        </w:rPr>
        <w:t>La riqueza y abundancia de especies carroñeras como el buitre leonado (</w:t>
      </w:r>
      <w:r w:rsidR="008E5426" w:rsidRPr="00BC6FC2">
        <w:rPr>
          <w:rFonts w:cs="Arial"/>
          <w:i/>
          <w:iCs/>
          <w:lang w:val="es-ES"/>
        </w:rPr>
        <w:t>Gyps fulvus</w:t>
      </w:r>
      <w:r w:rsidR="008E5426" w:rsidRPr="00BC6FC2">
        <w:rPr>
          <w:rFonts w:cs="Arial"/>
          <w:lang w:val="es-ES"/>
        </w:rPr>
        <w:t>), jabalíes</w:t>
      </w:r>
      <w:r w:rsidR="008E5426" w:rsidRPr="00BC6FC2">
        <w:rPr>
          <w:rFonts w:cs="Arial"/>
          <w:i/>
          <w:iCs/>
          <w:lang w:val="es-ES"/>
        </w:rPr>
        <w:t xml:space="preserve"> </w:t>
      </w:r>
      <w:r w:rsidR="008E5426" w:rsidRPr="00BC6FC2">
        <w:rPr>
          <w:rFonts w:cs="Arial"/>
          <w:lang w:val="es-ES"/>
        </w:rPr>
        <w:t>(</w:t>
      </w:r>
      <w:r w:rsidR="008E5426" w:rsidRPr="00BC6FC2">
        <w:rPr>
          <w:rFonts w:cs="Arial"/>
          <w:i/>
          <w:iCs/>
          <w:lang w:val="es-ES"/>
        </w:rPr>
        <w:t>Sus</w:t>
      </w:r>
      <w:r w:rsidR="008E5426" w:rsidRPr="00BC6FC2">
        <w:rPr>
          <w:rFonts w:cs="Arial"/>
          <w:lang w:val="es-ES"/>
        </w:rPr>
        <w:t xml:space="preserve"> </w:t>
      </w:r>
      <w:r w:rsidR="008E5426" w:rsidRPr="00BC6FC2">
        <w:rPr>
          <w:rFonts w:cs="Arial"/>
          <w:i/>
          <w:iCs/>
          <w:lang w:val="es-ES"/>
        </w:rPr>
        <w:t>scorfa</w:t>
      </w:r>
      <w:r w:rsidR="008E5426" w:rsidRPr="00BC6FC2">
        <w:rPr>
          <w:rFonts w:cs="Arial"/>
          <w:lang w:val="es-ES"/>
        </w:rPr>
        <w:t>)</w:t>
      </w:r>
      <w:r w:rsidR="008E5426" w:rsidRPr="00BC6FC2">
        <w:rPr>
          <w:rFonts w:cs="Arial"/>
          <w:i/>
          <w:iCs/>
          <w:lang w:val="es-ES"/>
        </w:rPr>
        <w:t xml:space="preserve"> </w:t>
      </w:r>
      <w:r w:rsidR="008E5426" w:rsidRPr="00BC6FC2">
        <w:rPr>
          <w:rFonts w:cs="Arial"/>
          <w:lang w:val="es-ES"/>
        </w:rPr>
        <w:t>y zorro rojo</w:t>
      </w:r>
      <w:r w:rsidR="008E5426" w:rsidRPr="00BC6FC2">
        <w:rPr>
          <w:rFonts w:cs="Arial"/>
          <w:i/>
          <w:iCs/>
          <w:lang w:val="es-ES"/>
        </w:rPr>
        <w:t xml:space="preserve"> </w:t>
      </w:r>
      <w:r w:rsidR="008E5426" w:rsidRPr="00BC6FC2">
        <w:rPr>
          <w:rFonts w:cs="Arial"/>
          <w:lang w:val="es-ES"/>
        </w:rPr>
        <w:t>(</w:t>
      </w:r>
      <w:r w:rsidR="008E5426" w:rsidRPr="00BC6FC2">
        <w:rPr>
          <w:rFonts w:cs="Arial"/>
          <w:i/>
          <w:iCs/>
          <w:lang w:val="es-ES"/>
        </w:rPr>
        <w:t>Vulpes vulpes</w:t>
      </w:r>
      <w:r w:rsidR="008E5426" w:rsidRPr="00BC6FC2">
        <w:rPr>
          <w:rFonts w:cs="Arial"/>
          <w:lang w:val="es-ES"/>
        </w:rPr>
        <w:t>)</w:t>
      </w:r>
      <w:r w:rsidR="00721809" w:rsidRPr="00BC6FC2">
        <w:rPr>
          <w:color w:val="FF0000"/>
          <w:lang w:val="es-ES"/>
        </w:rPr>
        <w:t xml:space="preserve"> </w:t>
      </w:r>
      <w:r w:rsidR="00721809" w:rsidRPr="00BC6FC2">
        <w:rPr>
          <w:rFonts w:cs="Arial"/>
          <w:lang w:val="es-ES"/>
        </w:rPr>
        <w:t>aumentaron en los lugares con cadáveres de ungulados domésticos en comparación con los lugares con cadáveres de ungulados silvestres (</w:t>
      </w:r>
      <w:hyperlink r:id="rId30" w:history="1">
        <w:r w:rsidR="00721809" w:rsidRPr="00BC6FC2">
          <w:rPr>
            <w:rStyle w:val="Hyperlink"/>
            <w:rFonts w:cs="Arial"/>
            <w:lang w:val="es-ES"/>
          </w:rPr>
          <w:t>Arrondo et al.</w:t>
        </w:r>
        <w:r w:rsidR="00EB7362" w:rsidRPr="00BC6FC2">
          <w:rPr>
            <w:rStyle w:val="Hyperlink"/>
            <w:rFonts w:cs="Arial"/>
            <w:i/>
            <w:iCs/>
            <w:lang w:val="es-ES"/>
          </w:rPr>
          <w:t>,</w:t>
        </w:r>
        <w:r w:rsidR="00721809" w:rsidRPr="00BC6FC2">
          <w:rPr>
            <w:rStyle w:val="Hyperlink"/>
            <w:rFonts w:cs="Arial"/>
            <w:lang w:val="es-ES"/>
          </w:rPr>
          <w:t xml:space="preserve"> 2019)</w:t>
        </w:r>
      </w:hyperlink>
      <w:r w:rsidR="008E5426" w:rsidRPr="00BC6FC2">
        <w:rPr>
          <w:rFonts w:cs="Arial"/>
          <w:lang w:val="es-ES"/>
        </w:rPr>
        <w:t>. Los rebaños trashumantes también pueden estar relacionados de forma positiva con la presencia de buitres leonados (</w:t>
      </w:r>
      <w:hyperlink r:id="rId31" w:history="1">
        <w:r w:rsidR="00B46815" w:rsidRPr="00BC6FC2">
          <w:rPr>
            <w:rStyle w:val="Hyperlink"/>
            <w:rFonts w:cs="Arial"/>
            <w:lang w:val="es-ES"/>
          </w:rPr>
          <w:t>Aguilera-Alcala et al.</w:t>
        </w:r>
        <w:r w:rsidR="00BC49CA" w:rsidRPr="00BC6FC2">
          <w:rPr>
            <w:rStyle w:val="Hyperlink"/>
            <w:rFonts w:cs="Arial"/>
            <w:i/>
            <w:iCs/>
            <w:lang w:val="es-ES"/>
          </w:rPr>
          <w:t>,</w:t>
        </w:r>
        <w:r w:rsidR="00B46815" w:rsidRPr="00BC6FC2">
          <w:rPr>
            <w:rStyle w:val="Hyperlink"/>
            <w:rFonts w:cs="Arial"/>
            <w:lang w:val="es-ES"/>
          </w:rPr>
          <w:t xml:space="preserve"> 2021)</w:t>
        </w:r>
      </w:hyperlink>
      <w:r w:rsidR="008E5426" w:rsidRPr="00BC6FC2">
        <w:rPr>
          <w:rFonts w:cs="Arial"/>
          <w:lang w:val="es-ES"/>
        </w:rPr>
        <w:t xml:space="preserve">. </w:t>
      </w:r>
    </w:p>
    <w:p w14:paraId="643D5783" w14:textId="77777777" w:rsidR="00726109" w:rsidRPr="00726109" w:rsidRDefault="00726109" w:rsidP="00726109">
      <w:pPr>
        <w:spacing w:after="0" w:line="240" w:lineRule="auto"/>
        <w:jc w:val="both"/>
        <w:rPr>
          <w:rFonts w:cs="Arial"/>
          <w:lang w:val="es-ES"/>
        </w:rPr>
      </w:pPr>
    </w:p>
    <w:p w14:paraId="7C00FE57" w14:textId="3D9F7BB2" w:rsidR="00191395" w:rsidRDefault="00191395" w:rsidP="00726109">
      <w:pPr>
        <w:spacing w:after="0" w:line="240" w:lineRule="auto"/>
        <w:ind w:left="540" w:hanging="540"/>
        <w:jc w:val="both"/>
        <w:rPr>
          <w:rFonts w:cs="Arial"/>
          <w:u w:val="single"/>
          <w:lang w:val="es-ES"/>
        </w:rPr>
      </w:pPr>
      <w:r w:rsidRPr="00BC6FC2">
        <w:rPr>
          <w:rFonts w:cs="Arial"/>
          <w:u w:val="single"/>
          <w:lang w:val="es-ES"/>
        </w:rPr>
        <w:t xml:space="preserve">Impactos negativos de las prácticas de pastoreo en las especies migratorias </w:t>
      </w:r>
    </w:p>
    <w:p w14:paraId="57912661" w14:textId="77777777" w:rsidR="00726109" w:rsidRPr="00BC6FC2" w:rsidRDefault="00726109" w:rsidP="00726109">
      <w:pPr>
        <w:spacing w:after="0" w:line="240" w:lineRule="auto"/>
        <w:ind w:left="540" w:hanging="540"/>
        <w:jc w:val="both"/>
        <w:rPr>
          <w:rFonts w:cs="Arial"/>
          <w:u w:val="single"/>
          <w:lang w:val="es-ES"/>
        </w:rPr>
      </w:pPr>
    </w:p>
    <w:bookmarkEnd w:id="1"/>
    <w:p w14:paraId="0453E995" w14:textId="34D93BE4" w:rsidR="00141DD7" w:rsidRPr="00BC6FC2" w:rsidRDefault="001B3759" w:rsidP="00726109">
      <w:pPr>
        <w:pStyle w:val="ListParagraph"/>
        <w:numPr>
          <w:ilvl w:val="0"/>
          <w:numId w:val="6"/>
        </w:numPr>
        <w:spacing w:after="0" w:line="240" w:lineRule="auto"/>
        <w:ind w:left="540" w:hanging="540"/>
        <w:jc w:val="both"/>
        <w:rPr>
          <w:rFonts w:cs="Arial"/>
          <w:i/>
          <w:lang w:val="es-ES"/>
        </w:rPr>
      </w:pPr>
      <w:r w:rsidRPr="00BC6FC2">
        <w:rPr>
          <w:rFonts w:cs="Arial"/>
          <w:lang w:val="es-ES"/>
        </w:rPr>
        <w:t>Los pastores y las especies migratorias compiten a menudo por los mismos recursos de pasto. El comportamiento migratorio de los herbívoros salvajes puede aumentar el riesgo de competencia con el ganado en etapas específicas de la migración en las que es necesario acceder a los recursos para acumular reservas energéticas (</w:t>
      </w:r>
      <w:hyperlink r:id="rId32" w:anchor="bb0100">
        <w:r w:rsidR="00F56422" w:rsidRPr="00BC6FC2">
          <w:rPr>
            <w:rStyle w:val="Hyperlink"/>
            <w:rFonts w:cs="Arial"/>
            <w:lang w:val="es-ES"/>
          </w:rPr>
          <w:t>Pozo et al., 2021)</w:t>
        </w:r>
      </w:hyperlink>
      <w:r w:rsidRPr="00BC6FC2">
        <w:rPr>
          <w:rFonts w:cs="Arial"/>
          <w:lang w:val="es-ES"/>
        </w:rPr>
        <w:t>. Esta competencia puede conducir a un pastoreo excesivo y a una reducción del acceso a los recursos necesarios. Es necesario comprender mejor las interacciones de los herbívoros migratorios con los patrones espacio-temporales de uso de los recursos por parte de los herbívoros domésticos (</w:t>
      </w:r>
      <w:hyperlink r:id="rId33" w:anchor="bb0100">
        <w:r w:rsidR="00F56422" w:rsidRPr="00BC6FC2">
          <w:rPr>
            <w:rStyle w:val="Hyperlink"/>
            <w:rFonts w:cs="Arial"/>
            <w:lang w:val="es-ES"/>
          </w:rPr>
          <w:t>Pozo et al., 2021)</w:t>
        </w:r>
      </w:hyperlink>
      <w:r w:rsidR="00A14B16" w:rsidRPr="00BC6FC2">
        <w:rPr>
          <w:rFonts w:cs="Arial"/>
          <w:lang w:val="es-ES"/>
        </w:rPr>
        <w:t xml:space="preserve">. </w:t>
      </w:r>
    </w:p>
    <w:p w14:paraId="3D18CEAF" w14:textId="77777777" w:rsidR="00B25A31" w:rsidRPr="00BC6FC2" w:rsidRDefault="00B25A31" w:rsidP="00726109">
      <w:pPr>
        <w:pStyle w:val="ListParagraph"/>
        <w:spacing w:after="0" w:line="240" w:lineRule="auto"/>
        <w:ind w:left="540" w:hanging="540"/>
        <w:jc w:val="both"/>
        <w:rPr>
          <w:rFonts w:cs="Arial"/>
          <w:lang w:val="es-ES"/>
        </w:rPr>
      </w:pPr>
    </w:p>
    <w:p w14:paraId="4D745CEE" w14:textId="15DB829C" w:rsidR="000A0673" w:rsidRPr="00BC6FC2" w:rsidRDefault="00B3360F" w:rsidP="00726109">
      <w:pPr>
        <w:pStyle w:val="ListParagraph"/>
        <w:numPr>
          <w:ilvl w:val="0"/>
          <w:numId w:val="6"/>
        </w:numPr>
        <w:spacing w:after="0" w:line="240" w:lineRule="auto"/>
        <w:ind w:left="540" w:hanging="540"/>
        <w:jc w:val="both"/>
        <w:rPr>
          <w:rFonts w:cs="Arial"/>
          <w:lang w:val="es-ES"/>
        </w:rPr>
      </w:pPr>
      <w:r w:rsidRPr="00BC6FC2">
        <w:rPr>
          <w:rFonts w:cs="Arial"/>
          <w:b/>
          <w:bCs/>
          <w:lang w:val="es-ES"/>
        </w:rPr>
        <w:t xml:space="preserve"> </w:t>
      </w:r>
      <w:r w:rsidR="004A5153" w:rsidRPr="00BC6FC2">
        <w:rPr>
          <w:lang w:val="es-ES"/>
        </w:rPr>
        <w:t xml:space="preserve">El pastoreo excesivo puede tener efectos perjudiciales para el equilibrio del ecosistema. El pastoreo excesivo puede provocar la degradación de la vegetación y la fragmentación y pérdida de hábitats para las especies migratorias, lo que va en detrimento de su supervivencia. </w:t>
      </w:r>
    </w:p>
    <w:p w14:paraId="041DF77F" w14:textId="77777777" w:rsidR="000A0673" w:rsidRPr="00BC6FC2" w:rsidRDefault="000A0673" w:rsidP="00726109">
      <w:pPr>
        <w:pStyle w:val="ListParagraph"/>
        <w:spacing w:after="0" w:line="240" w:lineRule="auto"/>
        <w:jc w:val="both"/>
        <w:rPr>
          <w:rFonts w:eastAsia="Calibri" w:cs="Arial"/>
          <w:lang w:val="es-ES"/>
        </w:rPr>
      </w:pPr>
    </w:p>
    <w:p w14:paraId="62265844" w14:textId="6DB75667" w:rsidR="000A0673" w:rsidRPr="00BC6FC2" w:rsidRDefault="008C61A2" w:rsidP="00726109">
      <w:pPr>
        <w:pStyle w:val="ListParagraph"/>
        <w:numPr>
          <w:ilvl w:val="1"/>
          <w:numId w:val="6"/>
        </w:numPr>
        <w:spacing w:after="0" w:line="240" w:lineRule="auto"/>
        <w:ind w:left="900"/>
        <w:jc w:val="both"/>
        <w:rPr>
          <w:rFonts w:cs="Arial"/>
          <w:lang w:val="es-ES"/>
        </w:rPr>
      </w:pPr>
      <w:r w:rsidRPr="00BC6FC2">
        <w:rPr>
          <w:rFonts w:eastAsia="Calibri" w:cs="Arial"/>
          <w:lang w:val="es-ES"/>
        </w:rPr>
        <w:t>El pastoreo excesivo en la región sahelo-sahariana es una de las principales presiones que amenazan la biodiversidad de la región (</w:t>
      </w:r>
      <w:hyperlink r:id="rId34">
        <w:r w:rsidRPr="00BC6FC2">
          <w:rPr>
            <w:rStyle w:val="Hyperlink"/>
            <w:rFonts w:eastAsia="Calibri" w:cs="Arial"/>
            <w:lang w:val="es-ES"/>
          </w:rPr>
          <w:t>Brito et al., 2016</w:t>
        </w:r>
      </w:hyperlink>
      <w:r w:rsidRPr="00BC6FC2">
        <w:rPr>
          <w:rFonts w:eastAsia="Calibri" w:cs="Arial"/>
          <w:lang w:val="es-ES"/>
        </w:rPr>
        <w:t xml:space="preserve">); no </w:t>
      </w:r>
      <w:r w:rsidRPr="00BC6FC2">
        <w:rPr>
          <w:rFonts w:eastAsia="Calibri" w:cs="Arial"/>
          <w:lang w:val="es-ES"/>
        </w:rPr>
        <w:lastRenderedPageBreak/>
        <w:t>obstante, la cuantificación del impacto real del pastoreo en la biodiversidad se complica por la falta de datos sobre la práctica (</w:t>
      </w:r>
      <w:hyperlink r:id="rId35">
        <w:r w:rsidRPr="00BC6FC2">
          <w:rPr>
            <w:rStyle w:val="Hyperlink"/>
            <w:rFonts w:eastAsia="Calibri" w:cs="Arial"/>
            <w:lang w:val="es-ES"/>
          </w:rPr>
          <w:t>Brito et al., 2016</w:t>
        </w:r>
      </w:hyperlink>
      <w:r w:rsidRPr="00BC6FC2">
        <w:rPr>
          <w:rFonts w:eastAsia="Calibri" w:cs="Arial"/>
          <w:lang w:val="es-ES"/>
        </w:rPr>
        <w:t>). El pastoreo excesivo se identificó como una de las amenazas para los antílopes sahelosaharianos, concretamente el addax (</w:t>
      </w:r>
      <w:r w:rsidRPr="00BC6FC2">
        <w:rPr>
          <w:rFonts w:eastAsia="Calibri" w:cs="Arial"/>
          <w:i/>
          <w:iCs/>
          <w:lang w:val="es-ES"/>
        </w:rPr>
        <w:t xml:space="preserve">Addax nasomaculatus), </w:t>
      </w:r>
      <w:r w:rsidRPr="00BC6FC2">
        <w:rPr>
          <w:rFonts w:eastAsia="Calibri" w:cs="Arial"/>
          <w:lang w:val="es-ES"/>
        </w:rPr>
        <w:t>gacela dama (</w:t>
      </w:r>
      <w:r w:rsidRPr="00BC6FC2">
        <w:rPr>
          <w:rFonts w:eastAsia="Calibri" w:cs="Arial"/>
          <w:i/>
          <w:iCs/>
          <w:lang w:val="es-ES"/>
        </w:rPr>
        <w:t>Gazella dama</w:t>
      </w:r>
      <w:r w:rsidRPr="00BC6FC2">
        <w:rPr>
          <w:rFonts w:eastAsia="Calibri" w:cs="Arial"/>
          <w:lang w:val="es-ES"/>
        </w:rPr>
        <w:t>)</w:t>
      </w:r>
      <w:r w:rsidRPr="00BC6FC2">
        <w:rPr>
          <w:rFonts w:eastAsia="Calibri" w:cs="Arial"/>
          <w:i/>
          <w:iCs/>
          <w:lang w:val="es-ES"/>
        </w:rPr>
        <w:t>,</w:t>
      </w:r>
      <w:r w:rsidRPr="00BC6FC2">
        <w:rPr>
          <w:rFonts w:eastAsia="Calibri" w:cs="Arial"/>
          <w:lang w:val="es-ES"/>
        </w:rPr>
        <w:t xml:space="preserve"> gacela blanca (</w:t>
      </w:r>
      <w:r w:rsidRPr="00BC6FC2">
        <w:rPr>
          <w:rFonts w:eastAsia="Calibri" w:cs="Arial"/>
          <w:i/>
          <w:iCs/>
          <w:lang w:val="es-ES"/>
        </w:rPr>
        <w:t>Gazella leptoceros</w:t>
      </w:r>
      <w:r w:rsidRPr="00BC6FC2">
        <w:rPr>
          <w:rFonts w:eastAsia="Calibri" w:cs="Arial"/>
          <w:lang w:val="es-ES"/>
        </w:rPr>
        <w:t>)</w:t>
      </w:r>
      <w:r w:rsidRPr="00BC6FC2">
        <w:rPr>
          <w:rFonts w:eastAsia="Calibri" w:cs="Arial"/>
          <w:i/>
          <w:iCs/>
          <w:lang w:val="es-ES"/>
        </w:rPr>
        <w:t>,</w:t>
      </w:r>
      <w:r w:rsidRPr="00BC6FC2">
        <w:rPr>
          <w:rFonts w:eastAsia="Calibri" w:cs="Arial"/>
          <w:lang w:val="es-ES"/>
        </w:rPr>
        <w:t xml:space="preserve"> gacela de Cuvier (</w:t>
      </w:r>
      <w:r w:rsidRPr="00BC6FC2">
        <w:rPr>
          <w:rFonts w:eastAsia="Calibri" w:cs="Arial"/>
          <w:i/>
          <w:iCs/>
          <w:lang w:val="es-ES"/>
        </w:rPr>
        <w:t>Gazella cuvieri</w:t>
      </w:r>
      <w:r w:rsidRPr="00BC6FC2">
        <w:rPr>
          <w:rFonts w:eastAsia="Calibri" w:cs="Arial"/>
          <w:lang w:val="es-ES"/>
        </w:rPr>
        <w:t>)</w:t>
      </w:r>
      <w:r w:rsidRPr="00BC6FC2">
        <w:rPr>
          <w:rFonts w:eastAsia="Calibri" w:cs="Arial"/>
          <w:i/>
          <w:iCs/>
          <w:lang w:val="es-ES"/>
        </w:rPr>
        <w:t xml:space="preserve">, </w:t>
      </w:r>
      <w:r w:rsidRPr="00BC6FC2">
        <w:rPr>
          <w:rFonts w:eastAsia="Calibri" w:cs="Arial"/>
          <w:lang w:val="es-ES"/>
        </w:rPr>
        <w:t>gacela dorcas (</w:t>
      </w:r>
      <w:r w:rsidRPr="00BC6FC2">
        <w:rPr>
          <w:rFonts w:eastAsia="Calibri" w:cs="Arial"/>
          <w:i/>
          <w:iCs/>
          <w:lang w:val="es-ES"/>
        </w:rPr>
        <w:t>Gazella dorcas</w:t>
      </w:r>
      <w:r w:rsidRPr="00BC6FC2">
        <w:rPr>
          <w:rFonts w:eastAsia="Calibri" w:cs="Arial"/>
          <w:lang w:val="es-ES"/>
        </w:rPr>
        <w:t>)</w:t>
      </w:r>
      <w:r w:rsidRPr="00BC6FC2">
        <w:rPr>
          <w:rFonts w:eastAsia="Calibri" w:cs="Arial"/>
          <w:i/>
          <w:iCs/>
          <w:lang w:val="es-ES"/>
        </w:rPr>
        <w:t xml:space="preserve"> </w:t>
      </w:r>
      <w:r w:rsidRPr="00BC6FC2">
        <w:rPr>
          <w:rFonts w:eastAsia="Calibri" w:cs="Arial"/>
          <w:lang w:val="es-ES"/>
        </w:rPr>
        <w:t>y</w:t>
      </w:r>
      <w:r w:rsidRPr="00BC6FC2">
        <w:rPr>
          <w:rFonts w:eastAsia="Calibri" w:cs="Arial"/>
          <w:i/>
          <w:iCs/>
          <w:lang w:val="es-ES"/>
        </w:rPr>
        <w:t xml:space="preserve"> </w:t>
      </w:r>
      <w:r w:rsidRPr="00BC6FC2">
        <w:rPr>
          <w:rFonts w:eastAsia="Calibri" w:cs="Arial"/>
          <w:lang w:val="es-ES"/>
        </w:rPr>
        <w:t>órix de cuernos de cimitarra (</w:t>
      </w:r>
      <w:r w:rsidRPr="00BC6FC2">
        <w:rPr>
          <w:rFonts w:eastAsia="Calibri" w:cs="Arial"/>
          <w:i/>
          <w:iCs/>
          <w:lang w:val="es-ES"/>
        </w:rPr>
        <w:t>Oryx dammah</w:t>
      </w:r>
      <w:r w:rsidRPr="00BC6FC2">
        <w:rPr>
          <w:rFonts w:eastAsia="Calibri" w:cs="Arial"/>
          <w:lang w:val="es-ES"/>
        </w:rPr>
        <w:t xml:space="preserve">) (Beudels-Jamar et al., 2006, véase la </w:t>
      </w:r>
      <w:hyperlink r:id="rId36" w:history="1">
        <w:r w:rsidR="00E84268" w:rsidRPr="00BC6FC2">
          <w:rPr>
            <w:rStyle w:val="Hyperlink"/>
            <w:rFonts w:eastAsia="Calibri" w:cs="Arial"/>
            <w:lang w:val="es-ES"/>
          </w:rPr>
          <w:t>CMS Technical Series Publication n.º 11</w:t>
        </w:r>
      </w:hyperlink>
      <w:r w:rsidRPr="00BC6FC2">
        <w:rPr>
          <w:rFonts w:eastAsia="Calibri" w:cs="Arial"/>
          <w:lang w:val="es-ES"/>
        </w:rPr>
        <w:t xml:space="preserve">). El pastoreo excesivo de ganado degrada la calidad de los pastos de los que dependen los antílopes para sobrevivir. El aumento de la prevalencia de la ganadería en la árida región sahelo-sahariana se debe sobre todo al incremento de la perforación de pozos profundos, que abrió al pastoreo zonas que antes carecían de agua. </w:t>
      </w:r>
    </w:p>
    <w:p w14:paraId="699713B7" w14:textId="77777777" w:rsidR="00423110" w:rsidRPr="00BC6FC2" w:rsidRDefault="00423110" w:rsidP="00726109">
      <w:pPr>
        <w:pStyle w:val="ListParagraph"/>
        <w:spacing w:after="0" w:line="240" w:lineRule="auto"/>
        <w:ind w:left="900" w:hanging="360"/>
        <w:jc w:val="both"/>
        <w:rPr>
          <w:rFonts w:cs="Arial"/>
          <w:lang w:val="es-ES"/>
        </w:rPr>
      </w:pPr>
    </w:p>
    <w:p w14:paraId="3EE9A987" w14:textId="5C0E4E3C" w:rsidR="00785CBE" w:rsidRPr="00BC6FC2" w:rsidRDefault="008C61A2" w:rsidP="00726109">
      <w:pPr>
        <w:pStyle w:val="ListParagraph"/>
        <w:numPr>
          <w:ilvl w:val="1"/>
          <w:numId w:val="6"/>
        </w:numPr>
        <w:spacing w:after="0" w:line="240" w:lineRule="auto"/>
        <w:ind w:left="900"/>
        <w:jc w:val="both"/>
        <w:rPr>
          <w:rFonts w:cs="Arial"/>
          <w:lang w:val="es-ES"/>
        </w:rPr>
      </w:pPr>
      <w:r w:rsidRPr="00BC6FC2">
        <w:rPr>
          <w:rFonts w:eastAsia="Calibri" w:cs="Arial"/>
          <w:lang w:val="es-ES"/>
        </w:rPr>
        <w:t>En Mongolia, la perforación de pozos también se identificó como una amenaza para la fauna salvaje, ya que puede abrir zonas de pasto para los pastores que antes solo habían sido utilizadas por la fauna salvaje, provocando así la pérdida de hábitat (</w:t>
      </w:r>
      <w:hyperlink r:id="rId37" w:history="1">
        <w:r w:rsidR="002F3AC0" w:rsidRPr="00BC6FC2">
          <w:rPr>
            <w:rStyle w:val="Hyperlink"/>
            <w:rFonts w:eastAsia="Calibri" w:cs="Arial"/>
            <w:lang w:val="es-ES"/>
          </w:rPr>
          <w:t>Kaczensky et al</w:t>
        </w:r>
        <w:r w:rsidR="002F3AC0" w:rsidRPr="00BC6FC2">
          <w:rPr>
            <w:rStyle w:val="Hyperlink"/>
            <w:rFonts w:eastAsia="Calibri" w:cs="Arial"/>
            <w:i/>
            <w:iCs/>
            <w:lang w:val="es-ES"/>
          </w:rPr>
          <w:t>.</w:t>
        </w:r>
      </w:hyperlink>
      <w:r w:rsidR="002F3AC0" w:rsidRPr="00BC6FC2">
        <w:rPr>
          <w:rStyle w:val="Hyperlink"/>
          <w:rFonts w:cs="Arial"/>
          <w:lang w:val="es-ES"/>
        </w:rPr>
        <w:t>, 2021)</w:t>
      </w:r>
      <w:r w:rsidRPr="00BC6FC2">
        <w:rPr>
          <w:rFonts w:cs="Arial"/>
          <w:lang w:val="es-ES"/>
        </w:rPr>
        <w:t>.</w:t>
      </w:r>
    </w:p>
    <w:p w14:paraId="3AF1BF51" w14:textId="77777777" w:rsidR="00785CBE" w:rsidRPr="00BC6FC2" w:rsidRDefault="00785CBE" w:rsidP="00726109">
      <w:pPr>
        <w:pStyle w:val="ListParagraph"/>
        <w:spacing w:after="0" w:line="240" w:lineRule="auto"/>
        <w:ind w:left="900" w:hanging="360"/>
        <w:jc w:val="both"/>
        <w:rPr>
          <w:rFonts w:cs="Arial"/>
          <w:lang w:val="es-ES"/>
        </w:rPr>
      </w:pPr>
    </w:p>
    <w:p w14:paraId="64BAE9A4" w14:textId="626D2015" w:rsidR="00894375" w:rsidRPr="00BC6FC2" w:rsidRDefault="00894375" w:rsidP="00726109">
      <w:pPr>
        <w:pStyle w:val="ListParagraph"/>
        <w:numPr>
          <w:ilvl w:val="1"/>
          <w:numId w:val="6"/>
        </w:numPr>
        <w:spacing w:after="0" w:line="240" w:lineRule="auto"/>
        <w:ind w:left="900"/>
        <w:jc w:val="both"/>
        <w:rPr>
          <w:rFonts w:cs="Arial"/>
          <w:lang w:val="es-ES"/>
        </w:rPr>
      </w:pPr>
      <w:r w:rsidRPr="00BC6FC2">
        <w:rPr>
          <w:rFonts w:eastAsia="Calibri" w:cs="Arial"/>
          <w:lang w:val="es-ES"/>
        </w:rPr>
        <w:t>El ciervo de Bukhara de Asia Central (</w:t>
      </w:r>
      <w:r w:rsidRPr="00BC6FC2">
        <w:rPr>
          <w:rFonts w:eastAsia="Calibri" w:cs="Arial"/>
          <w:i/>
          <w:iCs/>
          <w:lang w:val="es-ES"/>
        </w:rPr>
        <w:t>Cervus elaphus yarkandensis</w:t>
      </w:r>
      <w:r w:rsidRPr="00BC6FC2">
        <w:rPr>
          <w:rFonts w:eastAsia="Calibri" w:cs="Arial"/>
          <w:lang w:val="es-ES"/>
        </w:rPr>
        <w:t>) se da casi exclusivamente en zonas protegidas, donde no se permite el pastoreo de ganado. Sin embargo, el pastoreo ilegal y prácticas como la quema de juncos por la población local (que se cree que mejora la calidad de los pastos) provocan la degradación del hábitat y se han identificado como graves amenazas para la especie (</w:t>
      </w:r>
      <w:hyperlink r:id="rId38">
        <w:r w:rsidRPr="00BC6FC2">
          <w:rPr>
            <w:rStyle w:val="Hyperlink"/>
            <w:rFonts w:eastAsia="Calibri" w:cs="Arial"/>
            <w:lang w:val="es-ES"/>
          </w:rPr>
          <w:t>Informe General sobre el ciervo de Bukhara, 2021</w:t>
        </w:r>
      </w:hyperlink>
      <w:r w:rsidRPr="00BC6FC2">
        <w:rPr>
          <w:rFonts w:eastAsia="Calibri" w:cs="Arial"/>
          <w:lang w:val="es-ES"/>
        </w:rPr>
        <w:t xml:space="preserve">). </w:t>
      </w:r>
    </w:p>
    <w:p w14:paraId="0A1293B8" w14:textId="77777777" w:rsidR="00492906" w:rsidRPr="00BC6FC2" w:rsidRDefault="00492906" w:rsidP="00726109">
      <w:pPr>
        <w:pStyle w:val="ListParagraph"/>
        <w:spacing w:after="0" w:line="240" w:lineRule="auto"/>
        <w:ind w:left="360"/>
        <w:jc w:val="both"/>
        <w:rPr>
          <w:lang w:val="es-ES"/>
        </w:rPr>
      </w:pPr>
    </w:p>
    <w:p w14:paraId="38CFDD7F" w14:textId="137FB0CC" w:rsidR="000A0673" w:rsidRPr="00BC6FC2" w:rsidRDefault="00083C78" w:rsidP="00726109">
      <w:pPr>
        <w:pStyle w:val="ListParagraph"/>
        <w:numPr>
          <w:ilvl w:val="0"/>
          <w:numId w:val="6"/>
        </w:numPr>
        <w:spacing w:after="0" w:line="240" w:lineRule="auto"/>
        <w:ind w:left="540" w:hanging="540"/>
        <w:jc w:val="both"/>
        <w:rPr>
          <w:rFonts w:eastAsia="Calibri" w:cs="Arial"/>
          <w:lang w:val="es-ES"/>
        </w:rPr>
      </w:pPr>
      <w:r w:rsidRPr="00BC6FC2">
        <w:rPr>
          <w:rFonts w:eastAsia="Calibri" w:cs="Arial"/>
          <w:lang w:val="es-ES"/>
        </w:rPr>
        <w:t>El pastoreo practicado a niveles insostenibles para los pastizales puede provocar el declive de las poblaciones locales de especies migratorias y su extinción debido a los efectos directos e indirectos del ganado sobre ellas. Asimismo, los cambios en la composición y estructura de las plantas provocados por el exceso de pastoreo pueden repercutir en la diversidad y abundancia de herbívoros, carnívoros y aves. Una revisión reciente de la investigación existente sobre el nexo entre biodiversidad y pastoreo en África Occidental confirma que esta actividad tiene un impacto negativo en toda la cadena alimentaria; no obstante, también identifica la necesidad de investigar más a fondo en este ámbito (</w:t>
      </w:r>
      <w:hyperlink r:id="rId39" w:history="1">
        <w:r w:rsidR="0090300B" w:rsidRPr="00BC6FC2">
          <w:rPr>
            <w:rStyle w:val="Hyperlink"/>
            <w:rFonts w:eastAsia="Calibri" w:cs="Arial"/>
            <w:lang w:val="es-ES"/>
          </w:rPr>
          <w:t xml:space="preserve">Bilali </w:t>
        </w:r>
        <w:r w:rsidR="0090300B" w:rsidRPr="00BC6FC2">
          <w:rPr>
            <w:rStyle w:val="Hyperlink"/>
            <w:u w:val="none"/>
            <w:lang w:val="es-ES"/>
          </w:rPr>
          <w:t>et al.,</w:t>
        </w:r>
        <w:r w:rsidR="0090300B" w:rsidRPr="00BC6FC2">
          <w:rPr>
            <w:rStyle w:val="Hyperlink"/>
            <w:rFonts w:eastAsia="Calibri" w:cs="Arial"/>
            <w:lang w:val="es-ES"/>
          </w:rPr>
          <w:t xml:space="preserve"> 2022)</w:t>
        </w:r>
      </w:hyperlink>
      <w:r w:rsidR="003576DA" w:rsidRPr="00BC6FC2">
        <w:rPr>
          <w:rFonts w:eastAsia="Calibri" w:cs="Arial"/>
          <w:lang w:val="es-ES"/>
        </w:rPr>
        <w:t>.</w:t>
      </w:r>
    </w:p>
    <w:p w14:paraId="26A15DF3" w14:textId="77777777" w:rsidR="000A0673" w:rsidRPr="00BC6FC2" w:rsidRDefault="000A0673" w:rsidP="00726109">
      <w:pPr>
        <w:pStyle w:val="ListParagraph"/>
        <w:spacing w:after="0" w:line="240" w:lineRule="auto"/>
        <w:ind w:left="360"/>
        <w:jc w:val="both"/>
        <w:rPr>
          <w:rFonts w:eastAsia="Calibri" w:cs="Arial"/>
          <w:lang w:val="es-ES"/>
        </w:rPr>
      </w:pPr>
    </w:p>
    <w:p w14:paraId="165B3BF1" w14:textId="39781016" w:rsidR="001C55C6" w:rsidRPr="00BC6FC2" w:rsidRDefault="00333C30" w:rsidP="00726109">
      <w:pPr>
        <w:pStyle w:val="ListParagraph"/>
        <w:numPr>
          <w:ilvl w:val="1"/>
          <w:numId w:val="6"/>
        </w:numPr>
        <w:spacing w:after="0" w:line="240" w:lineRule="auto"/>
        <w:ind w:left="900"/>
        <w:jc w:val="both"/>
        <w:rPr>
          <w:rFonts w:eastAsia="Calibri" w:cs="Arial"/>
          <w:lang w:val="es-ES"/>
        </w:rPr>
      </w:pPr>
      <w:r w:rsidRPr="00BC6FC2">
        <w:rPr>
          <w:rFonts w:eastAsia="Calibri" w:cs="Arial"/>
          <w:lang w:val="es-ES"/>
        </w:rPr>
        <w:t>En el caso particular de las aves, las praderas de la región sudeste de América del Sur, uno de los ecosistemas de pastos más extensos del neotrópico, han sufrido los impactos negativos del desarrollo de la industria ganadera, la agricultura de cultivos herbáceos y la silvicultura. Las praderas cuentan con una rica avifauna que incluye 22 especies amenazadas o casi amenazadas a nivel mundial, y muchas otras especies han sufrido extinciones de poblaciones locales y reducciones de su área de distribución. Además de la pérdida y fragmentación de hábitats, las aves de pastizales en estos ecosistemas se ven amenazadas por el uso inadecuado de productos agroquímicos, los regímenes desfavorables de gestión de incendios, la contaminación, y la captura y caza ilegales. Del mismo modo, las aves de pastizales europeos, como el sisón común (</w:t>
      </w:r>
      <w:r w:rsidR="00D51241" w:rsidRPr="00BC6FC2">
        <w:rPr>
          <w:rFonts w:eastAsia="Calibri" w:cs="Arial"/>
          <w:i/>
          <w:iCs/>
          <w:lang w:val="es-ES"/>
        </w:rPr>
        <w:t>Tetrax tetrax)</w:t>
      </w:r>
      <w:r w:rsidRPr="00BC6FC2">
        <w:rPr>
          <w:rFonts w:eastAsia="Calibri" w:cs="Arial"/>
          <w:lang w:val="es-ES"/>
        </w:rPr>
        <w:t xml:space="preserve"> o la avutarda (</w:t>
      </w:r>
      <w:r w:rsidR="002B0D5E" w:rsidRPr="00BC6FC2">
        <w:rPr>
          <w:rFonts w:eastAsia="Calibri" w:cs="Arial"/>
          <w:i/>
          <w:iCs/>
          <w:lang w:val="es-ES"/>
        </w:rPr>
        <w:t xml:space="preserve">Otis tarda) </w:t>
      </w:r>
      <w:r w:rsidRPr="00BC6FC2">
        <w:rPr>
          <w:rFonts w:eastAsia="Calibri" w:cs="Arial"/>
          <w:lang w:val="es-ES"/>
        </w:rPr>
        <w:t xml:space="preserve">han sufrido un grave descenso de población en zonas con altas densidades de ganado (véase por ejemplo </w:t>
      </w:r>
      <w:hyperlink r:id="rId40">
        <w:r w:rsidR="00372116" w:rsidRPr="00BC6FC2">
          <w:rPr>
            <w:rStyle w:val="Hyperlink"/>
            <w:rFonts w:eastAsia="Calibri" w:cs="Arial"/>
            <w:lang w:val="es-ES"/>
          </w:rPr>
          <w:t>Marques et al., 2020)</w:t>
        </w:r>
      </w:hyperlink>
      <w:r w:rsidR="00F53DCA" w:rsidRPr="00BC6FC2">
        <w:rPr>
          <w:rStyle w:val="Hyperlink"/>
          <w:rFonts w:eastAsia="Calibri" w:cs="Arial"/>
          <w:lang w:val="es-ES"/>
        </w:rPr>
        <w:t>)</w:t>
      </w:r>
      <w:r w:rsidR="00602A0A" w:rsidRPr="00BC6FC2">
        <w:rPr>
          <w:rFonts w:eastAsia="Calibri" w:cs="Arial"/>
          <w:lang w:val="es-ES"/>
        </w:rPr>
        <w:t>).</w:t>
      </w:r>
      <w:r w:rsidR="001E6D84" w:rsidRPr="00BC6FC2">
        <w:rPr>
          <w:rFonts w:eastAsia="Calibri" w:cs="Arial"/>
          <w:lang w:val="es-ES"/>
        </w:rPr>
        <w:t xml:space="preserve"> </w:t>
      </w:r>
    </w:p>
    <w:p w14:paraId="28F1AA5B" w14:textId="77777777" w:rsidR="001C55C6" w:rsidRPr="00BC6FC2" w:rsidRDefault="001C55C6" w:rsidP="00726109">
      <w:pPr>
        <w:pStyle w:val="ListParagraph"/>
        <w:spacing w:after="0" w:line="240" w:lineRule="auto"/>
        <w:ind w:left="900" w:hanging="360"/>
        <w:jc w:val="both"/>
        <w:rPr>
          <w:rFonts w:eastAsia="Calibri" w:cs="Arial"/>
          <w:lang w:val="es-ES"/>
        </w:rPr>
      </w:pPr>
    </w:p>
    <w:p w14:paraId="148DBB94" w14:textId="4FA167D1" w:rsidR="001C55C6" w:rsidRPr="00BC6FC2" w:rsidRDefault="008E54C6" w:rsidP="00726109">
      <w:pPr>
        <w:pStyle w:val="ListParagraph"/>
        <w:numPr>
          <w:ilvl w:val="1"/>
          <w:numId w:val="6"/>
        </w:numPr>
        <w:spacing w:after="0" w:line="240" w:lineRule="auto"/>
        <w:ind w:left="900"/>
        <w:jc w:val="both"/>
        <w:rPr>
          <w:rFonts w:eastAsia="Calibri" w:cs="Arial"/>
          <w:lang w:val="es-ES"/>
        </w:rPr>
      </w:pPr>
      <w:r w:rsidRPr="00BC6FC2">
        <w:rPr>
          <w:lang w:val="es-ES"/>
        </w:rPr>
        <w:t xml:space="preserve">Cuando el pastoreo fomenta el uso de determinadas especies vegetales —por ejemplo, para luchar contra la desertificación— pueden producirse impactos de forma indirecta sobre las especies aviares. En Etiopía, la introducción de una especie invasora, </w:t>
      </w:r>
      <w:r w:rsidR="001E6D84" w:rsidRPr="00BC6FC2">
        <w:rPr>
          <w:i/>
          <w:lang w:val="es-ES"/>
        </w:rPr>
        <w:t>Prosopis juliflora,</w:t>
      </w:r>
      <w:r w:rsidRPr="00BC6FC2">
        <w:rPr>
          <w:lang w:val="es-ES"/>
        </w:rPr>
        <w:t xml:space="preserve"> para ampliar los pastos, provocó un aumento de la depredación del ganado y del uso de cebos envenenados, lo que dio lugar al </w:t>
      </w:r>
      <w:r w:rsidRPr="00BC6FC2">
        <w:rPr>
          <w:lang w:val="es-ES"/>
        </w:rPr>
        <w:lastRenderedPageBreak/>
        <w:t>envenenamiento accidental de muchas especies de buitres y cigüeñas (</w:t>
      </w:r>
      <w:hyperlink r:id="rId41">
        <w:r w:rsidR="00D30344" w:rsidRPr="00BC6FC2">
          <w:rPr>
            <w:rStyle w:val="Hyperlink"/>
            <w:lang w:val="es-ES"/>
          </w:rPr>
          <w:t>Oppel et al.</w:t>
        </w:r>
        <w:r w:rsidR="00D30344" w:rsidRPr="00BC6FC2">
          <w:rPr>
            <w:rStyle w:val="Hyperlink"/>
            <w:i/>
            <w:iCs/>
            <w:lang w:val="es-ES"/>
          </w:rPr>
          <w:t>,</w:t>
        </w:r>
        <w:r w:rsidR="00D30344" w:rsidRPr="00BC6FC2">
          <w:rPr>
            <w:rStyle w:val="Hyperlink"/>
            <w:lang w:val="es-ES"/>
          </w:rPr>
          <w:t xml:space="preserve"> 2021)</w:t>
        </w:r>
      </w:hyperlink>
      <w:r w:rsidR="00D30344" w:rsidRPr="00BC6FC2">
        <w:rPr>
          <w:lang w:val="es-ES"/>
        </w:rPr>
        <w:t>)</w:t>
      </w:r>
      <w:r w:rsidR="001E6D84" w:rsidRPr="00BC6FC2">
        <w:rPr>
          <w:lang w:val="es-ES"/>
        </w:rPr>
        <w:t>..</w:t>
      </w:r>
    </w:p>
    <w:p w14:paraId="1C61D185" w14:textId="77777777" w:rsidR="001C55C6" w:rsidRPr="00BC6FC2" w:rsidRDefault="001C55C6" w:rsidP="00726109">
      <w:pPr>
        <w:pStyle w:val="ListParagraph"/>
        <w:spacing w:after="0" w:line="240" w:lineRule="auto"/>
        <w:ind w:left="900" w:hanging="360"/>
        <w:jc w:val="both"/>
        <w:rPr>
          <w:lang w:val="es-ES"/>
        </w:rPr>
      </w:pPr>
    </w:p>
    <w:p w14:paraId="43ED1A6B" w14:textId="55A82B14" w:rsidR="00CA1ACF" w:rsidRPr="00BC6FC2" w:rsidRDefault="00424507" w:rsidP="00726109">
      <w:pPr>
        <w:pStyle w:val="ListParagraph"/>
        <w:numPr>
          <w:ilvl w:val="1"/>
          <w:numId w:val="6"/>
        </w:numPr>
        <w:spacing w:after="0" w:line="240" w:lineRule="auto"/>
        <w:ind w:left="900"/>
        <w:jc w:val="both"/>
        <w:rPr>
          <w:rFonts w:eastAsia="Calibri" w:cs="Arial"/>
          <w:lang w:val="es-ES"/>
        </w:rPr>
      </w:pPr>
      <w:r w:rsidRPr="00BC6FC2">
        <w:rPr>
          <w:lang w:val="es-ES"/>
        </w:rPr>
        <w:t>En África Occidental y Central, la presencia de pastores y la densidad de ganado asociada en torno a las zonas protegidas podría contribuir a la extinción de grandes depredadores, a saber, el león (</w:t>
      </w:r>
      <w:r w:rsidRPr="00BC6FC2">
        <w:rPr>
          <w:i/>
          <w:iCs/>
          <w:lang w:val="es-ES"/>
        </w:rPr>
        <w:t>Panthera leo</w:t>
      </w:r>
      <w:r w:rsidRPr="00BC6FC2">
        <w:rPr>
          <w:lang w:val="es-ES"/>
        </w:rPr>
        <w:t>)</w:t>
      </w:r>
      <w:r w:rsidRPr="00BC6FC2">
        <w:rPr>
          <w:i/>
          <w:iCs/>
          <w:lang w:val="es-ES"/>
        </w:rPr>
        <w:t xml:space="preserve">, </w:t>
      </w:r>
      <w:r w:rsidRPr="00BC6FC2">
        <w:rPr>
          <w:lang w:val="es-ES"/>
        </w:rPr>
        <w:t>guepardo (</w:t>
      </w:r>
      <w:r w:rsidRPr="00BC6FC2">
        <w:rPr>
          <w:i/>
          <w:iCs/>
          <w:lang w:val="es-ES"/>
        </w:rPr>
        <w:t>Acinonyx jubatus</w:t>
      </w:r>
      <w:r w:rsidRPr="00BC6FC2">
        <w:rPr>
          <w:lang w:val="es-ES"/>
        </w:rPr>
        <w:t>)</w:t>
      </w:r>
      <w:r w:rsidRPr="00BC6FC2">
        <w:rPr>
          <w:i/>
          <w:iCs/>
          <w:lang w:val="es-ES"/>
        </w:rPr>
        <w:t xml:space="preserve"> </w:t>
      </w:r>
      <w:r w:rsidRPr="00BC6FC2">
        <w:rPr>
          <w:lang w:val="es-ES"/>
        </w:rPr>
        <w:t>y el perro salvaje africano</w:t>
      </w:r>
      <w:r w:rsidRPr="00BC6FC2">
        <w:rPr>
          <w:i/>
          <w:iCs/>
          <w:lang w:val="es-ES"/>
        </w:rPr>
        <w:t xml:space="preserve"> </w:t>
      </w:r>
      <w:r w:rsidRPr="00BC6FC2">
        <w:rPr>
          <w:lang w:val="es-ES"/>
        </w:rPr>
        <w:t>(</w:t>
      </w:r>
      <w:r w:rsidRPr="00BC6FC2">
        <w:rPr>
          <w:i/>
          <w:iCs/>
          <w:lang w:val="es-ES"/>
        </w:rPr>
        <w:t>Lycaon pictus</w:t>
      </w:r>
      <w:r w:rsidRPr="00BC6FC2">
        <w:rPr>
          <w:lang w:val="es-ES"/>
        </w:rPr>
        <w:t>) (</w:t>
      </w:r>
      <w:hyperlink r:id="rId42" w:history="1">
        <w:r w:rsidR="008643F0" w:rsidRPr="00BC6FC2">
          <w:rPr>
            <w:rStyle w:val="Hyperlink"/>
            <w:rFonts w:eastAsia="Calibri" w:cs="Arial"/>
            <w:lang w:val="es-ES"/>
          </w:rPr>
          <w:t>Brugière et al.,</w:t>
        </w:r>
        <w:r w:rsidR="008643F0" w:rsidRPr="00BC6FC2">
          <w:rPr>
            <w:rStyle w:val="Hyperlink"/>
            <w:rFonts w:eastAsia="Calibri" w:cs="Arial"/>
            <w:i/>
            <w:iCs/>
            <w:lang w:val="es-ES"/>
          </w:rPr>
          <w:t xml:space="preserve"> </w:t>
        </w:r>
        <w:r w:rsidR="008643F0" w:rsidRPr="00BC6FC2">
          <w:rPr>
            <w:rStyle w:val="Hyperlink"/>
            <w:rFonts w:eastAsia="Calibri" w:cs="Arial"/>
            <w:lang w:val="es-ES"/>
          </w:rPr>
          <w:t>2015</w:t>
        </w:r>
      </w:hyperlink>
      <w:r w:rsidRPr="00BC6FC2">
        <w:rPr>
          <w:lang w:val="es-ES"/>
        </w:rPr>
        <w:t xml:space="preserve">). En el caso de los grandes carnívoros, las principales causas de extinción son la baja densidad de presas (a menudo ungulados que dependen de los pastos), las enfermedades y la persecución por parte del hombre. La persecución por parte del hombre mediante la matanza directa y el uso de veneno suele ser una respuesta a la pérdida de ganado a manos de grandes carnívoros, tanto como represalia como medida preventiva. Sin embargo, </w:t>
      </w:r>
      <w:hyperlink r:id="rId43" w:history="1">
        <w:r w:rsidRPr="00BC6FC2">
          <w:rPr>
            <w:rStyle w:val="Hyperlink"/>
            <w:rFonts w:eastAsia="Calibri" w:cs="Arial"/>
            <w:lang w:val="es-ES"/>
          </w:rPr>
          <w:t>Brugière et al.</w:t>
        </w:r>
      </w:hyperlink>
      <w:r w:rsidRPr="00BC6FC2">
        <w:rPr>
          <w:lang w:val="es-ES"/>
        </w:rPr>
        <w:t xml:space="preserve"> reconocen que debido a la </w:t>
      </w:r>
      <w:r w:rsidRPr="00BC6FC2">
        <w:rPr>
          <w:color w:val="000000" w:themeColor="text1"/>
          <w:lang w:val="es-ES"/>
        </w:rPr>
        <w:t>movilidad temporal y espacial del pastoreo, la presión que este ejerce sobre la fauna silvestre es difícil de cuantificar, y hacen un llamamiento al desarrollo de indicadores para comprender mejor el declive de los grandes carnívoros en las áreas protegidas de África Occidental y Central.</w:t>
      </w:r>
    </w:p>
    <w:p w14:paraId="7A1B47F8" w14:textId="77777777" w:rsidR="00CA1ACF" w:rsidRPr="00BC6FC2" w:rsidRDefault="00CA1ACF" w:rsidP="00726109">
      <w:pPr>
        <w:pStyle w:val="ListParagraph"/>
        <w:spacing w:after="0" w:line="240" w:lineRule="auto"/>
        <w:ind w:left="900" w:hanging="360"/>
        <w:jc w:val="both"/>
        <w:rPr>
          <w:rFonts w:eastAsia="Calibri" w:cs="Arial"/>
          <w:lang w:val="es-ES"/>
        </w:rPr>
      </w:pPr>
    </w:p>
    <w:p w14:paraId="3E29269B" w14:textId="736F0D64" w:rsidR="00927A26" w:rsidRPr="00BC6FC2" w:rsidRDefault="00927A26" w:rsidP="00726109">
      <w:pPr>
        <w:pStyle w:val="ListParagraph"/>
        <w:numPr>
          <w:ilvl w:val="1"/>
          <w:numId w:val="6"/>
        </w:numPr>
        <w:spacing w:after="0" w:line="240" w:lineRule="auto"/>
        <w:ind w:left="900"/>
        <w:jc w:val="both"/>
        <w:rPr>
          <w:rFonts w:eastAsia="Calibri" w:cs="Arial"/>
          <w:lang w:val="es-ES"/>
        </w:rPr>
      </w:pPr>
      <w:r w:rsidRPr="00BC6FC2">
        <w:rPr>
          <w:rFonts w:eastAsia="Calibri" w:cs="Arial"/>
          <w:lang w:val="es-ES"/>
        </w:rPr>
        <w:t>En Pakistán, el urial (</w:t>
      </w:r>
      <w:r w:rsidRPr="00BC6FC2">
        <w:rPr>
          <w:rFonts w:cs="Arial"/>
          <w:i/>
          <w:lang w:val="es-ES"/>
        </w:rPr>
        <w:t>Ovis vignei vignei</w:t>
      </w:r>
      <w:r w:rsidRPr="00BC6FC2">
        <w:rPr>
          <w:rFonts w:eastAsia="Calibri" w:cs="Arial"/>
          <w:lang w:val="es-ES"/>
        </w:rPr>
        <w:t>), que habita un ecosistema de baja productividad, está amenazado por el creciente número de cabezas de ganado que compiten con él por un forraje limitado, lo que ha provocado el declive de su población (</w:t>
      </w:r>
      <w:hyperlink r:id="rId44">
        <w:r w:rsidR="0035289C" w:rsidRPr="00BC6FC2">
          <w:rPr>
            <w:rStyle w:val="Hyperlink"/>
            <w:rFonts w:eastAsia="Calibri" w:cs="Arial"/>
            <w:lang w:val="es-ES"/>
          </w:rPr>
          <w:t>Siraj-ud-Din et al., 2016)</w:t>
        </w:r>
      </w:hyperlink>
      <w:r w:rsidR="0035289C" w:rsidRPr="00BC6FC2">
        <w:rPr>
          <w:rFonts w:eastAsia="Calibri" w:cs="Arial"/>
          <w:lang w:val="es-ES"/>
        </w:rPr>
        <w:t>)</w:t>
      </w:r>
      <w:r w:rsidRPr="00BC6FC2">
        <w:rPr>
          <w:rFonts w:eastAsia="Calibri" w:cs="Arial"/>
          <w:lang w:val="es-ES"/>
        </w:rPr>
        <w:t>.</w:t>
      </w:r>
    </w:p>
    <w:p w14:paraId="225987A7" w14:textId="77777777" w:rsidR="00FF5036" w:rsidRPr="00BC6FC2" w:rsidRDefault="00FF5036" w:rsidP="00726109">
      <w:pPr>
        <w:spacing w:after="0" w:line="240" w:lineRule="auto"/>
        <w:ind w:left="900" w:hanging="360"/>
        <w:jc w:val="both"/>
        <w:rPr>
          <w:rFonts w:eastAsia="Calibri" w:cs="Arial"/>
          <w:lang w:val="es-ES"/>
        </w:rPr>
      </w:pPr>
    </w:p>
    <w:p w14:paraId="20703843" w14:textId="5DC1B689" w:rsidR="00B8341F" w:rsidRPr="00BC6FC2" w:rsidRDefault="00B8341F" w:rsidP="00726109">
      <w:pPr>
        <w:pStyle w:val="ListParagraph"/>
        <w:numPr>
          <w:ilvl w:val="0"/>
          <w:numId w:val="6"/>
        </w:numPr>
        <w:spacing w:after="0" w:line="240" w:lineRule="auto"/>
        <w:ind w:left="540" w:hanging="540"/>
        <w:jc w:val="both"/>
        <w:rPr>
          <w:rFonts w:cs="Arial"/>
          <w:lang w:val="es-ES"/>
        </w:rPr>
      </w:pPr>
      <w:r w:rsidRPr="00BC6FC2">
        <w:rPr>
          <w:rFonts w:cs="Arial"/>
          <w:lang w:val="es-ES"/>
        </w:rPr>
        <w:t>En zonas densamente pastoreadas, la estrecha coexistencia de animales salvajes y ganado puede aumentar el riesgo de transmisión de enfermedades en ambas direcciones. Algunas especies de fauna salvaje pueden actuar como reservorios de enfermedades que pueden afectar a la salud del ganado. La transmisión de enfermedades del ganado a la fauna salvaje también se ha registrado tanto en especies presa como depredadoras, como los casos notificados de tuberculosis bovina en el búfalo africano (</w:t>
      </w:r>
      <w:r w:rsidR="00DC6215" w:rsidRPr="00BC6FC2">
        <w:rPr>
          <w:rFonts w:cs="Arial"/>
          <w:i/>
          <w:iCs/>
          <w:lang w:val="es-ES"/>
        </w:rPr>
        <w:t>Syncerus caffer</w:t>
      </w:r>
      <w:r w:rsidRPr="00BC6FC2">
        <w:rPr>
          <w:rFonts w:cs="Arial"/>
          <w:lang w:val="es-ES"/>
        </w:rPr>
        <w:t>) y el perro salvaje africano en el Parque Nacional Kruger, Sudáfrica (</w:t>
      </w:r>
      <w:hyperlink r:id="rId45">
        <w:r w:rsidR="000E63E7" w:rsidRPr="00BC6FC2">
          <w:rPr>
            <w:rStyle w:val="Hyperlink"/>
            <w:rFonts w:cs="Arial"/>
            <w:lang w:val="es-ES"/>
          </w:rPr>
          <w:t>Higgitt et al., 2019)</w:t>
        </w:r>
      </w:hyperlink>
      <w:r w:rsidR="000E63E7" w:rsidRPr="00BC6FC2">
        <w:rPr>
          <w:rFonts w:cs="Arial"/>
          <w:lang w:val="es-ES"/>
        </w:rPr>
        <w:t>)</w:t>
      </w:r>
      <w:r w:rsidR="00C257FE" w:rsidRPr="00BC6FC2">
        <w:rPr>
          <w:rFonts w:cs="Arial"/>
          <w:lang w:val="es-ES"/>
        </w:rPr>
        <w:t>.</w:t>
      </w:r>
    </w:p>
    <w:p w14:paraId="0C2B22A2" w14:textId="77777777" w:rsidR="00B8341F" w:rsidRPr="00BC6FC2" w:rsidRDefault="00B8341F" w:rsidP="00726109">
      <w:pPr>
        <w:pStyle w:val="ListParagraph"/>
        <w:spacing w:after="0" w:line="240" w:lineRule="auto"/>
        <w:ind w:left="540" w:hanging="540"/>
        <w:jc w:val="both"/>
        <w:rPr>
          <w:rFonts w:cs="Arial"/>
          <w:lang w:val="es-ES"/>
        </w:rPr>
      </w:pPr>
    </w:p>
    <w:p w14:paraId="6DDC4E7B" w14:textId="62172A61" w:rsidR="00B8341F" w:rsidRDefault="00B8341F" w:rsidP="00726109">
      <w:pPr>
        <w:pStyle w:val="ListParagraph"/>
        <w:numPr>
          <w:ilvl w:val="0"/>
          <w:numId w:val="6"/>
        </w:numPr>
        <w:spacing w:after="0" w:line="240" w:lineRule="auto"/>
        <w:ind w:left="540" w:hanging="540"/>
        <w:jc w:val="both"/>
        <w:rPr>
          <w:rFonts w:cs="Arial"/>
          <w:lang w:val="es-ES"/>
        </w:rPr>
      </w:pPr>
      <w:r w:rsidRPr="00BC6FC2">
        <w:rPr>
          <w:rFonts w:cs="Arial"/>
          <w:lang w:val="es-ES"/>
        </w:rPr>
        <w:t>Además, las pruebas anecdóticas obtenidas sobre el terreno sugieren que el aumento de la demanda de carne y la disminución prevista de la vegetación de los pastizales, que podría dar lugar a una reducción de la producción de carne de pastoreo, suponen a su vez un riesgo potencial de aumento de la captura insostenible de carne salvaje en las comunidades afectadas. Es necesario realizar un estudio sobre este riesgo potencial.</w:t>
      </w:r>
    </w:p>
    <w:p w14:paraId="4343D78C" w14:textId="77777777" w:rsidR="00726109" w:rsidRPr="00726109" w:rsidRDefault="00726109" w:rsidP="00726109">
      <w:pPr>
        <w:spacing w:after="0" w:line="240" w:lineRule="auto"/>
        <w:jc w:val="both"/>
        <w:rPr>
          <w:rFonts w:cs="Arial"/>
          <w:lang w:val="es-ES"/>
        </w:rPr>
      </w:pPr>
    </w:p>
    <w:p w14:paraId="73E44072" w14:textId="77777777" w:rsidR="001B3759" w:rsidRDefault="001B3759" w:rsidP="00726109">
      <w:pPr>
        <w:spacing w:after="0" w:line="240" w:lineRule="auto"/>
        <w:ind w:left="540" w:hanging="540"/>
        <w:jc w:val="both"/>
        <w:rPr>
          <w:rFonts w:eastAsia="Calibri" w:cs="Arial"/>
          <w:b/>
          <w:bCs/>
          <w:lang w:val="es-ES"/>
        </w:rPr>
      </w:pPr>
      <w:r w:rsidRPr="00BC6FC2">
        <w:rPr>
          <w:rFonts w:eastAsia="Calibri" w:cs="Arial"/>
          <w:b/>
          <w:bCs/>
          <w:lang w:val="es-ES"/>
        </w:rPr>
        <w:t>Consideraciones sobre el pastoreo en el programa de la CMS</w:t>
      </w:r>
    </w:p>
    <w:p w14:paraId="5EA60306" w14:textId="77777777" w:rsidR="00726109" w:rsidRPr="00BC6FC2" w:rsidDel="00DD0BF2" w:rsidRDefault="00726109" w:rsidP="00726109">
      <w:pPr>
        <w:spacing w:after="0" w:line="240" w:lineRule="auto"/>
        <w:ind w:left="540" w:hanging="540"/>
        <w:jc w:val="both"/>
        <w:rPr>
          <w:rFonts w:eastAsia="Calibri" w:cs="Arial"/>
          <w:b/>
          <w:bCs/>
          <w:lang w:val="es-ES"/>
        </w:rPr>
      </w:pPr>
    </w:p>
    <w:p w14:paraId="65038A5D" w14:textId="2390A4C6" w:rsidR="00D57E74" w:rsidRPr="00BC6FC2" w:rsidRDefault="00310C0B" w:rsidP="00726109">
      <w:pPr>
        <w:pStyle w:val="ListParagraph"/>
        <w:numPr>
          <w:ilvl w:val="0"/>
          <w:numId w:val="6"/>
        </w:numPr>
        <w:spacing w:after="0" w:line="240" w:lineRule="auto"/>
        <w:ind w:left="540" w:hanging="540"/>
        <w:jc w:val="both"/>
        <w:rPr>
          <w:rFonts w:eastAsia="Calibri" w:cs="Arial"/>
          <w:lang w:val="es-ES"/>
        </w:rPr>
      </w:pPr>
      <w:r w:rsidRPr="00BC6FC2">
        <w:rPr>
          <w:rFonts w:cs="Arial"/>
          <w:lang w:val="es-ES"/>
        </w:rPr>
        <w:t xml:space="preserve">La información anteriormente expuesta muestra que las relaciones entre las comunidades de pastores y las especies migratorias son complejas y requieren un planteamiento con matices. El tema del pastoreo ha surgido en muchos debates de la CMS y se contempla en varios instrumentos de la CMS, planes de acción y programas de trabajo regionales y específicos para cada especie, entre los que se incluyen: el Plan de Acción para la Megafauna Sahelo-sahariana (SSMF) contenido en </w:t>
      </w:r>
      <w:hyperlink r:id="rId46">
        <w:r w:rsidR="00996D32" w:rsidRPr="00BC6FC2">
          <w:rPr>
            <w:rStyle w:val="Hyperlink"/>
            <w:rFonts w:eastAsia="Calibri" w:cs="Arial"/>
            <w:lang w:val="es-ES"/>
          </w:rPr>
          <w:t>UNEP/CMS/COP14/Inf.29.2.1</w:t>
        </w:r>
      </w:hyperlink>
      <w:r w:rsidR="001B3759" w:rsidRPr="00BC6FC2">
        <w:rPr>
          <w:rFonts w:eastAsia="Calibri" w:cs="Arial"/>
          <w:lang w:val="es-ES"/>
        </w:rPr>
        <w:t xml:space="preserve">, el </w:t>
      </w:r>
      <w:hyperlink r:id="rId47">
        <w:r w:rsidR="001B3759" w:rsidRPr="00BC6FC2">
          <w:rPr>
            <w:rStyle w:val="Hyperlink"/>
            <w:rFonts w:eastAsia="Calibri" w:cs="Arial"/>
            <w:lang w:val="es-ES"/>
          </w:rPr>
          <w:t>Programa de Trabajo de la Iniciativa Conjunta CITES-CMS sobre Carnívoros Africanos</w:t>
        </w:r>
      </w:hyperlink>
      <w:r w:rsidR="001B3759" w:rsidRPr="00BC6FC2">
        <w:rPr>
          <w:rFonts w:cs="Arial"/>
          <w:lang w:val="es-ES"/>
        </w:rPr>
        <w:t xml:space="preserve"> (ACI), la </w:t>
      </w:r>
      <w:hyperlink r:id="rId48">
        <w:r w:rsidR="001B3759" w:rsidRPr="00BC6FC2">
          <w:rPr>
            <w:rStyle w:val="Hyperlink"/>
            <w:rFonts w:eastAsia="Calibri" w:cs="Arial"/>
            <w:lang w:val="es-ES"/>
          </w:rPr>
          <w:t>Hoja de Ruta para la Conservación del Asno Salvaje Africano (</w:t>
        </w:r>
        <w:r w:rsidR="001B3759" w:rsidRPr="00BC6FC2">
          <w:rPr>
            <w:rStyle w:val="Hyperlink"/>
            <w:rFonts w:eastAsia="Calibri" w:cs="Arial"/>
            <w:i/>
            <w:iCs/>
            <w:lang w:val="es-ES"/>
          </w:rPr>
          <w:t>Equus africanus</w:t>
        </w:r>
        <w:r w:rsidR="001B3759" w:rsidRPr="00BC6FC2">
          <w:rPr>
            <w:rStyle w:val="Hyperlink"/>
            <w:rFonts w:eastAsia="Calibri" w:cs="Arial"/>
            <w:lang w:val="es-ES"/>
          </w:rPr>
          <w:t>)</w:t>
        </w:r>
      </w:hyperlink>
      <w:r w:rsidR="001B3759" w:rsidRPr="00BC6FC2">
        <w:rPr>
          <w:rFonts w:eastAsia="Calibri" w:cs="Arial"/>
          <w:lang w:val="es-ES"/>
        </w:rPr>
        <w:t xml:space="preserve"> (AWA), el </w:t>
      </w:r>
      <w:hyperlink r:id="rId49">
        <w:r w:rsidR="001B3759" w:rsidRPr="00BC6FC2">
          <w:rPr>
            <w:rStyle w:val="Hyperlink"/>
            <w:rFonts w:eastAsia="Calibri" w:cs="Arial"/>
            <w:lang w:val="es-ES"/>
          </w:rPr>
          <w:t>Programa de trabajo de la Iniciativa sobre mamíferos de Asia central (CAMI)</w:t>
        </w:r>
      </w:hyperlink>
      <w:r w:rsidR="00C577A4" w:rsidRPr="00BC6FC2">
        <w:rPr>
          <w:rFonts w:eastAsia="Calibri" w:cs="Arial"/>
          <w:lang w:val="es-ES"/>
        </w:rPr>
        <w:t xml:space="preserve">, el </w:t>
      </w:r>
      <w:hyperlink r:id="rId50">
        <w:r w:rsidR="001B3759" w:rsidRPr="00BC6FC2">
          <w:rPr>
            <w:rStyle w:val="Hyperlink"/>
            <w:rFonts w:eastAsia="Calibri" w:cs="Arial"/>
            <w:lang w:val="es-ES"/>
          </w:rPr>
          <w:t>Programa de Trabajo Internacional a medio plazo para el antílope saiga</w:t>
        </w:r>
      </w:hyperlink>
      <w:r w:rsidR="00C577A4" w:rsidRPr="00BC6FC2">
        <w:rPr>
          <w:rFonts w:eastAsia="Calibri" w:cs="Arial"/>
          <w:lang w:val="es-ES"/>
        </w:rPr>
        <w:t xml:space="preserve">, el </w:t>
      </w:r>
      <w:hyperlink r:id="rId51">
        <w:r w:rsidR="00C577A4" w:rsidRPr="00BC6FC2">
          <w:rPr>
            <w:rStyle w:val="Hyperlink"/>
            <w:rFonts w:eastAsia="Calibri" w:cs="Arial"/>
            <w:lang w:val="es-ES"/>
          </w:rPr>
          <w:t>MdE sobre la conservación de las especies de aves migratorias de pastizales del sur de Sudamérica y sus hábitats</w:t>
        </w:r>
      </w:hyperlink>
      <w:r w:rsidR="00C577A4" w:rsidRPr="00BC6FC2">
        <w:rPr>
          <w:rFonts w:eastAsia="Calibri" w:cs="Arial"/>
          <w:lang w:val="es-ES"/>
        </w:rPr>
        <w:t xml:space="preserve">, el </w:t>
      </w:r>
      <w:hyperlink r:id="rId52">
        <w:r w:rsidR="0016710C" w:rsidRPr="00BC6FC2">
          <w:rPr>
            <w:rStyle w:val="Hyperlink"/>
            <w:rFonts w:eastAsia="Calibri" w:cs="Arial"/>
            <w:lang w:val="es-ES"/>
          </w:rPr>
          <w:t>MdE relativo a las medidas de conservación de la grulla siberiana</w:t>
        </w:r>
      </w:hyperlink>
      <w:r w:rsidR="0016710C" w:rsidRPr="00BC6FC2">
        <w:rPr>
          <w:rFonts w:eastAsia="Calibri" w:cs="Arial"/>
          <w:lang w:val="es-ES"/>
        </w:rPr>
        <w:t>, el MdE sobre la conservación y gestión de la población centroeuropea de la avutarda (</w:t>
      </w:r>
      <w:r w:rsidR="00933F66" w:rsidRPr="00BC6FC2">
        <w:rPr>
          <w:rFonts w:eastAsia="Calibri" w:cs="Arial"/>
          <w:i/>
          <w:iCs/>
          <w:lang w:val="es-ES"/>
        </w:rPr>
        <w:t>Otis tarda</w:t>
      </w:r>
      <w:r w:rsidR="000F0407" w:rsidRPr="00BC6FC2">
        <w:rPr>
          <w:rFonts w:eastAsia="Calibri" w:cs="Arial"/>
          <w:lang w:val="es-ES"/>
        </w:rPr>
        <w:t xml:space="preserve">) y la Iniciativa </w:t>
      </w:r>
      <w:hyperlink r:id="rId53">
        <w:r w:rsidR="00E1599E" w:rsidRPr="00BC6FC2">
          <w:rPr>
            <w:rStyle w:val="Hyperlink"/>
            <w:rFonts w:eastAsia="Calibri" w:cs="Arial"/>
            <w:lang w:val="es-ES"/>
          </w:rPr>
          <w:t xml:space="preserve">sobre rutas </w:t>
        </w:r>
        <w:r w:rsidR="00E1599E" w:rsidRPr="00BC6FC2">
          <w:rPr>
            <w:rStyle w:val="Hyperlink"/>
            <w:rFonts w:eastAsia="Calibri" w:cs="Arial"/>
            <w:lang w:val="es-ES"/>
          </w:rPr>
          <w:lastRenderedPageBreak/>
          <w:t>migratorias en Asia central</w:t>
        </w:r>
      </w:hyperlink>
      <w:r w:rsidR="000F0407" w:rsidRPr="00BC6FC2">
        <w:rPr>
          <w:rFonts w:eastAsia="Calibri" w:cs="Arial"/>
          <w:lang w:val="es-ES"/>
        </w:rPr>
        <w:t xml:space="preserve"> de la CMS. La cuestión de la gestión de los pastizales es también de máxima importancia para otros grupos de la CMS, como el Grupo de Trabajo sobre las Aves Terrestres Migratorias de África y Eurasia, así como el </w:t>
      </w:r>
      <w:hyperlink r:id="rId54">
        <w:r w:rsidR="003A0634" w:rsidRPr="00BC6FC2">
          <w:rPr>
            <w:rStyle w:val="Hyperlink"/>
            <w:rFonts w:eastAsia="Calibri" w:cs="Arial"/>
            <w:lang w:val="es-ES"/>
          </w:rPr>
          <w:t>Plan de Acción para las Aves Terrestres Migratorias de África y Europa (AEMLAP)</w:t>
        </w:r>
      </w:hyperlink>
      <w:r w:rsidR="00933F66" w:rsidRPr="00BC6FC2">
        <w:rPr>
          <w:rFonts w:eastAsia="Calibri" w:cs="Arial"/>
          <w:lang w:val="es-ES"/>
        </w:rPr>
        <w:t>.</w:t>
      </w:r>
    </w:p>
    <w:p w14:paraId="1A7CE590" w14:textId="77777777" w:rsidR="00726109" w:rsidRDefault="00726109" w:rsidP="00726109">
      <w:pPr>
        <w:spacing w:after="0" w:line="240" w:lineRule="auto"/>
        <w:ind w:left="540" w:hanging="540"/>
        <w:jc w:val="both"/>
        <w:rPr>
          <w:rFonts w:cs="Arial"/>
          <w:i/>
          <w:iCs/>
          <w:lang w:val="es-ES"/>
        </w:rPr>
      </w:pPr>
    </w:p>
    <w:p w14:paraId="2B89F876" w14:textId="21CEED93" w:rsidR="001B3759" w:rsidRPr="00BC6FC2" w:rsidRDefault="001B3759" w:rsidP="00726109">
      <w:pPr>
        <w:spacing w:after="80" w:line="240" w:lineRule="auto"/>
        <w:ind w:left="547" w:hanging="547"/>
        <w:jc w:val="both"/>
        <w:rPr>
          <w:rFonts w:cs="Arial"/>
          <w:i/>
          <w:iCs/>
          <w:lang w:val="es-ES"/>
        </w:rPr>
      </w:pPr>
      <w:r w:rsidRPr="00BC6FC2">
        <w:rPr>
          <w:rFonts w:cs="Arial"/>
          <w:i/>
          <w:iCs/>
          <w:lang w:val="es-ES"/>
        </w:rPr>
        <w:t>Megafauna sahelo-sahariana</w:t>
      </w:r>
    </w:p>
    <w:p w14:paraId="670D885A" w14:textId="798CA338" w:rsidR="001B3759" w:rsidRPr="00BC6FC2" w:rsidRDefault="001B3759" w:rsidP="00726109">
      <w:pPr>
        <w:pStyle w:val="ListParagraph"/>
        <w:numPr>
          <w:ilvl w:val="0"/>
          <w:numId w:val="6"/>
        </w:numPr>
        <w:spacing w:after="0" w:line="240" w:lineRule="auto"/>
        <w:ind w:left="540" w:hanging="540"/>
        <w:jc w:val="both"/>
        <w:rPr>
          <w:rFonts w:cs="Arial"/>
          <w:lang w:val="es-ES"/>
        </w:rPr>
      </w:pPr>
      <w:r w:rsidRPr="00BC6FC2">
        <w:rPr>
          <w:rFonts w:cs="Arial"/>
          <w:lang w:val="es-ES"/>
        </w:rPr>
        <w:t>En el Plan de Acción de la SSMF (</w:t>
      </w:r>
      <w:hyperlink r:id="rId55">
        <w:r w:rsidR="00996D32" w:rsidRPr="00BC6FC2">
          <w:rPr>
            <w:rStyle w:val="Hyperlink"/>
            <w:rFonts w:eastAsia="Calibri" w:cs="Arial"/>
            <w:lang w:val="es-ES"/>
          </w:rPr>
          <w:t>UNEP/CMS/COP14/Inf.29.2.1</w:t>
        </w:r>
      </w:hyperlink>
      <w:r w:rsidRPr="00BC6FC2">
        <w:rPr>
          <w:rFonts w:cs="Arial"/>
          <w:lang w:val="es-ES"/>
        </w:rPr>
        <w:t>), la extensión del pastoreo y el pastoreo excesivo se identifican como amenazas clave para casi todas las especies de la SSMF. Por lo tanto, en las acciones a nivel regional sobre la gestión de los ecosistemas, las Partes acordaron incluir la Actividad 2.4 sobre el desarrollo de esquemas de gestión integrada del pastoreo con las comunidades locales en puntos clave; y en las acciones a nivel regional sobre el compromiso de las comunidades, una actividad para trabajar con los líderes de las comunidades locales en acuerdos de cogestión del pastoreo en emplazamientos clave.</w:t>
      </w:r>
    </w:p>
    <w:p w14:paraId="3CAF82F0" w14:textId="77777777" w:rsidR="00D57E74" w:rsidRPr="00BC6FC2" w:rsidRDefault="00D57E74" w:rsidP="00726109">
      <w:pPr>
        <w:pStyle w:val="ListParagraph"/>
        <w:spacing w:after="0" w:line="240" w:lineRule="auto"/>
        <w:ind w:left="540" w:hanging="540"/>
        <w:jc w:val="both"/>
        <w:rPr>
          <w:rFonts w:cs="Arial"/>
          <w:lang w:val="es-ES"/>
        </w:rPr>
      </w:pPr>
    </w:p>
    <w:p w14:paraId="0D34DB76" w14:textId="77777777" w:rsidR="001B3759" w:rsidRPr="00BC6FC2" w:rsidRDefault="001B3759" w:rsidP="00726109">
      <w:pPr>
        <w:spacing w:after="80" w:line="240" w:lineRule="auto"/>
        <w:ind w:left="547" w:hanging="547"/>
        <w:jc w:val="both"/>
        <w:rPr>
          <w:rFonts w:cs="Arial"/>
          <w:i/>
          <w:iCs/>
          <w:lang w:val="es-ES"/>
        </w:rPr>
      </w:pPr>
      <w:r w:rsidRPr="00BC6FC2">
        <w:rPr>
          <w:rFonts w:cs="Arial"/>
          <w:i/>
          <w:iCs/>
          <w:lang w:val="es-ES"/>
        </w:rPr>
        <w:t>Iniciativa conjunta CITES-CMS sobre carnívoros africanos</w:t>
      </w:r>
    </w:p>
    <w:p w14:paraId="3FD3ED86" w14:textId="2AE7CE4B" w:rsidR="001B3759" w:rsidRPr="00BC6FC2" w:rsidRDefault="001B3759" w:rsidP="00726109">
      <w:pPr>
        <w:pStyle w:val="ListParagraph"/>
        <w:numPr>
          <w:ilvl w:val="0"/>
          <w:numId w:val="6"/>
        </w:numPr>
        <w:spacing w:after="0" w:line="240" w:lineRule="auto"/>
        <w:ind w:left="540" w:hanging="540"/>
        <w:jc w:val="both"/>
        <w:rPr>
          <w:rFonts w:cs="Arial"/>
          <w:lang w:val="es-ES"/>
        </w:rPr>
      </w:pPr>
      <w:r w:rsidRPr="00BC6FC2">
        <w:rPr>
          <w:rFonts w:cs="Arial"/>
          <w:lang w:val="es-ES"/>
        </w:rPr>
        <w:t xml:space="preserve">En el </w:t>
      </w:r>
      <w:hyperlink r:id="rId56">
        <w:r w:rsidRPr="00BC6FC2">
          <w:rPr>
            <w:rStyle w:val="Hyperlink"/>
            <w:rFonts w:cs="Arial"/>
            <w:lang w:val="es-ES"/>
          </w:rPr>
          <w:t>Programa de Trabajo de la Iniciativa Conjunta CITES-CMS para los Carnívoros de Á</w:t>
        </w:r>
      </w:hyperlink>
      <w:r w:rsidR="00614158" w:rsidRPr="00BC6FC2">
        <w:rPr>
          <w:rStyle w:val="Hyperlink"/>
          <w:rFonts w:cs="Arial"/>
          <w:lang w:val="es-ES"/>
        </w:rPr>
        <w:t>frica (ACI)</w:t>
      </w:r>
      <w:r w:rsidRPr="00BC6FC2">
        <w:rPr>
          <w:rFonts w:cs="Arial"/>
          <w:lang w:val="es-ES"/>
        </w:rPr>
        <w:t>, el Objetivo 3 sobre conservación y restauración de la base de presas implica la conservación de presas que dependen en gran medida de pastizales utilizados con frecuencia por pastores. Asimismo, el Objetivo 7 sobre comercio ilegal y matanza ilegal o accidental incluye una actividad para desarrollar y aplicar recomendaciones de mejores prácticas basadas en pruebas para reducir la depredación del ganado y la pérdida de vidas humanas o las lesiones causadas por especies de la ACI.</w:t>
      </w:r>
    </w:p>
    <w:p w14:paraId="493EF275" w14:textId="77777777" w:rsidR="00726109" w:rsidRDefault="00726109" w:rsidP="00726109">
      <w:pPr>
        <w:spacing w:after="0" w:line="240" w:lineRule="auto"/>
        <w:ind w:left="547" w:hanging="547"/>
        <w:jc w:val="both"/>
        <w:rPr>
          <w:rFonts w:cs="Arial"/>
          <w:i/>
          <w:iCs/>
          <w:lang w:val="es-ES"/>
        </w:rPr>
      </w:pPr>
    </w:p>
    <w:p w14:paraId="404BF53D" w14:textId="30585EF0" w:rsidR="001B3759" w:rsidRPr="00BC6FC2" w:rsidRDefault="001B3759" w:rsidP="00726109">
      <w:pPr>
        <w:spacing w:after="80" w:line="240" w:lineRule="auto"/>
        <w:ind w:left="547" w:hanging="547"/>
        <w:jc w:val="both"/>
        <w:rPr>
          <w:rFonts w:cs="Arial"/>
          <w:i/>
          <w:iCs/>
          <w:lang w:val="es-ES"/>
        </w:rPr>
      </w:pPr>
      <w:r w:rsidRPr="00BC6FC2">
        <w:rPr>
          <w:rFonts w:cs="Arial"/>
          <w:i/>
          <w:iCs/>
          <w:lang w:val="es-ES"/>
        </w:rPr>
        <w:t>Asno salvaje africano</w:t>
      </w:r>
    </w:p>
    <w:p w14:paraId="75917FBB" w14:textId="285D5E18" w:rsidR="00D57E74" w:rsidRPr="00BC6FC2" w:rsidRDefault="001B3759" w:rsidP="00726109">
      <w:pPr>
        <w:pStyle w:val="ListParagraph"/>
        <w:numPr>
          <w:ilvl w:val="0"/>
          <w:numId w:val="6"/>
        </w:numPr>
        <w:spacing w:after="0" w:line="240" w:lineRule="auto"/>
        <w:ind w:left="540" w:hanging="540"/>
        <w:jc w:val="both"/>
        <w:rPr>
          <w:rFonts w:cs="Arial"/>
          <w:lang w:val="es-ES"/>
        </w:rPr>
      </w:pPr>
      <w:r w:rsidRPr="00BC6FC2">
        <w:rPr>
          <w:rFonts w:cs="Arial"/>
          <w:lang w:val="es-ES"/>
        </w:rPr>
        <w:t xml:space="preserve">La </w:t>
      </w:r>
      <w:hyperlink r:id="rId57">
        <w:r w:rsidRPr="00BC6FC2">
          <w:rPr>
            <w:rStyle w:val="Hyperlink"/>
            <w:rFonts w:cs="Arial"/>
            <w:lang w:val="es-ES"/>
          </w:rPr>
          <w:t>Hoja de ruta para la conservación del asno salvaje africano (</w:t>
        </w:r>
        <w:r w:rsidRPr="00BC6FC2">
          <w:rPr>
            <w:rStyle w:val="Hyperlink"/>
            <w:rFonts w:cs="Arial"/>
            <w:i/>
            <w:iCs/>
            <w:lang w:val="es-ES"/>
          </w:rPr>
          <w:t>Equus africanus</w:t>
        </w:r>
      </w:hyperlink>
      <w:r w:rsidR="00F9309C" w:rsidRPr="00BC6FC2">
        <w:rPr>
          <w:rStyle w:val="Hyperlink"/>
          <w:rFonts w:cs="Arial"/>
          <w:lang w:val="es-ES"/>
        </w:rPr>
        <w:t>)</w:t>
      </w:r>
      <w:r w:rsidR="00F9309C" w:rsidRPr="00BC6FC2">
        <w:rPr>
          <w:rFonts w:cs="Arial"/>
          <w:lang w:val="es-ES"/>
        </w:rPr>
        <w:t xml:space="preserve"> incluye la Acción 1.1.1 para llevar a cabo una investigación sobre la zona de distribución y los requisitos ecológicos del asno salvaje africano y el ganado en Eritrea. En Etiopía, la Hoja de Ruta incluye acciones para llevar a cabo la investigación y el seguimiento del solapamiento dietético y la competencia por los recursos entre el asno salvaje africano y el ganado (3.1) y para desarrollar planes de gestión de los pastizales y el agua (3.4).</w:t>
      </w:r>
    </w:p>
    <w:p w14:paraId="1D7B98A5" w14:textId="77777777" w:rsidR="00DA3AF0" w:rsidRPr="00BC6FC2" w:rsidRDefault="00DA3AF0" w:rsidP="00726109">
      <w:pPr>
        <w:pStyle w:val="ListParagraph"/>
        <w:spacing w:after="0" w:line="240" w:lineRule="auto"/>
        <w:ind w:left="540" w:hanging="540"/>
        <w:jc w:val="both"/>
        <w:rPr>
          <w:rFonts w:cs="Arial"/>
          <w:lang w:val="es-ES"/>
        </w:rPr>
      </w:pPr>
    </w:p>
    <w:p w14:paraId="0D31B7FB" w14:textId="6283CE62" w:rsidR="001B3759" w:rsidRPr="008F08D0" w:rsidRDefault="001B3759" w:rsidP="00726109">
      <w:pPr>
        <w:spacing w:after="80" w:line="240" w:lineRule="auto"/>
        <w:ind w:left="547" w:hanging="547"/>
        <w:jc w:val="both"/>
        <w:rPr>
          <w:rFonts w:cs="Arial"/>
          <w:i/>
          <w:iCs/>
          <w:lang w:val="pt-PT"/>
        </w:rPr>
      </w:pPr>
      <w:r w:rsidRPr="008F08D0">
        <w:rPr>
          <w:rFonts w:cs="Arial"/>
          <w:i/>
          <w:iCs/>
          <w:lang w:val="pt-PT"/>
        </w:rPr>
        <w:t>Iniciativa sobre mamíferos de Asia Central</w:t>
      </w:r>
    </w:p>
    <w:p w14:paraId="3C4DCC71" w14:textId="4563486C" w:rsidR="00F245E5" w:rsidRPr="00BC6FC2" w:rsidRDefault="001B3759" w:rsidP="00726109">
      <w:pPr>
        <w:pStyle w:val="ListParagraph"/>
        <w:numPr>
          <w:ilvl w:val="0"/>
          <w:numId w:val="6"/>
        </w:numPr>
        <w:spacing w:after="0" w:line="240" w:lineRule="auto"/>
        <w:ind w:left="540" w:hanging="540"/>
        <w:jc w:val="both"/>
        <w:rPr>
          <w:rFonts w:cs="Arial"/>
          <w:lang w:val="es-ES"/>
        </w:rPr>
      </w:pPr>
      <w:r w:rsidRPr="00BC6FC2">
        <w:rPr>
          <w:rFonts w:cs="Arial"/>
          <w:lang w:val="es-ES"/>
        </w:rPr>
        <w:t xml:space="preserve">El </w:t>
      </w:r>
      <w:hyperlink r:id="rId58">
        <w:r w:rsidRPr="00BC6FC2">
          <w:rPr>
            <w:rStyle w:val="Hyperlink"/>
            <w:rFonts w:cs="Arial"/>
            <w:lang w:val="es-ES"/>
          </w:rPr>
          <w:t>Programa de Trabajo de la CAMI 2021-2026</w:t>
        </w:r>
      </w:hyperlink>
      <w:r w:rsidRPr="00BC6FC2">
        <w:rPr>
          <w:rFonts w:cs="Arial"/>
          <w:lang w:val="es-ES"/>
        </w:rPr>
        <w:t xml:space="preserve"> incluye 15 actividades sobre sobrepastoreo y competencia ganadera (Medida Transversal 4). Asimismo, en lo que respecta a la participación de la comunidad y el uso sostenible, hay otras dos actividades (5.3 y 5.4) relacionadas con la ganadería. Las medidas específicas para el leopardo persa, el leopardo de las nieves y el urial también abordan directamente la ganadería y el pastoreo.</w:t>
      </w:r>
    </w:p>
    <w:p w14:paraId="034110EA" w14:textId="77777777" w:rsidR="00726109" w:rsidRDefault="00726109" w:rsidP="00726109">
      <w:pPr>
        <w:spacing w:after="0" w:line="240" w:lineRule="auto"/>
        <w:jc w:val="both"/>
        <w:rPr>
          <w:rFonts w:cs="Arial"/>
          <w:i/>
          <w:iCs/>
          <w:lang w:val="es-ES"/>
        </w:rPr>
      </w:pPr>
    </w:p>
    <w:p w14:paraId="0F3FAF40" w14:textId="0A268821" w:rsidR="001B3759" w:rsidRPr="00BC6FC2" w:rsidRDefault="001B3759" w:rsidP="00726109">
      <w:pPr>
        <w:spacing w:after="80" w:line="240" w:lineRule="auto"/>
        <w:jc w:val="both"/>
        <w:rPr>
          <w:rFonts w:cs="Arial"/>
          <w:i/>
          <w:iCs/>
          <w:lang w:val="es-ES"/>
        </w:rPr>
      </w:pPr>
      <w:r w:rsidRPr="00BC6FC2">
        <w:rPr>
          <w:rFonts w:cs="Arial"/>
          <w:i/>
          <w:iCs/>
          <w:lang w:val="es-ES"/>
        </w:rPr>
        <w:t>Memorando de Entendimiento sobre el Saiga</w:t>
      </w:r>
    </w:p>
    <w:p w14:paraId="1932D1F7" w14:textId="056EB1F4" w:rsidR="001B3759" w:rsidRPr="00BC6FC2" w:rsidRDefault="001B3759" w:rsidP="00726109">
      <w:pPr>
        <w:pStyle w:val="ListParagraph"/>
        <w:numPr>
          <w:ilvl w:val="0"/>
          <w:numId w:val="6"/>
        </w:numPr>
        <w:tabs>
          <w:tab w:val="left" w:pos="540"/>
        </w:tabs>
        <w:spacing w:after="0" w:line="240" w:lineRule="auto"/>
        <w:ind w:left="540" w:hanging="540"/>
        <w:jc w:val="both"/>
        <w:rPr>
          <w:rFonts w:cs="Arial"/>
          <w:i/>
          <w:lang w:val="es-ES"/>
        </w:rPr>
      </w:pPr>
      <w:r w:rsidRPr="00BC6FC2">
        <w:rPr>
          <w:rFonts w:cs="Arial"/>
          <w:lang w:val="es-ES"/>
        </w:rPr>
        <w:t xml:space="preserve">El </w:t>
      </w:r>
      <w:hyperlink r:id="rId59">
        <w:r w:rsidRPr="00BC6FC2">
          <w:rPr>
            <w:rStyle w:val="Hyperlink"/>
            <w:rFonts w:cs="Arial"/>
            <w:lang w:val="es-ES"/>
          </w:rPr>
          <w:t>Programa Internacional de Trabajo a Medio Plazo para el Antílope Saiga (2021 - 2025)</w:t>
        </w:r>
      </w:hyperlink>
      <w:r w:rsidRPr="00BC6FC2">
        <w:rPr>
          <w:rFonts w:cs="Arial"/>
          <w:lang w:val="es-ES"/>
        </w:rPr>
        <w:t xml:space="preserve"> incluye la medida 4.4 sobre el trabajo con la población local para promover un uso sostenible de los pastizales que permita la cohabitación de las personas, el ganado y los antílopes saiga. Asimismo, en materia de salud y enfermedad, el Programa de Trabajo incluye la Actividad 10.2 para promover intervenciones que reduzcan el riesgo de exposición y fomenten la eliminación del virus de la Peste de los Pequeños Rumiantes (PPR) de las poblaciones ganaderas que comparten el hábitat del saiga y en las regiones del saiga mediante la vacunación integral/sistemática del ganado (a través del programa mundial de erradicación de la PPR coordinado por la FAO/Organización Mundial de Sanidad Animal y las autoridades veterinarias nacionales). Por último, en relación con la población de Mongolia, el Programa de </w:t>
      </w:r>
      <w:r w:rsidRPr="00BC6FC2">
        <w:rPr>
          <w:rFonts w:cs="Arial"/>
          <w:lang w:val="es-ES"/>
        </w:rPr>
        <w:lastRenderedPageBreak/>
        <w:t>Trabajo incluye la Actividad 15.4 sobre investigación de la distribución para informar la planificación de la conservación teniendo en cuenta el solapamiento del pastoreo, entre otras, y la Actividad 15.7 sobre vacunación del ganado para controlar el riesgo de transmisión de enfermedades del ganado a la fauna salvaje.</w:t>
      </w:r>
    </w:p>
    <w:p w14:paraId="3611D5EC" w14:textId="77777777" w:rsidR="00726109" w:rsidRDefault="00726109" w:rsidP="00726109">
      <w:pPr>
        <w:tabs>
          <w:tab w:val="left" w:pos="540"/>
        </w:tabs>
        <w:spacing w:after="0" w:line="240" w:lineRule="auto"/>
        <w:ind w:left="540" w:hanging="540"/>
        <w:jc w:val="both"/>
        <w:rPr>
          <w:rFonts w:cs="Arial"/>
          <w:i/>
          <w:iCs/>
          <w:lang w:val="es-ES"/>
        </w:rPr>
      </w:pPr>
    </w:p>
    <w:p w14:paraId="2162BD4F" w14:textId="44ACD91C" w:rsidR="00A23BAE" w:rsidRPr="00BC6FC2" w:rsidRDefault="00A23BAE" w:rsidP="00726109">
      <w:pPr>
        <w:tabs>
          <w:tab w:val="left" w:pos="540"/>
        </w:tabs>
        <w:spacing w:after="80" w:line="240" w:lineRule="auto"/>
        <w:ind w:left="547" w:hanging="547"/>
        <w:jc w:val="both"/>
        <w:rPr>
          <w:rFonts w:cs="Arial"/>
          <w:i/>
          <w:iCs/>
          <w:lang w:val="es-ES"/>
        </w:rPr>
      </w:pPr>
      <w:r w:rsidRPr="00BC6FC2">
        <w:rPr>
          <w:rFonts w:cs="Arial"/>
          <w:i/>
          <w:iCs/>
          <w:lang w:val="es-ES"/>
        </w:rPr>
        <w:t>Instrumentos de la CMS para aves relacionados con la gestión de praderas</w:t>
      </w:r>
    </w:p>
    <w:p w14:paraId="0EDEF0F3" w14:textId="73310DD1" w:rsidR="003942A7" w:rsidRPr="00BC6FC2" w:rsidRDefault="003942A7" w:rsidP="00726109">
      <w:pPr>
        <w:pStyle w:val="ListParagraph"/>
        <w:numPr>
          <w:ilvl w:val="0"/>
          <w:numId w:val="6"/>
        </w:numPr>
        <w:tabs>
          <w:tab w:val="left" w:pos="540"/>
        </w:tabs>
        <w:spacing w:after="0" w:line="240" w:lineRule="auto"/>
        <w:ind w:left="540" w:hanging="540"/>
        <w:jc w:val="both"/>
        <w:rPr>
          <w:rFonts w:eastAsia="Calibri" w:cs="Arial"/>
          <w:lang w:val="es-ES"/>
        </w:rPr>
      </w:pPr>
      <w:r w:rsidRPr="00BC6FC2">
        <w:rPr>
          <w:rFonts w:cs="Arial"/>
          <w:lang w:val="es-ES"/>
        </w:rPr>
        <w:t xml:space="preserve">Como se menciona en el párrafo 17, varios instrumentos de la CMS abordan actualmente el impacto de la gestión de los pastizales y las aves migratorias. Por ejemplo, el </w:t>
      </w:r>
      <w:hyperlink r:id="rId60">
        <w:r w:rsidR="00BB439E" w:rsidRPr="00BC6FC2">
          <w:rPr>
            <w:rStyle w:val="Hyperlink"/>
            <w:rFonts w:eastAsia="Calibri" w:cs="Arial"/>
            <w:lang w:val="es-ES"/>
          </w:rPr>
          <w:t>MdE sobre la Conservación de las Especies de Aves Migratorias de Pastizales del Sur de Sudamérica y sus Hábitats </w:t>
        </w:r>
      </w:hyperlink>
      <w:r w:rsidRPr="00BC6FC2">
        <w:rPr>
          <w:rFonts w:cs="Arial"/>
          <w:lang w:val="es-ES"/>
        </w:rPr>
        <w:t xml:space="preserve">, identifica objetivos específicos para la gestión sostenible de los pastizales (Objetivo 1). Los </w:t>
      </w:r>
      <w:hyperlink r:id="rId61">
        <w:r w:rsidR="00BB439E" w:rsidRPr="00BC6FC2">
          <w:rPr>
            <w:rStyle w:val="Hyperlink"/>
            <w:rFonts w:eastAsia="Calibri" w:cs="Arial"/>
            <w:lang w:val="es-ES"/>
          </w:rPr>
          <w:t>MdE que abordan las Medidas de Conservación para la Grulla Siberiana</w:t>
        </w:r>
      </w:hyperlink>
      <w:r w:rsidRPr="00BC6FC2">
        <w:rPr>
          <w:rFonts w:cs="Arial"/>
          <w:lang w:val="es-ES"/>
        </w:rPr>
        <w:t xml:space="preserve"> y la Conservación y Gestión de la Población Centroeuropea de la avutarda (</w:t>
      </w:r>
      <w:r w:rsidR="00BB439E" w:rsidRPr="00BC6FC2">
        <w:rPr>
          <w:rFonts w:eastAsia="Calibri" w:cs="Arial"/>
          <w:i/>
          <w:iCs/>
          <w:lang w:val="es-ES"/>
        </w:rPr>
        <w:t>Otis tarda</w:t>
      </w:r>
      <w:r w:rsidRPr="00BC6FC2">
        <w:rPr>
          <w:rFonts w:cs="Arial"/>
          <w:lang w:val="es-ES"/>
        </w:rPr>
        <w:t xml:space="preserve">) identifican la gestión de los pastizales como una prioridad, de forma similar al AEMLAP donde los pastizales se identifican como hábitats prioritarios. </w:t>
      </w:r>
    </w:p>
    <w:p w14:paraId="49A6BD75" w14:textId="77777777" w:rsidR="00D57E74" w:rsidRPr="00BC6FC2" w:rsidRDefault="00D57E74" w:rsidP="00726109">
      <w:pPr>
        <w:tabs>
          <w:tab w:val="left" w:pos="540"/>
        </w:tabs>
        <w:spacing w:after="0" w:line="240" w:lineRule="auto"/>
        <w:ind w:left="540" w:hanging="540"/>
        <w:jc w:val="both"/>
        <w:rPr>
          <w:rFonts w:cs="Arial"/>
          <w:u w:val="single"/>
          <w:lang w:val="es-ES"/>
        </w:rPr>
      </w:pPr>
    </w:p>
    <w:p w14:paraId="199ADCAB" w14:textId="620DE212" w:rsidR="00D57E74" w:rsidRPr="00BC6FC2" w:rsidRDefault="00D57E74" w:rsidP="00726109">
      <w:pPr>
        <w:tabs>
          <w:tab w:val="left" w:pos="540"/>
        </w:tabs>
        <w:spacing w:after="0" w:line="240" w:lineRule="auto"/>
        <w:ind w:left="540" w:hanging="540"/>
        <w:jc w:val="both"/>
        <w:rPr>
          <w:rFonts w:cs="Arial"/>
          <w:u w:val="single"/>
          <w:lang w:val="es-ES"/>
        </w:rPr>
      </w:pPr>
      <w:r w:rsidRPr="00BC6FC2">
        <w:rPr>
          <w:rFonts w:cs="Arial"/>
          <w:u w:val="single"/>
          <w:lang w:val="es-ES"/>
        </w:rPr>
        <w:t>Debate y análisis</w:t>
      </w:r>
    </w:p>
    <w:p w14:paraId="5C76488A" w14:textId="77777777" w:rsidR="00D57E74" w:rsidRPr="00BC6FC2" w:rsidRDefault="00D57E74" w:rsidP="00726109">
      <w:pPr>
        <w:pStyle w:val="ListParagraph"/>
        <w:tabs>
          <w:tab w:val="left" w:pos="540"/>
        </w:tabs>
        <w:spacing w:after="0" w:line="240" w:lineRule="auto"/>
        <w:ind w:left="540" w:hanging="540"/>
        <w:jc w:val="both"/>
        <w:rPr>
          <w:rFonts w:cs="Arial"/>
          <w:lang w:val="es-ES"/>
        </w:rPr>
      </w:pPr>
    </w:p>
    <w:p w14:paraId="1B0E0515" w14:textId="1C87B29C" w:rsidR="001B3759" w:rsidRPr="00BC6FC2" w:rsidRDefault="001B3759" w:rsidP="00726109">
      <w:pPr>
        <w:pStyle w:val="ListParagraph"/>
        <w:numPr>
          <w:ilvl w:val="0"/>
          <w:numId w:val="6"/>
        </w:numPr>
        <w:tabs>
          <w:tab w:val="left" w:pos="540"/>
        </w:tabs>
        <w:spacing w:after="0" w:line="240" w:lineRule="auto"/>
        <w:ind w:left="540" w:hanging="540"/>
        <w:jc w:val="both"/>
        <w:rPr>
          <w:rFonts w:cs="Arial"/>
          <w:lang w:val="es-ES"/>
        </w:rPr>
      </w:pPr>
      <w:r w:rsidRPr="00BC6FC2">
        <w:rPr>
          <w:rFonts w:cs="Arial"/>
          <w:lang w:val="es-ES"/>
        </w:rPr>
        <w:t>Teniendo en cuenta los matices y complejidades en torno a la vida silvestre y el pastoreo, se necesita un análisis adicional con la participación de expertos y partes interesadas relevantes implicadas en el pastoreo, las ecologías de los pastizales y la conservación de las especies migratorias con el fin de identificar las áreas prioritarias de trabajo bajo los auspicios de la CMS. Por lo tanto, sería útil un acercamiento multipartito para identificar los retos y las oportunidades que permitan abordar mejor el impacto del pastoreo sobre las especies migratorias.</w:t>
      </w:r>
    </w:p>
    <w:bookmarkEnd w:id="0"/>
    <w:p w14:paraId="7524F4F2" w14:textId="77777777" w:rsidR="00661875" w:rsidRPr="00BC6FC2" w:rsidRDefault="00661875" w:rsidP="00726109">
      <w:pPr>
        <w:tabs>
          <w:tab w:val="left" w:pos="540"/>
        </w:tabs>
        <w:spacing w:after="0" w:line="240" w:lineRule="auto"/>
        <w:ind w:left="540" w:hanging="540"/>
        <w:jc w:val="both"/>
        <w:rPr>
          <w:rFonts w:cs="Arial"/>
          <w:lang w:val="es-ES"/>
        </w:rPr>
      </w:pPr>
    </w:p>
    <w:p w14:paraId="25D5D96F" w14:textId="77777777" w:rsidR="00661875" w:rsidRPr="00BC6FC2" w:rsidRDefault="00661875" w:rsidP="00726109">
      <w:pPr>
        <w:tabs>
          <w:tab w:val="left" w:pos="540"/>
        </w:tabs>
        <w:spacing w:after="0" w:line="240" w:lineRule="auto"/>
        <w:ind w:left="540" w:hanging="540"/>
        <w:jc w:val="both"/>
        <w:rPr>
          <w:rFonts w:cs="Arial"/>
          <w:lang w:val="es-ES"/>
        </w:rPr>
      </w:pPr>
      <w:r w:rsidRPr="00BC6FC2">
        <w:rPr>
          <w:rFonts w:cs="Arial"/>
          <w:u w:val="single"/>
          <w:lang w:val="es-ES"/>
        </w:rPr>
        <w:t>Acciones recomendadas</w:t>
      </w:r>
    </w:p>
    <w:p w14:paraId="180331FF" w14:textId="77777777" w:rsidR="00661875" w:rsidRPr="00BC6FC2" w:rsidRDefault="00661875" w:rsidP="00726109">
      <w:pPr>
        <w:tabs>
          <w:tab w:val="left" w:pos="540"/>
        </w:tabs>
        <w:spacing w:after="0" w:line="240" w:lineRule="auto"/>
        <w:ind w:left="540" w:hanging="540"/>
        <w:jc w:val="both"/>
        <w:rPr>
          <w:rFonts w:cs="Arial"/>
          <w:lang w:val="es-ES"/>
        </w:rPr>
      </w:pPr>
    </w:p>
    <w:p w14:paraId="4DA1BFBB" w14:textId="77777777" w:rsidR="00661875" w:rsidRPr="00BC6FC2" w:rsidRDefault="00661875" w:rsidP="00726109">
      <w:pPr>
        <w:widowControl w:val="0"/>
        <w:numPr>
          <w:ilvl w:val="0"/>
          <w:numId w:val="6"/>
        </w:numPr>
        <w:tabs>
          <w:tab w:val="left" w:pos="540"/>
        </w:tabs>
        <w:autoSpaceDE w:val="0"/>
        <w:autoSpaceDN w:val="0"/>
        <w:adjustRightInd w:val="0"/>
        <w:spacing w:after="0" w:line="240" w:lineRule="auto"/>
        <w:ind w:left="540" w:hanging="540"/>
        <w:jc w:val="both"/>
        <w:rPr>
          <w:rFonts w:cs="Arial"/>
          <w:lang w:val="es-ES"/>
        </w:rPr>
      </w:pPr>
      <w:r w:rsidRPr="00BC6FC2">
        <w:rPr>
          <w:rFonts w:cs="Arial"/>
          <w:lang w:val="es-ES" w:eastAsia="es-ES"/>
        </w:rPr>
        <w:t>Se recomienda a la Conferencia de las Partes que:</w:t>
      </w:r>
    </w:p>
    <w:p w14:paraId="75937E7B" w14:textId="77777777" w:rsidR="00661875" w:rsidRPr="00BC6FC2" w:rsidRDefault="00661875" w:rsidP="00726109">
      <w:pPr>
        <w:spacing w:after="0" w:line="240" w:lineRule="auto"/>
        <w:jc w:val="both"/>
        <w:rPr>
          <w:rFonts w:cs="Arial"/>
          <w:lang w:val="es-ES"/>
        </w:rPr>
      </w:pPr>
    </w:p>
    <w:p w14:paraId="0A7F3D8B" w14:textId="74D1A503" w:rsidR="000C349E" w:rsidRPr="00BC6FC2" w:rsidRDefault="00F61DD4" w:rsidP="00726109">
      <w:pPr>
        <w:pStyle w:val="Secondnumbering"/>
        <w:numPr>
          <w:ilvl w:val="0"/>
          <w:numId w:val="37"/>
        </w:numPr>
        <w:ind w:left="900"/>
        <w:jc w:val="both"/>
        <w:rPr>
          <w:rFonts w:cs="Arial"/>
          <w:lang w:val="es-ES"/>
        </w:rPr>
      </w:pPr>
      <w:r w:rsidRPr="00BC6FC2">
        <w:rPr>
          <w:rFonts w:cs="Arial"/>
          <w:lang w:val="es-ES"/>
        </w:rPr>
        <w:t>Adopte los proyectos de Decisión que figuran en el Anexo del presente documento.</w:t>
      </w:r>
    </w:p>
    <w:p w14:paraId="4E68A548" w14:textId="77777777" w:rsidR="000C349E" w:rsidRPr="00BC6FC2" w:rsidRDefault="000C349E" w:rsidP="16086328">
      <w:pPr>
        <w:pStyle w:val="Secondnumbering"/>
        <w:numPr>
          <w:ilvl w:val="0"/>
          <w:numId w:val="0"/>
        </w:numPr>
        <w:ind w:left="1134"/>
        <w:jc w:val="both"/>
        <w:rPr>
          <w:lang w:val="es-ES"/>
        </w:rPr>
      </w:pPr>
    </w:p>
    <w:p w14:paraId="408E8878" w14:textId="742289D8" w:rsidR="002C6BD6" w:rsidRPr="00BC6FC2" w:rsidRDefault="002C6BD6" w:rsidP="00C522DB">
      <w:pPr>
        <w:pStyle w:val="Secondnumbering"/>
        <w:numPr>
          <w:ilvl w:val="0"/>
          <w:numId w:val="0"/>
        </w:numPr>
        <w:rPr>
          <w:rFonts w:cs="Arial"/>
          <w:caps/>
          <w:lang w:val="es-ES"/>
        </w:rPr>
        <w:sectPr w:rsidR="002C6BD6" w:rsidRPr="00BC6FC2" w:rsidSect="00405591">
          <w:headerReference w:type="even" r:id="rId62"/>
          <w:headerReference w:type="default" r:id="rId63"/>
          <w:footerReference w:type="default" r:id="rId64"/>
          <w:headerReference w:type="first" r:id="rId65"/>
          <w:footerReference w:type="first" r:id="rId66"/>
          <w:pgSz w:w="11906" w:h="16838" w:code="9"/>
          <w:pgMar w:top="1440" w:right="1440" w:bottom="1440" w:left="1440" w:header="720" w:footer="720" w:gutter="0"/>
          <w:cols w:space="720"/>
          <w:titlePg/>
          <w:docGrid w:linePitch="360"/>
        </w:sectPr>
      </w:pPr>
    </w:p>
    <w:p w14:paraId="14291FF7" w14:textId="0975579E" w:rsidR="00DD07FD" w:rsidRPr="00BC6FC2" w:rsidRDefault="00DD07FD" w:rsidP="00DD07FD">
      <w:pPr>
        <w:spacing w:after="0" w:line="240" w:lineRule="auto"/>
        <w:jc w:val="right"/>
        <w:rPr>
          <w:rFonts w:cs="Arial"/>
          <w:b/>
          <w:bCs/>
          <w:caps/>
          <w:lang w:val="es-ES"/>
        </w:rPr>
      </w:pPr>
      <w:r w:rsidRPr="00BC6FC2">
        <w:rPr>
          <w:rFonts w:cs="Arial"/>
          <w:b/>
          <w:caps/>
          <w:lang w:val="es-ES"/>
        </w:rPr>
        <w:lastRenderedPageBreak/>
        <w:t>Anexo</w:t>
      </w:r>
    </w:p>
    <w:p w14:paraId="08BBF916" w14:textId="77777777" w:rsidR="00DD07FD" w:rsidRPr="00BC6FC2" w:rsidRDefault="00DD07FD" w:rsidP="00DD07FD">
      <w:pPr>
        <w:spacing w:after="0" w:line="240" w:lineRule="auto"/>
        <w:rPr>
          <w:rFonts w:cs="Arial"/>
          <w:lang w:val="es-ES"/>
        </w:rPr>
      </w:pPr>
    </w:p>
    <w:p w14:paraId="398FED21" w14:textId="16863C1C" w:rsidR="00DD07FD" w:rsidRPr="00BC6FC2" w:rsidRDefault="00DD07FD" w:rsidP="00DD07FD">
      <w:pPr>
        <w:spacing w:after="0" w:line="240" w:lineRule="auto"/>
        <w:jc w:val="center"/>
        <w:rPr>
          <w:rFonts w:cs="Arial"/>
          <w:lang w:val="es-ES"/>
        </w:rPr>
      </w:pPr>
      <w:r w:rsidRPr="00BC6FC2">
        <w:rPr>
          <w:rFonts w:cs="Arial"/>
          <w:lang w:val="es-ES"/>
        </w:rPr>
        <w:t>PROYECTOS DE DECISIÓN</w:t>
      </w:r>
    </w:p>
    <w:p w14:paraId="3610FD44" w14:textId="44D0F4BE" w:rsidR="00BE0EA7" w:rsidRPr="00BC6FC2" w:rsidRDefault="00BE0EA7" w:rsidP="00DD07FD">
      <w:pPr>
        <w:spacing w:after="0" w:line="240" w:lineRule="auto"/>
        <w:jc w:val="center"/>
        <w:rPr>
          <w:rFonts w:cs="Arial"/>
          <w:lang w:val="es-ES"/>
        </w:rPr>
      </w:pPr>
    </w:p>
    <w:p w14:paraId="6188D398" w14:textId="77777777" w:rsidR="00DD07FD" w:rsidRPr="00BC6FC2" w:rsidRDefault="00DD07FD" w:rsidP="00DD07FD">
      <w:pPr>
        <w:spacing w:after="0" w:line="240" w:lineRule="auto"/>
        <w:jc w:val="center"/>
        <w:rPr>
          <w:rFonts w:cs="Arial"/>
          <w:lang w:val="es-ES"/>
        </w:rPr>
      </w:pPr>
    </w:p>
    <w:p w14:paraId="592A486E" w14:textId="71A9290D" w:rsidR="00DD07FD" w:rsidRPr="00BC6FC2" w:rsidRDefault="00792C85" w:rsidP="00792C85">
      <w:pPr>
        <w:pBdr>
          <w:top w:val="single" w:sz="6" w:space="0" w:color="FFFFFF"/>
          <w:left w:val="single" w:sz="6" w:space="0" w:color="FFFFFF"/>
          <w:bottom w:val="single" w:sz="6" w:space="2" w:color="FFFFFF"/>
          <w:right w:val="single" w:sz="6" w:space="0" w:color="FFFFFF"/>
        </w:pBdr>
        <w:spacing w:after="0" w:line="240" w:lineRule="auto"/>
        <w:jc w:val="center"/>
        <w:outlineLvl w:val="1"/>
        <w:rPr>
          <w:rFonts w:cs="Arial"/>
          <w:b/>
          <w:caps/>
          <w:lang w:val="es-ES"/>
        </w:rPr>
      </w:pPr>
      <w:r w:rsidRPr="00BC6FC2">
        <w:rPr>
          <w:rFonts w:cs="Arial"/>
          <w:b/>
          <w:caps/>
          <w:lang w:val="es-ES"/>
        </w:rPr>
        <w:t>Pastoreo y especies migratorias</w:t>
      </w:r>
    </w:p>
    <w:p w14:paraId="2ED2FDD4" w14:textId="77777777" w:rsidR="0014786B" w:rsidRDefault="0014786B" w:rsidP="00DD07FD">
      <w:pPr>
        <w:spacing w:after="0" w:line="240" w:lineRule="auto"/>
        <w:jc w:val="both"/>
        <w:rPr>
          <w:rFonts w:cs="Arial"/>
          <w:b/>
          <w:i/>
          <w:lang w:val="es-ES"/>
        </w:rPr>
      </w:pPr>
    </w:p>
    <w:p w14:paraId="616BDAB8" w14:textId="77777777" w:rsidR="0014786B" w:rsidRDefault="0014786B" w:rsidP="00DD07FD">
      <w:pPr>
        <w:spacing w:after="0" w:line="240" w:lineRule="auto"/>
        <w:jc w:val="both"/>
        <w:rPr>
          <w:rFonts w:cs="Arial"/>
          <w:b/>
          <w:i/>
          <w:lang w:val="es-ES"/>
        </w:rPr>
      </w:pPr>
    </w:p>
    <w:p w14:paraId="06B3027D" w14:textId="6F606E14" w:rsidR="00DD07FD" w:rsidRPr="00BC6FC2" w:rsidRDefault="00DD07FD" w:rsidP="00DD07FD">
      <w:pPr>
        <w:spacing w:after="0" w:line="240" w:lineRule="auto"/>
        <w:jc w:val="both"/>
        <w:rPr>
          <w:rFonts w:cs="Arial"/>
          <w:b/>
          <w:i/>
          <w:lang w:val="es-ES"/>
        </w:rPr>
      </w:pPr>
      <w:r w:rsidRPr="00BC6FC2">
        <w:rPr>
          <w:rFonts w:cs="Arial"/>
          <w:b/>
          <w:i/>
          <w:lang w:val="es-ES"/>
        </w:rPr>
        <w:t xml:space="preserve">Dirigido a las Partes </w:t>
      </w:r>
    </w:p>
    <w:p w14:paraId="1C7323C1" w14:textId="77777777" w:rsidR="00DD07FD" w:rsidRPr="00BC6FC2" w:rsidRDefault="00DD07FD" w:rsidP="00DD07FD">
      <w:pPr>
        <w:spacing w:after="0" w:line="240" w:lineRule="auto"/>
        <w:jc w:val="both"/>
        <w:rPr>
          <w:rFonts w:cs="Arial"/>
          <w:lang w:val="es-ES"/>
        </w:rPr>
      </w:pPr>
    </w:p>
    <w:p w14:paraId="118BEA26" w14:textId="44D20792" w:rsidR="00DD07FD" w:rsidRPr="00BC6FC2" w:rsidRDefault="00DD07FD" w:rsidP="00D549CA">
      <w:pPr>
        <w:spacing w:after="0" w:line="240" w:lineRule="auto"/>
        <w:ind w:left="851" w:hanging="851"/>
        <w:jc w:val="both"/>
        <w:rPr>
          <w:rFonts w:cs="Arial"/>
          <w:iCs/>
          <w:lang w:val="es-ES"/>
        </w:rPr>
      </w:pPr>
      <w:r w:rsidRPr="00BC6FC2">
        <w:rPr>
          <w:rFonts w:cs="Arial"/>
          <w:lang w:val="es-ES"/>
        </w:rPr>
        <w:t>14.AA</w:t>
      </w:r>
      <w:r w:rsidRPr="00BC6FC2">
        <w:rPr>
          <w:rFonts w:cs="Arial"/>
          <w:lang w:val="es-ES"/>
        </w:rPr>
        <w:tab/>
      </w:r>
      <w:r w:rsidRPr="00BC6FC2">
        <w:rPr>
          <w:rFonts w:cs="Arial"/>
          <w:iCs/>
          <w:lang w:val="es-ES"/>
        </w:rPr>
        <w:t xml:space="preserve">Se solicita a las Partes que presenten a la Secretaría información sobre las medidas nacionales para la gestión de pastizales y el pastoreo </w:t>
      </w:r>
      <w:r w:rsidRPr="00BC6FC2">
        <w:rPr>
          <w:rFonts w:cs="Arial"/>
          <w:lang w:val="es-ES"/>
        </w:rPr>
        <w:t>y que compartan información sobre los desafíos, las lecciones aprendidas y las necesidades para un mayor desarrollo de capacidades.</w:t>
      </w:r>
    </w:p>
    <w:p w14:paraId="53EC9C11" w14:textId="74B815EE" w:rsidR="00DD07FD" w:rsidRPr="00BC6FC2" w:rsidRDefault="00DD07FD" w:rsidP="0033652B">
      <w:pPr>
        <w:widowControl w:val="0"/>
        <w:autoSpaceDE w:val="0"/>
        <w:autoSpaceDN w:val="0"/>
        <w:adjustRightInd w:val="0"/>
        <w:spacing w:after="0" w:line="240" w:lineRule="auto"/>
        <w:jc w:val="both"/>
        <w:rPr>
          <w:rFonts w:cs="Arial"/>
          <w:iCs/>
          <w:lang w:val="es-ES"/>
        </w:rPr>
      </w:pPr>
    </w:p>
    <w:p w14:paraId="016F646F" w14:textId="77777777" w:rsidR="00DD07FD" w:rsidRPr="00BC6FC2" w:rsidRDefault="00DD07FD" w:rsidP="00DD07FD">
      <w:pPr>
        <w:spacing w:after="0" w:line="240" w:lineRule="auto"/>
        <w:jc w:val="both"/>
        <w:rPr>
          <w:rFonts w:cs="Arial"/>
          <w:lang w:val="es-ES"/>
        </w:rPr>
      </w:pPr>
      <w:r w:rsidRPr="00BC6FC2">
        <w:rPr>
          <w:rFonts w:cs="Arial"/>
          <w:b/>
          <w:i/>
          <w:lang w:val="es-ES"/>
        </w:rPr>
        <w:t xml:space="preserve">Dirigido al Consejo Científico </w:t>
      </w:r>
    </w:p>
    <w:p w14:paraId="296C97F8" w14:textId="77777777" w:rsidR="00DD07FD" w:rsidRPr="00BC6FC2" w:rsidRDefault="00DD07FD" w:rsidP="00DD07FD">
      <w:pPr>
        <w:spacing w:after="0" w:line="240" w:lineRule="auto"/>
        <w:jc w:val="both"/>
        <w:rPr>
          <w:rFonts w:cs="Arial"/>
          <w:lang w:val="es-ES"/>
        </w:rPr>
      </w:pPr>
    </w:p>
    <w:p w14:paraId="460ECDED" w14:textId="54A318D3" w:rsidR="00DD07FD" w:rsidRPr="00BC6FC2" w:rsidRDefault="00DD07FD" w:rsidP="00371DE1">
      <w:pPr>
        <w:spacing w:after="0" w:line="240" w:lineRule="auto"/>
        <w:ind w:left="851" w:hanging="851"/>
        <w:jc w:val="both"/>
        <w:rPr>
          <w:rFonts w:cs="Arial"/>
          <w:lang w:val="es-ES"/>
        </w:rPr>
      </w:pPr>
      <w:r w:rsidRPr="00BC6FC2">
        <w:rPr>
          <w:rFonts w:cs="Arial"/>
          <w:lang w:val="es-ES"/>
        </w:rPr>
        <w:t>14.BB</w:t>
      </w:r>
      <w:r w:rsidRPr="00BC6FC2">
        <w:rPr>
          <w:rFonts w:cs="Arial"/>
          <w:lang w:val="es-ES"/>
        </w:rPr>
        <w:tab/>
        <w:t>Se solicita al Consejo Científico que, sujeto a la disponibilidad de recursos externos, establezca un Grupo de Trabajo de múltiples partes interesadas sobre pastoreo y especies incluidas en las listas de la CMS, compuesto por partes interesadas con experiencia y conocimientos en la gestión de pastizales, pastoreo y vida silvestre. Se solicita al Grupo de Trabajo que:</w:t>
      </w:r>
    </w:p>
    <w:p w14:paraId="40FED15B" w14:textId="77777777" w:rsidR="00DD07FD" w:rsidRPr="00BC6FC2" w:rsidRDefault="00DD07FD" w:rsidP="00DD07FD">
      <w:pPr>
        <w:spacing w:after="0" w:line="240" w:lineRule="auto"/>
        <w:ind w:left="720" w:hanging="720"/>
        <w:jc w:val="both"/>
        <w:rPr>
          <w:rFonts w:cs="Arial"/>
          <w:lang w:val="es-ES"/>
        </w:rPr>
      </w:pPr>
    </w:p>
    <w:p w14:paraId="0AB26089" w14:textId="7DAE2EDE" w:rsidR="00DD07FD" w:rsidRPr="00BC6FC2" w:rsidRDefault="00AD4826" w:rsidP="00964BC6">
      <w:pPr>
        <w:widowControl w:val="0"/>
        <w:numPr>
          <w:ilvl w:val="0"/>
          <w:numId w:val="15"/>
        </w:numPr>
        <w:autoSpaceDE w:val="0"/>
        <w:autoSpaceDN w:val="0"/>
        <w:adjustRightInd w:val="0"/>
        <w:spacing w:after="0" w:line="240" w:lineRule="auto"/>
        <w:ind w:left="1418" w:hanging="567"/>
        <w:jc w:val="both"/>
        <w:rPr>
          <w:rFonts w:cs="Arial"/>
          <w:lang w:val="es-ES"/>
        </w:rPr>
      </w:pPr>
      <w:r w:rsidRPr="00BC6FC2">
        <w:rPr>
          <w:rFonts w:cs="Arial"/>
          <w:lang w:val="es-ES"/>
        </w:rPr>
        <w:t>analice la información disponible relevante para el pastoreo y los impactos potenciales sobre las especies incluidas en la CMS, incluyendo los modelos existentes y los estudios de casos de mejores prácticas y la recopilación de respuestas recibidas por la Secretaría en virtud de la Decisión 14.AA;</w:t>
      </w:r>
    </w:p>
    <w:p w14:paraId="782E1E64" w14:textId="77777777" w:rsidR="00DD07FD" w:rsidRPr="00BC6FC2" w:rsidRDefault="00DD07FD" w:rsidP="00AB5D37">
      <w:pPr>
        <w:spacing w:after="0" w:line="240" w:lineRule="auto"/>
        <w:ind w:left="1985" w:hanging="567"/>
        <w:jc w:val="both"/>
        <w:rPr>
          <w:rFonts w:cs="Arial"/>
          <w:lang w:val="es-ES"/>
        </w:rPr>
      </w:pPr>
    </w:p>
    <w:p w14:paraId="29919299" w14:textId="2062B4A8" w:rsidR="00A037AA" w:rsidRPr="00BC6FC2" w:rsidRDefault="00AD4826" w:rsidP="00DD07FD">
      <w:pPr>
        <w:widowControl w:val="0"/>
        <w:numPr>
          <w:ilvl w:val="0"/>
          <w:numId w:val="15"/>
        </w:numPr>
        <w:autoSpaceDE w:val="0"/>
        <w:autoSpaceDN w:val="0"/>
        <w:adjustRightInd w:val="0"/>
        <w:spacing w:after="0" w:line="240" w:lineRule="auto"/>
        <w:ind w:left="1418" w:hanging="567"/>
        <w:jc w:val="both"/>
        <w:rPr>
          <w:rFonts w:cs="Arial"/>
          <w:lang w:val="es-ES"/>
        </w:rPr>
      </w:pPr>
      <w:r w:rsidRPr="00BC6FC2">
        <w:rPr>
          <w:lang w:val="es-ES"/>
        </w:rPr>
        <w:t>proporcione recomendaciones para ayudar a las Partes a abordar el impacto del pastoreo sobre las especies incluidas en la CMS.</w:t>
      </w:r>
    </w:p>
    <w:p w14:paraId="10B2250E" w14:textId="77777777" w:rsidR="00384ACE" w:rsidRPr="00BC6FC2" w:rsidRDefault="00384ACE" w:rsidP="00DD07FD">
      <w:pPr>
        <w:spacing w:after="0" w:line="240" w:lineRule="auto"/>
        <w:jc w:val="both"/>
        <w:rPr>
          <w:rFonts w:cs="Arial"/>
          <w:b/>
          <w:i/>
          <w:lang w:val="es-ES"/>
        </w:rPr>
      </w:pPr>
    </w:p>
    <w:p w14:paraId="50B23BA1" w14:textId="77777777" w:rsidR="00DD07FD" w:rsidRPr="00BC6FC2" w:rsidRDefault="00DD07FD" w:rsidP="00DD07FD">
      <w:pPr>
        <w:spacing w:after="0" w:line="240" w:lineRule="auto"/>
        <w:jc w:val="both"/>
        <w:rPr>
          <w:rFonts w:cs="Arial"/>
          <w:b/>
          <w:i/>
          <w:lang w:val="es-ES"/>
        </w:rPr>
      </w:pPr>
      <w:r w:rsidRPr="00BC6FC2">
        <w:rPr>
          <w:rFonts w:cs="Arial"/>
          <w:b/>
          <w:i/>
          <w:lang w:val="es-ES"/>
        </w:rPr>
        <w:t>Dirigido a la Secretaría</w:t>
      </w:r>
    </w:p>
    <w:p w14:paraId="60A66C66" w14:textId="77777777" w:rsidR="00DD07FD" w:rsidRPr="00BC6FC2" w:rsidRDefault="00DD07FD" w:rsidP="00DD07FD">
      <w:pPr>
        <w:spacing w:after="0" w:line="240" w:lineRule="auto"/>
        <w:jc w:val="both"/>
        <w:rPr>
          <w:rFonts w:cs="Arial"/>
          <w:lang w:val="es-ES"/>
        </w:rPr>
      </w:pPr>
    </w:p>
    <w:p w14:paraId="6B9967E2" w14:textId="544D9E1B" w:rsidR="00DD07FD" w:rsidRPr="00BC6FC2" w:rsidRDefault="00DD07FD" w:rsidP="00371DE1">
      <w:pPr>
        <w:spacing w:after="0" w:line="240" w:lineRule="auto"/>
        <w:ind w:left="851" w:hanging="851"/>
        <w:jc w:val="both"/>
        <w:rPr>
          <w:rFonts w:cs="Arial"/>
          <w:iCs/>
          <w:lang w:val="es-ES"/>
        </w:rPr>
      </w:pPr>
      <w:r w:rsidRPr="00BC6FC2">
        <w:rPr>
          <w:rFonts w:cs="Arial"/>
          <w:lang w:val="es-ES"/>
        </w:rPr>
        <w:t>14.CC</w:t>
      </w:r>
      <w:r w:rsidRPr="00BC6FC2">
        <w:rPr>
          <w:rFonts w:cs="Arial"/>
          <w:lang w:val="es-ES"/>
        </w:rPr>
        <w:tab/>
        <w:t>La Secretaría, sujeta a la disponibilidad de recursos externos, deberá:</w:t>
      </w:r>
    </w:p>
    <w:p w14:paraId="77333957" w14:textId="77777777" w:rsidR="00DD07FD" w:rsidRPr="00BC6FC2" w:rsidRDefault="00DD07FD" w:rsidP="00DD07FD">
      <w:pPr>
        <w:spacing w:after="0" w:line="240" w:lineRule="auto"/>
        <w:ind w:left="720" w:hanging="720"/>
        <w:jc w:val="both"/>
        <w:rPr>
          <w:rFonts w:cs="Arial"/>
          <w:iCs/>
          <w:lang w:val="es-ES"/>
        </w:rPr>
      </w:pPr>
    </w:p>
    <w:p w14:paraId="3D962A8D" w14:textId="4E5554F4" w:rsidR="00CE716D" w:rsidRPr="00BC6FC2" w:rsidRDefault="00070AEB" w:rsidP="00A273AD">
      <w:pPr>
        <w:pStyle w:val="Secondnumbering"/>
        <w:numPr>
          <w:ilvl w:val="1"/>
          <w:numId w:val="29"/>
        </w:numPr>
        <w:ind w:left="1211"/>
        <w:jc w:val="both"/>
        <w:rPr>
          <w:lang w:val="es-ES"/>
        </w:rPr>
      </w:pPr>
      <w:r w:rsidRPr="00BC6FC2">
        <w:rPr>
          <w:lang w:val="es-ES"/>
        </w:rPr>
        <w:t xml:space="preserve">Solicitar a las Partes que presenten </w:t>
      </w:r>
      <w:r w:rsidR="0093535B" w:rsidRPr="00BC6FC2">
        <w:rPr>
          <w:iCs/>
          <w:lang w:val="es-ES"/>
        </w:rPr>
        <w:t xml:space="preserve">información sobre medidas nacionales para la gestión de pastos y el pastoreo </w:t>
      </w:r>
      <w:r w:rsidRPr="00BC6FC2">
        <w:rPr>
          <w:lang w:val="es-ES"/>
        </w:rPr>
        <w:t>y compartir información sobre retos, lecciones aprendidas y necesidades para un mayor desarrollo de capacidades.</w:t>
      </w:r>
    </w:p>
    <w:p w14:paraId="0FDFFCFF" w14:textId="77777777" w:rsidR="00CE716D" w:rsidRPr="00BC6FC2" w:rsidRDefault="00CE716D" w:rsidP="00A273AD">
      <w:pPr>
        <w:pStyle w:val="Secondnumbering"/>
        <w:numPr>
          <w:ilvl w:val="0"/>
          <w:numId w:val="0"/>
        </w:numPr>
        <w:ind w:left="136"/>
        <w:jc w:val="both"/>
        <w:rPr>
          <w:lang w:val="es-ES"/>
        </w:rPr>
      </w:pPr>
    </w:p>
    <w:p w14:paraId="1A23B27A" w14:textId="733071CB" w:rsidR="007802F6" w:rsidRPr="00BC6FC2" w:rsidRDefault="00070AEB" w:rsidP="00A273AD">
      <w:pPr>
        <w:pStyle w:val="Secondnumbering"/>
        <w:numPr>
          <w:ilvl w:val="1"/>
          <w:numId w:val="29"/>
        </w:numPr>
        <w:ind w:left="1211"/>
        <w:jc w:val="both"/>
        <w:rPr>
          <w:lang w:val="es-ES"/>
        </w:rPr>
      </w:pPr>
      <w:r w:rsidRPr="00BC6FC2">
        <w:rPr>
          <w:lang w:val="es-ES"/>
        </w:rPr>
        <w:t>Apoyar al Consejo Científico en la aplicación de la Decisión 14.BB (a).</w:t>
      </w:r>
    </w:p>
    <w:p w14:paraId="6623465A" w14:textId="77777777" w:rsidR="00DC4EF5" w:rsidRPr="00BC6FC2" w:rsidRDefault="00DC4EF5" w:rsidP="00A273AD">
      <w:pPr>
        <w:pStyle w:val="Secondnumbering"/>
        <w:numPr>
          <w:ilvl w:val="0"/>
          <w:numId w:val="0"/>
        </w:numPr>
        <w:ind w:left="925"/>
        <w:jc w:val="both"/>
        <w:rPr>
          <w:lang w:val="es-ES"/>
        </w:rPr>
      </w:pPr>
    </w:p>
    <w:p w14:paraId="5B27D08F" w14:textId="3AF52466" w:rsidR="00DC4EF5" w:rsidRPr="00BC6FC2" w:rsidRDefault="00AB388F" w:rsidP="00A273AD">
      <w:pPr>
        <w:pStyle w:val="Secondnumbering"/>
        <w:numPr>
          <w:ilvl w:val="1"/>
          <w:numId w:val="29"/>
        </w:numPr>
        <w:ind w:left="1211"/>
        <w:jc w:val="both"/>
        <w:rPr>
          <w:lang w:val="es-ES"/>
        </w:rPr>
      </w:pPr>
      <w:r w:rsidRPr="00BC6FC2">
        <w:rPr>
          <w:lang w:val="es-ES"/>
        </w:rPr>
        <w:t>Convocar al menos una reunión del Grupo de Trabajo establecido por el Consejo Científico en virtud de la Decisión 14.BB.</w:t>
      </w:r>
    </w:p>
    <w:p w14:paraId="7393582C" w14:textId="77777777" w:rsidR="007802F6" w:rsidRPr="00BC6FC2" w:rsidRDefault="007802F6" w:rsidP="00A273AD">
      <w:pPr>
        <w:widowControl w:val="0"/>
        <w:autoSpaceDE w:val="0"/>
        <w:autoSpaceDN w:val="0"/>
        <w:adjustRightInd w:val="0"/>
        <w:spacing w:after="0" w:line="240" w:lineRule="auto"/>
        <w:ind w:left="925"/>
        <w:jc w:val="both"/>
        <w:rPr>
          <w:rFonts w:cs="Arial"/>
          <w:lang w:val="es-ES"/>
        </w:rPr>
      </w:pPr>
    </w:p>
    <w:p w14:paraId="201740FC" w14:textId="44B59610" w:rsidR="000C64D6" w:rsidRPr="00BC6FC2" w:rsidRDefault="00763CFB" w:rsidP="00A273AD">
      <w:pPr>
        <w:pStyle w:val="ListParagraph"/>
        <w:widowControl w:val="0"/>
        <w:numPr>
          <w:ilvl w:val="1"/>
          <w:numId w:val="29"/>
        </w:numPr>
        <w:autoSpaceDE w:val="0"/>
        <w:autoSpaceDN w:val="0"/>
        <w:adjustRightInd w:val="0"/>
        <w:spacing w:after="0" w:line="240" w:lineRule="auto"/>
        <w:ind w:left="1211"/>
        <w:jc w:val="both"/>
        <w:rPr>
          <w:rFonts w:cs="Arial"/>
          <w:lang w:val="es-ES"/>
        </w:rPr>
      </w:pPr>
      <w:r w:rsidRPr="00BC6FC2">
        <w:rPr>
          <w:rFonts w:cs="Arial"/>
          <w:lang w:val="es-ES"/>
        </w:rPr>
        <w:t>Participar y aportar al Grupo de Trabajo sobre Pastizales y Biodiversidad del 2026 Año Internacional de los Pastizales y los Pastores.</w:t>
      </w:r>
    </w:p>
    <w:p w14:paraId="52C1D810" w14:textId="77777777" w:rsidR="000C64D6" w:rsidRPr="00BC6FC2" w:rsidRDefault="000C64D6" w:rsidP="00A273AD">
      <w:pPr>
        <w:widowControl w:val="0"/>
        <w:autoSpaceDE w:val="0"/>
        <w:autoSpaceDN w:val="0"/>
        <w:adjustRightInd w:val="0"/>
        <w:spacing w:after="0" w:line="240" w:lineRule="auto"/>
        <w:ind w:left="925"/>
        <w:jc w:val="both"/>
        <w:rPr>
          <w:rFonts w:cs="Arial"/>
          <w:lang w:val="es-ES"/>
        </w:rPr>
      </w:pPr>
    </w:p>
    <w:p w14:paraId="2EE1A2F2" w14:textId="45DF0AFF" w:rsidR="00E575B9" w:rsidRPr="00BC6FC2" w:rsidRDefault="00763CFB" w:rsidP="00A273AD">
      <w:pPr>
        <w:pStyle w:val="ListParagraph"/>
        <w:widowControl w:val="0"/>
        <w:numPr>
          <w:ilvl w:val="1"/>
          <w:numId w:val="29"/>
        </w:numPr>
        <w:autoSpaceDE w:val="0"/>
        <w:autoSpaceDN w:val="0"/>
        <w:adjustRightInd w:val="0"/>
        <w:spacing w:after="0" w:line="240" w:lineRule="auto"/>
        <w:ind w:left="1211"/>
        <w:jc w:val="both"/>
        <w:rPr>
          <w:rFonts w:cs="Arial"/>
          <w:lang w:val="es-ES"/>
        </w:rPr>
      </w:pPr>
      <w:r w:rsidRPr="00BC6FC2">
        <w:rPr>
          <w:lang w:val="es-ES"/>
        </w:rPr>
        <w:t xml:space="preserve">Servir de enlace con el Programa de las Naciones Unidas para el Medioambiente, la Convención de las Naciones Unidas de Lucha contra la Desertificación, la Organización de las Naciones Unidas para la Agricultura y la Alimentación, el Programa de las Naciones Unidas para el Desarrollo, la Organización de las Naciones Unidas para la Educación, la Ciencia y la Cultura y sus Convenciones pertinentes, la Unión Internacional para la Conservación de la Naturaleza y otras organizaciones internacionales y regionales pertinentes, acuerdos multilaterales </w:t>
      </w:r>
      <w:r w:rsidRPr="00BC6FC2">
        <w:rPr>
          <w:lang w:val="es-ES"/>
        </w:rPr>
        <w:lastRenderedPageBreak/>
        <w:t>sobre el medio ambiente, organismos de desarrollo, donantes, organizaciones no gubernamentales e instituciones académicas, según proceda, para apoyar el funcionamiento del Grupo de Trabajo y ayudar a las Partes a hacer frente a los efectos del pastoreo en las especies incluidas en las listas de la CMS, por ejemplo mediante actividades conjuntas de fomento de la capacidad.</w:t>
      </w:r>
    </w:p>
    <w:p w14:paraId="1FA44B4B" w14:textId="77777777" w:rsidR="00E575B9" w:rsidRPr="00BC6FC2" w:rsidRDefault="00E575B9" w:rsidP="00A273AD">
      <w:pPr>
        <w:widowControl w:val="0"/>
        <w:autoSpaceDE w:val="0"/>
        <w:autoSpaceDN w:val="0"/>
        <w:adjustRightInd w:val="0"/>
        <w:spacing w:after="0" w:line="240" w:lineRule="auto"/>
        <w:ind w:left="925"/>
        <w:jc w:val="both"/>
        <w:rPr>
          <w:rFonts w:cs="Arial"/>
          <w:lang w:val="es-ES"/>
        </w:rPr>
      </w:pPr>
    </w:p>
    <w:p w14:paraId="5FDFEFE3" w14:textId="66E94FB9" w:rsidR="00E575B9" w:rsidRPr="00BC6FC2" w:rsidRDefault="00E575B9" w:rsidP="00A273AD">
      <w:pPr>
        <w:pStyle w:val="ListParagraph"/>
        <w:widowControl w:val="0"/>
        <w:numPr>
          <w:ilvl w:val="1"/>
          <w:numId w:val="29"/>
        </w:numPr>
        <w:autoSpaceDE w:val="0"/>
        <w:autoSpaceDN w:val="0"/>
        <w:adjustRightInd w:val="0"/>
        <w:spacing w:after="0" w:line="240" w:lineRule="auto"/>
        <w:ind w:left="1211"/>
        <w:jc w:val="both"/>
        <w:rPr>
          <w:rFonts w:cs="Arial"/>
          <w:lang w:val="es-ES"/>
        </w:rPr>
      </w:pPr>
      <w:r w:rsidRPr="00BC6FC2">
        <w:rPr>
          <w:rFonts w:cs="Arial"/>
          <w:lang w:val="es-ES"/>
        </w:rPr>
        <w:t>Informar a la Conferencia de las Partes en su 15.</w:t>
      </w:r>
      <w:r w:rsidRPr="00BC6FC2">
        <w:rPr>
          <w:rFonts w:cs="Arial"/>
          <w:vertAlign w:val="superscript"/>
          <w:lang w:val="es-ES"/>
        </w:rPr>
        <w:t>a</w:t>
      </w:r>
      <w:r w:rsidRPr="00BC6FC2">
        <w:rPr>
          <w:rFonts w:cs="Arial"/>
          <w:lang w:val="es-ES"/>
        </w:rPr>
        <w:t xml:space="preserve"> reunión sobre los avances realizados en la implementación de la presente decisión.</w:t>
      </w:r>
    </w:p>
    <w:sectPr w:rsidR="00E575B9" w:rsidRPr="00BC6FC2" w:rsidSect="00405591">
      <w:headerReference w:type="even" r:id="rId67"/>
      <w:headerReference w:type="default" r:id="rId68"/>
      <w:headerReference w:type="first" r:id="rId6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C6EAD" w14:textId="77777777" w:rsidR="00570D60" w:rsidRDefault="00570D60" w:rsidP="002E0DE9">
      <w:pPr>
        <w:spacing w:after="0" w:line="240" w:lineRule="auto"/>
      </w:pPr>
      <w:r>
        <w:separator/>
      </w:r>
    </w:p>
  </w:endnote>
  <w:endnote w:type="continuationSeparator" w:id="0">
    <w:p w14:paraId="500F17FE" w14:textId="77777777" w:rsidR="00570D60" w:rsidRDefault="00570D60" w:rsidP="002E0DE9">
      <w:pPr>
        <w:spacing w:after="0" w:line="240" w:lineRule="auto"/>
      </w:pPr>
      <w:r>
        <w:continuationSeparator/>
      </w:r>
    </w:p>
  </w:endnote>
  <w:endnote w:type="continuationNotice" w:id="1">
    <w:p w14:paraId="339081AD" w14:textId="77777777" w:rsidR="00570D60" w:rsidRDefault="00570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C4CC" w14:textId="77777777" w:rsidR="0008058F" w:rsidRDefault="00080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9973" w14:textId="77777777" w:rsidR="0008058F" w:rsidRDefault="000805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5F135" w14:textId="77777777" w:rsidR="00570D60" w:rsidRDefault="00570D60" w:rsidP="002E0DE9">
      <w:pPr>
        <w:spacing w:after="0" w:line="240" w:lineRule="auto"/>
      </w:pPr>
      <w:r>
        <w:separator/>
      </w:r>
    </w:p>
  </w:footnote>
  <w:footnote w:type="continuationSeparator" w:id="0">
    <w:p w14:paraId="26809957" w14:textId="77777777" w:rsidR="00570D60" w:rsidRDefault="00570D60" w:rsidP="002E0DE9">
      <w:pPr>
        <w:spacing w:after="0" w:line="240" w:lineRule="auto"/>
      </w:pPr>
      <w:r>
        <w:continuationSeparator/>
      </w:r>
    </w:p>
  </w:footnote>
  <w:footnote w:type="continuationNotice" w:id="1">
    <w:p w14:paraId="1B16A244" w14:textId="77777777" w:rsidR="00570D60" w:rsidRDefault="00570D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UNEP/CMS/COP14/Doc.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E8E6" w14:textId="77777777" w:rsidR="006F528E" w:rsidRPr="00002A97" w:rsidRDefault="006F528E" w:rsidP="006F528E">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05F3D30D" wp14:editId="75F44840">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3784B7BC" wp14:editId="79898421">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3"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2B9EE837" wp14:editId="0A3F5422">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4"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6BFC1EA0" w14:textId="77777777" w:rsidR="006F528E" w:rsidRDefault="006F52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F513" w14:textId="20707A50" w:rsidR="006A1985" w:rsidRPr="00661875" w:rsidRDefault="006A1985" w:rsidP="006A1985">
    <w:pPr>
      <w:pStyle w:val="Header"/>
      <w:pBdr>
        <w:bottom w:val="single" w:sz="4" w:space="1" w:color="auto"/>
      </w:pBdr>
      <w:rPr>
        <w:rFonts w:cs="Arial"/>
        <w:i/>
        <w:sz w:val="18"/>
        <w:szCs w:val="18"/>
        <w:lang w:val="de-DE"/>
      </w:rPr>
    </w:pPr>
    <w:r w:rsidRPr="00661875">
      <w:rPr>
        <w:rFonts w:cs="Arial"/>
        <w:i/>
        <w:sz w:val="18"/>
        <w:szCs w:val="18"/>
        <w:lang w:val="de-DE"/>
      </w:rPr>
      <w:t>UNEP/CMS/COP14/Doc.29.7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58B7DB9A"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UNEP/CMS/COP14/Doc.29.7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7510F9B0"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UNEP/CMS/COP14/Doc.29.7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77777777"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UNEP/CMS/COP13/Doc.[  ]/Anexo[...]</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5C56" w14:textId="2C4FDB9C" w:rsidR="003B21EE" w:rsidRPr="00661875" w:rsidRDefault="003B21EE"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UNEP/CMS/COP14/Doc.29.7</w:t>
    </w:r>
    <w:r>
      <w:rPr>
        <w:rFonts w:cs="Arial"/>
        <w:i/>
        <w:sz w:val="18"/>
        <w:szCs w:val="18"/>
        <w:lang w:val="de-DE"/>
      </w:rPr>
      <w:t>/Anexo</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34B37DF6" w:rsidR="00371DE1" w:rsidRPr="00661875" w:rsidRDefault="00371DE1" w:rsidP="00C94751">
    <w:pPr>
      <w:pStyle w:val="Header"/>
      <w:pBdr>
        <w:bottom w:val="single" w:sz="4" w:space="1" w:color="auto"/>
      </w:pBdr>
      <w:rPr>
        <w:rFonts w:cs="Arial"/>
        <w:i/>
        <w:sz w:val="18"/>
        <w:szCs w:val="18"/>
        <w:lang w:val="de-DE"/>
      </w:rPr>
    </w:pPr>
    <w:r w:rsidRPr="00661875">
      <w:rPr>
        <w:rFonts w:cs="Arial"/>
        <w:i/>
        <w:sz w:val="18"/>
        <w:szCs w:val="18"/>
        <w:lang w:val="de-DE"/>
      </w:rPr>
      <w:t>UNEP/CMS/COP14/Doc.</w:t>
    </w:r>
    <w:r w:rsidR="003B21EE">
      <w:rPr>
        <w:rFonts w:cs="Arial"/>
        <w:i/>
        <w:sz w:val="18"/>
        <w:szCs w:val="18"/>
        <w:lang w:val="de-DE"/>
      </w:rPr>
      <w:t>29.7</w:t>
    </w:r>
    <w:r w:rsidRPr="00661875">
      <w:rPr>
        <w:rFonts w:cs="Arial"/>
        <w:i/>
        <w:sz w:val="18"/>
        <w:szCs w:val="18"/>
        <w:lang w:val="de-DE"/>
      </w:rPr>
      <w:t>/Anexo</w:t>
    </w:r>
    <w:r w:rsidR="003B21EE">
      <w:rPr>
        <w:rFonts w:cs="Arial"/>
        <w:i/>
        <w:sz w:val="18"/>
        <w:szCs w:val="18"/>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8DB4153"/>
    <w:multiLevelType w:val="hybridMultilevel"/>
    <w:tmpl w:val="D97261F6"/>
    <w:lvl w:ilvl="0" w:tplc="FFFFFFFF">
      <w:start w:val="1"/>
      <w:numFmt w:val="lowerLetter"/>
      <w:lvlText w:val="%1)"/>
      <w:lvlJc w:val="left"/>
      <w:pPr>
        <w:ind w:left="1154" w:hanging="360"/>
      </w:pPr>
    </w:lvl>
    <w:lvl w:ilvl="1" w:tplc="FFFFFFFF">
      <w:start w:val="1"/>
      <w:numFmt w:val="lowerLetter"/>
      <w:lvlText w:val="%2."/>
      <w:lvlJc w:val="left"/>
      <w:pPr>
        <w:ind w:left="1874" w:hanging="360"/>
      </w:pPr>
    </w:lvl>
    <w:lvl w:ilvl="2" w:tplc="FFFFFFFF">
      <w:start w:val="1"/>
      <w:numFmt w:val="lowerRoman"/>
      <w:lvlText w:val="%3."/>
      <w:lvlJc w:val="right"/>
      <w:pPr>
        <w:ind w:left="2594" w:hanging="180"/>
      </w:pPr>
    </w:lvl>
    <w:lvl w:ilvl="3" w:tplc="FFFFFFFF">
      <w:start w:val="1"/>
      <w:numFmt w:val="decimal"/>
      <w:lvlText w:val="%4."/>
      <w:lvlJc w:val="left"/>
      <w:pPr>
        <w:ind w:left="3314" w:hanging="360"/>
      </w:pPr>
    </w:lvl>
    <w:lvl w:ilvl="4" w:tplc="FFFFFFFF">
      <w:start w:val="1"/>
      <w:numFmt w:val="lowerLetter"/>
      <w:lvlText w:val="%5."/>
      <w:lvlJc w:val="left"/>
      <w:pPr>
        <w:ind w:left="4034" w:hanging="360"/>
      </w:pPr>
    </w:lvl>
    <w:lvl w:ilvl="5" w:tplc="FFFFFFFF">
      <w:start w:val="1"/>
      <w:numFmt w:val="lowerRoman"/>
      <w:lvlText w:val="%6."/>
      <w:lvlJc w:val="right"/>
      <w:pPr>
        <w:ind w:left="4754" w:hanging="180"/>
      </w:pPr>
    </w:lvl>
    <w:lvl w:ilvl="6" w:tplc="FFFFFFFF">
      <w:start w:val="1"/>
      <w:numFmt w:val="decimal"/>
      <w:lvlText w:val="%7."/>
      <w:lvlJc w:val="left"/>
      <w:pPr>
        <w:ind w:left="5474" w:hanging="360"/>
      </w:pPr>
    </w:lvl>
    <w:lvl w:ilvl="7" w:tplc="FFFFFFFF">
      <w:start w:val="1"/>
      <w:numFmt w:val="lowerLetter"/>
      <w:lvlText w:val="%8."/>
      <w:lvlJc w:val="left"/>
      <w:pPr>
        <w:ind w:left="6194" w:hanging="360"/>
      </w:pPr>
    </w:lvl>
    <w:lvl w:ilvl="8" w:tplc="FFFFFFFF">
      <w:start w:val="1"/>
      <w:numFmt w:val="lowerRoman"/>
      <w:lvlText w:val="%9."/>
      <w:lvlJc w:val="right"/>
      <w:pPr>
        <w:ind w:left="6914" w:hanging="180"/>
      </w:pPr>
    </w:lvl>
  </w:abstractNum>
  <w:abstractNum w:abstractNumId="5" w15:restartNumberingAfterBreak="0">
    <w:nsid w:val="23B927B8"/>
    <w:multiLevelType w:val="hybridMultilevel"/>
    <w:tmpl w:val="DFA09B28"/>
    <w:lvl w:ilvl="0" w:tplc="0809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25AD1B0E"/>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AE29C4"/>
    <w:multiLevelType w:val="hybridMultilevel"/>
    <w:tmpl w:val="E0DE2976"/>
    <w:lvl w:ilvl="0" w:tplc="0809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55B212F"/>
    <w:multiLevelType w:val="hybridMultilevel"/>
    <w:tmpl w:val="5B204D08"/>
    <w:lvl w:ilvl="0" w:tplc="0809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 w15:restartNumberingAfterBreak="0">
    <w:nsid w:val="388D3460"/>
    <w:multiLevelType w:val="multilevel"/>
    <w:tmpl w:val="09CE5E8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200771"/>
    <w:multiLevelType w:val="hybridMultilevel"/>
    <w:tmpl w:val="A8681F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15" w15:restartNumberingAfterBreak="0">
    <w:nsid w:val="4FD72C44"/>
    <w:multiLevelType w:val="multilevel"/>
    <w:tmpl w:val="A4D4E2F0"/>
    <w:lvl w:ilvl="0">
      <w:start w:val="10"/>
      <w:numFmt w:val="decimal"/>
      <w:lvlText w:val="%1."/>
      <w:lvlJc w:val="left"/>
      <w:pPr>
        <w:ind w:left="480" w:hanging="480"/>
      </w:pPr>
      <w:rPr>
        <w:rFonts w:eastAsia="Calibri" w:hint="default"/>
      </w:rPr>
    </w:lvl>
    <w:lvl w:ilvl="1">
      <w:start w:val="1"/>
      <w:numFmt w:val="decimal"/>
      <w:lvlText w:val="%1.%2."/>
      <w:lvlJc w:val="left"/>
      <w:pPr>
        <w:ind w:left="1080" w:hanging="7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4680" w:hanging="1800"/>
      </w:pPr>
      <w:rPr>
        <w:rFonts w:eastAsia="Calibri" w:hint="default"/>
      </w:rPr>
    </w:lvl>
  </w:abstractNum>
  <w:abstractNum w:abstractNumId="16"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75C3B5D"/>
    <w:multiLevelType w:val="multilevel"/>
    <w:tmpl w:val="A4D4E2F0"/>
    <w:lvl w:ilvl="0">
      <w:start w:val="10"/>
      <w:numFmt w:val="decimal"/>
      <w:lvlText w:val="%1."/>
      <w:lvlJc w:val="left"/>
      <w:pPr>
        <w:ind w:left="480" w:hanging="480"/>
      </w:pPr>
      <w:rPr>
        <w:rFonts w:eastAsia="Calibri" w:hint="default"/>
      </w:rPr>
    </w:lvl>
    <w:lvl w:ilvl="1">
      <w:start w:val="1"/>
      <w:numFmt w:val="decimal"/>
      <w:lvlText w:val="%1.%2."/>
      <w:lvlJc w:val="left"/>
      <w:pPr>
        <w:ind w:left="1080" w:hanging="7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4680" w:hanging="1800"/>
      </w:pPr>
      <w:rPr>
        <w:rFonts w:eastAsia="Calibri" w:hint="default"/>
      </w:rPr>
    </w:lvl>
  </w:abstractNum>
  <w:abstractNum w:abstractNumId="19"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1" w15:restartNumberingAfterBreak="0">
    <w:nsid w:val="60543519"/>
    <w:multiLevelType w:val="hybridMultilevel"/>
    <w:tmpl w:val="60622684"/>
    <w:lvl w:ilvl="0" w:tplc="FFFFFFFF">
      <w:start w:val="1"/>
      <w:numFmt w:val="lowerLetter"/>
      <w:lvlText w:val="%1)"/>
      <w:lvlJc w:val="left"/>
      <w:pPr>
        <w:ind w:left="1154"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0E4525B"/>
    <w:multiLevelType w:val="hybridMultilevel"/>
    <w:tmpl w:val="738A06FA"/>
    <w:lvl w:ilvl="0" w:tplc="08090017">
      <w:start w:val="1"/>
      <w:numFmt w:val="lowerLetter"/>
      <w:lvlText w:val="%1)"/>
      <w:lvlJc w:val="left"/>
      <w:pPr>
        <w:ind w:left="1154" w:hanging="360"/>
      </w:pPr>
    </w:lvl>
    <w:lvl w:ilvl="1" w:tplc="20000019" w:tentative="1">
      <w:start w:val="1"/>
      <w:numFmt w:val="lowerLetter"/>
      <w:lvlText w:val="%2."/>
      <w:lvlJc w:val="left"/>
      <w:pPr>
        <w:ind w:left="1874" w:hanging="360"/>
      </w:pPr>
    </w:lvl>
    <w:lvl w:ilvl="2" w:tplc="2000001B" w:tentative="1">
      <w:start w:val="1"/>
      <w:numFmt w:val="lowerRoman"/>
      <w:lvlText w:val="%3."/>
      <w:lvlJc w:val="right"/>
      <w:pPr>
        <w:ind w:left="2594" w:hanging="180"/>
      </w:pPr>
    </w:lvl>
    <w:lvl w:ilvl="3" w:tplc="2000000F" w:tentative="1">
      <w:start w:val="1"/>
      <w:numFmt w:val="decimal"/>
      <w:lvlText w:val="%4."/>
      <w:lvlJc w:val="left"/>
      <w:pPr>
        <w:ind w:left="3314" w:hanging="360"/>
      </w:pPr>
    </w:lvl>
    <w:lvl w:ilvl="4" w:tplc="20000019" w:tentative="1">
      <w:start w:val="1"/>
      <w:numFmt w:val="lowerLetter"/>
      <w:lvlText w:val="%5."/>
      <w:lvlJc w:val="left"/>
      <w:pPr>
        <w:ind w:left="4034" w:hanging="360"/>
      </w:pPr>
    </w:lvl>
    <w:lvl w:ilvl="5" w:tplc="2000001B" w:tentative="1">
      <w:start w:val="1"/>
      <w:numFmt w:val="lowerRoman"/>
      <w:lvlText w:val="%6."/>
      <w:lvlJc w:val="right"/>
      <w:pPr>
        <w:ind w:left="4754" w:hanging="180"/>
      </w:pPr>
    </w:lvl>
    <w:lvl w:ilvl="6" w:tplc="2000000F" w:tentative="1">
      <w:start w:val="1"/>
      <w:numFmt w:val="decimal"/>
      <w:lvlText w:val="%7."/>
      <w:lvlJc w:val="left"/>
      <w:pPr>
        <w:ind w:left="5474" w:hanging="360"/>
      </w:pPr>
    </w:lvl>
    <w:lvl w:ilvl="7" w:tplc="20000019" w:tentative="1">
      <w:start w:val="1"/>
      <w:numFmt w:val="lowerLetter"/>
      <w:lvlText w:val="%8."/>
      <w:lvlJc w:val="left"/>
      <w:pPr>
        <w:ind w:left="6194" w:hanging="360"/>
      </w:pPr>
    </w:lvl>
    <w:lvl w:ilvl="8" w:tplc="2000001B" w:tentative="1">
      <w:start w:val="1"/>
      <w:numFmt w:val="lowerRoman"/>
      <w:lvlText w:val="%9."/>
      <w:lvlJc w:val="right"/>
      <w:pPr>
        <w:ind w:left="6914" w:hanging="180"/>
      </w:pPr>
    </w:lvl>
  </w:abstractNum>
  <w:abstractNum w:abstractNumId="23" w15:restartNumberingAfterBreak="0">
    <w:nsid w:val="69A23F83"/>
    <w:multiLevelType w:val="hybridMultilevel"/>
    <w:tmpl w:val="F6CA3BCE"/>
    <w:lvl w:ilvl="0" w:tplc="B0728ED6">
      <w:start w:val="1"/>
      <w:numFmt w:val="decimal"/>
      <w:lvlText w:val="%1."/>
      <w:lvlJc w:val="left"/>
      <w:pPr>
        <w:ind w:left="360" w:hanging="360"/>
      </w:pPr>
      <w:rPr>
        <w:i w:val="0"/>
        <w:i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6A3115EA"/>
    <w:multiLevelType w:val="hybridMultilevel"/>
    <w:tmpl w:val="CBE6ECA8"/>
    <w:lvl w:ilvl="0" w:tplc="0809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7" w15:restartNumberingAfterBreak="0">
    <w:nsid w:val="6CE02554"/>
    <w:multiLevelType w:val="multilevel"/>
    <w:tmpl w:val="A4D4E2F0"/>
    <w:lvl w:ilvl="0">
      <w:start w:val="10"/>
      <w:numFmt w:val="decimal"/>
      <w:lvlText w:val="%1."/>
      <w:lvlJc w:val="left"/>
      <w:pPr>
        <w:ind w:left="480" w:hanging="480"/>
      </w:pPr>
      <w:rPr>
        <w:rFonts w:eastAsia="Calibri" w:hint="default"/>
      </w:rPr>
    </w:lvl>
    <w:lvl w:ilvl="1">
      <w:start w:val="1"/>
      <w:numFmt w:val="decimal"/>
      <w:lvlText w:val="%1.%2."/>
      <w:lvlJc w:val="left"/>
      <w:pPr>
        <w:ind w:left="1080" w:hanging="7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4680" w:hanging="1800"/>
      </w:pPr>
      <w:rPr>
        <w:rFonts w:eastAsia="Calibri" w:hint="default"/>
      </w:rPr>
    </w:lvl>
  </w:abstractNum>
  <w:abstractNum w:abstractNumId="28" w15:restartNumberingAfterBreak="0">
    <w:nsid w:val="6D12096E"/>
    <w:multiLevelType w:val="hybridMultilevel"/>
    <w:tmpl w:val="01DCC86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7552A0"/>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CF053C"/>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19"/>
  </w:num>
  <w:num w:numId="2" w16cid:durableId="1741906446">
    <w:abstractNumId w:val="29"/>
  </w:num>
  <w:num w:numId="3" w16cid:durableId="2132282296">
    <w:abstractNumId w:val="6"/>
  </w:num>
  <w:num w:numId="4" w16cid:durableId="308674728">
    <w:abstractNumId w:val="16"/>
  </w:num>
  <w:num w:numId="5" w16cid:durableId="1500343192">
    <w:abstractNumId w:val="2"/>
  </w:num>
  <w:num w:numId="6" w16cid:durableId="947470795">
    <w:abstractNumId w:val="23"/>
  </w:num>
  <w:num w:numId="7" w16cid:durableId="10066366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20"/>
  </w:num>
  <w:num w:numId="10" w16cid:durableId="1141927803">
    <w:abstractNumId w:val="23"/>
  </w:num>
  <w:num w:numId="11" w16cid:durableId="1738941606">
    <w:abstractNumId w:val="6"/>
    <w:lvlOverride w:ilvl="0">
      <w:startOverride w:val="1"/>
    </w:lvlOverride>
  </w:num>
  <w:num w:numId="12" w16cid:durableId="1205143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3"/>
  </w:num>
  <w:num w:numId="16" w16cid:durableId="12305728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26"/>
  </w:num>
  <w:num w:numId="19" w16cid:durableId="717970615">
    <w:abstractNumId w:val="0"/>
  </w:num>
  <w:num w:numId="20" w16cid:durableId="448089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4"/>
  </w:num>
  <w:num w:numId="22" w16cid:durableId="1901596086">
    <w:abstractNumId w:val="1"/>
  </w:num>
  <w:num w:numId="23" w16cid:durableId="1642423971">
    <w:abstractNumId w:val="4"/>
  </w:num>
  <w:num w:numId="24" w16cid:durableId="2039356074">
    <w:abstractNumId w:val="22"/>
  </w:num>
  <w:num w:numId="25" w16cid:durableId="411704444">
    <w:abstractNumId w:val="21"/>
  </w:num>
  <w:num w:numId="26" w16cid:durableId="2086801986">
    <w:abstractNumId w:val="9"/>
  </w:num>
  <w:num w:numId="27" w16cid:durableId="846364022">
    <w:abstractNumId w:val="10"/>
  </w:num>
  <w:num w:numId="28" w16cid:durableId="1697199469">
    <w:abstractNumId w:val="24"/>
  </w:num>
  <w:num w:numId="29" w16cid:durableId="1174229096">
    <w:abstractNumId w:val="5"/>
  </w:num>
  <w:num w:numId="30" w16cid:durableId="831946670">
    <w:abstractNumId w:val="12"/>
  </w:num>
  <w:num w:numId="31" w16cid:durableId="386419599">
    <w:abstractNumId w:val="30"/>
  </w:num>
  <w:num w:numId="32" w16cid:durableId="1570112028">
    <w:abstractNumId w:val="27"/>
  </w:num>
  <w:num w:numId="33" w16cid:durableId="1207716783">
    <w:abstractNumId w:val="15"/>
  </w:num>
  <w:num w:numId="34" w16cid:durableId="521554573">
    <w:abstractNumId w:val="18"/>
  </w:num>
  <w:num w:numId="35" w16cid:durableId="545727056">
    <w:abstractNumId w:val="31"/>
  </w:num>
  <w:num w:numId="36" w16cid:durableId="412706453">
    <w:abstractNumId w:val="8"/>
  </w:num>
  <w:num w:numId="37" w16cid:durableId="1546168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A2NjQ3NzIwsjcwsDQyUdpeDU4uLM/DyQAsNaANLjXRssAAAA"/>
  </w:docVars>
  <w:rsids>
    <w:rsidRoot w:val="002E0DE9"/>
    <w:rsid w:val="000026B4"/>
    <w:rsid w:val="0000386F"/>
    <w:rsid w:val="00003CBD"/>
    <w:rsid w:val="000040DA"/>
    <w:rsid w:val="00004218"/>
    <w:rsid w:val="00006C47"/>
    <w:rsid w:val="0001212C"/>
    <w:rsid w:val="00012300"/>
    <w:rsid w:val="000145BE"/>
    <w:rsid w:val="00014B45"/>
    <w:rsid w:val="00016080"/>
    <w:rsid w:val="00017E48"/>
    <w:rsid w:val="000203F0"/>
    <w:rsid w:val="00022107"/>
    <w:rsid w:val="000250CC"/>
    <w:rsid w:val="00025F35"/>
    <w:rsid w:val="00031BFD"/>
    <w:rsid w:val="00032B7F"/>
    <w:rsid w:val="00032DF4"/>
    <w:rsid w:val="000333A9"/>
    <w:rsid w:val="0003475F"/>
    <w:rsid w:val="000362D6"/>
    <w:rsid w:val="00041916"/>
    <w:rsid w:val="00042BDC"/>
    <w:rsid w:val="0004354A"/>
    <w:rsid w:val="000442CF"/>
    <w:rsid w:val="0005244E"/>
    <w:rsid w:val="00052BBA"/>
    <w:rsid w:val="0005301D"/>
    <w:rsid w:val="0005348F"/>
    <w:rsid w:val="0006347E"/>
    <w:rsid w:val="00064138"/>
    <w:rsid w:val="00066610"/>
    <w:rsid w:val="000672A2"/>
    <w:rsid w:val="00070306"/>
    <w:rsid w:val="00070AEB"/>
    <w:rsid w:val="000740E3"/>
    <w:rsid w:val="00074331"/>
    <w:rsid w:val="00074346"/>
    <w:rsid w:val="00075B40"/>
    <w:rsid w:val="00076B24"/>
    <w:rsid w:val="0008058F"/>
    <w:rsid w:val="00080DBF"/>
    <w:rsid w:val="00083C78"/>
    <w:rsid w:val="00083DF8"/>
    <w:rsid w:val="000859FD"/>
    <w:rsid w:val="00085F1F"/>
    <w:rsid w:val="0008712A"/>
    <w:rsid w:val="00091864"/>
    <w:rsid w:val="00093381"/>
    <w:rsid w:val="00093C4E"/>
    <w:rsid w:val="00094577"/>
    <w:rsid w:val="00094AB7"/>
    <w:rsid w:val="000A03A3"/>
    <w:rsid w:val="000A0673"/>
    <w:rsid w:val="000A1B67"/>
    <w:rsid w:val="000A537E"/>
    <w:rsid w:val="000B1227"/>
    <w:rsid w:val="000B1323"/>
    <w:rsid w:val="000B2DB0"/>
    <w:rsid w:val="000B425F"/>
    <w:rsid w:val="000B75FC"/>
    <w:rsid w:val="000B77ED"/>
    <w:rsid w:val="000B78CB"/>
    <w:rsid w:val="000C349E"/>
    <w:rsid w:val="000C3837"/>
    <w:rsid w:val="000C538E"/>
    <w:rsid w:val="000C64D6"/>
    <w:rsid w:val="000C6D23"/>
    <w:rsid w:val="000D318F"/>
    <w:rsid w:val="000D4514"/>
    <w:rsid w:val="000E1431"/>
    <w:rsid w:val="000E3430"/>
    <w:rsid w:val="000E3BDC"/>
    <w:rsid w:val="000E4C19"/>
    <w:rsid w:val="000E63E7"/>
    <w:rsid w:val="000E778D"/>
    <w:rsid w:val="000F0329"/>
    <w:rsid w:val="000F0407"/>
    <w:rsid w:val="000F0AC9"/>
    <w:rsid w:val="000F12F5"/>
    <w:rsid w:val="000F38B5"/>
    <w:rsid w:val="000F54D6"/>
    <w:rsid w:val="000F63E5"/>
    <w:rsid w:val="000F690B"/>
    <w:rsid w:val="00100AF1"/>
    <w:rsid w:val="00103CA9"/>
    <w:rsid w:val="00104BD9"/>
    <w:rsid w:val="00106C1E"/>
    <w:rsid w:val="001156A8"/>
    <w:rsid w:val="00120BD0"/>
    <w:rsid w:val="0012297F"/>
    <w:rsid w:val="0012626E"/>
    <w:rsid w:val="001317BC"/>
    <w:rsid w:val="00133307"/>
    <w:rsid w:val="0013732D"/>
    <w:rsid w:val="00140C51"/>
    <w:rsid w:val="00141DD7"/>
    <w:rsid w:val="001438BE"/>
    <w:rsid w:val="00144005"/>
    <w:rsid w:val="00145D64"/>
    <w:rsid w:val="0014786B"/>
    <w:rsid w:val="00150D9B"/>
    <w:rsid w:val="00151010"/>
    <w:rsid w:val="001511F6"/>
    <w:rsid w:val="001518EF"/>
    <w:rsid w:val="0015328C"/>
    <w:rsid w:val="001547EF"/>
    <w:rsid w:val="00155276"/>
    <w:rsid w:val="00161596"/>
    <w:rsid w:val="00162C26"/>
    <w:rsid w:val="00162F90"/>
    <w:rsid w:val="00163F72"/>
    <w:rsid w:val="00164E99"/>
    <w:rsid w:val="00165F9C"/>
    <w:rsid w:val="0016710C"/>
    <w:rsid w:val="00170FAB"/>
    <w:rsid w:val="00172100"/>
    <w:rsid w:val="001724C4"/>
    <w:rsid w:val="0017266D"/>
    <w:rsid w:val="00172AB9"/>
    <w:rsid w:val="00173A81"/>
    <w:rsid w:val="00175210"/>
    <w:rsid w:val="001755E9"/>
    <w:rsid w:val="0017758E"/>
    <w:rsid w:val="00181F5A"/>
    <w:rsid w:val="00182817"/>
    <w:rsid w:val="00182CA6"/>
    <w:rsid w:val="00183CB5"/>
    <w:rsid w:val="00185740"/>
    <w:rsid w:val="0018646E"/>
    <w:rsid w:val="00191395"/>
    <w:rsid w:val="00191F60"/>
    <w:rsid w:val="00192608"/>
    <w:rsid w:val="00193051"/>
    <w:rsid w:val="001A032A"/>
    <w:rsid w:val="001A089B"/>
    <w:rsid w:val="001A2D58"/>
    <w:rsid w:val="001A2ED9"/>
    <w:rsid w:val="001A7057"/>
    <w:rsid w:val="001B219C"/>
    <w:rsid w:val="001B236A"/>
    <w:rsid w:val="001B3211"/>
    <w:rsid w:val="001B3759"/>
    <w:rsid w:val="001B5235"/>
    <w:rsid w:val="001B580A"/>
    <w:rsid w:val="001C0D7B"/>
    <w:rsid w:val="001C26AD"/>
    <w:rsid w:val="001C2B6B"/>
    <w:rsid w:val="001C47C5"/>
    <w:rsid w:val="001C55C6"/>
    <w:rsid w:val="001C6851"/>
    <w:rsid w:val="001C695E"/>
    <w:rsid w:val="001D0078"/>
    <w:rsid w:val="001D1BD1"/>
    <w:rsid w:val="001D2464"/>
    <w:rsid w:val="001D2AA3"/>
    <w:rsid w:val="001D3B77"/>
    <w:rsid w:val="001D42DD"/>
    <w:rsid w:val="001D7611"/>
    <w:rsid w:val="001E0741"/>
    <w:rsid w:val="001E3968"/>
    <w:rsid w:val="001E6D84"/>
    <w:rsid w:val="001F0088"/>
    <w:rsid w:val="001F1BE3"/>
    <w:rsid w:val="001F1E8B"/>
    <w:rsid w:val="001F24A4"/>
    <w:rsid w:val="001F325C"/>
    <w:rsid w:val="001F3427"/>
    <w:rsid w:val="001F392D"/>
    <w:rsid w:val="001F3AFD"/>
    <w:rsid w:val="001F668E"/>
    <w:rsid w:val="00200AAE"/>
    <w:rsid w:val="00201DFA"/>
    <w:rsid w:val="00202D94"/>
    <w:rsid w:val="002049B8"/>
    <w:rsid w:val="002105A0"/>
    <w:rsid w:val="00211389"/>
    <w:rsid w:val="00212610"/>
    <w:rsid w:val="00214941"/>
    <w:rsid w:val="00215A13"/>
    <w:rsid w:val="00215A94"/>
    <w:rsid w:val="00216E80"/>
    <w:rsid w:val="002170AA"/>
    <w:rsid w:val="00224D6D"/>
    <w:rsid w:val="0023168C"/>
    <w:rsid w:val="002326F6"/>
    <w:rsid w:val="002343EF"/>
    <w:rsid w:val="0023547E"/>
    <w:rsid w:val="00236C90"/>
    <w:rsid w:val="0024029E"/>
    <w:rsid w:val="00240410"/>
    <w:rsid w:val="00240F90"/>
    <w:rsid w:val="00241039"/>
    <w:rsid w:val="002439FB"/>
    <w:rsid w:val="00243D8D"/>
    <w:rsid w:val="002443D5"/>
    <w:rsid w:val="00246954"/>
    <w:rsid w:val="00251581"/>
    <w:rsid w:val="002519BF"/>
    <w:rsid w:val="00252B5E"/>
    <w:rsid w:val="00254DA4"/>
    <w:rsid w:val="00256674"/>
    <w:rsid w:val="00261FC6"/>
    <w:rsid w:val="0026412F"/>
    <w:rsid w:val="002645E7"/>
    <w:rsid w:val="00264EED"/>
    <w:rsid w:val="00265B19"/>
    <w:rsid w:val="00265CAC"/>
    <w:rsid w:val="002675CA"/>
    <w:rsid w:val="00267BE0"/>
    <w:rsid w:val="00267C6B"/>
    <w:rsid w:val="00270206"/>
    <w:rsid w:val="002707BE"/>
    <w:rsid w:val="002721EE"/>
    <w:rsid w:val="0027617B"/>
    <w:rsid w:val="00276245"/>
    <w:rsid w:val="002770D9"/>
    <w:rsid w:val="0028128F"/>
    <w:rsid w:val="00281776"/>
    <w:rsid w:val="00281B19"/>
    <w:rsid w:val="00281B9F"/>
    <w:rsid w:val="00281F65"/>
    <w:rsid w:val="00282813"/>
    <w:rsid w:val="00282976"/>
    <w:rsid w:val="00283D62"/>
    <w:rsid w:val="00286F9C"/>
    <w:rsid w:val="00287951"/>
    <w:rsid w:val="00290904"/>
    <w:rsid w:val="002917CC"/>
    <w:rsid w:val="00292578"/>
    <w:rsid w:val="002930DF"/>
    <w:rsid w:val="002A012C"/>
    <w:rsid w:val="002A0E98"/>
    <w:rsid w:val="002A16E8"/>
    <w:rsid w:val="002A206D"/>
    <w:rsid w:val="002A2114"/>
    <w:rsid w:val="002A2D25"/>
    <w:rsid w:val="002A38F1"/>
    <w:rsid w:val="002A441F"/>
    <w:rsid w:val="002A5B07"/>
    <w:rsid w:val="002A660D"/>
    <w:rsid w:val="002A7B80"/>
    <w:rsid w:val="002A7EE2"/>
    <w:rsid w:val="002B0D5E"/>
    <w:rsid w:val="002B18B7"/>
    <w:rsid w:val="002B1E8F"/>
    <w:rsid w:val="002B21D5"/>
    <w:rsid w:val="002B2C0C"/>
    <w:rsid w:val="002B5F49"/>
    <w:rsid w:val="002B6D4F"/>
    <w:rsid w:val="002C26C0"/>
    <w:rsid w:val="002C33F9"/>
    <w:rsid w:val="002C6BD6"/>
    <w:rsid w:val="002C77DB"/>
    <w:rsid w:val="002C782B"/>
    <w:rsid w:val="002C7F91"/>
    <w:rsid w:val="002D0096"/>
    <w:rsid w:val="002D03A5"/>
    <w:rsid w:val="002D1DA7"/>
    <w:rsid w:val="002D24C6"/>
    <w:rsid w:val="002D5E83"/>
    <w:rsid w:val="002D6582"/>
    <w:rsid w:val="002D6585"/>
    <w:rsid w:val="002D7CD1"/>
    <w:rsid w:val="002E0C3F"/>
    <w:rsid w:val="002E0DE9"/>
    <w:rsid w:val="002E16F9"/>
    <w:rsid w:val="002E23B6"/>
    <w:rsid w:val="002E3AA5"/>
    <w:rsid w:val="002E5BE2"/>
    <w:rsid w:val="002E78B1"/>
    <w:rsid w:val="002E7F34"/>
    <w:rsid w:val="002F031F"/>
    <w:rsid w:val="002F2214"/>
    <w:rsid w:val="002F3AC0"/>
    <w:rsid w:val="002F763B"/>
    <w:rsid w:val="002F77C9"/>
    <w:rsid w:val="003041B9"/>
    <w:rsid w:val="003049A6"/>
    <w:rsid w:val="00305918"/>
    <w:rsid w:val="00307F16"/>
    <w:rsid w:val="00310605"/>
    <w:rsid w:val="00310B43"/>
    <w:rsid w:val="00310C0B"/>
    <w:rsid w:val="0031410E"/>
    <w:rsid w:val="00315CAC"/>
    <w:rsid w:val="00320E39"/>
    <w:rsid w:val="00321E19"/>
    <w:rsid w:val="00322248"/>
    <w:rsid w:val="00322410"/>
    <w:rsid w:val="00324448"/>
    <w:rsid w:val="00326074"/>
    <w:rsid w:val="00330341"/>
    <w:rsid w:val="003306B4"/>
    <w:rsid w:val="00330879"/>
    <w:rsid w:val="00332327"/>
    <w:rsid w:val="00333C30"/>
    <w:rsid w:val="003347FF"/>
    <w:rsid w:val="0033652B"/>
    <w:rsid w:val="00340FEE"/>
    <w:rsid w:val="003418C5"/>
    <w:rsid w:val="00341B85"/>
    <w:rsid w:val="0034211D"/>
    <w:rsid w:val="00343E33"/>
    <w:rsid w:val="0034685B"/>
    <w:rsid w:val="0035032D"/>
    <w:rsid w:val="003519EB"/>
    <w:rsid w:val="0035289C"/>
    <w:rsid w:val="003531B9"/>
    <w:rsid w:val="00353D23"/>
    <w:rsid w:val="003541B3"/>
    <w:rsid w:val="00354C86"/>
    <w:rsid w:val="00354F03"/>
    <w:rsid w:val="00355141"/>
    <w:rsid w:val="003576DA"/>
    <w:rsid w:val="00357E3A"/>
    <w:rsid w:val="00360838"/>
    <w:rsid w:val="00361B41"/>
    <w:rsid w:val="0036217F"/>
    <w:rsid w:val="003622DF"/>
    <w:rsid w:val="00371DE1"/>
    <w:rsid w:val="00372116"/>
    <w:rsid w:val="00372736"/>
    <w:rsid w:val="00383651"/>
    <w:rsid w:val="00384263"/>
    <w:rsid w:val="00384563"/>
    <w:rsid w:val="00384ACE"/>
    <w:rsid w:val="00385637"/>
    <w:rsid w:val="003865EB"/>
    <w:rsid w:val="00387B5D"/>
    <w:rsid w:val="003916BF"/>
    <w:rsid w:val="00392513"/>
    <w:rsid w:val="003942A7"/>
    <w:rsid w:val="00394518"/>
    <w:rsid w:val="003949A9"/>
    <w:rsid w:val="00394AFB"/>
    <w:rsid w:val="003962CA"/>
    <w:rsid w:val="0039652B"/>
    <w:rsid w:val="003A0634"/>
    <w:rsid w:val="003A461F"/>
    <w:rsid w:val="003A5024"/>
    <w:rsid w:val="003A5286"/>
    <w:rsid w:val="003A6070"/>
    <w:rsid w:val="003A6D1C"/>
    <w:rsid w:val="003B21EE"/>
    <w:rsid w:val="003B46E1"/>
    <w:rsid w:val="003B51D6"/>
    <w:rsid w:val="003B5A89"/>
    <w:rsid w:val="003B6746"/>
    <w:rsid w:val="003C041A"/>
    <w:rsid w:val="003C1556"/>
    <w:rsid w:val="003C2606"/>
    <w:rsid w:val="003C2EED"/>
    <w:rsid w:val="003C370E"/>
    <w:rsid w:val="003C3EF5"/>
    <w:rsid w:val="003C442A"/>
    <w:rsid w:val="003C6FBA"/>
    <w:rsid w:val="003D17C6"/>
    <w:rsid w:val="003D22AB"/>
    <w:rsid w:val="003D56F6"/>
    <w:rsid w:val="003D7454"/>
    <w:rsid w:val="003D79C5"/>
    <w:rsid w:val="003E0726"/>
    <w:rsid w:val="003E0BDC"/>
    <w:rsid w:val="003E0F1E"/>
    <w:rsid w:val="003E32C7"/>
    <w:rsid w:val="003E4C1C"/>
    <w:rsid w:val="003E7776"/>
    <w:rsid w:val="003F0ED5"/>
    <w:rsid w:val="003F35A1"/>
    <w:rsid w:val="0040105F"/>
    <w:rsid w:val="00405591"/>
    <w:rsid w:val="0041074A"/>
    <w:rsid w:val="00416F58"/>
    <w:rsid w:val="00417239"/>
    <w:rsid w:val="00421E1C"/>
    <w:rsid w:val="00422536"/>
    <w:rsid w:val="00423110"/>
    <w:rsid w:val="0042363A"/>
    <w:rsid w:val="00423B98"/>
    <w:rsid w:val="00424507"/>
    <w:rsid w:val="004259F6"/>
    <w:rsid w:val="00427D43"/>
    <w:rsid w:val="00430FF8"/>
    <w:rsid w:val="00432503"/>
    <w:rsid w:val="004341FC"/>
    <w:rsid w:val="00436899"/>
    <w:rsid w:val="00440326"/>
    <w:rsid w:val="00441909"/>
    <w:rsid w:val="00441E79"/>
    <w:rsid w:val="004427A0"/>
    <w:rsid w:val="004442B5"/>
    <w:rsid w:val="00445214"/>
    <w:rsid w:val="004469E5"/>
    <w:rsid w:val="0044745A"/>
    <w:rsid w:val="00452B2A"/>
    <w:rsid w:val="00453295"/>
    <w:rsid w:val="004537EB"/>
    <w:rsid w:val="00455E07"/>
    <w:rsid w:val="00456A3F"/>
    <w:rsid w:val="00456D2F"/>
    <w:rsid w:val="00460A3E"/>
    <w:rsid w:val="00465FB3"/>
    <w:rsid w:val="0046619E"/>
    <w:rsid w:val="00467274"/>
    <w:rsid w:val="00471790"/>
    <w:rsid w:val="00471E45"/>
    <w:rsid w:val="004734F8"/>
    <w:rsid w:val="004745C8"/>
    <w:rsid w:val="004748CD"/>
    <w:rsid w:val="00474960"/>
    <w:rsid w:val="0048118D"/>
    <w:rsid w:val="00482D33"/>
    <w:rsid w:val="0048491C"/>
    <w:rsid w:val="004862EF"/>
    <w:rsid w:val="00486CE8"/>
    <w:rsid w:val="00491530"/>
    <w:rsid w:val="00492906"/>
    <w:rsid w:val="004941E2"/>
    <w:rsid w:val="00496788"/>
    <w:rsid w:val="004968F7"/>
    <w:rsid w:val="00496995"/>
    <w:rsid w:val="004973D9"/>
    <w:rsid w:val="004A0C90"/>
    <w:rsid w:val="004A3099"/>
    <w:rsid w:val="004A5153"/>
    <w:rsid w:val="004A5306"/>
    <w:rsid w:val="004B21DC"/>
    <w:rsid w:val="004B3F2D"/>
    <w:rsid w:val="004B4947"/>
    <w:rsid w:val="004B5282"/>
    <w:rsid w:val="004B7071"/>
    <w:rsid w:val="004C1C6D"/>
    <w:rsid w:val="004C4B51"/>
    <w:rsid w:val="004C4C5C"/>
    <w:rsid w:val="004D06E3"/>
    <w:rsid w:val="004D0B45"/>
    <w:rsid w:val="004D12BB"/>
    <w:rsid w:val="004D3302"/>
    <w:rsid w:val="004D35AB"/>
    <w:rsid w:val="004D35EF"/>
    <w:rsid w:val="004D3EEB"/>
    <w:rsid w:val="004D4CF4"/>
    <w:rsid w:val="004D5E12"/>
    <w:rsid w:val="004D6171"/>
    <w:rsid w:val="004E546F"/>
    <w:rsid w:val="004E687E"/>
    <w:rsid w:val="004F1B5A"/>
    <w:rsid w:val="004F1CBC"/>
    <w:rsid w:val="004F3437"/>
    <w:rsid w:val="004F4774"/>
    <w:rsid w:val="004F5847"/>
    <w:rsid w:val="0050080C"/>
    <w:rsid w:val="00501541"/>
    <w:rsid w:val="00505052"/>
    <w:rsid w:val="00506EFC"/>
    <w:rsid w:val="00507E3F"/>
    <w:rsid w:val="005108F5"/>
    <w:rsid w:val="0051228E"/>
    <w:rsid w:val="00512FB9"/>
    <w:rsid w:val="00513DBA"/>
    <w:rsid w:val="005150BC"/>
    <w:rsid w:val="0051639A"/>
    <w:rsid w:val="00517FDF"/>
    <w:rsid w:val="005220F0"/>
    <w:rsid w:val="00523FA7"/>
    <w:rsid w:val="005240EE"/>
    <w:rsid w:val="00524277"/>
    <w:rsid w:val="005254C4"/>
    <w:rsid w:val="005330F7"/>
    <w:rsid w:val="00533C73"/>
    <w:rsid w:val="00536B13"/>
    <w:rsid w:val="00537AA1"/>
    <w:rsid w:val="005402A0"/>
    <w:rsid w:val="005403D0"/>
    <w:rsid w:val="00541D9E"/>
    <w:rsid w:val="005420E5"/>
    <w:rsid w:val="00542DE0"/>
    <w:rsid w:val="0054456C"/>
    <w:rsid w:val="00544F0C"/>
    <w:rsid w:val="00546D46"/>
    <w:rsid w:val="00547439"/>
    <w:rsid w:val="005515F6"/>
    <w:rsid w:val="005530D1"/>
    <w:rsid w:val="00553CEC"/>
    <w:rsid w:val="00554E9D"/>
    <w:rsid w:val="005578D5"/>
    <w:rsid w:val="00557D5E"/>
    <w:rsid w:val="005602D8"/>
    <w:rsid w:val="00560BBD"/>
    <w:rsid w:val="00562A3C"/>
    <w:rsid w:val="00563598"/>
    <w:rsid w:val="00570D60"/>
    <w:rsid w:val="00571ABE"/>
    <w:rsid w:val="00572FA5"/>
    <w:rsid w:val="00574883"/>
    <w:rsid w:val="0058031F"/>
    <w:rsid w:val="005811A3"/>
    <w:rsid w:val="00582ED6"/>
    <w:rsid w:val="00587EF7"/>
    <w:rsid w:val="00590D81"/>
    <w:rsid w:val="00591384"/>
    <w:rsid w:val="005921A5"/>
    <w:rsid w:val="005953CE"/>
    <w:rsid w:val="005A1D48"/>
    <w:rsid w:val="005A2951"/>
    <w:rsid w:val="005A3126"/>
    <w:rsid w:val="005A4CC2"/>
    <w:rsid w:val="005A59FD"/>
    <w:rsid w:val="005A7782"/>
    <w:rsid w:val="005B0A19"/>
    <w:rsid w:val="005B1A5D"/>
    <w:rsid w:val="005B2517"/>
    <w:rsid w:val="005B4AAA"/>
    <w:rsid w:val="005B5D9E"/>
    <w:rsid w:val="005C15CA"/>
    <w:rsid w:val="005C32DE"/>
    <w:rsid w:val="005C4233"/>
    <w:rsid w:val="005C52BA"/>
    <w:rsid w:val="005D176F"/>
    <w:rsid w:val="005D2258"/>
    <w:rsid w:val="005D2DC3"/>
    <w:rsid w:val="005D2DC4"/>
    <w:rsid w:val="005D3326"/>
    <w:rsid w:val="005D4840"/>
    <w:rsid w:val="005D488F"/>
    <w:rsid w:val="005D4E0B"/>
    <w:rsid w:val="005E16E7"/>
    <w:rsid w:val="005E6311"/>
    <w:rsid w:val="005E6941"/>
    <w:rsid w:val="005E727A"/>
    <w:rsid w:val="005E72F6"/>
    <w:rsid w:val="005E790E"/>
    <w:rsid w:val="005F00A5"/>
    <w:rsid w:val="005F76C3"/>
    <w:rsid w:val="006018B8"/>
    <w:rsid w:val="00601A71"/>
    <w:rsid w:val="00601A85"/>
    <w:rsid w:val="00602A0A"/>
    <w:rsid w:val="0060307B"/>
    <w:rsid w:val="00603474"/>
    <w:rsid w:val="006100C4"/>
    <w:rsid w:val="00614158"/>
    <w:rsid w:val="00616F62"/>
    <w:rsid w:val="00621A6D"/>
    <w:rsid w:val="00622374"/>
    <w:rsid w:val="0062270B"/>
    <w:rsid w:val="0062321A"/>
    <w:rsid w:val="0062359F"/>
    <w:rsid w:val="00623DEA"/>
    <w:rsid w:val="00626086"/>
    <w:rsid w:val="0063026B"/>
    <w:rsid w:val="006325D8"/>
    <w:rsid w:val="00632685"/>
    <w:rsid w:val="00632BEC"/>
    <w:rsid w:val="006367A6"/>
    <w:rsid w:val="00636B45"/>
    <w:rsid w:val="00636F2B"/>
    <w:rsid w:val="00637707"/>
    <w:rsid w:val="00637871"/>
    <w:rsid w:val="006422A9"/>
    <w:rsid w:val="00642C89"/>
    <w:rsid w:val="006448B8"/>
    <w:rsid w:val="00645644"/>
    <w:rsid w:val="006463C9"/>
    <w:rsid w:val="006464B9"/>
    <w:rsid w:val="00646D0A"/>
    <w:rsid w:val="00652364"/>
    <w:rsid w:val="00653ED6"/>
    <w:rsid w:val="0065483A"/>
    <w:rsid w:val="0065637C"/>
    <w:rsid w:val="00656E5F"/>
    <w:rsid w:val="006573A9"/>
    <w:rsid w:val="00660C40"/>
    <w:rsid w:val="006610A2"/>
    <w:rsid w:val="0066126D"/>
    <w:rsid w:val="006613E1"/>
    <w:rsid w:val="00661875"/>
    <w:rsid w:val="006621C7"/>
    <w:rsid w:val="006624AB"/>
    <w:rsid w:val="00663EFF"/>
    <w:rsid w:val="00664412"/>
    <w:rsid w:val="00664EE1"/>
    <w:rsid w:val="006655AF"/>
    <w:rsid w:val="0066798D"/>
    <w:rsid w:val="00671005"/>
    <w:rsid w:val="00672BC3"/>
    <w:rsid w:val="00672C8C"/>
    <w:rsid w:val="00676BBD"/>
    <w:rsid w:val="00680617"/>
    <w:rsid w:val="00681B6C"/>
    <w:rsid w:val="006824E2"/>
    <w:rsid w:val="00684AF0"/>
    <w:rsid w:val="00687DD9"/>
    <w:rsid w:val="00690ED7"/>
    <w:rsid w:val="00691F24"/>
    <w:rsid w:val="00693C03"/>
    <w:rsid w:val="00695AAD"/>
    <w:rsid w:val="00695E1E"/>
    <w:rsid w:val="0069797E"/>
    <w:rsid w:val="006A0215"/>
    <w:rsid w:val="006A1985"/>
    <w:rsid w:val="006A32BF"/>
    <w:rsid w:val="006A481E"/>
    <w:rsid w:val="006A7358"/>
    <w:rsid w:val="006A77DD"/>
    <w:rsid w:val="006B0A55"/>
    <w:rsid w:val="006B23D5"/>
    <w:rsid w:val="006B7582"/>
    <w:rsid w:val="006B75FA"/>
    <w:rsid w:val="006C117C"/>
    <w:rsid w:val="006C2675"/>
    <w:rsid w:val="006C4636"/>
    <w:rsid w:val="006C64B9"/>
    <w:rsid w:val="006C7112"/>
    <w:rsid w:val="006C7D78"/>
    <w:rsid w:val="006D3824"/>
    <w:rsid w:val="006D4B13"/>
    <w:rsid w:val="006D7018"/>
    <w:rsid w:val="006E1442"/>
    <w:rsid w:val="006E17F4"/>
    <w:rsid w:val="006E18EC"/>
    <w:rsid w:val="006E1939"/>
    <w:rsid w:val="006E21BA"/>
    <w:rsid w:val="006E2770"/>
    <w:rsid w:val="006E362D"/>
    <w:rsid w:val="006E5314"/>
    <w:rsid w:val="006E5E55"/>
    <w:rsid w:val="006F2837"/>
    <w:rsid w:val="006F30DB"/>
    <w:rsid w:val="006F3116"/>
    <w:rsid w:val="006F528E"/>
    <w:rsid w:val="006F6E41"/>
    <w:rsid w:val="007003AA"/>
    <w:rsid w:val="00703729"/>
    <w:rsid w:val="007043A8"/>
    <w:rsid w:val="00705D5C"/>
    <w:rsid w:val="00705DD5"/>
    <w:rsid w:val="00706720"/>
    <w:rsid w:val="00706EED"/>
    <w:rsid w:val="00706F19"/>
    <w:rsid w:val="00710B37"/>
    <w:rsid w:val="00711A29"/>
    <w:rsid w:val="00721809"/>
    <w:rsid w:val="00722C80"/>
    <w:rsid w:val="007241DE"/>
    <w:rsid w:val="00724333"/>
    <w:rsid w:val="0072529E"/>
    <w:rsid w:val="00725827"/>
    <w:rsid w:val="00726109"/>
    <w:rsid w:val="007270CC"/>
    <w:rsid w:val="0073325B"/>
    <w:rsid w:val="0073452A"/>
    <w:rsid w:val="00736576"/>
    <w:rsid w:val="00736748"/>
    <w:rsid w:val="00737D90"/>
    <w:rsid w:val="007427E5"/>
    <w:rsid w:val="00742F48"/>
    <w:rsid w:val="00751210"/>
    <w:rsid w:val="00751EA7"/>
    <w:rsid w:val="0075290C"/>
    <w:rsid w:val="007532C6"/>
    <w:rsid w:val="007555DB"/>
    <w:rsid w:val="007572E4"/>
    <w:rsid w:val="0076071E"/>
    <w:rsid w:val="00760EEF"/>
    <w:rsid w:val="00761481"/>
    <w:rsid w:val="007638BC"/>
    <w:rsid w:val="00763CFB"/>
    <w:rsid w:val="00767EE4"/>
    <w:rsid w:val="0077112A"/>
    <w:rsid w:val="00772A23"/>
    <w:rsid w:val="0077337A"/>
    <w:rsid w:val="00774566"/>
    <w:rsid w:val="0077746A"/>
    <w:rsid w:val="007801E9"/>
    <w:rsid w:val="007802F6"/>
    <w:rsid w:val="00783717"/>
    <w:rsid w:val="00785CBE"/>
    <w:rsid w:val="0079012C"/>
    <w:rsid w:val="00792C85"/>
    <w:rsid w:val="007930CF"/>
    <w:rsid w:val="0079560A"/>
    <w:rsid w:val="00795BBC"/>
    <w:rsid w:val="007A0C65"/>
    <w:rsid w:val="007A5411"/>
    <w:rsid w:val="007A6B2F"/>
    <w:rsid w:val="007A7B68"/>
    <w:rsid w:val="007B175A"/>
    <w:rsid w:val="007B2989"/>
    <w:rsid w:val="007B3313"/>
    <w:rsid w:val="007B60F6"/>
    <w:rsid w:val="007B7D9F"/>
    <w:rsid w:val="007C3666"/>
    <w:rsid w:val="007C5061"/>
    <w:rsid w:val="007C5BBC"/>
    <w:rsid w:val="007C666D"/>
    <w:rsid w:val="007C6E13"/>
    <w:rsid w:val="007C7B83"/>
    <w:rsid w:val="007D0118"/>
    <w:rsid w:val="007D06CF"/>
    <w:rsid w:val="007D0AFF"/>
    <w:rsid w:val="007D6198"/>
    <w:rsid w:val="007D69AA"/>
    <w:rsid w:val="007D6E94"/>
    <w:rsid w:val="007D77D9"/>
    <w:rsid w:val="007D7EA2"/>
    <w:rsid w:val="007E13DF"/>
    <w:rsid w:val="007E26C7"/>
    <w:rsid w:val="007E2B3E"/>
    <w:rsid w:val="007E2FDF"/>
    <w:rsid w:val="007E5A69"/>
    <w:rsid w:val="007E641E"/>
    <w:rsid w:val="007E6CE0"/>
    <w:rsid w:val="007F26D4"/>
    <w:rsid w:val="007F2C86"/>
    <w:rsid w:val="007F427D"/>
    <w:rsid w:val="007F504D"/>
    <w:rsid w:val="00802A0C"/>
    <w:rsid w:val="00803B0C"/>
    <w:rsid w:val="00803CE1"/>
    <w:rsid w:val="00804ADE"/>
    <w:rsid w:val="00813A24"/>
    <w:rsid w:val="008156DF"/>
    <w:rsid w:val="00815A83"/>
    <w:rsid w:val="00816BC6"/>
    <w:rsid w:val="008201ED"/>
    <w:rsid w:val="00822689"/>
    <w:rsid w:val="008226C3"/>
    <w:rsid w:val="008258A0"/>
    <w:rsid w:val="00825BE1"/>
    <w:rsid w:val="0083164F"/>
    <w:rsid w:val="00831DC2"/>
    <w:rsid w:val="00832EC5"/>
    <w:rsid w:val="00833E37"/>
    <w:rsid w:val="00834B45"/>
    <w:rsid w:val="0083594D"/>
    <w:rsid w:val="00840FE4"/>
    <w:rsid w:val="00841D7D"/>
    <w:rsid w:val="00841FF0"/>
    <w:rsid w:val="0084312B"/>
    <w:rsid w:val="00843950"/>
    <w:rsid w:val="00844966"/>
    <w:rsid w:val="0084499A"/>
    <w:rsid w:val="00851994"/>
    <w:rsid w:val="00851CBE"/>
    <w:rsid w:val="0085320D"/>
    <w:rsid w:val="00854541"/>
    <w:rsid w:val="00857162"/>
    <w:rsid w:val="008605FD"/>
    <w:rsid w:val="008615B1"/>
    <w:rsid w:val="00861CEE"/>
    <w:rsid w:val="008624AD"/>
    <w:rsid w:val="00862FE4"/>
    <w:rsid w:val="008643F0"/>
    <w:rsid w:val="00864C8F"/>
    <w:rsid w:val="00865816"/>
    <w:rsid w:val="0086761D"/>
    <w:rsid w:val="00867C90"/>
    <w:rsid w:val="00870D99"/>
    <w:rsid w:val="00871C61"/>
    <w:rsid w:val="008723A2"/>
    <w:rsid w:val="00873031"/>
    <w:rsid w:val="00873411"/>
    <w:rsid w:val="00874C1C"/>
    <w:rsid w:val="00877F0A"/>
    <w:rsid w:val="008809FF"/>
    <w:rsid w:val="00880CAB"/>
    <w:rsid w:val="008820A6"/>
    <w:rsid w:val="008839CA"/>
    <w:rsid w:val="00886147"/>
    <w:rsid w:val="008869D8"/>
    <w:rsid w:val="00890432"/>
    <w:rsid w:val="0089201B"/>
    <w:rsid w:val="00894375"/>
    <w:rsid w:val="0089499B"/>
    <w:rsid w:val="008A150A"/>
    <w:rsid w:val="008A1E0D"/>
    <w:rsid w:val="008A405C"/>
    <w:rsid w:val="008A4278"/>
    <w:rsid w:val="008A50C1"/>
    <w:rsid w:val="008A6706"/>
    <w:rsid w:val="008B026B"/>
    <w:rsid w:val="008B0768"/>
    <w:rsid w:val="008B0AC3"/>
    <w:rsid w:val="008B1154"/>
    <w:rsid w:val="008B1657"/>
    <w:rsid w:val="008B1B57"/>
    <w:rsid w:val="008B1D55"/>
    <w:rsid w:val="008C3546"/>
    <w:rsid w:val="008C50D1"/>
    <w:rsid w:val="008C61A2"/>
    <w:rsid w:val="008C6F8D"/>
    <w:rsid w:val="008C798E"/>
    <w:rsid w:val="008D0BD8"/>
    <w:rsid w:val="008D258D"/>
    <w:rsid w:val="008D3C4D"/>
    <w:rsid w:val="008D5B22"/>
    <w:rsid w:val="008D61C6"/>
    <w:rsid w:val="008D66E6"/>
    <w:rsid w:val="008E261B"/>
    <w:rsid w:val="008E5426"/>
    <w:rsid w:val="008E54C6"/>
    <w:rsid w:val="008E5C15"/>
    <w:rsid w:val="008E5DBE"/>
    <w:rsid w:val="008E6FCF"/>
    <w:rsid w:val="008F08D0"/>
    <w:rsid w:val="008F1DD4"/>
    <w:rsid w:val="008F79E4"/>
    <w:rsid w:val="008F7B50"/>
    <w:rsid w:val="0090159E"/>
    <w:rsid w:val="0090300B"/>
    <w:rsid w:val="00903985"/>
    <w:rsid w:val="00903A47"/>
    <w:rsid w:val="00911906"/>
    <w:rsid w:val="00911ABD"/>
    <w:rsid w:val="0091217B"/>
    <w:rsid w:val="00914B8B"/>
    <w:rsid w:val="00917BF1"/>
    <w:rsid w:val="009225DB"/>
    <w:rsid w:val="00924862"/>
    <w:rsid w:val="00926087"/>
    <w:rsid w:val="00926656"/>
    <w:rsid w:val="00927A26"/>
    <w:rsid w:val="00931B3B"/>
    <w:rsid w:val="00931EEA"/>
    <w:rsid w:val="00933A49"/>
    <w:rsid w:val="00933BD9"/>
    <w:rsid w:val="00933F66"/>
    <w:rsid w:val="00934463"/>
    <w:rsid w:val="009347BA"/>
    <w:rsid w:val="0093535B"/>
    <w:rsid w:val="00945165"/>
    <w:rsid w:val="00945E3A"/>
    <w:rsid w:val="00947FE4"/>
    <w:rsid w:val="009511DD"/>
    <w:rsid w:val="00951ECD"/>
    <w:rsid w:val="00952A29"/>
    <w:rsid w:val="009534DC"/>
    <w:rsid w:val="009544D3"/>
    <w:rsid w:val="00954A58"/>
    <w:rsid w:val="00954BC9"/>
    <w:rsid w:val="00956298"/>
    <w:rsid w:val="00956CBC"/>
    <w:rsid w:val="00957BD6"/>
    <w:rsid w:val="00961577"/>
    <w:rsid w:val="00961BF5"/>
    <w:rsid w:val="00964BC6"/>
    <w:rsid w:val="009654C0"/>
    <w:rsid w:val="00965823"/>
    <w:rsid w:val="0096617D"/>
    <w:rsid w:val="00971DA5"/>
    <w:rsid w:val="0097216C"/>
    <w:rsid w:val="00973BE5"/>
    <w:rsid w:val="00973E3F"/>
    <w:rsid w:val="00974426"/>
    <w:rsid w:val="0097461F"/>
    <w:rsid w:val="009750AE"/>
    <w:rsid w:val="0097669B"/>
    <w:rsid w:val="00983DD6"/>
    <w:rsid w:val="0099030F"/>
    <w:rsid w:val="00990D39"/>
    <w:rsid w:val="009912A1"/>
    <w:rsid w:val="00991CD3"/>
    <w:rsid w:val="0099666F"/>
    <w:rsid w:val="009968A9"/>
    <w:rsid w:val="00996D32"/>
    <w:rsid w:val="009A005A"/>
    <w:rsid w:val="009A1EF6"/>
    <w:rsid w:val="009A40CB"/>
    <w:rsid w:val="009A5622"/>
    <w:rsid w:val="009A657E"/>
    <w:rsid w:val="009A72B5"/>
    <w:rsid w:val="009B2693"/>
    <w:rsid w:val="009B3C33"/>
    <w:rsid w:val="009B4731"/>
    <w:rsid w:val="009C1079"/>
    <w:rsid w:val="009C12CE"/>
    <w:rsid w:val="009C631B"/>
    <w:rsid w:val="009C65F6"/>
    <w:rsid w:val="009D0292"/>
    <w:rsid w:val="009D04EB"/>
    <w:rsid w:val="009D1432"/>
    <w:rsid w:val="009D1836"/>
    <w:rsid w:val="009D6C2F"/>
    <w:rsid w:val="009D76A6"/>
    <w:rsid w:val="009E0849"/>
    <w:rsid w:val="009E0E7D"/>
    <w:rsid w:val="009E178C"/>
    <w:rsid w:val="009E4279"/>
    <w:rsid w:val="009F0FCB"/>
    <w:rsid w:val="009F2C2F"/>
    <w:rsid w:val="009F72EF"/>
    <w:rsid w:val="00A001A0"/>
    <w:rsid w:val="00A026C1"/>
    <w:rsid w:val="00A037AA"/>
    <w:rsid w:val="00A039BA"/>
    <w:rsid w:val="00A04C8A"/>
    <w:rsid w:val="00A04CA7"/>
    <w:rsid w:val="00A05ECC"/>
    <w:rsid w:val="00A13310"/>
    <w:rsid w:val="00A140B9"/>
    <w:rsid w:val="00A14B16"/>
    <w:rsid w:val="00A15B01"/>
    <w:rsid w:val="00A16757"/>
    <w:rsid w:val="00A16D43"/>
    <w:rsid w:val="00A17075"/>
    <w:rsid w:val="00A202FA"/>
    <w:rsid w:val="00A20C2E"/>
    <w:rsid w:val="00A20CF7"/>
    <w:rsid w:val="00A20EFC"/>
    <w:rsid w:val="00A232B3"/>
    <w:rsid w:val="00A23A95"/>
    <w:rsid w:val="00A23BAE"/>
    <w:rsid w:val="00A249AB"/>
    <w:rsid w:val="00A249D4"/>
    <w:rsid w:val="00A262DA"/>
    <w:rsid w:val="00A273AD"/>
    <w:rsid w:val="00A3009B"/>
    <w:rsid w:val="00A31756"/>
    <w:rsid w:val="00A336FD"/>
    <w:rsid w:val="00A33C47"/>
    <w:rsid w:val="00A34291"/>
    <w:rsid w:val="00A365A1"/>
    <w:rsid w:val="00A42C9E"/>
    <w:rsid w:val="00A463DF"/>
    <w:rsid w:val="00A50157"/>
    <w:rsid w:val="00A52785"/>
    <w:rsid w:val="00A5384E"/>
    <w:rsid w:val="00A5445E"/>
    <w:rsid w:val="00A576C7"/>
    <w:rsid w:val="00A63747"/>
    <w:rsid w:val="00A66B63"/>
    <w:rsid w:val="00A66C9F"/>
    <w:rsid w:val="00A7159B"/>
    <w:rsid w:val="00A71C94"/>
    <w:rsid w:val="00A72E8D"/>
    <w:rsid w:val="00A73403"/>
    <w:rsid w:val="00A77B99"/>
    <w:rsid w:val="00A80D08"/>
    <w:rsid w:val="00A82ECF"/>
    <w:rsid w:val="00A83090"/>
    <w:rsid w:val="00A836DB"/>
    <w:rsid w:val="00A8615E"/>
    <w:rsid w:val="00A907FB"/>
    <w:rsid w:val="00A945FB"/>
    <w:rsid w:val="00A9485B"/>
    <w:rsid w:val="00A963A7"/>
    <w:rsid w:val="00AA192A"/>
    <w:rsid w:val="00AA1EC7"/>
    <w:rsid w:val="00AA43E8"/>
    <w:rsid w:val="00AA55FA"/>
    <w:rsid w:val="00AA5D17"/>
    <w:rsid w:val="00AA5E31"/>
    <w:rsid w:val="00AA652F"/>
    <w:rsid w:val="00AA6EC9"/>
    <w:rsid w:val="00AB1DD9"/>
    <w:rsid w:val="00AB23C4"/>
    <w:rsid w:val="00AB3538"/>
    <w:rsid w:val="00AB388F"/>
    <w:rsid w:val="00AB42CE"/>
    <w:rsid w:val="00AB5301"/>
    <w:rsid w:val="00AB530F"/>
    <w:rsid w:val="00AB54F0"/>
    <w:rsid w:val="00AB5D37"/>
    <w:rsid w:val="00AB5F88"/>
    <w:rsid w:val="00AB7553"/>
    <w:rsid w:val="00AC1FC3"/>
    <w:rsid w:val="00AC4838"/>
    <w:rsid w:val="00AC5622"/>
    <w:rsid w:val="00AC6966"/>
    <w:rsid w:val="00AD0E89"/>
    <w:rsid w:val="00AD40C9"/>
    <w:rsid w:val="00AD4826"/>
    <w:rsid w:val="00AD66C2"/>
    <w:rsid w:val="00AD6A14"/>
    <w:rsid w:val="00AD7238"/>
    <w:rsid w:val="00AE6EFD"/>
    <w:rsid w:val="00AE7910"/>
    <w:rsid w:val="00AE7FE7"/>
    <w:rsid w:val="00AF1835"/>
    <w:rsid w:val="00AF33FF"/>
    <w:rsid w:val="00AF7D05"/>
    <w:rsid w:val="00AF7F48"/>
    <w:rsid w:val="00B0062C"/>
    <w:rsid w:val="00B0147F"/>
    <w:rsid w:val="00B042EE"/>
    <w:rsid w:val="00B07115"/>
    <w:rsid w:val="00B1153C"/>
    <w:rsid w:val="00B12043"/>
    <w:rsid w:val="00B14A50"/>
    <w:rsid w:val="00B152B3"/>
    <w:rsid w:val="00B16041"/>
    <w:rsid w:val="00B17831"/>
    <w:rsid w:val="00B20A81"/>
    <w:rsid w:val="00B24E17"/>
    <w:rsid w:val="00B24E28"/>
    <w:rsid w:val="00B2588C"/>
    <w:rsid w:val="00B25A31"/>
    <w:rsid w:val="00B31CDB"/>
    <w:rsid w:val="00B3360F"/>
    <w:rsid w:val="00B34AE2"/>
    <w:rsid w:val="00B34F60"/>
    <w:rsid w:val="00B359E8"/>
    <w:rsid w:val="00B35E62"/>
    <w:rsid w:val="00B36D09"/>
    <w:rsid w:val="00B3737F"/>
    <w:rsid w:val="00B4137D"/>
    <w:rsid w:val="00B426D3"/>
    <w:rsid w:val="00B44928"/>
    <w:rsid w:val="00B46815"/>
    <w:rsid w:val="00B4720B"/>
    <w:rsid w:val="00B473F6"/>
    <w:rsid w:val="00B507CA"/>
    <w:rsid w:val="00B50D02"/>
    <w:rsid w:val="00B523AB"/>
    <w:rsid w:val="00B54FD8"/>
    <w:rsid w:val="00B57E93"/>
    <w:rsid w:val="00B60A97"/>
    <w:rsid w:val="00B67320"/>
    <w:rsid w:val="00B76724"/>
    <w:rsid w:val="00B7762D"/>
    <w:rsid w:val="00B81178"/>
    <w:rsid w:val="00B8341F"/>
    <w:rsid w:val="00B84710"/>
    <w:rsid w:val="00B84B49"/>
    <w:rsid w:val="00B86871"/>
    <w:rsid w:val="00B90999"/>
    <w:rsid w:val="00B91262"/>
    <w:rsid w:val="00B9141D"/>
    <w:rsid w:val="00B97F78"/>
    <w:rsid w:val="00BA1494"/>
    <w:rsid w:val="00BA35ED"/>
    <w:rsid w:val="00BA4479"/>
    <w:rsid w:val="00BA4ADC"/>
    <w:rsid w:val="00BA63F6"/>
    <w:rsid w:val="00BA6683"/>
    <w:rsid w:val="00BA6FCD"/>
    <w:rsid w:val="00BB0638"/>
    <w:rsid w:val="00BB131A"/>
    <w:rsid w:val="00BB2055"/>
    <w:rsid w:val="00BB2683"/>
    <w:rsid w:val="00BB439E"/>
    <w:rsid w:val="00BB70AD"/>
    <w:rsid w:val="00BC1933"/>
    <w:rsid w:val="00BC19F5"/>
    <w:rsid w:val="00BC3AEE"/>
    <w:rsid w:val="00BC3AF8"/>
    <w:rsid w:val="00BC49CA"/>
    <w:rsid w:val="00BC5AF0"/>
    <w:rsid w:val="00BC5C7C"/>
    <w:rsid w:val="00BC6443"/>
    <w:rsid w:val="00BC6FC2"/>
    <w:rsid w:val="00BD0716"/>
    <w:rsid w:val="00BD0F32"/>
    <w:rsid w:val="00BD1C5C"/>
    <w:rsid w:val="00BD519D"/>
    <w:rsid w:val="00BD7557"/>
    <w:rsid w:val="00BE0B50"/>
    <w:rsid w:val="00BE0C71"/>
    <w:rsid w:val="00BE0EA7"/>
    <w:rsid w:val="00BE1026"/>
    <w:rsid w:val="00BE3F96"/>
    <w:rsid w:val="00BE4673"/>
    <w:rsid w:val="00BE5613"/>
    <w:rsid w:val="00BE6118"/>
    <w:rsid w:val="00BE6F3B"/>
    <w:rsid w:val="00BE73F5"/>
    <w:rsid w:val="00BF044F"/>
    <w:rsid w:val="00BF0B65"/>
    <w:rsid w:val="00BF3266"/>
    <w:rsid w:val="00BF6AD4"/>
    <w:rsid w:val="00BF738F"/>
    <w:rsid w:val="00BF7CC7"/>
    <w:rsid w:val="00BF7EBA"/>
    <w:rsid w:val="00C00077"/>
    <w:rsid w:val="00C00376"/>
    <w:rsid w:val="00C02BF4"/>
    <w:rsid w:val="00C02C66"/>
    <w:rsid w:val="00C034C5"/>
    <w:rsid w:val="00C043EE"/>
    <w:rsid w:val="00C04C9A"/>
    <w:rsid w:val="00C07B4A"/>
    <w:rsid w:val="00C10001"/>
    <w:rsid w:val="00C12323"/>
    <w:rsid w:val="00C15318"/>
    <w:rsid w:val="00C15971"/>
    <w:rsid w:val="00C15E02"/>
    <w:rsid w:val="00C16D42"/>
    <w:rsid w:val="00C17811"/>
    <w:rsid w:val="00C2025E"/>
    <w:rsid w:val="00C20DED"/>
    <w:rsid w:val="00C213A2"/>
    <w:rsid w:val="00C22602"/>
    <w:rsid w:val="00C24598"/>
    <w:rsid w:val="00C2480B"/>
    <w:rsid w:val="00C257FE"/>
    <w:rsid w:val="00C26A21"/>
    <w:rsid w:val="00C2719B"/>
    <w:rsid w:val="00C27F2E"/>
    <w:rsid w:val="00C27FDE"/>
    <w:rsid w:val="00C31F85"/>
    <w:rsid w:val="00C32AB4"/>
    <w:rsid w:val="00C33C38"/>
    <w:rsid w:val="00C33E34"/>
    <w:rsid w:val="00C33ECF"/>
    <w:rsid w:val="00C3446F"/>
    <w:rsid w:val="00C35036"/>
    <w:rsid w:val="00C35AD5"/>
    <w:rsid w:val="00C36009"/>
    <w:rsid w:val="00C3622E"/>
    <w:rsid w:val="00C375AB"/>
    <w:rsid w:val="00C3760A"/>
    <w:rsid w:val="00C37CBB"/>
    <w:rsid w:val="00C418AB"/>
    <w:rsid w:val="00C4684C"/>
    <w:rsid w:val="00C50493"/>
    <w:rsid w:val="00C522DB"/>
    <w:rsid w:val="00C53403"/>
    <w:rsid w:val="00C53ADC"/>
    <w:rsid w:val="00C54059"/>
    <w:rsid w:val="00C55725"/>
    <w:rsid w:val="00C577A4"/>
    <w:rsid w:val="00C62E90"/>
    <w:rsid w:val="00C640E3"/>
    <w:rsid w:val="00C6616D"/>
    <w:rsid w:val="00C7089E"/>
    <w:rsid w:val="00C7179F"/>
    <w:rsid w:val="00C7436A"/>
    <w:rsid w:val="00C74D95"/>
    <w:rsid w:val="00C75083"/>
    <w:rsid w:val="00C76135"/>
    <w:rsid w:val="00C76162"/>
    <w:rsid w:val="00C7634A"/>
    <w:rsid w:val="00C82CE0"/>
    <w:rsid w:val="00C83051"/>
    <w:rsid w:val="00C833F7"/>
    <w:rsid w:val="00C83F8C"/>
    <w:rsid w:val="00C8410C"/>
    <w:rsid w:val="00C848CE"/>
    <w:rsid w:val="00C872F5"/>
    <w:rsid w:val="00C9134D"/>
    <w:rsid w:val="00C91868"/>
    <w:rsid w:val="00C92DA2"/>
    <w:rsid w:val="00C94751"/>
    <w:rsid w:val="00C97B16"/>
    <w:rsid w:val="00CA1ACF"/>
    <w:rsid w:val="00CA1B13"/>
    <w:rsid w:val="00CA227A"/>
    <w:rsid w:val="00CA248D"/>
    <w:rsid w:val="00CA3BA5"/>
    <w:rsid w:val="00CA40E2"/>
    <w:rsid w:val="00CA5ADE"/>
    <w:rsid w:val="00CB754F"/>
    <w:rsid w:val="00CB757D"/>
    <w:rsid w:val="00CB7812"/>
    <w:rsid w:val="00CB78D8"/>
    <w:rsid w:val="00CC030E"/>
    <w:rsid w:val="00CC3B70"/>
    <w:rsid w:val="00CC6E90"/>
    <w:rsid w:val="00CC7F09"/>
    <w:rsid w:val="00CD321F"/>
    <w:rsid w:val="00CD3F7C"/>
    <w:rsid w:val="00CE03AF"/>
    <w:rsid w:val="00CE6791"/>
    <w:rsid w:val="00CE716D"/>
    <w:rsid w:val="00CF14BB"/>
    <w:rsid w:val="00CF239F"/>
    <w:rsid w:val="00CF6CA9"/>
    <w:rsid w:val="00D0065F"/>
    <w:rsid w:val="00D01E4A"/>
    <w:rsid w:val="00D02248"/>
    <w:rsid w:val="00D0256B"/>
    <w:rsid w:val="00D02E92"/>
    <w:rsid w:val="00D0584B"/>
    <w:rsid w:val="00D1581E"/>
    <w:rsid w:val="00D1720D"/>
    <w:rsid w:val="00D17ADC"/>
    <w:rsid w:val="00D17FDF"/>
    <w:rsid w:val="00D2224B"/>
    <w:rsid w:val="00D237A7"/>
    <w:rsid w:val="00D30344"/>
    <w:rsid w:val="00D3249C"/>
    <w:rsid w:val="00D34B5E"/>
    <w:rsid w:val="00D41B46"/>
    <w:rsid w:val="00D44498"/>
    <w:rsid w:val="00D4481E"/>
    <w:rsid w:val="00D478A7"/>
    <w:rsid w:val="00D51241"/>
    <w:rsid w:val="00D5284C"/>
    <w:rsid w:val="00D52D80"/>
    <w:rsid w:val="00D537E4"/>
    <w:rsid w:val="00D5390E"/>
    <w:rsid w:val="00D549CA"/>
    <w:rsid w:val="00D567AC"/>
    <w:rsid w:val="00D57D39"/>
    <w:rsid w:val="00D57E74"/>
    <w:rsid w:val="00D64424"/>
    <w:rsid w:val="00D66216"/>
    <w:rsid w:val="00D66CD0"/>
    <w:rsid w:val="00D66FDD"/>
    <w:rsid w:val="00D7001D"/>
    <w:rsid w:val="00D70B39"/>
    <w:rsid w:val="00D71A5F"/>
    <w:rsid w:val="00D743E7"/>
    <w:rsid w:val="00D853EA"/>
    <w:rsid w:val="00D85FD9"/>
    <w:rsid w:val="00D861AA"/>
    <w:rsid w:val="00D86C6B"/>
    <w:rsid w:val="00D86F46"/>
    <w:rsid w:val="00D87F50"/>
    <w:rsid w:val="00D90FCD"/>
    <w:rsid w:val="00D91597"/>
    <w:rsid w:val="00D95B96"/>
    <w:rsid w:val="00DA00DE"/>
    <w:rsid w:val="00DA1AF4"/>
    <w:rsid w:val="00DA2FE4"/>
    <w:rsid w:val="00DA3AF0"/>
    <w:rsid w:val="00DA5FDA"/>
    <w:rsid w:val="00DA67E1"/>
    <w:rsid w:val="00DA706B"/>
    <w:rsid w:val="00DB1773"/>
    <w:rsid w:val="00DB35EA"/>
    <w:rsid w:val="00DB3FD0"/>
    <w:rsid w:val="00DB7AA6"/>
    <w:rsid w:val="00DC2711"/>
    <w:rsid w:val="00DC2809"/>
    <w:rsid w:val="00DC4B9A"/>
    <w:rsid w:val="00DC4CA2"/>
    <w:rsid w:val="00DC4EF5"/>
    <w:rsid w:val="00DC6215"/>
    <w:rsid w:val="00DC796F"/>
    <w:rsid w:val="00DC7BF9"/>
    <w:rsid w:val="00DD005B"/>
    <w:rsid w:val="00DD07FD"/>
    <w:rsid w:val="00DD142E"/>
    <w:rsid w:val="00DD2006"/>
    <w:rsid w:val="00DD2CC0"/>
    <w:rsid w:val="00DD3E44"/>
    <w:rsid w:val="00DD46AD"/>
    <w:rsid w:val="00DD5442"/>
    <w:rsid w:val="00DD55CD"/>
    <w:rsid w:val="00DD565C"/>
    <w:rsid w:val="00DD6FF8"/>
    <w:rsid w:val="00DD7967"/>
    <w:rsid w:val="00DE2828"/>
    <w:rsid w:val="00DE3077"/>
    <w:rsid w:val="00DE445F"/>
    <w:rsid w:val="00DE598C"/>
    <w:rsid w:val="00DE5C99"/>
    <w:rsid w:val="00DF46C8"/>
    <w:rsid w:val="00DF7549"/>
    <w:rsid w:val="00DF77FA"/>
    <w:rsid w:val="00E01966"/>
    <w:rsid w:val="00E036C7"/>
    <w:rsid w:val="00E04B6B"/>
    <w:rsid w:val="00E04F2D"/>
    <w:rsid w:val="00E05C47"/>
    <w:rsid w:val="00E07D36"/>
    <w:rsid w:val="00E10B10"/>
    <w:rsid w:val="00E114AB"/>
    <w:rsid w:val="00E12402"/>
    <w:rsid w:val="00E12478"/>
    <w:rsid w:val="00E12CA4"/>
    <w:rsid w:val="00E1599E"/>
    <w:rsid w:val="00E15C50"/>
    <w:rsid w:val="00E16BDD"/>
    <w:rsid w:val="00E1734A"/>
    <w:rsid w:val="00E234BF"/>
    <w:rsid w:val="00E25EE9"/>
    <w:rsid w:val="00E2605A"/>
    <w:rsid w:val="00E268C3"/>
    <w:rsid w:val="00E27A92"/>
    <w:rsid w:val="00E27EF1"/>
    <w:rsid w:val="00E30A12"/>
    <w:rsid w:val="00E31348"/>
    <w:rsid w:val="00E34E3A"/>
    <w:rsid w:val="00E364B5"/>
    <w:rsid w:val="00E36794"/>
    <w:rsid w:val="00E408DF"/>
    <w:rsid w:val="00E40B70"/>
    <w:rsid w:val="00E40D34"/>
    <w:rsid w:val="00E421E9"/>
    <w:rsid w:val="00E4390A"/>
    <w:rsid w:val="00E44828"/>
    <w:rsid w:val="00E47034"/>
    <w:rsid w:val="00E47E56"/>
    <w:rsid w:val="00E53068"/>
    <w:rsid w:val="00E550D8"/>
    <w:rsid w:val="00E55CDD"/>
    <w:rsid w:val="00E56365"/>
    <w:rsid w:val="00E575B9"/>
    <w:rsid w:val="00E615F6"/>
    <w:rsid w:val="00E6282A"/>
    <w:rsid w:val="00E64C77"/>
    <w:rsid w:val="00E66027"/>
    <w:rsid w:val="00E66CB9"/>
    <w:rsid w:val="00E66DCE"/>
    <w:rsid w:val="00E70288"/>
    <w:rsid w:val="00E72871"/>
    <w:rsid w:val="00E73E21"/>
    <w:rsid w:val="00E75213"/>
    <w:rsid w:val="00E771D3"/>
    <w:rsid w:val="00E77A9E"/>
    <w:rsid w:val="00E80B25"/>
    <w:rsid w:val="00E80EAD"/>
    <w:rsid w:val="00E815B8"/>
    <w:rsid w:val="00E826AE"/>
    <w:rsid w:val="00E82F17"/>
    <w:rsid w:val="00E84268"/>
    <w:rsid w:val="00E91F95"/>
    <w:rsid w:val="00E93DEA"/>
    <w:rsid w:val="00E9553C"/>
    <w:rsid w:val="00E971D7"/>
    <w:rsid w:val="00E977A8"/>
    <w:rsid w:val="00E979F6"/>
    <w:rsid w:val="00EA154F"/>
    <w:rsid w:val="00EA156E"/>
    <w:rsid w:val="00EA1998"/>
    <w:rsid w:val="00EA5430"/>
    <w:rsid w:val="00EA583B"/>
    <w:rsid w:val="00EB21DE"/>
    <w:rsid w:val="00EB4A5E"/>
    <w:rsid w:val="00EB6263"/>
    <w:rsid w:val="00EB6BCD"/>
    <w:rsid w:val="00EB7362"/>
    <w:rsid w:val="00EC0A0C"/>
    <w:rsid w:val="00EC0AB5"/>
    <w:rsid w:val="00EC1005"/>
    <w:rsid w:val="00EC4F04"/>
    <w:rsid w:val="00EC6EE1"/>
    <w:rsid w:val="00EC7E0B"/>
    <w:rsid w:val="00ED0094"/>
    <w:rsid w:val="00ED078E"/>
    <w:rsid w:val="00ED143B"/>
    <w:rsid w:val="00ED20C5"/>
    <w:rsid w:val="00ED22D4"/>
    <w:rsid w:val="00ED2978"/>
    <w:rsid w:val="00ED2DA8"/>
    <w:rsid w:val="00ED743A"/>
    <w:rsid w:val="00EE0995"/>
    <w:rsid w:val="00EE2E6B"/>
    <w:rsid w:val="00EE4363"/>
    <w:rsid w:val="00EE5AFF"/>
    <w:rsid w:val="00EE6B3D"/>
    <w:rsid w:val="00EE7D9B"/>
    <w:rsid w:val="00EF018C"/>
    <w:rsid w:val="00EF075F"/>
    <w:rsid w:val="00EF0ED4"/>
    <w:rsid w:val="00EF1D40"/>
    <w:rsid w:val="00EF20B2"/>
    <w:rsid w:val="00EF3E4E"/>
    <w:rsid w:val="00EF43BC"/>
    <w:rsid w:val="00EF4AE9"/>
    <w:rsid w:val="00EF56CB"/>
    <w:rsid w:val="00EF5E18"/>
    <w:rsid w:val="00EF7818"/>
    <w:rsid w:val="00F001C4"/>
    <w:rsid w:val="00F00F6B"/>
    <w:rsid w:val="00F01D7B"/>
    <w:rsid w:val="00F03157"/>
    <w:rsid w:val="00F031DD"/>
    <w:rsid w:val="00F06B70"/>
    <w:rsid w:val="00F078AF"/>
    <w:rsid w:val="00F118AA"/>
    <w:rsid w:val="00F12F84"/>
    <w:rsid w:val="00F14DED"/>
    <w:rsid w:val="00F15924"/>
    <w:rsid w:val="00F15F63"/>
    <w:rsid w:val="00F16A16"/>
    <w:rsid w:val="00F179F5"/>
    <w:rsid w:val="00F20998"/>
    <w:rsid w:val="00F23B81"/>
    <w:rsid w:val="00F24570"/>
    <w:rsid w:val="00F245E5"/>
    <w:rsid w:val="00F25E90"/>
    <w:rsid w:val="00F26B72"/>
    <w:rsid w:val="00F32A5B"/>
    <w:rsid w:val="00F334F5"/>
    <w:rsid w:val="00F3646E"/>
    <w:rsid w:val="00F3652F"/>
    <w:rsid w:val="00F37B20"/>
    <w:rsid w:val="00F37B55"/>
    <w:rsid w:val="00F37CA3"/>
    <w:rsid w:val="00F37F8D"/>
    <w:rsid w:val="00F404DF"/>
    <w:rsid w:val="00F4089E"/>
    <w:rsid w:val="00F41119"/>
    <w:rsid w:val="00F41C35"/>
    <w:rsid w:val="00F429F7"/>
    <w:rsid w:val="00F437E8"/>
    <w:rsid w:val="00F52F61"/>
    <w:rsid w:val="00F53DCA"/>
    <w:rsid w:val="00F56422"/>
    <w:rsid w:val="00F60E82"/>
    <w:rsid w:val="00F61049"/>
    <w:rsid w:val="00F610E9"/>
    <w:rsid w:val="00F61DD4"/>
    <w:rsid w:val="00F635DD"/>
    <w:rsid w:val="00F64600"/>
    <w:rsid w:val="00F671C1"/>
    <w:rsid w:val="00F67247"/>
    <w:rsid w:val="00F70C29"/>
    <w:rsid w:val="00F71AD2"/>
    <w:rsid w:val="00F7629B"/>
    <w:rsid w:val="00F819AA"/>
    <w:rsid w:val="00F81B4A"/>
    <w:rsid w:val="00F82A94"/>
    <w:rsid w:val="00F838B6"/>
    <w:rsid w:val="00F83FAA"/>
    <w:rsid w:val="00F9309C"/>
    <w:rsid w:val="00F93474"/>
    <w:rsid w:val="00F93B86"/>
    <w:rsid w:val="00F94A20"/>
    <w:rsid w:val="00F95702"/>
    <w:rsid w:val="00F95EDA"/>
    <w:rsid w:val="00FA0417"/>
    <w:rsid w:val="00FA0B22"/>
    <w:rsid w:val="00FA214B"/>
    <w:rsid w:val="00FA38E7"/>
    <w:rsid w:val="00FA4211"/>
    <w:rsid w:val="00FA51AC"/>
    <w:rsid w:val="00FA61AD"/>
    <w:rsid w:val="00FA74D2"/>
    <w:rsid w:val="00FB0959"/>
    <w:rsid w:val="00FB1D1E"/>
    <w:rsid w:val="00FB2CEB"/>
    <w:rsid w:val="00FB5F0F"/>
    <w:rsid w:val="00FB6719"/>
    <w:rsid w:val="00FB6BBE"/>
    <w:rsid w:val="00FC0B7E"/>
    <w:rsid w:val="00FC290B"/>
    <w:rsid w:val="00FC3878"/>
    <w:rsid w:val="00FC40AD"/>
    <w:rsid w:val="00FC46E5"/>
    <w:rsid w:val="00FC5C23"/>
    <w:rsid w:val="00FC63EB"/>
    <w:rsid w:val="00FC79C9"/>
    <w:rsid w:val="00FD15C1"/>
    <w:rsid w:val="00FD16F9"/>
    <w:rsid w:val="00FD2517"/>
    <w:rsid w:val="00FD4EAD"/>
    <w:rsid w:val="00FE00E5"/>
    <w:rsid w:val="00FE096A"/>
    <w:rsid w:val="00FE1D13"/>
    <w:rsid w:val="00FE4F04"/>
    <w:rsid w:val="00FE581E"/>
    <w:rsid w:val="00FE5D43"/>
    <w:rsid w:val="00FE6B54"/>
    <w:rsid w:val="00FE6CFF"/>
    <w:rsid w:val="00FF1FE5"/>
    <w:rsid w:val="00FF4D84"/>
    <w:rsid w:val="00FF5036"/>
    <w:rsid w:val="00FF72DB"/>
    <w:rsid w:val="012BA793"/>
    <w:rsid w:val="01DB0884"/>
    <w:rsid w:val="051539C0"/>
    <w:rsid w:val="0A37515A"/>
    <w:rsid w:val="0B7933F6"/>
    <w:rsid w:val="0BF52A8B"/>
    <w:rsid w:val="0F0E472F"/>
    <w:rsid w:val="0F493D71"/>
    <w:rsid w:val="0FF7640F"/>
    <w:rsid w:val="16086328"/>
    <w:rsid w:val="1A91E1DA"/>
    <w:rsid w:val="2063C1D3"/>
    <w:rsid w:val="28CDD443"/>
    <w:rsid w:val="30F1083C"/>
    <w:rsid w:val="31D37667"/>
    <w:rsid w:val="3416049C"/>
    <w:rsid w:val="37797D32"/>
    <w:rsid w:val="3C151778"/>
    <w:rsid w:val="3E03B54C"/>
    <w:rsid w:val="3E19818F"/>
    <w:rsid w:val="3F0CAE04"/>
    <w:rsid w:val="4556A398"/>
    <w:rsid w:val="46097392"/>
    <w:rsid w:val="47CD1DD1"/>
    <w:rsid w:val="47E17414"/>
    <w:rsid w:val="4A948148"/>
    <w:rsid w:val="4E3B2E59"/>
    <w:rsid w:val="50656851"/>
    <w:rsid w:val="57D29872"/>
    <w:rsid w:val="580C7681"/>
    <w:rsid w:val="5CD30717"/>
    <w:rsid w:val="5CE00650"/>
    <w:rsid w:val="5D435604"/>
    <w:rsid w:val="5F4FE9C3"/>
    <w:rsid w:val="5F521C2F"/>
    <w:rsid w:val="6482F6B8"/>
    <w:rsid w:val="67A58FA3"/>
    <w:rsid w:val="68F2AB31"/>
    <w:rsid w:val="6EBE31F5"/>
    <w:rsid w:val="6FD7C01F"/>
    <w:rsid w:val="70036CFD"/>
    <w:rsid w:val="751BB53A"/>
    <w:rsid w:val="7B4BADDD"/>
    <w:rsid w:val="7C655F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D8971C58-76AE-4975-9D8C-D51DF028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Hyperlink">
    <w:name w:val="Hyperlink"/>
    <w:basedOn w:val="DefaultParagraphFont"/>
    <w:uiPriority w:val="99"/>
    <w:unhideWhenUsed/>
    <w:rsid w:val="001B3759"/>
    <w:rPr>
      <w:color w:val="0563C1" w:themeColor="hyperlink"/>
      <w:u w:val="single"/>
    </w:rPr>
  </w:style>
  <w:style w:type="character" w:styleId="CommentReference">
    <w:name w:val="annotation reference"/>
    <w:basedOn w:val="DefaultParagraphFont"/>
    <w:uiPriority w:val="99"/>
    <w:semiHidden/>
    <w:unhideWhenUsed/>
    <w:rsid w:val="001B3759"/>
    <w:rPr>
      <w:sz w:val="16"/>
      <w:szCs w:val="16"/>
    </w:rPr>
  </w:style>
  <w:style w:type="paragraph" w:styleId="CommentText">
    <w:name w:val="annotation text"/>
    <w:basedOn w:val="Normal"/>
    <w:link w:val="CommentTextChar"/>
    <w:uiPriority w:val="99"/>
    <w:unhideWhenUsed/>
    <w:rsid w:val="001B3759"/>
    <w:pPr>
      <w:spacing w:line="240" w:lineRule="auto"/>
    </w:pPr>
    <w:rPr>
      <w:rFonts w:asciiTheme="minorHAnsi" w:hAnsiTheme="minorHAnsi"/>
      <w:kern w:val="2"/>
      <w:sz w:val="20"/>
      <w:szCs w:val="20"/>
      <w:lang w:val="en-CA"/>
      <w14:ligatures w14:val="standardContextual"/>
    </w:rPr>
  </w:style>
  <w:style w:type="character" w:customStyle="1" w:styleId="CommentTextChar">
    <w:name w:val="Comment Text Char"/>
    <w:basedOn w:val="DefaultParagraphFont"/>
    <w:link w:val="CommentText"/>
    <w:uiPriority w:val="99"/>
    <w:rsid w:val="001B3759"/>
    <w:rPr>
      <w:rFonts w:asciiTheme="minorHAnsi" w:hAnsiTheme="minorHAnsi"/>
      <w:kern w:val="2"/>
      <w:sz w:val="20"/>
      <w:szCs w:val="20"/>
      <w:lang w:val="en-CA"/>
      <w14:ligatures w14:val="standardContextual"/>
    </w:rPr>
  </w:style>
  <w:style w:type="character" w:styleId="FollowedHyperlink">
    <w:name w:val="FollowedHyperlink"/>
    <w:basedOn w:val="DefaultParagraphFont"/>
    <w:uiPriority w:val="99"/>
    <w:semiHidden/>
    <w:unhideWhenUsed/>
    <w:rsid w:val="001B375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61049"/>
    <w:rPr>
      <w:rFonts w:ascii="Arial" w:hAnsi="Arial"/>
      <w:b/>
      <w:bCs/>
      <w:kern w:val="0"/>
      <w:lang w:val="en-GB"/>
      <w14:ligatures w14:val="none"/>
    </w:rPr>
  </w:style>
  <w:style w:type="character" w:customStyle="1" w:styleId="CommentSubjectChar">
    <w:name w:val="Comment Subject Char"/>
    <w:basedOn w:val="CommentTextChar"/>
    <w:link w:val="CommentSubject"/>
    <w:uiPriority w:val="99"/>
    <w:semiHidden/>
    <w:rsid w:val="00F61049"/>
    <w:rPr>
      <w:rFonts w:asciiTheme="minorHAnsi" w:hAnsiTheme="minorHAnsi"/>
      <w:b/>
      <w:bCs/>
      <w:kern w:val="2"/>
      <w:sz w:val="20"/>
      <w:szCs w:val="20"/>
      <w:lang w:val="en-GB"/>
      <w14:ligatures w14:val="standardContextual"/>
    </w:rPr>
  </w:style>
  <w:style w:type="character" w:styleId="UnresolvedMention">
    <w:name w:val="Unresolved Mention"/>
    <w:basedOn w:val="DefaultParagraphFont"/>
    <w:uiPriority w:val="99"/>
    <w:semiHidden/>
    <w:unhideWhenUsed/>
    <w:rsid w:val="00212610"/>
    <w:rPr>
      <w:color w:val="605E5C"/>
      <w:shd w:val="clear" w:color="auto" w:fill="E1DFDD"/>
    </w:rPr>
  </w:style>
  <w:style w:type="character" w:styleId="Mention">
    <w:name w:val="Mention"/>
    <w:basedOn w:val="DefaultParagraphFont"/>
    <w:uiPriority w:val="99"/>
    <w:unhideWhenUsed/>
    <w:rsid w:val="00E977A8"/>
    <w:rPr>
      <w:color w:val="2B579A"/>
      <w:shd w:val="clear" w:color="auto" w:fill="E1DFDD"/>
    </w:rPr>
  </w:style>
  <w:style w:type="character" w:customStyle="1" w:styleId="cf01">
    <w:name w:val="cf01"/>
    <w:basedOn w:val="DefaultParagraphFont"/>
    <w:rsid w:val="004941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236600306">
      <w:bodyDiv w:val="1"/>
      <w:marLeft w:val="0"/>
      <w:marRight w:val="0"/>
      <w:marTop w:val="0"/>
      <w:marBottom w:val="0"/>
      <w:divBdr>
        <w:top w:val="none" w:sz="0" w:space="0" w:color="auto"/>
        <w:left w:val="none" w:sz="0" w:space="0" w:color="auto"/>
        <w:bottom w:val="none" w:sz="0" w:space="0" w:color="auto"/>
        <w:right w:val="none" w:sz="0" w:space="0" w:color="auto"/>
      </w:divBdr>
    </w:div>
    <w:div w:id="445464573">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8237778">
      <w:bodyDiv w:val="1"/>
      <w:marLeft w:val="0"/>
      <w:marRight w:val="0"/>
      <w:marTop w:val="0"/>
      <w:marBottom w:val="0"/>
      <w:divBdr>
        <w:top w:val="none" w:sz="0" w:space="0" w:color="auto"/>
        <w:left w:val="none" w:sz="0" w:space="0" w:color="auto"/>
        <w:bottom w:val="none" w:sz="0" w:space="0" w:color="auto"/>
        <w:right w:val="none" w:sz="0" w:space="0" w:color="auto"/>
      </w:divBdr>
    </w:div>
    <w:div w:id="1160121023">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75230188">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996373931">
      <w:bodyDiv w:val="1"/>
      <w:marLeft w:val="0"/>
      <w:marRight w:val="0"/>
      <w:marTop w:val="0"/>
      <w:marBottom w:val="0"/>
      <w:divBdr>
        <w:top w:val="none" w:sz="0" w:space="0" w:color="auto"/>
        <w:left w:val="none" w:sz="0" w:space="0" w:color="auto"/>
        <w:bottom w:val="none" w:sz="0" w:space="0" w:color="auto"/>
        <w:right w:val="none" w:sz="0" w:space="0" w:color="auto"/>
      </w:divBdr>
      <w:divsChild>
        <w:div w:id="933518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slpublications.onlinelibrary.wiley.com/doi/10.1111/acv.12769?af=R" TargetMode="External"/><Relationship Id="rId21" Type="http://schemas.openxmlformats.org/officeDocument/2006/relationships/hyperlink" Target="http://vsf-international.org/wp-content/uploads/2016/09/REPORT-pastoralism-2017-pag1-1401.pdf" TargetMode="External"/><Relationship Id="rId42" Type="http://schemas.openxmlformats.org/officeDocument/2006/relationships/hyperlink" Target="https://journals.sagepub.com/doi/epub/10.1177/194008291500800215" TargetMode="External"/><Relationship Id="rId47" Type="http://schemas.openxmlformats.org/officeDocument/2006/relationships/hyperlink" Target="https://www.cms.int/sites/default/files/publication/aci_pow_complete_EN_0.pdf" TargetMode="External"/><Relationship Id="rId63" Type="http://schemas.openxmlformats.org/officeDocument/2006/relationships/header" Target="header5.xml"/><Relationship Id="rId68" Type="http://schemas.openxmlformats.org/officeDocument/2006/relationships/header" Target="header8.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frontiersin.org/articles/10.3389/fcosc.2022.902887/full" TargetMode="External"/><Relationship Id="rId11" Type="http://schemas.openxmlformats.org/officeDocument/2006/relationships/image" Target="media/image1.wmf"/><Relationship Id="rId24" Type="http://schemas.openxmlformats.org/officeDocument/2006/relationships/hyperlink" Target="https://www.science.org/doi/10.1126/science.abq4062" TargetMode="External"/><Relationship Id="rId32" Type="http://schemas.openxmlformats.org/officeDocument/2006/relationships/hyperlink" Target="https://www.sciencedirect.com/science/article/pii/S0169534721001476" TargetMode="External"/><Relationship Id="rId37" Type="http://schemas.openxmlformats.org/officeDocument/2006/relationships/hyperlink" Target="https://www.researchgate.net/publication/348296723_A_conservation_strategy_for_khulan_in_Mongolia_background_and_key_considerations" TargetMode="External"/><Relationship Id="rId40" Type="http://schemas.openxmlformats.org/officeDocument/2006/relationships/hyperlink" Target="https://link.springer.com/content/pdf/10.1038/s41598-020-72154-9.pdf" TargetMode="External"/><Relationship Id="rId45" Type="http://schemas.openxmlformats.org/officeDocument/2006/relationships/hyperlink" Target="https://www.ncbi.nlm.nih.gov/pmc/articles/PMC6590757/" TargetMode="External"/><Relationship Id="rId53" Type="http://schemas.openxmlformats.org/officeDocument/2006/relationships/hyperlink" Target="https://www.cms.int/en/legalinstrument/central-asian-flyway" TargetMode="External"/><Relationship Id="rId58" Type="http://schemas.openxmlformats.org/officeDocument/2006/relationships/hyperlink" Target="https://www.cms.int/sites/default/files/document/cms_cop13_res.11.24_rev.cop13_e.pdf" TargetMode="External"/><Relationship Id="rId66" Type="http://schemas.openxmlformats.org/officeDocument/2006/relationships/footer" Target="footer5.xml"/><Relationship Id="rId5" Type="http://schemas.openxmlformats.org/officeDocument/2006/relationships/numbering" Target="numbering.xml"/><Relationship Id="rId61" Type="http://schemas.openxmlformats.org/officeDocument/2006/relationships/hyperlink" Target="https://www.cms.int/siberian-crane/en/documents/agreement-text" TargetMode="External"/><Relationship Id="rId19" Type="http://schemas.openxmlformats.org/officeDocument/2006/relationships/hyperlink" Target="https://www.ncbi.nlm.nih.gov/pmc/articles/PMC8697883/" TargetMode="External"/><Relationship Id="rId14" Type="http://schemas.openxmlformats.org/officeDocument/2006/relationships/footer" Target="footer1.xml"/><Relationship Id="rId22" Type="http://schemas.openxmlformats.org/officeDocument/2006/relationships/hyperlink" Target="https://iopscience.iop.org/article/10.1088/1748-9326/ab7395" TargetMode="External"/><Relationship Id="rId27" Type="http://schemas.openxmlformats.org/officeDocument/2006/relationships/hyperlink" Target="https://zslpublications.onlinelibrary.wiley.com/doi/10.1111/acv.12769?af=R" TargetMode="External"/><Relationship Id="rId30" Type="http://schemas.openxmlformats.org/officeDocument/2006/relationships/hyperlink" Target="https://www.sciencedirect.com/science/article/abs/pii/S1439179119302919" TargetMode="External"/><Relationship Id="rId35" Type="http://schemas.openxmlformats.org/officeDocument/2006/relationships/hyperlink" Target="https://www.jstor.org/stable/24817659" TargetMode="External"/><Relationship Id="rId43" Type="http://schemas.openxmlformats.org/officeDocument/2006/relationships/hyperlink" Target="https://journals.sagepub.com/doi/epub/10.1177/194008291500800215" TargetMode="External"/><Relationship Id="rId48" Type="http://schemas.openxmlformats.org/officeDocument/2006/relationships/hyperlink" Target="https://www.cms.int/sites/default/files/publication/wild_ass_publication_complete.pdf" TargetMode="External"/><Relationship Id="rId56" Type="http://schemas.openxmlformats.org/officeDocument/2006/relationships/hyperlink" Target="https://www.cms.int/sites/default/files/publication/aci_pow_complete_EN_0.pdf" TargetMode="External"/><Relationship Id="rId64" Type="http://schemas.openxmlformats.org/officeDocument/2006/relationships/footer" Target="footer4.xml"/><Relationship Id="rId69" Type="http://schemas.openxmlformats.org/officeDocument/2006/relationships/header" Target="header9.xml"/><Relationship Id="rId8" Type="http://schemas.openxmlformats.org/officeDocument/2006/relationships/webSettings" Target="webSettings.xml"/><Relationship Id="rId51" Type="http://schemas.openxmlformats.org/officeDocument/2006/relationships/hyperlink" Target="https://www.cms.int/en/legalinstrument/southern-south-american-grassland-bird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arksjournal.com/wp-content/uploads/2019/05/PARKS-25.1-Yilmaz-et-al-10.2305-IUCN.CH_.PARKS25-1EY.en_.pdf" TargetMode="External"/><Relationship Id="rId33" Type="http://schemas.openxmlformats.org/officeDocument/2006/relationships/hyperlink" Target="https://www.sciencedirect.com/science/article/pii/S0169534721001476" TargetMode="External"/><Relationship Id="rId38" Type="http://schemas.openxmlformats.org/officeDocument/2006/relationships/hyperlink" Target="https://www.cms.int/bukhara-deer/en/document/overview-report-9" TargetMode="External"/><Relationship Id="rId46" Type="http://schemas.openxmlformats.org/officeDocument/2006/relationships/hyperlink" Target="https://www.cms.int/en/document/sahelo-saharan-megafauna-action-plan-1" TargetMode="External"/><Relationship Id="rId59" Type="http://schemas.openxmlformats.org/officeDocument/2006/relationships/hyperlink" Target="https://www.cms.int/saiga/sites/default/files/document/unep-cms_saiga_mos4_outcome1_mtiwp-2021-2025_e_0.pdf" TargetMode="External"/><Relationship Id="rId67" Type="http://schemas.openxmlformats.org/officeDocument/2006/relationships/header" Target="header7.xml"/><Relationship Id="rId20" Type="http://schemas.openxmlformats.org/officeDocument/2006/relationships/hyperlink" Target="https://www.fao.org/3/cb5332en/Meat.pdf" TargetMode="External"/><Relationship Id="rId41" Type="http://schemas.openxmlformats.org/officeDocument/2006/relationships/hyperlink" Target="https://www.cambridge.org/core/journals/bird-conservation-international/article/abs/pursuit-of-sustainable-development-may-contribute-to-the-vulture-crisis-in-east-africa/EFB3135BF83D940BBB2E6E311E50887E" TargetMode="External"/><Relationship Id="rId54" Type="http://schemas.openxmlformats.org/officeDocument/2006/relationships/hyperlink" Target="https://www.cms.int/en/document/african-eurasian-migratory-landbirds-action-plan-aemlap-improving-conservation-status" TargetMode="External"/><Relationship Id="rId62" Type="http://schemas.openxmlformats.org/officeDocument/2006/relationships/header" Target="header4.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bioone.org/journals/rangeland-ecology-and-management/volume-74/issue-1/j.rama.2020.10.006/Prospects-for-Stakeholder-CooperatioLouhaichi,%202020n-in-Effective-Implementation-of-Enhanced-Rangeland/10.1016/j.rama.2020.10.006.full?tab=ArticleLink" TargetMode="External"/><Relationship Id="rId28" Type="http://schemas.openxmlformats.org/officeDocument/2006/relationships/hyperlink" Target="https://www.sciencedirect.com/science/article/pii/S0167880921001481" TargetMode="External"/><Relationship Id="rId36" Type="http://schemas.openxmlformats.org/officeDocument/2006/relationships/hyperlink" Target="https://www.cms.int/huemul/en/publication/sahelo-saharan-antelopes-%E2%80%93-status-and-perspectives-ts-no-11" TargetMode="External"/><Relationship Id="rId49" Type="http://schemas.openxmlformats.org/officeDocument/2006/relationships/hyperlink" Target="https://www.cms.int/sites/default/files/document/cms_cop13_res.11.24_rev.cop13_e.pdf" TargetMode="External"/><Relationship Id="rId57" Type="http://schemas.openxmlformats.org/officeDocument/2006/relationships/hyperlink" Target="https://www.cms.int/sites/default/files/publication/wild_ass_publication_complete.pdf" TargetMode="External"/><Relationship Id="rId10" Type="http://schemas.openxmlformats.org/officeDocument/2006/relationships/endnotes" Target="endnotes.xml"/><Relationship Id="rId31" Type="http://schemas.openxmlformats.org/officeDocument/2006/relationships/hyperlink" Target="https://link.springer.com/article/10.1007/s13280-021-01668-x" TargetMode="External"/><Relationship Id="rId44" Type="http://schemas.openxmlformats.org/officeDocument/2006/relationships/hyperlink" Target="http://zsp.com.pk/pdf48/1353-1365%20(19)%20QPJZ-0360-2015-F%2031-5-16.pdf" TargetMode="External"/><Relationship Id="rId52" Type="http://schemas.openxmlformats.org/officeDocument/2006/relationships/hyperlink" Target="https://www.cms.int/siberian-crane/en/documents/agreement-text" TargetMode="External"/><Relationship Id="rId60" Type="http://schemas.openxmlformats.org/officeDocument/2006/relationships/hyperlink" Target="https://www.cms.int/en/legalinstrument/southern-south-american-grassland-birds" TargetMode="External"/><Relationship Id="rId65"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tandfonline.com/doi/epdf/10.4081/ijas.2014.3114?needAccess=true&amp;role=button" TargetMode="External"/><Relationship Id="rId39" Type="http://schemas.openxmlformats.org/officeDocument/2006/relationships/hyperlink" Target="https://www.aimspress.com/article/doi/10.3934/agrfood.2022005" TargetMode="External"/><Relationship Id="rId34" Type="http://schemas.openxmlformats.org/officeDocument/2006/relationships/hyperlink" Target="https://www.jstor.org/stable/24817659" TargetMode="External"/><Relationship Id="rId50" Type="http://schemas.openxmlformats.org/officeDocument/2006/relationships/hyperlink" Target="https://www.cms.int/saiga/sites/default/files/document/unep-cms_saiga_mos4_outcome1_mtiwp-2021-2025_e_0.pdf" TargetMode="External"/><Relationship Id="rId55" Type="http://schemas.openxmlformats.org/officeDocument/2006/relationships/hyperlink" Target="https://www.cms.int/en/document/sahelo-saharan-megafauna-action-plan-1"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Tilman Carlo Schneider</DisplayName>
        <AccountId>19</AccountId>
        <AccountType/>
      </UserInfo>
      <UserInfo>
        <DisplayName>Aydin Bahramlouian</DisplayName>
        <AccountId>29</AccountId>
        <AccountType/>
      </UserInfo>
    </SharedWithUsers>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MediaLengthInSeconds xmlns="a7b50396-0b06-45c1-b28e-46f86d566a10" xsi:nil="true"/>
    <Notes xmlns="a7b50396-0b06-45c1-b28e-46f86d566a10" xsi:nil="true"/>
    <Sent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BDAE6-9E42-4709-8216-D91236C25C9A}">
  <ds:schemaRefs>
    <ds:schemaRef ds:uri="http://schemas.openxmlformats.org/package/2006/metadata/core-properties"/>
    <ds:schemaRef ds:uri="http://schemas.microsoft.com/office/2006/metadata/properties"/>
    <ds:schemaRef ds:uri="http://www.w3.org/XML/1998/namespace"/>
    <ds:schemaRef ds:uri="http://purl.org/dc/dcmitype/"/>
    <ds:schemaRef ds:uri="c15478a5-0be8-4f5d-8383-b307d5ba8bf6"/>
    <ds:schemaRef ds:uri="985ec44e-1bab-4c0b-9df0-6ba128686fc9"/>
    <ds:schemaRef ds:uri="http://purl.org/dc/elements/1.1/"/>
    <ds:schemaRef ds:uri="http://schemas.microsoft.com/office/2006/documentManagement/types"/>
    <ds:schemaRef ds:uri="http://schemas.microsoft.com/office/infopath/2007/PartnerControls"/>
    <ds:schemaRef ds:uri="a7b50396-0b06-45c1-b28e-46f86d566a10"/>
    <ds:schemaRef ds:uri="http://purl.org/dc/terms/"/>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C82181FB-B62F-46A6-88E7-BC6A93FBA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4118</Words>
  <Characters>23475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27538</CharactersWithSpaces>
  <SharedDoc>false</SharedDoc>
  <HLinks>
    <vt:vector size="270" baseType="variant">
      <vt:variant>
        <vt:i4>7667747</vt:i4>
      </vt:variant>
      <vt:variant>
        <vt:i4>135</vt:i4>
      </vt:variant>
      <vt:variant>
        <vt:i4>0</vt:i4>
      </vt:variant>
      <vt:variant>
        <vt:i4>5</vt:i4>
      </vt:variant>
      <vt:variant>
        <vt:lpwstr>https://www.cms.int/siberian-crane/en/documents/agreement-text</vt:lpwstr>
      </vt:variant>
      <vt:variant>
        <vt:lpwstr/>
      </vt:variant>
      <vt:variant>
        <vt:i4>3866683</vt:i4>
      </vt:variant>
      <vt:variant>
        <vt:i4>132</vt:i4>
      </vt:variant>
      <vt:variant>
        <vt:i4>0</vt:i4>
      </vt:variant>
      <vt:variant>
        <vt:i4>5</vt:i4>
      </vt:variant>
      <vt:variant>
        <vt:lpwstr>https://www.cms.int/en/legalinstrument/southern-south-american-grassland-birds</vt:lpwstr>
      </vt:variant>
      <vt:variant>
        <vt:lpwstr/>
      </vt:variant>
      <vt:variant>
        <vt:i4>589844</vt:i4>
      </vt:variant>
      <vt:variant>
        <vt:i4>129</vt:i4>
      </vt:variant>
      <vt:variant>
        <vt:i4>0</vt:i4>
      </vt:variant>
      <vt:variant>
        <vt:i4>5</vt:i4>
      </vt:variant>
      <vt:variant>
        <vt:lpwstr>https://www.cms.int/saiga/sites/default/files/document/unep-cms_saiga_mos4_outcome1_mtiwp-2021-2025_e_0.pdf</vt:lpwstr>
      </vt:variant>
      <vt:variant>
        <vt:lpwstr/>
      </vt:variant>
      <vt:variant>
        <vt:i4>4915276</vt:i4>
      </vt:variant>
      <vt:variant>
        <vt:i4>126</vt:i4>
      </vt:variant>
      <vt:variant>
        <vt:i4>0</vt:i4>
      </vt:variant>
      <vt:variant>
        <vt:i4>5</vt:i4>
      </vt:variant>
      <vt:variant>
        <vt:lpwstr>https://www.cms.int/sites/default/files/document/cms_cop13_res.11.24_rev.cop13_e.pdf</vt:lpwstr>
      </vt:variant>
      <vt:variant>
        <vt:lpwstr/>
      </vt:variant>
      <vt:variant>
        <vt:i4>1900647</vt:i4>
      </vt:variant>
      <vt:variant>
        <vt:i4>123</vt:i4>
      </vt:variant>
      <vt:variant>
        <vt:i4>0</vt:i4>
      </vt:variant>
      <vt:variant>
        <vt:i4>5</vt:i4>
      </vt:variant>
      <vt:variant>
        <vt:lpwstr>https://www.cms.int/sites/default/files/publication/wild_ass_publication_complete.pdf</vt:lpwstr>
      </vt:variant>
      <vt:variant>
        <vt:lpwstr/>
      </vt:variant>
      <vt:variant>
        <vt:i4>2097206</vt:i4>
      </vt:variant>
      <vt:variant>
        <vt:i4>120</vt:i4>
      </vt:variant>
      <vt:variant>
        <vt:i4>0</vt:i4>
      </vt:variant>
      <vt:variant>
        <vt:i4>5</vt:i4>
      </vt:variant>
      <vt:variant>
        <vt:lpwstr>https://www.cms.int/sites/default/files/publication/aci_pow_complete_EN_0.pdf</vt:lpwstr>
      </vt:variant>
      <vt:variant>
        <vt:lpwstr/>
      </vt:variant>
      <vt:variant>
        <vt:i4>8323172</vt:i4>
      </vt:variant>
      <vt:variant>
        <vt:i4>117</vt:i4>
      </vt:variant>
      <vt:variant>
        <vt:i4>0</vt:i4>
      </vt:variant>
      <vt:variant>
        <vt:i4>5</vt:i4>
      </vt:variant>
      <vt:variant>
        <vt:lpwstr>https://www.cms.int/en/document/sahelo-saharan-megafauna-action-plan-1</vt:lpwstr>
      </vt:variant>
      <vt:variant>
        <vt:lpwstr/>
      </vt:variant>
      <vt:variant>
        <vt:i4>1245278</vt:i4>
      </vt:variant>
      <vt:variant>
        <vt:i4>114</vt:i4>
      </vt:variant>
      <vt:variant>
        <vt:i4>0</vt:i4>
      </vt:variant>
      <vt:variant>
        <vt:i4>5</vt:i4>
      </vt:variant>
      <vt:variant>
        <vt:lpwstr>https://www.cms.int/en/document/african-eurasian-migratory-landbirds-action-plan-aemlap-improving-conservation-status</vt:lpwstr>
      </vt:variant>
      <vt:variant>
        <vt:lpwstr/>
      </vt:variant>
      <vt:variant>
        <vt:i4>3539006</vt:i4>
      </vt:variant>
      <vt:variant>
        <vt:i4>111</vt:i4>
      </vt:variant>
      <vt:variant>
        <vt:i4>0</vt:i4>
      </vt:variant>
      <vt:variant>
        <vt:i4>5</vt:i4>
      </vt:variant>
      <vt:variant>
        <vt:lpwstr>https://www.cms.int/en/legalinstrument/central-asian-flyway</vt:lpwstr>
      </vt:variant>
      <vt:variant>
        <vt:lpwstr/>
      </vt:variant>
      <vt:variant>
        <vt:i4>7667747</vt:i4>
      </vt:variant>
      <vt:variant>
        <vt:i4>108</vt:i4>
      </vt:variant>
      <vt:variant>
        <vt:i4>0</vt:i4>
      </vt:variant>
      <vt:variant>
        <vt:i4>5</vt:i4>
      </vt:variant>
      <vt:variant>
        <vt:lpwstr>https://www.cms.int/siberian-crane/en/documents/agreement-text</vt:lpwstr>
      </vt:variant>
      <vt:variant>
        <vt:lpwstr/>
      </vt:variant>
      <vt:variant>
        <vt:i4>3866683</vt:i4>
      </vt:variant>
      <vt:variant>
        <vt:i4>105</vt:i4>
      </vt:variant>
      <vt:variant>
        <vt:i4>0</vt:i4>
      </vt:variant>
      <vt:variant>
        <vt:i4>5</vt:i4>
      </vt:variant>
      <vt:variant>
        <vt:lpwstr>https://www.cms.int/en/legalinstrument/southern-south-american-grassland-birds</vt:lpwstr>
      </vt:variant>
      <vt:variant>
        <vt:lpwstr/>
      </vt:variant>
      <vt:variant>
        <vt:i4>589844</vt:i4>
      </vt:variant>
      <vt:variant>
        <vt:i4>102</vt:i4>
      </vt:variant>
      <vt:variant>
        <vt:i4>0</vt:i4>
      </vt:variant>
      <vt:variant>
        <vt:i4>5</vt:i4>
      </vt:variant>
      <vt:variant>
        <vt:lpwstr>https://www.cms.int/saiga/sites/default/files/document/unep-cms_saiga_mos4_outcome1_mtiwp-2021-2025_e_0.pdf</vt:lpwstr>
      </vt:variant>
      <vt:variant>
        <vt:lpwstr/>
      </vt:variant>
      <vt:variant>
        <vt:i4>4915276</vt:i4>
      </vt:variant>
      <vt:variant>
        <vt:i4>99</vt:i4>
      </vt:variant>
      <vt:variant>
        <vt:i4>0</vt:i4>
      </vt:variant>
      <vt:variant>
        <vt:i4>5</vt:i4>
      </vt:variant>
      <vt:variant>
        <vt:lpwstr>https://www.cms.int/sites/default/files/document/cms_cop13_res.11.24_rev.cop13_e.pdf</vt:lpwstr>
      </vt:variant>
      <vt:variant>
        <vt:lpwstr/>
      </vt:variant>
      <vt:variant>
        <vt:i4>1900647</vt:i4>
      </vt:variant>
      <vt:variant>
        <vt:i4>96</vt:i4>
      </vt:variant>
      <vt:variant>
        <vt:i4>0</vt:i4>
      </vt:variant>
      <vt:variant>
        <vt:i4>5</vt:i4>
      </vt:variant>
      <vt:variant>
        <vt:lpwstr>https://www.cms.int/sites/default/files/publication/wild_ass_publication_complete.pdf</vt:lpwstr>
      </vt:variant>
      <vt:variant>
        <vt:lpwstr/>
      </vt:variant>
      <vt:variant>
        <vt:i4>2097206</vt:i4>
      </vt:variant>
      <vt:variant>
        <vt:i4>93</vt:i4>
      </vt:variant>
      <vt:variant>
        <vt:i4>0</vt:i4>
      </vt:variant>
      <vt:variant>
        <vt:i4>5</vt:i4>
      </vt:variant>
      <vt:variant>
        <vt:lpwstr>https://www.cms.int/sites/default/files/publication/aci_pow_complete_EN_0.pdf</vt:lpwstr>
      </vt:variant>
      <vt:variant>
        <vt:lpwstr/>
      </vt:variant>
      <vt:variant>
        <vt:i4>8323172</vt:i4>
      </vt:variant>
      <vt:variant>
        <vt:i4>90</vt:i4>
      </vt:variant>
      <vt:variant>
        <vt:i4>0</vt:i4>
      </vt:variant>
      <vt:variant>
        <vt:i4>5</vt:i4>
      </vt:variant>
      <vt:variant>
        <vt:lpwstr>https://www.cms.int/en/document/sahelo-saharan-megafauna-action-plan-1</vt:lpwstr>
      </vt:variant>
      <vt:variant>
        <vt:lpwstr/>
      </vt:variant>
      <vt:variant>
        <vt:i4>1769538</vt:i4>
      </vt:variant>
      <vt:variant>
        <vt:i4>87</vt:i4>
      </vt:variant>
      <vt:variant>
        <vt:i4>0</vt:i4>
      </vt:variant>
      <vt:variant>
        <vt:i4>5</vt:i4>
      </vt:variant>
      <vt:variant>
        <vt:lpwstr>https://www.ncbi.nlm.nih.gov/pmc/articles/PMC6590757/</vt:lpwstr>
      </vt:variant>
      <vt:variant>
        <vt:lpwstr/>
      </vt:variant>
      <vt:variant>
        <vt:i4>7602297</vt:i4>
      </vt:variant>
      <vt:variant>
        <vt:i4>84</vt:i4>
      </vt:variant>
      <vt:variant>
        <vt:i4>0</vt:i4>
      </vt:variant>
      <vt:variant>
        <vt:i4>5</vt:i4>
      </vt:variant>
      <vt:variant>
        <vt:lpwstr>http://zsp.com.pk/pdf48/1353-1365 (19) QPJZ-0360-2015-F 31-5-16.pdf</vt:lpwstr>
      </vt:variant>
      <vt:variant>
        <vt:lpwstr/>
      </vt:variant>
      <vt:variant>
        <vt:i4>458776</vt:i4>
      </vt:variant>
      <vt:variant>
        <vt:i4>81</vt:i4>
      </vt:variant>
      <vt:variant>
        <vt:i4>0</vt:i4>
      </vt:variant>
      <vt:variant>
        <vt:i4>5</vt:i4>
      </vt:variant>
      <vt:variant>
        <vt:lpwstr>https://journals.sagepub.com/doi/epub/10.1177/194008291500800215</vt:lpwstr>
      </vt:variant>
      <vt:variant>
        <vt:lpwstr/>
      </vt:variant>
      <vt:variant>
        <vt:i4>458776</vt:i4>
      </vt:variant>
      <vt:variant>
        <vt:i4>78</vt:i4>
      </vt:variant>
      <vt:variant>
        <vt:i4>0</vt:i4>
      </vt:variant>
      <vt:variant>
        <vt:i4>5</vt:i4>
      </vt:variant>
      <vt:variant>
        <vt:lpwstr>https://journals.sagepub.com/doi/epub/10.1177/194008291500800215</vt:lpwstr>
      </vt:variant>
      <vt:variant>
        <vt:lpwstr/>
      </vt:variant>
      <vt:variant>
        <vt:i4>7143485</vt:i4>
      </vt:variant>
      <vt:variant>
        <vt:i4>75</vt:i4>
      </vt:variant>
      <vt:variant>
        <vt:i4>0</vt:i4>
      </vt:variant>
      <vt:variant>
        <vt:i4>5</vt:i4>
      </vt:variant>
      <vt:variant>
        <vt:lpwstr>https://www.cambridge.org/core/journals/bird-conservation-international/article/abs/pursuit-of-sustainable-development-may-contribute-to-the-vulture-crisis-in-east-africa/EFB3135BF83D940BBB2E6E311E50887E</vt:lpwstr>
      </vt:variant>
      <vt:variant>
        <vt:lpwstr/>
      </vt:variant>
      <vt:variant>
        <vt:i4>6226010</vt:i4>
      </vt:variant>
      <vt:variant>
        <vt:i4>72</vt:i4>
      </vt:variant>
      <vt:variant>
        <vt:i4>0</vt:i4>
      </vt:variant>
      <vt:variant>
        <vt:i4>5</vt:i4>
      </vt:variant>
      <vt:variant>
        <vt:lpwstr>https://link.springer.com/content/pdf/10.1038/s41598-020-72154-9.pdf</vt:lpwstr>
      </vt:variant>
      <vt:variant>
        <vt:lpwstr/>
      </vt:variant>
      <vt:variant>
        <vt:i4>4718592</vt:i4>
      </vt:variant>
      <vt:variant>
        <vt:i4>69</vt:i4>
      </vt:variant>
      <vt:variant>
        <vt:i4>0</vt:i4>
      </vt:variant>
      <vt:variant>
        <vt:i4>5</vt:i4>
      </vt:variant>
      <vt:variant>
        <vt:lpwstr>https://www.aimspress.com/article/doi/10.3934/agrfood.2022005</vt:lpwstr>
      </vt:variant>
      <vt:variant>
        <vt:lpwstr/>
      </vt:variant>
      <vt:variant>
        <vt:i4>2949224</vt:i4>
      </vt:variant>
      <vt:variant>
        <vt:i4>66</vt:i4>
      </vt:variant>
      <vt:variant>
        <vt:i4>0</vt:i4>
      </vt:variant>
      <vt:variant>
        <vt:i4>5</vt:i4>
      </vt:variant>
      <vt:variant>
        <vt:lpwstr>https://www.cms.int/bukhara-deer/en/document/overview-report-9</vt:lpwstr>
      </vt:variant>
      <vt:variant>
        <vt:lpwstr/>
      </vt:variant>
      <vt:variant>
        <vt:i4>4980854</vt:i4>
      </vt:variant>
      <vt:variant>
        <vt:i4>63</vt:i4>
      </vt:variant>
      <vt:variant>
        <vt:i4>0</vt:i4>
      </vt:variant>
      <vt:variant>
        <vt:i4>5</vt:i4>
      </vt:variant>
      <vt:variant>
        <vt:lpwstr>https://www.researchgate.net/publication/348296723_A_conservation_strategy_for_khulan_in_Mongolia_background_and_key_considerations</vt:lpwstr>
      </vt:variant>
      <vt:variant>
        <vt:lpwstr/>
      </vt:variant>
      <vt:variant>
        <vt:i4>1638465</vt:i4>
      </vt:variant>
      <vt:variant>
        <vt:i4>60</vt:i4>
      </vt:variant>
      <vt:variant>
        <vt:i4>0</vt:i4>
      </vt:variant>
      <vt:variant>
        <vt:i4>5</vt:i4>
      </vt:variant>
      <vt:variant>
        <vt:lpwstr>https://www.cms.int/huemul/en/publication/sahelo-saharan-antelopes-%E2%80%93-status-and-perspectives-ts-no-11</vt:lpwstr>
      </vt:variant>
      <vt:variant>
        <vt:lpwstr/>
      </vt:variant>
      <vt:variant>
        <vt:i4>6029382</vt:i4>
      </vt:variant>
      <vt:variant>
        <vt:i4>57</vt:i4>
      </vt:variant>
      <vt:variant>
        <vt:i4>0</vt:i4>
      </vt:variant>
      <vt:variant>
        <vt:i4>5</vt:i4>
      </vt:variant>
      <vt:variant>
        <vt:lpwstr>https://www.jstor.org/stable/24817659</vt:lpwstr>
      </vt:variant>
      <vt:variant>
        <vt:lpwstr/>
      </vt:variant>
      <vt:variant>
        <vt:i4>6029382</vt:i4>
      </vt:variant>
      <vt:variant>
        <vt:i4>54</vt:i4>
      </vt:variant>
      <vt:variant>
        <vt:i4>0</vt:i4>
      </vt:variant>
      <vt:variant>
        <vt:i4>5</vt:i4>
      </vt:variant>
      <vt:variant>
        <vt:lpwstr>https://www.jstor.org/stable/24817659</vt:lpwstr>
      </vt:variant>
      <vt:variant>
        <vt:lpwstr/>
      </vt:variant>
      <vt:variant>
        <vt:i4>131092</vt:i4>
      </vt:variant>
      <vt:variant>
        <vt:i4>51</vt:i4>
      </vt:variant>
      <vt:variant>
        <vt:i4>0</vt:i4>
      </vt:variant>
      <vt:variant>
        <vt:i4>5</vt:i4>
      </vt:variant>
      <vt:variant>
        <vt:lpwstr>https://www.sciencedirect.com/science/article/pii/S0169534721001476</vt:lpwstr>
      </vt:variant>
      <vt:variant>
        <vt:lpwstr>bb0100</vt:lpwstr>
      </vt:variant>
      <vt:variant>
        <vt:i4>131092</vt:i4>
      </vt:variant>
      <vt:variant>
        <vt:i4>48</vt:i4>
      </vt:variant>
      <vt:variant>
        <vt:i4>0</vt:i4>
      </vt:variant>
      <vt:variant>
        <vt:i4>5</vt:i4>
      </vt:variant>
      <vt:variant>
        <vt:lpwstr>https://www.sciencedirect.com/science/article/pii/S0169534721001476</vt:lpwstr>
      </vt:variant>
      <vt:variant>
        <vt:lpwstr>bb0100</vt:lpwstr>
      </vt:variant>
      <vt:variant>
        <vt:i4>4521989</vt:i4>
      </vt:variant>
      <vt:variant>
        <vt:i4>45</vt:i4>
      </vt:variant>
      <vt:variant>
        <vt:i4>0</vt:i4>
      </vt:variant>
      <vt:variant>
        <vt:i4>5</vt:i4>
      </vt:variant>
      <vt:variant>
        <vt:lpwstr>https://link.springer.com/article/10.1007/s13280-021-01668-x</vt:lpwstr>
      </vt:variant>
      <vt:variant>
        <vt:lpwstr/>
      </vt:variant>
      <vt:variant>
        <vt:i4>2359398</vt:i4>
      </vt:variant>
      <vt:variant>
        <vt:i4>42</vt:i4>
      </vt:variant>
      <vt:variant>
        <vt:i4>0</vt:i4>
      </vt:variant>
      <vt:variant>
        <vt:i4>5</vt:i4>
      </vt:variant>
      <vt:variant>
        <vt:lpwstr>https://www.sciencedirect.com/science/article/abs/pii/S1439179119302919</vt:lpwstr>
      </vt:variant>
      <vt:variant>
        <vt:lpwstr/>
      </vt:variant>
      <vt:variant>
        <vt:i4>3473456</vt:i4>
      </vt:variant>
      <vt:variant>
        <vt:i4>39</vt:i4>
      </vt:variant>
      <vt:variant>
        <vt:i4>0</vt:i4>
      </vt:variant>
      <vt:variant>
        <vt:i4>5</vt:i4>
      </vt:variant>
      <vt:variant>
        <vt:lpwstr>https://www.frontiersin.org/articles/10.3389/fcosc.2022.902887/full</vt:lpwstr>
      </vt:variant>
      <vt:variant>
        <vt:lpwstr/>
      </vt:variant>
      <vt:variant>
        <vt:i4>6750333</vt:i4>
      </vt:variant>
      <vt:variant>
        <vt:i4>36</vt:i4>
      </vt:variant>
      <vt:variant>
        <vt:i4>0</vt:i4>
      </vt:variant>
      <vt:variant>
        <vt:i4>5</vt:i4>
      </vt:variant>
      <vt:variant>
        <vt:lpwstr>https://www.sciencedirect.com/science/article/pii/S0167880921001481</vt:lpwstr>
      </vt:variant>
      <vt:variant>
        <vt:lpwstr/>
      </vt:variant>
      <vt:variant>
        <vt:i4>2818101</vt:i4>
      </vt:variant>
      <vt:variant>
        <vt:i4>33</vt:i4>
      </vt:variant>
      <vt:variant>
        <vt:i4>0</vt:i4>
      </vt:variant>
      <vt:variant>
        <vt:i4>5</vt:i4>
      </vt:variant>
      <vt:variant>
        <vt:lpwstr>https://zslpublications.onlinelibrary.wiley.com/doi/10.1111/acv.12769?af=R</vt:lpwstr>
      </vt:variant>
      <vt:variant>
        <vt:lpwstr/>
      </vt:variant>
      <vt:variant>
        <vt:i4>2818101</vt:i4>
      </vt:variant>
      <vt:variant>
        <vt:i4>30</vt:i4>
      </vt:variant>
      <vt:variant>
        <vt:i4>0</vt:i4>
      </vt:variant>
      <vt:variant>
        <vt:i4>5</vt:i4>
      </vt:variant>
      <vt:variant>
        <vt:lpwstr>https://zslpublications.onlinelibrary.wiley.com/doi/10.1111/acv.12769?af=R</vt:lpwstr>
      </vt:variant>
      <vt:variant>
        <vt:lpwstr/>
      </vt:variant>
      <vt:variant>
        <vt:i4>1048646</vt:i4>
      </vt:variant>
      <vt:variant>
        <vt:i4>27</vt:i4>
      </vt:variant>
      <vt:variant>
        <vt:i4>0</vt:i4>
      </vt:variant>
      <vt:variant>
        <vt:i4>5</vt:i4>
      </vt:variant>
      <vt:variant>
        <vt:lpwstr>https://parksjournal.com/wp-content/uploads/2019/05/PARKS-25.1-Yilmaz-et-al-10.2305-IUCN.CH_.PARKS25-1EY.en_.pdf</vt:lpwstr>
      </vt:variant>
      <vt:variant>
        <vt:lpwstr/>
      </vt:variant>
      <vt:variant>
        <vt:i4>2687101</vt:i4>
      </vt:variant>
      <vt:variant>
        <vt:i4>24</vt:i4>
      </vt:variant>
      <vt:variant>
        <vt:i4>0</vt:i4>
      </vt:variant>
      <vt:variant>
        <vt:i4>5</vt:i4>
      </vt:variant>
      <vt:variant>
        <vt:lpwstr>https://www.science.org/doi/10.1126/science.abq4062</vt:lpwstr>
      </vt:variant>
      <vt:variant>
        <vt:lpwstr/>
      </vt:variant>
      <vt:variant>
        <vt:i4>1114198</vt:i4>
      </vt:variant>
      <vt:variant>
        <vt:i4>21</vt:i4>
      </vt:variant>
      <vt:variant>
        <vt:i4>0</vt:i4>
      </vt:variant>
      <vt:variant>
        <vt:i4>5</vt:i4>
      </vt:variant>
      <vt:variant>
        <vt:lpwstr>https://bioone.org/journals/rangeland-ecology-and-management/volume-74/issue-1/j.rama.2020.10.006/Prospects-for-Stakeholder-CooperatioLouhaichi, 2020n-in-Effective-Implementation-of-Enhanced-Rangeland/10.1016/j.rama.2020.10.006.full?tab=ArticleLink</vt:lpwstr>
      </vt:variant>
      <vt:variant>
        <vt:lpwstr/>
      </vt:variant>
      <vt:variant>
        <vt:i4>3670074</vt:i4>
      </vt:variant>
      <vt:variant>
        <vt:i4>18</vt:i4>
      </vt:variant>
      <vt:variant>
        <vt:i4>0</vt:i4>
      </vt:variant>
      <vt:variant>
        <vt:i4>5</vt:i4>
      </vt:variant>
      <vt:variant>
        <vt:lpwstr>https://iopscience.iop.org/article/10.1088/1748-9326/ab7395</vt:lpwstr>
      </vt:variant>
      <vt:variant>
        <vt:lpwstr/>
      </vt:variant>
      <vt:variant>
        <vt:i4>4128805</vt:i4>
      </vt:variant>
      <vt:variant>
        <vt:i4>15</vt:i4>
      </vt:variant>
      <vt:variant>
        <vt:i4>0</vt:i4>
      </vt:variant>
      <vt:variant>
        <vt:i4>5</vt:i4>
      </vt:variant>
      <vt:variant>
        <vt:lpwstr>https://www.nature.com/articles/s41467-022-28245-4</vt:lpwstr>
      </vt:variant>
      <vt:variant>
        <vt:lpwstr/>
      </vt:variant>
      <vt:variant>
        <vt:i4>4063292</vt:i4>
      </vt:variant>
      <vt:variant>
        <vt:i4>12</vt:i4>
      </vt:variant>
      <vt:variant>
        <vt:i4>0</vt:i4>
      </vt:variant>
      <vt:variant>
        <vt:i4>5</vt:i4>
      </vt:variant>
      <vt:variant>
        <vt:lpwstr>https://www.fao.org/3/cb5332en/Meat.pdf</vt:lpwstr>
      </vt:variant>
      <vt:variant>
        <vt:lpwstr/>
      </vt:variant>
      <vt:variant>
        <vt:i4>1966155</vt:i4>
      </vt:variant>
      <vt:variant>
        <vt:i4>9</vt:i4>
      </vt:variant>
      <vt:variant>
        <vt:i4>0</vt:i4>
      </vt:variant>
      <vt:variant>
        <vt:i4>5</vt:i4>
      </vt:variant>
      <vt:variant>
        <vt:lpwstr>https://www.ncbi.nlm.nih.gov/pmc/articles/PMC8697883/</vt:lpwstr>
      </vt:variant>
      <vt:variant>
        <vt:lpwstr/>
      </vt:variant>
      <vt:variant>
        <vt:i4>3735587</vt:i4>
      </vt:variant>
      <vt:variant>
        <vt:i4>6</vt:i4>
      </vt:variant>
      <vt:variant>
        <vt:i4>0</vt:i4>
      </vt:variant>
      <vt:variant>
        <vt:i4>5</vt:i4>
      </vt:variant>
      <vt:variant>
        <vt:lpwstr>https://www.tandfonline.com/doi/epdf/10.4081/ijas.2014.3114?needAccess=true&amp;role=button</vt:lpwstr>
      </vt:variant>
      <vt:variant>
        <vt:lpwstr/>
      </vt:variant>
      <vt:variant>
        <vt:i4>983148</vt:i4>
      </vt:variant>
      <vt:variant>
        <vt:i4>0</vt:i4>
      </vt:variant>
      <vt:variant>
        <vt:i4>0</vt:i4>
      </vt:variant>
      <vt:variant>
        <vt:i4>5</vt:i4>
      </vt:variant>
      <vt:variant>
        <vt:lpwstr>mailto:ivan.ramirez@un.org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20</cp:revision>
  <cp:lastPrinted>2019-09-21T08:54:00Z</cp:lastPrinted>
  <dcterms:created xsi:type="dcterms:W3CDTF">2023-06-22T07:54:00Z</dcterms:created>
  <dcterms:modified xsi:type="dcterms:W3CDTF">2023-11-06T09:07:00Z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