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6522B" w:rsidRPr="0056522B" w14:paraId="1590BE2D" w14:textId="77777777" w:rsidTr="008566B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7956398" w14:textId="77777777" w:rsidR="0056522B" w:rsidRPr="00EC2A58" w:rsidRDefault="0056522B" w:rsidP="008566BB">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5898C267" wp14:editId="7766DCCE">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91A84A6" w14:textId="77777777" w:rsidR="0056522B" w:rsidRPr="00EC2A58" w:rsidRDefault="0056522B" w:rsidP="008566BB">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095FCA9F" w14:textId="77777777" w:rsidR="0056522B" w:rsidRPr="00EC2A58" w:rsidRDefault="0056522B" w:rsidP="008566B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AECE20C" w14:textId="77777777" w:rsidR="0056522B" w:rsidRPr="00EC2A58" w:rsidRDefault="0056522B"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CA8A740" w14:textId="77777777" w:rsidR="0056522B" w:rsidRPr="00EC2A58" w:rsidRDefault="0056522B"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D250143" w14:textId="77777777" w:rsidR="0056522B" w:rsidRPr="00EC2A58" w:rsidRDefault="0056522B"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44159789" w14:textId="7E7F589A" w:rsidR="0056522B" w:rsidRDefault="0056522B" w:rsidP="006040F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Pr>
                <w:rFonts w:eastAsia="Arial" w:cs="Arial"/>
                <w:lang w:val="fr-FR"/>
              </w:rPr>
              <w:t>.28.2</w:t>
            </w:r>
          </w:p>
          <w:p w14:paraId="0B633040" w14:textId="28B56D35" w:rsidR="0056522B" w:rsidRPr="006040F4" w:rsidRDefault="0056522B" w:rsidP="006040F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22 juin 2023</w:t>
            </w:r>
          </w:p>
          <w:p w14:paraId="773EB3AE" w14:textId="77777777" w:rsidR="0056522B" w:rsidRPr="0056522B" w:rsidRDefault="0056522B" w:rsidP="006B4A05">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B800F66" w14:textId="409C5F47" w:rsidR="0056522B" w:rsidRPr="0056522B" w:rsidRDefault="0056522B" w:rsidP="006B4A05">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Anglais</w:t>
            </w:r>
          </w:p>
          <w:p w14:paraId="3ADB9931" w14:textId="77777777" w:rsidR="0056522B" w:rsidRPr="00EC2A58" w:rsidRDefault="0056522B" w:rsidP="008566BB">
            <w:pPr>
              <w:widowControl w:val="0"/>
              <w:suppressAutoHyphens/>
              <w:autoSpaceDE w:val="0"/>
              <w:autoSpaceDN w:val="0"/>
              <w:spacing w:after="0" w:line="240" w:lineRule="auto"/>
              <w:textAlignment w:val="baseline"/>
              <w:rPr>
                <w:rFonts w:eastAsia="Times New Roman" w:cs="Arial"/>
                <w:sz w:val="12"/>
                <w:szCs w:val="12"/>
                <w:lang w:val="fr-FR"/>
              </w:rPr>
            </w:pPr>
          </w:p>
        </w:tc>
      </w:tr>
    </w:tbl>
    <w:p w14:paraId="6CDC81DD" w14:textId="77777777" w:rsidR="0056522B" w:rsidRPr="00EC2A58" w:rsidRDefault="0056522B" w:rsidP="0056522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626ED9FE" w14:textId="77777777" w:rsidR="0056522B" w:rsidRPr="00EC2A58" w:rsidRDefault="0056522B" w:rsidP="0056522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1ADD5E4" w14:textId="5EE831D0" w:rsidR="0056522B" w:rsidRPr="00EC2A58" w:rsidRDefault="0056522B" w:rsidP="005652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1522D6">
        <w:rPr>
          <w:rFonts w:eastAsia="Arial" w:cs="Arial"/>
          <w:bCs/>
          <w:lang w:val="fr-FR"/>
        </w:rPr>
        <w:t>1</w:t>
      </w:r>
      <w:r>
        <w:rPr>
          <w:rFonts w:eastAsia="Arial" w:cs="Arial"/>
          <w:bCs/>
          <w:lang w:val="fr-FR"/>
        </w:rPr>
        <w:t xml:space="preserve">2 – </w:t>
      </w:r>
      <w:r w:rsidR="001522D6">
        <w:rPr>
          <w:rFonts w:eastAsia="Arial" w:cs="Arial"/>
          <w:bCs/>
          <w:lang w:val="fr-FR"/>
        </w:rPr>
        <w:t>17 février 2024</w:t>
      </w:r>
    </w:p>
    <w:p w14:paraId="14F365E5" w14:textId="280F474E" w:rsidR="0056522B" w:rsidRPr="00EC2A58" w:rsidRDefault="0056522B" w:rsidP="0056522B">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Pr>
          <w:rFonts w:eastAsia="Arial" w:cs="Arial"/>
          <w:iCs/>
          <w:lang w:val="fr-FR"/>
        </w:rPr>
        <w:t xml:space="preserve">t 28.2 </w:t>
      </w:r>
      <w:r w:rsidRPr="00EC2A58">
        <w:rPr>
          <w:rFonts w:eastAsia="Arial" w:cs="Arial"/>
          <w:iCs/>
          <w:lang w:val="fr-FR"/>
        </w:rPr>
        <w:t>de l’ordre du jour</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4B9E5C88" w14:textId="017FAFEF" w:rsidR="00FC7CB4" w:rsidRPr="0056522B" w:rsidRDefault="00FC7CB4" w:rsidP="00421546">
      <w:pPr>
        <w:widowControl w:val="0"/>
        <w:autoSpaceDE w:val="0"/>
        <w:adjustRightInd w:val="0"/>
        <w:spacing w:after="0"/>
        <w:jc w:val="center"/>
        <w:rPr>
          <w:rFonts w:eastAsia="Times New Roman" w:cs="Arial"/>
          <w:b/>
          <w:bCs/>
          <w:lang w:val="fr-FR"/>
        </w:rPr>
      </w:pPr>
      <w:r w:rsidRPr="0056522B">
        <w:rPr>
          <w:rFonts w:eastAsia="Times New Roman" w:cs="Arial"/>
          <w:b/>
          <w:bCs/>
          <w:caps/>
          <w:lang w:val="fr-FR"/>
        </w:rPr>
        <w:t>PLAN D'ACTION POUR LES OISEAUX TERRESTRES MIGRATEURS D'AFRIQUE EURASIE (AEMLAP)</w:t>
      </w:r>
    </w:p>
    <w:p w14:paraId="1550AE84" w14:textId="77777777" w:rsidR="00FC7CB4" w:rsidRPr="0097776E" w:rsidRDefault="00FC7CB4" w:rsidP="00FC7CB4">
      <w:pPr>
        <w:widowControl w:val="0"/>
        <w:autoSpaceDE w:val="0"/>
        <w:spacing w:after="0"/>
        <w:jc w:val="center"/>
        <w:rPr>
          <w:lang w:val="fr-FR"/>
        </w:rPr>
      </w:pPr>
      <w:r w:rsidRPr="0056522B">
        <w:rPr>
          <w:rFonts w:eastAsia="Times New Roman" w:cs="Arial"/>
          <w:i/>
          <w:lang w:val="fr-FR"/>
        </w:rPr>
        <w:t>(Préparé par le Secrétariat)</w:t>
      </w:r>
      <w:r>
        <w:rPr>
          <w:rFonts w:eastAsia="Times New Roman" w:cs="Arial"/>
          <w:i/>
          <w:lang w:val="fr-FR"/>
        </w:rPr>
        <w:t xml:space="preserve"> </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9264" behindDoc="0" locked="0" layoutInCell="1" allowOverlap="1" wp14:anchorId="13CF45B1" wp14:editId="110C0F90">
                <wp:simplePos x="0" y="0"/>
                <wp:positionH relativeFrom="column">
                  <wp:posOffset>946150</wp:posOffset>
                </wp:positionH>
                <wp:positionV relativeFrom="paragraph">
                  <wp:posOffset>113030</wp:posOffset>
                </wp:positionV>
                <wp:extent cx="4508500" cy="158750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4508500" cy="1587500"/>
                        </a:xfrm>
                        <a:prstGeom prst="rect">
                          <a:avLst/>
                        </a:prstGeom>
                        <a:solidFill>
                          <a:srgbClr val="FFFFFF"/>
                        </a:solidFill>
                        <a:ln w="3172">
                          <a:solidFill>
                            <a:srgbClr val="000000"/>
                          </a:solidFill>
                          <a:prstDash val="solid"/>
                        </a:ln>
                      </wps:spPr>
                      <wps:txbx>
                        <w:txbxContent>
                          <w:p w14:paraId="69DC25A9" w14:textId="3FAB09F4" w:rsidR="002E0DE9" w:rsidRDefault="002E0DE9" w:rsidP="002E0DE9">
                            <w:pPr>
                              <w:spacing w:after="0"/>
                              <w:rPr>
                                <w:rFonts w:cs="Arial"/>
                                <w:lang w:val="fr-FR"/>
                              </w:rPr>
                            </w:pPr>
                            <w:r>
                              <w:rPr>
                                <w:rFonts w:cs="Arial"/>
                                <w:lang w:val="fr-FR"/>
                              </w:rPr>
                              <w:t>Résumé :</w:t>
                            </w:r>
                          </w:p>
                          <w:p w14:paraId="0BD54B77" w14:textId="77777777" w:rsidR="00661875" w:rsidRPr="006B4A05" w:rsidRDefault="00661875" w:rsidP="00661875">
                            <w:pPr>
                              <w:spacing w:after="0" w:line="240" w:lineRule="auto"/>
                              <w:jc w:val="both"/>
                              <w:rPr>
                                <w:rFonts w:cs="Arial"/>
                                <w:lang w:val="fr-FR"/>
                              </w:rPr>
                            </w:pPr>
                          </w:p>
                          <w:p w14:paraId="10BCBC8C" w14:textId="7C5F07C1" w:rsidR="00661875" w:rsidRPr="00861CC1" w:rsidRDefault="00661875" w:rsidP="00661875">
                            <w:pPr>
                              <w:spacing w:after="0" w:line="240" w:lineRule="auto"/>
                              <w:jc w:val="both"/>
                              <w:rPr>
                                <w:rFonts w:cs="Arial"/>
                                <w:lang w:val="fr-FR"/>
                              </w:rPr>
                            </w:pPr>
                            <w:r>
                              <w:rPr>
                                <w:rFonts w:cs="Arial"/>
                                <w:lang w:val="fr-FR"/>
                              </w:rPr>
                              <w:t xml:space="preserve">Le présent document rend compte des progrès accomplis dans la mise en œuvre de la résolution 11.17 (Rev.COP13). </w:t>
                            </w:r>
                            <w:r>
                              <w:rPr>
                                <w:rFonts w:cs="Arial"/>
                                <w:i/>
                                <w:lang w:val="fr-FR"/>
                              </w:rPr>
                              <w:t>Plan d'action pour les oiseaux terrestres migrateurs d'Afrique-Eurasie (AEMLAP)</w:t>
                            </w:r>
                            <w:r>
                              <w:rPr>
                                <w:rFonts w:cs="Arial"/>
                                <w:lang w:val="fr-FR"/>
                              </w:rPr>
                              <w:t xml:space="preserve"> et les décisions 13.34 à 13.38 qui s'y rapportent. Ce document présente des propositions d'amendements à la résolution et des projets de décisions.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5pt;margin-top:8.9pt;width:35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" strokeweight=".08811mm">
                <v:textbox>
                  <w:txbxContent>
                    <w:p w14:paraId="69DC25A9" w14:textId="3FAB09F4" w:rsidR="002E0DE9" w:rsidRDefault="002E0DE9" w:rsidP="002E0DE9">
                      <w:pPr>
                        <w:spacing w:after="0"/>
                        <w:rPr>
                          <w:rFonts w:cs="Arial"/>
                          <w:lang w:val="fr-FR"/>
                        </w:rPr>
                      </w:pPr>
                      <w:r>
                        <w:rPr>
                          <w:rFonts w:cs="Arial"/>
                          <w:lang w:val="fr-FR"/>
                        </w:rPr>
                        <w:t>Résumé :</w:t>
                      </w:r>
                    </w:p>
                    <w:p w14:paraId="0BD54B77" w14:textId="77777777" w:rsidR="00661875" w:rsidRPr="006B4A05" w:rsidRDefault="00661875" w:rsidP="00661875">
                      <w:pPr>
                        <w:spacing w:after="0" w:line="240" w:lineRule="auto"/>
                        <w:jc w:val="both"/>
                        <w:rPr>
                          <w:rFonts w:cs="Arial"/>
                          <w:lang w:val="fr-FR"/>
                        </w:rPr>
                      </w:pPr>
                    </w:p>
                    <w:p w14:paraId="10BCBC8C" w14:textId="7C5F07C1" w:rsidR="00661875" w:rsidRPr="00861CC1" w:rsidRDefault="00661875" w:rsidP="00661875">
                      <w:pPr>
                        <w:spacing w:after="0" w:line="240" w:lineRule="auto"/>
                        <w:jc w:val="both"/>
                        <w:rPr>
                          <w:rFonts w:cs="Arial"/>
                          <w:lang w:val="fr-FR"/>
                        </w:rPr>
                      </w:pPr>
                      <w:r>
                        <w:rPr>
                          <w:rFonts w:cs="Arial"/>
                          <w:lang w:val="fr-FR"/>
                        </w:rPr>
                        <w:t xml:space="preserve">Le présent document rend compte des progrès accomplis dans la mise en œuvre de la résolution 11.17 (Rev.COP13). </w:t>
                      </w:r>
                      <w:r>
                        <w:rPr>
                          <w:rFonts w:cs="Arial"/>
                          <w:i/>
                          <w:lang w:val="fr-FR"/>
                        </w:rPr>
                        <w:t>Plan d'action pour les oiseaux terrestres migrateurs d'Afrique-Eurasie (AEMLAP)</w:t>
                      </w:r>
                      <w:r>
                        <w:rPr>
                          <w:rFonts w:cs="Arial"/>
                          <w:lang w:val="fr-FR"/>
                        </w:rPr>
                        <w:t xml:space="preserve"> et les décisions 13.34 à 13.38 qui s'y rapportent. Ce document présente des propositions d'amendements à la résolution et des projets de décisions. </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43DEA8E0" w:rsidR="002E0DE9" w:rsidRPr="002E0DE9" w:rsidRDefault="00C12908" w:rsidP="00EC4F04">
      <w:pPr>
        <w:widowControl w:val="0"/>
        <w:suppressAutoHyphens/>
        <w:autoSpaceDE w:val="0"/>
        <w:autoSpaceDN w:val="0"/>
        <w:spacing w:after="0" w:line="240" w:lineRule="auto"/>
        <w:textAlignment w:val="baseline"/>
        <w:rPr>
          <w:rFonts w:eastAsia="Times New Roman" w:cs="Arial"/>
          <w:lang w:val="fr-FR"/>
        </w:rPr>
      </w:pPr>
      <w:r>
        <w:rPr>
          <w:rFonts w:eastAsia="Times New Roman" w:cs="Arial"/>
          <w:lang w:val="fr-FR"/>
        </w:rPr>
        <w:br/>
      </w: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56522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0D0D3C6" w14:textId="77777777" w:rsidR="0056522B" w:rsidRPr="0056522B" w:rsidRDefault="0056522B" w:rsidP="0056522B">
      <w:pPr>
        <w:widowControl w:val="0"/>
        <w:autoSpaceDE w:val="0"/>
        <w:adjustRightInd w:val="0"/>
        <w:spacing w:after="0"/>
        <w:jc w:val="center"/>
        <w:rPr>
          <w:rFonts w:eastAsia="Times New Roman" w:cs="Arial"/>
          <w:b/>
          <w:bCs/>
          <w:lang w:val="fr-FR"/>
        </w:rPr>
      </w:pPr>
      <w:r w:rsidRPr="0056522B">
        <w:rPr>
          <w:rFonts w:eastAsia="Times New Roman" w:cs="Arial"/>
          <w:b/>
          <w:bCs/>
          <w:caps/>
          <w:lang w:val="fr-FR"/>
        </w:rPr>
        <w:lastRenderedPageBreak/>
        <w:t>PLAN D'ACTION POUR LES OISEAUX TERRESTRES MIGRATEURS D'AFRIQUE EURASIE (AEMLAP)</w:t>
      </w:r>
    </w:p>
    <w:p w14:paraId="5AD9C484" w14:textId="77777777" w:rsidR="0056522B" w:rsidRDefault="0056522B" w:rsidP="00EC4F04">
      <w:pPr>
        <w:suppressAutoHyphens/>
        <w:autoSpaceDN w:val="0"/>
        <w:spacing w:after="0" w:line="240" w:lineRule="auto"/>
        <w:textAlignment w:val="baseline"/>
        <w:rPr>
          <w:rFonts w:eastAsia="Calibri" w:cs="Arial"/>
          <w:lang w:val="fr-FR"/>
        </w:rPr>
      </w:pPr>
    </w:p>
    <w:p w14:paraId="25AE9201" w14:textId="77777777" w:rsidR="0056522B" w:rsidRDefault="0056522B"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115888D2" w14:textId="77777777" w:rsidR="002E0DE9" w:rsidRDefault="002E0DE9" w:rsidP="00EC4F04">
      <w:pPr>
        <w:spacing w:after="0" w:line="240" w:lineRule="auto"/>
        <w:rPr>
          <w:lang w:val="fr-FR"/>
        </w:rPr>
      </w:pPr>
    </w:p>
    <w:p w14:paraId="66CEEEBA" w14:textId="30C82128" w:rsidR="00E03A41" w:rsidRPr="003C21EB" w:rsidRDefault="00E03A41" w:rsidP="00C72309">
      <w:pPr>
        <w:pStyle w:val="ListParagraph"/>
        <w:widowControl w:val="0"/>
        <w:numPr>
          <w:ilvl w:val="0"/>
          <w:numId w:val="20"/>
        </w:numPr>
        <w:autoSpaceDE w:val="0"/>
        <w:autoSpaceDN w:val="0"/>
        <w:adjustRightInd w:val="0"/>
        <w:spacing w:after="0" w:line="240" w:lineRule="auto"/>
        <w:ind w:left="567" w:hanging="567"/>
        <w:jc w:val="both"/>
        <w:rPr>
          <w:color w:val="000000" w:themeColor="text1"/>
          <w:lang w:val="fr-FR"/>
        </w:rPr>
      </w:pPr>
      <w:r>
        <w:rPr>
          <w:lang w:val="fr-FR"/>
        </w:rPr>
        <w:t>Le Plan d'action pour les oiseaux terrestres migrateurs d'Afrique-Eurasie (AEMLAP - African-</w:t>
      </w:r>
      <w:proofErr w:type="spellStart"/>
      <w:r>
        <w:rPr>
          <w:lang w:val="fr-FR"/>
        </w:rPr>
        <w:t>Eurasian</w:t>
      </w:r>
      <w:proofErr w:type="spellEnd"/>
      <w:r>
        <w:rPr>
          <w:lang w:val="fr-FR"/>
        </w:rPr>
        <w:t xml:space="preserve"> </w:t>
      </w:r>
      <w:proofErr w:type="spellStart"/>
      <w:r>
        <w:rPr>
          <w:lang w:val="fr-FR"/>
        </w:rPr>
        <w:t>Migratory</w:t>
      </w:r>
      <w:proofErr w:type="spellEnd"/>
      <w:r>
        <w:rPr>
          <w:lang w:val="fr-FR"/>
        </w:rPr>
        <w:t xml:space="preserve"> </w:t>
      </w:r>
      <w:proofErr w:type="spellStart"/>
      <w:r>
        <w:rPr>
          <w:lang w:val="fr-FR"/>
        </w:rPr>
        <w:t>Landbirds</w:t>
      </w:r>
      <w:proofErr w:type="spellEnd"/>
      <w:r>
        <w:rPr>
          <w:lang w:val="fr-FR"/>
        </w:rPr>
        <w:t xml:space="preserve"> Action Plan) a pour objectif d'améliorer l'état de conservation des espèces d'oiseaux terrestres migrateurs d'Afrique-Eurasie à travers des actions de coordination internationale </w:t>
      </w:r>
      <w:r>
        <w:rPr>
          <w:color w:val="000000" w:themeColor="text1"/>
          <w:lang w:val="fr-FR"/>
        </w:rPr>
        <w:t>en faveur de ces espèces, ainsi qu'en facilitant les actions au niveau national.</w:t>
      </w:r>
    </w:p>
    <w:p w14:paraId="350C5086" w14:textId="77777777" w:rsidR="009024A7" w:rsidRPr="00E03A41" w:rsidRDefault="009024A7" w:rsidP="009024A7">
      <w:pPr>
        <w:pStyle w:val="ListParagraph"/>
        <w:widowControl w:val="0"/>
        <w:autoSpaceDE w:val="0"/>
        <w:autoSpaceDN w:val="0"/>
        <w:adjustRightInd w:val="0"/>
        <w:spacing w:after="0" w:line="240" w:lineRule="auto"/>
        <w:ind w:left="567"/>
        <w:jc w:val="both"/>
        <w:rPr>
          <w:lang w:val="fr-FR"/>
        </w:rPr>
      </w:pPr>
    </w:p>
    <w:p w14:paraId="1330ABF9" w14:textId="0339F993" w:rsidR="00CB7F32" w:rsidRPr="005505CB" w:rsidRDefault="00861CC1" w:rsidP="00B82BE4">
      <w:pPr>
        <w:pStyle w:val="ListParagraph"/>
        <w:widowControl w:val="0"/>
        <w:numPr>
          <w:ilvl w:val="0"/>
          <w:numId w:val="20"/>
        </w:numPr>
        <w:autoSpaceDE w:val="0"/>
        <w:autoSpaceDN w:val="0"/>
        <w:adjustRightInd w:val="0"/>
        <w:spacing w:after="0" w:line="240" w:lineRule="auto"/>
        <w:ind w:left="567" w:hanging="567"/>
        <w:jc w:val="both"/>
        <w:rPr>
          <w:lang w:val="fr-FR"/>
        </w:rPr>
      </w:pPr>
      <w:r>
        <w:rPr>
          <w:rFonts w:cs="Arial"/>
          <w:lang w:val="fr-FR"/>
        </w:rPr>
        <w:t>La Conférence des Parties, lors de sa 13</w:t>
      </w:r>
      <w:r>
        <w:rPr>
          <w:rFonts w:cs="Arial"/>
          <w:vertAlign w:val="superscript"/>
          <w:lang w:val="fr-FR"/>
        </w:rPr>
        <w:t>ème</w:t>
      </w:r>
      <w:r>
        <w:rPr>
          <w:rFonts w:cs="Arial"/>
          <w:lang w:val="fr-FR"/>
        </w:rPr>
        <w:t xml:space="preserve"> réunion (COP13, 2020), a mis à jour la Résolution 11.17 (Rev.COP13) </w:t>
      </w:r>
      <w:r>
        <w:rPr>
          <w:rFonts w:cs="Arial"/>
          <w:i/>
          <w:lang w:val="fr-FR"/>
        </w:rPr>
        <w:t xml:space="preserve">Plan d'action pour les oiseaux terrestres migrateurs d'Afrique-Eurasie </w:t>
      </w:r>
      <w:r>
        <w:rPr>
          <w:i/>
          <w:color w:val="000000" w:themeColor="text1"/>
          <w:lang w:val="fr-FR"/>
        </w:rPr>
        <w:t>(AEMLAP)</w:t>
      </w:r>
      <w:r>
        <w:rPr>
          <w:color w:val="000000" w:themeColor="text1"/>
          <w:lang w:val="fr-FR"/>
        </w:rPr>
        <w:t xml:space="preserve">, au cours duquel le Plan d'action et ses annexes ont été adoptés. Cette Résolution </w:t>
      </w:r>
      <w:r>
        <w:rPr>
          <w:rFonts w:cs="Arial"/>
          <w:lang w:val="fr-FR"/>
        </w:rPr>
        <w:t xml:space="preserve">mandate le Secrétariat, sous réserve de disponibilité budgétaire, à organiser des ateliers régionaux, à promouvoir la mise en œuvre du Plan d'action et à partager les meilleures pratiques et les leçons apprises pour une conservation efficace des oiseaux terrestres migrateurs, en collaboration avec les Parties et les organisations internationales concernées. </w:t>
      </w:r>
    </w:p>
    <w:p w14:paraId="22BF548B" w14:textId="77777777" w:rsidR="005505CB" w:rsidRPr="00CB7F32" w:rsidRDefault="005505CB" w:rsidP="00777DF7">
      <w:pPr>
        <w:pStyle w:val="ListParagraph"/>
        <w:widowControl w:val="0"/>
        <w:autoSpaceDE w:val="0"/>
        <w:autoSpaceDN w:val="0"/>
        <w:adjustRightInd w:val="0"/>
        <w:spacing w:after="0" w:line="240" w:lineRule="auto"/>
        <w:ind w:left="567"/>
        <w:jc w:val="both"/>
        <w:rPr>
          <w:lang w:val="fr-FR"/>
        </w:rPr>
      </w:pPr>
    </w:p>
    <w:p w14:paraId="61E000AD" w14:textId="38218D49" w:rsidR="00166C1C" w:rsidRPr="002F4354" w:rsidRDefault="003575C5" w:rsidP="00B82BE4">
      <w:pPr>
        <w:pStyle w:val="ListParagraph"/>
        <w:widowControl w:val="0"/>
        <w:numPr>
          <w:ilvl w:val="0"/>
          <w:numId w:val="20"/>
        </w:numPr>
        <w:autoSpaceDE w:val="0"/>
        <w:autoSpaceDN w:val="0"/>
        <w:adjustRightInd w:val="0"/>
        <w:spacing w:after="0" w:line="240" w:lineRule="auto"/>
        <w:ind w:left="567" w:hanging="567"/>
        <w:jc w:val="both"/>
        <w:rPr>
          <w:lang w:val="fr-FR"/>
        </w:rPr>
      </w:pPr>
      <w:r>
        <w:rPr>
          <w:color w:val="000000" w:themeColor="text1"/>
          <w:lang w:val="fr-FR"/>
        </w:rPr>
        <w:t>La</w:t>
      </w:r>
      <w:r>
        <w:rPr>
          <w:rFonts w:cs="Arial"/>
          <w:color w:val="000000" w:themeColor="text1"/>
          <w:lang w:val="fr-FR"/>
        </w:rPr>
        <w:t xml:space="preserve"> Conférence des Parties</w:t>
      </w:r>
      <w:r>
        <w:rPr>
          <w:color w:val="000000" w:themeColor="text1"/>
          <w:lang w:val="fr-FR"/>
        </w:rPr>
        <w:t xml:space="preserve"> </w:t>
      </w:r>
      <w:r>
        <w:rPr>
          <w:rFonts w:cs="Arial"/>
          <w:lang w:val="fr-FR"/>
        </w:rPr>
        <w:t>a invité</w:t>
      </w:r>
      <w:r>
        <w:rPr>
          <w:lang w:val="fr-FR"/>
        </w:rPr>
        <w:t xml:space="preserve"> </w:t>
      </w:r>
      <w:r>
        <w:rPr>
          <w:rFonts w:cs="Arial"/>
          <w:lang w:val="fr-FR"/>
        </w:rPr>
        <w:t>le Groupe de travail sur les oiseaux terrestres migrateurs d’Afrique-Eurasie(AEML-WG - African-</w:t>
      </w:r>
      <w:proofErr w:type="spellStart"/>
      <w:r>
        <w:rPr>
          <w:rFonts w:cs="Arial"/>
          <w:lang w:val="fr-FR"/>
        </w:rPr>
        <w:t>Eurasian</w:t>
      </w:r>
      <w:proofErr w:type="spellEnd"/>
      <w:r>
        <w:rPr>
          <w:rFonts w:cs="Arial"/>
          <w:lang w:val="fr-FR"/>
        </w:rPr>
        <w:t xml:space="preserve"> </w:t>
      </w:r>
      <w:proofErr w:type="spellStart"/>
      <w:r>
        <w:rPr>
          <w:rFonts w:cs="Arial"/>
          <w:lang w:val="fr-FR"/>
        </w:rPr>
        <w:t>Migratory</w:t>
      </w:r>
      <w:proofErr w:type="spellEnd"/>
      <w:r>
        <w:rPr>
          <w:rFonts w:cs="Arial"/>
          <w:lang w:val="fr-FR"/>
        </w:rPr>
        <w:t xml:space="preserve"> </w:t>
      </w:r>
      <w:proofErr w:type="spellStart"/>
      <w:r>
        <w:rPr>
          <w:rFonts w:cs="Arial"/>
          <w:lang w:val="fr-FR"/>
        </w:rPr>
        <w:t>Landbird</w:t>
      </w:r>
      <w:proofErr w:type="spellEnd"/>
      <w:r>
        <w:rPr>
          <w:rFonts w:cs="Arial"/>
          <w:lang w:val="fr-FR"/>
        </w:rPr>
        <w:t xml:space="preserve"> </w:t>
      </w:r>
      <w:proofErr w:type="spellStart"/>
      <w:r>
        <w:rPr>
          <w:rFonts w:cs="Arial"/>
          <w:lang w:val="fr-FR"/>
        </w:rPr>
        <w:t>Working</w:t>
      </w:r>
      <w:proofErr w:type="spellEnd"/>
      <w:r>
        <w:rPr>
          <w:rFonts w:cs="Arial"/>
          <w:lang w:val="fr-FR"/>
        </w:rPr>
        <w:t xml:space="preserve"> Group) et le Conseil scientifique, en liaison avec le Groupe d’étude des oiseaux terrestres migrateurs(MLSG - </w:t>
      </w:r>
      <w:proofErr w:type="spellStart"/>
      <w:r>
        <w:rPr>
          <w:rFonts w:cs="Arial"/>
          <w:lang w:val="fr-FR"/>
        </w:rPr>
        <w:t>Migratory</w:t>
      </w:r>
      <w:proofErr w:type="spellEnd"/>
      <w:r>
        <w:rPr>
          <w:rFonts w:cs="Arial"/>
          <w:lang w:val="fr-FR"/>
        </w:rPr>
        <w:t xml:space="preserve"> </w:t>
      </w:r>
      <w:proofErr w:type="spellStart"/>
      <w:r>
        <w:rPr>
          <w:rFonts w:cs="Arial"/>
          <w:lang w:val="fr-FR"/>
        </w:rPr>
        <w:t>Landbird</w:t>
      </w:r>
      <w:proofErr w:type="spellEnd"/>
      <w:r>
        <w:rPr>
          <w:rFonts w:cs="Arial"/>
          <w:lang w:val="fr-FR"/>
        </w:rPr>
        <w:t xml:space="preserve"> </w:t>
      </w:r>
      <w:proofErr w:type="spellStart"/>
      <w:r>
        <w:rPr>
          <w:rFonts w:cs="Arial"/>
          <w:lang w:val="fr-FR"/>
        </w:rPr>
        <w:t>species</w:t>
      </w:r>
      <w:proofErr w:type="spellEnd"/>
      <w:r>
        <w:rPr>
          <w:rFonts w:cs="Arial"/>
          <w:lang w:val="fr-FR"/>
        </w:rPr>
        <w:t xml:space="preserve"> </w:t>
      </w:r>
      <w:proofErr w:type="spellStart"/>
      <w:r>
        <w:rPr>
          <w:rFonts w:cs="Arial"/>
          <w:lang w:val="fr-FR"/>
        </w:rPr>
        <w:t>Study</w:t>
      </w:r>
      <w:proofErr w:type="spellEnd"/>
      <w:r>
        <w:rPr>
          <w:rFonts w:cs="Arial"/>
          <w:lang w:val="fr-FR"/>
        </w:rPr>
        <w:t xml:space="preserve"> Group) et « Les Amis du Plan d’action </w:t>
      </w:r>
      <w:proofErr w:type="spellStart"/>
      <w:r>
        <w:rPr>
          <w:rFonts w:cs="Arial"/>
          <w:lang w:val="fr-FR"/>
        </w:rPr>
        <w:t>pourles</w:t>
      </w:r>
      <w:proofErr w:type="spellEnd"/>
      <w:r>
        <w:rPr>
          <w:rFonts w:cs="Arial"/>
          <w:lang w:val="fr-FR"/>
        </w:rPr>
        <w:t xml:space="preserve"> oiseaux terrestres migrateurs » (FLAP - Friends of the </w:t>
      </w:r>
      <w:proofErr w:type="spellStart"/>
      <w:r>
        <w:rPr>
          <w:rFonts w:cs="Arial"/>
          <w:lang w:val="fr-FR"/>
        </w:rPr>
        <w:t>Landbirds</w:t>
      </w:r>
      <w:proofErr w:type="spellEnd"/>
      <w:r>
        <w:rPr>
          <w:rFonts w:cs="Arial"/>
          <w:lang w:val="fr-FR"/>
        </w:rPr>
        <w:t xml:space="preserve"> Action Plan), et avec le soutien du Secrétariat, à soutenir la mise en œuvre des plans d'action pour le rollier d'Europe (</w:t>
      </w:r>
      <w:proofErr w:type="spellStart"/>
      <w:r>
        <w:rPr>
          <w:rFonts w:cs="Arial"/>
          <w:i/>
          <w:iCs/>
          <w:lang w:val="fr-FR"/>
        </w:rPr>
        <w:t>Coracias</w:t>
      </w:r>
      <w:proofErr w:type="spellEnd"/>
      <w:r>
        <w:rPr>
          <w:rFonts w:cs="Arial"/>
          <w:i/>
          <w:iCs/>
          <w:lang w:val="fr-FR"/>
        </w:rPr>
        <w:t xml:space="preserve"> </w:t>
      </w:r>
      <w:proofErr w:type="spellStart"/>
      <w:r>
        <w:rPr>
          <w:rFonts w:cs="Arial"/>
          <w:i/>
          <w:iCs/>
          <w:lang w:val="fr-FR"/>
        </w:rPr>
        <w:t>garrulus</w:t>
      </w:r>
      <w:proofErr w:type="spellEnd"/>
      <w:r>
        <w:rPr>
          <w:rFonts w:cs="Arial"/>
          <w:lang w:val="fr-FR"/>
        </w:rPr>
        <w:t>) et la tourterelle des bois européenne (</w:t>
      </w:r>
      <w:proofErr w:type="spellStart"/>
      <w:r>
        <w:rPr>
          <w:rFonts w:cs="Arial"/>
          <w:i/>
          <w:iCs/>
          <w:lang w:val="fr-FR"/>
        </w:rPr>
        <w:t>Streptopelia</w:t>
      </w:r>
      <w:proofErr w:type="spellEnd"/>
      <w:r>
        <w:rPr>
          <w:rFonts w:cs="Arial"/>
          <w:i/>
          <w:iCs/>
          <w:lang w:val="fr-FR"/>
        </w:rPr>
        <w:t xml:space="preserve"> </w:t>
      </w:r>
      <w:proofErr w:type="spellStart"/>
      <w:r>
        <w:rPr>
          <w:rFonts w:cs="Arial"/>
          <w:i/>
          <w:iCs/>
          <w:lang w:val="fr-FR"/>
        </w:rPr>
        <w:t>turtur</w:t>
      </w:r>
      <w:proofErr w:type="spellEnd"/>
      <w:r>
        <w:rPr>
          <w:rFonts w:cs="Arial"/>
          <w:lang w:val="fr-FR"/>
        </w:rPr>
        <w:t>). Ces groupes et organismes ont également été invités à poursuivre l'élaboration de plans d'action pour les bruants migrateurs menacés de disparition, y compris le bruant à poitrine jaune (</w:t>
      </w:r>
      <w:proofErr w:type="spellStart"/>
      <w:r>
        <w:rPr>
          <w:rFonts w:cs="Arial"/>
          <w:i/>
          <w:iCs/>
          <w:lang w:val="fr-FR"/>
        </w:rPr>
        <w:t>Emberiza</w:t>
      </w:r>
      <w:proofErr w:type="spellEnd"/>
      <w:r>
        <w:rPr>
          <w:rFonts w:cs="Arial"/>
          <w:i/>
          <w:iCs/>
          <w:lang w:val="fr-FR"/>
        </w:rPr>
        <w:t xml:space="preserve"> </w:t>
      </w:r>
      <w:proofErr w:type="spellStart"/>
      <w:r>
        <w:rPr>
          <w:rFonts w:cs="Arial"/>
          <w:i/>
          <w:iCs/>
          <w:lang w:val="fr-FR"/>
        </w:rPr>
        <w:t>aureola</w:t>
      </w:r>
      <w:proofErr w:type="spellEnd"/>
      <w:r>
        <w:rPr>
          <w:rFonts w:cs="Arial"/>
          <w:i/>
          <w:iCs/>
          <w:lang w:val="fr-FR"/>
        </w:rPr>
        <w:t>)</w:t>
      </w:r>
      <w:r>
        <w:rPr>
          <w:rFonts w:cs="Arial"/>
          <w:lang w:val="fr-FR"/>
        </w:rPr>
        <w:t xml:space="preserve"> ; voir le document </w:t>
      </w:r>
      <w:hyperlink r:id="rId16" w:history="1">
        <w:r>
          <w:rPr>
            <w:rStyle w:val="Hyperlink"/>
            <w:rFonts w:cs="Arial"/>
            <w:lang w:val="fr-FR"/>
          </w:rPr>
          <w:t>UNEP/CMS/COP14/Doc.28.5.1</w:t>
        </w:r>
      </w:hyperlink>
      <w:r>
        <w:rPr>
          <w:rFonts w:cs="Arial"/>
          <w:lang w:val="fr-FR"/>
        </w:rPr>
        <w:t xml:space="preserve"> </w:t>
      </w:r>
      <w:r>
        <w:rPr>
          <w:rFonts w:cs="Arial"/>
          <w:i/>
          <w:iCs/>
          <w:lang w:val="fr-FR"/>
        </w:rPr>
        <w:t>Plans d'action pour les oiseaux</w:t>
      </w:r>
      <w:r>
        <w:rPr>
          <w:rFonts w:cs="Arial"/>
          <w:i/>
          <w:lang w:val="fr-FR"/>
        </w:rPr>
        <w:t>.</w:t>
      </w:r>
    </w:p>
    <w:p w14:paraId="785D4488" w14:textId="77777777" w:rsidR="002F4354" w:rsidRPr="00EC56B6" w:rsidRDefault="002F4354" w:rsidP="002F4354">
      <w:pPr>
        <w:pStyle w:val="ListParagraph"/>
        <w:widowControl w:val="0"/>
        <w:autoSpaceDE w:val="0"/>
        <w:autoSpaceDN w:val="0"/>
        <w:adjustRightInd w:val="0"/>
        <w:spacing w:after="0" w:line="240" w:lineRule="auto"/>
        <w:ind w:left="567"/>
        <w:jc w:val="both"/>
        <w:rPr>
          <w:lang w:val="fr-FR"/>
        </w:rPr>
      </w:pPr>
    </w:p>
    <w:p w14:paraId="55483A0A" w14:textId="3417E5AD" w:rsidR="00861CC1" w:rsidRDefault="00861CC1" w:rsidP="00861CC1">
      <w:pPr>
        <w:pStyle w:val="ListParagraph"/>
        <w:widowControl w:val="0"/>
        <w:numPr>
          <w:ilvl w:val="0"/>
          <w:numId w:val="20"/>
        </w:numPr>
        <w:autoSpaceDE w:val="0"/>
        <w:autoSpaceDN w:val="0"/>
        <w:adjustRightInd w:val="0"/>
        <w:spacing w:after="0" w:line="240" w:lineRule="auto"/>
        <w:ind w:left="567" w:hanging="567"/>
        <w:jc w:val="both"/>
        <w:rPr>
          <w:rFonts w:cs="Arial"/>
          <w:lang w:val="fr-FR"/>
        </w:rPr>
      </w:pPr>
      <w:r>
        <w:rPr>
          <w:rFonts w:cs="Arial"/>
          <w:lang w:val="fr-FR"/>
        </w:rPr>
        <w:t xml:space="preserve">La COP13 a également adopté les décisions 13.34 à 13.38 du </w:t>
      </w:r>
      <w:r>
        <w:rPr>
          <w:rFonts w:cs="Arial"/>
          <w:i/>
          <w:lang w:val="fr-FR"/>
        </w:rPr>
        <w:t>Plan d'action pour les oiseaux terrestres migrateurs d'Afrique-Eurasie (AEMLAP)</w:t>
      </w:r>
      <w:r>
        <w:rPr>
          <w:rFonts w:cs="Arial"/>
          <w:lang w:val="fr-FR"/>
        </w:rPr>
        <w:t>, dont le texte est le suivant :</w:t>
      </w:r>
    </w:p>
    <w:p w14:paraId="4EE763FA" w14:textId="77777777" w:rsidR="00861CC1" w:rsidRPr="007C41F3" w:rsidRDefault="00861CC1" w:rsidP="00861CC1">
      <w:pPr>
        <w:pStyle w:val="ListParagraph"/>
        <w:ind w:left="357"/>
        <w:jc w:val="both"/>
        <w:rPr>
          <w:rFonts w:cs="Arial"/>
          <w:sz w:val="20"/>
          <w:szCs w:val="20"/>
          <w:lang w:val="fr-FR"/>
        </w:rPr>
      </w:pPr>
    </w:p>
    <w:p w14:paraId="1DF35F90" w14:textId="20FF20A9" w:rsidR="00861CC1" w:rsidRPr="006B4A05" w:rsidRDefault="004D67A0" w:rsidP="006B4A05">
      <w:pPr>
        <w:pStyle w:val="ListParagraph"/>
        <w:ind w:left="851"/>
        <w:jc w:val="both"/>
        <w:rPr>
          <w:rFonts w:cs="Arial"/>
          <w:b/>
          <w:i/>
          <w:sz w:val="20"/>
          <w:szCs w:val="20"/>
          <w:lang w:val="fr-FR"/>
        </w:rPr>
      </w:pPr>
      <w:bookmarkStart w:id="0" w:name="_Hlk129699484"/>
      <w:r w:rsidRPr="006B4A05">
        <w:rPr>
          <w:rFonts w:cs="Arial"/>
          <w:b/>
          <w:i/>
          <w:sz w:val="20"/>
          <w:szCs w:val="20"/>
          <w:lang w:val="fr-FR"/>
        </w:rPr>
        <w:t>13.34 Adressés au Secrétariat</w:t>
      </w:r>
    </w:p>
    <w:p w14:paraId="1CA5E6D0" w14:textId="77777777" w:rsidR="00861CC1" w:rsidRPr="006B4A05" w:rsidRDefault="00861CC1" w:rsidP="006B4A05">
      <w:pPr>
        <w:pStyle w:val="ListParagraph"/>
        <w:ind w:left="851"/>
        <w:jc w:val="both"/>
        <w:rPr>
          <w:rFonts w:cs="Arial"/>
          <w:i/>
          <w:sz w:val="20"/>
          <w:szCs w:val="20"/>
          <w:lang w:val="fr-FR"/>
        </w:rPr>
      </w:pPr>
    </w:p>
    <w:p w14:paraId="239488B0" w14:textId="14B86CED" w:rsidR="00861CC1" w:rsidRPr="006B4A05" w:rsidRDefault="00861CC1" w:rsidP="006B4A05">
      <w:pPr>
        <w:pStyle w:val="ListParagraph"/>
        <w:ind w:left="851"/>
        <w:jc w:val="both"/>
        <w:rPr>
          <w:rFonts w:cs="Arial"/>
          <w:i/>
          <w:sz w:val="20"/>
          <w:szCs w:val="20"/>
          <w:lang w:val="fr-FR"/>
        </w:rPr>
      </w:pPr>
      <w:r w:rsidRPr="006B4A05">
        <w:rPr>
          <w:rFonts w:cs="Arial"/>
          <w:i/>
          <w:sz w:val="20"/>
          <w:szCs w:val="20"/>
          <w:lang w:val="fr-FR"/>
        </w:rPr>
        <w:t>Le Secrétariat :</w:t>
      </w:r>
    </w:p>
    <w:p w14:paraId="144C9A96" w14:textId="77777777" w:rsidR="00861CC1" w:rsidRPr="006B4A05" w:rsidRDefault="00861CC1" w:rsidP="006B4A05">
      <w:pPr>
        <w:pStyle w:val="ListParagraph"/>
        <w:ind w:left="851" w:hanging="360"/>
        <w:jc w:val="both"/>
        <w:rPr>
          <w:rFonts w:cs="Arial"/>
          <w:i/>
          <w:sz w:val="20"/>
          <w:szCs w:val="20"/>
          <w:lang w:val="fr-FR"/>
        </w:rPr>
      </w:pPr>
    </w:p>
    <w:p w14:paraId="6FEC8E6C" w14:textId="77777777" w:rsidR="006B4A05" w:rsidRPr="006B4A05" w:rsidRDefault="006B4A05" w:rsidP="006B4A05">
      <w:pPr>
        <w:pStyle w:val="ListParagraph"/>
        <w:ind w:left="851"/>
        <w:jc w:val="both"/>
        <w:rPr>
          <w:rFonts w:cs="Arial"/>
          <w:i/>
          <w:sz w:val="20"/>
          <w:szCs w:val="20"/>
          <w:lang w:val="fr-FR"/>
        </w:rPr>
      </w:pPr>
      <w:r w:rsidRPr="006B4A05">
        <w:rPr>
          <w:rFonts w:cs="Arial"/>
          <w:i/>
          <w:sz w:val="20"/>
          <w:szCs w:val="20"/>
          <w:lang w:val="fr-FR"/>
        </w:rPr>
        <w:t>a) sous réserve de la disponibilité de fonds, organise durant la période intersession entre les 13e et 14e sessions de la Conférence des Parties, une réunion de consultation des États de l’aire de répartition afin de décider ensemble si le plan d’action doit rester un document autonome ou si un nouvel instrument de la CMS doit être développé, ou encore si un instrument de la CMS existant devrait être utilisé en tant que cadre institutionnel;</w:t>
      </w:r>
    </w:p>
    <w:p w14:paraId="6120B5DA" w14:textId="77777777" w:rsidR="006B4A05" w:rsidRPr="006B4A05" w:rsidRDefault="006B4A05" w:rsidP="006B4A05">
      <w:pPr>
        <w:pStyle w:val="ListParagraph"/>
        <w:ind w:left="851"/>
        <w:jc w:val="both"/>
        <w:rPr>
          <w:rFonts w:cs="Arial"/>
          <w:i/>
          <w:sz w:val="20"/>
          <w:szCs w:val="20"/>
          <w:lang w:val="fr-FR"/>
        </w:rPr>
      </w:pPr>
    </w:p>
    <w:p w14:paraId="635B75D9" w14:textId="3EED4656" w:rsidR="00861CC1" w:rsidRPr="006B4A05" w:rsidRDefault="006B4A05" w:rsidP="006B4A05">
      <w:pPr>
        <w:pStyle w:val="ListParagraph"/>
        <w:ind w:left="851"/>
        <w:jc w:val="both"/>
        <w:rPr>
          <w:rFonts w:cs="Arial"/>
          <w:i/>
          <w:sz w:val="20"/>
          <w:szCs w:val="20"/>
          <w:lang w:val="fr-FR"/>
        </w:rPr>
      </w:pPr>
      <w:r w:rsidRPr="006B4A05">
        <w:rPr>
          <w:rFonts w:cs="Arial"/>
          <w:i/>
          <w:sz w:val="20"/>
          <w:szCs w:val="20"/>
          <w:lang w:val="fr-FR"/>
        </w:rPr>
        <w:t>b) au cours de la période intersession entre les 13e et 14e Sessions de la Conférence des Parties, promeut l’importance de l’utilisation durable des terres pour les oiseaux migrateurs ainsi que les pratiques et approches spécifiques de la Déclaration d’Abuja, avec les institutions compétentes des Nations Unies et d’autres institutions internationales, et recherche des opportunités d’action collaborative pour encourager l’utilisation durable des terres pour les espèces migratrices et les personnes</w:t>
      </w:r>
    </w:p>
    <w:p w14:paraId="2D004849" w14:textId="34E71CE5" w:rsidR="006B4A05" w:rsidRDefault="006B4A05" w:rsidP="00861CC1">
      <w:pPr>
        <w:pStyle w:val="ListParagraph"/>
        <w:ind w:left="357"/>
        <w:jc w:val="both"/>
        <w:rPr>
          <w:rFonts w:cs="Arial"/>
          <w:i/>
          <w:sz w:val="20"/>
          <w:szCs w:val="20"/>
          <w:lang w:val="fr-FR"/>
        </w:rPr>
      </w:pPr>
      <w:r>
        <w:rPr>
          <w:rFonts w:cs="Arial"/>
          <w:i/>
          <w:sz w:val="20"/>
          <w:szCs w:val="20"/>
          <w:lang w:val="fr-FR"/>
        </w:rPr>
        <w:br w:type="page"/>
      </w:r>
    </w:p>
    <w:p w14:paraId="214C3C5C" w14:textId="77777777" w:rsidR="0056522B" w:rsidRPr="006B4A05" w:rsidRDefault="0056522B" w:rsidP="00861CC1">
      <w:pPr>
        <w:pStyle w:val="ListParagraph"/>
        <w:ind w:left="357"/>
        <w:jc w:val="both"/>
        <w:rPr>
          <w:rFonts w:cs="Arial"/>
          <w:i/>
          <w:sz w:val="20"/>
          <w:szCs w:val="20"/>
          <w:lang w:val="fr-FR"/>
        </w:rPr>
      </w:pPr>
    </w:p>
    <w:p w14:paraId="46C5031D" w14:textId="760EB4E7" w:rsidR="00861CC1" w:rsidRPr="006B4A05" w:rsidRDefault="004D67A0" w:rsidP="00861CC1">
      <w:pPr>
        <w:pStyle w:val="ListParagraph"/>
        <w:ind w:left="567"/>
        <w:jc w:val="both"/>
        <w:rPr>
          <w:rFonts w:cs="Arial"/>
          <w:b/>
          <w:i/>
          <w:sz w:val="20"/>
          <w:szCs w:val="20"/>
          <w:lang w:val="fr-FR"/>
        </w:rPr>
      </w:pPr>
      <w:r w:rsidRPr="006B4A05">
        <w:rPr>
          <w:rFonts w:cs="Arial"/>
          <w:b/>
          <w:i/>
          <w:sz w:val="20"/>
          <w:szCs w:val="20"/>
          <w:lang w:val="fr-FR"/>
        </w:rPr>
        <w:t>13.35 Décision adressée au Conseil scientifique</w:t>
      </w:r>
    </w:p>
    <w:p w14:paraId="4F2F3AD7" w14:textId="77777777" w:rsidR="006B4A05" w:rsidRDefault="006B4A05" w:rsidP="00861CC1">
      <w:pPr>
        <w:pStyle w:val="ListParagraph"/>
        <w:ind w:left="567"/>
        <w:jc w:val="both"/>
        <w:rPr>
          <w:rFonts w:cs="Arial"/>
          <w:bCs/>
          <w:i/>
          <w:sz w:val="20"/>
          <w:szCs w:val="20"/>
          <w:lang w:val="fr-FR"/>
        </w:rPr>
      </w:pPr>
    </w:p>
    <w:p w14:paraId="3933321A" w14:textId="347387D8" w:rsidR="0056522B" w:rsidRPr="006B4A05" w:rsidRDefault="006B4A05" w:rsidP="00861CC1">
      <w:pPr>
        <w:pStyle w:val="ListParagraph"/>
        <w:ind w:left="567"/>
        <w:jc w:val="both"/>
        <w:rPr>
          <w:rFonts w:cs="Arial"/>
          <w:bCs/>
          <w:i/>
          <w:sz w:val="20"/>
          <w:szCs w:val="20"/>
          <w:lang w:val="fr-FR"/>
        </w:rPr>
      </w:pPr>
      <w:r w:rsidRPr="006B4A05">
        <w:rPr>
          <w:rFonts w:cs="Arial"/>
          <w:bCs/>
          <w:i/>
          <w:sz w:val="20"/>
          <w:szCs w:val="20"/>
          <w:lang w:val="fr-FR"/>
        </w:rPr>
        <w:t>Le Conseil scientifique est prié, sous réserve de la disponibilité de ressources</w:t>
      </w:r>
    </w:p>
    <w:p w14:paraId="098829DF" w14:textId="77777777" w:rsidR="00861CC1" w:rsidRPr="006B4A05" w:rsidRDefault="00861CC1" w:rsidP="006B4A05">
      <w:pPr>
        <w:pStyle w:val="ListParagraph"/>
        <w:ind w:left="851"/>
        <w:jc w:val="both"/>
        <w:rPr>
          <w:rFonts w:cs="Arial"/>
          <w:i/>
          <w:sz w:val="20"/>
          <w:szCs w:val="20"/>
          <w:lang w:val="fr-FR"/>
        </w:rPr>
      </w:pPr>
    </w:p>
    <w:p w14:paraId="4C440E20" w14:textId="77777777" w:rsidR="006B4A05" w:rsidRPr="006B4A05" w:rsidRDefault="006B4A05" w:rsidP="006B4A05">
      <w:pPr>
        <w:pStyle w:val="ListParagraph"/>
        <w:spacing w:after="0" w:line="240" w:lineRule="auto"/>
        <w:ind w:left="1134" w:hanging="284"/>
        <w:contextualSpacing w:val="0"/>
        <w:jc w:val="both"/>
        <w:rPr>
          <w:rFonts w:cs="Arial"/>
          <w:i/>
          <w:sz w:val="20"/>
          <w:szCs w:val="20"/>
          <w:lang w:val="fr-FR"/>
        </w:rPr>
      </w:pPr>
      <w:r w:rsidRPr="006B4A05">
        <w:rPr>
          <w:rFonts w:cs="Arial"/>
          <w:i/>
          <w:sz w:val="20"/>
          <w:szCs w:val="20"/>
          <w:lang w:val="fr-FR"/>
        </w:rPr>
        <w:t>a) maintenir le Groupe de travail sur les oiseaux terrestres migrateurs d’Afrique-Eurasie jusqu’à la 14e session de la Conférence des Parties (COP14) en étendant son adhésion pour intégrer l’expertise de régions géographiques actuellement absentes, afin de faciliter et de suivre la mise en œuvre du Plan d’action et de développer des indicateurs pour évaluer la mise en œuvre du Programme de travail 2016-2020;</w:t>
      </w:r>
    </w:p>
    <w:p w14:paraId="69DEC07B" w14:textId="77777777" w:rsidR="006B4A05" w:rsidRPr="006B4A05" w:rsidRDefault="006B4A05" w:rsidP="006B4A05">
      <w:pPr>
        <w:pStyle w:val="ListParagraph"/>
        <w:spacing w:after="0" w:line="240" w:lineRule="auto"/>
        <w:ind w:left="851" w:hanging="284"/>
        <w:contextualSpacing w:val="0"/>
        <w:jc w:val="both"/>
        <w:rPr>
          <w:rFonts w:cs="Arial"/>
          <w:i/>
          <w:sz w:val="20"/>
          <w:szCs w:val="20"/>
          <w:lang w:val="fr-FR"/>
        </w:rPr>
      </w:pPr>
    </w:p>
    <w:p w14:paraId="7B131B4A" w14:textId="218B2D3D" w:rsidR="00861CC1" w:rsidRDefault="006B4A05" w:rsidP="006B4A05">
      <w:pPr>
        <w:pStyle w:val="ListParagraph"/>
        <w:spacing w:after="0" w:line="240" w:lineRule="auto"/>
        <w:ind w:left="1135" w:hanging="284"/>
        <w:contextualSpacing w:val="0"/>
        <w:jc w:val="both"/>
        <w:rPr>
          <w:rFonts w:cs="Arial"/>
          <w:i/>
          <w:sz w:val="20"/>
          <w:szCs w:val="20"/>
          <w:lang w:val="fr-FR"/>
        </w:rPr>
      </w:pPr>
      <w:r w:rsidRPr="006B4A05">
        <w:rPr>
          <w:rFonts w:cs="Arial"/>
          <w:i/>
          <w:sz w:val="20"/>
          <w:szCs w:val="20"/>
          <w:lang w:val="fr-FR"/>
        </w:rPr>
        <w:t>b) au cours de la période intersession entre les 13e et 14e sessions de la Conférence des Parties, et sous réserve de la disponibilité de fonds, travaille avec le Groupe d’étude des oiseaux terrestres migrateurs, les institutions académiques pertinentes, les financeurs de la recherche et le Groupe de travail, afin de promouvoir activement les recherches visant à combler les lacunes importantes en matière de connaissances sur la conservation des oiseaux terrestres migrateurs dans les paysages africains, notamment pour:</w:t>
      </w:r>
    </w:p>
    <w:p w14:paraId="44206C7A" w14:textId="77777777" w:rsidR="006B4A05" w:rsidRPr="006B4A05" w:rsidRDefault="006B4A05" w:rsidP="006B4A05">
      <w:pPr>
        <w:pStyle w:val="ListParagraph"/>
        <w:spacing w:after="0" w:line="240" w:lineRule="auto"/>
        <w:ind w:left="1135" w:hanging="284"/>
        <w:contextualSpacing w:val="0"/>
        <w:jc w:val="both"/>
        <w:rPr>
          <w:rFonts w:cs="Arial"/>
          <w:i/>
          <w:sz w:val="20"/>
          <w:szCs w:val="20"/>
          <w:lang w:val="fr-FR"/>
        </w:rPr>
      </w:pPr>
    </w:p>
    <w:p w14:paraId="29FD4C73"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i. identifier les routes migratoires et les stratégies de migration (notamment des analyses portant sur plusieurs espèces) à l’aide de technologies de suivi afin de mieux comprendre les schémas de déplacement, les zones géographiques revêtant une importance particulière pour de multiples espèces d’oiseaux terrestres et la connectivité migratoire, ce qui permettrait de cibler plus efficacement la recherche sur le terrain, le suivi et les mesures de conservation;</w:t>
      </w:r>
    </w:p>
    <w:p w14:paraId="756A95BD"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p>
    <w:p w14:paraId="14FF7C2F"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ii. entreprendre des études de terrain approfondies en Afrique subsaharienne et sur les haltes migratoires, en conjonction avec les données existantes le cas échéant, pour mieux comprendre les modèles de distribution, l’utilisation des habitats et l’écologie alimentaire des espèces, et en particulier identifier et améliorer la conservation des sites de halte situés immédiatement au nord et au sud du Sahara (y compris à travers la collecte de données et la recherche de liens avec les parties prenantes concernées);</w:t>
      </w:r>
    </w:p>
    <w:p w14:paraId="284BC8C1"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p>
    <w:p w14:paraId="7E6157FF"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iii. synthétiser les données provenant de sites de reproduction européens pour explorer les caractéristiques spatiales et temporelles des paramètres démographiques par rapport aux routes migratoires et aux types de changements environnementaux à grande échelle;</w:t>
      </w:r>
    </w:p>
    <w:p w14:paraId="7779C134"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p>
    <w:p w14:paraId="14F5D391"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iv. utiliser des données d’observation de la Terre par images satellitaires et si possible, en conjonction avec le suivi sur le terrain de l’habitat et des oiseaux (notamment en synergie avec les programmes de suivi des oiseaux communs et en les élargissant) pour améliorer la compréhension des changements dans l’utilisation/l’occupation des terres et la manière dont cela affecte les oiseaux migrateurs d’Afrique-Eurasie, et rechercher les moteurs des changements dans l’utilisation/l’occupation des terres;</w:t>
      </w:r>
    </w:p>
    <w:p w14:paraId="35C215E7"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p>
    <w:p w14:paraId="71CF098B"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v. chercher à mieux comprendre la façon d’influencer les facteurs de la politique économique et sociale qui causent des changements dans l’utilisation/l’occupation des terres à différentes échelles</w:t>
      </w:r>
    </w:p>
    <w:p w14:paraId="2EAE1667" w14:textId="77777777" w:rsidR="006B4A05" w:rsidRPr="006B4A05" w:rsidRDefault="006B4A05" w:rsidP="006B4A05">
      <w:pPr>
        <w:pStyle w:val="ListParagraph"/>
        <w:spacing w:after="0" w:line="240" w:lineRule="auto"/>
        <w:ind w:left="1418" w:hanging="283"/>
        <w:contextualSpacing w:val="0"/>
        <w:jc w:val="both"/>
        <w:rPr>
          <w:rFonts w:cs="Arial"/>
          <w:i/>
          <w:sz w:val="20"/>
          <w:szCs w:val="20"/>
          <w:lang w:val="fr-FR"/>
        </w:rPr>
      </w:pPr>
    </w:p>
    <w:p w14:paraId="4210C90C" w14:textId="679E3F76" w:rsidR="00861CC1" w:rsidRPr="006B4A05" w:rsidRDefault="006B4A05" w:rsidP="006B4A05">
      <w:pPr>
        <w:pStyle w:val="ListParagraph"/>
        <w:spacing w:after="0" w:line="240" w:lineRule="auto"/>
        <w:ind w:left="1418" w:hanging="283"/>
        <w:contextualSpacing w:val="0"/>
        <w:jc w:val="both"/>
        <w:rPr>
          <w:rFonts w:cs="Arial"/>
          <w:i/>
          <w:sz w:val="20"/>
          <w:szCs w:val="20"/>
          <w:lang w:val="fr-FR"/>
        </w:rPr>
      </w:pPr>
      <w:r w:rsidRPr="006B4A05">
        <w:rPr>
          <w:rFonts w:cs="Arial"/>
          <w:i/>
          <w:sz w:val="20"/>
          <w:szCs w:val="20"/>
          <w:lang w:val="fr-FR"/>
        </w:rPr>
        <w:t>vi. encourager la recherche pour déterminer les raisons pour lesquelles les déclins des oiseaux terrestres européens ne peuvent pas être expliqués par les conditions dans les aires de reproduction.</w:t>
      </w:r>
    </w:p>
    <w:p w14:paraId="18FDA582" w14:textId="37EE45E6" w:rsidR="00861CC1" w:rsidRDefault="00861CC1" w:rsidP="006B4A05">
      <w:pPr>
        <w:pStyle w:val="ListParagraph"/>
        <w:spacing w:after="0" w:line="240" w:lineRule="auto"/>
        <w:ind w:left="1134" w:hanging="283"/>
        <w:contextualSpacing w:val="0"/>
        <w:jc w:val="both"/>
        <w:rPr>
          <w:rFonts w:cs="Arial"/>
          <w:i/>
          <w:sz w:val="20"/>
          <w:szCs w:val="20"/>
          <w:lang w:val="fr-FR"/>
        </w:rPr>
      </w:pPr>
      <w:r w:rsidRPr="006B4A05">
        <w:rPr>
          <w:rFonts w:cs="Arial"/>
          <w:i/>
          <w:sz w:val="20"/>
          <w:szCs w:val="20"/>
          <w:lang w:val="fr-FR"/>
        </w:rPr>
        <w:t xml:space="preserve">c) </w:t>
      </w:r>
      <w:r w:rsidRPr="006B4A05">
        <w:rPr>
          <w:rFonts w:cs="Arial"/>
          <w:i/>
          <w:sz w:val="20"/>
          <w:szCs w:val="20"/>
          <w:lang w:val="fr-FR"/>
        </w:rPr>
        <w:tab/>
        <w:t>examiner la viabilité du Groupe de travail et de son Groupe directeur à défaut de fonds disponibles pour la mise en œuvre et la coordination du programme de travail du Groupe de travail, comme indiqué dans la décision 13.36 (b), et proposer un mécanisme alternatif pour la mise en œuvre de ces activités, le cas échéant.</w:t>
      </w:r>
    </w:p>
    <w:p w14:paraId="7DA18435" w14:textId="22609F38" w:rsidR="006B4A05" w:rsidRDefault="006B4A05" w:rsidP="00EE3BA0">
      <w:pPr>
        <w:pStyle w:val="ListParagraph"/>
        <w:ind w:left="990" w:hanging="360"/>
        <w:jc w:val="both"/>
        <w:rPr>
          <w:rFonts w:cs="Arial"/>
          <w:i/>
          <w:sz w:val="20"/>
          <w:szCs w:val="20"/>
          <w:lang w:val="fr-FR"/>
        </w:rPr>
      </w:pPr>
      <w:r>
        <w:rPr>
          <w:rFonts w:cs="Arial"/>
          <w:i/>
          <w:sz w:val="20"/>
          <w:szCs w:val="20"/>
          <w:lang w:val="fr-FR"/>
        </w:rPr>
        <w:br w:type="page"/>
      </w:r>
    </w:p>
    <w:p w14:paraId="398A2F3A" w14:textId="088CC971" w:rsidR="00861CC1" w:rsidRPr="006B4A05" w:rsidRDefault="00BF3B66" w:rsidP="006B4A05">
      <w:pPr>
        <w:pStyle w:val="ListParagraph"/>
        <w:ind w:left="851"/>
        <w:jc w:val="both"/>
        <w:rPr>
          <w:rFonts w:cs="Arial"/>
          <w:b/>
          <w:i/>
          <w:sz w:val="20"/>
          <w:szCs w:val="20"/>
          <w:lang w:val="fr-FR"/>
        </w:rPr>
      </w:pPr>
      <w:r w:rsidRPr="006B4A05">
        <w:rPr>
          <w:rFonts w:cs="Arial"/>
          <w:b/>
          <w:i/>
          <w:sz w:val="20"/>
          <w:szCs w:val="20"/>
          <w:lang w:val="fr-FR"/>
        </w:rPr>
        <w:lastRenderedPageBreak/>
        <w:t>13.36 Adressés aux Parties</w:t>
      </w:r>
    </w:p>
    <w:p w14:paraId="74A850F4" w14:textId="77777777" w:rsidR="0056522B" w:rsidRPr="006B4A05" w:rsidRDefault="0056522B" w:rsidP="00861CC1">
      <w:pPr>
        <w:pStyle w:val="ListParagraph"/>
        <w:ind w:left="567"/>
        <w:jc w:val="both"/>
        <w:rPr>
          <w:rFonts w:cs="Arial"/>
          <w:b/>
          <w:i/>
          <w:sz w:val="20"/>
          <w:szCs w:val="20"/>
          <w:lang w:val="fr-FR"/>
        </w:rPr>
      </w:pPr>
    </w:p>
    <w:p w14:paraId="676EA84A" w14:textId="5713F82A" w:rsidR="00861CC1" w:rsidRPr="006B4A05" w:rsidRDefault="00861CC1" w:rsidP="006B4A05">
      <w:pPr>
        <w:pStyle w:val="ListParagraph"/>
        <w:ind w:left="851"/>
        <w:jc w:val="both"/>
        <w:rPr>
          <w:rFonts w:cs="Arial"/>
          <w:i/>
          <w:sz w:val="20"/>
          <w:szCs w:val="20"/>
          <w:lang w:val="fr-FR"/>
        </w:rPr>
      </w:pPr>
      <w:r w:rsidRPr="006B4A05">
        <w:rPr>
          <w:rFonts w:cs="Arial"/>
          <w:i/>
          <w:sz w:val="20"/>
          <w:szCs w:val="20"/>
          <w:lang w:val="fr-FR"/>
        </w:rPr>
        <w:t>Les Parties :</w:t>
      </w:r>
    </w:p>
    <w:p w14:paraId="1B3B0A55" w14:textId="77777777" w:rsidR="00861CC1" w:rsidRPr="006B4A05" w:rsidRDefault="00861CC1" w:rsidP="00861CC1">
      <w:pPr>
        <w:pStyle w:val="ListParagraph"/>
        <w:ind w:left="357"/>
        <w:jc w:val="both"/>
        <w:rPr>
          <w:rFonts w:cs="Arial"/>
          <w:i/>
          <w:sz w:val="20"/>
          <w:szCs w:val="20"/>
          <w:lang w:val="fr-FR"/>
        </w:rPr>
      </w:pPr>
    </w:p>
    <w:p w14:paraId="521D3073" w14:textId="77777777" w:rsidR="006B4A05" w:rsidRPr="006B4A05" w:rsidRDefault="006B4A05" w:rsidP="006B4A05">
      <w:pPr>
        <w:pStyle w:val="ListParagraph"/>
        <w:ind w:left="1134" w:hanging="283"/>
        <w:jc w:val="both"/>
        <w:rPr>
          <w:rFonts w:cs="Arial"/>
          <w:i/>
          <w:sz w:val="20"/>
          <w:szCs w:val="20"/>
          <w:lang w:val="fr-FR"/>
        </w:rPr>
      </w:pPr>
      <w:r w:rsidRPr="006B4A05">
        <w:rPr>
          <w:rFonts w:cs="Arial"/>
          <w:i/>
          <w:sz w:val="20"/>
          <w:szCs w:val="20"/>
          <w:lang w:val="fr-FR"/>
        </w:rPr>
        <w:t>a) sont instamment priées de verser des contributions financières pour assurer la coordination des activités nécessaires à la mise en œuvre du programme de travail de l’AEMLAP et du groupe de travail et à l’organisation d’au moins une réunion du groupe de travail pendant la période intersessions entre la 13e session de la Conférence des Parties (COP13) et la COP14;</w:t>
      </w:r>
    </w:p>
    <w:p w14:paraId="44D895BA" w14:textId="77777777" w:rsidR="006B4A05" w:rsidRPr="006B4A05" w:rsidRDefault="006B4A05" w:rsidP="006B4A05">
      <w:pPr>
        <w:pStyle w:val="ListParagraph"/>
        <w:ind w:left="1134" w:hanging="283"/>
        <w:jc w:val="both"/>
        <w:rPr>
          <w:rFonts w:cs="Arial"/>
          <w:i/>
          <w:sz w:val="20"/>
          <w:szCs w:val="20"/>
          <w:lang w:val="fr-FR"/>
        </w:rPr>
      </w:pPr>
    </w:p>
    <w:p w14:paraId="43F4DFBB" w14:textId="77777777" w:rsidR="006B4A05" w:rsidRPr="006B4A05" w:rsidRDefault="006B4A05" w:rsidP="006B4A05">
      <w:pPr>
        <w:pStyle w:val="ListParagraph"/>
        <w:ind w:left="1134" w:hanging="283"/>
        <w:jc w:val="both"/>
        <w:rPr>
          <w:rFonts w:cs="Arial"/>
          <w:i/>
          <w:sz w:val="20"/>
          <w:szCs w:val="20"/>
          <w:lang w:val="fr-FR"/>
        </w:rPr>
      </w:pPr>
      <w:r w:rsidRPr="006B4A05">
        <w:rPr>
          <w:rFonts w:cs="Arial"/>
          <w:i/>
          <w:sz w:val="20"/>
          <w:szCs w:val="20"/>
          <w:lang w:val="fr-FR"/>
        </w:rPr>
        <w:t>b) sont en outre instamment priées de prendre note de la demande du groupe de travail concernant la nécessité de 200 000 euros environ pour la mise en œuvre du programme de travail du groupe de travail et la désignation d’un coordonnateur de l’AEMLAP pour la période intersessions entre la COP13 et la COP14, étant entendu qu'en l’absence d’une part substantielle du montant total (au moins 100 000 € au 30 juin 2020 et un minimum supplémentaire de 50 000 € au plus tard le 28 février 2021 et du même montant au plus tard 28 février 2022), le groupe de travail pourrait devenir inactif ;</w:t>
      </w:r>
    </w:p>
    <w:p w14:paraId="2437D6A3" w14:textId="77777777" w:rsidR="006B4A05" w:rsidRPr="006B4A05" w:rsidRDefault="006B4A05" w:rsidP="006B4A05">
      <w:pPr>
        <w:pStyle w:val="ListParagraph"/>
        <w:ind w:left="1134" w:hanging="283"/>
        <w:jc w:val="both"/>
        <w:rPr>
          <w:rFonts w:cs="Arial"/>
          <w:i/>
          <w:sz w:val="20"/>
          <w:szCs w:val="20"/>
          <w:lang w:val="fr-FR"/>
        </w:rPr>
      </w:pPr>
    </w:p>
    <w:p w14:paraId="0D31EC8E" w14:textId="77777777" w:rsidR="006B4A05" w:rsidRPr="006B4A05" w:rsidRDefault="006B4A05" w:rsidP="006B4A05">
      <w:pPr>
        <w:pStyle w:val="ListParagraph"/>
        <w:ind w:left="1134" w:hanging="283"/>
        <w:jc w:val="both"/>
        <w:rPr>
          <w:rFonts w:cs="Arial"/>
          <w:i/>
          <w:sz w:val="20"/>
          <w:szCs w:val="20"/>
          <w:lang w:val="fr-FR"/>
        </w:rPr>
      </w:pPr>
      <w:r w:rsidRPr="006B4A05">
        <w:rPr>
          <w:rFonts w:cs="Arial"/>
          <w:i/>
          <w:sz w:val="20"/>
          <w:szCs w:val="20"/>
          <w:lang w:val="fr-FR"/>
        </w:rPr>
        <w:t>c) sont invitées avec le soutien du Secrétariat, à collaborer avec les agences pertinentes des Nations Unies, les organisations internationales et d’autres parties prenantes pour organiser un atelier sur l'intégration des exigences de la biodiversité dans la prestation de la neutralité en matière de dégradation des terres à une échelle appropriée;</w:t>
      </w:r>
    </w:p>
    <w:p w14:paraId="4F4CC60C" w14:textId="77777777" w:rsidR="006B4A05" w:rsidRPr="006B4A05" w:rsidRDefault="006B4A05" w:rsidP="006B4A05">
      <w:pPr>
        <w:pStyle w:val="ListParagraph"/>
        <w:ind w:left="1134" w:hanging="283"/>
        <w:jc w:val="both"/>
        <w:rPr>
          <w:rFonts w:cs="Arial"/>
          <w:i/>
          <w:sz w:val="20"/>
          <w:szCs w:val="20"/>
          <w:lang w:val="fr-FR"/>
        </w:rPr>
      </w:pPr>
    </w:p>
    <w:p w14:paraId="4F56989E" w14:textId="77777777" w:rsidR="006B4A05" w:rsidRPr="006B4A05" w:rsidRDefault="006B4A05" w:rsidP="006B4A05">
      <w:pPr>
        <w:pStyle w:val="ListParagraph"/>
        <w:ind w:left="1134" w:hanging="283"/>
        <w:jc w:val="both"/>
        <w:rPr>
          <w:rFonts w:cs="Arial"/>
          <w:i/>
          <w:sz w:val="20"/>
          <w:szCs w:val="20"/>
          <w:lang w:val="fr-FR"/>
        </w:rPr>
      </w:pPr>
      <w:r w:rsidRPr="006B4A05">
        <w:rPr>
          <w:rFonts w:cs="Arial"/>
          <w:i/>
          <w:sz w:val="20"/>
          <w:szCs w:val="20"/>
          <w:lang w:val="fr-FR"/>
        </w:rPr>
        <w:t>d) en particulier ceux qui sont respectivement Parties, signataires ou États de l’aire de répartition, et d’autres instruments de la CMS - l’Accord sur la conservation des oiseaux d’eau migrateurs d’Afrique-Eurasie (AEWA), le Mémorandum d’accord sur la conservation des oiseaux de proie migrateurs en Afrique et en Eurasie (</w:t>
      </w:r>
      <w:proofErr w:type="spellStart"/>
      <w:r w:rsidRPr="006B4A05">
        <w:rPr>
          <w:rFonts w:cs="Arial"/>
          <w:i/>
          <w:sz w:val="20"/>
          <w:szCs w:val="20"/>
          <w:lang w:val="fr-FR"/>
        </w:rPr>
        <w:t>MdE</w:t>
      </w:r>
      <w:proofErr w:type="spellEnd"/>
      <w:r w:rsidRPr="006B4A05">
        <w:rPr>
          <w:rFonts w:cs="Arial"/>
          <w:i/>
          <w:sz w:val="20"/>
          <w:szCs w:val="20"/>
          <w:lang w:val="fr-FR"/>
        </w:rPr>
        <w:t xml:space="preserve"> relatif aux rapaces) et le Plan d’action pour la voie de migration d’Asie centrale – sont priés de fournir un soutien financier dès que possible à la mise en œuvre, dans les délais, du projet commun sur l’évaluation de la situation et l’élaboration de plans d’action pour les principaux habitats d’oiseaux prioritaires le long des voies de migration d’Afrique-Eurasie;</w:t>
      </w:r>
    </w:p>
    <w:p w14:paraId="4829D292" w14:textId="77777777" w:rsidR="006B4A05" w:rsidRPr="006B4A05" w:rsidRDefault="006B4A05" w:rsidP="006B4A05">
      <w:pPr>
        <w:pStyle w:val="ListParagraph"/>
        <w:ind w:left="1134" w:hanging="283"/>
        <w:jc w:val="both"/>
        <w:rPr>
          <w:rFonts w:cs="Arial"/>
          <w:i/>
          <w:sz w:val="20"/>
          <w:szCs w:val="20"/>
          <w:lang w:val="fr-FR"/>
        </w:rPr>
      </w:pPr>
    </w:p>
    <w:p w14:paraId="77AB959E" w14:textId="077FF778" w:rsidR="00861CC1" w:rsidRPr="00EC56B6" w:rsidRDefault="006B4A05" w:rsidP="006B4A05">
      <w:pPr>
        <w:pStyle w:val="ListParagraph"/>
        <w:ind w:left="1134" w:hanging="283"/>
        <w:jc w:val="both"/>
        <w:rPr>
          <w:rFonts w:cs="Arial"/>
          <w:i/>
          <w:sz w:val="20"/>
          <w:szCs w:val="20"/>
          <w:lang w:val="fr-FR"/>
        </w:rPr>
      </w:pPr>
      <w:r w:rsidRPr="006B4A05">
        <w:rPr>
          <w:rFonts w:cs="Arial"/>
          <w:i/>
          <w:sz w:val="20"/>
          <w:szCs w:val="20"/>
          <w:lang w:val="fr-FR"/>
        </w:rPr>
        <w:t>e) sont priées de faire rapport à la COP14, via leurs rapports nationaux, sur les progrès de la mise en œuvre de l’AEMLAP et son intégration dans les résultats par rapport à d’autres accords internationaux pertinents, incluant le suivi et l’efficacité des mesures prises en vue d’atteindre les objectifs de la CMS;</w:t>
      </w:r>
    </w:p>
    <w:p w14:paraId="13249E08" w14:textId="77777777" w:rsidR="00717CF0" w:rsidRPr="00EC56B6" w:rsidRDefault="00717CF0" w:rsidP="00861CC1">
      <w:pPr>
        <w:pStyle w:val="ListParagraph"/>
        <w:ind w:left="1418" w:hanging="284"/>
        <w:jc w:val="both"/>
        <w:rPr>
          <w:rFonts w:cs="Arial"/>
          <w:i/>
          <w:sz w:val="20"/>
          <w:szCs w:val="20"/>
          <w:lang w:val="fr-FR"/>
        </w:rPr>
      </w:pPr>
    </w:p>
    <w:p w14:paraId="1DC58539" w14:textId="2C9C001C" w:rsidR="00B04097" w:rsidRDefault="00B04097" w:rsidP="006B4A05">
      <w:pPr>
        <w:pStyle w:val="ListParagraph"/>
        <w:spacing w:after="0" w:line="240" w:lineRule="auto"/>
        <w:ind w:left="851"/>
        <w:contextualSpacing w:val="0"/>
        <w:jc w:val="both"/>
        <w:rPr>
          <w:rFonts w:cs="Arial"/>
          <w:b/>
          <w:i/>
          <w:sz w:val="20"/>
          <w:szCs w:val="20"/>
          <w:lang w:val="fr-FR"/>
        </w:rPr>
      </w:pPr>
      <w:r w:rsidRPr="006B4A05">
        <w:rPr>
          <w:rFonts w:cs="Arial"/>
          <w:b/>
          <w:i/>
          <w:sz w:val="20"/>
          <w:szCs w:val="20"/>
          <w:lang w:val="fr-FR"/>
        </w:rPr>
        <w:t>13.38 Adressés aux Groupes de travail et aux Équipes d'intervention</w:t>
      </w:r>
    </w:p>
    <w:p w14:paraId="4EA69AAD" w14:textId="77777777" w:rsidR="006B4A05" w:rsidRPr="006B4A05" w:rsidRDefault="006B4A05" w:rsidP="006B4A05">
      <w:pPr>
        <w:pStyle w:val="ListParagraph"/>
        <w:spacing w:after="0" w:line="240" w:lineRule="auto"/>
        <w:ind w:left="851"/>
        <w:contextualSpacing w:val="0"/>
        <w:jc w:val="both"/>
        <w:rPr>
          <w:rFonts w:cs="Arial"/>
          <w:b/>
          <w:i/>
          <w:sz w:val="20"/>
          <w:szCs w:val="20"/>
          <w:lang w:val="fr-FR"/>
        </w:rPr>
      </w:pPr>
    </w:p>
    <w:p w14:paraId="021949FC" w14:textId="71A87024" w:rsidR="00B065FE" w:rsidRPr="006B4A05" w:rsidRDefault="006B4A05" w:rsidP="006B4A05">
      <w:pPr>
        <w:spacing w:after="0" w:line="240" w:lineRule="auto"/>
        <w:ind w:left="851"/>
        <w:jc w:val="both"/>
        <w:rPr>
          <w:rFonts w:cs="Arial"/>
          <w:i/>
          <w:sz w:val="20"/>
          <w:szCs w:val="20"/>
          <w:lang w:val="fr-FR"/>
        </w:rPr>
      </w:pPr>
      <w:r w:rsidRPr="006B4A05">
        <w:rPr>
          <w:rFonts w:cs="Arial"/>
          <w:i/>
          <w:sz w:val="20"/>
          <w:szCs w:val="20"/>
          <w:lang w:val="fr-FR"/>
        </w:rPr>
        <w:t>Sous réserve de la disponibilité des ressources, comme indiqué dans la Décision 13.36 b), le groupe de travail, avec l’aide du Conseil scientifique et du Secrétariat, devrait mettre à jour son programme de travail d’ici à la fin de 2020, y compris un budget associé pour tenir compte des besoins financiers et des priorités de conservation existants, conformément au Plan stratégique pour Espèces migratrices 2015 - 2023.</w:t>
      </w:r>
      <w:bookmarkEnd w:id="0"/>
    </w:p>
    <w:p w14:paraId="647DD442" w14:textId="77777777" w:rsidR="0096521E" w:rsidRPr="004F7130" w:rsidRDefault="0096521E" w:rsidP="0096521E">
      <w:pPr>
        <w:pStyle w:val="ListParagraph"/>
        <w:spacing w:after="0" w:line="240" w:lineRule="auto"/>
        <w:ind w:left="567"/>
        <w:jc w:val="both"/>
        <w:rPr>
          <w:rFonts w:eastAsia="Calibri" w:cs="Arial"/>
          <w:lang w:val="fr-FR"/>
        </w:rPr>
      </w:pPr>
    </w:p>
    <w:p w14:paraId="007C73A3" w14:textId="08AB310A" w:rsidR="00F4473E" w:rsidRDefault="00F4473E" w:rsidP="00F4473E">
      <w:pPr>
        <w:spacing w:after="0"/>
        <w:jc w:val="both"/>
        <w:rPr>
          <w:rFonts w:cs="Arial"/>
          <w:u w:val="single"/>
          <w:lang w:val="fr-FR"/>
        </w:rPr>
      </w:pPr>
      <w:r>
        <w:rPr>
          <w:rFonts w:cs="Arial"/>
          <w:u w:val="single"/>
          <w:lang w:val="fr-FR"/>
        </w:rPr>
        <w:t xml:space="preserve">Activités visant à mettre en œuvre la Résolution 11.17 (Rev.COP13) et les Décisions 13.34 à 13.38 </w:t>
      </w:r>
    </w:p>
    <w:p w14:paraId="770E5937" w14:textId="77777777" w:rsidR="000632E9" w:rsidRPr="00BF397B" w:rsidRDefault="000632E9" w:rsidP="00F4473E">
      <w:pPr>
        <w:spacing w:after="0"/>
        <w:jc w:val="both"/>
        <w:rPr>
          <w:rFonts w:cs="Arial"/>
          <w:u w:val="single"/>
          <w:lang w:val="fr-FR"/>
        </w:rPr>
      </w:pPr>
    </w:p>
    <w:p w14:paraId="3149171B" w14:textId="5CA7B55D" w:rsidR="001D7217" w:rsidRDefault="001D7217" w:rsidP="00EF6138">
      <w:pPr>
        <w:pStyle w:val="ListParagraph"/>
        <w:widowControl w:val="0"/>
        <w:numPr>
          <w:ilvl w:val="0"/>
          <w:numId w:val="20"/>
        </w:numPr>
        <w:autoSpaceDE w:val="0"/>
        <w:autoSpaceDN w:val="0"/>
        <w:adjustRightInd w:val="0"/>
        <w:spacing w:after="0" w:line="240" w:lineRule="auto"/>
        <w:ind w:left="567" w:hanging="567"/>
        <w:contextualSpacing w:val="0"/>
        <w:jc w:val="both"/>
        <w:rPr>
          <w:lang w:val="fr-FR"/>
        </w:rPr>
      </w:pPr>
      <w:r>
        <w:rPr>
          <w:lang w:val="fr-FR"/>
        </w:rPr>
        <w:t xml:space="preserve">Pendant cette période d'intersession, le Secrétariat de la CMS a coopéré activement avec les Parties de la CMS et les parties prenantes pour améliorer le </w:t>
      </w:r>
      <w:r>
        <w:rPr>
          <w:color w:val="000000" w:themeColor="text1"/>
          <w:lang w:val="fr-FR"/>
        </w:rPr>
        <w:t>Programme de travail de l'AEMLAP</w:t>
      </w:r>
      <w:r>
        <w:rPr>
          <w:lang w:val="fr-FR"/>
        </w:rPr>
        <w:t xml:space="preserve"> et son impact sur l'état de conservation des espèces couvertes par ce Plan d'action.</w:t>
      </w:r>
    </w:p>
    <w:p w14:paraId="32D90E11" w14:textId="77777777" w:rsidR="00661875" w:rsidDel="00C21E0E" w:rsidRDefault="00661875" w:rsidP="00EF6138">
      <w:pPr>
        <w:pStyle w:val="ListParagraph"/>
        <w:widowControl w:val="0"/>
        <w:autoSpaceDE w:val="0"/>
        <w:autoSpaceDN w:val="0"/>
        <w:adjustRightInd w:val="0"/>
        <w:spacing w:after="0" w:line="240" w:lineRule="auto"/>
        <w:ind w:left="567"/>
        <w:contextualSpacing w:val="0"/>
        <w:jc w:val="both"/>
        <w:rPr>
          <w:lang w:val="fr-FR"/>
        </w:rPr>
      </w:pPr>
    </w:p>
    <w:p w14:paraId="4D26A5D9" w14:textId="734320D6" w:rsidR="00EA0399" w:rsidRPr="008B161F" w:rsidRDefault="005B2153" w:rsidP="00EF6138">
      <w:pPr>
        <w:pStyle w:val="ListParagraph"/>
        <w:numPr>
          <w:ilvl w:val="0"/>
          <w:numId w:val="20"/>
        </w:numPr>
        <w:spacing w:after="0" w:line="240" w:lineRule="auto"/>
        <w:ind w:left="567" w:hanging="567"/>
        <w:contextualSpacing w:val="0"/>
        <w:jc w:val="both"/>
        <w:rPr>
          <w:lang w:val="fr-FR"/>
        </w:rPr>
      </w:pPr>
      <w:r>
        <w:rPr>
          <w:rFonts w:eastAsia="Calibri" w:cs="Arial"/>
          <w:lang w:val="fr-FR"/>
        </w:rPr>
        <w:t xml:space="preserve">Pour soutenir la mise en œuvre de la décision 13.35 (a), le Secrétariat a soutenu le Groupe de travail AEML </w:t>
      </w:r>
      <w:r>
        <w:rPr>
          <w:rFonts w:eastAsia="Calibri" w:cs="Arial"/>
          <w:color w:val="000000" w:themeColor="text1"/>
          <w:lang w:val="fr-FR"/>
        </w:rPr>
        <w:t>dans la poursuite</w:t>
      </w:r>
      <w:r>
        <w:rPr>
          <w:color w:val="000000" w:themeColor="text1"/>
          <w:lang w:val="fr-FR"/>
        </w:rPr>
        <w:t xml:space="preserve"> de ses travaux</w:t>
      </w:r>
      <w:r>
        <w:rPr>
          <w:rFonts w:eastAsia="Calibri" w:cs="Arial"/>
          <w:color w:val="000000" w:themeColor="text1"/>
          <w:lang w:val="fr-FR"/>
        </w:rPr>
        <w:t xml:space="preserve">, </w:t>
      </w:r>
      <w:r>
        <w:rPr>
          <w:rFonts w:eastAsia="Calibri" w:cs="Arial"/>
          <w:lang w:val="fr-FR"/>
        </w:rPr>
        <w:t xml:space="preserve">en lançant un appel en 2023 demandant à tous les États de l'aire de répartition de l'AEMLAP de revalider et d'étendre </w:t>
      </w:r>
      <w:r>
        <w:rPr>
          <w:rFonts w:eastAsia="Calibri" w:cs="Arial"/>
          <w:lang w:val="fr-FR"/>
        </w:rPr>
        <w:lastRenderedPageBreak/>
        <w:t xml:space="preserve">l'adhésion au GT AEML dans toute l'aire de répartition de l'AEMLAP, </w:t>
      </w:r>
      <w:r>
        <w:rPr>
          <w:color w:val="000000" w:themeColor="text1"/>
          <w:lang w:val="fr-FR"/>
        </w:rPr>
        <w:t xml:space="preserve">et en conséquence, a mis à jour la liste des membres </w:t>
      </w:r>
      <w:r>
        <w:rPr>
          <w:lang w:val="fr-FR"/>
        </w:rPr>
        <w:t>.</w:t>
      </w:r>
    </w:p>
    <w:p w14:paraId="5D4059C0" w14:textId="77777777" w:rsidR="00924647" w:rsidRPr="008B161F" w:rsidRDefault="00924647" w:rsidP="00EF6138">
      <w:pPr>
        <w:pStyle w:val="ListParagraph"/>
        <w:spacing w:after="0" w:line="240" w:lineRule="auto"/>
        <w:ind w:left="567"/>
        <w:contextualSpacing w:val="0"/>
        <w:jc w:val="both"/>
        <w:rPr>
          <w:lang w:val="fr-FR"/>
        </w:rPr>
      </w:pPr>
    </w:p>
    <w:p w14:paraId="16593F60" w14:textId="77777777" w:rsidR="00D6567D" w:rsidRDefault="006E0F57"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L'unité de coordination du Groupe de travail AEML a été établie à la Station ornithologique suisse (SOI - </w:t>
      </w:r>
      <w:proofErr w:type="spellStart"/>
      <w:r>
        <w:rPr>
          <w:rFonts w:eastAsia="Calibri" w:cs="Arial"/>
          <w:lang w:val="fr-FR"/>
        </w:rPr>
        <w:t>Vogelwarte</w:t>
      </w:r>
      <w:proofErr w:type="spellEnd"/>
      <w:r>
        <w:rPr>
          <w:rFonts w:eastAsia="Calibri" w:cs="Arial"/>
          <w:lang w:val="fr-FR"/>
        </w:rPr>
        <w:t xml:space="preserve"> Sempach) en 2022 par le biais d'un accord de financement à petite échelle, contribuant ainsi à la mise en œuvre de la décision 13.36 (b).</w:t>
      </w:r>
    </w:p>
    <w:p w14:paraId="78E10868" w14:textId="77777777" w:rsidR="009238EA" w:rsidRPr="009238EA" w:rsidRDefault="009238EA" w:rsidP="00EF6138">
      <w:pPr>
        <w:pStyle w:val="ListParagraph"/>
        <w:spacing w:after="0" w:line="240" w:lineRule="auto"/>
        <w:contextualSpacing w:val="0"/>
        <w:jc w:val="both"/>
        <w:rPr>
          <w:rFonts w:eastAsia="Calibri" w:cs="Arial"/>
          <w:lang w:val="fr-FR"/>
        </w:rPr>
      </w:pPr>
    </w:p>
    <w:p w14:paraId="202DDFFF" w14:textId="51363C81" w:rsidR="00130343" w:rsidRPr="00AF28DF" w:rsidRDefault="000A2CCD"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Secrétariat a mené une enquête pour évaluer l'état d'avancement de la mise en œuvre du programme de travail 2016-2020 du GT AEML, afin de soutenir la mise en œuvre de la décision 13.38. Les principaux obstacles à la mise en œuvre ont été identifiés comme étant : le manque de </w:t>
      </w:r>
      <w:r>
        <w:rPr>
          <w:color w:val="000000" w:themeColor="text1"/>
          <w:lang w:val="fr-FR"/>
        </w:rPr>
        <w:t>financement pour la coordination et la mise en œuvre du programme de travail</w:t>
      </w:r>
      <w:r>
        <w:rPr>
          <w:rFonts w:eastAsia="Calibri" w:cs="Arial"/>
          <w:lang w:val="fr-FR"/>
        </w:rPr>
        <w:t xml:space="preserve"> et pour le travail et le suivi sur le terrain, la pandémie de COVID-19, le manque d'expertise et de capacité, et l'instabilité politique dans certaines régions clés. Sur la base de l'enquête, la préparation d'une version actualisée du programme de travail du GT AEML pour </w:t>
      </w:r>
      <w:hyperlink r:id="rId17" w:history="1">
        <w:r>
          <w:rPr>
            <w:rStyle w:val="Hyperlink"/>
            <w:rFonts w:eastAsia="Calibri" w:cs="Arial"/>
            <w:lang w:val="fr-FR"/>
          </w:rPr>
          <w:t>les années 2021-2026</w:t>
        </w:r>
      </w:hyperlink>
      <w:r>
        <w:rPr>
          <w:rFonts w:eastAsia="Calibri" w:cs="Arial"/>
          <w:lang w:val="fr-FR"/>
        </w:rPr>
        <w:t xml:space="preserve"> a été coordonnée par le groupe directeur (GD) de l'AEML, soutenue par le SOI et approuvée par correspondance électronique par le GT AEML en novembre 2022, complétant ainsi la décision 13.38.</w:t>
      </w:r>
    </w:p>
    <w:p w14:paraId="1AF70AB6" w14:textId="77777777" w:rsidR="00E43464" w:rsidRPr="009238EA" w:rsidRDefault="00E43464" w:rsidP="00EF6138">
      <w:pPr>
        <w:pStyle w:val="ListParagraph"/>
        <w:spacing w:after="0" w:line="240" w:lineRule="auto"/>
        <w:contextualSpacing w:val="0"/>
        <w:jc w:val="both"/>
        <w:rPr>
          <w:rFonts w:eastAsia="Calibri" w:cs="Arial"/>
          <w:lang w:val="fr-FR"/>
        </w:rPr>
      </w:pPr>
    </w:p>
    <w:p w14:paraId="311225F9" w14:textId="481934E2" w:rsidR="003B7CD9" w:rsidRDefault="00F938D3"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Les membres du GD de l'AEML ont fait la promotion de l'AEMLAP lors de divers congrès, tels que le Congrès ornithologique panafricain (Ouganda, novembre 2022) et la 4</w:t>
      </w:r>
      <w:r>
        <w:rPr>
          <w:rFonts w:eastAsia="Calibri" w:cs="Arial"/>
          <w:vertAlign w:val="superscript"/>
          <w:lang w:val="fr-FR"/>
        </w:rPr>
        <w:t xml:space="preserve">ème </w:t>
      </w:r>
      <w:r>
        <w:rPr>
          <w:rFonts w:eastAsia="Calibri" w:cs="Arial"/>
          <w:lang w:val="fr-FR"/>
        </w:rPr>
        <w:t xml:space="preserve"> </w:t>
      </w:r>
      <w:hyperlink r:id="rId18" w:history="1">
        <w:r>
          <w:rPr>
            <w:rFonts w:eastAsia="Calibri" w:cs="Arial"/>
            <w:lang w:val="fr-FR"/>
          </w:rPr>
          <w:t>réunion des États de l'aire de répartition de la voie de migration d'Asie centrale</w:t>
        </w:r>
      </w:hyperlink>
      <w:r>
        <w:rPr>
          <w:rFonts w:eastAsia="Calibri" w:cs="Arial"/>
          <w:lang w:val="fr-FR"/>
        </w:rPr>
        <w:t xml:space="preserve"> (Inde, mai 2023), afin de promouvoir les synergies entre les deux processus.</w:t>
      </w:r>
    </w:p>
    <w:p w14:paraId="001BE520" w14:textId="77777777" w:rsidR="00390437" w:rsidRPr="009238EA" w:rsidRDefault="00390437" w:rsidP="00EF6138">
      <w:pPr>
        <w:pStyle w:val="ListParagraph"/>
        <w:spacing w:after="0" w:line="240" w:lineRule="auto"/>
        <w:ind w:left="567"/>
        <w:contextualSpacing w:val="0"/>
        <w:jc w:val="both"/>
        <w:rPr>
          <w:rFonts w:eastAsia="Calibri" w:cs="Arial"/>
          <w:lang w:val="fr-FR"/>
        </w:rPr>
      </w:pPr>
    </w:p>
    <w:p w14:paraId="07A0F328" w14:textId="1E93C652" w:rsidR="000F2443" w:rsidRDefault="00BF1124"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Les membres du GT AEML et le Secrétariat ont également soutenu un projet géré par la Cambridge Conservation Initiative, </w:t>
      </w:r>
      <w:hyperlink r:id="rId19" w:history="1">
        <w:proofErr w:type="spellStart"/>
        <w:r>
          <w:rPr>
            <w:rStyle w:val="Hyperlink"/>
            <w:rFonts w:eastAsia="Calibri" w:cs="Arial"/>
            <w:i/>
            <w:iCs/>
            <w:lang w:val="fr-FR"/>
          </w:rPr>
          <w:t>Integrating</w:t>
        </w:r>
        <w:proofErr w:type="spellEnd"/>
        <w:r>
          <w:rPr>
            <w:rStyle w:val="Hyperlink"/>
            <w:rFonts w:eastAsia="Calibri" w:cs="Arial"/>
            <w:i/>
            <w:iCs/>
            <w:lang w:val="fr-FR"/>
          </w:rPr>
          <w:t xml:space="preserve"> science, </w:t>
        </w:r>
        <w:proofErr w:type="spellStart"/>
        <w:r>
          <w:rPr>
            <w:rStyle w:val="Hyperlink"/>
            <w:rFonts w:eastAsia="Calibri" w:cs="Arial"/>
            <w:i/>
            <w:iCs/>
            <w:lang w:val="fr-FR"/>
          </w:rPr>
          <w:t>policy</w:t>
        </w:r>
        <w:proofErr w:type="spellEnd"/>
        <w:r>
          <w:rPr>
            <w:rStyle w:val="Hyperlink"/>
            <w:rFonts w:eastAsia="Calibri" w:cs="Arial"/>
            <w:i/>
            <w:iCs/>
            <w:lang w:val="fr-FR"/>
          </w:rPr>
          <w:t xml:space="preserve"> and </w:t>
        </w:r>
        <w:proofErr w:type="spellStart"/>
        <w:r>
          <w:rPr>
            <w:rStyle w:val="Hyperlink"/>
            <w:rFonts w:eastAsia="Calibri" w:cs="Arial"/>
            <w:i/>
            <w:iCs/>
            <w:lang w:val="fr-FR"/>
          </w:rPr>
          <w:t>sustainable</w:t>
        </w:r>
        <w:proofErr w:type="spellEnd"/>
        <w:r>
          <w:rPr>
            <w:rStyle w:val="Hyperlink"/>
            <w:rFonts w:eastAsia="Calibri" w:cs="Arial"/>
            <w:i/>
            <w:iCs/>
            <w:lang w:val="fr-FR"/>
          </w:rPr>
          <w:t xml:space="preserve"> </w:t>
        </w:r>
        <w:proofErr w:type="spellStart"/>
        <w:r>
          <w:rPr>
            <w:rStyle w:val="Hyperlink"/>
            <w:rFonts w:eastAsia="Calibri" w:cs="Arial"/>
            <w:i/>
            <w:iCs/>
            <w:lang w:val="fr-FR"/>
          </w:rPr>
          <w:t>development</w:t>
        </w:r>
        <w:proofErr w:type="spellEnd"/>
        <w:r>
          <w:rPr>
            <w:rStyle w:val="Hyperlink"/>
            <w:rFonts w:eastAsia="Calibri" w:cs="Arial"/>
            <w:i/>
            <w:iCs/>
            <w:lang w:val="fr-FR"/>
          </w:rPr>
          <w:t xml:space="preserve"> to </w:t>
        </w:r>
        <w:proofErr w:type="spellStart"/>
        <w:r>
          <w:rPr>
            <w:rStyle w:val="Hyperlink"/>
            <w:rFonts w:eastAsia="Calibri" w:cs="Arial"/>
            <w:i/>
            <w:iCs/>
            <w:lang w:val="fr-FR"/>
          </w:rPr>
          <w:t>address</w:t>
        </w:r>
        <w:proofErr w:type="spellEnd"/>
        <w:r>
          <w:rPr>
            <w:rStyle w:val="Hyperlink"/>
            <w:rFonts w:eastAsia="Calibri" w:cs="Arial"/>
            <w:i/>
            <w:iCs/>
            <w:lang w:val="fr-FR"/>
          </w:rPr>
          <w:t xml:space="preserve"> African-</w:t>
        </w:r>
        <w:proofErr w:type="spellStart"/>
        <w:r>
          <w:rPr>
            <w:rStyle w:val="Hyperlink"/>
            <w:rFonts w:eastAsia="Calibri" w:cs="Arial"/>
            <w:i/>
            <w:iCs/>
            <w:lang w:val="fr-FR"/>
          </w:rPr>
          <w:t>Eurasian</w:t>
        </w:r>
        <w:proofErr w:type="spellEnd"/>
        <w:r>
          <w:rPr>
            <w:rStyle w:val="Hyperlink"/>
            <w:rFonts w:eastAsia="Calibri" w:cs="Arial"/>
            <w:i/>
            <w:iCs/>
            <w:lang w:val="fr-FR"/>
          </w:rPr>
          <w:t xml:space="preserve"> migrant </w:t>
        </w:r>
        <w:proofErr w:type="spellStart"/>
        <w:r>
          <w:rPr>
            <w:rStyle w:val="Hyperlink"/>
            <w:rFonts w:eastAsia="Calibri" w:cs="Arial"/>
            <w:i/>
            <w:iCs/>
            <w:lang w:val="fr-FR"/>
          </w:rPr>
          <w:t>landbird</w:t>
        </w:r>
        <w:proofErr w:type="spellEnd"/>
        <w:r>
          <w:rPr>
            <w:rStyle w:val="Hyperlink"/>
            <w:rFonts w:eastAsia="Calibri" w:cs="Arial"/>
            <w:i/>
            <w:iCs/>
            <w:lang w:val="fr-FR"/>
          </w:rPr>
          <w:t xml:space="preserve"> </w:t>
        </w:r>
        <w:proofErr w:type="spellStart"/>
        <w:r>
          <w:rPr>
            <w:rStyle w:val="Hyperlink"/>
            <w:rFonts w:eastAsia="Calibri" w:cs="Arial"/>
            <w:i/>
            <w:iCs/>
            <w:lang w:val="fr-FR"/>
          </w:rPr>
          <w:t>declines</w:t>
        </w:r>
        <w:proofErr w:type="spellEnd"/>
      </w:hyperlink>
      <w:r>
        <w:rPr>
          <w:rFonts w:eastAsia="Calibri" w:cs="Arial"/>
          <w:lang w:val="fr-FR"/>
        </w:rPr>
        <w:t xml:space="preserve">, (Intégrer la science, la politique et le développement durable pour faire face au déclin des oiseaux terrestres migrateurs d'Afrique-Eurasie) : Perspectives africaines sur une question concernant l'ensemble de la voie de migration, qui a débuté en 2020. </w:t>
      </w:r>
    </w:p>
    <w:p w14:paraId="4DC3F269" w14:textId="77777777" w:rsidR="00746B94" w:rsidRPr="00EF6138" w:rsidRDefault="00746B94" w:rsidP="00EF6138">
      <w:pPr>
        <w:spacing w:after="0" w:line="240" w:lineRule="auto"/>
        <w:jc w:val="both"/>
        <w:rPr>
          <w:rFonts w:eastAsia="Calibri" w:cs="Arial"/>
          <w:lang w:val="fr-FR"/>
        </w:rPr>
      </w:pPr>
    </w:p>
    <w:p w14:paraId="7DE82442" w14:textId="32A3EDA6" w:rsidR="00746B94" w:rsidRPr="00746B94" w:rsidRDefault="009621C5" w:rsidP="00EF6138">
      <w:pPr>
        <w:pStyle w:val="ListParagraph"/>
        <w:numPr>
          <w:ilvl w:val="0"/>
          <w:numId w:val="20"/>
        </w:numPr>
        <w:spacing w:after="0" w:line="240" w:lineRule="auto"/>
        <w:ind w:left="567" w:hanging="567"/>
        <w:contextualSpacing w:val="0"/>
        <w:jc w:val="both"/>
        <w:rPr>
          <w:rFonts w:eastAsia="Calibri" w:cs="Arial"/>
          <w:lang w:val="fr-FR"/>
        </w:rPr>
      </w:pPr>
      <w:r>
        <w:rPr>
          <w:rFonts w:cs="Arial"/>
          <w:lang w:val="fr-FR"/>
        </w:rPr>
        <w:t xml:space="preserve">Le GT AEML a renouvelé son soutien (reporté de son précédent programme de travail) au projet </w:t>
      </w:r>
      <w:proofErr w:type="spellStart"/>
      <w:r>
        <w:rPr>
          <w:rFonts w:cs="Arial"/>
          <w:lang w:val="fr-FR"/>
        </w:rPr>
        <w:t>AfriBiRds</w:t>
      </w:r>
      <w:proofErr w:type="spellEnd"/>
      <w:r>
        <w:rPr>
          <w:rFonts w:cs="Arial"/>
          <w:lang w:val="fr-FR"/>
        </w:rPr>
        <w:t xml:space="preserve">. Dans le cadre de ce projet, une </w:t>
      </w:r>
      <w:hyperlink r:id="rId20" w:history="1">
        <w:r>
          <w:rPr>
            <w:rStyle w:val="Hyperlink"/>
            <w:rFonts w:cs="Arial"/>
            <w:lang w:val="fr-FR"/>
          </w:rPr>
          <w:t>boîte à outils de surveillance</w:t>
        </w:r>
      </w:hyperlink>
      <w:r>
        <w:rPr>
          <w:rFonts w:cs="Arial"/>
          <w:lang w:val="fr-FR"/>
        </w:rPr>
        <w:t xml:space="preserve"> a été développée pour former les personnes sur le terrain à la surveillance des oiseaux terrestres. Des ressources et des informations supplémentaires sont disponibles en ligne sur le site web de la </w:t>
      </w:r>
      <w:hyperlink r:id="rId21" w:history="1">
        <w:r>
          <w:rPr>
            <w:rStyle w:val="Hyperlink"/>
            <w:rFonts w:cs="Arial"/>
            <w:lang w:val="fr-FR"/>
          </w:rPr>
          <w:t xml:space="preserve">NABU </w:t>
        </w:r>
        <w:proofErr w:type="spellStart"/>
        <w:r>
          <w:rPr>
            <w:rStyle w:val="Hyperlink"/>
            <w:rFonts w:cs="Arial"/>
            <w:lang w:val="fr-FR"/>
          </w:rPr>
          <w:t>AfriBiRds</w:t>
        </w:r>
        <w:proofErr w:type="spellEnd"/>
      </w:hyperlink>
      <w:r>
        <w:rPr>
          <w:rFonts w:cs="Arial"/>
          <w:lang w:val="fr-FR"/>
        </w:rPr>
        <w:t>.</w:t>
      </w:r>
    </w:p>
    <w:p w14:paraId="7E8473BB" w14:textId="77777777" w:rsidR="00390437" w:rsidRPr="000F2443" w:rsidRDefault="00390437" w:rsidP="00EF6138">
      <w:pPr>
        <w:pStyle w:val="ListParagraph"/>
        <w:spacing w:after="0" w:line="240" w:lineRule="auto"/>
        <w:ind w:left="567"/>
        <w:contextualSpacing w:val="0"/>
        <w:jc w:val="both"/>
        <w:rPr>
          <w:rFonts w:eastAsia="Calibri" w:cs="Arial"/>
          <w:lang w:val="fr-FR"/>
        </w:rPr>
      </w:pPr>
    </w:p>
    <w:p w14:paraId="29C51DE2" w14:textId="71DBB04D" w:rsidR="001522D6" w:rsidRPr="001522D6" w:rsidRDefault="00BB7EEB"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w:t>
      </w:r>
      <w:hyperlink r:id="rId22" w:history="1">
        <w:r>
          <w:rPr>
            <w:rFonts w:eastAsia="Calibri" w:cs="Arial"/>
            <w:i/>
            <w:color w:val="0000FF"/>
            <w:u w:val="single"/>
            <w:lang w:val="fr-FR"/>
          </w:rPr>
          <w:t>p</w:t>
        </w:r>
        <w:r>
          <w:rPr>
            <w:rFonts w:eastAsia="Calibri" w:cs="Arial"/>
            <w:i/>
            <w:iCs/>
            <w:color w:val="0000FF"/>
            <w:u w:val="single"/>
            <w:lang w:val="fr-FR"/>
          </w:rPr>
          <w:t>rojet d'atlas des oiseaux d'Afrique (ABAP - African Bird Atlas Project)</w:t>
        </w:r>
      </w:hyperlink>
      <w:r>
        <w:rPr>
          <w:rFonts w:eastAsia="Calibri" w:cs="Arial"/>
          <w:i/>
          <w:color w:val="0000FF"/>
          <w:u w:val="single"/>
          <w:lang w:val="fr-FR"/>
        </w:rPr>
        <w:t>,</w:t>
      </w:r>
      <w:r>
        <w:rPr>
          <w:rFonts w:eastAsia="Calibri" w:cs="Arial"/>
          <w:lang w:val="fr-FR"/>
        </w:rPr>
        <w:t xml:space="preserve"> </w:t>
      </w:r>
      <w:r w:rsidR="00EE081B" w:rsidRPr="00EE081B">
        <w:rPr>
          <w:rFonts w:eastAsia="Calibri" w:cs="Arial"/>
          <w:lang w:val="fr-FR"/>
        </w:rPr>
        <w:t>un programme de surveillance des oiseaux par les citoyens qui repose sur un protocole robuste et reproductible (</w:t>
      </w:r>
      <w:proofErr w:type="spellStart"/>
      <w:r w:rsidR="00EE081B" w:rsidRPr="00EE081B">
        <w:rPr>
          <w:rFonts w:eastAsia="Calibri" w:cs="Arial"/>
          <w:lang w:val="fr-FR"/>
        </w:rPr>
        <w:t>BirdMap</w:t>
      </w:r>
      <w:proofErr w:type="spellEnd"/>
      <w:r w:rsidR="00EE081B" w:rsidRPr="00EE081B">
        <w:rPr>
          <w:rFonts w:eastAsia="Calibri" w:cs="Arial"/>
          <w:lang w:val="fr-FR"/>
        </w:rPr>
        <w:t>) et qui permet d'obtenir des informations sur la répartition des oiseaux d'Afrique et leur conservation, a fait l'objet d'une table ronde intitulée Projet d'atlas des oiseaux d'Afrique (ABAP) - Le plus grand besoin de l'ornithologie européenne lors d'un symposium du Conseil européen pour le recensement des oiseaux (EBCC, Lucerne, Suisse, avril 2022). La Suisse a apporté son soutien à cette réunion de l'EBCC et de l'ABAP.</w:t>
      </w:r>
    </w:p>
    <w:p w14:paraId="091A9FED" w14:textId="77777777" w:rsidR="006D2CE6" w:rsidRPr="006D2CE6" w:rsidRDefault="006D2CE6" w:rsidP="00EF6138">
      <w:pPr>
        <w:pStyle w:val="ListParagraph"/>
        <w:spacing w:after="0" w:line="240" w:lineRule="auto"/>
        <w:contextualSpacing w:val="0"/>
        <w:jc w:val="both"/>
        <w:rPr>
          <w:rFonts w:eastAsia="Calibri" w:cs="Arial"/>
          <w:lang w:val="fr-FR"/>
        </w:rPr>
      </w:pPr>
    </w:p>
    <w:p w14:paraId="78DE870F" w14:textId="0275BDF5" w:rsidR="00C87369" w:rsidRPr="009238EA" w:rsidRDefault="00A17E1A"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w:t>
      </w:r>
      <w:hyperlink r:id="rId23" w:history="1">
        <w:r>
          <w:rPr>
            <w:rStyle w:val="Hyperlink"/>
            <w:rFonts w:eastAsia="Calibri" w:cs="Arial"/>
            <w:lang w:val="fr-FR"/>
          </w:rPr>
          <w:t>projet d'atlas des migrations des oiseaux d'Eurasie et d'Afrique</w:t>
        </w:r>
      </w:hyperlink>
      <w:r>
        <w:rPr>
          <w:rFonts w:eastAsia="Calibri" w:cs="Arial"/>
          <w:lang w:val="fr-FR"/>
        </w:rPr>
        <w:t xml:space="preserve"> a été entrepris par une grande équipe internationale coordonnée par l'Union européenne pour le baguage des oiseaux (EURING),</w:t>
      </w:r>
      <w:r>
        <w:rPr>
          <w:rFonts w:eastAsia="Calibri" w:cs="Arial"/>
          <w:color w:val="000000" w:themeColor="text1"/>
          <w:lang w:val="fr-FR"/>
        </w:rPr>
        <w:t xml:space="preserve"> figurant</w:t>
      </w:r>
      <w:r>
        <w:rPr>
          <w:color w:val="000000" w:themeColor="text1"/>
          <w:lang w:val="fr-FR"/>
        </w:rPr>
        <w:t xml:space="preserve"> </w:t>
      </w:r>
      <w:r>
        <w:rPr>
          <w:rFonts w:eastAsia="Calibri" w:cs="Arial"/>
          <w:lang w:val="fr-FR"/>
        </w:rPr>
        <w:t xml:space="preserve"> des membres du groupe de travail de l'AEML. Les déplacements dans le temps et dans l'espace de 300 espèces d'oiseaux sont cartographiés et analysés à partir des données recueillies par </w:t>
      </w:r>
      <w:hyperlink r:id="rId24" w:history="1">
        <w:r>
          <w:rPr>
            <w:rStyle w:val="Hyperlink"/>
            <w:rFonts w:eastAsia="Calibri" w:cs="Arial"/>
            <w:lang w:val="fr-FR"/>
          </w:rPr>
          <w:t xml:space="preserve">les programmes European </w:t>
        </w:r>
        <w:proofErr w:type="spellStart"/>
        <w:r>
          <w:rPr>
            <w:rStyle w:val="Hyperlink"/>
            <w:rFonts w:eastAsia="Calibri" w:cs="Arial"/>
            <w:lang w:val="fr-FR"/>
          </w:rPr>
          <w:t>Ringing</w:t>
        </w:r>
        <w:proofErr w:type="spellEnd"/>
        <w:r>
          <w:rPr>
            <w:rStyle w:val="Hyperlink"/>
            <w:rFonts w:eastAsia="Calibri" w:cs="Arial"/>
            <w:lang w:val="fr-FR"/>
          </w:rPr>
          <w:t xml:space="preserve"> </w:t>
        </w:r>
        <w:proofErr w:type="spellStart"/>
        <w:r>
          <w:rPr>
            <w:rStyle w:val="Hyperlink"/>
            <w:rFonts w:eastAsia="Calibri" w:cs="Arial"/>
            <w:lang w:val="fr-FR"/>
          </w:rPr>
          <w:t>Schemes</w:t>
        </w:r>
        <w:proofErr w:type="spellEnd"/>
      </w:hyperlink>
      <w:r>
        <w:rPr>
          <w:rFonts w:eastAsia="Calibri" w:cs="Arial"/>
          <w:lang w:val="fr-FR"/>
        </w:rPr>
        <w:t xml:space="preserve"> depuis plus d'un siècle et rassemblées dans la banque de données </w:t>
      </w:r>
      <w:hyperlink r:id="rId25" w:history="1">
        <w:r>
          <w:rPr>
            <w:rStyle w:val="Hyperlink"/>
            <w:rFonts w:eastAsia="Calibri" w:cs="Arial"/>
            <w:lang w:val="fr-FR"/>
          </w:rPr>
          <w:t>EURING</w:t>
        </w:r>
      </w:hyperlink>
      <w:r>
        <w:rPr>
          <w:rFonts w:eastAsia="Calibri" w:cs="Arial"/>
          <w:lang w:val="fr-FR"/>
        </w:rPr>
        <w:t xml:space="preserve">. Ce programme a été financé par le gouvernement italien. </w:t>
      </w:r>
    </w:p>
    <w:p w14:paraId="15E06645" w14:textId="77777777" w:rsidR="00215185" w:rsidRPr="00AF6545" w:rsidRDefault="00215185" w:rsidP="00EF6138">
      <w:pPr>
        <w:spacing w:after="0" w:line="240" w:lineRule="auto"/>
        <w:jc w:val="both"/>
        <w:rPr>
          <w:rFonts w:eastAsia="Calibri" w:cs="Arial"/>
          <w:lang w:val="fr-FR"/>
        </w:rPr>
      </w:pPr>
    </w:p>
    <w:p w14:paraId="69A1AC86" w14:textId="37F08404" w:rsidR="0082781A" w:rsidRDefault="00B50DEC"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lastRenderedPageBreak/>
        <w:t xml:space="preserve">Le secrétariat a organisé et soutenu les réunions annuelles du Groupe directeur de l'AEML afin de piloter la mise à jour du programme de travail du Groupe de travail et de soutenir le </w:t>
      </w:r>
      <w:r>
        <w:rPr>
          <w:color w:val="000000" w:themeColor="text1"/>
          <w:lang w:val="fr-FR"/>
        </w:rPr>
        <w:t xml:space="preserve">partage d'informations entre les membres </w:t>
      </w:r>
      <w:r>
        <w:rPr>
          <w:rFonts w:eastAsia="Calibri" w:cs="Arial"/>
          <w:color w:val="000000" w:themeColor="text1"/>
          <w:lang w:val="fr-FR"/>
        </w:rPr>
        <w:t>sur</w:t>
      </w:r>
      <w:r>
        <w:rPr>
          <w:color w:val="000000" w:themeColor="text1"/>
          <w:lang w:val="fr-FR"/>
        </w:rPr>
        <w:t xml:space="preserve"> </w:t>
      </w:r>
      <w:r>
        <w:rPr>
          <w:rFonts w:eastAsia="Calibri" w:cs="Arial"/>
          <w:lang w:val="fr-FR"/>
        </w:rPr>
        <w:t xml:space="preserve">les questions pertinentes et les mises à jour. Le Secrétariat s'est également réuni régulièrement avec l'Unité de Coordination du SOI. </w:t>
      </w:r>
    </w:p>
    <w:p w14:paraId="40BDFDB4" w14:textId="77777777" w:rsidR="006E1B7E" w:rsidRPr="009238EA" w:rsidRDefault="006E1B7E" w:rsidP="00EF6138">
      <w:pPr>
        <w:pStyle w:val="ListParagraph"/>
        <w:spacing w:after="0" w:line="240" w:lineRule="auto"/>
        <w:ind w:left="567"/>
        <w:contextualSpacing w:val="0"/>
        <w:jc w:val="both"/>
        <w:rPr>
          <w:rFonts w:eastAsia="Calibri" w:cs="Arial"/>
          <w:lang w:val="fr-FR"/>
        </w:rPr>
      </w:pPr>
    </w:p>
    <w:p w14:paraId="0BFA2BE3" w14:textId="5E08C35C" w:rsidR="0082781A" w:rsidRDefault="00840ADA"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Secrétariat a révisé le site web de l'AEMLAP en 2020 et 2023 et a mis à disposition le nouveau </w:t>
      </w:r>
      <w:r>
        <w:rPr>
          <w:color w:val="000000" w:themeColor="text1"/>
          <w:lang w:val="fr-FR"/>
        </w:rPr>
        <w:t>programme de travail du GT</w:t>
      </w:r>
      <w:r>
        <w:rPr>
          <w:rFonts w:eastAsia="Calibri" w:cs="Arial"/>
          <w:lang w:val="fr-FR"/>
        </w:rPr>
        <w:t xml:space="preserve"> et d'autres documents pertinents.</w:t>
      </w:r>
    </w:p>
    <w:p w14:paraId="0154AF6D" w14:textId="77777777" w:rsidR="006E1B7E" w:rsidRPr="009238EA" w:rsidRDefault="006E1B7E" w:rsidP="00EF6138">
      <w:pPr>
        <w:pStyle w:val="ListParagraph"/>
        <w:spacing w:after="0" w:line="240" w:lineRule="auto"/>
        <w:ind w:left="567"/>
        <w:contextualSpacing w:val="0"/>
        <w:jc w:val="both"/>
        <w:rPr>
          <w:rFonts w:eastAsia="Calibri" w:cs="Arial"/>
          <w:lang w:val="fr-FR"/>
        </w:rPr>
      </w:pPr>
    </w:p>
    <w:p w14:paraId="5E22671C" w14:textId="63BFC2C2" w:rsidR="00B73B68" w:rsidRDefault="00FA459C"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SOI a développé un logo qui, bien qu'il ne soit pas </w:t>
      </w:r>
      <w:r>
        <w:rPr>
          <w:color w:val="000000" w:themeColor="text1"/>
          <w:lang w:val="fr-FR"/>
        </w:rPr>
        <w:t xml:space="preserve">officiellement affilié à l'AEMLAP en tant qu'instrument de la CMS, </w:t>
      </w:r>
      <w:r>
        <w:rPr>
          <w:rFonts w:eastAsia="Calibri" w:cs="Arial"/>
          <w:lang w:val="fr-FR"/>
        </w:rPr>
        <w:t>peut être utilisé pour marquer tous les produits ou présentations liés aux oiseaux terrestres migrateurs d'Afrique-Eurasie afin de contribuer à la sensibilisation. Ce logo est disponible sur demande auprès du Secrétariat et du SOI.</w:t>
      </w:r>
    </w:p>
    <w:p w14:paraId="6F8A1A56" w14:textId="77777777" w:rsidR="00DD1279" w:rsidRPr="002C113A" w:rsidRDefault="00DD1279" w:rsidP="00EF6138">
      <w:pPr>
        <w:spacing w:after="0" w:line="240" w:lineRule="auto"/>
        <w:jc w:val="both"/>
        <w:rPr>
          <w:rFonts w:eastAsia="Calibri" w:cs="Arial"/>
          <w:lang w:val="fr-FR"/>
        </w:rPr>
      </w:pPr>
    </w:p>
    <w:p w14:paraId="39A9F5EF" w14:textId="7BE6AC9F" w:rsidR="00DD1279" w:rsidRDefault="00DD1279" w:rsidP="00EF6138">
      <w:pPr>
        <w:spacing w:after="0" w:line="240" w:lineRule="auto"/>
        <w:jc w:val="both"/>
        <w:rPr>
          <w:rFonts w:cs="Arial"/>
          <w:iCs/>
          <w:u w:val="single"/>
          <w:lang w:val="fr-FR"/>
        </w:rPr>
      </w:pPr>
      <w:r>
        <w:rPr>
          <w:rFonts w:cs="Arial"/>
          <w:iCs/>
          <w:u w:val="single"/>
          <w:lang w:val="fr-FR"/>
        </w:rPr>
        <w:t>Plans d'action par espèce élaborés en collaboration avec l'AEMLAP</w:t>
      </w:r>
    </w:p>
    <w:p w14:paraId="70039080" w14:textId="77777777" w:rsidR="008E1A51" w:rsidRDefault="008E1A51" w:rsidP="00EF6138">
      <w:pPr>
        <w:spacing w:after="0" w:line="240" w:lineRule="auto"/>
        <w:jc w:val="both"/>
        <w:rPr>
          <w:rFonts w:cs="Arial"/>
          <w:i/>
          <w:lang w:val="fr-FR"/>
        </w:rPr>
      </w:pPr>
    </w:p>
    <w:p w14:paraId="50135FBE" w14:textId="0B256C21" w:rsidR="006A7F44" w:rsidRDefault="006A7F44" w:rsidP="00EF6138">
      <w:pPr>
        <w:pStyle w:val="ListParagraph"/>
        <w:numPr>
          <w:ilvl w:val="0"/>
          <w:numId w:val="20"/>
        </w:numPr>
        <w:spacing w:after="0" w:line="240" w:lineRule="auto"/>
        <w:ind w:left="567" w:hanging="567"/>
        <w:contextualSpacing w:val="0"/>
        <w:jc w:val="both"/>
        <w:rPr>
          <w:rFonts w:cs="Arial"/>
          <w:iCs/>
          <w:lang w:val="fr-FR"/>
        </w:rPr>
      </w:pPr>
      <w:r>
        <w:rPr>
          <w:rFonts w:cs="Arial"/>
          <w:iCs/>
          <w:lang w:val="fr-FR"/>
        </w:rPr>
        <w:t>Un rapport d'avancement des activités relatives au bruant à poitrine jaune (</w:t>
      </w:r>
      <w:proofErr w:type="spellStart"/>
      <w:r>
        <w:rPr>
          <w:rFonts w:cs="Arial"/>
          <w:i/>
          <w:lang w:val="fr-FR"/>
        </w:rPr>
        <w:t>Emberiza</w:t>
      </w:r>
      <w:proofErr w:type="spellEnd"/>
      <w:r>
        <w:rPr>
          <w:rFonts w:cs="Arial"/>
          <w:i/>
          <w:lang w:val="fr-FR"/>
        </w:rPr>
        <w:t xml:space="preserve"> </w:t>
      </w:r>
      <w:proofErr w:type="spellStart"/>
      <w:r>
        <w:rPr>
          <w:rFonts w:cs="Arial"/>
          <w:i/>
          <w:lang w:val="fr-FR"/>
        </w:rPr>
        <w:t>aureola</w:t>
      </w:r>
      <w:proofErr w:type="spellEnd"/>
      <w:r>
        <w:rPr>
          <w:rFonts w:cs="Arial"/>
          <w:iCs/>
          <w:lang w:val="fr-FR"/>
        </w:rPr>
        <w:t>), à la tourterelle des bois</w:t>
      </w:r>
      <w:r>
        <w:rPr>
          <w:rFonts w:cs="Arial"/>
          <w:i/>
          <w:lang w:val="fr-FR"/>
        </w:rPr>
        <w:t xml:space="preserve"> </w:t>
      </w:r>
      <w:r>
        <w:rPr>
          <w:rFonts w:cs="Arial"/>
          <w:color w:val="000000"/>
          <w:shd w:val="clear" w:color="auto" w:fill="FFFFFF"/>
          <w:lang w:val="fr-FR"/>
        </w:rPr>
        <w:t>(</w:t>
      </w:r>
      <w:proofErr w:type="spellStart"/>
      <w:r>
        <w:rPr>
          <w:rFonts w:cs="Arial"/>
          <w:i/>
          <w:iCs/>
          <w:color w:val="000000"/>
          <w:shd w:val="clear" w:color="auto" w:fill="FFFFFF"/>
          <w:lang w:val="fr-FR"/>
        </w:rPr>
        <w:t>Streptopelia</w:t>
      </w:r>
      <w:proofErr w:type="spellEnd"/>
      <w:r>
        <w:rPr>
          <w:rFonts w:cs="Arial"/>
          <w:i/>
          <w:iCs/>
          <w:color w:val="000000"/>
          <w:shd w:val="clear" w:color="auto" w:fill="FFFFFF"/>
          <w:lang w:val="fr-FR"/>
        </w:rPr>
        <w:t xml:space="preserve"> </w:t>
      </w:r>
      <w:proofErr w:type="spellStart"/>
      <w:r>
        <w:rPr>
          <w:rFonts w:cs="Arial"/>
          <w:i/>
          <w:iCs/>
          <w:color w:val="000000"/>
          <w:shd w:val="clear" w:color="auto" w:fill="FFFFFF"/>
          <w:lang w:val="fr-FR"/>
        </w:rPr>
        <w:t>turtur</w:t>
      </w:r>
      <w:proofErr w:type="spellEnd"/>
      <w:r>
        <w:rPr>
          <w:rFonts w:cs="Arial"/>
          <w:color w:val="000000"/>
          <w:shd w:val="clear" w:color="auto" w:fill="FFFFFF"/>
          <w:lang w:val="fr-FR"/>
        </w:rPr>
        <w:t xml:space="preserve">) et au rollier </w:t>
      </w:r>
      <w:proofErr w:type="spellStart"/>
      <w:r>
        <w:rPr>
          <w:rFonts w:cs="Arial"/>
          <w:color w:val="000000"/>
          <w:shd w:val="clear" w:color="auto" w:fill="FFFFFF"/>
          <w:lang w:val="fr-FR"/>
        </w:rPr>
        <w:t>d'europe</w:t>
      </w:r>
      <w:proofErr w:type="spellEnd"/>
      <w:r>
        <w:rPr>
          <w:rFonts w:cs="Arial"/>
          <w:color w:val="000000"/>
          <w:shd w:val="clear" w:color="auto" w:fill="FFFFFF"/>
          <w:lang w:val="fr-FR"/>
        </w:rPr>
        <w:t xml:space="preserve"> (</w:t>
      </w:r>
      <w:proofErr w:type="spellStart"/>
      <w:r>
        <w:rPr>
          <w:rFonts w:cs="Arial"/>
          <w:i/>
          <w:iCs/>
          <w:color w:val="000000"/>
          <w:shd w:val="clear" w:color="auto" w:fill="FFFFFF"/>
          <w:lang w:val="fr-FR"/>
        </w:rPr>
        <w:t>Coracias</w:t>
      </w:r>
      <w:proofErr w:type="spellEnd"/>
      <w:r>
        <w:rPr>
          <w:rFonts w:cs="Arial"/>
          <w:i/>
          <w:iCs/>
          <w:color w:val="000000"/>
          <w:shd w:val="clear" w:color="auto" w:fill="FFFFFF"/>
          <w:lang w:val="fr-FR"/>
        </w:rPr>
        <w:t xml:space="preserve"> </w:t>
      </w:r>
      <w:proofErr w:type="spellStart"/>
      <w:r>
        <w:rPr>
          <w:rFonts w:cs="Arial"/>
          <w:i/>
          <w:iCs/>
          <w:color w:val="000000"/>
          <w:shd w:val="clear" w:color="auto" w:fill="FFFFFF"/>
          <w:lang w:val="fr-FR"/>
        </w:rPr>
        <w:t>garrulus</w:t>
      </w:r>
      <w:proofErr w:type="spellEnd"/>
      <w:r>
        <w:rPr>
          <w:rFonts w:cs="Arial"/>
          <w:color w:val="000000"/>
          <w:shd w:val="clear" w:color="auto" w:fill="FFFFFF"/>
          <w:lang w:val="fr-FR"/>
        </w:rPr>
        <w:t>)</w:t>
      </w:r>
      <w:r>
        <w:rPr>
          <w:rFonts w:cs="Arial"/>
          <w:iCs/>
          <w:lang w:val="fr-FR"/>
        </w:rPr>
        <w:t xml:space="preserve"> est inclus dans le document </w:t>
      </w:r>
      <w:hyperlink r:id="rId26" w:history="1">
        <w:r>
          <w:rPr>
            <w:rStyle w:val="Hyperlink"/>
            <w:rFonts w:cs="Arial"/>
            <w:iCs/>
            <w:lang w:val="fr-FR"/>
          </w:rPr>
          <w:t>UNEP/CMS/COP14/Doc.28.5.1</w:t>
        </w:r>
      </w:hyperlink>
      <w:r>
        <w:rPr>
          <w:rFonts w:cs="Arial"/>
          <w:i/>
          <w:lang w:val="fr-FR"/>
        </w:rPr>
        <w:t>Plans d'action pour les oiseaux</w:t>
      </w:r>
      <w:r>
        <w:rPr>
          <w:rFonts w:cs="Arial"/>
          <w:iCs/>
          <w:lang w:val="fr-FR"/>
        </w:rPr>
        <w:t>.</w:t>
      </w:r>
    </w:p>
    <w:p w14:paraId="3B2917A4" w14:textId="77777777" w:rsidR="00E73A6D" w:rsidRDefault="00E73A6D" w:rsidP="00EF6138">
      <w:pPr>
        <w:spacing w:after="0" w:line="240" w:lineRule="auto"/>
        <w:jc w:val="both"/>
        <w:rPr>
          <w:rFonts w:cs="Arial"/>
          <w:i/>
          <w:lang w:val="fr-FR"/>
        </w:rPr>
      </w:pPr>
    </w:p>
    <w:p w14:paraId="5B3B00BC" w14:textId="055FC333" w:rsidR="00661875" w:rsidRPr="00CD0FE9" w:rsidRDefault="00F179C7" w:rsidP="00EF6138">
      <w:pPr>
        <w:spacing w:after="0" w:line="240" w:lineRule="auto"/>
        <w:jc w:val="both"/>
        <w:rPr>
          <w:rFonts w:cs="Arial"/>
          <w:u w:val="single"/>
          <w:lang w:val="fr-FR"/>
        </w:rPr>
      </w:pPr>
      <w:r>
        <w:rPr>
          <w:rFonts w:cs="Arial"/>
          <w:u w:val="single"/>
          <w:lang w:val="fr-FR"/>
        </w:rPr>
        <w:t>Défis dans la mise en œuvre de l'AEMLAP et du programme de travail de l'AEML</w:t>
      </w:r>
    </w:p>
    <w:p w14:paraId="01980C22" w14:textId="77777777" w:rsidR="00661875" w:rsidRPr="00CD0FE9" w:rsidRDefault="00661875" w:rsidP="00EF6138">
      <w:pPr>
        <w:spacing w:after="0" w:line="240" w:lineRule="auto"/>
        <w:jc w:val="both"/>
        <w:rPr>
          <w:rFonts w:cs="Arial"/>
          <w:lang w:val="fr-FR"/>
        </w:rPr>
      </w:pPr>
    </w:p>
    <w:p w14:paraId="4116340A" w14:textId="7D5A60C7" w:rsidR="00661875" w:rsidRPr="00273704" w:rsidRDefault="00891BDF"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Bien que le Groupe directeur du GT AEML soit très actif, l'activité et la réactivité de l'ensemble des membres du GT sont limitées, malgré les nombreux messages du Secrétariat et du Président. Le fait </w:t>
      </w:r>
      <w:r>
        <w:rPr>
          <w:color w:val="000000" w:themeColor="text1"/>
          <w:lang w:val="fr-FR"/>
        </w:rPr>
        <w:t xml:space="preserve">que seuls </w:t>
      </w:r>
      <w:r>
        <w:rPr>
          <w:rFonts w:eastAsia="Calibri" w:cs="Arial"/>
          <w:color w:val="000000" w:themeColor="text1"/>
          <w:lang w:val="fr-FR"/>
        </w:rPr>
        <w:t xml:space="preserve">58 des </w:t>
      </w:r>
      <w:r>
        <w:rPr>
          <w:color w:val="000000" w:themeColor="text1"/>
          <w:lang w:val="fr-FR"/>
        </w:rPr>
        <w:t xml:space="preserve">129 </w:t>
      </w:r>
      <w:r>
        <w:rPr>
          <w:rFonts w:eastAsia="Calibri" w:cs="Arial"/>
          <w:color w:val="000000" w:themeColor="text1"/>
          <w:lang w:val="fr-FR"/>
        </w:rPr>
        <w:t xml:space="preserve">États </w:t>
      </w:r>
      <w:r>
        <w:rPr>
          <w:color w:val="000000" w:themeColor="text1"/>
          <w:lang w:val="fr-FR"/>
        </w:rPr>
        <w:t xml:space="preserve">de l'aire de répartition de l'AEMLAP soient membres de l'association constitue un autre défi. Le GT a peu réagi </w:t>
      </w:r>
      <w:r>
        <w:rPr>
          <w:rFonts w:eastAsia="Calibri" w:cs="Arial"/>
          <w:lang w:val="fr-FR"/>
        </w:rPr>
        <w:t>à l'enquête sur la mise en œuvre du programme de travail 2016-2020 du GT AEML ou sur le projet de programme de travail 2021-2026 du GT AEML, et peu de réponses à l'appel du Secrétariat à de nouveaux membres ou à des membres permanents ont été reçues.</w:t>
      </w:r>
    </w:p>
    <w:p w14:paraId="0BD74C9D" w14:textId="77777777" w:rsidR="00661875" w:rsidRPr="00273704" w:rsidRDefault="00661875" w:rsidP="00EF6138">
      <w:pPr>
        <w:spacing w:after="0" w:line="240" w:lineRule="auto"/>
        <w:jc w:val="both"/>
        <w:rPr>
          <w:rFonts w:eastAsia="Calibri" w:cs="Arial"/>
          <w:lang w:val="fr-FR"/>
        </w:rPr>
      </w:pPr>
    </w:p>
    <w:p w14:paraId="5DA2CDF8" w14:textId="1B9E0881" w:rsidR="00661875" w:rsidRPr="00273704" w:rsidRDefault="001B1C92"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Le gouvernement suisse a accordé un financement en 2020 pour la mise en place de l'unité de coordination du Groupe de travail de l'AEML. Le gouvernement allemand a également contribué au soutien de l'AEMLAP en affectant un </w:t>
      </w:r>
      <w:r>
        <w:rPr>
          <w:color w:val="000000" w:themeColor="text1"/>
          <w:lang w:val="fr-FR"/>
        </w:rPr>
        <w:t>jeune expert associé (JEA)</w:t>
      </w:r>
      <w:r>
        <w:rPr>
          <w:rFonts w:eastAsia="Calibri" w:cs="Arial"/>
          <w:lang w:val="fr-FR"/>
        </w:rPr>
        <w:t xml:space="preserve">, en partie pour soutenir l'AEMLAP. Le gouvernement norvégien a également contribué à l'extension du contrat des JEA en 2022. </w:t>
      </w:r>
    </w:p>
    <w:p w14:paraId="520126A1" w14:textId="77777777" w:rsidR="001E3EB1" w:rsidRPr="00273704" w:rsidRDefault="001E3EB1" w:rsidP="00EF6138">
      <w:pPr>
        <w:pStyle w:val="ListParagraph"/>
        <w:spacing w:after="0" w:line="240" w:lineRule="auto"/>
        <w:ind w:left="567"/>
        <w:contextualSpacing w:val="0"/>
        <w:jc w:val="both"/>
        <w:rPr>
          <w:rFonts w:eastAsia="Calibri" w:cs="Arial"/>
          <w:lang w:val="fr-FR"/>
        </w:rPr>
      </w:pPr>
    </w:p>
    <w:p w14:paraId="126F8932" w14:textId="77777777" w:rsidR="00661875" w:rsidRPr="00CD0FE9" w:rsidRDefault="00661875" w:rsidP="00EF6138">
      <w:pPr>
        <w:spacing w:after="0" w:line="240" w:lineRule="auto"/>
        <w:jc w:val="both"/>
        <w:rPr>
          <w:rFonts w:cs="Arial"/>
          <w:u w:val="single"/>
          <w:lang w:val="fr-FR"/>
        </w:rPr>
      </w:pPr>
      <w:r>
        <w:rPr>
          <w:rFonts w:cs="Arial"/>
          <w:u w:val="single"/>
          <w:lang w:val="fr-FR"/>
        </w:rPr>
        <w:t>Discussion et analyse</w:t>
      </w:r>
    </w:p>
    <w:p w14:paraId="5BEF0D0B" w14:textId="77777777" w:rsidR="00661875" w:rsidRPr="00CD0FE9" w:rsidRDefault="00661875" w:rsidP="00EF6138">
      <w:pPr>
        <w:spacing w:after="0" w:line="240" w:lineRule="auto"/>
        <w:jc w:val="both"/>
        <w:rPr>
          <w:rFonts w:cs="Arial"/>
          <w:lang w:val="fr-FR"/>
        </w:rPr>
      </w:pPr>
    </w:p>
    <w:p w14:paraId="365BCE4A" w14:textId="00EE1FDF" w:rsidR="00717CF0" w:rsidRPr="00784428" w:rsidRDefault="00CC2329"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 xml:space="preserve">A maintes reprises, la décision 13.34 (a) a été reportée, mais sa mise en œuvre n'a pas été possible car les fonds nécessaires à l'organisation d'une réunion des États de l'aire de répartition n'étaient pas disponibles. La question de savoir si un autre cadre institutionnel de la CMS pourrait être utilisé pour coordonner les actions au niveau international afin de conserver, restaurer et gérer durablement les populations d'espèces d'oiseaux terrestres migrateurs et leurs habitats n'est pas encore tranchée. Aucune initiative particulière n'a été prise par les États de l'aire de répartition, le Groupe de travail </w:t>
      </w:r>
      <w:r>
        <w:rPr>
          <w:color w:val="000000" w:themeColor="text1"/>
          <w:lang w:val="fr-FR"/>
        </w:rPr>
        <w:t xml:space="preserve">ou les </w:t>
      </w:r>
      <w:r>
        <w:rPr>
          <w:rFonts w:eastAsia="Calibri" w:cs="Arial"/>
          <w:color w:val="000000" w:themeColor="text1"/>
          <w:lang w:val="fr-FR"/>
        </w:rPr>
        <w:t xml:space="preserve">parties </w:t>
      </w:r>
      <w:r>
        <w:rPr>
          <w:color w:val="000000" w:themeColor="text1"/>
          <w:lang w:val="fr-FR"/>
        </w:rPr>
        <w:t xml:space="preserve">intéressées au cours des trois dernières décennies </w:t>
      </w:r>
      <w:r>
        <w:rPr>
          <w:rFonts w:eastAsia="Calibri" w:cs="Arial"/>
          <w:color w:val="000000" w:themeColor="text1"/>
          <w:lang w:val="fr-FR"/>
        </w:rPr>
        <w:t xml:space="preserve">pour faire avancer </w:t>
      </w:r>
      <w:r>
        <w:rPr>
          <w:color w:val="000000" w:themeColor="text1"/>
          <w:lang w:val="fr-FR"/>
        </w:rPr>
        <w:t xml:space="preserve">le débat sur un nouveau cadre institutionnel, et aucune demande n'a été formulée en ce sens par ces derniers. En outre, compte tenu </w:t>
      </w:r>
      <w:r>
        <w:rPr>
          <w:rFonts w:eastAsia="Calibri" w:cs="Arial"/>
          <w:lang w:val="fr-FR"/>
        </w:rPr>
        <w:t xml:space="preserve">des efforts actuellement déployés pour élaborer un nouveau cadre pour l'itinéraire aérien d'Asie centrale (CAF - Central Asian </w:t>
      </w:r>
      <w:proofErr w:type="spellStart"/>
      <w:r>
        <w:rPr>
          <w:rFonts w:eastAsia="Calibri" w:cs="Arial"/>
          <w:lang w:val="fr-FR"/>
        </w:rPr>
        <w:t>Flyway</w:t>
      </w:r>
      <w:proofErr w:type="spellEnd"/>
      <w:r>
        <w:rPr>
          <w:rFonts w:eastAsia="Calibri" w:cs="Arial"/>
          <w:lang w:val="fr-FR"/>
        </w:rPr>
        <w:t xml:space="preserve">), il pourrait être judicieux d'adopter des approches visant à créer des synergies entre les outils et les instruments existants plutôt que de créer de nouveaux cadres institutionnels distincts pour l'AEMLAP et le CAF. La suppression de la décision 13.34 (a) est donc proposée. </w:t>
      </w:r>
    </w:p>
    <w:p w14:paraId="23920827" w14:textId="77777777" w:rsidR="00273704" w:rsidRPr="00273704" w:rsidRDefault="00273704" w:rsidP="00EF6138">
      <w:pPr>
        <w:pStyle w:val="ListParagraph"/>
        <w:spacing w:after="0" w:line="240" w:lineRule="auto"/>
        <w:ind w:left="567"/>
        <w:contextualSpacing w:val="0"/>
        <w:jc w:val="both"/>
        <w:rPr>
          <w:rFonts w:eastAsia="Calibri" w:cs="Arial"/>
          <w:lang w:val="fr-FR"/>
        </w:rPr>
      </w:pPr>
    </w:p>
    <w:p w14:paraId="29DE450A" w14:textId="50E78336" w:rsidR="00843FA1" w:rsidRPr="0093125C" w:rsidRDefault="001F1407" w:rsidP="00EF6138">
      <w:pPr>
        <w:pStyle w:val="ListParagraph"/>
        <w:numPr>
          <w:ilvl w:val="0"/>
          <w:numId w:val="20"/>
        </w:numPr>
        <w:spacing w:after="0" w:line="240" w:lineRule="auto"/>
        <w:ind w:left="567" w:hanging="567"/>
        <w:contextualSpacing w:val="0"/>
        <w:jc w:val="both"/>
        <w:rPr>
          <w:lang w:val="fr-FR"/>
        </w:rPr>
      </w:pPr>
      <w:r>
        <w:rPr>
          <w:rFonts w:eastAsia="Calibri" w:cs="Arial"/>
          <w:lang w:val="fr-FR"/>
        </w:rPr>
        <w:lastRenderedPageBreak/>
        <w:t xml:space="preserve">Le terme </w:t>
      </w:r>
      <w:r>
        <w:rPr>
          <w:rFonts w:eastAsia="Calibri" w:cs="Arial"/>
          <w:i/>
          <w:iCs/>
          <w:lang w:val="fr-FR"/>
        </w:rPr>
        <w:t>habitat</w:t>
      </w:r>
      <w:r>
        <w:rPr>
          <w:rFonts w:eastAsia="Calibri" w:cs="Arial"/>
          <w:lang w:val="fr-FR"/>
        </w:rPr>
        <w:t xml:space="preserve"> est proposé par le GT AEML dans le paragraphe (a) du projet de décision 14.BB, pour demander aux Parties, aux organisations intergouvernementales et non gouvernementales de s'engager activement dans la mise en œuvre du programme de travail du GT AEML ; et pour ajouter le paragraphe (d) dans la décision 14.BB (anciennement 13.37). La mention du terme </w:t>
      </w:r>
      <w:r>
        <w:rPr>
          <w:rFonts w:eastAsia="Calibri" w:cs="Arial"/>
          <w:i/>
          <w:iCs/>
          <w:lang w:val="fr-FR"/>
        </w:rPr>
        <w:t>habitat</w:t>
      </w:r>
      <w:r>
        <w:rPr>
          <w:rFonts w:eastAsia="Calibri" w:cs="Arial"/>
          <w:lang w:val="fr-FR"/>
        </w:rPr>
        <w:t xml:space="preserve"> au point a) permet d'expliciter la nécessité permanente de la conservation de la nature, et pas seulement des travaux de restauration en cours.</w:t>
      </w:r>
      <w:r>
        <w:rPr>
          <w:color w:val="000000" w:themeColor="text1"/>
          <w:lang w:val="fr-FR"/>
        </w:rPr>
        <w:t xml:space="preserve">. L'ajout du paragraphe (d) </w:t>
      </w:r>
      <w:r>
        <w:rPr>
          <w:rFonts w:eastAsia="Calibri" w:cs="Arial"/>
          <w:color w:val="000000" w:themeColor="text1"/>
          <w:lang w:val="fr-FR"/>
        </w:rPr>
        <w:t>appelle</w:t>
      </w:r>
      <w:r>
        <w:rPr>
          <w:color w:val="000000" w:themeColor="text1"/>
          <w:lang w:val="fr-FR"/>
        </w:rPr>
        <w:t xml:space="preserve"> à des activités </w:t>
      </w:r>
      <w:r>
        <w:rPr>
          <w:rFonts w:eastAsia="Calibri" w:cs="Arial"/>
          <w:color w:val="000000" w:themeColor="text1"/>
          <w:lang w:val="fr-FR"/>
        </w:rPr>
        <w:t xml:space="preserve">qui vont </w:t>
      </w:r>
      <w:r>
        <w:rPr>
          <w:color w:val="000000" w:themeColor="text1"/>
          <w:lang w:val="fr-FR"/>
        </w:rPr>
        <w:t xml:space="preserve">au-delà de </w:t>
      </w:r>
      <w:r>
        <w:rPr>
          <w:rFonts w:eastAsia="Calibri" w:cs="Arial"/>
          <w:color w:val="000000" w:themeColor="text1"/>
          <w:lang w:val="fr-FR"/>
        </w:rPr>
        <w:t xml:space="preserve">la </w:t>
      </w:r>
      <w:r>
        <w:rPr>
          <w:color w:val="000000" w:themeColor="text1"/>
          <w:lang w:val="fr-FR"/>
        </w:rPr>
        <w:t>plantation d'arbres</w:t>
      </w:r>
      <w:r>
        <w:rPr>
          <w:lang w:val="fr-FR"/>
        </w:rPr>
        <w:t xml:space="preserve">, et vise à considérer la complexité des paysages et </w:t>
      </w:r>
      <w:r>
        <w:rPr>
          <w:rFonts w:eastAsia="Calibri" w:cs="Arial"/>
          <w:lang w:val="fr-FR"/>
        </w:rPr>
        <w:t>l'utilisation</w:t>
      </w:r>
      <w:r>
        <w:rPr>
          <w:lang w:val="fr-FR"/>
        </w:rPr>
        <w:t xml:space="preserve"> d'espèces végétales indigènes.</w:t>
      </w:r>
    </w:p>
    <w:p w14:paraId="28CCB194" w14:textId="77777777" w:rsidR="00974717" w:rsidRPr="0093125C" w:rsidRDefault="00974717" w:rsidP="00EF6138">
      <w:pPr>
        <w:pStyle w:val="ListParagraph"/>
        <w:spacing w:after="0" w:line="240" w:lineRule="auto"/>
        <w:contextualSpacing w:val="0"/>
        <w:jc w:val="both"/>
        <w:rPr>
          <w:lang w:val="fr-FR"/>
        </w:rPr>
      </w:pPr>
    </w:p>
    <w:p w14:paraId="1C4C5B9C" w14:textId="28F7F5EF" w:rsidR="00162ABB" w:rsidRPr="00CF2D58" w:rsidRDefault="0093125C"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Dans les décisions proposées, les parties sont invitées à soutenir des actions concrètes de collaboration entre les agences des Nations unies concernées, en particulier une nouvelle proposition d'atelier sur l'intégration des exigences en matière de biodiversité dans la mise en œuvre de la neutralité en matière de dégradation des terres (décision 14.DD b)).</w:t>
      </w:r>
    </w:p>
    <w:p w14:paraId="5D40DC32" w14:textId="77777777" w:rsidR="00162ABB" w:rsidRDefault="00162ABB" w:rsidP="00EF6138">
      <w:pPr>
        <w:pStyle w:val="ListParagraph"/>
        <w:spacing w:after="0" w:line="240" w:lineRule="auto"/>
        <w:ind w:left="567"/>
        <w:contextualSpacing w:val="0"/>
        <w:jc w:val="both"/>
        <w:rPr>
          <w:rFonts w:eastAsia="Calibri" w:cs="Arial"/>
          <w:lang w:val="fr-FR"/>
        </w:rPr>
      </w:pPr>
    </w:p>
    <w:p w14:paraId="50EEED93" w14:textId="6675A873" w:rsidR="00162ABB" w:rsidRPr="00273704" w:rsidRDefault="00162ABB"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De plus, ces décisions soulignent la nécessité d'une prise de conscience technologique, d'une utilisation plus poussée des technologies modernes (notamment l'imagerie par satellite) et d'une utilisation active des programmes existants, tels que les atlas d'oiseaux susmentionnés, afin d'établir des priorités et de mettre en œuvre des actions en faveur des espèces et des habitats dans l'ensemble de l'aire de répartition de l'AEMLAP.</w:t>
      </w:r>
    </w:p>
    <w:p w14:paraId="54EC22FD" w14:textId="77777777" w:rsidR="0074044A" w:rsidRPr="00CD0FE9" w:rsidRDefault="0074044A" w:rsidP="00EF6138">
      <w:pPr>
        <w:spacing w:after="0" w:line="240" w:lineRule="auto"/>
        <w:jc w:val="both"/>
        <w:rPr>
          <w:rFonts w:cs="Arial"/>
          <w:lang w:val="fr-FR"/>
        </w:rPr>
      </w:pPr>
    </w:p>
    <w:p w14:paraId="25D5D96F" w14:textId="77777777" w:rsidR="00661875" w:rsidRPr="00CD0FE9" w:rsidRDefault="00661875" w:rsidP="00EF6138">
      <w:pPr>
        <w:spacing w:after="0" w:line="240" w:lineRule="auto"/>
        <w:jc w:val="both"/>
        <w:rPr>
          <w:rFonts w:cs="Arial"/>
          <w:lang w:val="fr-FR"/>
        </w:rPr>
      </w:pPr>
      <w:r>
        <w:rPr>
          <w:rFonts w:cs="Arial"/>
          <w:u w:val="single"/>
          <w:lang w:val="fr-FR"/>
        </w:rPr>
        <w:t>Actions recommandées</w:t>
      </w:r>
    </w:p>
    <w:p w14:paraId="180331FF" w14:textId="77777777" w:rsidR="00661875" w:rsidRPr="00CD0FE9" w:rsidRDefault="00661875" w:rsidP="00EF6138">
      <w:pPr>
        <w:spacing w:after="0" w:line="240" w:lineRule="auto"/>
        <w:jc w:val="both"/>
        <w:rPr>
          <w:rFonts w:cs="Arial"/>
          <w:lang w:val="fr-FR"/>
        </w:rPr>
      </w:pPr>
    </w:p>
    <w:p w14:paraId="4DA1BFBB" w14:textId="77777777" w:rsidR="00661875" w:rsidRPr="00273704" w:rsidRDefault="00661875" w:rsidP="00EF6138">
      <w:pPr>
        <w:pStyle w:val="ListParagraph"/>
        <w:numPr>
          <w:ilvl w:val="0"/>
          <w:numId w:val="20"/>
        </w:numPr>
        <w:spacing w:after="0" w:line="240" w:lineRule="auto"/>
        <w:ind w:left="567" w:hanging="567"/>
        <w:contextualSpacing w:val="0"/>
        <w:jc w:val="both"/>
        <w:rPr>
          <w:rFonts w:eastAsia="Calibri" w:cs="Arial"/>
          <w:lang w:val="fr-FR"/>
        </w:rPr>
      </w:pPr>
      <w:r>
        <w:rPr>
          <w:rFonts w:eastAsia="Calibri" w:cs="Arial"/>
          <w:lang w:val="fr-FR"/>
        </w:rPr>
        <w:t>Il est recommandé à la Conférence des Parties :</w:t>
      </w:r>
    </w:p>
    <w:p w14:paraId="51453655" w14:textId="77777777" w:rsidR="00661875" w:rsidRPr="00CD0FE9" w:rsidRDefault="00661875" w:rsidP="00EF6138">
      <w:pPr>
        <w:spacing w:after="0" w:line="240" w:lineRule="auto"/>
        <w:jc w:val="both"/>
        <w:rPr>
          <w:rFonts w:cs="Arial"/>
          <w:lang w:val="fr-FR"/>
        </w:rPr>
      </w:pPr>
    </w:p>
    <w:p w14:paraId="5731D53E" w14:textId="044CB6E3" w:rsidR="00831DC2" w:rsidRPr="00683B08" w:rsidRDefault="00371F6A" w:rsidP="00EF6138">
      <w:pPr>
        <w:pStyle w:val="Secondnumbering"/>
        <w:numPr>
          <w:ilvl w:val="0"/>
          <w:numId w:val="32"/>
        </w:numPr>
        <w:ind w:left="1134" w:hanging="567"/>
        <w:jc w:val="both"/>
        <w:rPr>
          <w:rFonts w:cs="Arial"/>
          <w:lang w:val="fr-FR"/>
        </w:rPr>
      </w:pPr>
      <w:r>
        <w:rPr>
          <w:rFonts w:cs="Arial"/>
          <w:lang w:val="fr-FR"/>
        </w:rPr>
        <w:t>d'adopter les projets d'amendements à la Résolution 11.17 (Rev.COP13) tels qu'ils figurent à l'Annexe 1 du présent document ;</w:t>
      </w:r>
    </w:p>
    <w:p w14:paraId="6A8DA37C" w14:textId="77777777" w:rsidR="00371F6A" w:rsidRPr="00831DC2" w:rsidRDefault="00371F6A" w:rsidP="00EF6138">
      <w:pPr>
        <w:pStyle w:val="Secondnumbering"/>
        <w:numPr>
          <w:ilvl w:val="0"/>
          <w:numId w:val="0"/>
        </w:numPr>
        <w:ind w:left="1134" w:hanging="567"/>
        <w:jc w:val="both"/>
        <w:rPr>
          <w:lang w:val="fr-FR"/>
        </w:rPr>
      </w:pPr>
    </w:p>
    <w:p w14:paraId="15AA007E" w14:textId="1154B13E" w:rsidR="00FC703E" w:rsidRPr="00FC703E" w:rsidRDefault="00FC703E" w:rsidP="00EF6138">
      <w:pPr>
        <w:pStyle w:val="Secondnumbering"/>
        <w:numPr>
          <w:ilvl w:val="0"/>
          <w:numId w:val="32"/>
        </w:numPr>
        <w:ind w:left="1134" w:hanging="567"/>
        <w:jc w:val="both"/>
        <w:rPr>
          <w:rFonts w:cs="Arial"/>
          <w:lang w:val="fr-FR"/>
        </w:rPr>
      </w:pPr>
      <w:r>
        <w:rPr>
          <w:rFonts w:cs="Arial"/>
          <w:lang w:val="fr-FR"/>
        </w:rPr>
        <w:t>d'adopter le projet de décision</w:t>
      </w:r>
      <w:r w:rsidR="00EF6138">
        <w:rPr>
          <w:rFonts w:cs="Arial"/>
          <w:lang w:val="fr-FR"/>
        </w:rPr>
        <w:t>s</w:t>
      </w:r>
      <w:r>
        <w:rPr>
          <w:rFonts w:cs="Arial"/>
          <w:lang w:val="fr-FR"/>
        </w:rPr>
        <w:t xml:space="preserve"> tel qu'il figure à l'Annexe 2 du présent document ; </w:t>
      </w:r>
    </w:p>
    <w:p w14:paraId="67CDA7B9" w14:textId="77777777" w:rsidR="00831DC2" w:rsidRPr="00683B08" w:rsidRDefault="00831DC2" w:rsidP="00EF6138">
      <w:pPr>
        <w:pStyle w:val="Secondnumbering"/>
        <w:numPr>
          <w:ilvl w:val="0"/>
          <w:numId w:val="0"/>
        </w:numPr>
        <w:ind w:left="1134" w:hanging="567"/>
        <w:jc w:val="both"/>
        <w:rPr>
          <w:rFonts w:cs="Arial"/>
          <w:lang w:val="fr-FR"/>
        </w:rPr>
      </w:pPr>
    </w:p>
    <w:p w14:paraId="408E8878" w14:textId="1B80A88D" w:rsidR="002C6BD6" w:rsidRPr="00683B08" w:rsidRDefault="00515A06" w:rsidP="00EF6138">
      <w:pPr>
        <w:pStyle w:val="Secondnumbering"/>
        <w:numPr>
          <w:ilvl w:val="0"/>
          <w:numId w:val="32"/>
        </w:numPr>
        <w:ind w:left="1134" w:hanging="567"/>
        <w:jc w:val="both"/>
        <w:rPr>
          <w:rFonts w:cs="Arial"/>
          <w:lang w:val="fr-FR"/>
        </w:rPr>
        <w:sectPr w:rsidR="002C6BD6" w:rsidRPr="00683B08" w:rsidSect="0056522B">
          <w:headerReference w:type="even" r:id="rId27"/>
          <w:headerReference w:type="default" r:id="rId28"/>
          <w:footerReference w:type="default" r:id="rId29"/>
          <w:headerReference w:type="first" r:id="rId30"/>
          <w:footerReference w:type="first" r:id="rId31"/>
          <w:pgSz w:w="11906" w:h="16838" w:code="9"/>
          <w:pgMar w:top="1440" w:right="1440" w:bottom="1440" w:left="1440" w:header="720" w:footer="720" w:gutter="0"/>
          <w:cols w:space="720"/>
          <w:titlePg/>
          <w:docGrid w:linePitch="360"/>
        </w:sectPr>
      </w:pPr>
      <w:r>
        <w:rPr>
          <w:rFonts w:cs="Arial"/>
          <w:lang w:val="fr-FR"/>
        </w:rPr>
        <w:t xml:space="preserve">de supprimer les Décisions 13.34 à 13.38. </w:t>
      </w:r>
    </w:p>
    <w:p w14:paraId="24803F68" w14:textId="77777777" w:rsidR="00C94751" w:rsidRDefault="00C94751" w:rsidP="00C15318">
      <w:pPr>
        <w:pStyle w:val="Secondnumbering"/>
        <w:numPr>
          <w:ilvl w:val="0"/>
          <w:numId w:val="0"/>
        </w:numPr>
        <w:jc w:val="right"/>
        <w:rPr>
          <w:rFonts w:cs="Arial"/>
          <w:b/>
          <w:caps/>
          <w:lang w:val="fr-FR"/>
        </w:rPr>
      </w:pPr>
    </w:p>
    <w:p w14:paraId="371628D4" w14:textId="637EC814" w:rsidR="00831DC2" w:rsidRPr="00EF6138" w:rsidRDefault="00831DC2" w:rsidP="00C15318">
      <w:pPr>
        <w:pStyle w:val="Secondnumbering"/>
        <w:numPr>
          <w:ilvl w:val="0"/>
          <w:numId w:val="0"/>
        </w:numPr>
        <w:jc w:val="right"/>
        <w:rPr>
          <w:lang w:val="fr-FR"/>
        </w:rPr>
      </w:pPr>
      <w:r w:rsidRPr="00EF6138">
        <w:rPr>
          <w:rFonts w:cs="Arial"/>
          <w:b/>
          <w:caps/>
          <w:lang w:val="fr-FR"/>
        </w:rPr>
        <w:t>Annexe 1</w:t>
      </w:r>
    </w:p>
    <w:p w14:paraId="6829208F" w14:textId="77777777" w:rsidR="00831DC2" w:rsidRPr="00EF6138" w:rsidRDefault="00831DC2" w:rsidP="00DD07FD">
      <w:pPr>
        <w:pStyle w:val="Secondnumbering"/>
        <w:numPr>
          <w:ilvl w:val="0"/>
          <w:numId w:val="0"/>
        </w:numPr>
        <w:rPr>
          <w:lang w:val="fr-FR"/>
        </w:rPr>
      </w:pPr>
    </w:p>
    <w:p w14:paraId="79D9809A" w14:textId="3409A895" w:rsidR="00CC7AFA" w:rsidRPr="00EF6138" w:rsidRDefault="00CC7AFA" w:rsidP="00CC7AFA">
      <w:pPr>
        <w:spacing w:after="0"/>
        <w:jc w:val="center"/>
        <w:rPr>
          <w:rFonts w:cs="Arial"/>
          <w:lang w:val="fr-FR"/>
        </w:rPr>
      </w:pPr>
      <w:r w:rsidRPr="00EF6138">
        <w:rPr>
          <w:rFonts w:cs="Arial"/>
          <w:lang w:val="fr-FR"/>
        </w:rPr>
        <w:t>PROPOSITIONS D'AMENDEMENTS À LA RÉSOLUTION 11.17 (Rev.COP13)</w:t>
      </w:r>
    </w:p>
    <w:p w14:paraId="28278670" w14:textId="77777777" w:rsidR="00CC7AFA" w:rsidRPr="00EF6138" w:rsidRDefault="00CC7AFA" w:rsidP="00CC7AFA">
      <w:pPr>
        <w:spacing w:after="0"/>
        <w:rPr>
          <w:rFonts w:cs="Arial"/>
          <w:lang w:val="fr-FR"/>
        </w:rPr>
      </w:pPr>
    </w:p>
    <w:p w14:paraId="0F5D3F25" w14:textId="77777777" w:rsidR="00CC7AFA" w:rsidRPr="00EF6138" w:rsidRDefault="00CC7AFA" w:rsidP="00CC7AFA">
      <w:pPr>
        <w:widowControl w:val="0"/>
        <w:autoSpaceDE w:val="0"/>
        <w:adjustRightInd w:val="0"/>
        <w:spacing w:after="0"/>
        <w:jc w:val="center"/>
        <w:rPr>
          <w:rFonts w:eastAsia="Times New Roman" w:cs="Arial"/>
          <w:b/>
          <w:bCs/>
          <w:caps/>
          <w:lang w:val="fr-FR"/>
        </w:rPr>
      </w:pPr>
      <w:r w:rsidRPr="00EF6138">
        <w:rPr>
          <w:rFonts w:eastAsia="Times New Roman" w:cs="Arial"/>
          <w:b/>
          <w:bCs/>
          <w:caps/>
          <w:lang w:val="fr-FR"/>
        </w:rPr>
        <w:t>PLAN D'ACTION POUR LES OISEAUX TERRESTRES MIGRATEURS</w:t>
      </w:r>
    </w:p>
    <w:p w14:paraId="074C3AB9" w14:textId="4A5ECD10" w:rsidR="00CC7AFA" w:rsidRPr="00EF6138" w:rsidRDefault="00CC7AFA" w:rsidP="00CC7AFA">
      <w:pPr>
        <w:widowControl w:val="0"/>
        <w:autoSpaceDE w:val="0"/>
        <w:adjustRightInd w:val="0"/>
        <w:spacing w:after="0"/>
        <w:jc w:val="center"/>
        <w:rPr>
          <w:rFonts w:cs="Arial"/>
          <w:b/>
          <w:u w:val="single"/>
          <w:lang w:val="fr-FR"/>
        </w:rPr>
      </w:pPr>
      <w:r w:rsidRPr="00EF6138">
        <w:rPr>
          <w:rFonts w:eastAsia="Times New Roman" w:cs="Arial"/>
          <w:b/>
          <w:bCs/>
          <w:caps/>
          <w:lang w:val="fr-FR"/>
        </w:rPr>
        <w:t>D</w:t>
      </w:r>
      <w:r w:rsidR="00F20526">
        <w:rPr>
          <w:rFonts w:eastAsia="Times New Roman" w:cs="Arial"/>
          <w:b/>
          <w:bCs/>
          <w:caps/>
          <w:lang w:val="fr-FR"/>
        </w:rPr>
        <w:t>’AFRIQUE</w:t>
      </w:r>
      <w:r w:rsidRPr="00EF6138">
        <w:rPr>
          <w:rFonts w:eastAsia="Times New Roman" w:cs="Arial"/>
          <w:b/>
          <w:bCs/>
          <w:caps/>
          <w:lang w:val="fr-FR"/>
        </w:rPr>
        <w:t>-EURASIE (AEMLAP)</w:t>
      </w:r>
    </w:p>
    <w:p w14:paraId="12757B3D" w14:textId="77777777" w:rsidR="00CC7AFA" w:rsidRPr="00EF6138" w:rsidRDefault="00CC7AFA" w:rsidP="00CC7AFA">
      <w:pPr>
        <w:widowControl w:val="0"/>
        <w:pBdr>
          <w:top w:val="single" w:sz="6" w:space="0" w:color="FFFFFF"/>
          <w:left w:val="single" w:sz="6" w:space="0" w:color="FFFFFF"/>
          <w:bottom w:val="single" w:sz="6" w:space="0" w:color="FFFFFF"/>
          <w:right w:val="single" w:sz="6" w:space="0" w:color="FFFFFF"/>
        </w:pBdr>
        <w:autoSpaceDE w:val="0"/>
        <w:adjustRightInd w:val="0"/>
        <w:spacing w:after="0"/>
        <w:outlineLvl w:val="1"/>
        <w:rPr>
          <w:rFonts w:eastAsia="Times New Roman" w:cs="Arial"/>
          <w:b/>
          <w:caps/>
          <w:lang w:val="fr-FR"/>
        </w:rPr>
      </w:pPr>
    </w:p>
    <w:p w14:paraId="40059732" w14:textId="6EF665D1" w:rsidR="00CC7AFA" w:rsidRPr="00F20526" w:rsidRDefault="00CC7AFA" w:rsidP="00CC7AFA">
      <w:pPr>
        <w:widowControl w:val="0"/>
        <w:pBdr>
          <w:top w:val="single" w:sz="6" w:space="0" w:color="FFFFFF"/>
          <w:left w:val="single" w:sz="6" w:space="0" w:color="FFFFFF"/>
          <w:bottom w:val="single" w:sz="6" w:space="0" w:color="FFFFFF"/>
          <w:right w:val="single" w:sz="6" w:space="0" w:color="FFFFFF"/>
        </w:pBdr>
        <w:autoSpaceDE w:val="0"/>
        <w:adjustRightInd w:val="0"/>
        <w:spacing w:after="0"/>
        <w:jc w:val="center"/>
        <w:outlineLvl w:val="1"/>
        <w:rPr>
          <w:rFonts w:eastAsia="Times New Roman" w:cs="Arial"/>
          <w:b/>
          <w:caps/>
          <w:lang w:val="fr-FR"/>
        </w:rPr>
      </w:pPr>
      <w:r w:rsidRPr="00EF6138">
        <w:rPr>
          <w:rFonts w:cs="Arial"/>
          <w:i/>
          <w:iCs/>
          <w:sz w:val="21"/>
          <w:szCs w:val="21"/>
          <w:lang w:val="fr-FR"/>
        </w:rPr>
        <w:t xml:space="preserve">Note : Le nouveau texte proposé est </w:t>
      </w:r>
      <w:r w:rsidRPr="00EF6138">
        <w:rPr>
          <w:rFonts w:cs="Arial"/>
          <w:i/>
          <w:iCs/>
          <w:sz w:val="21"/>
          <w:szCs w:val="21"/>
          <w:u w:val="single"/>
          <w:lang w:val="fr-FR"/>
        </w:rPr>
        <w:t>souligné.</w:t>
      </w:r>
      <w:r w:rsidRPr="00EF6138">
        <w:rPr>
          <w:rFonts w:cs="Arial"/>
          <w:i/>
          <w:iCs/>
          <w:sz w:val="21"/>
          <w:szCs w:val="21"/>
          <w:lang w:val="fr-FR"/>
        </w:rPr>
        <w:t xml:space="preserve"> </w:t>
      </w:r>
      <w:r w:rsidR="00F20526" w:rsidRPr="00F20526">
        <w:rPr>
          <w:rFonts w:cs="Arial"/>
          <w:i/>
          <w:iCs/>
          <w:sz w:val="21"/>
          <w:szCs w:val="21"/>
          <w:lang w:val="fr-FR"/>
        </w:rPr>
        <w:t xml:space="preserve">Le texte à supprimer est </w:t>
      </w:r>
      <w:r w:rsidR="00F20526" w:rsidRPr="00F20526">
        <w:rPr>
          <w:rFonts w:cs="Arial"/>
          <w:i/>
          <w:iCs/>
          <w:strike/>
          <w:sz w:val="21"/>
          <w:szCs w:val="21"/>
          <w:lang w:val="fr-FR"/>
        </w:rPr>
        <w:t>barré</w:t>
      </w:r>
      <w:r w:rsidR="00F20526" w:rsidRPr="00F20526">
        <w:rPr>
          <w:rFonts w:cs="Arial"/>
          <w:i/>
          <w:iCs/>
          <w:sz w:val="21"/>
          <w:szCs w:val="21"/>
          <w:lang w:val="fr-FR"/>
        </w:rPr>
        <w:t xml:space="preserve"> </w:t>
      </w:r>
    </w:p>
    <w:p w14:paraId="4053F44F" w14:textId="6FD04061" w:rsidR="00BE0EA7" w:rsidRPr="00F20526" w:rsidRDefault="00BE0EA7" w:rsidP="00BE0EA7">
      <w:pPr>
        <w:widowControl w:val="0"/>
        <w:autoSpaceDE w:val="0"/>
        <w:autoSpaceDN w:val="0"/>
        <w:adjustRightInd w:val="0"/>
        <w:spacing w:after="0" w:line="240" w:lineRule="auto"/>
        <w:jc w:val="both"/>
        <w:rPr>
          <w:rFonts w:eastAsia="MS Mincho" w:cs="Arial"/>
          <w:lang w:val="fr-FR"/>
        </w:rPr>
      </w:pPr>
    </w:p>
    <w:p w14:paraId="397E00E3" w14:textId="77777777" w:rsidR="000C76FC" w:rsidRPr="00F20526" w:rsidRDefault="000C76FC" w:rsidP="000C76FC">
      <w:pPr>
        <w:widowControl w:val="0"/>
        <w:suppressAutoHyphens/>
        <w:autoSpaceDE w:val="0"/>
        <w:autoSpaceDN w:val="0"/>
        <w:spacing w:after="0" w:line="240" w:lineRule="auto"/>
        <w:jc w:val="center"/>
        <w:textAlignment w:val="baseline"/>
        <w:rPr>
          <w:rFonts w:eastAsia="Times New Roman" w:cs="Arial"/>
          <w:b/>
          <w:bCs/>
          <w:highlight w:val="yellow"/>
          <w:lang w:val="fr-FR"/>
        </w:rPr>
      </w:pPr>
    </w:p>
    <w:p w14:paraId="71EBF573" w14:textId="2285E9C2" w:rsidR="00F20526" w:rsidRPr="00F13FFA" w:rsidRDefault="00F20526" w:rsidP="00F20526">
      <w:pPr>
        <w:spacing w:after="0" w:line="240" w:lineRule="auto"/>
        <w:ind w:right="-23"/>
        <w:jc w:val="both"/>
        <w:rPr>
          <w:rFonts w:cs="Arial"/>
          <w:iCs/>
          <w:lang w:val="fr-FR"/>
        </w:rPr>
      </w:pPr>
      <w:r w:rsidRPr="00F13FFA">
        <w:rPr>
          <w:rFonts w:eastAsia="Arial" w:cs="Arial"/>
          <w:i/>
          <w:iCs/>
          <w:bdr w:val="none" w:sz="0" w:space="0" w:color="auto" w:frame="1"/>
          <w:lang w:val="fr-FR"/>
        </w:rPr>
        <w:t xml:space="preserve">Préoccupée </w:t>
      </w:r>
      <w:r w:rsidRPr="00F13FFA">
        <w:rPr>
          <w:rFonts w:eastAsia="Arial" w:cs="Arial"/>
          <w:bdr w:val="none" w:sz="0" w:space="0" w:color="auto" w:frame="1"/>
          <w:lang w:val="fr-FR"/>
        </w:rPr>
        <w:t>par l’existence de preuves scientifiques irréfutables du déclin généralisé des oiseaux terrestres migrateurs d’Afrique-Eurasie au cours des dernières décennies, et par le fait que ces déclins fassent l’objet d’une préoccupation croissante en termes de conservation dans les cercles scientifiques et politiques, les populations nicheuses européennes de certaines espèces autrefois répandues ayant diminué de plus de moitié au cours des 30 dernières années</w:t>
      </w:r>
      <w:r>
        <w:rPr>
          <w:rFonts w:eastAsia="Arial" w:cs="Arial"/>
          <w:bdr w:val="none" w:sz="0" w:space="0" w:color="auto" w:frame="1"/>
          <w:lang w:val="fr-FR"/>
        </w:rPr>
        <w:t>,</w:t>
      </w:r>
    </w:p>
    <w:p w14:paraId="7E873F98" w14:textId="77777777" w:rsidR="000C76FC" w:rsidRPr="00120120" w:rsidRDefault="000C76FC" w:rsidP="000C76FC">
      <w:pPr>
        <w:widowControl w:val="0"/>
        <w:spacing w:after="0" w:line="240" w:lineRule="auto"/>
        <w:jc w:val="both"/>
        <w:rPr>
          <w:rFonts w:eastAsia="Times New Roman" w:cs="Arial"/>
          <w:highlight w:val="yellow"/>
          <w:lang w:val="fr-FR"/>
        </w:rPr>
      </w:pPr>
    </w:p>
    <w:p w14:paraId="31B7D17D" w14:textId="77777777" w:rsidR="00F20526" w:rsidRPr="00F13FFA" w:rsidRDefault="00F20526" w:rsidP="00F20526">
      <w:pPr>
        <w:spacing w:after="0" w:line="240" w:lineRule="auto"/>
        <w:ind w:right="-22"/>
        <w:jc w:val="both"/>
        <w:rPr>
          <w:rFonts w:cs="Arial"/>
          <w:lang w:val="fr-FR"/>
        </w:rPr>
      </w:pPr>
      <w:r w:rsidRPr="00F13FFA">
        <w:rPr>
          <w:rFonts w:eastAsia="Arial" w:cs="Arial"/>
          <w:i/>
          <w:iCs/>
          <w:spacing w:val="-2"/>
          <w:bdr w:val="none" w:sz="0" w:space="0" w:color="auto" w:frame="1"/>
          <w:lang w:val="fr-FR"/>
        </w:rPr>
        <w:t xml:space="preserve">Consciente </w:t>
      </w:r>
      <w:r w:rsidRPr="00F13FFA">
        <w:rPr>
          <w:rFonts w:eastAsia="Arial" w:cs="Arial"/>
          <w:spacing w:val="-2"/>
          <w:bdr w:val="none" w:sz="0" w:space="0" w:color="auto" w:frame="1"/>
          <w:lang w:val="fr-FR"/>
        </w:rPr>
        <w:t>que l’état des oiseaux terrestres migrateurs est largement utilisé comme indicateur de la santé globale de l’environnement et de la biodiversité, notamment en ce qui concerne l’atteinte de l’Objectif 12 du Plan stratégique de la C</w:t>
      </w:r>
      <w:r>
        <w:rPr>
          <w:rFonts w:eastAsia="Arial" w:cs="Arial"/>
          <w:spacing w:val="-2"/>
          <w:bdr w:val="none" w:sz="0" w:space="0" w:color="auto" w:frame="1"/>
          <w:lang w:val="fr-FR"/>
        </w:rPr>
        <w:t>onvention sur la diversité biologique (CBD)</w:t>
      </w:r>
      <w:r w:rsidRPr="00F13FFA">
        <w:rPr>
          <w:rFonts w:eastAsia="Arial" w:cs="Arial"/>
          <w:spacing w:val="-2"/>
          <w:bdr w:val="none" w:sz="0" w:space="0" w:color="auto" w:frame="1"/>
          <w:lang w:val="fr-FR"/>
        </w:rPr>
        <w:t xml:space="preserve"> pour la biodiversité 2011-2020,</w:t>
      </w:r>
      <w:r w:rsidRPr="00F13FFA">
        <w:rPr>
          <w:rFonts w:eastAsia="Arial" w:cs="Arial"/>
          <w:i/>
          <w:iCs/>
          <w:spacing w:val="-2"/>
          <w:bdr w:val="none" w:sz="0" w:space="0" w:color="auto" w:frame="1"/>
          <w:lang w:val="fr-FR"/>
        </w:rPr>
        <w:t xml:space="preserve"> </w:t>
      </w:r>
      <w:r w:rsidRPr="00F13FFA">
        <w:rPr>
          <w:rFonts w:eastAsia="Arial" w:cs="Arial"/>
          <w:spacing w:val="-2"/>
          <w:bdr w:val="none" w:sz="0" w:space="0" w:color="auto" w:frame="1"/>
          <w:lang w:val="fr-FR"/>
        </w:rPr>
        <w:t>et que les oiseaux terrestres migrateurs peuvent fournir un indicateur efficace de l’utilisation durable des terres lorsque leur suivi est assuré par des méthodes normalisées</w:t>
      </w:r>
      <w:r>
        <w:rPr>
          <w:rFonts w:eastAsia="Arial" w:cs="Arial"/>
          <w:spacing w:val="-2"/>
          <w:bdr w:val="none" w:sz="0" w:space="0" w:color="auto" w:frame="1"/>
          <w:lang w:val="fr-FR"/>
        </w:rPr>
        <w:t>,</w:t>
      </w:r>
    </w:p>
    <w:p w14:paraId="7776D8B4" w14:textId="77777777" w:rsidR="000C76FC" w:rsidRPr="00120120" w:rsidRDefault="000C76FC" w:rsidP="000C76FC">
      <w:pPr>
        <w:widowControl w:val="0"/>
        <w:spacing w:after="0" w:line="240" w:lineRule="auto"/>
        <w:jc w:val="both"/>
        <w:rPr>
          <w:rFonts w:eastAsia="Times New Roman" w:cs="Arial"/>
          <w:highlight w:val="yellow"/>
          <w:lang w:val="fr-FR"/>
        </w:rPr>
      </w:pPr>
    </w:p>
    <w:p w14:paraId="3D044F01" w14:textId="77777777" w:rsidR="00F20526" w:rsidRPr="00F13FFA" w:rsidRDefault="00F20526" w:rsidP="00F20526">
      <w:pPr>
        <w:spacing w:after="0" w:line="240" w:lineRule="auto"/>
        <w:ind w:right="-22"/>
        <w:jc w:val="both"/>
        <w:rPr>
          <w:rFonts w:cs="Arial"/>
          <w:lang w:val="fr-FR"/>
        </w:rPr>
      </w:pPr>
      <w:r w:rsidRPr="00F13FFA">
        <w:rPr>
          <w:rFonts w:eastAsia="Arial" w:cs="Arial"/>
          <w:i/>
          <w:iCs/>
          <w:bdr w:val="none" w:sz="0" w:space="0" w:color="auto" w:frame="1"/>
          <w:lang w:val="fr-FR"/>
        </w:rPr>
        <w:t xml:space="preserve">Consciente également </w:t>
      </w:r>
      <w:r w:rsidRPr="00F13FFA">
        <w:rPr>
          <w:rFonts w:eastAsia="Arial" w:cs="Arial"/>
          <w:bdr w:val="none" w:sz="0" w:space="0" w:color="auto" w:frame="1"/>
          <w:lang w:val="fr-FR"/>
        </w:rPr>
        <w:t>que les principaux facteurs de ce déclin semblent être la dégradation des habitats de reproduction, en particulier au sein des agrosystèmes, des zones boisées et des forêts, et la combinaison de facteurs liés à la dégradation des habitats d’origine anthropique, aux prélèvements non durables et au changement climatique dans les zones utilisées en dehors de la période de reproduction</w:t>
      </w:r>
      <w:r>
        <w:rPr>
          <w:rFonts w:eastAsia="Arial" w:cs="Arial"/>
          <w:bdr w:val="none" w:sz="0" w:space="0" w:color="auto" w:frame="1"/>
          <w:lang w:val="fr-FR"/>
        </w:rPr>
        <w:t>,</w:t>
      </w:r>
    </w:p>
    <w:p w14:paraId="1AA5B7B0" w14:textId="77777777" w:rsidR="000C76FC" w:rsidRPr="00120120" w:rsidRDefault="000C76FC" w:rsidP="000C76FC">
      <w:pPr>
        <w:widowControl w:val="0"/>
        <w:spacing w:after="0" w:line="240" w:lineRule="auto"/>
        <w:jc w:val="both"/>
        <w:rPr>
          <w:rFonts w:eastAsia="Times New Roman" w:cs="Arial"/>
          <w:highlight w:val="yellow"/>
          <w:lang w:val="fr-FR"/>
        </w:rPr>
      </w:pPr>
    </w:p>
    <w:p w14:paraId="20677467" w14:textId="77777777" w:rsidR="00F20526" w:rsidRPr="00F13FFA" w:rsidRDefault="00F20526" w:rsidP="00F20526">
      <w:pPr>
        <w:spacing w:after="0" w:line="240" w:lineRule="auto"/>
        <w:jc w:val="both"/>
        <w:rPr>
          <w:rFonts w:cs="Arial"/>
          <w:lang w:val="fr-FR"/>
        </w:rPr>
      </w:pPr>
      <w:r w:rsidRPr="00F13FFA">
        <w:rPr>
          <w:rFonts w:eastAsia="Arial" w:cs="Arial"/>
          <w:i/>
          <w:iCs/>
          <w:bdr w:val="none" w:sz="0" w:space="0" w:color="auto" w:frame="1"/>
          <w:lang w:val="fr-FR"/>
        </w:rPr>
        <w:t>Préoccupée</w:t>
      </w:r>
      <w:r w:rsidRPr="00F13FFA">
        <w:rPr>
          <w:rFonts w:eastAsia="Arial" w:cs="Arial"/>
          <w:bdr w:val="none" w:sz="0" w:space="0" w:color="auto" w:frame="1"/>
          <w:lang w:val="fr-FR"/>
        </w:rPr>
        <w:t xml:space="preserve"> du fait que les tendances actuelles de l’utilisation des terres en Afrique, comme en Eurasie, entraînent des transformations considérables des paysages pouvant avoir des impacts négatifs significatifs sur la biodiversité, y compris sur les oiseaux migrateurs. Ce problème doit être traité car une telle biodiversité est précieuse en tant que telle et également pour les services écosystémiques qu’elle fournit et que ces services constituent la base de moyens d’existence résilients pour les populations rurales, qui sont parmi les plus pauvres de la région</w:t>
      </w:r>
      <w:r>
        <w:rPr>
          <w:rFonts w:eastAsia="Arial" w:cs="Arial"/>
          <w:bdr w:val="none" w:sz="0" w:space="0" w:color="auto" w:frame="1"/>
          <w:lang w:val="fr-FR"/>
        </w:rPr>
        <w:t>,</w:t>
      </w:r>
    </w:p>
    <w:p w14:paraId="14CDCDDC" w14:textId="77777777" w:rsidR="000C76FC" w:rsidRPr="00120120" w:rsidRDefault="000C76FC" w:rsidP="000C76FC">
      <w:pPr>
        <w:widowControl w:val="0"/>
        <w:spacing w:after="0" w:line="240" w:lineRule="auto"/>
        <w:jc w:val="both"/>
        <w:rPr>
          <w:rFonts w:eastAsia="Times New Roman" w:cs="Arial"/>
          <w:strike/>
          <w:highlight w:val="yellow"/>
          <w:lang w:val="fr-FR"/>
        </w:rPr>
      </w:pPr>
    </w:p>
    <w:p w14:paraId="1C448738" w14:textId="77777777" w:rsidR="00F20526" w:rsidRPr="00F20526" w:rsidRDefault="00F20526" w:rsidP="00F20526">
      <w:pPr>
        <w:spacing w:after="0" w:line="240" w:lineRule="auto"/>
        <w:jc w:val="both"/>
        <w:rPr>
          <w:rFonts w:cs="Arial"/>
          <w:strike/>
          <w:lang w:val="fr-FR"/>
        </w:rPr>
      </w:pPr>
      <w:r w:rsidRPr="00F20526">
        <w:rPr>
          <w:rFonts w:eastAsia="Arial" w:cs="Arial"/>
          <w:i/>
          <w:iCs/>
          <w:strike/>
          <w:bdr w:val="none" w:sz="0" w:space="0" w:color="auto" w:frame="1"/>
          <w:lang w:val="fr-FR"/>
        </w:rPr>
        <w:t xml:space="preserve">Notant </w:t>
      </w:r>
      <w:r w:rsidRPr="00F20526">
        <w:rPr>
          <w:rFonts w:eastAsia="Arial" w:cs="Arial"/>
          <w:strike/>
          <w:bdr w:val="none" w:sz="0" w:space="0" w:color="auto" w:frame="1"/>
          <w:lang w:val="fr-FR"/>
        </w:rPr>
        <w:t>que le Groupe de travail sur les oiseaux terrestres migrateurs d’Afrique-Eurasie (« le Groupe de travail »), lors de sa deuxième réunion tenue à Abidjan du 25 au 27 novembre 2015, est convenu d’un programme de travail approuvé par la 1</w:t>
      </w:r>
      <w:r w:rsidRPr="00F20526">
        <w:rPr>
          <w:rFonts w:eastAsia="Arial" w:cs="Arial"/>
          <w:strike/>
          <w:bdr w:val="none" w:sz="0" w:space="0" w:color="auto" w:frame="1"/>
          <w:vertAlign w:val="superscript"/>
          <w:lang w:val="fr-FR"/>
        </w:rPr>
        <w:t>e</w:t>
      </w:r>
      <w:r w:rsidRPr="00F20526">
        <w:rPr>
          <w:rFonts w:eastAsia="Arial" w:cs="Arial"/>
          <w:strike/>
          <w:bdr w:val="none" w:sz="0" w:space="0" w:color="auto" w:frame="1"/>
          <w:lang w:val="fr-FR"/>
        </w:rPr>
        <w:t xml:space="preserve"> réunion du Comité de session du Conseil scientifique, tenue du 18 au 21 avril 2016, où le sujet des changements dans l’utilisation des terres avait été hautement prioritaire,</w:t>
      </w:r>
    </w:p>
    <w:p w14:paraId="12918BC4" w14:textId="77777777" w:rsidR="00F705BF" w:rsidRDefault="00F705BF" w:rsidP="009B47B7">
      <w:pPr>
        <w:widowControl w:val="0"/>
        <w:spacing w:after="0" w:line="240" w:lineRule="auto"/>
        <w:jc w:val="both"/>
        <w:rPr>
          <w:rFonts w:eastAsia="Times New Roman" w:cs="Arial"/>
          <w:lang w:val="fr-FR"/>
        </w:rPr>
      </w:pPr>
    </w:p>
    <w:p w14:paraId="73E11ED0" w14:textId="0C027759" w:rsidR="00F705BF" w:rsidRPr="00F70588" w:rsidRDefault="00281F8F" w:rsidP="009B47B7">
      <w:pPr>
        <w:widowControl w:val="0"/>
        <w:spacing w:after="0" w:line="240" w:lineRule="auto"/>
        <w:jc w:val="both"/>
        <w:rPr>
          <w:rFonts w:eastAsia="Times New Roman" w:cs="Arial"/>
          <w:u w:val="single"/>
          <w:lang w:val="fr-FR"/>
        </w:rPr>
      </w:pPr>
      <w:r>
        <w:rPr>
          <w:rFonts w:eastAsia="Times New Roman" w:cs="Arial"/>
          <w:i/>
          <w:iCs/>
          <w:u w:val="single"/>
          <w:lang w:val="fr-FR"/>
        </w:rPr>
        <w:t>Notant</w:t>
      </w:r>
      <w:r>
        <w:rPr>
          <w:rFonts w:eastAsia="Times New Roman" w:cs="Arial"/>
          <w:u w:val="single"/>
          <w:lang w:val="fr-FR"/>
        </w:rPr>
        <w:t xml:space="preserve"> qu'un programme de travail actualisé pour 2021-2026 pour le Groupe de travail </w:t>
      </w:r>
      <w:r>
        <w:rPr>
          <w:rFonts w:eastAsia="Calibri" w:cs="Arial"/>
          <w:u w:val="single"/>
          <w:lang w:val="fr-FR"/>
        </w:rPr>
        <w:t>a été coordonné par le Groupe directeur AEML et le Secrétariat, soutenu par la Station ornithologique suisse (SOI) en tant qu'unité de coordination, et approuvé par le Groupe de travail en novembre 2022,</w:t>
      </w:r>
    </w:p>
    <w:p w14:paraId="27B56092" w14:textId="2437593A" w:rsidR="00F20526" w:rsidRDefault="00F20526" w:rsidP="009B47B7">
      <w:pPr>
        <w:widowControl w:val="0"/>
        <w:spacing w:after="0" w:line="240" w:lineRule="auto"/>
        <w:jc w:val="both"/>
        <w:rPr>
          <w:rFonts w:eastAsia="Times New Roman" w:cs="Arial"/>
          <w:lang w:val="fr-FR"/>
        </w:rPr>
      </w:pPr>
      <w:r>
        <w:rPr>
          <w:rFonts w:eastAsia="Times New Roman" w:cs="Arial"/>
          <w:lang w:val="fr-FR"/>
        </w:rPr>
        <w:br w:type="page"/>
      </w:r>
    </w:p>
    <w:p w14:paraId="04B5FE8C" w14:textId="77777777" w:rsidR="00F20526" w:rsidRPr="00F13FFA" w:rsidRDefault="00F20526" w:rsidP="00F20526">
      <w:pPr>
        <w:spacing w:after="0" w:line="240" w:lineRule="auto"/>
        <w:jc w:val="both"/>
        <w:rPr>
          <w:rFonts w:cs="Arial"/>
          <w:lang w:val="fr-FR"/>
        </w:rPr>
      </w:pPr>
      <w:r w:rsidRPr="00F13FFA">
        <w:rPr>
          <w:rFonts w:eastAsia="Arial" w:cs="Arial"/>
          <w:i/>
          <w:iCs/>
          <w:bdr w:val="none" w:sz="0" w:space="0" w:color="auto" w:frame="1"/>
          <w:lang w:val="fr-FR"/>
        </w:rPr>
        <w:lastRenderedPageBreak/>
        <w:t>Accueillant favorablement</w:t>
      </w:r>
      <w:r w:rsidRPr="00F13FFA">
        <w:rPr>
          <w:rFonts w:eastAsia="Arial" w:cs="Arial"/>
          <w:bdr w:val="none" w:sz="0" w:space="0" w:color="auto" w:frame="1"/>
          <w:lang w:val="fr-FR"/>
        </w:rPr>
        <w:t xml:space="preserve"> le rapport de l’atelier intitulé « </w:t>
      </w:r>
      <w:r w:rsidRPr="00C670F2">
        <w:rPr>
          <w:rFonts w:eastAsia="Arial" w:cs="Arial"/>
          <w:i/>
          <w:iCs/>
          <w:bdr w:val="none" w:sz="0" w:space="0" w:color="auto" w:frame="1"/>
          <w:lang w:val="fr-FR"/>
        </w:rPr>
        <w:t xml:space="preserve">Sustainable Land Use in West Africa: National and International Policy </w:t>
      </w:r>
      <w:proofErr w:type="spellStart"/>
      <w:r w:rsidRPr="00C670F2">
        <w:rPr>
          <w:rFonts w:eastAsia="Arial" w:cs="Arial"/>
          <w:i/>
          <w:iCs/>
          <w:bdr w:val="none" w:sz="0" w:space="0" w:color="auto" w:frame="1"/>
          <w:lang w:val="fr-FR"/>
        </w:rPr>
        <w:t>Responses</w:t>
      </w:r>
      <w:proofErr w:type="spellEnd"/>
      <w:r w:rsidRPr="00C670F2">
        <w:rPr>
          <w:rFonts w:eastAsia="Arial" w:cs="Arial"/>
          <w:i/>
          <w:iCs/>
          <w:bdr w:val="none" w:sz="0" w:space="0" w:color="auto" w:frame="1"/>
          <w:lang w:val="fr-FR"/>
        </w:rPr>
        <w:t xml:space="preserve"> </w:t>
      </w:r>
      <w:proofErr w:type="spellStart"/>
      <w:r w:rsidRPr="00C670F2">
        <w:rPr>
          <w:rFonts w:eastAsia="Arial" w:cs="Arial"/>
          <w:i/>
          <w:iCs/>
          <w:bdr w:val="none" w:sz="0" w:space="0" w:color="auto" w:frame="1"/>
          <w:lang w:val="fr-FR"/>
        </w:rPr>
        <w:t>that</w:t>
      </w:r>
      <w:proofErr w:type="spellEnd"/>
      <w:r w:rsidRPr="00C670F2">
        <w:rPr>
          <w:rFonts w:eastAsia="Arial" w:cs="Arial"/>
          <w:i/>
          <w:iCs/>
          <w:bdr w:val="none" w:sz="0" w:space="0" w:color="auto" w:frame="1"/>
          <w:lang w:val="fr-FR"/>
        </w:rPr>
        <w:t xml:space="preserve"> </w:t>
      </w:r>
      <w:proofErr w:type="spellStart"/>
      <w:r w:rsidRPr="00C670F2">
        <w:rPr>
          <w:rFonts w:eastAsia="Arial" w:cs="Arial"/>
          <w:i/>
          <w:iCs/>
          <w:bdr w:val="none" w:sz="0" w:space="0" w:color="auto" w:frame="1"/>
          <w:lang w:val="fr-FR"/>
        </w:rPr>
        <w:t>Deliver</w:t>
      </w:r>
      <w:proofErr w:type="spellEnd"/>
      <w:r w:rsidRPr="00C670F2">
        <w:rPr>
          <w:rFonts w:eastAsia="Arial" w:cs="Arial"/>
          <w:i/>
          <w:iCs/>
          <w:bdr w:val="none" w:sz="0" w:space="0" w:color="auto" w:frame="1"/>
          <w:lang w:val="fr-FR"/>
        </w:rPr>
        <w:t xml:space="preserve"> for </w:t>
      </w:r>
      <w:proofErr w:type="spellStart"/>
      <w:r w:rsidRPr="00C670F2">
        <w:rPr>
          <w:rFonts w:eastAsia="Arial" w:cs="Arial"/>
          <w:i/>
          <w:iCs/>
          <w:bdr w:val="none" w:sz="0" w:space="0" w:color="auto" w:frame="1"/>
          <w:lang w:val="fr-FR"/>
        </w:rPr>
        <w:t>Migratory</w:t>
      </w:r>
      <w:proofErr w:type="spellEnd"/>
      <w:r w:rsidRPr="00C670F2">
        <w:rPr>
          <w:rFonts w:eastAsia="Arial" w:cs="Arial"/>
          <w:i/>
          <w:iCs/>
          <w:bdr w:val="none" w:sz="0" w:space="0" w:color="auto" w:frame="1"/>
          <w:lang w:val="fr-FR"/>
        </w:rPr>
        <w:t xml:space="preserve"> </w:t>
      </w:r>
      <w:proofErr w:type="spellStart"/>
      <w:r w:rsidRPr="00C670F2">
        <w:rPr>
          <w:rFonts w:eastAsia="Arial" w:cs="Arial"/>
          <w:i/>
          <w:iCs/>
          <w:bdr w:val="none" w:sz="0" w:space="0" w:color="auto" w:frame="1"/>
          <w:lang w:val="fr-FR"/>
        </w:rPr>
        <w:t>Birds</w:t>
      </w:r>
      <w:proofErr w:type="spellEnd"/>
      <w:r w:rsidRPr="00C670F2">
        <w:rPr>
          <w:rFonts w:eastAsia="Arial" w:cs="Arial"/>
          <w:i/>
          <w:iCs/>
          <w:bdr w:val="none" w:sz="0" w:space="0" w:color="auto" w:frame="1"/>
          <w:lang w:val="fr-FR"/>
        </w:rPr>
        <w:t xml:space="preserve"> and People</w:t>
      </w:r>
      <w:r w:rsidRPr="00F13FFA">
        <w:rPr>
          <w:rFonts w:eastAsia="Arial" w:cs="Arial"/>
          <w:bdr w:val="none" w:sz="0" w:space="0" w:color="auto" w:frame="1"/>
          <w:lang w:val="fr-FR"/>
        </w:rPr>
        <w:t> » (Utilisation durable des terres en Afrique de l’Ouest : Réponses en matière de politiques nationales et internationales satisfaisant aux besoins des oiseaux migrateurs et des personnes) (LUMB) (« l’atelier ») qui a eu lieu à Abuja du 24 au 26 novembre 2016 ainsi que la Déclaration d’Abuja « </w:t>
      </w:r>
      <w:r w:rsidRPr="00F13FFA">
        <w:rPr>
          <w:rFonts w:eastAsia="Arial" w:cs="Arial"/>
          <w:i/>
          <w:bdr w:val="none" w:sz="0" w:space="0" w:color="auto" w:frame="1"/>
          <w:lang w:val="fr-FR"/>
        </w:rPr>
        <w:t xml:space="preserve">Sustainable Land Use for People and </w:t>
      </w:r>
      <w:proofErr w:type="spellStart"/>
      <w:r w:rsidRPr="00F13FFA">
        <w:rPr>
          <w:rFonts w:eastAsia="Arial" w:cs="Arial"/>
          <w:i/>
          <w:bdr w:val="none" w:sz="0" w:space="0" w:color="auto" w:frame="1"/>
          <w:lang w:val="fr-FR"/>
        </w:rPr>
        <w:t>Biodiversity</w:t>
      </w:r>
      <w:proofErr w:type="spellEnd"/>
      <w:r w:rsidRPr="00F13FFA">
        <w:rPr>
          <w:rFonts w:eastAsia="Arial" w:cs="Arial"/>
          <w:i/>
          <w:bdr w:val="none" w:sz="0" w:space="0" w:color="auto" w:frame="1"/>
          <w:lang w:val="fr-FR"/>
        </w:rPr>
        <w:t xml:space="preserve"> </w:t>
      </w:r>
      <w:proofErr w:type="spellStart"/>
      <w:r w:rsidRPr="00F13FFA">
        <w:rPr>
          <w:rFonts w:eastAsia="Arial" w:cs="Arial"/>
          <w:i/>
          <w:bdr w:val="none" w:sz="0" w:space="0" w:color="auto" w:frame="1"/>
          <w:lang w:val="fr-FR"/>
        </w:rPr>
        <w:t>including</w:t>
      </w:r>
      <w:proofErr w:type="spellEnd"/>
      <w:r w:rsidRPr="00F13FFA">
        <w:rPr>
          <w:rFonts w:eastAsia="Arial" w:cs="Arial"/>
          <w:i/>
          <w:bdr w:val="none" w:sz="0" w:space="0" w:color="auto" w:frame="1"/>
          <w:lang w:val="fr-FR"/>
        </w:rPr>
        <w:t xml:space="preserve"> </w:t>
      </w:r>
      <w:proofErr w:type="spellStart"/>
      <w:r w:rsidRPr="00F13FFA">
        <w:rPr>
          <w:rFonts w:eastAsia="Arial" w:cs="Arial"/>
          <w:i/>
          <w:bdr w:val="none" w:sz="0" w:space="0" w:color="auto" w:frame="1"/>
          <w:lang w:val="fr-FR"/>
        </w:rPr>
        <w:t>Migratory</w:t>
      </w:r>
      <w:proofErr w:type="spellEnd"/>
      <w:r w:rsidRPr="00F13FFA">
        <w:rPr>
          <w:rFonts w:eastAsia="Arial" w:cs="Arial"/>
          <w:i/>
          <w:bdr w:val="none" w:sz="0" w:space="0" w:color="auto" w:frame="1"/>
          <w:lang w:val="fr-FR"/>
        </w:rPr>
        <w:t xml:space="preserve"> </w:t>
      </w:r>
      <w:proofErr w:type="spellStart"/>
      <w:r w:rsidRPr="00F13FFA">
        <w:rPr>
          <w:rFonts w:eastAsia="Arial" w:cs="Arial"/>
          <w:i/>
          <w:bdr w:val="none" w:sz="0" w:space="0" w:color="auto" w:frame="1"/>
          <w:lang w:val="fr-FR"/>
        </w:rPr>
        <w:t>Birds</w:t>
      </w:r>
      <w:proofErr w:type="spellEnd"/>
      <w:r w:rsidRPr="00F13FFA">
        <w:rPr>
          <w:rFonts w:eastAsia="Arial" w:cs="Arial"/>
          <w:i/>
          <w:bdr w:val="none" w:sz="0" w:space="0" w:color="auto" w:frame="1"/>
          <w:lang w:val="fr-FR"/>
        </w:rPr>
        <w:t xml:space="preserve"> in West Africa</w:t>
      </w:r>
      <w:r w:rsidRPr="00F13FFA">
        <w:rPr>
          <w:rFonts w:eastAsia="Arial" w:cs="Arial"/>
          <w:bdr w:val="none" w:sz="0" w:space="0" w:color="auto" w:frame="1"/>
          <w:lang w:val="fr-FR"/>
        </w:rPr>
        <w:t> » (Utilisation durable des terres pour les personnes et la biodiversité, y compris les oiseaux migrateurs en Afrique de l’Ouest)</w:t>
      </w:r>
      <w:r>
        <w:rPr>
          <w:rFonts w:eastAsia="Arial" w:cs="Arial"/>
          <w:bdr w:val="none" w:sz="0" w:space="0" w:color="auto" w:frame="1"/>
          <w:lang w:val="fr-FR"/>
        </w:rPr>
        <w:t>,</w:t>
      </w:r>
    </w:p>
    <w:p w14:paraId="50D37C63" w14:textId="77777777" w:rsidR="009B47B7" w:rsidRPr="00120120" w:rsidRDefault="009B47B7" w:rsidP="009B47B7">
      <w:pPr>
        <w:widowControl w:val="0"/>
        <w:spacing w:after="0" w:line="240" w:lineRule="auto"/>
        <w:ind w:firstLine="720"/>
        <w:jc w:val="both"/>
        <w:rPr>
          <w:rFonts w:eastAsia="Times New Roman" w:cs="Arial"/>
          <w:highlight w:val="yellow"/>
          <w:lang w:val="fr-FR"/>
        </w:rPr>
      </w:pPr>
    </w:p>
    <w:p w14:paraId="40A4B11A" w14:textId="31D5031E" w:rsidR="00F20526" w:rsidRDefault="00F20526" w:rsidP="00F20526">
      <w:pPr>
        <w:spacing w:after="0" w:line="240" w:lineRule="auto"/>
        <w:jc w:val="both"/>
        <w:rPr>
          <w:rFonts w:eastAsia="Arial" w:cs="Arial"/>
          <w:bdr w:val="none" w:sz="0" w:space="0" w:color="auto" w:frame="1"/>
          <w:lang w:val="fr-FR"/>
        </w:rPr>
      </w:pPr>
      <w:r w:rsidRPr="00F13FFA">
        <w:rPr>
          <w:rFonts w:eastAsia="Arial" w:cs="Arial"/>
          <w:i/>
          <w:iCs/>
          <w:bdr w:val="none" w:sz="0" w:space="0" w:color="auto" w:frame="1"/>
          <w:lang w:val="fr-FR"/>
        </w:rPr>
        <w:t>Se félicitant en outre</w:t>
      </w:r>
      <w:r w:rsidRPr="00F13FFA">
        <w:rPr>
          <w:rFonts w:eastAsia="Arial" w:cs="Arial"/>
          <w:bdr w:val="none" w:sz="0" w:space="0" w:color="auto" w:frame="1"/>
          <w:lang w:val="fr-FR"/>
        </w:rPr>
        <w:t xml:space="preserve"> </w:t>
      </w:r>
      <w:r w:rsidRPr="00F20526">
        <w:rPr>
          <w:rFonts w:eastAsia="Arial" w:cs="Arial"/>
          <w:u w:val="single"/>
          <w:bdr w:val="none" w:sz="0" w:space="0" w:color="auto" w:frame="1"/>
          <w:lang w:val="fr-FR"/>
        </w:rPr>
        <w:t>de l’achèvement</w:t>
      </w:r>
      <w:r>
        <w:rPr>
          <w:rFonts w:eastAsia="Arial" w:cs="Arial"/>
          <w:bdr w:val="none" w:sz="0" w:space="0" w:color="auto" w:frame="1"/>
          <w:lang w:val="fr-FR"/>
        </w:rPr>
        <w:t xml:space="preserve"> </w:t>
      </w:r>
      <w:r w:rsidRPr="00F13FFA">
        <w:rPr>
          <w:rFonts w:eastAsia="Arial" w:cs="Arial"/>
          <w:bdr w:val="none" w:sz="0" w:space="0" w:color="auto" w:frame="1"/>
          <w:lang w:val="fr-FR"/>
        </w:rPr>
        <w:t xml:space="preserve">du projet de </w:t>
      </w:r>
      <w:proofErr w:type="spellStart"/>
      <w:r w:rsidRPr="00F13FFA">
        <w:rPr>
          <w:rFonts w:eastAsia="Arial" w:cs="Arial"/>
          <w:bdr w:val="none" w:sz="0" w:space="0" w:color="auto" w:frame="1"/>
          <w:lang w:val="fr-FR"/>
        </w:rPr>
        <w:t>BirdLife</w:t>
      </w:r>
      <w:proofErr w:type="spellEnd"/>
      <w:r w:rsidRPr="00F13FFA">
        <w:rPr>
          <w:rFonts w:eastAsia="Arial" w:cs="Arial"/>
          <w:bdr w:val="none" w:sz="0" w:space="0" w:color="auto" w:frame="1"/>
          <w:lang w:val="fr-FR"/>
        </w:rPr>
        <w:t xml:space="preserve"> International et de </w:t>
      </w:r>
      <w:proofErr w:type="spellStart"/>
      <w:r w:rsidRPr="00F13FFA">
        <w:rPr>
          <w:rFonts w:eastAsia="Arial" w:cs="Arial"/>
          <w:bdr w:val="none" w:sz="0" w:space="0" w:color="auto" w:frame="1"/>
          <w:lang w:val="fr-FR"/>
        </w:rPr>
        <w:t>Naturschutzbund</w:t>
      </w:r>
      <w:proofErr w:type="spellEnd"/>
      <w:r w:rsidRPr="00F13FFA">
        <w:rPr>
          <w:rFonts w:eastAsia="Arial" w:cs="Arial"/>
          <w:bdr w:val="none" w:sz="0" w:space="0" w:color="auto" w:frame="1"/>
          <w:lang w:val="fr-FR"/>
        </w:rPr>
        <w:t xml:space="preserve"> </w:t>
      </w:r>
      <w:proofErr w:type="spellStart"/>
      <w:r w:rsidRPr="00F13FFA">
        <w:rPr>
          <w:rFonts w:eastAsia="Arial" w:cs="Arial"/>
          <w:bdr w:val="none" w:sz="0" w:space="0" w:color="auto" w:frame="1"/>
          <w:lang w:val="fr-FR"/>
        </w:rPr>
        <w:t>Deutschland</w:t>
      </w:r>
      <w:proofErr w:type="spellEnd"/>
      <w:r w:rsidRPr="00F13FFA">
        <w:rPr>
          <w:rFonts w:eastAsia="Arial" w:cs="Arial"/>
          <w:bdr w:val="none" w:sz="0" w:space="0" w:color="auto" w:frame="1"/>
          <w:lang w:val="fr-FR"/>
        </w:rPr>
        <w:t xml:space="preserve"> : </w:t>
      </w:r>
      <w:r w:rsidRPr="00F13FFA">
        <w:rPr>
          <w:rFonts w:eastAsia="Arial" w:cs="Arial"/>
          <w:i/>
          <w:bdr w:val="none" w:sz="0" w:space="0" w:color="auto" w:frame="1"/>
          <w:lang w:val="fr-FR"/>
        </w:rPr>
        <w:t xml:space="preserve">African </w:t>
      </w:r>
      <w:proofErr w:type="spellStart"/>
      <w:r w:rsidRPr="00F13FFA">
        <w:rPr>
          <w:rFonts w:eastAsia="Arial" w:cs="Arial"/>
          <w:i/>
          <w:bdr w:val="none" w:sz="0" w:space="0" w:color="auto" w:frame="1"/>
          <w:lang w:val="fr-FR"/>
        </w:rPr>
        <w:t>Biosphere</w:t>
      </w:r>
      <w:proofErr w:type="spellEnd"/>
      <w:r w:rsidRPr="00F13FFA">
        <w:rPr>
          <w:rFonts w:eastAsia="Arial" w:cs="Arial"/>
          <w:i/>
          <w:bdr w:val="none" w:sz="0" w:space="0" w:color="auto" w:frame="1"/>
          <w:lang w:val="fr-FR"/>
        </w:rPr>
        <w:t xml:space="preserve"> </w:t>
      </w:r>
      <w:proofErr w:type="spellStart"/>
      <w:r w:rsidRPr="00F13FFA">
        <w:rPr>
          <w:rFonts w:eastAsia="Arial" w:cs="Arial"/>
          <w:i/>
          <w:bdr w:val="none" w:sz="0" w:space="0" w:color="auto" w:frame="1"/>
          <w:lang w:val="fr-FR"/>
        </w:rPr>
        <w:t>Reserves</w:t>
      </w:r>
      <w:proofErr w:type="spellEnd"/>
      <w:r w:rsidRPr="00F13FFA">
        <w:rPr>
          <w:rFonts w:eastAsia="Arial" w:cs="Arial"/>
          <w:i/>
          <w:bdr w:val="none" w:sz="0" w:space="0" w:color="auto" w:frame="1"/>
          <w:lang w:val="fr-FR"/>
        </w:rPr>
        <w:t xml:space="preserve"> as Pilot Sites for Monitoring and Conservation of </w:t>
      </w:r>
      <w:proofErr w:type="spellStart"/>
      <w:r w:rsidRPr="00F13FFA">
        <w:rPr>
          <w:rFonts w:eastAsia="Arial" w:cs="Arial"/>
          <w:i/>
          <w:bdr w:val="none" w:sz="0" w:space="0" w:color="auto" w:frame="1"/>
          <w:lang w:val="fr-FR"/>
        </w:rPr>
        <w:t>Migratory</w:t>
      </w:r>
      <w:proofErr w:type="spellEnd"/>
      <w:r w:rsidRPr="00F13FFA">
        <w:rPr>
          <w:rFonts w:eastAsia="Arial" w:cs="Arial"/>
          <w:i/>
          <w:bdr w:val="none" w:sz="0" w:space="0" w:color="auto" w:frame="1"/>
          <w:lang w:val="fr-FR"/>
        </w:rPr>
        <w:t xml:space="preserve"> </w:t>
      </w:r>
      <w:proofErr w:type="spellStart"/>
      <w:r w:rsidRPr="00F13FFA">
        <w:rPr>
          <w:rFonts w:eastAsia="Arial" w:cs="Arial"/>
          <w:i/>
          <w:bdr w:val="none" w:sz="0" w:space="0" w:color="auto" w:frame="1"/>
          <w:lang w:val="fr-FR"/>
        </w:rPr>
        <w:t>Birds</w:t>
      </w:r>
      <w:proofErr w:type="spellEnd"/>
      <w:r w:rsidRPr="00F13FFA">
        <w:rPr>
          <w:rFonts w:eastAsia="Arial" w:cs="Arial"/>
          <w:bdr w:val="none" w:sz="0" w:space="0" w:color="auto" w:frame="1"/>
          <w:lang w:val="fr-FR"/>
        </w:rPr>
        <w:t xml:space="preserve"> (</w:t>
      </w:r>
      <w:proofErr w:type="spellStart"/>
      <w:r w:rsidRPr="00F13FFA">
        <w:rPr>
          <w:rFonts w:eastAsia="Arial" w:cs="Arial"/>
          <w:bdr w:val="none" w:sz="0" w:space="0" w:color="auto" w:frame="1"/>
          <w:lang w:val="fr-FR"/>
        </w:rPr>
        <w:t>AfriBiRds</w:t>
      </w:r>
      <w:proofErr w:type="spellEnd"/>
      <w:r w:rsidRPr="00F13FFA">
        <w:rPr>
          <w:rFonts w:eastAsia="Arial" w:cs="Arial"/>
          <w:bdr w:val="none" w:sz="0" w:space="0" w:color="auto" w:frame="1"/>
          <w:lang w:val="fr-FR"/>
        </w:rPr>
        <w:t>) [Les réserves de biosphère africaines comme sites pilotes pour le suivi et la conservation des oiseaux migrateurs], financé par l’Allemagne, et du potentiel du projet à contribuer à l’élaboration d’indices nationaux relatifs aux oiseaux sauvages et à la génération d’informations sur les oiseaux migrateurs en général,</w:t>
      </w:r>
      <w:r w:rsidRPr="00F13FFA">
        <w:rPr>
          <w:rFonts w:cs="Arial"/>
          <w:bdr w:val="none" w:sz="0" w:space="0" w:color="auto" w:frame="1"/>
          <w:lang w:val="fr-FR"/>
        </w:rPr>
        <w:t xml:space="preserve"> </w:t>
      </w:r>
      <w:r w:rsidRPr="00F13FFA">
        <w:rPr>
          <w:rFonts w:eastAsia="Arial" w:cs="Arial"/>
          <w:bdr w:val="none" w:sz="0" w:space="0" w:color="auto" w:frame="1"/>
          <w:lang w:val="fr-FR"/>
        </w:rPr>
        <w:t xml:space="preserve">ainsi que du projet du partenariat </w:t>
      </w:r>
      <w:proofErr w:type="spellStart"/>
      <w:r w:rsidRPr="00F13FFA">
        <w:rPr>
          <w:rFonts w:eastAsia="Arial" w:cs="Arial"/>
          <w:bdr w:val="none" w:sz="0" w:space="0" w:color="auto" w:frame="1"/>
          <w:lang w:val="fr-FR"/>
        </w:rPr>
        <w:t>BirdLife</w:t>
      </w:r>
      <w:proofErr w:type="spellEnd"/>
      <w:r w:rsidRPr="00F13FFA">
        <w:rPr>
          <w:rFonts w:eastAsia="Arial" w:cs="Arial"/>
          <w:bdr w:val="none" w:sz="0" w:space="0" w:color="auto" w:frame="1"/>
          <w:lang w:val="fr-FR"/>
        </w:rPr>
        <w:t xml:space="preserve"> « </w:t>
      </w:r>
      <w:r w:rsidRPr="00F13FFA">
        <w:rPr>
          <w:rFonts w:eastAsia="Arial" w:cs="Arial"/>
          <w:i/>
          <w:bdr w:val="none" w:sz="0" w:space="0" w:color="auto" w:frame="1"/>
          <w:lang w:val="fr-FR"/>
        </w:rPr>
        <w:t>Living on the Edge</w:t>
      </w:r>
      <w:r w:rsidRPr="00F13FFA">
        <w:rPr>
          <w:rFonts w:eastAsia="Arial" w:cs="Arial"/>
          <w:bdr w:val="none" w:sz="0" w:space="0" w:color="auto" w:frame="1"/>
          <w:lang w:val="fr-FR"/>
        </w:rPr>
        <w:t> »</w:t>
      </w:r>
      <w:r>
        <w:rPr>
          <w:rFonts w:eastAsia="Arial" w:cs="Arial"/>
          <w:bdr w:val="none" w:sz="0" w:space="0" w:color="auto" w:frame="1"/>
          <w:lang w:val="fr-FR"/>
        </w:rPr>
        <w:t>,</w:t>
      </w:r>
    </w:p>
    <w:p w14:paraId="2EF92A30" w14:textId="77777777" w:rsidR="009B47B7" w:rsidRPr="00120120" w:rsidRDefault="009B47B7" w:rsidP="009B47B7">
      <w:pPr>
        <w:widowControl w:val="0"/>
        <w:spacing w:after="0" w:line="240" w:lineRule="auto"/>
        <w:jc w:val="both"/>
        <w:rPr>
          <w:rFonts w:eastAsia="Times New Roman" w:cs="Arial"/>
          <w:highlight w:val="yellow"/>
          <w:lang w:val="fr-FR"/>
        </w:rPr>
      </w:pPr>
    </w:p>
    <w:p w14:paraId="5966957F" w14:textId="77777777" w:rsidR="00F20526" w:rsidRPr="008364CB" w:rsidRDefault="00F20526" w:rsidP="00F20526">
      <w:pPr>
        <w:spacing w:after="0" w:line="240" w:lineRule="auto"/>
        <w:jc w:val="both"/>
        <w:rPr>
          <w:rFonts w:eastAsia="Arial" w:cs="Arial"/>
          <w:bdr w:val="none" w:sz="0" w:space="0" w:color="auto" w:frame="1"/>
          <w:lang w:val="fr-FR"/>
        </w:rPr>
      </w:pPr>
      <w:r>
        <w:rPr>
          <w:rFonts w:eastAsia="Arial" w:cs="Arial"/>
          <w:i/>
          <w:iCs/>
          <w:bdr w:val="none" w:sz="0" w:space="0" w:color="auto" w:frame="1"/>
          <w:lang w:val="fr-FR"/>
        </w:rPr>
        <w:t xml:space="preserve">Se félicitant enfin </w:t>
      </w:r>
      <w:r>
        <w:rPr>
          <w:rFonts w:eastAsia="Arial" w:cs="Arial"/>
          <w:bdr w:val="none" w:sz="0" w:space="0" w:color="auto" w:frame="1"/>
          <w:lang w:val="fr-FR"/>
        </w:rPr>
        <w:t xml:space="preserve">des travaux des partenaires de </w:t>
      </w:r>
      <w:proofErr w:type="spellStart"/>
      <w:r>
        <w:rPr>
          <w:rFonts w:eastAsia="Arial" w:cs="Arial"/>
          <w:bdr w:val="none" w:sz="0" w:space="0" w:color="auto" w:frame="1"/>
          <w:lang w:val="fr-FR"/>
        </w:rPr>
        <w:t>BirdLife</w:t>
      </w:r>
      <w:proofErr w:type="spellEnd"/>
      <w:r>
        <w:rPr>
          <w:rFonts w:eastAsia="Arial" w:cs="Arial"/>
          <w:bdr w:val="none" w:sz="0" w:space="0" w:color="auto" w:frame="1"/>
          <w:lang w:val="fr-FR"/>
        </w:rPr>
        <w:t xml:space="preserve"> International financés par la </w:t>
      </w:r>
      <w:r w:rsidRPr="008364CB">
        <w:rPr>
          <w:rFonts w:eastAsia="Arial" w:cs="Arial"/>
          <w:bdr w:val="none" w:sz="0" w:space="0" w:color="auto" w:frame="1"/>
          <w:lang w:val="fr-FR"/>
        </w:rPr>
        <w:t xml:space="preserve">Royal Society for the Protection of </w:t>
      </w:r>
      <w:proofErr w:type="spellStart"/>
      <w:r w:rsidRPr="008364CB">
        <w:rPr>
          <w:rFonts w:eastAsia="Arial" w:cs="Arial"/>
          <w:bdr w:val="none" w:sz="0" w:space="0" w:color="auto" w:frame="1"/>
          <w:lang w:val="fr-FR"/>
        </w:rPr>
        <w:t>Birds</w:t>
      </w:r>
      <w:proofErr w:type="spellEnd"/>
      <w:r w:rsidRPr="00C670F2">
        <w:rPr>
          <w:rFonts w:eastAsia="Arial" w:cs="Arial"/>
          <w:bdr w:val="none" w:sz="0" w:space="0" w:color="auto" w:frame="1"/>
          <w:lang w:val="fr-FR"/>
        </w:rPr>
        <w:t xml:space="preserve"> </w:t>
      </w:r>
      <w:r>
        <w:rPr>
          <w:rFonts w:eastAsia="Arial" w:cs="Arial"/>
          <w:bdr w:val="none" w:sz="0" w:space="0" w:color="auto" w:frame="1"/>
          <w:lang w:val="fr-FR"/>
        </w:rPr>
        <w:t>(</w:t>
      </w:r>
      <w:r w:rsidRPr="00C670F2">
        <w:rPr>
          <w:lang w:val="fr-FR"/>
        </w:rPr>
        <w:t>Société royale pour la protection des oiseaux</w:t>
      </w:r>
      <w:r>
        <w:rPr>
          <w:lang w:val="fr-FR"/>
        </w:rPr>
        <w:t xml:space="preserve">, </w:t>
      </w:r>
      <w:r>
        <w:rPr>
          <w:rFonts w:eastAsia="Arial" w:cs="Arial"/>
          <w:bdr w:val="none" w:sz="0" w:space="0" w:color="auto" w:frame="1"/>
          <w:lang w:val="fr-FR"/>
        </w:rPr>
        <w:t xml:space="preserve">RSPB) visant à établir et mener des projets </w:t>
      </w:r>
      <w:r w:rsidRPr="005F37EB">
        <w:rPr>
          <w:rFonts w:eastAsia="Arial" w:cs="Arial"/>
          <w:bdr w:val="none" w:sz="0" w:space="0" w:color="auto" w:frame="1"/>
          <w:lang w:val="fr-FR"/>
        </w:rPr>
        <w:t>consacré</w:t>
      </w:r>
      <w:r>
        <w:rPr>
          <w:rFonts w:eastAsia="Arial" w:cs="Arial"/>
          <w:bdr w:val="none" w:sz="0" w:space="0" w:color="auto" w:frame="1"/>
          <w:lang w:val="fr-FR"/>
        </w:rPr>
        <w:t>s</w:t>
      </w:r>
      <w:r w:rsidRPr="005F37EB">
        <w:rPr>
          <w:rFonts w:eastAsia="Arial" w:cs="Arial"/>
          <w:bdr w:val="none" w:sz="0" w:space="0" w:color="auto" w:frame="1"/>
          <w:lang w:val="fr-FR"/>
        </w:rPr>
        <w:t xml:space="preserve"> au suivi des oiseaux </w:t>
      </w:r>
      <w:r>
        <w:rPr>
          <w:rFonts w:eastAsia="Arial" w:cs="Arial"/>
          <w:bdr w:val="none" w:sz="0" w:space="0" w:color="auto" w:frame="1"/>
          <w:lang w:val="fr-FR"/>
        </w:rPr>
        <w:t>communs (qui s’inspirent du Pan-European Common Bird Monitoring Scheme établi en 2002 et sont soutenu par l’Union européenne et la RSPB</w:t>
      </w:r>
      <w:r w:rsidRPr="005F37EB">
        <w:rPr>
          <w:rFonts w:eastAsia="Arial" w:cs="Arial"/>
          <w:bdr w:val="none" w:sz="0" w:space="0" w:color="auto" w:frame="1"/>
          <w:lang w:val="fr-FR"/>
        </w:rPr>
        <w:t>)</w:t>
      </w:r>
      <w:r>
        <w:rPr>
          <w:rFonts w:eastAsia="Arial" w:cs="Arial"/>
          <w:bdr w:val="none" w:sz="0" w:space="0" w:color="auto" w:frame="1"/>
          <w:lang w:val="fr-FR"/>
        </w:rPr>
        <w:t xml:space="preserve"> en Ouganda et au Botswana, avec l’aide de scientifiques locaux volontaires, qui ont permis de produire des indicateurs scientifiques fiables et de réunir des informations complémentaires sur l’environnement pour leur pays,</w:t>
      </w:r>
    </w:p>
    <w:p w14:paraId="14696834" w14:textId="77777777" w:rsidR="009B47B7" w:rsidRPr="00120120" w:rsidRDefault="009B47B7" w:rsidP="009B47B7">
      <w:pPr>
        <w:widowControl w:val="0"/>
        <w:spacing w:after="0" w:line="240" w:lineRule="auto"/>
        <w:jc w:val="both"/>
        <w:rPr>
          <w:rFonts w:eastAsia="Times New Roman" w:cs="Arial"/>
          <w:highlight w:val="yellow"/>
          <w:lang w:val="fr-FR"/>
        </w:rPr>
      </w:pPr>
    </w:p>
    <w:p w14:paraId="05D1B130" w14:textId="77777777" w:rsidR="00F20526" w:rsidRPr="009B0232" w:rsidRDefault="00F20526" w:rsidP="00F20526">
      <w:pPr>
        <w:spacing w:after="0" w:line="240" w:lineRule="auto"/>
        <w:jc w:val="both"/>
        <w:rPr>
          <w:rFonts w:eastAsia="Arial" w:cs="Arial"/>
          <w:bdr w:val="none" w:sz="0" w:space="0" w:color="auto" w:frame="1"/>
          <w:lang w:val="fr-FR"/>
        </w:rPr>
      </w:pPr>
      <w:r w:rsidRPr="00F13FFA">
        <w:rPr>
          <w:rFonts w:eastAsia="Arial" w:cs="Arial"/>
          <w:i/>
          <w:iCs/>
          <w:bdr w:val="none" w:sz="0" w:space="0" w:color="auto" w:frame="1"/>
          <w:lang w:val="fr-FR"/>
        </w:rPr>
        <w:t>Rappelant</w:t>
      </w:r>
      <w:r w:rsidRPr="00F13FFA">
        <w:rPr>
          <w:rFonts w:eastAsia="Arial" w:cs="Arial"/>
          <w:bdr w:val="none" w:sz="0" w:space="0" w:color="auto" w:frame="1"/>
          <w:lang w:val="fr-FR"/>
        </w:rPr>
        <w:t xml:space="preserve"> la pertinence de l’utilisation durable des terres pour la CMS et son Plan stratégique 2015-2023 et pour d’autres instruments de la Famille CMS tels que l’Accord sur la conservation des oiseaux d’eau migrateurs d’Afrique-Eurasie (AEWA) et son Plan stratégiqu</w:t>
      </w:r>
      <w:r>
        <w:rPr>
          <w:rFonts w:eastAsia="Arial" w:cs="Arial"/>
          <w:bdr w:val="none" w:sz="0" w:space="0" w:color="auto" w:frame="1"/>
          <w:lang w:val="fr-FR"/>
        </w:rPr>
        <w:t xml:space="preserve">e </w:t>
      </w:r>
      <w:r w:rsidRPr="009B0232">
        <w:rPr>
          <w:rFonts w:eastAsia="Arial" w:cs="Arial"/>
          <w:bdr w:val="none" w:sz="0" w:space="0" w:color="auto" w:frame="1"/>
          <w:lang w:val="fr-FR"/>
        </w:rPr>
        <w:t>2019 – 2027</w:t>
      </w:r>
      <w:r w:rsidRPr="00F13FFA">
        <w:rPr>
          <w:rFonts w:eastAsia="Arial" w:cs="Arial"/>
          <w:bdr w:val="none" w:sz="0" w:space="0" w:color="auto" w:frame="1"/>
          <w:lang w:val="fr-FR"/>
        </w:rPr>
        <w:t xml:space="preserve"> ainsi que le Mémorandum d’Entente sur la conservation des oiseaux de proie migrateurs d’Afrique et d’Eurasie (</w:t>
      </w:r>
      <w:proofErr w:type="spellStart"/>
      <w:r w:rsidRPr="00F13FFA">
        <w:rPr>
          <w:rFonts w:eastAsia="Arial" w:cs="Arial"/>
          <w:bdr w:val="none" w:sz="0" w:space="0" w:color="auto" w:frame="1"/>
          <w:lang w:val="fr-FR"/>
        </w:rPr>
        <w:t>MdE</w:t>
      </w:r>
      <w:proofErr w:type="spellEnd"/>
      <w:r w:rsidRPr="00F13FFA">
        <w:rPr>
          <w:rFonts w:eastAsia="Arial" w:cs="Arial"/>
          <w:bdr w:val="none" w:sz="0" w:space="0" w:color="auto" w:frame="1"/>
          <w:lang w:val="fr-FR"/>
        </w:rPr>
        <w:t xml:space="preserve"> Rapaces)</w:t>
      </w:r>
      <w:r>
        <w:rPr>
          <w:rFonts w:eastAsia="Arial" w:cs="Arial"/>
          <w:bdr w:val="none" w:sz="0" w:space="0" w:color="auto" w:frame="1"/>
          <w:lang w:val="fr-FR"/>
        </w:rPr>
        <w:t>,</w:t>
      </w:r>
    </w:p>
    <w:p w14:paraId="6EE4DDA2" w14:textId="77777777" w:rsidR="009B47B7" w:rsidRPr="00120120" w:rsidRDefault="009B47B7" w:rsidP="009B47B7">
      <w:pPr>
        <w:widowControl w:val="0"/>
        <w:spacing w:after="0" w:line="240" w:lineRule="auto"/>
        <w:jc w:val="both"/>
        <w:rPr>
          <w:rFonts w:eastAsia="Times New Roman" w:cs="Arial"/>
          <w:i/>
          <w:highlight w:val="yellow"/>
          <w:u w:val="single"/>
          <w:lang w:val="fr-FR"/>
        </w:rPr>
      </w:pPr>
    </w:p>
    <w:p w14:paraId="06559975" w14:textId="77777777" w:rsidR="00F20526" w:rsidRPr="009B0232" w:rsidRDefault="00F20526" w:rsidP="00F20526">
      <w:pPr>
        <w:spacing w:after="0" w:line="240" w:lineRule="auto"/>
        <w:jc w:val="both"/>
        <w:rPr>
          <w:rFonts w:cs="Arial"/>
          <w:lang w:val="fr-FR"/>
        </w:rPr>
      </w:pPr>
      <w:bookmarkStart w:id="1" w:name="_Hlk21333748"/>
      <w:r w:rsidRPr="009B0232">
        <w:rPr>
          <w:rFonts w:cs="Arial"/>
          <w:i/>
          <w:lang w:val="fr-FR"/>
        </w:rPr>
        <w:t xml:space="preserve">Reconnaissant </w:t>
      </w:r>
      <w:r w:rsidRPr="009B0232">
        <w:rPr>
          <w:rFonts w:cs="Arial"/>
          <w:lang w:val="fr-FR"/>
        </w:rPr>
        <w:t xml:space="preserve">le rôle crucial que joue la terre dans la conduite, le stockage et la séquestration des émissions de gaz à effet de serre, identifiée dans le rapport </w:t>
      </w:r>
      <w:r w:rsidRPr="009B0232">
        <w:rPr>
          <w:rFonts w:cs="Arial"/>
          <w:i/>
          <w:lang w:val="fr-FR"/>
        </w:rPr>
        <w:t>Changements climatiques et terres : rapport spécial du GIEC sur les changements climatiques, la désertification, la dégradation des terres, la gestion durable des terres, la sécurité alimentaire et les flux de gaz à effet de serre dans les écosystèmes terrestres</w:t>
      </w:r>
      <w:r w:rsidRPr="009B0232">
        <w:rPr>
          <w:rFonts w:cs="Arial"/>
          <w:lang w:val="fr-FR"/>
        </w:rPr>
        <w:t>, préparés par le Groupe d’experts intergouvernemental sur l’évolution du climat, et par conséquent l’importance de la transition vers des systèmes d’utilisation durable des sols afin de concrétiser l’Accord de Paris de la Convention-cadre des Nations Unies sur les changements climatiques (CCNUCC)</w:t>
      </w:r>
      <w:r>
        <w:rPr>
          <w:rFonts w:cs="Arial"/>
          <w:lang w:val="fr-FR"/>
        </w:rPr>
        <w:t>,</w:t>
      </w:r>
    </w:p>
    <w:bookmarkEnd w:id="1"/>
    <w:p w14:paraId="6B6BA15A" w14:textId="77777777" w:rsidR="009B47B7" w:rsidRPr="00120120" w:rsidRDefault="009B47B7" w:rsidP="009B47B7">
      <w:pPr>
        <w:widowControl w:val="0"/>
        <w:spacing w:after="0" w:line="240" w:lineRule="auto"/>
        <w:jc w:val="both"/>
        <w:rPr>
          <w:rFonts w:eastAsia="Times New Roman" w:cs="Arial"/>
          <w:highlight w:val="yellow"/>
          <w:lang w:val="fr-FR"/>
        </w:rPr>
      </w:pPr>
    </w:p>
    <w:p w14:paraId="1B19E572" w14:textId="65A14679" w:rsidR="009B47B7" w:rsidRPr="00F20526" w:rsidRDefault="00F20526" w:rsidP="009B47B7">
      <w:pPr>
        <w:spacing w:after="0" w:line="240" w:lineRule="auto"/>
        <w:jc w:val="both"/>
        <w:rPr>
          <w:rFonts w:cs="Arial"/>
          <w:lang w:val="fr-FR"/>
        </w:rPr>
      </w:pPr>
      <w:r w:rsidRPr="00F13FFA">
        <w:rPr>
          <w:rFonts w:eastAsia="Arial" w:cs="Arial"/>
          <w:i/>
          <w:iCs/>
          <w:bdr w:val="none" w:sz="0" w:space="0" w:color="auto" w:frame="1"/>
          <w:lang w:val="fr-FR"/>
        </w:rPr>
        <w:t>Reconnaissant</w:t>
      </w:r>
      <w:r w:rsidRPr="00F13FFA">
        <w:rPr>
          <w:rFonts w:eastAsia="Arial" w:cs="Arial"/>
          <w:bdr w:val="none" w:sz="0" w:space="0" w:color="auto" w:frame="1"/>
          <w:lang w:val="fr-FR"/>
        </w:rPr>
        <w:t xml:space="preserve"> l’importance de l’utilisation durable des terres pour la mise en œuvre d’un large éventail d’accords internationaux </w:t>
      </w:r>
      <w:r w:rsidRPr="009B0232">
        <w:rPr>
          <w:rFonts w:cs="Arial"/>
          <w:lang w:val="fr-FR"/>
        </w:rPr>
        <w:t>concernant les oiseaux terrestres migrateurs</w:t>
      </w:r>
      <w:r w:rsidRPr="00F13FFA">
        <w:rPr>
          <w:rFonts w:eastAsia="Arial" w:cs="Arial"/>
          <w:bdr w:val="none" w:sz="0" w:space="0" w:color="auto" w:frame="1"/>
          <w:lang w:val="fr-FR"/>
        </w:rPr>
        <w:t xml:space="preserve">, tels que les Objectifs de développement durable (ODD), </w:t>
      </w:r>
      <w:r w:rsidRPr="00F20526">
        <w:rPr>
          <w:rFonts w:eastAsia="Arial" w:cs="Arial"/>
          <w:strike/>
          <w:bdr w:val="none" w:sz="0" w:space="0" w:color="auto" w:frame="1"/>
          <w:lang w:val="fr-FR"/>
        </w:rPr>
        <w:t>le Plan stratégique pour la diversité biologique 2011-2020</w:t>
      </w:r>
      <w:r w:rsidRPr="00F13FFA">
        <w:rPr>
          <w:rFonts w:eastAsia="Arial" w:cs="Arial"/>
          <w:bdr w:val="none" w:sz="0" w:space="0" w:color="auto" w:frame="1"/>
          <w:lang w:val="fr-FR"/>
        </w:rPr>
        <w:t xml:space="preserve">, </w:t>
      </w:r>
      <w:r w:rsidRPr="00F20526">
        <w:rPr>
          <w:rFonts w:eastAsia="Times New Roman" w:cs="Arial"/>
          <w:u w:val="single"/>
          <w:lang w:val="fr-FR"/>
        </w:rPr>
        <w:t>le Cadre mondial pour la biodiversité Kunming-Montréal (GBF)</w:t>
      </w:r>
      <w:r>
        <w:rPr>
          <w:rFonts w:eastAsia="Times New Roman" w:cs="Arial"/>
          <w:u w:val="single"/>
          <w:lang w:val="fr-FR"/>
        </w:rPr>
        <w:t xml:space="preserve">, </w:t>
      </w:r>
      <w:r w:rsidRPr="00F13FFA">
        <w:rPr>
          <w:rFonts w:eastAsia="Arial" w:cs="Arial"/>
          <w:bdr w:val="none" w:sz="0" w:space="0" w:color="auto" w:frame="1"/>
          <w:lang w:val="fr-FR"/>
        </w:rPr>
        <w:t xml:space="preserve">la CCNUCC et son Accord de Paris, la Convention de Ramsar et son Plan stratégique 2016-2024, ainsi que la Convention des Nations Unies sur la lutte contre la désertification (CNUCED) et son </w:t>
      </w:r>
      <w:r w:rsidRPr="009B0232">
        <w:rPr>
          <w:rFonts w:eastAsia="Arial" w:cs="Arial"/>
          <w:bdr w:val="none" w:sz="0" w:space="0" w:color="auto" w:frame="1"/>
          <w:lang w:val="fr-FR"/>
        </w:rPr>
        <w:t>cadre</w:t>
      </w:r>
      <w:r w:rsidRPr="00F13FFA">
        <w:rPr>
          <w:rFonts w:eastAsia="Arial" w:cs="Arial"/>
          <w:bdr w:val="none" w:sz="0" w:space="0" w:color="auto" w:frame="1"/>
          <w:lang w:val="fr-FR"/>
        </w:rPr>
        <w:t xml:space="preserve"> stratégique </w:t>
      </w:r>
      <w:r w:rsidRPr="009B0232">
        <w:rPr>
          <w:rFonts w:eastAsia="Arial" w:cs="Arial"/>
          <w:bdr w:val="none" w:sz="0" w:space="0" w:color="auto" w:frame="1"/>
          <w:lang w:val="fr-FR"/>
        </w:rPr>
        <w:t>2018 – 2030</w:t>
      </w:r>
      <w:r>
        <w:rPr>
          <w:rFonts w:eastAsia="Arial" w:cs="Arial"/>
          <w:bdr w:val="none" w:sz="0" w:space="0" w:color="auto" w:frame="1"/>
          <w:lang w:val="fr-FR"/>
        </w:rPr>
        <w:t>,</w:t>
      </w:r>
    </w:p>
    <w:p w14:paraId="4B8401AF" w14:textId="77777777" w:rsidR="009B47B7" w:rsidRPr="00120120" w:rsidRDefault="009B47B7" w:rsidP="009B47B7">
      <w:pPr>
        <w:widowControl w:val="0"/>
        <w:spacing w:after="0" w:line="240" w:lineRule="auto"/>
        <w:jc w:val="both"/>
        <w:rPr>
          <w:rFonts w:eastAsia="Times New Roman" w:cs="Arial"/>
          <w:highlight w:val="yellow"/>
          <w:lang w:val="fr-FR"/>
        </w:rPr>
      </w:pPr>
    </w:p>
    <w:p w14:paraId="76208120" w14:textId="334B774E" w:rsidR="000C76FC" w:rsidRDefault="00955309" w:rsidP="000C76FC">
      <w:pPr>
        <w:widowControl w:val="0"/>
        <w:spacing w:after="0" w:line="240" w:lineRule="auto"/>
        <w:jc w:val="both"/>
        <w:rPr>
          <w:rFonts w:eastAsia="Arial" w:cs="Arial"/>
          <w:bdr w:val="none" w:sz="0" w:space="0" w:color="auto" w:frame="1"/>
          <w:lang w:val="fr-FR"/>
        </w:rPr>
      </w:pPr>
      <w:r w:rsidRPr="00F13FFA">
        <w:rPr>
          <w:rFonts w:eastAsia="Arial" w:cs="Arial"/>
          <w:i/>
          <w:iCs/>
          <w:bdr w:val="none" w:sz="0" w:space="0" w:color="auto" w:frame="1"/>
          <w:lang w:val="fr-FR"/>
        </w:rPr>
        <w:t xml:space="preserve">Reconnaissant </w:t>
      </w:r>
      <w:r w:rsidRPr="00F13FFA">
        <w:rPr>
          <w:rFonts w:eastAsia="Arial" w:cs="Arial"/>
          <w:bdr w:val="none" w:sz="0" w:space="0" w:color="auto" w:frame="1"/>
          <w:lang w:val="fr-FR"/>
        </w:rPr>
        <w:t>le Cadre et les Lignes directrices de l’Union africaine sur les politiques foncières, les Directives volontaires pour une gouvernance responsable des régimes fonciers (VGGT) de l’Organisation des Nations Unies pour l’alimentation et l’agriculture (FAO), l’Objectif stratégique 2 du Cadre stratégique révisé de la FAO, la Déclaration ministérielle sur la sécurité alimentaire et les secteurs d’activités agricoles face aux changements climatiques adoptée à la 29</w:t>
      </w:r>
      <w:r w:rsidRPr="00F13FFA">
        <w:rPr>
          <w:rFonts w:eastAsia="Arial" w:cs="Arial"/>
          <w:bdr w:val="none" w:sz="0" w:space="0" w:color="auto" w:frame="1"/>
          <w:vertAlign w:val="superscript"/>
          <w:lang w:val="fr-FR"/>
        </w:rPr>
        <w:t xml:space="preserve">ème </w:t>
      </w:r>
      <w:r w:rsidRPr="00F13FFA">
        <w:rPr>
          <w:rFonts w:eastAsia="Arial" w:cs="Arial"/>
          <w:bdr w:val="none" w:sz="0" w:space="0" w:color="auto" w:frame="1"/>
          <w:lang w:val="fr-FR"/>
        </w:rPr>
        <w:t xml:space="preserve">Conférence régionale de la FAO pour l’Afrique le 8 avril 2016, les recommandations des participants à la Réunion régionale de la FAO sur l’agroécologie en </w:t>
      </w:r>
      <w:r w:rsidRPr="00F13FFA">
        <w:rPr>
          <w:rFonts w:eastAsia="Arial" w:cs="Arial"/>
          <w:bdr w:val="none" w:sz="0" w:space="0" w:color="auto" w:frame="1"/>
          <w:lang w:val="fr-FR"/>
        </w:rPr>
        <w:lastRenderedPageBreak/>
        <w:t xml:space="preserve">Afrique subsaharienne le 6 novembre 2015, la Résolution 2/24 de l’Assemblée des Nations Unies pour l’environnement, le Programme des Nations Unies pour l’environnement et son Initiative concernant la pauvreté et l’environnement (UNPEI), ainsi que le Programme des Nations Unies pour le développement (PNUD) et son Plan stratégique </w:t>
      </w:r>
      <w:r w:rsidRPr="009B0232">
        <w:rPr>
          <w:rFonts w:eastAsia="Arial" w:cs="Arial"/>
          <w:bdr w:val="none" w:sz="0" w:space="0" w:color="auto" w:frame="1"/>
          <w:lang w:val="fr-FR"/>
        </w:rPr>
        <w:t xml:space="preserve">2018 </w:t>
      </w:r>
      <w:r>
        <w:rPr>
          <w:rFonts w:eastAsia="Arial" w:cs="Arial"/>
          <w:bdr w:val="none" w:sz="0" w:space="0" w:color="auto" w:frame="1"/>
          <w:lang w:val="fr-FR"/>
        </w:rPr>
        <w:t>–</w:t>
      </w:r>
      <w:r w:rsidRPr="009B0232">
        <w:rPr>
          <w:rFonts w:eastAsia="Arial" w:cs="Arial"/>
          <w:bdr w:val="none" w:sz="0" w:space="0" w:color="auto" w:frame="1"/>
          <w:lang w:val="fr-FR"/>
        </w:rPr>
        <w:t xml:space="preserve"> 2021</w:t>
      </w:r>
      <w:r>
        <w:rPr>
          <w:rFonts w:eastAsia="Arial" w:cs="Arial"/>
          <w:bdr w:val="none" w:sz="0" w:space="0" w:color="auto" w:frame="1"/>
          <w:lang w:val="fr-FR"/>
        </w:rPr>
        <w:t>,</w:t>
      </w:r>
    </w:p>
    <w:p w14:paraId="16534A1C" w14:textId="77777777" w:rsidR="00955309" w:rsidRPr="00120120" w:rsidRDefault="00955309" w:rsidP="000C76FC">
      <w:pPr>
        <w:widowControl w:val="0"/>
        <w:spacing w:after="0" w:line="240" w:lineRule="auto"/>
        <w:jc w:val="both"/>
        <w:rPr>
          <w:rFonts w:eastAsia="Times New Roman" w:cs="Arial"/>
          <w:highlight w:val="yellow"/>
          <w:lang w:val="fr-FR"/>
        </w:rPr>
      </w:pPr>
    </w:p>
    <w:p w14:paraId="0090B583" w14:textId="77777777" w:rsidR="00955309" w:rsidRPr="00F13FFA" w:rsidRDefault="00955309" w:rsidP="00955309">
      <w:pPr>
        <w:spacing w:after="0" w:line="240" w:lineRule="auto"/>
        <w:jc w:val="both"/>
        <w:rPr>
          <w:rFonts w:cs="Arial"/>
          <w:lang w:val="fr-FR"/>
        </w:rPr>
      </w:pPr>
      <w:r w:rsidRPr="00F13FFA">
        <w:rPr>
          <w:rFonts w:eastAsia="Arial" w:cs="Arial"/>
          <w:i/>
          <w:iCs/>
          <w:bdr w:val="none" w:sz="0" w:space="0" w:color="auto" w:frame="1"/>
          <w:lang w:val="fr-FR"/>
        </w:rPr>
        <w:t xml:space="preserve">Reconnaissant également </w:t>
      </w:r>
      <w:r w:rsidRPr="00F13FFA">
        <w:rPr>
          <w:rFonts w:eastAsia="Arial" w:cs="Arial"/>
          <w:bdr w:val="none" w:sz="0" w:space="0" w:color="auto" w:frame="1"/>
          <w:lang w:val="fr-FR"/>
        </w:rPr>
        <w:t>le Programme régional d’investissement agricole de l’Afrique de l’Ouest</w:t>
      </w:r>
      <w:r>
        <w:rPr>
          <w:rFonts w:eastAsia="Arial" w:cs="Arial"/>
          <w:bdr w:val="none" w:sz="0" w:space="0" w:color="auto" w:frame="1"/>
          <w:lang w:val="fr-FR"/>
        </w:rPr>
        <w:t xml:space="preserve"> (</w:t>
      </w:r>
      <w:r w:rsidRPr="008364CB">
        <w:rPr>
          <w:rFonts w:eastAsia="Times New Roman" w:cs="Arial"/>
          <w:i/>
          <w:lang w:val="fr-FR"/>
        </w:rPr>
        <w:t xml:space="preserve">West African </w:t>
      </w:r>
      <w:proofErr w:type="spellStart"/>
      <w:r w:rsidRPr="008364CB">
        <w:rPr>
          <w:rFonts w:eastAsia="Times New Roman" w:cs="Arial"/>
          <w:i/>
          <w:lang w:val="fr-FR"/>
        </w:rPr>
        <w:t>Regional</w:t>
      </w:r>
      <w:proofErr w:type="spellEnd"/>
      <w:r w:rsidRPr="008364CB">
        <w:rPr>
          <w:rFonts w:eastAsia="Times New Roman" w:cs="Arial"/>
          <w:i/>
          <w:lang w:val="fr-FR"/>
        </w:rPr>
        <w:t xml:space="preserve"> Agricultural Investment Programme</w:t>
      </w:r>
      <w:r w:rsidRPr="00F13FFA">
        <w:rPr>
          <w:rFonts w:eastAsia="Arial" w:cs="Arial"/>
          <w:bdr w:val="none" w:sz="0" w:space="0" w:color="auto" w:frame="1"/>
          <w:lang w:val="fr-FR"/>
        </w:rPr>
        <w:t xml:space="preserve"> </w:t>
      </w:r>
      <w:r>
        <w:rPr>
          <w:rFonts w:eastAsia="Arial" w:cs="Arial"/>
          <w:bdr w:val="none" w:sz="0" w:space="0" w:color="auto" w:frame="1"/>
          <w:lang w:val="fr-FR"/>
        </w:rPr>
        <w:t>,</w:t>
      </w:r>
      <w:r w:rsidRPr="00F13FFA">
        <w:rPr>
          <w:rFonts w:eastAsia="Arial" w:cs="Arial"/>
          <w:bdr w:val="none" w:sz="0" w:space="0" w:color="auto" w:frame="1"/>
          <w:lang w:val="fr-FR"/>
        </w:rPr>
        <w:t>ECOWAP 25), le Plan de convergence de la Communauté économique des États de l’Afrique de l’Ouest pour la gestion et l’utilisation durables des écosystèmes forestiers(</w:t>
      </w:r>
      <w:proofErr w:type="spellStart"/>
      <w:r w:rsidRPr="008364CB">
        <w:rPr>
          <w:rFonts w:eastAsia="Times New Roman" w:cs="Arial"/>
          <w:i/>
          <w:lang w:val="fr-FR"/>
        </w:rPr>
        <w:t>Economic</w:t>
      </w:r>
      <w:proofErr w:type="spellEnd"/>
      <w:r w:rsidRPr="008364CB">
        <w:rPr>
          <w:rFonts w:eastAsia="Times New Roman" w:cs="Arial"/>
          <w:i/>
          <w:lang w:val="fr-FR"/>
        </w:rPr>
        <w:t xml:space="preserve"> Community of West African States (ECOWAS) Convergence Plan for the Sustainable Management and </w:t>
      </w:r>
      <w:proofErr w:type="spellStart"/>
      <w:r w:rsidRPr="008364CB">
        <w:rPr>
          <w:rFonts w:eastAsia="Times New Roman" w:cs="Arial"/>
          <w:i/>
          <w:lang w:val="fr-FR"/>
        </w:rPr>
        <w:t>Utilization</w:t>
      </w:r>
      <w:proofErr w:type="spellEnd"/>
      <w:r w:rsidRPr="008364CB">
        <w:rPr>
          <w:rFonts w:eastAsia="Times New Roman" w:cs="Arial"/>
          <w:i/>
          <w:lang w:val="fr-FR"/>
        </w:rPr>
        <w:t xml:space="preserve"> of Forest Ecosystems</w:t>
      </w:r>
      <w:r w:rsidRPr="00F13FFA">
        <w:rPr>
          <w:rFonts w:eastAsia="Arial" w:cs="Arial"/>
          <w:bdr w:val="none" w:sz="0" w:space="0" w:color="auto" w:frame="1"/>
          <w:lang w:val="fr-FR"/>
        </w:rPr>
        <w:t>), les contributions à l’échelle nationale dans le cadre de la CCNUCC, ainsi que l’Agenda 2063 de l’Union africaine pour des pratiques et approches de gestion durable en faveur des oiseaux et des personnes en Afrique de l’Ouest,</w:t>
      </w:r>
    </w:p>
    <w:p w14:paraId="11654BE7" w14:textId="77777777" w:rsidR="000C76FC" w:rsidRPr="00120120" w:rsidRDefault="000C76FC" w:rsidP="000C76FC">
      <w:pPr>
        <w:widowControl w:val="0"/>
        <w:spacing w:after="0" w:line="240" w:lineRule="auto"/>
        <w:jc w:val="both"/>
        <w:rPr>
          <w:rFonts w:eastAsia="Times New Roman" w:cs="Arial"/>
          <w:highlight w:val="yellow"/>
          <w:lang w:val="fr-FR"/>
        </w:rPr>
      </w:pPr>
    </w:p>
    <w:p w14:paraId="69B9159C" w14:textId="77777777" w:rsidR="00955309" w:rsidRPr="00F13FFA" w:rsidRDefault="00955309" w:rsidP="00955309">
      <w:pPr>
        <w:spacing w:after="0" w:line="240" w:lineRule="auto"/>
        <w:jc w:val="both"/>
        <w:rPr>
          <w:rFonts w:cs="Arial"/>
          <w:lang w:val="fr-FR"/>
        </w:rPr>
      </w:pPr>
      <w:r w:rsidRPr="00F13FFA">
        <w:rPr>
          <w:rFonts w:eastAsia="Arial" w:cs="Arial"/>
          <w:i/>
          <w:iCs/>
          <w:bdr w:val="none" w:sz="0" w:space="0" w:color="auto" w:frame="1"/>
          <w:lang w:val="fr-FR"/>
        </w:rPr>
        <w:t>Notant</w:t>
      </w:r>
      <w:r w:rsidRPr="00F13FFA">
        <w:rPr>
          <w:rFonts w:eastAsia="Arial" w:cs="Arial"/>
          <w:bdr w:val="none" w:sz="0" w:space="0" w:color="auto" w:frame="1"/>
          <w:lang w:val="fr-FR"/>
        </w:rPr>
        <w:t xml:space="preserve"> que les changements dans l’utilisation des terres constituent un facteur clé de la perte continue de la biodiversité en Afrique, et que les moteurs de ces changements ainsi que les solutions permettant de réussir une utilisation durable des terres, identifiés lors de l’atelier, sont applicables à la conservation dans de nombreux paysages d’Afrique et au-delà,</w:t>
      </w:r>
    </w:p>
    <w:p w14:paraId="6861570A" w14:textId="77777777" w:rsidR="000C76FC" w:rsidRPr="00120120" w:rsidRDefault="000C76FC" w:rsidP="000C76FC">
      <w:pPr>
        <w:widowControl w:val="0"/>
        <w:spacing w:after="0" w:line="240" w:lineRule="auto"/>
        <w:jc w:val="both"/>
        <w:rPr>
          <w:rFonts w:eastAsia="Times New Roman" w:cs="Arial"/>
          <w:highlight w:val="yellow"/>
          <w:u w:val="single"/>
          <w:lang w:val="fr-FR"/>
        </w:rPr>
      </w:pPr>
    </w:p>
    <w:p w14:paraId="17A0E44B" w14:textId="77777777" w:rsidR="00955309" w:rsidRPr="00F13FFA" w:rsidRDefault="00955309" w:rsidP="00955309">
      <w:pPr>
        <w:spacing w:after="0" w:line="240" w:lineRule="auto"/>
        <w:jc w:val="both"/>
        <w:rPr>
          <w:rFonts w:cs="Arial"/>
          <w:i/>
          <w:iCs/>
          <w:lang w:val="fr-FR"/>
        </w:rPr>
      </w:pPr>
      <w:r w:rsidRPr="00F13FFA">
        <w:rPr>
          <w:rFonts w:eastAsia="Arial" w:cs="Arial"/>
          <w:i/>
          <w:iCs/>
          <w:bdr w:val="none" w:sz="0" w:space="0" w:color="auto" w:frame="1"/>
          <w:lang w:val="fr-FR"/>
        </w:rPr>
        <w:t xml:space="preserve">Rappelant </w:t>
      </w:r>
      <w:r w:rsidRPr="00F13FFA">
        <w:rPr>
          <w:rFonts w:eastAsia="Arial" w:cs="Arial"/>
          <w:bdr w:val="none" w:sz="0" w:space="0" w:color="auto" w:frame="1"/>
          <w:lang w:val="fr-FR"/>
        </w:rPr>
        <w:t>que la Résolution 10.27</w:t>
      </w:r>
      <w:r w:rsidRPr="00F13FFA">
        <w:rPr>
          <w:rStyle w:val="FootnoteReference"/>
          <w:rFonts w:cs="Arial"/>
          <w:u w:val="single"/>
        </w:rPr>
        <w:footnoteReference w:id="2"/>
      </w:r>
      <w:r w:rsidRPr="00F13FFA">
        <w:rPr>
          <w:rFonts w:eastAsia="Arial" w:cs="Arial"/>
          <w:bdr w:val="none" w:sz="0" w:space="0" w:color="auto" w:frame="1"/>
          <w:lang w:val="fr-FR"/>
        </w:rPr>
        <w:t xml:space="preserve"> de la dixième Conférence des Parties a prié instamment les Parties et invité les non-Parties et les autres parties prenantes à développer, avec le Secrétariat de la CMS, un plan d’action pour la conservation des oiseaux terrestres migrateurs d’Afrique-Eurasie et de leurs habitats tout au long la voie de migration, qui a été adopté à la 11</w:t>
      </w:r>
      <w:r w:rsidRPr="00F13FFA">
        <w:rPr>
          <w:rFonts w:eastAsia="Arial" w:cs="Arial"/>
          <w:bdr w:val="none" w:sz="0" w:space="0" w:color="auto" w:frame="1"/>
          <w:vertAlign w:val="superscript"/>
          <w:lang w:val="fr-FR"/>
        </w:rPr>
        <w:t>e</w:t>
      </w:r>
      <w:r w:rsidRPr="00F13FFA">
        <w:rPr>
          <w:rFonts w:eastAsia="Arial" w:cs="Arial"/>
          <w:bdr w:val="none" w:sz="0" w:space="0" w:color="auto" w:frame="1"/>
          <w:lang w:val="fr-FR"/>
        </w:rPr>
        <w:t xml:space="preserve"> session de la Conférence des Parties, et sur la base duquel la COP pourra examiner la nécessité d’établir un nouvel instrument ou la possibilité de choisir un instrument existant comme cadre</w:t>
      </w:r>
      <w:r>
        <w:rPr>
          <w:rFonts w:eastAsia="Arial" w:cs="Arial"/>
          <w:bdr w:val="none" w:sz="0" w:space="0" w:color="auto" w:frame="1"/>
          <w:lang w:val="fr-FR"/>
        </w:rPr>
        <w:t>,</w:t>
      </w:r>
    </w:p>
    <w:p w14:paraId="2401E7A5" w14:textId="77777777" w:rsidR="00955309" w:rsidRDefault="00955309" w:rsidP="00955309">
      <w:pPr>
        <w:spacing w:after="0" w:line="240" w:lineRule="auto"/>
        <w:jc w:val="both"/>
        <w:rPr>
          <w:rFonts w:eastAsia="Times New Roman" w:cs="Arial"/>
          <w:i/>
          <w:lang w:val="fr-FR"/>
        </w:rPr>
      </w:pPr>
    </w:p>
    <w:p w14:paraId="5C32DBF4" w14:textId="185585FD" w:rsidR="00955309" w:rsidRPr="00955309" w:rsidRDefault="00955309" w:rsidP="00955309">
      <w:pPr>
        <w:spacing w:after="0" w:line="240" w:lineRule="auto"/>
        <w:jc w:val="both"/>
        <w:rPr>
          <w:rFonts w:eastAsia="Arial" w:cs="Arial"/>
          <w:u w:val="single"/>
          <w:bdr w:val="none" w:sz="0" w:space="0" w:color="auto" w:frame="1"/>
          <w:lang w:val="fr-FR"/>
        </w:rPr>
      </w:pPr>
      <w:r w:rsidRPr="00955309">
        <w:rPr>
          <w:rFonts w:eastAsia="Arial" w:cs="Arial"/>
          <w:i/>
          <w:iCs/>
          <w:bdr w:val="none" w:sz="0" w:space="0" w:color="auto" w:frame="1"/>
          <w:lang w:val="fr-FR"/>
        </w:rPr>
        <w:t xml:space="preserve">Rappelant en outre </w:t>
      </w:r>
      <w:r w:rsidRPr="00955309">
        <w:rPr>
          <w:rFonts w:eastAsia="Arial" w:cs="Arial"/>
          <w:bdr w:val="none" w:sz="0" w:space="0" w:color="auto" w:frame="1"/>
          <w:lang w:val="fr-FR"/>
        </w:rPr>
        <w:t>la Résolution 11.16 (Rev.COP1</w:t>
      </w:r>
      <w:r w:rsidRPr="00955309">
        <w:rPr>
          <w:rFonts w:eastAsia="Arial" w:cs="Arial"/>
          <w:u w:val="single"/>
          <w:bdr w:val="none" w:sz="0" w:space="0" w:color="auto" w:frame="1"/>
          <w:lang w:val="fr-FR"/>
        </w:rPr>
        <w:t>3</w:t>
      </w:r>
      <w:r w:rsidRPr="00955309">
        <w:rPr>
          <w:rFonts w:eastAsia="Arial" w:cs="Arial"/>
          <w:strike/>
          <w:bdr w:val="none" w:sz="0" w:space="0" w:color="auto" w:frame="1"/>
          <w:lang w:val="fr-FR"/>
        </w:rPr>
        <w:t>2</w:t>
      </w:r>
      <w:r w:rsidRPr="00955309">
        <w:rPr>
          <w:rFonts w:eastAsia="Arial" w:cs="Arial"/>
          <w:bdr w:val="none" w:sz="0" w:space="0" w:color="auto" w:frame="1"/>
          <w:lang w:val="fr-FR"/>
        </w:rPr>
        <w:t>)</w:t>
      </w:r>
      <w:r w:rsidRPr="00955309">
        <w:rPr>
          <w:rStyle w:val="FootnoteReference"/>
          <w:rFonts w:eastAsia="Times New Roman" w:cs="Arial"/>
          <w:i/>
          <w:lang w:val="fr-FR"/>
        </w:rPr>
        <w:t xml:space="preserve"> </w:t>
      </w:r>
      <w:r w:rsidRPr="00955309">
        <w:rPr>
          <w:rStyle w:val="FootnoteReference"/>
          <w:rFonts w:eastAsia="Times New Roman" w:cs="Arial"/>
          <w:i/>
          <w:lang w:val="fr-FR"/>
        </w:rPr>
        <w:footnoteReference w:id="3"/>
      </w:r>
      <w:r w:rsidRPr="00955309">
        <w:rPr>
          <w:rFonts w:eastAsia="Times New Roman" w:cs="Arial"/>
          <w:lang w:val="fr-FR"/>
        </w:rPr>
        <w:t>,</w:t>
      </w:r>
      <w:r w:rsidRPr="00955309">
        <w:rPr>
          <w:rFonts w:eastAsia="Arial" w:cs="Arial"/>
          <w:bdr w:val="none" w:sz="0" w:space="0" w:color="auto" w:frame="1"/>
          <w:lang w:val="fr-FR"/>
        </w:rPr>
        <w:t xml:space="preserve"> </w:t>
      </w:r>
      <w:r w:rsidRPr="00955309">
        <w:rPr>
          <w:rFonts w:eastAsia="Arial" w:cs="Arial"/>
          <w:i/>
          <w:bdr w:val="none" w:sz="0" w:space="0" w:color="auto" w:frame="1"/>
          <w:lang w:val="fr-FR"/>
        </w:rPr>
        <w:t>Prévention de l’abattage, du prélèvement et du commerce illégaux des oiseaux migrateurs</w:t>
      </w:r>
      <w:r w:rsidRPr="00955309">
        <w:rPr>
          <w:rFonts w:eastAsia="Arial" w:cs="Arial"/>
          <w:bdr w:val="none" w:sz="0" w:space="0" w:color="auto" w:frame="1"/>
          <w:lang w:val="fr-FR"/>
        </w:rPr>
        <w:t>, et les Lignes directrices pour prévenir l’empoisonnement des oiseaux migrateurs adoptées par la Résolution 11.15 (Rev.COP1</w:t>
      </w:r>
      <w:r w:rsidRPr="00955309">
        <w:rPr>
          <w:rFonts w:eastAsia="Arial" w:cs="Arial"/>
          <w:u w:val="single"/>
          <w:bdr w:val="none" w:sz="0" w:space="0" w:color="auto" w:frame="1"/>
          <w:lang w:val="fr-FR"/>
        </w:rPr>
        <w:t>3</w:t>
      </w:r>
      <w:r w:rsidRPr="00955309">
        <w:rPr>
          <w:rFonts w:eastAsia="Arial" w:cs="Arial"/>
          <w:strike/>
          <w:bdr w:val="none" w:sz="0" w:space="0" w:color="auto" w:frame="1"/>
          <w:lang w:val="fr-FR"/>
        </w:rPr>
        <w:t>2</w:t>
      </w:r>
      <w:r w:rsidRPr="00955309">
        <w:rPr>
          <w:rFonts w:eastAsia="Arial" w:cs="Arial"/>
          <w:bdr w:val="none" w:sz="0" w:space="0" w:color="auto" w:frame="1"/>
          <w:lang w:val="fr-FR"/>
        </w:rPr>
        <w:t>)</w:t>
      </w:r>
      <w:r w:rsidRPr="00955309">
        <w:rPr>
          <w:rStyle w:val="FootnoteReference"/>
          <w:rFonts w:eastAsia="Times New Roman" w:cs="Arial"/>
          <w:i/>
          <w:lang w:val="fr-FR"/>
        </w:rPr>
        <w:t xml:space="preserve"> </w:t>
      </w:r>
      <w:r w:rsidRPr="00955309">
        <w:rPr>
          <w:rStyle w:val="FootnoteReference"/>
          <w:rFonts w:eastAsia="Times New Roman" w:cs="Arial"/>
          <w:i/>
          <w:lang w:val="fr-FR"/>
        </w:rPr>
        <w:footnoteReference w:id="4"/>
      </w:r>
      <w:r w:rsidRPr="00955309">
        <w:rPr>
          <w:rFonts w:eastAsia="Arial" w:cs="Arial"/>
          <w:bdr w:val="none" w:sz="0" w:space="0" w:color="auto" w:frame="1"/>
          <w:lang w:val="fr-FR"/>
        </w:rPr>
        <w:t xml:space="preserve"> </w:t>
      </w:r>
      <w:r w:rsidRPr="00955309">
        <w:rPr>
          <w:rFonts w:eastAsia="Arial" w:cs="Arial"/>
          <w:i/>
          <w:bdr w:val="none" w:sz="0" w:space="0" w:color="auto" w:frame="1"/>
          <w:lang w:val="fr-FR"/>
        </w:rPr>
        <w:t>Prévenir l’empoisonnement des oiseaux migrateurs</w:t>
      </w:r>
      <w:r w:rsidRPr="00955309">
        <w:rPr>
          <w:rFonts w:eastAsia="Arial" w:cs="Arial"/>
          <w:bdr w:val="none" w:sz="0" w:space="0" w:color="auto" w:frame="1"/>
          <w:lang w:val="fr-FR"/>
        </w:rPr>
        <w:t>,</w:t>
      </w:r>
    </w:p>
    <w:p w14:paraId="5C25DFAF" w14:textId="77777777" w:rsidR="009B47B7" w:rsidRPr="00120120" w:rsidRDefault="009B47B7" w:rsidP="009B47B7">
      <w:pPr>
        <w:widowControl w:val="0"/>
        <w:spacing w:after="0" w:line="240" w:lineRule="auto"/>
        <w:jc w:val="both"/>
        <w:rPr>
          <w:rFonts w:eastAsia="Times New Roman" w:cs="Arial"/>
          <w:i/>
          <w:iCs/>
          <w:spacing w:val="-2"/>
          <w:highlight w:val="yellow"/>
          <w:lang w:val="fr-FR"/>
        </w:rPr>
      </w:pPr>
    </w:p>
    <w:p w14:paraId="65EB2047" w14:textId="77777777" w:rsidR="00A050BE" w:rsidRPr="00F13FFA" w:rsidRDefault="00A050BE" w:rsidP="00A050BE">
      <w:pPr>
        <w:spacing w:after="0" w:line="240" w:lineRule="auto"/>
        <w:jc w:val="both"/>
        <w:rPr>
          <w:rFonts w:cs="Arial"/>
          <w:strike/>
          <w:lang w:val="fr-FR"/>
        </w:rPr>
      </w:pPr>
      <w:r w:rsidRPr="00F13FFA">
        <w:rPr>
          <w:rFonts w:eastAsia="Arial" w:cs="Arial"/>
          <w:i/>
          <w:iCs/>
          <w:bdr w:val="none" w:sz="0" w:space="0" w:color="auto" w:frame="1"/>
          <w:lang w:val="fr-FR"/>
        </w:rPr>
        <w:t xml:space="preserve">Prenant note </w:t>
      </w:r>
      <w:r w:rsidRPr="00F13FFA">
        <w:rPr>
          <w:rFonts w:eastAsia="Arial" w:cs="Arial"/>
          <w:bdr w:val="none" w:sz="0" w:space="0" w:color="auto" w:frame="1"/>
          <w:lang w:val="fr-FR"/>
        </w:rPr>
        <w:t>du rapport de l’atelier consacré à l’élaboration du Plan d’action pour les oiseaux terrestres migrateurs d’Afrique-Eurasie, qui s’est tenu à Accra du 31 août au 2 septembre 2012</w:t>
      </w:r>
      <w:r>
        <w:rPr>
          <w:rFonts w:eastAsia="Arial" w:cs="Arial"/>
          <w:bdr w:val="none" w:sz="0" w:space="0" w:color="auto" w:frame="1"/>
          <w:lang w:val="fr-FR"/>
        </w:rPr>
        <w:t>,</w:t>
      </w:r>
    </w:p>
    <w:p w14:paraId="7657487A" w14:textId="77777777" w:rsidR="009B47B7" w:rsidRPr="00120120" w:rsidRDefault="009B47B7" w:rsidP="009B47B7">
      <w:pPr>
        <w:widowControl w:val="0"/>
        <w:spacing w:after="0" w:line="240" w:lineRule="auto"/>
        <w:jc w:val="both"/>
        <w:rPr>
          <w:rFonts w:eastAsia="Times New Roman" w:cs="Arial"/>
          <w:highlight w:val="yellow"/>
          <w:lang w:val="fr-FR"/>
        </w:rPr>
      </w:pPr>
    </w:p>
    <w:p w14:paraId="6347DF57" w14:textId="45AC2A55" w:rsidR="00A050BE" w:rsidRPr="00F13FFA" w:rsidRDefault="00A050BE" w:rsidP="00A050BE">
      <w:pPr>
        <w:spacing w:after="0" w:line="240" w:lineRule="auto"/>
        <w:jc w:val="both"/>
        <w:rPr>
          <w:rFonts w:cs="Arial"/>
          <w:i/>
          <w:iCs/>
          <w:spacing w:val="-6"/>
          <w:lang w:val="fr-FR"/>
        </w:rPr>
      </w:pPr>
      <w:r w:rsidRPr="00F13FFA">
        <w:rPr>
          <w:rFonts w:eastAsia="Arial" w:cs="Arial"/>
          <w:i/>
          <w:iCs/>
          <w:spacing w:val="-6"/>
          <w:bdr w:val="none" w:sz="0" w:space="0" w:color="auto" w:frame="1"/>
          <w:lang w:val="fr-FR"/>
        </w:rPr>
        <w:t xml:space="preserve">Reconnaissant </w:t>
      </w:r>
      <w:r w:rsidRPr="00F13FFA">
        <w:rPr>
          <w:rFonts w:eastAsia="Arial" w:cs="Arial"/>
          <w:spacing w:val="-6"/>
          <w:bdr w:val="none" w:sz="0" w:space="0" w:color="auto" w:frame="1"/>
          <w:lang w:val="fr-FR"/>
        </w:rPr>
        <w:t>avec gratitude</w:t>
      </w:r>
      <w:r w:rsidRPr="00F13FFA">
        <w:rPr>
          <w:rFonts w:eastAsia="Arial" w:cs="Arial"/>
          <w:i/>
          <w:iCs/>
          <w:spacing w:val="-6"/>
          <w:bdr w:val="none" w:sz="0" w:space="0" w:color="auto" w:frame="1"/>
          <w:lang w:val="fr-FR"/>
        </w:rPr>
        <w:t xml:space="preserve"> </w:t>
      </w:r>
      <w:r w:rsidRPr="00F13FFA">
        <w:rPr>
          <w:rFonts w:eastAsia="Arial" w:cs="Arial"/>
          <w:spacing w:val="-6"/>
          <w:bdr w:val="none" w:sz="0" w:space="0" w:color="auto" w:frame="1"/>
          <w:lang w:val="fr-FR"/>
        </w:rPr>
        <w:t xml:space="preserve">les contributions des membres du Groupe de travail </w:t>
      </w:r>
      <w:r w:rsidRPr="00A050BE">
        <w:rPr>
          <w:rFonts w:eastAsia="Arial" w:cs="Arial"/>
          <w:strike/>
          <w:spacing w:val="-6"/>
          <w:bdr w:val="none" w:sz="0" w:space="0" w:color="auto" w:frame="1"/>
          <w:lang w:val="fr-FR"/>
        </w:rPr>
        <w:t>sur les oiseaux terrestres migrateurs d’Afrique-Eurasie (le « Groupe de travail »)</w:t>
      </w:r>
      <w:r w:rsidRPr="00F13FFA">
        <w:rPr>
          <w:rFonts w:eastAsia="Arial" w:cs="Arial"/>
          <w:spacing w:val="-6"/>
          <w:bdr w:val="none" w:sz="0" w:space="0" w:color="auto" w:frame="1"/>
          <w:lang w:val="fr-FR"/>
        </w:rPr>
        <w:t xml:space="preserve"> établi sous l’égide du Conseil scientifique de la CMS et de sa coordination par </w:t>
      </w:r>
      <w:proofErr w:type="spellStart"/>
      <w:r w:rsidRPr="00F13FFA">
        <w:rPr>
          <w:rFonts w:eastAsia="Arial" w:cs="Arial"/>
          <w:spacing w:val="-6"/>
          <w:bdr w:val="none" w:sz="0" w:space="0" w:color="auto" w:frame="1"/>
          <w:lang w:val="fr-FR"/>
        </w:rPr>
        <w:t>BirdLife</w:t>
      </w:r>
      <w:proofErr w:type="spellEnd"/>
      <w:r w:rsidRPr="00F13FFA">
        <w:rPr>
          <w:rFonts w:eastAsia="Arial" w:cs="Arial"/>
          <w:spacing w:val="-6"/>
          <w:bdr w:val="none" w:sz="0" w:space="0" w:color="auto" w:frame="1"/>
          <w:lang w:val="fr-FR"/>
        </w:rPr>
        <w:t xml:space="preserve"> International</w:t>
      </w:r>
      <w:r>
        <w:rPr>
          <w:rFonts w:eastAsia="Arial" w:cs="Arial"/>
          <w:spacing w:val="-6"/>
          <w:bdr w:val="none" w:sz="0" w:space="0" w:color="auto" w:frame="1"/>
          <w:lang w:val="fr-FR"/>
        </w:rPr>
        <w:t xml:space="preserve"> </w:t>
      </w:r>
      <w:r w:rsidRPr="00A050BE">
        <w:rPr>
          <w:rFonts w:eastAsia="Arial" w:cs="Arial"/>
          <w:spacing w:val="-6"/>
          <w:u w:val="single"/>
          <w:bdr w:val="none" w:sz="0" w:space="0" w:color="auto" w:frame="1"/>
          <w:lang w:val="fr-FR"/>
        </w:rPr>
        <w:t>de 2015 à 2017</w:t>
      </w:r>
      <w:r>
        <w:rPr>
          <w:rFonts w:eastAsia="Arial" w:cs="Arial"/>
          <w:spacing w:val="-6"/>
          <w:bdr w:val="none" w:sz="0" w:space="0" w:color="auto" w:frame="1"/>
          <w:lang w:val="fr-FR"/>
        </w:rPr>
        <w:t>,</w:t>
      </w:r>
    </w:p>
    <w:p w14:paraId="2C78FAE1" w14:textId="77777777" w:rsidR="009B47B7" w:rsidRPr="00AD6AC3" w:rsidRDefault="009B47B7" w:rsidP="009B47B7">
      <w:pPr>
        <w:widowControl w:val="0"/>
        <w:spacing w:after="0" w:line="240" w:lineRule="auto"/>
        <w:jc w:val="both"/>
        <w:rPr>
          <w:rFonts w:eastAsia="Times New Roman" w:cs="Arial"/>
          <w:lang w:val="fr-FR"/>
        </w:rPr>
      </w:pPr>
    </w:p>
    <w:p w14:paraId="6ACAB12D" w14:textId="6DCD863C" w:rsidR="004D6C51" w:rsidRPr="00AD6AC3" w:rsidRDefault="00A050BE" w:rsidP="009B47B7">
      <w:pPr>
        <w:widowControl w:val="0"/>
        <w:spacing w:after="0" w:line="240" w:lineRule="auto"/>
        <w:jc w:val="both"/>
        <w:rPr>
          <w:rFonts w:eastAsia="Times New Roman" w:cs="Arial"/>
          <w:u w:val="single"/>
          <w:lang w:val="fr-FR"/>
        </w:rPr>
      </w:pPr>
      <w:r>
        <w:rPr>
          <w:rFonts w:eastAsia="Times New Roman" w:cs="Arial"/>
          <w:i/>
          <w:iCs/>
          <w:u w:val="single"/>
          <w:lang w:val="fr-FR"/>
        </w:rPr>
        <w:t>Reconnaissant en outre</w:t>
      </w:r>
      <w:r w:rsidR="004D6C51">
        <w:rPr>
          <w:rFonts w:eastAsia="Times New Roman" w:cs="Arial"/>
          <w:u w:val="single"/>
          <w:lang w:val="fr-FR"/>
        </w:rPr>
        <w:t xml:space="preserve"> la coordination du groupe de travail par la Station ornithologique suisse (SOI - </w:t>
      </w:r>
      <w:proofErr w:type="spellStart"/>
      <w:r w:rsidR="004D6C51">
        <w:rPr>
          <w:rFonts w:eastAsia="Times New Roman" w:cs="Arial"/>
          <w:u w:val="single"/>
          <w:lang w:val="fr-FR"/>
        </w:rPr>
        <w:t>Vogelwarte</w:t>
      </w:r>
      <w:proofErr w:type="spellEnd"/>
      <w:r w:rsidR="004D6C51">
        <w:rPr>
          <w:rFonts w:eastAsia="Times New Roman" w:cs="Arial"/>
          <w:u w:val="single"/>
          <w:lang w:val="fr-FR"/>
        </w:rPr>
        <w:t xml:space="preserve"> Sempach) à partir de 2022,</w:t>
      </w:r>
    </w:p>
    <w:p w14:paraId="74C4623D" w14:textId="77777777" w:rsidR="004A319E" w:rsidRPr="00AD6AC3" w:rsidRDefault="004A319E" w:rsidP="009B47B7">
      <w:pPr>
        <w:widowControl w:val="0"/>
        <w:spacing w:after="0" w:line="240" w:lineRule="auto"/>
        <w:jc w:val="both"/>
        <w:rPr>
          <w:rFonts w:eastAsia="Times New Roman" w:cs="Arial"/>
          <w:lang w:val="fr-FR"/>
        </w:rPr>
      </w:pPr>
    </w:p>
    <w:p w14:paraId="7AF27C6F" w14:textId="77777777" w:rsidR="00A050BE" w:rsidRPr="00F13FFA" w:rsidRDefault="00A050BE" w:rsidP="00A050BE">
      <w:pPr>
        <w:spacing w:after="0" w:line="240" w:lineRule="auto"/>
        <w:jc w:val="both"/>
        <w:rPr>
          <w:rFonts w:eastAsia="Arial" w:cs="Arial"/>
          <w:bdr w:val="none" w:sz="0" w:space="0" w:color="auto" w:frame="1"/>
          <w:lang w:val="fr-FR"/>
        </w:rPr>
      </w:pPr>
      <w:r w:rsidRPr="00F13FFA">
        <w:rPr>
          <w:rFonts w:eastAsia="Arial" w:cs="Arial"/>
          <w:i/>
          <w:iCs/>
          <w:bdr w:val="none" w:sz="0" w:space="0" w:color="auto" w:frame="1"/>
          <w:lang w:val="fr-FR"/>
        </w:rPr>
        <w:t>Se félicitant</w:t>
      </w:r>
      <w:r w:rsidRPr="00F13FFA">
        <w:rPr>
          <w:rFonts w:eastAsia="Arial" w:cs="Arial"/>
          <w:bdr w:val="none" w:sz="0" w:space="0" w:color="auto" w:frame="1"/>
          <w:lang w:val="fr-FR"/>
        </w:rPr>
        <w:t xml:space="preserve"> de la création du Groupe d’étude des oiseaux terrestres migrateurs (MLSG - </w:t>
      </w:r>
      <w:proofErr w:type="spellStart"/>
      <w:r w:rsidRPr="00F13FFA">
        <w:rPr>
          <w:rFonts w:eastAsia="Arial" w:cs="Arial"/>
          <w:bdr w:val="none" w:sz="0" w:space="0" w:color="auto" w:frame="1"/>
          <w:lang w:val="fr-FR"/>
        </w:rPr>
        <w:t>Migratory</w:t>
      </w:r>
      <w:proofErr w:type="spellEnd"/>
      <w:r w:rsidRPr="00F13FFA">
        <w:rPr>
          <w:rFonts w:eastAsia="Arial" w:cs="Arial"/>
          <w:bdr w:val="none" w:sz="0" w:space="0" w:color="auto" w:frame="1"/>
          <w:lang w:val="fr-FR"/>
        </w:rPr>
        <w:t xml:space="preserve"> </w:t>
      </w:r>
      <w:proofErr w:type="spellStart"/>
      <w:r w:rsidRPr="00F13FFA">
        <w:rPr>
          <w:rFonts w:eastAsia="Arial" w:cs="Arial"/>
          <w:bdr w:val="none" w:sz="0" w:space="0" w:color="auto" w:frame="1"/>
          <w:lang w:val="fr-FR"/>
        </w:rPr>
        <w:t>Landbirds</w:t>
      </w:r>
      <w:proofErr w:type="spellEnd"/>
      <w:r w:rsidRPr="00F13FFA">
        <w:rPr>
          <w:rFonts w:eastAsia="Arial" w:cs="Arial"/>
          <w:bdr w:val="none" w:sz="0" w:space="0" w:color="auto" w:frame="1"/>
          <w:lang w:val="fr-FR"/>
        </w:rPr>
        <w:t xml:space="preserve"> </w:t>
      </w:r>
      <w:proofErr w:type="spellStart"/>
      <w:r w:rsidRPr="00F13FFA">
        <w:rPr>
          <w:rFonts w:eastAsia="Arial" w:cs="Arial"/>
          <w:bdr w:val="none" w:sz="0" w:space="0" w:color="auto" w:frame="1"/>
          <w:lang w:val="fr-FR"/>
        </w:rPr>
        <w:t>Study</w:t>
      </w:r>
      <w:proofErr w:type="spellEnd"/>
      <w:r w:rsidRPr="00F13FFA">
        <w:rPr>
          <w:rFonts w:eastAsia="Arial" w:cs="Arial"/>
          <w:bdr w:val="none" w:sz="0" w:space="0" w:color="auto" w:frame="1"/>
          <w:lang w:val="fr-FR"/>
        </w:rPr>
        <w:t xml:space="preserve"> Group) en tant que réseau international de spécialistes et d’organisations travaillant sur la recherche, le suivi et la conservation des espèces d’oiseaux terrestres migrateurs</w:t>
      </w:r>
      <w:r>
        <w:rPr>
          <w:rFonts w:eastAsia="Arial" w:cs="Arial"/>
          <w:bdr w:val="none" w:sz="0" w:space="0" w:color="auto" w:frame="1"/>
          <w:lang w:val="fr-FR"/>
        </w:rPr>
        <w:t>,</w:t>
      </w:r>
    </w:p>
    <w:p w14:paraId="24AF271F" w14:textId="77777777" w:rsidR="009B47B7" w:rsidRPr="00F0233B" w:rsidRDefault="009B47B7" w:rsidP="009B47B7">
      <w:pPr>
        <w:widowControl w:val="0"/>
        <w:spacing w:after="0" w:line="240" w:lineRule="auto"/>
        <w:jc w:val="both"/>
        <w:rPr>
          <w:rFonts w:eastAsia="Times New Roman" w:cs="Arial"/>
          <w:highlight w:val="yellow"/>
          <w:lang w:val="fr-FR"/>
        </w:rPr>
      </w:pPr>
    </w:p>
    <w:p w14:paraId="6B90C736" w14:textId="77777777" w:rsidR="00A050BE" w:rsidRPr="00F13FFA" w:rsidRDefault="00A050BE" w:rsidP="00A050BE">
      <w:pPr>
        <w:spacing w:after="0" w:line="240" w:lineRule="auto"/>
        <w:jc w:val="both"/>
        <w:rPr>
          <w:rFonts w:cs="Arial"/>
          <w:iCs/>
          <w:lang w:val="fr-FR"/>
        </w:rPr>
      </w:pPr>
      <w:bookmarkStart w:id="6" w:name="_Hlk21333880"/>
      <w:r w:rsidRPr="00F13FFA">
        <w:rPr>
          <w:rFonts w:eastAsia="Arial" w:cs="Arial"/>
          <w:i/>
          <w:iCs/>
          <w:bdr w:val="none" w:sz="0" w:space="0" w:color="auto" w:frame="1"/>
          <w:lang w:val="fr-FR"/>
        </w:rPr>
        <w:t>Prenant note</w:t>
      </w:r>
      <w:r w:rsidRPr="00F13FFA">
        <w:rPr>
          <w:rFonts w:eastAsia="Arial" w:cs="Arial"/>
          <w:bdr w:val="none" w:sz="0" w:space="0" w:color="auto" w:frame="1"/>
          <w:lang w:val="fr-FR"/>
        </w:rPr>
        <w:t xml:space="preserve"> des résultats de la réunion inaugurale à Wilhelmshaven en Allemagne, ayant eu lieu du 26 au 28 mars 2014 et des Amis du Plan d’action pour les oiseaux terrestres (FLAP - Friends of the </w:t>
      </w:r>
      <w:proofErr w:type="spellStart"/>
      <w:r w:rsidRPr="00F13FFA">
        <w:rPr>
          <w:rFonts w:eastAsia="Arial" w:cs="Arial"/>
          <w:bdr w:val="none" w:sz="0" w:space="0" w:color="auto" w:frame="1"/>
          <w:lang w:val="fr-FR"/>
        </w:rPr>
        <w:t>Landbirds</w:t>
      </w:r>
      <w:proofErr w:type="spellEnd"/>
      <w:r w:rsidRPr="00F13FFA">
        <w:rPr>
          <w:rFonts w:eastAsia="Arial" w:cs="Arial"/>
          <w:bdr w:val="none" w:sz="0" w:space="0" w:color="auto" w:frame="1"/>
          <w:lang w:val="fr-FR"/>
        </w:rPr>
        <w:t xml:space="preserve"> Action Plan) étant un forum pour des parties prenantes, des individus </w:t>
      </w:r>
      <w:r w:rsidRPr="00F13FFA">
        <w:rPr>
          <w:rFonts w:eastAsia="Arial" w:cs="Arial"/>
          <w:bdr w:val="none" w:sz="0" w:space="0" w:color="auto" w:frame="1"/>
          <w:lang w:val="fr-FR"/>
        </w:rPr>
        <w:lastRenderedPageBreak/>
        <w:t>et organisations intéressés à suivre et appuyer le Plan d’action de la CMS et la conservation des oiseaux terrestres migrateurs en général, et</w:t>
      </w:r>
      <w:r w:rsidRPr="00F13FFA">
        <w:rPr>
          <w:rFonts w:cs="Arial"/>
          <w:iCs/>
          <w:lang w:val="fr-FR"/>
        </w:rPr>
        <w:t xml:space="preserve"> </w:t>
      </w:r>
      <w:r w:rsidRPr="00EA4AF6">
        <w:rPr>
          <w:rFonts w:cs="Arial"/>
          <w:iCs/>
          <w:lang w:val="fr-FR"/>
        </w:rPr>
        <w:t xml:space="preserve">le </w:t>
      </w:r>
      <w:r w:rsidRPr="00EA4AF6">
        <w:rPr>
          <w:rFonts w:cs="Arial"/>
          <w:lang w:val="fr-FR"/>
        </w:rPr>
        <w:t xml:space="preserve">développement et la mise en œuvre réussie du FLAP par </w:t>
      </w:r>
      <w:proofErr w:type="spellStart"/>
      <w:r w:rsidRPr="00EA4AF6">
        <w:rPr>
          <w:rFonts w:cs="Arial"/>
          <w:lang w:val="fr-FR"/>
        </w:rPr>
        <w:t>BirdLife</w:t>
      </w:r>
      <w:proofErr w:type="spellEnd"/>
      <w:r w:rsidRPr="00EA4AF6">
        <w:rPr>
          <w:rFonts w:cs="Arial"/>
          <w:lang w:val="fr-FR"/>
        </w:rPr>
        <w:t xml:space="preserve"> International en tant que plateforme de réseau en ligne</w:t>
      </w:r>
      <w:r>
        <w:rPr>
          <w:rFonts w:cs="Arial"/>
          <w:lang w:val="fr-FR"/>
        </w:rPr>
        <w:t>,</w:t>
      </w:r>
    </w:p>
    <w:bookmarkEnd w:id="6"/>
    <w:p w14:paraId="3EB36356" w14:textId="77777777" w:rsidR="009B47B7" w:rsidRPr="00F0233B" w:rsidRDefault="009B47B7" w:rsidP="009B47B7">
      <w:pPr>
        <w:widowControl w:val="0"/>
        <w:spacing w:after="0" w:line="240" w:lineRule="auto"/>
        <w:jc w:val="both"/>
        <w:rPr>
          <w:rFonts w:eastAsia="Times New Roman" w:cs="Arial"/>
          <w:highlight w:val="yellow"/>
          <w:lang w:val="fr-FR"/>
        </w:rPr>
      </w:pPr>
    </w:p>
    <w:p w14:paraId="6E9E6E20" w14:textId="045CE7B5" w:rsidR="00A050BE" w:rsidRPr="00F13FFA" w:rsidRDefault="00A050BE" w:rsidP="00A050BE">
      <w:pPr>
        <w:spacing w:after="0" w:line="240" w:lineRule="auto"/>
        <w:jc w:val="both"/>
        <w:rPr>
          <w:rFonts w:cs="Arial"/>
          <w:lang w:val="fr-FR"/>
        </w:rPr>
      </w:pPr>
      <w:r w:rsidRPr="00F13FFA">
        <w:rPr>
          <w:rFonts w:eastAsia="Arial" w:cs="Arial"/>
          <w:i/>
          <w:iCs/>
          <w:bdr w:val="none" w:sz="0" w:space="0" w:color="auto" w:frame="1"/>
          <w:lang w:val="fr-FR"/>
        </w:rPr>
        <w:t xml:space="preserve">Se félicitant en outre </w:t>
      </w:r>
      <w:r w:rsidRPr="00A050BE">
        <w:rPr>
          <w:rFonts w:eastAsia="Arial" w:cs="Arial"/>
          <w:strike/>
          <w:bdr w:val="none" w:sz="0" w:space="0" w:color="auto" w:frame="1"/>
          <w:lang w:val="fr-FR"/>
        </w:rPr>
        <w:t>de l’initiative d’EURING (Union européenne de baguage des oiseaux) et du Conseil scientifique pour produire</w:t>
      </w:r>
      <w:r w:rsidRPr="00A050BE">
        <w:rPr>
          <w:rFonts w:eastAsia="Times New Roman" w:cs="Arial"/>
          <w:u w:val="single"/>
          <w:lang w:val="fr-FR"/>
        </w:rPr>
        <w:t xml:space="preserve"> de la publication de l'Atlas européen de la migration des oiseaux entre l'Eurasie et l'Afrique, </w:t>
      </w:r>
      <w:proofErr w:type="spellStart"/>
      <w:r w:rsidRPr="00A050BE">
        <w:rPr>
          <w:rFonts w:eastAsia="Times New Roman" w:cs="Arial"/>
          <w:i/>
          <w:iCs/>
          <w:u w:val="single"/>
          <w:lang w:val="fr-FR"/>
        </w:rPr>
        <w:t>Eurasian</w:t>
      </w:r>
      <w:proofErr w:type="spellEnd"/>
      <w:r w:rsidRPr="00A050BE">
        <w:rPr>
          <w:rFonts w:eastAsia="Times New Roman" w:cs="Arial"/>
          <w:i/>
          <w:iCs/>
          <w:u w:val="single"/>
          <w:lang w:val="fr-FR"/>
        </w:rPr>
        <w:t xml:space="preserve"> African Bird Migration</w:t>
      </w:r>
      <w:r w:rsidRPr="00A050BE">
        <w:rPr>
          <w:rFonts w:eastAsia="Arial" w:cs="Arial"/>
          <w:strike/>
          <w:bdr w:val="none" w:sz="0" w:space="0" w:color="auto" w:frame="1"/>
          <w:lang w:val="fr-FR"/>
        </w:rPr>
        <w:t xml:space="preserve"> un </w:t>
      </w:r>
      <w:r w:rsidRPr="00A050BE">
        <w:rPr>
          <w:rFonts w:eastAsia="Arial" w:cs="Arial"/>
          <w:bdr w:val="none" w:sz="0" w:space="0" w:color="auto" w:frame="1"/>
          <w:lang w:val="fr-FR"/>
        </w:rPr>
        <w:t xml:space="preserve">atlas </w:t>
      </w:r>
      <w:r w:rsidRPr="00A050BE">
        <w:rPr>
          <w:rFonts w:eastAsia="Arial" w:cs="Arial"/>
          <w:strike/>
          <w:bdr w:val="none" w:sz="0" w:space="0" w:color="auto" w:frame="1"/>
          <w:lang w:val="fr-FR"/>
        </w:rPr>
        <w:t>européen des migrations d’oiseaux,</w:t>
      </w:r>
      <w:r w:rsidRPr="00A050BE">
        <w:rPr>
          <w:rFonts w:eastAsia="Arial" w:cs="Arial"/>
          <w:bdr w:val="none" w:sz="0" w:space="0" w:color="auto" w:frame="1"/>
          <w:lang w:val="fr-FR"/>
        </w:rPr>
        <w:t xml:space="preserve"> basé sur des récupérations d’oiseaux bagués, </w:t>
      </w:r>
      <w:r w:rsidRPr="00A050BE">
        <w:rPr>
          <w:rFonts w:eastAsia="Times New Roman" w:cs="Arial"/>
          <w:u w:val="single"/>
          <w:lang w:val="fr-FR"/>
        </w:rPr>
        <w:t xml:space="preserve">des études de suivi par l'Union européenne pour le baguage des oiseaux (EURING), </w:t>
      </w:r>
      <w:r w:rsidRPr="00A050BE">
        <w:rPr>
          <w:rFonts w:eastAsia="Arial" w:cs="Arial"/>
          <w:bdr w:val="none" w:sz="0" w:space="0" w:color="auto" w:frame="1"/>
          <w:lang w:val="fr-FR"/>
        </w:rPr>
        <w:t>avec l’appui du Secrétariat de la CMS et du Gouvernement italien,</w:t>
      </w:r>
    </w:p>
    <w:p w14:paraId="79A2314B" w14:textId="77777777" w:rsidR="000C76FC" w:rsidRPr="00F0233B" w:rsidRDefault="000C76FC" w:rsidP="000C76FC">
      <w:pPr>
        <w:widowControl w:val="0"/>
        <w:spacing w:after="0" w:line="240" w:lineRule="auto"/>
        <w:jc w:val="both"/>
        <w:rPr>
          <w:rFonts w:eastAsia="Times New Roman" w:cs="Arial"/>
          <w:highlight w:val="yellow"/>
          <w:lang w:val="fr-FR"/>
        </w:rPr>
      </w:pPr>
    </w:p>
    <w:p w14:paraId="57704E4B" w14:textId="3F315B80" w:rsidR="00831DC2" w:rsidRPr="00A050BE" w:rsidRDefault="00A050BE" w:rsidP="00A050BE">
      <w:pPr>
        <w:spacing w:after="0" w:line="240" w:lineRule="auto"/>
        <w:jc w:val="both"/>
        <w:rPr>
          <w:rFonts w:cs="Arial"/>
          <w:lang w:val="fr-FR"/>
        </w:rPr>
      </w:pPr>
      <w:bookmarkStart w:id="7" w:name="_Hlk21333890"/>
      <w:r w:rsidRPr="00EA4AF6">
        <w:rPr>
          <w:rFonts w:cs="Arial"/>
          <w:i/>
          <w:lang w:val="fr-FR"/>
        </w:rPr>
        <w:t>Prenant note</w:t>
      </w:r>
      <w:r w:rsidRPr="00EA4AF6">
        <w:rPr>
          <w:rFonts w:cs="Arial"/>
          <w:lang w:val="fr-FR"/>
        </w:rPr>
        <w:t xml:space="preserve"> de la conclusion de l’atelier organisé par la Cambridge Conservation Initiative les 12 et 13 mars 2019 sur les </w:t>
      </w:r>
      <w:r w:rsidRPr="00EA4AF6">
        <w:rPr>
          <w:rFonts w:cs="Arial"/>
          <w:i/>
          <w:lang w:val="fr-FR"/>
        </w:rPr>
        <w:t>sciences et politiques visant à contrer les menaces pesant sur les oiseaux migrateurs afro-paléarctiques : nouvelle recherche et future politique</w:t>
      </w:r>
      <w:r w:rsidRPr="00EA4AF6">
        <w:rPr>
          <w:rFonts w:cs="Arial"/>
          <w:lang w:val="fr-FR"/>
        </w:rPr>
        <w:t xml:space="preserve"> qui, pour de nombreux oiseaux terrestres d’Afrique-Eurasie en déclin, est la plus bénéfique « action générique » dans les zones de non-reproduction susceptible de conserver et d’améliorer la couverture arborée dans le paysage, en particulier par le biais de mesures plus larges allant au-delà de la protection traditionnelle des forêts, et des approches internationales visant à conserver et à améliorer la couverture arborée telles que le défi de Bonn, Des Milliards d’arbres et la Grande Muraille Verte et les initiatives locales d’aide et de développement autour de l’agriculture et de la foresterie offrent des expériences potentielles pour déterminer, grâce à une surveillance attentive, ce qui fonctionne pour la création d’habitats (permettant de comparer la biodiversité entre sites et au fil des années) et les avantages socio-économiques pour les communautés locales, afin de fournir des informations sur les interventions bénéfiques</w:t>
      </w:r>
      <w:r>
        <w:rPr>
          <w:rFonts w:cs="Arial"/>
          <w:lang w:val="fr-FR"/>
        </w:rPr>
        <w:t>,</w:t>
      </w:r>
      <w:bookmarkEnd w:id="7"/>
    </w:p>
    <w:p w14:paraId="0A788956" w14:textId="77777777" w:rsidR="00831DC2" w:rsidRDefault="00831DC2" w:rsidP="00831DC2">
      <w:pPr>
        <w:widowControl w:val="0"/>
        <w:autoSpaceDE w:val="0"/>
        <w:autoSpaceDN w:val="0"/>
        <w:adjustRightInd w:val="0"/>
        <w:spacing w:after="0" w:line="240" w:lineRule="auto"/>
        <w:jc w:val="both"/>
        <w:rPr>
          <w:rFonts w:eastAsia="Times New Roman" w:cs="Arial"/>
          <w:sz w:val="20"/>
          <w:szCs w:val="20"/>
          <w:highlight w:val="yellow"/>
          <w:lang w:val="fr-FR"/>
        </w:rPr>
      </w:pPr>
    </w:p>
    <w:p w14:paraId="318748B5" w14:textId="77777777" w:rsidR="00A050BE" w:rsidRPr="00F0233B" w:rsidRDefault="00A050BE" w:rsidP="00831DC2">
      <w:pPr>
        <w:widowControl w:val="0"/>
        <w:autoSpaceDE w:val="0"/>
        <w:autoSpaceDN w:val="0"/>
        <w:adjustRightInd w:val="0"/>
        <w:spacing w:after="0" w:line="240" w:lineRule="auto"/>
        <w:jc w:val="both"/>
        <w:rPr>
          <w:rFonts w:eastAsia="Times New Roman" w:cs="Arial"/>
          <w:sz w:val="20"/>
          <w:szCs w:val="20"/>
          <w:highlight w:val="yellow"/>
          <w:lang w:val="fr-FR"/>
        </w:rPr>
      </w:pPr>
    </w:p>
    <w:p w14:paraId="4D3965E8" w14:textId="29E1F605" w:rsidR="00831DC2" w:rsidRPr="00A050BE" w:rsidRDefault="00831DC2" w:rsidP="00831DC2">
      <w:pPr>
        <w:widowControl w:val="0"/>
        <w:autoSpaceDE w:val="0"/>
        <w:autoSpaceDN w:val="0"/>
        <w:adjustRightInd w:val="0"/>
        <w:spacing w:after="0" w:line="240" w:lineRule="auto"/>
        <w:jc w:val="center"/>
        <w:rPr>
          <w:rFonts w:eastAsia="Times New Roman" w:cs="Arial"/>
          <w:i/>
          <w:lang w:val="fr-FR"/>
        </w:rPr>
      </w:pPr>
      <w:r w:rsidRPr="00A050BE">
        <w:rPr>
          <w:rFonts w:eastAsia="Times New Roman" w:cs="Arial"/>
          <w:i/>
          <w:lang w:val="fr-FR"/>
        </w:rPr>
        <w:t>La Conférence des Parties à la</w:t>
      </w:r>
    </w:p>
    <w:p w14:paraId="2E0761EE" w14:textId="77777777" w:rsidR="00831DC2" w:rsidRPr="00A050BE" w:rsidRDefault="00831DC2" w:rsidP="00831DC2">
      <w:pPr>
        <w:widowControl w:val="0"/>
        <w:autoSpaceDE w:val="0"/>
        <w:autoSpaceDN w:val="0"/>
        <w:adjustRightInd w:val="0"/>
        <w:spacing w:after="0" w:line="240" w:lineRule="auto"/>
        <w:jc w:val="center"/>
        <w:rPr>
          <w:rFonts w:eastAsia="Times New Roman" w:cs="Arial"/>
          <w:i/>
          <w:lang w:val="fr-FR"/>
        </w:rPr>
      </w:pPr>
      <w:r w:rsidRPr="00A050BE">
        <w:rPr>
          <w:rFonts w:eastAsia="Times New Roman" w:cs="Arial"/>
          <w:i/>
          <w:lang w:val="fr-FR"/>
        </w:rPr>
        <w:t>Convention sur la conservation des espèces migratrices appartenant à la faune sauvage</w:t>
      </w:r>
    </w:p>
    <w:p w14:paraId="6C44A978" w14:textId="77777777" w:rsidR="00831DC2" w:rsidRPr="008C265B" w:rsidRDefault="00831DC2" w:rsidP="00831DC2">
      <w:pPr>
        <w:widowControl w:val="0"/>
        <w:autoSpaceDE w:val="0"/>
        <w:autoSpaceDN w:val="0"/>
        <w:adjustRightInd w:val="0"/>
        <w:spacing w:after="0" w:line="240" w:lineRule="auto"/>
        <w:jc w:val="both"/>
        <w:rPr>
          <w:rFonts w:eastAsia="Times New Roman" w:cs="Arial"/>
          <w:sz w:val="20"/>
          <w:szCs w:val="20"/>
          <w:lang w:val="fr-FR"/>
        </w:rPr>
      </w:pPr>
    </w:p>
    <w:p w14:paraId="5881A219" w14:textId="06863C70" w:rsidR="000C76FC" w:rsidRPr="004762F0" w:rsidRDefault="00A050BE" w:rsidP="008C265B">
      <w:pPr>
        <w:widowControl w:val="0"/>
        <w:numPr>
          <w:ilvl w:val="0"/>
          <w:numId w:val="34"/>
        </w:numPr>
        <w:suppressAutoHyphens/>
        <w:autoSpaceDE w:val="0"/>
        <w:autoSpaceDN w:val="0"/>
        <w:adjustRightInd w:val="0"/>
        <w:spacing w:after="0" w:line="240" w:lineRule="auto"/>
        <w:ind w:left="567" w:hanging="567"/>
        <w:contextualSpacing/>
        <w:jc w:val="both"/>
        <w:textAlignment w:val="baseline"/>
        <w:rPr>
          <w:rFonts w:eastAsia="Times New Roman" w:cs="Arial"/>
          <w:lang w:val="fr-FR"/>
        </w:rPr>
      </w:pPr>
      <w:r w:rsidRPr="004762F0">
        <w:rPr>
          <w:rFonts w:eastAsia="Arial" w:cs="Arial"/>
          <w:i/>
          <w:iCs/>
          <w:bdr w:val="none" w:sz="0" w:space="0" w:color="auto" w:frame="1"/>
          <w:lang w:val="fr-FR"/>
        </w:rPr>
        <w:t xml:space="preserve">Adopte </w:t>
      </w:r>
      <w:r w:rsidRPr="004762F0">
        <w:rPr>
          <w:rFonts w:eastAsia="Arial" w:cs="Arial"/>
          <w:bdr w:val="none" w:sz="0" w:space="0" w:color="auto" w:frame="1"/>
          <w:lang w:val="fr-FR"/>
        </w:rPr>
        <w:t xml:space="preserve">le « Plan d’action pour les oiseaux terrestres migrateurs d’Afrique-Eurasie (AEMLAP) » (le Plan d’action), et ses annexes, contenues dans l’Annexe de la présente Résolution </w:t>
      </w:r>
      <w:r w:rsidRPr="004762F0">
        <w:rPr>
          <w:rFonts w:cs="Arial"/>
          <w:lang w:val="fr-FR"/>
        </w:rPr>
        <w:t xml:space="preserve">et </w:t>
      </w:r>
      <w:r w:rsidRPr="004762F0">
        <w:rPr>
          <w:rFonts w:eastAsia="Arial" w:cs="Arial"/>
          <w:i/>
          <w:iCs/>
          <w:bdr w:val="none" w:sz="0" w:space="0" w:color="auto" w:frame="1"/>
          <w:lang w:val="fr-FR"/>
        </w:rPr>
        <w:t xml:space="preserve">prie instamment </w:t>
      </w:r>
      <w:r w:rsidRPr="004762F0">
        <w:rPr>
          <w:rFonts w:eastAsia="Arial" w:cs="Arial"/>
          <w:bdr w:val="none" w:sz="0" w:space="0" w:color="auto" w:frame="1"/>
          <w:lang w:val="fr-FR"/>
        </w:rPr>
        <w:t xml:space="preserve">les Parties et </w:t>
      </w:r>
      <w:r w:rsidRPr="004762F0">
        <w:rPr>
          <w:rFonts w:eastAsia="Arial" w:cs="Arial"/>
          <w:i/>
          <w:iCs/>
          <w:bdr w:val="none" w:sz="0" w:space="0" w:color="auto" w:frame="1"/>
          <w:lang w:val="fr-FR"/>
        </w:rPr>
        <w:t xml:space="preserve">encourage </w:t>
      </w:r>
      <w:r w:rsidRPr="004762F0">
        <w:rPr>
          <w:rFonts w:eastAsia="Arial" w:cs="Arial"/>
          <w:bdr w:val="none" w:sz="0" w:space="0" w:color="auto" w:frame="1"/>
          <w:lang w:val="fr-FR"/>
        </w:rPr>
        <w:t xml:space="preserve">les non-Parties et les parties prenantes à mettre en œuvre le Plan d’action de manière prioritaire, en particulier en suivant le programme de travail </w:t>
      </w:r>
      <w:r w:rsidR="008C265B" w:rsidRPr="004762F0">
        <w:rPr>
          <w:rFonts w:eastAsia="Times New Roman" w:cs="Arial"/>
          <w:u w:val="single"/>
          <w:lang w:val="fr-FR"/>
        </w:rPr>
        <w:t>2021-2026</w:t>
      </w:r>
      <w:r w:rsidRPr="004762F0">
        <w:rPr>
          <w:rFonts w:eastAsia="Arial" w:cs="Arial"/>
          <w:strike/>
          <w:bdr w:val="none" w:sz="0" w:space="0" w:color="auto" w:frame="1"/>
          <w:lang w:val="fr-FR"/>
        </w:rPr>
        <w:t>AEMLAP 2016-2020</w:t>
      </w:r>
      <w:r w:rsidRPr="004762F0">
        <w:rPr>
          <w:rFonts w:eastAsia="Arial" w:cs="Arial"/>
          <w:bdr w:val="none" w:sz="0" w:space="0" w:color="auto" w:frame="1"/>
          <w:lang w:val="fr-FR"/>
        </w:rPr>
        <w:t> </w:t>
      </w:r>
      <w:r w:rsidR="008C265B" w:rsidRPr="004762F0">
        <w:rPr>
          <w:rFonts w:eastAsia="Times New Roman" w:cs="Arial"/>
          <w:u w:val="single"/>
          <w:lang w:val="fr-FR"/>
        </w:rPr>
        <w:t xml:space="preserve">du Groupe de travail </w:t>
      </w:r>
    </w:p>
    <w:p w14:paraId="003489A1" w14:textId="77777777" w:rsidR="000C76FC" w:rsidRPr="004762F0" w:rsidRDefault="000C76FC" w:rsidP="008C265B">
      <w:pPr>
        <w:widowControl w:val="0"/>
        <w:spacing w:after="0" w:line="240" w:lineRule="auto"/>
        <w:ind w:left="567" w:hanging="567"/>
        <w:jc w:val="both"/>
        <w:rPr>
          <w:rFonts w:eastAsia="Times New Roman" w:cs="Arial"/>
          <w:sz w:val="20"/>
          <w:szCs w:val="20"/>
          <w:lang w:val="fr-FR"/>
        </w:rPr>
      </w:pPr>
    </w:p>
    <w:p w14:paraId="7A909238" w14:textId="2AA9EDF8" w:rsidR="000C76FC" w:rsidRPr="004762F0" w:rsidRDefault="008C265B" w:rsidP="008C265B">
      <w:pPr>
        <w:widowControl w:val="0"/>
        <w:numPr>
          <w:ilvl w:val="0"/>
          <w:numId w:val="34"/>
        </w:numPr>
        <w:suppressAutoHyphens/>
        <w:autoSpaceDE w:val="0"/>
        <w:autoSpaceDN w:val="0"/>
        <w:adjustRightInd w:val="0"/>
        <w:spacing w:after="0" w:line="240" w:lineRule="auto"/>
        <w:ind w:left="567" w:hanging="567"/>
        <w:contextualSpacing/>
        <w:jc w:val="both"/>
        <w:textAlignment w:val="baseline"/>
        <w:rPr>
          <w:rFonts w:eastAsia="Times New Roman" w:cs="Arial"/>
          <w:lang w:val="fr-FR"/>
        </w:rPr>
      </w:pPr>
      <w:r w:rsidRPr="004762F0">
        <w:rPr>
          <w:rFonts w:eastAsia="Arial" w:cs="Arial"/>
          <w:i/>
          <w:iCs/>
          <w:bdr w:val="none" w:sz="0" w:space="0" w:color="auto" w:frame="1"/>
          <w:lang w:val="fr-FR"/>
        </w:rPr>
        <w:t xml:space="preserve">Prie </w:t>
      </w:r>
      <w:r w:rsidRPr="004762F0">
        <w:rPr>
          <w:rFonts w:eastAsia="Arial" w:cs="Arial"/>
          <w:bdr w:val="none" w:sz="0" w:space="0" w:color="auto" w:frame="1"/>
          <w:lang w:val="fr-FR"/>
        </w:rPr>
        <w:t xml:space="preserve">les Parties et </w:t>
      </w:r>
      <w:r w:rsidRPr="004762F0">
        <w:rPr>
          <w:rFonts w:eastAsia="Arial" w:cs="Arial"/>
          <w:i/>
          <w:iCs/>
          <w:bdr w:val="none" w:sz="0" w:space="0" w:color="auto" w:frame="1"/>
          <w:lang w:val="fr-FR"/>
        </w:rPr>
        <w:t xml:space="preserve">encourage </w:t>
      </w:r>
      <w:r w:rsidRPr="004762F0">
        <w:rPr>
          <w:rFonts w:eastAsia="Arial" w:cs="Arial"/>
          <w:bdr w:val="none" w:sz="0" w:space="0" w:color="auto" w:frame="1"/>
          <w:lang w:val="fr-FR"/>
        </w:rPr>
        <w:t>les non-Parties à traiter la question de la perte et de la dégradation des habitats des oiseaux terrestres migrateurs par le développement de politiques qui maintiennent, gèrent et restaurent les habitats naturels et semi-naturels dans l’environnement en général comprenant le travail avec des communautés locales et en partenariat avec la communauté œuvrant pour la réduction de la pauvreté et avec les secteurs de l’agriculture et la sylviculture en Afrique </w:t>
      </w:r>
      <w:r w:rsidR="000C76FC" w:rsidRPr="004762F0">
        <w:rPr>
          <w:rFonts w:eastAsia="Times New Roman" w:cs="Arial"/>
          <w:lang w:val="fr-FR"/>
        </w:rPr>
        <w:t>;</w:t>
      </w:r>
    </w:p>
    <w:p w14:paraId="1746590C" w14:textId="77777777" w:rsidR="000C76FC" w:rsidRPr="00F0233B" w:rsidRDefault="000C76FC" w:rsidP="008C265B">
      <w:pPr>
        <w:widowControl w:val="0"/>
        <w:spacing w:after="0" w:line="240" w:lineRule="auto"/>
        <w:ind w:left="567" w:hanging="567"/>
        <w:jc w:val="both"/>
        <w:rPr>
          <w:rFonts w:eastAsia="Times New Roman" w:cs="Arial"/>
          <w:sz w:val="20"/>
          <w:szCs w:val="20"/>
          <w:highlight w:val="yellow"/>
          <w:lang w:val="fr-FR"/>
        </w:rPr>
      </w:pPr>
    </w:p>
    <w:p w14:paraId="00D2D60A" w14:textId="2E3FF5F8" w:rsidR="000C76FC" w:rsidRPr="008C265B" w:rsidRDefault="008C265B" w:rsidP="008C265B">
      <w:pPr>
        <w:widowControl w:val="0"/>
        <w:numPr>
          <w:ilvl w:val="0"/>
          <w:numId w:val="34"/>
        </w:numPr>
        <w:autoSpaceDE w:val="0"/>
        <w:adjustRightInd w:val="0"/>
        <w:spacing w:after="0" w:line="240" w:lineRule="auto"/>
        <w:ind w:left="567" w:hanging="567"/>
        <w:jc w:val="both"/>
        <w:rPr>
          <w:rFonts w:cs="Arial"/>
          <w:lang w:val="fr-FR"/>
        </w:rPr>
      </w:pPr>
      <w:r w:rsidRPr="00F13FFA">
        <w:rPr>
          <w:rFonts w:eastAsia="Arial" w:cs="Arial"/>
          <w:i/>
          <w:iCs/>
          <w:bdr w:val="none" w:sz="0" w:space="0" w:color="auto" w:frame="1"/>
          <w:lang w:val="fr-FR"/>
        </w:rPr>
        <w:t xml:space="preserve">Prie </w:t>
      </w:r>
      <w:r w:rsidRPr="00F13FFA">
        <w:rPr>
          <w:rFonts w:eastAsia="Arial" w:cs="Arial"/>
          <w:bdr w:val="none" w:sz="0" w:space="0" w:color="auto" w:frame="1"/>
          <w:lang w:val="fr-FR"/>
        </w:rPr>
        <w:t xml:space="preserve">les Parties et </w:t>
      </w:r>
      <w:r w:rsidRPr="00F13FFA">
        <w:rPr>
          <w:rFonts w:eastAsia="Arial" w:cs="Arial"/>
          <w:i/>
          <w:iCs/>
          <w:bdr w:val="none" w:sz="0" w:space="0" w:color="auto" w:frame="1"/>
          <w:lang w:val="fr-FR"/>
        </w:rPr>
        <w:t>encourage</w:t>
      </w:r>
      <w:r w:rsidRPr="00F13FFA">
        <w:rPr>
          <w:rFonts w:eastAsia="Arial" w:cs="Arial"/>
          <w:bdr w:val="none" w:sz="0" w:space="0" w:color="auto" w:frame="1"/>
          <w:lang w:val="fr-FR"/>
        </w:rPr>
        <w:t xml:space="preserve"> les non-Parties à collaborer avec des agences, des organisations et des communautés locales pour lutter contre les changements dans l’utilisation des terres préjudiciables dans la région de la voie de migration Afrique-Eurasie, notamment et en premier lieu en l’Afrique de l’Ouest, en favorisant l’utilisation durable des terres par des pratiques et des approches énoncées dans l’atelier de la CMS en novembre 2016 (Déclaration d’Abuja)</w:t>
      </w:r>
      <w:r>
        <w:rPr>
          <w:rFonts w:eastAsia="Arial" w:cs="Arial"/>
          <w:bdr w:val="none" w:sz="0" w:space="0" w:color="auto" w:frame="1"/>
          <w:lang w:val="fr-FR"/>
        </w:rPr>
        <w:t> ;</w:t>
      </w:r>
    </w:p>
    <w:p w14:paraId="3369E559" w14:textId="77777777" w:rsidR="000C76FC" w:rsidRPr="008C265B" w:rsidRDefault="000C76FC" w:rsidP="008C265B">
      <w:pPr>
        <w:widowControl w:val="0"/>
        <w:spacing w:after="0" w:line="240" w:lineRule="auto"/>
        <w:ind w:left="567" w:hanging="567"/>
        <w:jc w:val="both"/>
        <w:rPr>
          <w:rFonts w:eastAsia="Times New Roman" w:cs="Arial"/>
          <w:lang w:val="fr-FR"/>
        </w:rPr>
      </w:pPr>
    </w:p>
    <w:p w14:paraId="00904527" w14:textId="528DCD02" w:rsidR="000C76FC" w:rsidRPr="008C265B" w:rsidRDefault="000C76FC" w:rsidP="008C265B">
      <w:pPr>
        <w:widowControl w:val="0"/>
        <w:spacing w:after="0" w:line="240" w:lineRule="auto"/>
        <w:ind w:left="567" w:hanging="567"/>
        <w:jc w:val="both"/>
        <w:rPr>
          <w:rFonts w:eastAsia="Times New Roman" w:cs="Arial"/>
          <w:lang w:val="fr-FR"/>
        </w:rPr>
      </w:pPr>
      <w:r w:rsidRPr="008C265B">
        <w:rPr>
          <w:rFonts w:eastAsia="Times New Roman" w:cs="Arial"/>
          <w:lang w:val="fr-FR"/>
        </w:rPr>
        <w:t xml:space="preserve">4. </w:t>
      </w:r>
      <w:r w:rsidRPr="008C265B">
        <w:rPr>
          <w:rFonts w:eastAsia="Times New Roman" w:cs="Arial"/>
          <w:lang w:val="fr-FR"/>
        </w:rPr>
        <w:tab/>
      </w:r>
      <w:r w:rsidR="008C265B" w:rsidRPr="008C265B">
        <w:rPr>
          <w:rFonts w:cs="Arial"/>
          <w:i/>
          <w:bdr w:val="none" w:sz="0" w:space="0" w:color="auto" w:frame="1"/>
          <w:lang w:val="fr-FR"/>
        </w:rPr>
        <w:t xml:space="preserve">Invite </w:t>
      </w:r>
      <w:r w:rsidR="008C265B" w:rsidRPr="008C265B">
        <w:rPr>
          <w:rFonts w:cs="Arial"/>
          <w:bdr w:val="none" w:sz="0" w:space="0" w:color="auto" w:frame="1"/>
          <w:lang w:val="fr-FR"/>
        </w:rPr>
        <w:t>les Parties et les non-Parties à reconnaître et soutenir l'action conjointe des conventions et processus internationaux pertinents pour une utilisation durable des terres favorable aux oiseaux migrateurs et permettant d’atteindre les objectifs de la CMS en particulier en ce qui concerne l'article II.1 et le Plan stratégique 2015-2023 et pour faciliter la réalisation des Objectifs de développement durable ;</w:t>
      </w:r>
    </w:p>
    <w:p w14:paraId="712B87FA" w14:textId="77777777" w:rsidR="008C265B" w:rsidRPr="00F13FFA" w:rsidRDefault="008C265B" w:rsidP="008C265B">
      <w:pPr>
        <w:widowControl w:val="0"/>
        <w:numPr>
          <w:ilvl w:val="0"/>
          <w:numId w:val="28"/>
        </w:numPr>
        <w:autoSpaceDE w:val="0"/>
        <w:adjustRightInd w:val="0"/>
        <w:spacing w:after="0" w:line="240" w:lineRule="auto"/>
        <w:ind w:left="567" w:hanging="567"/>
        <w:jc w:val="both"/>
        <w:rPr>
          <w:rFonts w:cs="Arial"/>
          <w:iCs/>
          <w:lang w:val="fr-FR"/>
        </w:rPr>
      </w:pPr>
      <w:r w:rsidRPr="008C265B">
        <w:rPr>
          <w:rFonts w:eastAsia="Arial" w:cs="Arial"/>
          <w:i/>
          <w:iCs/>
          <w:bdr w:val="none" w:sz="0" w:space="0" w:color="auto" w:frame="1"/>
          <w:lang w:val="fr-FR"/>
        </w:rPr>
        <w:lastRenderedPageBreak/>
        <w:t xml:space="preserve">Prie </w:t>
      </w:r>
      <w:r w:rsidRPr="008C265B">
        <w:rPr>
          <w:rFonts w:eastAsia="Arial" w:cs="Arial"/>
          <w:bdr w:val="none" w:sz="0" w:space="0" w:color="auto" w:frame="1"/>
          <w:lang w:val="fr-FR"/>
        </w:rPr>
        <w:t xml:space="preserve">les Parties et </w:t>
      </w:r>
      <w:r w:rsidRPr="008C265B">
        <w:rPr>
          <w:rFonts w:eastAsia="Arial" w:cs="Arial"/>
          <w:i/>
          <w:iCs/>
          <w:bdr w:val="none" w:sz="0" w:space="0" w:color="auto" w:frame="1"/>
          <w:lang w:val="fr-FR"/>
        </w:rPr>
        <w:t xml:space="preserve">invite </w:t>
      </w:r>
      <w:r w:rsidRPr="008C265B">
        <w:rPr>
          <w:rFonts w:eastAsia="Arial" w:cs="Arial"/>
          <w:bdr w:val="none" w:sz="0" w:space="0" w:color="auto" w:frame="1"/>
          <w:lang w:val="fr-FR"/>
        </w:rPr>
        <w:t xml:space="preserve">les États de l’aire de répartition à mettre en œuvre les mesures existantes au titre de la CMS, de l’AEWA, du </w:t>
      </w:r>
      <w:proofErr w:type="spellStart"/>
      <w:r w:rsidRPr="008C265B">
        <w:rPr>
          <w:rFonts w:eastAsia="Arial" w:cs="Arial"/>
          <w:bdr w:val="none" w:sz="0" w:space="0" w:color="auto" w:frame="1"/>
          <w:lang w:val="fr-FR"/>
        </w:rPr>
        <w:t>MdE</w:t>
      </w:r>
      <w:proofErr w:type="spellEnd"/>
      <w:r w:rsidRPr="008C265B">
        <w:rPr>
          <w:rFonts w:eastAsia="Arial" w:cs="Arial"/>
          <w:bdr w:val="none" w:sz="0" w:space="0" w:color="auto" w:frame="1"/>
          <w:lang w:val="fr-FR"/>
        </w:rPr>
        <w:t xml:space="preserve"> Rapaces et d’autres traités env</w:t>
      </w:r>
      <w:r w:rsidRPr="00F13FFA">
        <w:rPr>
          <w:rFonts w:eastAsia="Arial" w:cs="Arial"/>
          <w:bdr w:val="none" w:sz="0" w:space="0" w:color="auto" w:frame="1"/>
          <w:lang w:val="fr-FR"/>
        </w:rPr>
        <w:t>ironnementaux internationaux pertinents, en particulier lorsque ceux-ci contribuent aux objectifs du Plan d’action pour les oiseaux terrestres, afin d’accroître la résilience des populations d’oiseaux terrestres migrateurs et leur capacité à s’adapter aux changements environnementaux</w:t>
      </w:r>
      <w:r>
        <w:rPr>
          <w:rFonts w:eastAsia="Arial" w:cs="Arial"/>
          <w:bdr w:val="none" w:sz="0" w:space="0" w:color="auto" w:frame="1"/>
          <w:lang w:val="fr-FR"/>
        </w:rPr>
        <w:t> ;</w:t>
      </w:r>
    </w:p>
    <w:p w14:paraId="19E8DF59" w14:textId="77777777" w:rsidR="000C76FC" w:rsidRPr="008C265B" w:rsidRDefault="000C76FC" w:rsidP="008C265B">
      <w:pPr>
        <w:widowControl w:val="0"/>
        <w:spacing w:after="0" w:line="240" w:lineRule="auto"/>
        <w:ind w:left="567" w:hanging="567"/>
        <w:contextualSpacing/>
        <w:jc w:val="both"/>
        <w:rPr>
          <w:rFonts w:eastAsia="Times New Roman" w:cs="Arial"/>
          <w:iCs/>
          <w:lang w:val="fr-FR"/>
        </w:rPr>
      </w:pPr>
    </w:p>
    <w:p w14:paraId="318A3249" w14:textId="77777777" w:rsidR="008C265B" w:rsidRDefault="008C265B" w:rsidP="008C265B">
      <w:pPr>
        <w:widowControl w:val="0"/>
        <w:numPr>
          <w:ilvl w:val="0"/>
          <w:numId w:val="28"/>
        </w:numPr>
        <w:autoSpaceDE w:val="0"/>
        <w:adjustRightInd w:val="0"/>
        <w:spacing w:after="0" w:line="240" w:lineRule="auto"/>
        <w:ind w:left="567" w:hanging="567"/>
        <w:jc w:val="both"/>
        <w:rPr>
          <w:rFonts w:cs="Arial"/>
          <w:iCs/>
          <w:lang w:val="fr-FR"/>
        </w:rPr>
      </w:pPr>
      <w:r w:rsidRPr="008C265B">
        <w:rPr>
          <w:rFonts w:eastAsia="Arial" w:cs="Arial"/>
          <w:i/>
          <w:iCs/>
          <w:bdr w:val="none" w:sz="0" w:space="0" w:color="auto" w:frame="1"/>
          <w:lang w:val="fr-FR"/>
        </w:rPr>
        <w:t xml:space="preserve">Demande </w:t>
      </w:r>
      <w:r w:rsidRPr="008C265B">
        <w:rPr>
          <w:rFonts w:eastAsia="Arial" w:cs="Arial"/>
          <w:bdr w:val="none" w:sz="0" w:space="0" w:color="auto" w:frame="1"/>
          <w:lang w:val="fr-FR"/>
        </w:rPr>
        <w:t xml:space="preserve">aux Parties de </w:t>
      </w:r>
      <w:r w:rsidRPr="008C265B">
        <w:rPr>
          <w:rFonts w:eastAsia="Arial" w:cs="Arial"/>
          <w:u w:val="single"/>
          <w:bdr w:val="none" w:sz="0" w:space="0" w:color="auto" w:frame="1"/>
          <w:lang w:val="fr-FR"/>
        </w:rPr>
        <w:t xml:space="preserve">continuer à </w:t>
      </w:r>
      <w:r w:rsidRPr="008C265B">
        <w:rPr>
          <w:rFonts w:eastAsia="Arial" w:cs="Arial"/>
          <w:bdr w:val="none" w:sz="0" w:space="0" w:color="auto" w:frame="1"/>
          <w:lang w:val="fr-FR"/>
        </w:rPr>
        <w:t xml:space="preserve">remédier d’urgence aux problèmes de prélèvements illégaux et non durables des oiseaux terrestres lors de la migration et de l’hivernage, et de veiller à ce que les législations nationales de conservation soient en place et appliquées et à ce que des mesures soient prises pour la mise en œuvre, et </w:t>
      </w:r>
      <w:r w:rsidRPr="008C265B">
        <w:rPr>
          <w:rFonts w:eastAsia="Arial" w:cs="Arial"/>
          <w:i/>
          <w:iCs/>
          <w:bdr w:val="none" w:sz="0" w:space="0" w:color="auto" w:frame="1"/>
          <w:lang w:val="fr-FR"/>
        </w:rPr>
        <w:t xml:space="preserve">prie </w:t>
      </w:r>
      <w:r w:rsidRPr="008C265B">
        <w:rPr>
          <w:rFonts w:eastAsia="Arial" w:cs="Arial"/>
          <w:bdr w:val="none" w:sz="0" w:space="0" w:color="auto" w:frame="1"/>
          <w:lang w:val="fr-FR"/>
        </w:rPr>
        <w:t xml:space="preserve">le Secrétariat </w:t>
      </w:r>
      <w:r w:rsidRPr="008C265B">
        <w:rPr>
          <w:rFonts w:eastAsia="Arial" w:cs="Arial"/>
          <w:u w:val="single"/>
          <w:bdr w:val="none" w:sz="0" w:space="0" w:color="auto" w:frame="1"/>
          <w:lang w:val="fr-FR"/>
        </w:rPr>
        <w:t>de poursuivre le</w:t>
      </w:r>
      <w:r w:rsidRPr="008C265B">
        <w:rPr>
          <w:rFonts w:eastAsia="Arial" w:cs="Arial"/>
          <w:bdr w:val="none" w:sz="0" w:space="0" w:color="auto" w:frame="1"/>
          <w:lang w:val="fr-FR"/>
        </w:rPr>
        <w:t xml:space="preserve"> </w:t>
      </w:r>
      <w:r w:rsidRPr="008C265B">
        <w:rPr>
          <w:rFonts w:eastAsia="Arial" w:cs="Arial"/>
          <w:strike/>
          <w:bdr w:val="none" w:sz="0" w:space="0" w:color="auto" w:frame="1"/>
          <w:lang w:val="fr-FR"/>
        </w:rPr>
        <w:t>d’être en</w:t>
      </w:r>
      <w:r w:rsidRPr="008C265B">
        <w:rPr>
          <w:rFonts w:eastAsia="Arial" w:cs="Arial"/>
          <w:bdr w:val="none" w:sz="0" w:space="0" w:color="auto" w:frame="1"/>
          <w:lang w:val="fr-FR"/>
        </w:rPr>
        <w:t xml:space="preserve"> contact avec la Convention de Berne et d’autres instances compétentes, afin de faciliter l’atténuation aux niveaux national et international du problème de l’abattage illégal des oiseaux conformément à la Résolution 11.16 </w:t>
      </w:r>
      <w:r w:rsidRPr="008C265B">
        <w:rPr>
          <w:rFonts w:eastAsia="Arial" w:cs="Arial"/>
          <w:u w:val="single"/>
          <w:bdr w:val="none" w:sz="0" w:space="0" w:color="auto" w:frame="1"/>
          <w:lang w:val="fr-FR"/>
        </w:rPr>
        <w:t>(</w:t>
      </w:r>
      <w:r w:rsidRPr="008C265B">
        <w:rPr>
          <w:rFonts w:eastAsia="Arial" w:cs="Arial"/>
          <w:bdr w:val="none" w:sz="0" w:space="0" w:color="auto" w:frame="1"/>
          <w:lang w:val="fr-FR"/>
        </w:rPr>
        <w:t>Rev.COP1</w:t>
      </w:r>
      <w:r w:rsidRPr="008C265B">
        <w:rPr>
          <w:rFonts w:eastAsia="Arial" w:cs="Arial"/>
          <w:u w:val="single"/>
          <w:bdr w:val="none" w:sz="0" w:space="0" w:color="auto" w:frame="1"/>
          <w:lang w:val="fr-FR"/>
        </w:rPr>
        <w:t>3</w:t>
      </w:r>
      <w:r w:rsidRPr="008C265B">
        <w:rPr>
          <w:rFonts w:eastAsia="Arial" w:cs="Arial"/>
          <w:strike/>
          <w:bdr w:val="none" w:sz="0" w:space="0" w:color="auto" w:frame="1"/>
          <w:lang w:val="fr-FR"/>
        </w:rPr>
        <w:t>2</w:t>
      </w:r>
      <w:r w:rsidRPr="008C265B">
        <w:rPr>
          <w:rFonts w:eastAsia="Arial" w:cs="Arial"/>
          <w:bdr w:val="none" w:sz="0" w:space="0" w:color="auto" w:frame="1"/>
          <w:lang w:val="fr-FR"/>
        </w:rPr>
        <w:t xml:space="preserve">) </w:t>
      </w:r>
      <w:r w:rsidRPr="008C265B">
        <w:rPr>
          <w:rFonts w:eastAsia="Arial" w:cs="Arial"/>
          <w:i/>
          <w:bdr w:val="none" w:sz="0" w:space="0" w:color="auto" w:frame="1"/>
          <w:lang w:val="fr-FR"/>
        </w:rPr>
        <w:t>Prévention de l’abattage, du prélèvement et du commerce illégaux des oiseaux migrateurs</w:t>
      </w:r>
      <w:r w:rsidRPr="008C265B">
        <w:rPr>
          <w:rStyle w:val="FootnoteReference"/>
          <w:rFonts w:eastAsia="Times New Roman" w:cs="Arial"/>
          <w:iCs/>
          <w:lang w:val="fr-FR"/>
        </w:rPr>
        <w:footnoteReference w:id="5"/>
      </w:r>
      <w:r w:rsidRPr="008C265B">
        <w:rPr>
          <w:rFonts w:eastAsia="Times New Roman" w:cs="Arial"/>
          <w:iCs/>
          <w:lang w:val="fr-FR"/>
        </w:rPr>
        <w:t>;</w:t>
      </w:r>
      <w:r w:rsidRPr="008C265B">
        <w:rPr>
          <w:rFonts w:eastAsia="Arial" w:cs="Arial"/>
          <w:i/>
          <w:bdr w:val="none" w:sz="0" w:space="0" w:color="auto" w:frame="1"/>
          <w:lang w:val="fr-FR"/>
        </w:rPr>
        <w:t> </w:t>
      </w:r>
    </w:p>
    <w:p w14:paraId="34A4E4EA" w14:textId="77777777" w:rsidR="008C265B" w:rsidRPr="008C265B" w:rsidRDefault="008C265B" w:rsidP="008C265B">
      <w:pPr>
        <w:widowControl w:val="0"/>
        <w:autoSpaceDE w:val="0"/>
        <w:adjustRightInd w:val="0"/>
        <w:spacing w:after="0" w:line="240" w:lineRule="auto"/>
        <w:ind w:left="567"/>
        <w:jc w:val="both"/>
        <w:rPr>
          <w:rFonts w:cs="Arial"/>
          <w:iCs/>
          <w:lang w:val="fr-FR"/>
        </w:rPr>
      </w:pPr>
    </w:p>
    <w:p w14:paraId="334073C7" w14:textId="3D8A713C" w:rsidR="000C76FC" w:rsidRPr="005D4D5A" w:rsidRDefault="008C265B" w:rsidP="008C265B">
      <w:pPr>
        <w:pStyle w:val="ListParagraph"/>
        <w:widowControl w:val="0"/>
        <w:numPr>
          <w:ilvl w:val="0"/>
          <w:numId w:val="28"/>
        </w:numPr>
        <w:autoSpaceDE w:val="0"/>
        <w:autoSpaceDN w:val="0"/>
        <w:adjustRightInd w:val="0"/>
        <w:spacing w:after="0" w:line="240" w:lineRule="auto"/>
        <w:ind w:left="567" w:hanging="567"/>
        <w:jc w:val="both"/>
        <w:rPr>
          <w:rFonts w:eastAsia="Times New Roman" w:cs="Arial"/>
          <w:i/>
          <w:iCs/>
          <w:lang w:val="fr-FR"/>
        </w:rPr>
      </w:pPr>
      <w:r w:rsidRPr="008C265B">
        <w:rPr>
          <w:rFonts w:eastAsia="Arial" w:cs="Arial"/>
          <w:i/>
          <w:iCs/>
          <w:bdr w:val="none" w:sz="0" w:space="0" w:color="auto" w:frame="1"/>
          <w:lang w:val="fr-FR"/>
        </w:rPr>
        <w:t xml:space="preserve">Prie instamment </w:t>
      </w:r>
      <w:r w:rsidRPr="008C265B">
        <w:rPr>
          <w:rFonts w:eastAsia="Arial" w:cs="Arial"/>
          <w:bdr w:val="none" w:sz="0" w:space="0" w:color="auto" w:frame="1"/>
          <w:lang w:val="fr-FR"/>
        </w:rPr>
        <w:t xml:space="preserve">les Parties et </w:t>
      </w:r>
      <w:r w:rsidRPr="008C265B">
        <w:rPr>
          <w:rFonts w:eastAsia="Arial" w:cs="Arial"/>
          <w:i/>
          <w:iCs/>
          <w:bdr w:val="none" w:sz="0" w:space="0" w:color="auto" w:frame="1"/>
          <w:lang w:val="fr-FR"/>
        </w:rPr>
        <w:t xml:space="preserve">invite </w:t>
      </w:r>
      <w:r w:rsidRPr="008C265B">
        <w:rPr>
          <w:rFonts w:eastAsia="Arial" w:cs="Arial"/>
          <w:bdr w:val="none" w:sz="0" w:space="0" w:color="auto" w:frame="1"/>
          <w:lang w:val="fr-FR"/>
        </w:rPr>
        <w:t>les non-Parties à mettre en œuvre les Lignes directrices pour prévenir l’empoisonnement des oiseaux migrateurs adoptées par la Résolution 11.15 ; (Rev.COP1</w:t>
      </w:r>
      <w:r w:rsidRPr="008C265B">
        <w:rPr>
          <w:rFonts w:eastAsia="Arial" w:cs="Arial"/>
          <w:u w:val="single"/>
          <w:bdr w:val="none" w:sz="0" w:space="0" w:color="auto" w:frame="1"/>
          <w:lang w:val="fr-FR"/>
        </w:rPr>
        <w:t>3</w:t>
      </w:r>
      <w:r w:rsidRPr="008C265B">
        <w:rPr>
          <w:rFonts w:eastAsia="Arial" w:cs="Arial"/>
          <w:strike/>
          <w:bdr w:val="none" w:sz="0" w:space="0" w:color="auto" w:frame="1"/>
          <w:lang w:val="fr-FR"/>
        </w:rPr>
        <w:t>2</w:t>
      </w:r>
      <w:r w:rsidRPr="008C265B">
        <w:rPr>
          <w:rFonts w:eastAsia="Arial" w:cs="Arial"/>
          <w:bdr w:val="none" w:sz="0" w:space="0" w:color="auto" w:frame="1"/>
          <w:lang w:val="fr-FR"/>
        </w:rPr>
        <w:t xml:space="preserve">) </w:t>
      </w:r>
      <w:r w:rsidRPr="008C265B">
        <w:rPr>
          <w:rFonts w:eastAsia="Arial" w:cs="Arial"/>
          <w:i/>
          <w:bdr w:val="none" w:sz="0" w:space="0" w:color="auto" w:frame="1"/>
          <w:lang w:val="fr-FR"/>
        </w:rPr>
        <w:t>Prévenir l’empoisonnement des oiseaux migrateurs</w:t>
      </w:r>
      <w:r w:rsidRPr="008C265B">
        <w:rPr>
          <w:rFonts w:eastAsia="Arial" w:cs="Arial"/>
          <w:bdr w:val="none" w:sz="0" w:space="0" w:color="auto" w:frame="1"/>
          <w:lang w:val="fr-FR"/>
        </w:rPr>
        <w:t xml:space="preserve"> en particulier celles ayant trait aux pesticides agricoles qui revêtent une importance particulière pour les oiseaux terrestres migrateurs en tant que cause majeure de mortalité ;</w:t>
      </w:r>
    </w:p>
    <w:p w14:paraId="02238A47" w14:textId="77777777" w:rsidR="005D4D5A" w:rsidRPr="008C265B" w:rsidRDefault="005D4D5A" w:rsidP="005D4D5A">
      <w:pPr>
        <w:pStyle w:val="ListParagraph"/>
        <w:widowControl w:val="0"/>
        <w:autoSpaceDE w:val="0"/>
        <w:autoSpaceDN w:val="0"/>
        <w:adjustRightInd w:val="0"/>
        <w:spacing w:after="0" w:line="240" w:lineRule="auto"/>
        <w:ind w:left="567"/>
        <w:jc w:val="both"/>
        <w:rPr>
          <w:rFonts w:eastAsia="Times New Roman" w:cs="Arial"/>
          <w:i/>
          <w:iCs/>
          <w:lang w:val="fr-FR"/>
        </w:rPr>
      </w:pPr>
    </w:p>
    <w:p w14:paraId="275DB0B6" w14:textId="2C6992B2" w:rsidR="00172691" w:rsidRDefault="008C265B" w:rsidP="009E3719">
      <w:pPr>
        <w:widowControl w:val="0"/>
        <w:numPr>
          <w:ilvl w:val="0"/>
          <w:numId w:val="28"/>
        </w:numPr>
        <w:autoSpaceDE w:val="0"/>
        <w:adjustRightInd w:val="0"/>
        <w:spacing w:after="0" w:line="240" w:lineRule="auto"/>
        <w:ind w:left="567" w:hanging="567"/>
        <w:jc w:val="both"/>
        <w:rPr>
          <w:rFonts w:cs="Arial"/>
          <w:iCs/>
          <w:lang w:val="fr-FR"/>
        </w:rPr>
      </w:pPr>
      <w:r w:rsidRPr="005D4D5A">
        <w:rPr>
          <w:rFonts w:eastAsia="Arial" w:cs="Arial"/>
          <w:i/>
          <w:iCs/>
          <w:bdr w:val="none" w:sz="0" w:space="0" w:color="auto" w:frame="1"/>
          <w:lang w:val="fr-FR"/>
        </w:rPr>
        <w:t xml:space="preserve">Prie </w:t>
      </w:r>
      <w:r w:rsidRPr="005D4D5A">
        <w:rPr>
          <w:rFonts w:eastAsia="Arial" w:cs="Arial"/>
          <w:bdr w:val="none" w:sz="0" w:space="0" w:color="auto" w:frame="1"/>
          <w:lang w:val="fr-FR"/>
        </w:rPr>
        <w:t xml:space="preserve">le Conseil scientifique </w:t>
      </w:r>
      <w:r w:rsidRPr="005D4D5A">
        <w:rPr>
          <w:rFonts w:eastAsia="Arial" w:cs="Arial"/>
          <w:strike/>
          <w:bdr w:val="none" w:sz="0" w:space="0" w:color="auto" w:frame="1"/>
          <w:lang w:val="fr-FR"/>
        </w:rPr>
        <w:t>et</w:t>
      </w:r>
      <w:r w:rsidRPr="005D4D5A">
        <w:rPr>
          <w:rFonts w:eastAsia="Arial" w:cs="Arial"/>
          <w:bdr w:val="none" w:sz="0" w:space="0" w:color="auto" w:frame="1"/>
          <w:lang w:val="fr-FR"/>
        </w:rPr>
        <w:t xml:space="preserve"> </w:t>
      </w:r>
      <w:r w:rsidRPr="005D4D5A">
        <w:rPr>
          <w:rFonts w:eastAsia="Arial" w:cs="Arial"/>
          <w:u w:val="single"/>
          <w:bdr w:val="none" w:sz="0" w:space="0" w:color="auto" w:frame="1"/>
          <w:lang w:val="fr-FR"/>
        </w:rPr>
        <w:t>de travailler avec</w:t>
      </w:r>
      <w:r w:rsidRPr="005D4D5A">
        <w:rPr>
          <w:rFonts w:eastAsia="Arial" w:cs="Arial"/>
          <w:bdr w:val="none" w:sz="0" w:space="0" w:color="auto" w:frame="1"/>
          <w:lang w:val="fr-FR"/>
        </w:rPr>
        <w:t xml:space="preserve"> le Groupe de travail, en liaison avec le Groupe d’étude des oiseaux terrestres migrateurs (MSLG), </w:t>
      </w:r>
      <w:r w:rsidRPr="005D4D5A">
        <w:rPr>
          <w:rFonts w:eastAsia="Times New Roman" w:cs="Arial"/>
          <w:iCs/>
          <w:u w:val="single"/>
          <w:lang w:val="fr-FR"/>
        </w:rPr>
        <w:t>les institutions universitaires pertinentes et les bailleurs de fonds pour la recherche</w:t>
      </w:r>
      <w:r w:rsidR="005D4D5A" w:rsidRPr="005D4D5A">
        <w:rPr>
          <w:rFonts w:eastAsia="Arial" w:cs="Arial"/>
          <w:u w:val="single"/>
          <w:bdr w:val="none" w:sz="0" w:space="0" w:color="auto" w:frame="1"/>
          <w:lang w:val="fr-FR"/>
        </w:rPr>
        <w:t xml:space="preserve">, </w:t>
      </w:r>
      <w:r w:rsidR="005D4D5A" w:rsidRPr="005D4D5A">
        <w:rPr>
          <w:rFonts w:eastAsia="Times New Roman" w:cs="Arial"/>
          <w:iCs/>
          <w:u w:val="single"/>
          <w:lang w:val="fr-FR"/>
        </w:rPr>
        <w:t>sous réserve de la disponibilité des ressources,</w:t>
      </w:r>
      <w:r w:rsidR="005D4D5A" w:rsidRPr="005D4D5A">
        <w:rPr>
          <w:rFonts w:eastAsia="Arial" w:cs="Arial"/>
          <w:bdr w:val="none" w:sz="0" w:space="0" w:color="auto" w:frame="1"/>
          <w:lang w:val="fr-FR"/>
        </w:rPr>
        <w:t xml:space="preserve"> </w:t>
      </w:r>
      <w:r w:rsidRPr="005D4D5A">
        <w:rPr>
          <w:rFonts w:eastAsia="Arial" w:cs="Arial"/>
          <w:strike/>
          <w:bdr w:val="none" w:sz="0" w:space="0" w:color="auto" w:frame="1"/>
          <w:lang w:val="fr-FR"/>
        </w:rPr>
        <w:t>de promouvoir des travaux visant à combler les principales lacunes dans les connaissances et à orienter les futures recherches, notamment</w:t>
      </w:r>
      <w:r w:rsidRPr="005D4D5A">
        <w:rPr>
          <w:rFonts w:eastAsia="Arial" w:cs="Arial"/>
          <w:bdr w:val="none" w:sz="0" w:space="0" w:color="auto" w:frame="1"/>
          <w:lang w:val="fr-FR"/>
        </w:rPr>
        <w:t xml:space="preserve"> à travers l’analyse des bases de données à long terme et à grande échelle, </w:t>
      </w:r>
      <w:r w:rsidR="005D4D5A" w:rsidRPr="005D4D5A">
        <w:rPr>
          <w:rFonts w:eastAsia="Times New Roman" w:cs="Arial"/>
          <w:iCs/>
          <w:u w:val="single"/>
          <w:lang w:val="fr-FR"/>
        </w:rPr>
        <w:t xml:space="preserve">tels que </w:t>
      </w:r>
      <w:r w:rsidR="009E3719">
        <w:rPr>
          <w:rFonts w:eastAsia="Times New Roman" w:cs="Arial"/>
          <w:iCs/>
          <w:u w:val="single"/>
          <w:lang w:val="fr-FR"/>
        </w:rPr>
        <w:t>d</w:t>
      </w:r>
      <w:r w:rsidR="005D4D5A" w:rsidRPr="005D4D5A">
        <w:rPr>
          <w:rFonts w:eastAsia="Times New Roman" w:cs="Arial"/>
          <w:iCs/>
          <w:u w:val="single"/>
          <w:lang w:val="fr-FR"/>
        </w:rPr>
        <w:t>es atlas, y compris, mais sans s'y limiter</w:t>
      </w:r>
      <w:r w:rsidR="005D4D5A" w:rsidRPr="005D4D5A">
        <w:rPr>
          <w:rFonts w:eastAsia="Arial" w:cs="Arial"/>
          <w:bdr w:val="none" w:sz="0" w:space="0" w:color="auto" w:frame="1"/>
          <w:lang w:val="fr-FR"/>
        </w:rPr>
        <w:t xml:space="preserve"> </w:t>
      </w:r>
      <w:r w:rsidRPr="005D4D5A">
        <w:rPr>
          <w:rFonts w:eastAsia="Arial" w:cs="Arial"/>
          <w:bdr w:val="none" w:sz="0" w:space="0" w:color="auto" w:frame="1"/>
          <w:lang w:val="fr-FR"/>
        </w:rPr>
        <w:t xml:space="preserve">l’atlas européen des migrations d’oiseaux, </w:t>
      </w:r>
      <w:r w:rsidR="005D4D5A" w:rsidRPr="005D4D5A">
        <w:rPr>
          <w:rFonts w:eastAsia="Times New Roman" w:cs="Arial"/>
          <w:iCs/>
          <w:u w:val="single"/>
          <w:lang w:val="fr-FR"/>
        </w:rPr>
        <w:t>le Projet d'atlas des oiseaux d'Afrique (ABAP) et l'Atlas eurasien de la migration des oiseaux d'Afrique</w:t>
      </w:r>
      <w:r w:rsidR="005D4D5A" w:rsidRPr="005D4D5A">
        <w:rPr>
          <w:rFonts w:eastAsia="Arial" w:cs="Arial"/>
          <w:u w:val="single"/>
          <w:bdr w:val="none" w:sz="0" w:space="0" w:color="auto" w:frame="1"/>
          <w:lang w:val="fr-FR"/>
        </w:rPr>
        <w:t xml:space="preserve"> et sur</w:t>
      </w:r>
      <w:r w:rsidR="005D4D5A" w:rsidRPr="005D4D5A">
        <w:rPr>
          <w:rFonts w:eastAsia="Arial" w:cs="Arial"/>
          <w:bdr w:val="none" w:sz="0" w:space="0" w:color="auto" w:frame="1"/>
          <w:lang w:val="fr-FR"/>
        </w:rPr>
        <w:t xml:space="preserve"> </w:t>
      </w:r>
      <w:r w:rsidRPr="005D4D5A">
        <w:rPr>
          <w:rFonts w:eastAsia="Arial" w:cs="Arial"/>
          <w:bdr w:val="none" w:sz="0" w:space="0" w:color="auto" w:frame="1"/>
          <w:lang w:val="fr-FR"/>
        </w:rPr>
        <w:t>l’utilisation de technologies de repérage nouvelles et émergentes, les études de terrain sur les oiseaux migrateurs en Afrique</w:t>
      </w:r>
      <w:r w:rsidR="005D4D5A" w:rsidRPr="005D4D5A">
        <w:rPr>
          <w:rFonts w:eastAsia="Arial" w:cs="Arial"/>
          <w:bdr w:val="none" w:sz="0" w:space="0" w:color="auto" w:frame="1"/>
          <w:lang w:val="fr-FR"/>
        </w:rPr>
        <w:t xml:space="preserve"> </w:t>
      </w:r>
      <w:r w:rsidR="005D4D5A" w:rsidRPr="005D4D5A">
        <w:rPr>
          <w:rFonts w:eastAsia="Arial" w:cs="Arial"/>
          <w:u w:val="single"/>
          <w:bdr w:val="none" w:sz="0" w:space="0" w:color="auto" w:frame="1"/>
          <w:lang w:val="fr-FR"/>
        </w:rPr>
        <w:t>et en Asie</w:t>
      </w:r>
      <w:r w:rsidRPr="005D4D5A">
        <w:rPr>
          <w:rFonts w:eastAsia="Arial" w:cs="Arial"/>
          <w:bdr w:val="none" w:sz="0" w:space="0" w:color="auto" w:frame="1"/>
          <w:lang w:val="fr-FR"/>
        </w:rPr>
        <w:t>, l’utilisation de données démographiques et d’études dans les zones de reproduction en Eurasie et l’utilisation de données d’observation par télédétection des  changements dans la couverture terrestre en Afrique</w:t>
      </w:r>
      <w:r w:rsidR="005D4D5A" w:rsidRPr="005D4D5A">
        <w:rPr>
          <w:rFonts w:eastAsia="Arial" w:cs="Arial"/>
          <w:bdr w:val="none" w:sz="0" w:space="0" w:color="auto" w:frame="1"/>
          <w:lang w:val="fr-FR"/>
        </w:rPr>
        <w:t xml:space="preserve"> et en Asie</w:t>
      </w:r>
      <w:r w:rsidR="005D4D5A" w:rsidRPr="005D4D5A">
        <w:rPr>
          <w:rFonts w:eastAsia="Times New Roman" w:cs="Arial"/>
          <w:iCs/>
          <w:u w:val="single"/>
          <w:lang w:val="fr-FR"/>
        </w:rPr>
        <w:t xml:space="preserve"> afin de promouvoir activement la recherche qui comble les principales lacunes dans les connaissances relatives à la conservation des oiseaux terrestres migrateurs dans les paysages de l'Afrique eurasienne, entre autres, afin de :</w:t>
      </w:r>
      <w:r w:rsidRPr="005D4D5A">
        <w:rPr>
          <w:rFonts w:eastAsia="Arial" w:cs="Arial"/>
          <w:bdr w:val="none" w:sz="0" w:space="0" w:color="auto" w:frame="1"/>
          <w:lang w:val="fr-FR"/>
        </w:rPr>
        <w:t> ;</w:t>
      </w:r>
    </w:p>
    <w:p w14:paraId="132780E2" w14:textId="77777777" w:rsidR="009E3719" w:rsidRPr="009E3719" w:rsidRDefault="009E3719" w:rsidP="009E3719">
      <w:pPr>
        <w:widowControl w:val="0"/>
        <w:autoSpaceDE w:val="0"/>
        <w:adjustRightInd w:val="0"/>
        <w:spacing w:after="0" w:line="240" w:lineRule="auto"/>
        <w:ind w:left="567"/>
        <w:jc w:val="both"/>
        <w:rPr>
          <w:rFonts w:cs="Arial"/>
          <w:iCs/>
          <w:lang w:val="fr-FR"/>
        </w:rPr>
      </w:pPr>
    </w:p>
    <w:p w14:paraId="77E66843" w14:textId="77777777" w:rsidR="00172691" w:rsidRPr="009E3719" w:rsidRDefault="00172691" w:rsidP="009E3719">
      <w:pPr>
        <w:pStyle w:val="ListParagraph"/>
        <w:numPr>
          <w:ilvl w:val="0"/>
          <w:numId w:val="31"/>
        </w:numPr>
        <w:spacing w:after="80" w:line="240" w:lineRule="auto"/>
        <w:ind w:left="1134" w:hanging="567"/>
        <w:contextualSpacing w:val="0"/>
        <w:jc w:val="both"/>
        <w:rPr>
          <w:rFonts w:eastAsia="Times New Roman" w:cs="Arial"/>
          <w:color w:val="000000"/>
          <w:u w:val="single"/>
          <w:lang w:val="fr-FR"/>
        </w:rPr>
      </w:pPr>
      <w:r w:rsidRPr="009E3719">
        <w:rPr>
          <w:rFonts w:eastAsia="Times New Roman" w:cs="Arial"/>
          <w:color w:val="000000"/>
          <w:u w:val="single"/>
          <w:lang w:val="fr-FR"/>
        </w:rPr>
        <w:t>identifier les voies et stratégies migratoires (y compris l'analyse multi-espèces) à l'aide de technologies de suivi afin de mieux comprendre les schémas de déplacement, les zones géographiques particulièrement importantes pour plusieurs espèces d'oiseaux terrestres et la connectivité migratoire, permettant ainsi de cibler plus efficacement la recherche sur le terrain, la surveillance et les actions de conservation ;</w:t>
      </w:r>
    </w:p>
    <w:p w14:paraId="5D3AD9E2" w14:textId="77777777" w:rsidR="00172691" w:rsidRPr="009E3719" w:rsidRDefault="00172691" w:rsidP="009E3719">
      <w:pPr>
        <w:pStyle w:val="ListParagraph"/>
        <w:numPr>
          <w:ilvl w:val="0"/>
          <w:numId w:val="31"/>
        </w:numPr>
        <w:spacing w:after="80" w:line="240" w:lineRule="auto"/>
        <w:ind w:left="1134" w:hanging="567"/>
        <w:contextualSpacing w:val="0"/>
        <w:jc w:val="both"/>
        <w:rPr>
          <w:rFonts w:eastAsia="Times New Roman" w:cs="Arial"/>
          <w:color w:val="000000"/>
          <w:u w:val="single"/>
          <w:lang w:val="fr-FR"/>
        </w:rPr>
      </w:pPr>
      <w:r w:rsidRPr="009E3719">
        <w:rPr>
          <w:rFonts w:eastAsia="Times New Roman" w:cs="Arial"/>
          <w:color w:val="000000"/>
          <w:u w:val="single"/>
          <w:lang w:val="fr-FR"/>
        </w:rPr>
        <w:t xml:space="preserve">entreprendre des études de terrain détaillées en Afrique subsaharienne et des étapes migratoires, en conjonction avec les données existantes le cas échéant, afin de mieux comprendre les schémas de distribution des espèces, l'utilisation de l'habitat et l'écologie de la recherche de nourriture, et en particulier d'identifier et d'améliorer la conservation des étapes migratoires situés immédiatement au nord </w:t>
      </w:r>
      <w:r w:rsidRPr="009E3719">
        <w:rPr>
          <w:rFonts w:eastAsia="Times New Roman" w:cs="Arial"/>
          <w:color w:val="000000"/>
          <w:u w:val="single"/>
          <w:lang w:val="fr-FR"/>
        </w:rPr>
        <w:lastRenderedPageBreak/>
        <w:t>et au sud du Sahara (y compris par la collecte de données et la recherche de liens avec les parties prenantes concernées) ;</w:t>
      </w:r>
    </w:p>
    <w:p w14:paraId="35C5A392" w14:textId="4E60F5E5" w:rsidR="00172691" w:rsidRPr="009E3719" w:rsidRDefault="00172691" w:rsidP="009E3719">
      <w:pPr>
        <w:pStyle w:val="ListParagraph"/>
        <w:numPr>
          <w:ilvl w:val="0"/>
          <w:numId w:val="31"/>
        </w:numPr>
        <w:spacing w:after="80" w:line="240" w:lineRule="auto"/>
        <w:ind w:left="1134" w:hanging="567"/>
        <w:contextualSpacing w:val="0"/>
        <w:jc w:val="both"/>
        <w:rPr>
          <w:rFonts w:eastAsia="Times New Roman" w:cs="Arial"/>
          <w:color w:val="000000"/>
          <w:u w:val="single"/>
          <w:lang w:val="fr-FR"/>
        </w:rPr>
      </w:pPr>
      <w:r w:rsidRPr="009E3719">
        <w:rPr>
          <w:rFonts w:eastAsia="Times New Roman" w:cs="Arial"/>
          <w:color w:val="000000"/>
          <w:u w:val="single"/>
          <w:lang w:val="fr-FR"/>
        </w:rPr>
        <w:t>synthétiser les données des aires de reproduction eurasiennes afin d'explorer les schémas spatiaux et temporels des paramètres démographiques en relation avec les voies migratoires et les schémas à grande échelle des changements environnementaux ;</w:t>
      </w:r>
    </w:p>
    <w:p w14:paraId="7A20E42A" w14:textId="182EEEC0" w:rsidR="00172691" w:rsidRPr="009E3719" w:rsidRDefault="00172691" w:rsidP="009E3719">
      <w:pPr>
        <w:pStyle w:val="ListParagraph"/>
        <w:numPr>
          <w:ilvl w:val="0"/>
          <w:numId w:val="31"/>
        </w:numPr>
        <w:spacing w:after="80" w:line="240" w:lineRule="auto"/>
        <w:ind w:left="1134" w:hanging="567"/>
        <w:contextualSpacing w:val="0"/>
        <w:jc w:val="both"/>
        <w:rPr>
          <w:rFonts w:eastAsia="Times New Roman" w:cs="Arial"/>
          <w:color w:val="000000"/>
          <w:u w:val="single"/>
          <w:lang w:val="fr-FR"/>
        </w:rPr>
      </w:pPr>
      <w:r w:rsidRPr="009E3719">
        <w:rPr>
          <w:rFonts w:eastAsia="Times New Roman" w:cs="Arial"/>
          <w:color w:val="000000"/>
          <w:u w:val="single"/>
          <w:lang w:val="fr-FR"/>
        </w:rPr>
        <w:t>utiliser les données d'observation de la Terre des images satellitaires et, si possible, en conjonction avec la surveillance des habitats et des oiseaux au sol (y compris par le biais de synergies avec les programmes communs de surveillance des oiseaux et l'expansion de ces derniers) afin d'améliorer la compréhension de l'évolution de la couverture terrestre et de son impact sur les oiseaux migrateurs d'Afrique-Eurasie, et de rechercher les facteurs de changement de l'utilisation des terres et de la couverture terrestre ;</w:t>
      </w:r>
    </w:p>
    <w:p w14:paraId="5ADE0E13" w14:textId="1CD9B816" w:rsidR="00172691" w:rsidRPr="009E3719" w:rsidRDefault="00172691" w:rsidP="009E3719">
      <w:pPr>
        <w:pStyle w:val="ListParagraph"/>
        <w:numPr>
          <w:ilvl w:val="0"/>
          <w:numId w:val="31"/>
        </w:numPr>
        <w:spacing w:after="80" w:line="240" w:lineRule="auto"/>
        <w:ind w:left="1134" w:hanging="567"/>
        <w:contextualSpacing w:val="0"/>
        <w:jc w:val="both"/>
        <w:rPr>
          <w:rFonts w:eastAsia="Times New Roman" w:cs="Arial"/>
          <w:color w:val="000000"/>
          <w:u w:val="single"/>
          <w:lang w:val="fr-FR"/>
        </w:rPr>
      </w:pPr>
      <w:r w:rsidRPr="009E3719">
        <w:rPr>
          <w:rFonts w:eastAsia="Times New Roman" w:cs="Arial"/>
          <w:color w:val="000000"/>
          <w:u w:val="single"/>
          <w:lang w:val="fr-FR"/>
        </w:rPr>
        <w:t>chercher à mieux comprendre comment influencer les facteurs économiques et sociaux à l'origine des changements d'utilisation et de couverture des sols à différentes échelles ; et</w:t>
      </w:r>
    </w:p>
    <w:p w14:paraId="349DDE16" w14:textId="50342F09" w:rsidR="00172691" w:rsidRPr="009E3719" w:rsidRDefault="00172691" w:rsidP="009E3719">
      <w:pPr>
        <w:widowControl w:val="0"/>
        <w:numPr>
          <w:ilvl w:val="0"/>
          <w:numId w:val="31"/>
        </w:numPr>
        <w:suppressAutoHyphens/>
        <w:autoSpaceDE w:val="0"/>
        <w:autoSpaceDN w:val="0"/>
        <w:adjustRightInd w:val="0"/>
        <w:spacing w:after="0" w:line="240" w:lineRule="auto"/>
        <w:ind w:left="1134" w:hanging="567"/>
        <w:contextualSpacing/>
        <w:jc w:val="both"/>
        <w:textAlignment w:val="baseline"/>
        <w:rPr>
          <w:rFonts w:eastAsia="Times New Roman" w:cs="Arial"/>
          <w:iCs/>
          <w:u w:val="single"/>
          <w:lang w:val="fr-FR"/>
        </w:rPr>
      </w:pPr>
      <w:r w:rsidRPr="009E3719">
        <w:rPr>
          <w:rFonts w:eastAsia="Times New Roman" w:cs="Arial"/>
          <w:color w:val="000000"/>
          <w:u w:val="single"/>
          <w:lang w:val="fr-FR"/>
        </w:rPr>
        <w:t>encourager les recherches visant à déterminer les populations d'oiseaux terrestres migrateurs eurasiens dont le déclin ne peut s'expliquer par les conditions régnant dans les aires de reproduction.</w:t>
      </w:r>
    </w:p>
    <w:p w14:paraId="6A4902D0" w14:textId="77777777" w:rsidR="000C76FC" w:rsidRPr="00F0233B" w:rsidRDefault="000C76FC" w:rsidP="009E3719">
      <w:pPr>
        <w:widowControl w:val="0"/>
        <w:autoSpaceDE w:val="0"/>
        <w:autoSpaceDN w:val="0"/>
        <w:adjustRightInd w:val="0"/>
        <w:spacing w:after="0" w:line="240" w:lineRule="auto"/>
        <w:ind w:left="1134" w:hanging="567"/>
        <w:contextualSpacing/>
        <w:rPr>
          <w:rFonts w:eastAsia="Times New Roman" w:cs="Arial"/>
          <w:i/>
          <w:iCs/>
          <w:highlight w:val="yellow"/>
          <w:lang w:val="fr-FR"/>
        </w:rPr>
      </w:pPr>
    </w:p>
    <w:p w14:paraId="69AC6307" w14:textId="77777777" w:rsidR="009E3719" w:rsidRPr="00F13FFA" w:rsidRDefault="009E3719" w:rsidP="009E3719">
      <w:pPr>
        <w:widowControl w:val="0"/>
        <w:numPr>
          <w:ilvl w:val="0"/>
          <w:numId w:val="28"/>
        </w:numPr>
        <w:autoSpaceDE w:val="0"/>
        <w:adjustRightInd w:val="0"/>
        <w:spacing w:after="0" w:line="240" w:lineRule="auto"/>
        <w:ind w:left="567" w:hanging="567"/>
        <w:jc w:val="both"/>
        <w:rPr>
          <w:rFonts w:cs="Arial"/>
          <w:iCs/>
          <w:lang w:val="fr-FR"/>
        </w:rPr>
      </w:pPr>
      <w:r w:rsidRPr="00F13FFA">
        <w:rPr>
          <w:rFonts w:eastAsia="Arial" w:cs="Arial"/>
          <w:i/>
          <w:iCs/>
          <w:bdr w:val="none" w:sz="0" w:space="0" w:color="auto" w:frame="1"/>
          <w:lang w:val="fr-FR"/>
        </w:rPr>
        <w:t xml:space="preserve">Prie en outre </w:t>
      </w:r>
      <w:r w:rsidRPr="00F13FFA">
        <w:rPr>
          <w:rFonts w:eastAsia="Arial" w:cs="Arial"/>
          <w:bdr w:val="none" w:sz="0" w:space="0" w:color="auto" w:frame="1"/>
          <w:lang w:val="fr-FR"/>
        </w:rPr>
        <w:t xml:space="preserve">le Conseil scientifique et le Groupe de travail, en liaison </w:t>
      </w:r>
      <w:r w:rsidRPr="00EA4AF6">
        <w:rPr>
          <w:rFonts w:eastAsia="Arial" w:cs="Arial"/>
          <w:bdr w:val="none" w:sz="0" w:space="0" w:color="auto" w:frame="1"/>
          <w:lang w:val="fr-FR"/>
        </w:rPr>
        <w:t>avec le</w:t>
      </w:r>
      <w:r w:rsidRPr="00F13FFA">
        <w:rPr>
          <w:rFonts w:eastAsia="Arial" w:cs="Arial"/>
          <w:bdr w:val="none" w:sz="0" w:space="0" w:color="auto" w:frame="1"/>
          <w:lang w:val="fr-FR"/>
        </w:rPr>
        <w:t xml:space="preserve"> </w:t>
      </w:r>
      <w:r w:rsidRPr="00EA4AF6">
        <w:rPr>
          <w:rFonts w:eastAsia="Arial" w:cs="Arial"/>
          <w:bdr w:val="none" w:sz="0" w:space="0" w:color="auto" w:frame="1"/>
          <w:lang w:val="fr-FR"/>
        </w:rPr>
        <w:t>FLAP</w:t>
      </w:r>
      <w:r w:rsidRPr="00F13FFA">
        <w:rPr>
          <w:rFonts w:eastAsia="Arial" w:cs="Arial"/>
          <w:bdr w:val="none" w:sz="0" w:space="0" w:color="auto" w:frame="1"/>
          <w:lang w:val="fr-FR"/>
        </w:rPr>
        <w:t>, de promouvoir et encourager le renforcement de la sensibilisation du grand public et des parties prenantes, et du soutien à la conservation des oiseaux terrestres migrateurs le long de la voie de migration, notamment en ce qui concerne la façon dont les oiseaux partagent leur cycle annuel entre les pays et agissent en tant qu’indicateurs de la santé globale de l’environnement, des hommes et de l’ensemble de la biodiversité</w:t>
      </w:r>
      <w:r>
        <w:rPr>
          <w:rFonts w:eastAsia="Arial" w:cs="Arial"/>
          <w:bdr w:val="none" w:sz="0" w:space="0" w:color="auto" w:frame="1"/>
          <w:lang w:val="fr-FR"/>
        </w:rPr>
        <w:t> ;</w:t>
      </w:r>
    </w:p>
    <w:p w14:paraId="5CA16D33" w14:textId="77777777" w:rsidR="000C76FC" w:rsidRPr="00F0233B" w:rsidRDefault="000C76FC" w:rsidP="008C265B">
      <w:pPr>
        <w:widowControl w:val="0"/>
        <w:autoSpaceDE w:val="0"/>
        <w:autoSpaceDN w:val="0"/>
        <w:adjustRightInd w:val="0"/>
        <w:spacing w:after="0" w:line="240" w:lineRule="auto"/>
        <w:ind w:left="567" w:hanging="567"/>
        <w:contextualSpacing/>
        <w:rPr>
          <w:rFonts w:eastAsia="Times New Roman" w:cs="Arial"/>
          <w:i/>
          <w:iCs/>
          <w:highlight w:val="yellow"/>
          <w:lang w:val="fr-FR"/>
        </w:rPr>
      </w:pPr>
    </w:p>
    <w:p w14:paraId="1B9B091F" w14:textId="77777777" w:rsidR="009E3719" w:rsidRPr="0021048B" w:rsidRDefault="009E3719" w:rsidP="009E3719">
      <w:pPr>
        <w:widowControl w:val="0"/>
        <w:numPr>
          <w:ilvl w:val="0"/>
          <w:numId w:val="28"/>
        </w:numPr>
        <w:autoSpaceDE w:val="0"/>
        <w:adjustRightInd w:val="0"/>
        <w:spacing w:after="0" w:line="240" w:lineRule="auto"/>
        <w:ind w:left="567" w:hanging="567"/>
        <w:jc w:val="both"/>
        <w:rPr>
          <w:rFonts w:cs="Arial"/>
          <w:iCs/>
          <w:lang w:val="fr-FR"/>
        </w:rPr>
      </w:pPr>
      <w:r w:rsidRPr="00F13FFA">
        <w:rPr>
          <w:rFonts w:eastAsia="Arial" w:cs="Arial"/>
          <w:i/>
          <w:iCs/>
          <w:bdr w:val="none" w:sz="0" w:space="0" w:color="auto" w:frame="1"/>
          <w:lang w:val="fr-FR"/>
        </w:rPr>
        <w:t xml:space="preserve">Demande </w:t>
      </w:r>
      <w:r w:rsidRPr="00F13FFA">
        <w:rPr>
          <w:rFonts w:eastAsia="Arial" w:cs="Arial"/>
          <w:bdr w:val="none" w:sz="0" w:space="0" w:color="auto" w:frame="1"/>
          <w:lang w:val="fr-FR"/>
        </w:rPr>
        <w:t>au Secrétariat, en collaboration avec les Parties et les organisations internationales compétentes, sous réserve de la disponibilité des fonds, d’organiser des ateliers régionaux pour traiter des questions spécifiques et promouvoir la mise en œuvre du Plan d’action et partager les meilleures pratiques et les leçons issues de la conservation efficace des oiseaux terrestres migrateurs</w:t>
      </w:r>
      <w:r>
        <w:rPr>
          <w:rFonts w:eastAsia="Arial" w:cs="Arial"/>
          <w:bdr w:val="none" w:sz="0" w:space="0" w:color="auto" w:frame="1"/>
          <w:lang w:val="fr-FR"/>
        </w:rPr>
        <w:t> ;</w:t>
      </w:r>
    </w:p>
    <w:p w14:paraId="3752E481" w14:textId="77777777" w:rsidR="000C76FC" w:rsidRPr="00F0233B" w:rsidRDefault="000C76FC" w:rsidP="008C265B">
      <w:pPr>
        <w:widowControl w:val="0"/>
        <w:autoSpaceDE w:val="0"/>
        <w:autoSpaceDN w:val="0"/>
        <w:adjustRightInd w:val="0"/>
        <w:spacing w:after="0" w:line="240" w:lineRule="auto"/>
        <w:ind w:left="567" w:hanging="567"/>
        <w:contextualSpacing/>
        <w:rPr>
          <w:rFonts w:eastAsia="Times New Roman" w:cs="Arial"/>
          <w:i/>
          <w:iCs/>
          <w:highlight w:val="yellow"/>
          <w:lang w:val="fr-FR"/>
        </w:rPr>
      </w:pPr>
    </w:p>
    <w:p w14:paraId="6E3E0DEC" w14:textId="77777777" w:rsidR="009E3719" w:rsidRPr="00F13FFA" w:rsidRDefault="009E3719" w:rsidP="009E3719">
      <w:pPr>
        <w:widowControl w:val="0"/>
        <w:numPr>
          <w:ilvl w:val="0"/>
          <w:numId w:val="28"/>
        </w:numPr>
        <w:autoSpaceDE w:val="0"/>
        <w:adjustRightInd w:val="0"/>
        <w:spacing w:after="0" w:line="240" w:lineRule="auto"/>
        <w:ind w:left="567" w:hanging="567"/>
        <w:jc w:val="both"/>
        <w:rPr>
          <w:rFonts w:cs="Arial"/>
          <w:iCs/>
          <w:lang w:val="fr-FR"/>
        </w:rPr>
      </w:pPr>
      <w:r w:rsidRPr="00F13FFA">
        <w:rPr>
          <w:rFonts w:eastAsia="Arial" w:cs="Arial"/>
          <w:i/>
          <w:iCs/>
          <w:bdr w:val="none" w:sz="0" w:space="0" w:color="auto" w:frame="1"/>
          <w:lang w:val="fr-FR"/>
        </w:rPr>
        <w:t xml:space="preserve">Appelle </w:t>
      </w:r>
      <w:r w:rsidRPr="00F13FFA">
        <w:rPr>
          <w:rFonts w:eastAsia="Arial" w:cs="Arial"/>
          <w:bdr w:val="none" w:sz="0" w:space="0" w:color="auto" w:frame="1"/>
          <w:lang w:val="fr-FR"/>
        </w:rPr>
        <w:t xml:space="preserve">les Parties et </w:t>
      </w:r>
      <w:r w:rsidRPr="00F13FFA">
        <w:rPr>
          <w:rFonts w:eastAsia="Arial" w:cs="Arial"/>
          <w:i/>
          <w:iCs/>
          <w:bdr w:val="none" w:sz="0" w:space="0" w:color="auto" w:frame="1"/>
          <w:lang w:val="fr-FR"/>
        </w:rPr>
        <w:t xml:space="preserve">invite </w:t>
      </w:r>
      <w:r w:rsidRPr="00F13FFA">
        <w:rPr>
          <w:rFonts w:eastAsia="Arial" w:cs="Arial"/>
          <w:bdr w:val="none" w:sz="0" w:space="0" w:color="auto" w:frame="1"/>
          <w:lang w:val="fr-FR"/>
        </w:rPr>
        <w:t xml:space="preserve">les non-Parties et les parties prenantes, avec l’appui du Secrétariat, à renforcer les capacités nationales et locales de mise en œuvre du Plan d’action, notamment par le développement de partenariats avec </w:t>
      </w:r>
      <w:r w:rsidRPr="00F13FFA">
        <w:rPr>
          <w:rFonts w:cs="Arial"/>
          <w:iCs/>
          <w:lang w:val="fr-FR"/>
        </w:rPr>
        <w:t xml:space="preserve">les </w:t>
      </w:r>
      <w:r w:rsidRPr="00EA4AF6">
        <w:rPr>
          <w:rFonts w:cs="Arial"/>
          <w:iCs/>
          <w:lang w:val="fr-FR"/>
        </w:rPr>
        <w:t>groupes concernés par</w:t>
      </w:r>
      <w:r w:rsidRPr="00F13FFA">
        <w:rPr>
          <w:rFonts w:eastAsia="Arial" w:cs="Arial"/>
          <w:bdr w:val="none" w:sz="0" w:space="0" w:color="auto" w:frame="1"/>
          <w:lang w:val="fr-FR"/>
        </w:rPr>
        <w:t xml:space="preserve"> </w:t>
      </w:r>
      <w:r>
        <w:rPr>
          <w:rFonts w:eastAsia="Arial" w:cs="Arial"/>
          <w:bdr w:val="none" w:sz="0" w:space="0" w:color="auto" w:frame="1"/>
          <w:lang w:val="fr-FR"/>
        </w:rPr>
        <w:t xml:space="preserve">la </w:t>
      </w:r>
      <w:r w:rsidRPr="00F13FFA">
        <w:rPr>
          <w:rFonts w:eastAsia="Arial" w:cs="Arial"/>
          <w:bdr w:val="none" w:sz="0" w:space="0" w:color="auto" w:frame="1"/>
          <w:lang w:val="fr-FR"/>
        </w:rPr>
        <w:t xml:space="preserve">réduction de la pauvreté, </w:t>
      </w:r>
      <w:r w:rsidRPr="00BD03AC">
        <w:rPr>
          <w:rFonts w:cs="Arial"/>
          <w:iCs/>
          <w:lang w:val="fr-FR"/>
        </w:rPr>
        <w:t>la neutralité en termes de dégradation des sols et les solutions basées sur la nature pour les changements climatiques</w:t>
      </w:r>
      <w:r w:rsidRPr="00F13FFA">
        <w:rPr>
          <w:rFonts w:cs="Arial"/>
          <w:iCs/>
          <w:lang w:val="fr-FR"/>
        </w:rPr>
        <w:t xml:space="preserve"> et </w:t>
      </w:r>
      <w:r w:rsidRPr="00F13FFA">
        <w:rPr>
          <w:rFonts w:eastAsia="Arial" w:cs="Arial"/>
          <w:bdr w:val="none" w:sz="0" w:space="0" w:color="auto" w:frame="1"/>
          <w:lang w:val="fr-FR"/>
        </w:rPr>
        <w:t>par l’élaboration de cours de formation, la traduction et la diffusion d’exemples de bonnes pratiques, le partage des protocoles et règlements, le transfert de technologies, et par la promotion de l’utilisation d’outils en ligne pour traiter des questions spécifiques pertinentes pour le Plan d’action</w:t>
      </w:r>
      <w:r>
        <w:rPr>
          <w:rFonts w:eastAsia="Arial" w:cs="Arial"/>
          <w:bdr w:val="none" w:sz="0" w:space="0" w:color="auto" w:frame="1"/>
          <w:lang w:val="fr-FR"/>
        </w:rPr>
        <w:t> ;</w:t>
      </w:r>
    </w:p>
    <w:p w14:paraId="52FA44A5" w14:textId="77777777" w:rsidR="000C76FC" w:rsidRPr="00F0233B" w:rsidRDefault="000C76FC" w:rsidP="008C265B">
      <w:pPr>
        <w:widowControl w:val="0"/>
        <w:autoSpaceDE w:val="0"/>
        <w:autoSpaceDN w:val="0"/>
        <w:adjustRightInd w:val="0"/>
        <w:spacing w:after="0" w:line="240" w:lineRule="auto"/>
        <w:ind w:left="567" w:hanging="567"/>
        <w:contextualSpacing/>
        <w:rPr>
          <w:rFonts w:eastAsia="Times New Roman" w:cs="Arial"/>
          <w:i/>
          <w:iCs/>
          <w:highlight w:val="yellow"/>
          <w:lang w:val="fr-FR"/>
        </w:rPr>
      </w:pPr>
    </w:p>
    <w:p w14:paraId="7540C3DF" w14:textId="77777777" w:rsidR="009E3719" w:rsidRPr="00F13FFA" w:rsidRDefault="009E3719" w:rsidP="009E3719">
      <w:pPr>
        <w:numPr>
          <w:ilvl w:val="0"/>
          <w:numId w:val="28"/>
        </w:numPr>
        <w:suppressAutoHyphens/>
        <w:autoSpaceDE w:val="0"/>
        <w:adjustRightInd w:val="0"/>
        <w:spacing w:after="0" w:line="240" w:lineRule="auto"/>
        <w:ind w:left="567" w:hanging="567"/>
        <w:jc w:val="both"/>
        <w:rPr>
          <w:rFonts w:cs="Arial"/>
          <w:iCs/>
          <w:lang w:val="fr-FR"/>
        </w:rPr>
      </w:pPr>
      <w:r w:rsidRPr="00F13FFA">
        <w:rPr>
          <w:rFonts w:eastAsia="Arial" w:cs="Arial"/>
          <w:i/>
          <w:iCs/>
          <w:bdr w:val="none" w:sz="0" w:space="0" w:color="auto" w:frame="1"/>
          <w:lang w:val="fr-FR"/>
        </w:rPr>
        <w:t>Encourage</w:t>
      </w:r>
      <w:r w:rsidRPr="00F13FFA">
        <w:rPr>
          <w:rFonts w:eastAsia="Arial" w:cs="Arial"/>
          <w:bdr w:val="none" w:sz="0" w:space="0" w:color="auto" w:frame="1"/>
          <w:lang w:val="fr-FR"/>
        </w:rPr>
        <w:t xml:space="preserve"> les Parties et les non Parties à maintenir ou </w:t>
      </w:r>
      <w:r>
        <w:rPr>
          <w:rFonts w:eastAsia="Arial" w:cs="Arial"/>
          <w:bdr w:val="none" w:sz="0" w:space="0" w:color="auto" w:frame="1"/>
          <w:lang w:val="fr-FR"/>
        </w:rPr>
        <w:t>élaborer,</w:t>
      </w:r>
      <w:r w:rsidRPr="00F13FFA">
        <w:rPr>
          <w:rFonts w:eastAsia="Arial" w:cs="Arial"/>
          <w:bdr w:val="none" w:sz="0" w:space="0" w:color="auto" w:frame="1"/>
          <w:lang w:val="fr-FR"/>
        </w:rPr>
        <w:t xml:space="preserve"> </w:t>
      </w:r>
      <w:r>
        <w:rPr>
          <w:rFonts w:eastAsia="Arial" w:cs="Arial"/>
          <w:bdr w:val="none" w:sz="0" w:space="0" w:color="auto" w:frame="1"/>
          <w:lang w:val="fr-FR"/>
        </w:rPr>
        <w:t xml:space="preserve">si </w:t>
      </w:r>
      <w:r w:rsidRPr="00F13FFA">
        <w:rPr>
          <w:rFonts w:eastAsia="Arial" w:cs="Arial"/>
          <w:bdr w:val="none" w:sz="0" w:space="0" w:color="auto" w:frame="1"/>
          <w:lang w:val="fr-FR"/>
        </w:rPr>
        <w:t>nécessaire</w:t>
      </w:r>
      <w:r>
        <w:rPr>
          <w:rFonts w:eastAsia="Arial" w:cs="Arial"/>
          <w:bdr w:val="none" w:sz="0" w:space="0" w:color="auto" w:frame="1"/>
          <w:lang w:val="fr-FR"/>
        </w:rPr>
        <w:t>,</w:t>
      </w:r>
      <w:r w:rsidRPr="00F13FFA">
        <w:rPr>
          <w:rFonts w:eastAsia="Arial" w:cs="Arial"/>
          <w:bdr w:val="none" w:sz="0" w:space="0" w:color="auto" w:frame="1"/>
          <w:lang w:val="fr-FR"/>
        </w:rPr>
        <w:t xml:space="preserve"> des programmes nationaux de suivi des oiseaux en vue de l’établissement d’indices nationaux relatifs aux oiseaux sauvages en tant qu’indicateurs de l’utilisation durable des terres et de la santé des écosystèmes,</w:t>
      </w:r>
      <w:r>
        <w:rPr>
          <w:rFonts w:eastAsia="Arial" w:cs="Arial"/>
          <w:bdr w:val="none" w:sz="0" w:space="0" w:color="auto" w:frame="1"/>
          <w:lang w:val="fr-FR"/>
        </w:rPr>
        <w:t xml:space="preserve"> par exemple dans le contexte de l’élaboration du </w:t>
      </w:r>
      <w:proofErr w:type="spellStart"/>
      <w:r>
        <w:rPr>
          <w:rFonts w:eastAsia="Arial" w:cs="Arial"/>
          <w:bdr w:val="none" w:sz="0" w:space="0" w:color="auto" w:frame="1"/>
          <w:lang w:val="fr-FR"/>
        </w:rPr>
        <w:t>Landbird</w:t>
      </w:r>
      <w:proofErr w:type="spellEnd"/>
      <w:r>
        <w:rPr>
          <w:rFonts w:eastAsia="Arial" w:cs="Arial"/>
          <w:bdr w:val="none" w:sz="0" w:space="0" w:color="auto" w:frame="1"/>
          <w:lang w:val="fr-FR"/>
        </w:rPr>
        <w:t xml:space="preserve"> Monitoring Programme for the East Atlantic </w:t>
      </w:r>
      <w:proofErr w:type="spellStart"/>
      <w:r>
        <w:rPr>
          <w:rFonts w:eastAsia="Arial" w:cs="Arial"/>
          <w:bdr w:val="none" w:sz="0" w:space="0" w:color="auto" w:frame="1"/>
          <w:lang w:val="fr-FR"/>
        </w:rPr>
        <w:t>Flyway</w:t>
      </w:r>
      <w:proofErr w:type="spellEnd"/>
      <w:r>
        <w:rPr>
          <w:rFonts w:eastAsia="Arial" w:cs="Arial"/>
          <w:bdr w:val="none" w:sz="0" w:space="0" w:color="auto" w:frame="1"/>
          <w:lang w:val="fr-FR"/>
        </w:rPr>
        <w:t xml:space="preserve"> (programme de suivi des oiseaux terrestres </w:t>
      </w:r>
      <w:r w:rsidRPr="00E63EA4">
        <w:rPr>
          <w:rFonts w:eastAsia="Arial" w:cs="Arial"/>
          <w:bdr w:val="none" w:sz="0" w:space="0" w:color="auto" w:frame="1"/>
          <w:lang w:val="fr-FR"/>
        </w:rPr>
        <w:t>pour la voie de migration d</w:t>
      </w:r>
      <w:r>
        <w:rPr>
          <w:rFonts w:eastAsia="Arial" w:cs="Arial"/>
          <w:bdr w:val="none" w:sz="0" w:space="0" w:color="auto" w:frame="1"/>
          <w:lang w:val="fr-FR"/>
        </w:rPr>
        <w:t>e l</w:t>
      </w:r>
      <w:r w:rsidRPr="00E63EA4">
        <w:rPr>
          <w:rFonts w:eastAsia="Arial" w:cs="Arial"/>
          <w:bdr w:val="none" w:sz="0" w:space="0" w:color="auto" w:frame="1"/>
          <w:lang w:val="fr-FR"/>
        </w:rPr>
        <w:t>’A</w:t>
      </w:r>
      <w:r>
        <w:rPr>
          <w:rFonts w:eastAsia="Arial" w:cs="Arial"/>
          <w:bdr w:val="none" w:sz="0" w:space="0" w:color="auto" w:frame="1"/>
          <w:lang w:val="fr-FR"/>
        </w:rPr>
        <w:t xml:space="preserve">tlantique </w:t>
      </w:r>
      <w:r w:rsidRPr="00E63EA4">
        <w:rPr>
          <w:rFonts w:eastAsia="Arial" w:cs="Arial"/>
          <w:bdr w:val="none" w:sz="0" w:space="0" w:color="auto" w:frame="1"/>
          <w:lang w:val="fr-FR"/>
        </w:rPr>
        <w:t>Est</w:t>
      </w:r>
      <w:r>
        <w:rPr>
          <w:rFonts w:eastAsia="Arial" w:cs="Arial"/>
          <w:bdr w:val="none" w:sz="0" w:space="0" w:color="auto" w:frame="1"/>
          <w:lang w:val="fr-FR"/>
        </w:rPr>
        <w:t xml:space="preserve">), en s’appuyant sur les expériences acquises grâce aux opérations réussies menées dans le cadre des projets de suivi des oiseaux communs en Afrique et par le Pan-European Common Bird Monitoring Scheme en Europe, qui ont consisté à la création d’une </w:t>
      </w:r>
      <w:proofErr w:type="spellStart"/>
      <w:r>
        <w:rPr>
          <w:rFonts w:eastAsia="Arial" w:cs="Arial"/>
          <w:bdr w:val="none" w:sz="0" w:space="0" w:color="auto" w:frame="1"/>
          <w:lang w:val="fr-FR"/>
        </w:rPr>
        <w:t>séri</w:t>
      </w:r>
      <w:proofErr w:type="spellEnd"/>
      <w:r>
        <w:rPr>
          <w:rFonts w:eastAsia="Arial" w:cs="Arial"/>
          <w:bdr w:val="none" w:sz="0" w:space="0" w:color="auto" w:frame="1"/>
          <w:lang w:val="fr-FR"/>
        </w:rPr>
        <w:t xml:space="preserve"> de sites de suivi des oiseaux à travers plusieurs pays, </w:t>
      </w:r>
      <w:r w:rsidRPr="00F13FFA">
        <w:rPr>
          <w:rFonts w:eastAsia="Arial" w:cs="Arial"/>
          <w:bdr w:val="none" w:sz="0" w:space="0" w:color="auto" w:frame="1"/>
          <w:lang w:val="fr-FR"/>
        </w:rPr>
        <w:t xml:space="preserve">pouvant éventuellement constituer la base d’un </w:t>
      </w:r>
      <w:r w:rsidRPr="00F13FFA">
        <w:rPr>
          <w:rFonts w:eastAsia="Arial" w:cs="Arial"/>
          <w:bdr w:val="none" w:sz="0" w:space="0" w:color="auto" w:frame="1"/>
          <w:lang w:val="fr-FR"/>
        </w:rPr>
        <w:lastRenderedPageBreak/>
        <w:t>indicateur mondial des oiseaux sauvages qui pourrait être utilisé par les différents Accords multilatéraux sur l’environnement et les processus internationaux traitant de la gestion durable des terres</w:t>
      </w:r>
      <w:r>
        <w:rPr>
          <w:rFonts w:eastAsia="Arial" w:cs="Arial"/>
          <w:bdr w:val="none" w:sz="0" w:space="0" w:color="auto" w:frame="1"/>
          <w:lang w:val="fr-FR"/>
        </w:rPr>
        <w:t> ;</w:t>
      </w:r>
    </w:p>
    <w:p w14:paraId="339E4696" w14:textId="77777777" w:rsidR="000C76FC" w:rsidRPr="00F0233B" w:rsidRDefault="000C76FC" w:rsidP="008C265B">
      <w:pPr>
        <w:widowControl w:val="0"/>
        <w:autoSpaceDE w:val="0"/>
        <w:autoSpaceDN w:val="0"/>
        <w:adjustRightInd w:val="0"/>
        <w:spacing w:after="0" w:line="240" w:lineRule="auto"/>
        <w:ind w:left="567" w:hanging="567"/>
        <w:contextualSpacing/>
        <w:rPr>
          <w:rFonts w:eastAsia="Times New Roman" w:cs="Arial"/>
          <w:highlight w:val="yellow"/>
          <w:lang w:val="fr-FR"/>
        </w:rPr>
      </w:pPr>
    </w:p>
    <w:p w14:paraId="6EFF8E47" w14:textId="77777777" w:rsidR="009E3719" w:rsidRPr="00AD58F7" w:rsidRDefault="009E3719" w:rsidP="009E3719">
      <w:pPr>
        <w:widowControl w:val="0"/>
        <w:numPr>
          <w:ilvl w:val="0"/>
          <w:numId w:val="28"/>
        </w:numPr>
        <w:autoSpaceDE w:val="0"/>
        <w:adjustRightInd w:val="0"/>
        <w:spacing w:after="0" w:line="240" w:lineRule="auto"/>
        <w:ind w:left="567" w:hanging="567"/>
        <w:jc w:val="both"/>
        <w:rPr>
          <w:rFonts w:cs="Arial"/>
          <w:iCs/>
          <w:lang w:val="fr-FR"/>
        </w:rPr>
      </w:pPr>
      <w:bookmarkStart w:id="8" w:name="_Hlk21334068"/>
      <w:r w:rsidRPr="00AD58F7">
        <w:rPr>
          <w:rFonts w:cs="Arial"/>
          <w:i/>
          <w:iCs/>
          <w:lang w:val="fr-FR"/>
        </w:rPr>
        <w:t>Encourage en outre</w:t>
      </w:r>
      <w:r w:rsidRPr="00AD58F7">
        <w:rPr>
          <w:rFonts w:cs="Arial"/>
          <w:iCs/>
          <w:lang w:val="fr-FR"/>
        </w:rPr>
        <w:t xml:space="preserve"> les Parties et les non-Parties à soutenir activement et à utiliser la plateforme FLAP dans la promotion des oiseaux terrestres et de l’affectation durable des sols, ainsi que des moyens de les mettre en œuvre, notamment par l’échange d’idées et d’informations, l’éducation et la sensibilisation</w:t>
      </w:r>
      <w:r>
        <w:rPr>
          <w:rFonts w:cs="Arial"/>
          <w:iCs/>
          <w:lang w:val="fr-FR"/>
        </w:rPr>
        <w:t> ;</w:t>
      </w:r>
    </w:p>
    <w:bookmarkEnd w:id="8"/>
    <w:p w14:paraId="4EDE999F" w14:textId="77777777" w:rsidR="000C76FC" w:rsidRPr="00F0233B" w:rsidRDefault="000C76FC" w:rsidP="008C265B">
      <w:pPr>
        <w:widowControl w:val="0"/>
        <w:autoSpaceDE w:val="0"/>
        <w:adjustRightInd w:val="0"/>
        <w:spacing w:after="0" w:line="240" w:lineRule="auto"/>
        <w:ind w:left="567" w:hanging="567"/>
        <w:contextualSpacing/>
        <w:jc w:val="both"/>
        <w:rPr>
          <w:rFonts w:eastAsia="Times New Roman" w:cs="Arial"/>
          <w:iCs/>
          <w:highlight w:val="yellow"/>
          <w:lang w:val="fr-FR"/>
        </w:rPr>
      </w:pPr>
    </w:p>
    <w:p w14:paraId="17CE7582" w14:textId="77777777" w:rsidR="004762F0" w:rsidRPr="004762F0" w:rsidRDefault="004762F0" w:rsidP="004762F0">
      <w:pPr>
        <w:widowControl w:val="0"/>
        <w:numPr>
          <w:ilvl w:val="0"/>
          <w:numId w:val="28"/>
        </w:numPr>
        <w:autoSpaceDE w:val="0"/>
        <w:adjustRightInd w:val="0"/>
        <w:spacing w:after="0" w:line="240" w:lineRule="auto"/>
        <w:ind w:left="567" w:hanging="567"/>
        <w:jc w:val="both"/>
        <w:rPr>
          <w:rFonts w:cs="Arial"/>
          <w:iCs/>
          <w:lang w:val="fr-FR"/>
        </w:rPr>
      </w:pPr>
      <w:r w:rsidRPr="00F13FFA">
        <w:rPr>
          <w:rFonts w:eastAsia="Arial" w:cs="Arial"/>
          <w:i/>
          <w:iCs/>
          <w:bdr w:val="none" w:sz="0" w:space="0" w:color="auto" w:frame="1"/>
          <w:lang w:val="fr-FR"/>
        </w:rPr>
        <w:t xml:space="preserve">Prie </w:t>
      </w:r>
      <w:r w:rsidRPr="00F13FFA">
        <w:rPr>
          <w:rFonts w:eastAsia="Arial" w:cs="Arial"/>
          <w:bdr w:val="none" w:sz="0" w:space="0" w:color="auto" w:frame="1"/>
          <w:lang w:val="fr-FR"/>
        </w:rPr>
        <w:t xml:space="preserve">le Groupe de travail et le Conseil scientifique de la CMS, en liaison avec le Groupe d’étude des oiseaux terrestres migrateurs et </w:t>
      </w:r>
      <w:r w:rsidRPr="004D33A0">
        <w:rPr>
          <w:rFonts w:eastAsia="Arial" w:cs="Arial"/>
          <w:bdr w:val="none" w:sz="0" w:space="0" w:color="auto" w:frame="1"/>
          <w:lang w:val="fr-FR"/>
        </w:rPr>
        <w:t>le FLAP</w:t>
      </w:r>
      <w:r w:rsidRPr="00F13FFA">
        <w:rPr>
          <w:rFonts w:eastAsia="Arial" w:cs="Arial"/>
          <w:bdr w:val="none" w:sz="0" w:space="0" w:color="auto" w:frame="1"/>
          <w:lang w:val="fr-FR"/>
        </w:rPr>
        <w:t xml:space="preserve">, avec l’appui du Secrétariat de la CMS, de soutenir la mise en œuvre de plans d’action pour une </w:t>
      </w:r>
      <w:r w:rsidRPr="004762F0">
        <w:rPr>
          <w:rFonts w:eastAsia="Arial" w:cs="Arial"/>
          <w:strike/>
          <w:bdr w:val="none" w:sz="0" w:space="0" w:color="auto" w:frame="1"/>
          <w:lang w:val="fr-FR"/>
        </w:rPr>
        <w:t>première</w:t>
      </w:r>
      <w:r w:rsidRPr="00F13FFA">
        <w:rPr>
          <w:rFonts w:eastAsia="Arial" w:cs="Arial"/>
          <w:bdr w:val="none" w:sz="0" w:space="0" w:color="auto" w:frame="1"/>
          <w:lang w:val="fr-FR"/>
        </w:rPr>
        <w:t xml:space="preserve"> série d’espèces, incluant le Rollier d’Europe </w:t>
      </w:r>
      <w:r>
        <w:rPr>
          <w:rFonts w:eastAsia="Arial" w:cs="Arial"/>
          <w:bdr w:val="none" w:sz="0" w:space="0" w:color="auto" w:frame="1"/>
          <w:lang w:val="fr-FR"/>
        </w:rPr>
        <w:t>(</w:t>
      </w:r>
      <w:proofErr w:type="spellStart"/>
      <w:r w:rsidRPr="00F13FFA">
        <w:rPr>
          <w:rFonts w:eastAsia="Arial" w:cs="Arial"/>
          <w:i/>
          <w:iCs/>
          <w:bdr w:val="none" w:sz="0" w:space="0" w:color="auto" w:frame="1"/>
          <w:lang w:val="fr-FR"/>
        </w:rPr>
        <w:t>Coracias</w:t>
      </w:r>
      <w:proofErr w:type="spellEnd"/>
      <w:r w:rsidRPr="00F13FFA">
        <w:rPr>
          <w:rFonts w:eastAsia="Arial" w:cs="Arial"/>
          <w:i/>
          <w:iCs/>
          <w:bdr w:val="none" w:sz="0" w:space="0" w:color="auto" w:frame="1"/>
          <w:lang w:val="fr-FR"/>
        </w:rPr>
        <w:t xml:space="preserve"> </w:t>
      </w:r>
      <w:proofErr w:type="spellStart"/>
      <w:r w:rsidRPr="00F13FFA">
        <w:rPr>
          <w:rFonts w:eastAsia="Arial" w:cs="Arial"/>
          <w:i/>
          <w:iCs/>
          <w:bdr w:val="none" w:sz="0" w:space="0" w:color="auto" w:frame="1"/>
          <w:lang w:val="fr-FR"/>
        </w:rPr>
        <w:t>garrulus</w:t>
      </w:r>
      <w:proofErr w:type="spellEnd"/>
      <w:r>
        <w:rPr>
          <w:rFonts w:eastAsia="Arial" w:cs="Arial"/>
          <w:i/>
          <w:iCs/>
          <w:bdr w:val="none" w:sz="0" w:space="0" w:color="auto" w:frame="1"/>
          <w:lang w:val="fr-FR"/>
        </w:rPr>
        <w:t>)</w:t>
      </w:r>
      <w:r w:rsidRPr="00F13FFA">
        <w:rPr>
          <w:rFonts w:eastAsia="Arial" w:cs="Arial"/>
          <w:i/>
          <w:iCs/>
          <w:bdr w:val="none" w:sz="0" w:space="0" w:color="auto" w:frame="1"/>
          <w:lang w:val="fr-FR"/>
        </w:rPr>
        <w:t xml:space="preserve"> </w:t>
      </w:r>
      <w:r w:rsidRPr="00F13FFA">
        <w:rPr>
          <w:rFonts w:eastAsia="Arial" w:cs="Arial"/>
          <w:bdr w:val="none" w:sz="0" w:space="0" w:color="auto" w:frame="1"/>
          <w:lang w:val="fr-FR"/>
        </w:rPr>
        <w:t>adopté</w:t>
      </w:r>
      <w:r w:rsidRPr="004762F0">
        <w:rPr>
          <w:rFonts w:eastAsia="Arial" w:cs="Arial"/>
          <w:bdr w:val="none" w:sz="0" w:space="0" w:color="auto" w:frame="1"/>
          <w:lang w:val="fr-FR"/>
        </w:rPr>
        <w:t>s</w:t>
      </w:r>
      <w:r w:rsidRPr="00F13FFA">
        <w:rPr>
          <w:rFonts w:eastAsia="Arial" w:cs="Arial"/>
          <w:bdr w:val="none" w:sz="0" w:space="0" w:color="auto" w:frame="1"/>
          <w:lang w:val="fr-FR"/>
        </w:rPr>
        <w:t xml:space="preserve"> </w:t>
      </w:r>
      <w:r w:rsidRPr="004762F0">
        <w:rPr>
          <w:rFonts w:eastAsia="Arial" w:cs="Arial"/>
          <w:u w:val="single"/>
          <w:bdr w:val="none" w:sz="0" w:space="0" w:color="auto" w:frame="1"/>
          <w:lang w:val="fr-FR"/>
        </w:rPr>
        <w:t>à l’origine</w:t>
      </w:r>
      <w:r>
        <w:rPr>
          <w:rFonts w:eastAsia="Arial" w:cs="Arial"/>
          <w:bdr w:val="none" w:sz="0" w:space="0" w:color="auto" w:frame="1"/>
          <w:lang w:val="fr-FR"/>
        </w:rPr>
        <w:t xml:space="preserve"> </w:t>
      </w:r>
      <w:r w:rsidRPr="00F13FFA">
        <w:rPr>
          <w:rFonts w:eastAsia="Arial" w:cs="Arial"/>
          <w:bdr w:val="none" w:sz="0" w:space="0" w:color="auto" w:frame="1"/>
          <w:lang w:val="fr-FR"/>
        </w:rPr>
        <w:t xml:space="preserve">à travers la Résolution 12.12  </w:t>
      </w:r>
      <w:r w:rsidRPr="004D33A0">
        <w:rPr>
          <w:rFonts w:eastAsia="Arial" w:cs="Arial"/>
          <w:i/>
          <w:bdr w:val="none" w:sz="0" w:space="0" w:color="auto" w:frame="1"/>
          <w:lang w:val="fr-FR"/>
        </w:rPr>
        <w:t>Plan d’action pour les oiseaux</w:t>
      </w:r>
      <w:r w:rsidRPr="004D33A0">
        <w:rPr>
          <w:rFonts w:eastAsia="Arial" w:cs="Arial"/>
          <w:bdr w:val="none" w:sz="0" w:space="0" w:color="auto" w:frame="1"/>
          <w:lang w:val="fr-FR"/>
        </w:rPr>
        <w:t xml:space="preserve">, </w:t>
      </w:r>
      <w:r w:rsidRPr="004D33A0">
        <w:rPr>
          <w:rFonts w:cs="Arial"/>
          <w:iCs/>
          <w:lang w:val="fr-FR"/>
        </w:rPr>
        <w:t>la tourterelle</w:t>
      </w:r>
      <w:r w:rsidRPr="004D33A0">
        <w:rPr>
          <w:rFonts w:cs="Arial"/>
          <w:lang w:val="fr-FR"/>
        </w:rPr>
        <w:t xml:space="preserve"> des bois </w:t>
      </w:r>
      <w:r>
        <w:rPr>
          <w:rFonts w:cs="Arial"/>
          <w:lang w:val="fr-FR"/>
        </w:rPr>
        <w:t>(</w:t>
      </w:r>
      <w:proofErr w:type="spellStart"/>
      <w:r w:rsidRPr="004D33A0">
        <w:rPr>
          <w:rFonts w:cs="Arial"/>
          <w:i/>
          <w:lang w:val="fr-FR"/>
        </w:rPr>
        <w:t>Streptopelia</w:t>
      </w:r>
      <w:proofErr w:type="spellEnd"/>
      <w:r w:rsidRPr="004D33A0">
        <w:rPr>
          <w:rFonts w:cs="Arial"/>
          <w:i/>
          <w:lang w:val="fr-FR"/>
        </w:rPr>
        <w:t xml:space="preserve"> </w:t>
      </w:r>
      <w:proofErr w:type="spellStart"/>
      <w:r w:rsidRPr="004D33A0">
        <w:rPr>
          <w:rFonts w:cs="Arial"/>
          <w:i/>
          <w:lang w:val="fr-FR"/>
        </w:rPr>
        <w:t>turtur</w:t>
      </w:r>
      <w:proofErr w:type="spellEnd"/>
      <w:r>
        <w:rPr>
          <w:rFonts w:cs="Arial"/>
          <w:i/>
          <w:lang w:val="fr-FR"/>
        </w:rPr>
        <w:t>)</w:t>
      </w:r>
      <w:r w:rsidRPr="004D33A0">
        <w:rPr>
          <w:rFonts w:cs="Arial"/>
          <w:i/>
          <w:lang w:val="fr-FR"/>
        </w:rPr>
        <w:t>,</w:t>
      </w:r>
      <w:r w:rsidRPr="004D33A0">
        <w:rPr>
          <w:rFonts w:cs="Arial"/>
          <w:lang w:val="fr-FR"/>
        </w:rPr>
        <w:t xml:space="preserve"> adopté par la 48</w:t>
      </w:r>
      <w:r w:rsidRPr="004D33A0">
        <w:rPr>
          <w:rFonts w:cs="Arial"/>
          <w:vertAlign w:val="superscript"/>
          <w:lang w:val="fr-FR"/>
        </w:rPr>
        <w:t>e</w:t>
      </w:r>
      <w:r w:rsidRPr="004D33A0">
        <w:rPr>
          <w:rFonts w:cs="Arial"/>
          <w:lang w:val="fr-FR"/>
        </w:rPr>
        <w:t xml:space="preserve"> réunion du Comité permanent conformément à la Décision 12.21 </w:t>
      </w:r>
      <w:r w:rsidRPr="004D33A0">
        <w:rPr>
          <w:rFonts w:cs="Arial"/>
          <w:i/>
          <w:lang w:val="fr-FR"/>
        </w:rPr>
        <w:t>Plans d’action pour les oiseaux</w:t>
      </w:r>
      <w:r w:rsidRPr="00F13FFA">
        <w:rPr>
          <w:rFonts w:eastAsia="Arial" w:cs="Arial"/>
          <w:bdr w:val="none" w:sz="0" w:space="0" w:color="auto" w:frame="1"/>
          <w:lang w:val="fr-FR"/>
        </w:rPr>
        <w:t xml:space="preserve"> et </w:t>
      </w:r>
      <w:r w:rsidRPr="004762F0">
        <w:rPr>
          <w:rFonts w:eastAsia="Arial" w:cs="Arial"/>
          <w:u w:val="single"/>
          <w:bdr w:val="none" w:sz="0" w:space="0" w:color="auto" w:frame="1"/>
          <w:lang w:val="fr-FR"/>
        </w:rPr>
        <w:t>l</w:t>
      </w:r>
      <w:r w:rsidRPr="004762F0">
        <w:rPr>
          <w:rFonts w:cs="Arial"/>
          <w:u w:val="single"/>
          <w:lang w:val="fr-FR"/>
        </w:rPr>
        <w:t xml:space="preserve">e </w:t>
      </w:r>
      <w:r w:rsidRPr="004762F0">
        <w:rPr>
          <w:rFonts w:cs="Arial"/>
          <w:iCs/>
          <w:u w:val="single"/>
          <w:lang w:val="fr-FR"/>
        </w:rPr>
        <w:t>Bruant auréole</w:t>
      </w:r>
      <w:r w:rsidRPr="004762F0">
        <w:rPr>
          <w:rFonts w:cs="Arial"/>
          <w:i/>
          <w:iCs/>
          <w:u w:val="single"/>
          <w:lang w:val="fr-FR"/>
        </w:rPr>
        <w:t xml:space="preserve"> </w:t>
      </w:r>
      <w:r>
        <w:rPr>
          <w:rFonts w:cs="Arial"/>
          <w:i/>
          <w:iCs/>
          <w:u w:val="single"/>
          <w:lang w:val="fr-FR"/>
        </w:rPr>
        <w:t>(</w:t>
      </w:r>
      <w:proofErr w:type="spellStart"/>
      <w:r w:rsidRPr="004762F0">
        <w:rPr>
          <w:rFonts w:cs="Arial"/>
          <w:i/>
          <w:iCs/>
          <w:u w:val="single"/>
          <w:lang w:val="fr-FR"/>
        </w:rPr>
        <w:t>Emberiza</w:t>
      </w:r>
      <w:proofErr w:type="spellEnd"/>
      <w:r w:rsidRPr="004762F0">
        <w:rPr>
          <w:rFonts w:cs="Arial"/>
          <w:i/>
          <w:iCs/>
          <w:u w:val="single"/>
          <w:lang w:val="fr-FR"/>
        </w:rPr>
        <w:t xml:space="preserve"> </w:t>
      </w:r>
      <w:proofErr w:type="spellStart"/>
      <w:r w:rsidRPr="004762F0">
        <w:rPr>
          <w:rFonts w:cs="Arial"/>
          <w:i/>
          <w:iCs/>
          <w:u w:val="single"/>
          <w:lang w:val="fr-FR"/>
        </w:rPr>
        <w:t>aureola</w:t>
      </w:r>
      <w:proofErr w:type="spellEnd"/>
      <w:r>
        <w:rPr>
          <w:rFonts w:cs="Arial"/>
          <w:i/>
          <w:iCs/>
          <w:u w:val="single"/>
          <w:lang w:val="fr-FR"/>
        </w:rPr>
        <w:t xml:space="preserve">) </w:t>
      </w:r>
      <w:r w:rsidRPr="004762F0">
        <w:rPr>
          <w:rFonts w:cs="Arial"/>
          <w:u w:val="single"/>
          <w:lang w:val="fr-FR"/>
        </w:rPr>
        <w:t>une fois adopté, et</w:t>
      </w:r>
      <w:r w:rsidRPr="004762F0">
        <w:rPr>
          <w:rFonts w:cs="Arial"/>
          <w:lang w:val="fr-FR"/>
        </w:rPr>
        <w:t> </w:t>
      </w:r>
      <w:r w:rsidRPr="00F13FFA">
        <w:rPr>
          <w:rFonts w:eastAsia="Arial" w:cs="Arial"/>
          <w:bdr w:val="none" w:sz="0" w:space="0" w:color="auto" w:frame="1"/>
          <w:lang w:val="fr-FR"/>
        </w:rPr>
        <w:t xml:space="preserve"> de continuer à développer des Plans d’action pour </w:t>
      </w:r>
      <w:r w:rsidRPr="004D33A0">
        <w:rPr>
          <w:rFonts w:cs="Arial"/>
          <w:iCs/>
          <w:lang w:val="fr-FR"/>
        </w:rPr>
        <w:t>les bruants migrateurs en déclin</w:t>
      </w:r>
      <w:r w:rsidRPr="004762F0">
        <w:rPr>
          <w:rFonts w:cs="Arial"/>
          <w:iCs/>
          <w:strike/>
          <w:lang w:val="fr-FR"/>
        </w:rPr>
        <w:t>, y compris</w:t>
      </w:r>
      <w:r w:rsidRPr="004762F0">
        <w:rPr>
          <w:rFonts w:cs="Arial"/>
          <w:strike/>
          <w:lang w:val="fr-FR"/>
        </w:rPr>
        <w:t xml:space="preserve"> le </w:t>
      </w:r>
      <w:r w:rsidRPr="004762F0">
        <w:rPr>
          <w:rFonts w:cs="Arial"/>
          <w:iCs/>
          <w:strike/>
          <w:lang w:val="fr-FR"/>
        </w:rPr>
        <w:t>Bruant auréole</w:t>
      </w:r>
      <w:r w:rsidRPr="004762F0">
        <w:rPr>
          <w:rFonts w:cs="Arial"/>
          <w:i/>
          <w:iCs/>
          <w:strike/>
          <w:lang w:val="fr-FR"/>
        </w:rPr>
        <w:t xml:space="preserve"> </w:t>
      </w:r>
      <w:proofErr w:type="spellStart"/>
      <w:r w:rsidRPr="004762F0">
        <w:rPr>
          <w:rFonts w:cs="Arial"/>
          <w:i/>
          <w:iCs/>
          <w:strike/>
          <w:lang w:val="fr-FR"/>
        </w:rPr>
        <w:t>Emberiza</w:t>
      </w:r>
      <w:proofErr w:type="spellEnd"/>
      <w:r w:rsidRPr="004762F0">
        <w:rPr>
          <w:rFonts w:cs="Arial"/>
          <w:i/>
          <w:iCs/>
          <w:strike/>
          <w:lang w:val="fr-FR"/>
        </w:rPr>
        <w:t xml:space="preserve"> </w:t>
      </w:r>
      <w:proofErr w:type="spellStart"/>
      <w:r w:rsidRPr="004762F0">
        <w:rPr>
          <w:rFonts w:cs="Arial"/>
          <w:i/>
          <w:iCs/>
          <w:strike/>
          <w:lang w:val="fr-FR"/>
        </w:rPr>
        <w:t>aureola</w:t>
      </w:r>
      <w:proofErr w:type="spellEnd"/>
      <w:r>
        <w:rPr>
          <w:rFonts w:cs="Arial"/>
          <w:i/>
          <w:iCs/>
          <w:lang w:val="fr-FR"/>
        </w:rPr>
        <w:t> ;</w:t>
      </w:r>
    </w:p>
    <w:p w14:paraId="25FC147F" w14:textId="77777777" w:rsidR="004762F0" w:rsidRDefault="004762F0" w:rsidP="004762F0">
      <w:pPr>
        <w:widowControl w:val="0"/>
        <w:autoSpaceDE w:val="0"/>
        <w:adjustRightInd w:val="0"/>
        <w:spacing w:after="0" w:line="240" w:lineRule="auto"/>
        <w:ind w:left="567"/>
        <w:jc w:val="both"/>
        <w:rPr>
          <w:rFonts w:cs="Arial"/>
          <w:iCs/>
          <w:lang w:val="fr-FR"/>
        </w:rPr>
      </w:pPr>
    </w:p>
    <w:p w14:paraId="025FCA0D" w14:textId="61716DF4" w:rsidR="000C76FC" w:rsidRPr="004762F0" w:rsidRDefault="004762F0" w:rsidP="004762F0">
      <w:pPr>
        <w:widowControl w:val="0"/>
        <w:numPr>
          <w:ilvl w:val="0"/>
          <w:numId w:val="28"/>
        </w:numPr>
        <w:autoSpaceDE w:val="0"/>
        <w:adjustRightInd w:val="0"/>
        <w:spacing w:after="0" w:line="240" w:lineRule="auto"/>
        <w:ind w:left="567" w:hanging="567"/>
        <w:jc w:val="both"/>
        <w:rPr>
          <w:rFonts w:cs="Arial"/>
          <w:iCs/>
          <w:lang w:val="fr-FR"/>
        </w:rPr>
      </w:pPr>
      <w:r w:rsidRPr="004762F0">
        <w:rPr>
          <w:rFonts w:eastAsia="Arial" w:cs="Arial"/>
          <w:i/>
          <w:iCs/>
          <w:bdr w:val="none" w:sz="0" w:space="0" w:color="auto" w:frame="1"/>
          <w:lang w:val="fr-FR"/>
        </w:rPr>
        <w:t xml:space="preserve">Prie instamment </w:t>
      </w:r>
      <w:r w:rsidRPr="004762F0">
        <w:rPr>
          <w:rFonts w:eastAsia="Arial" w:cs="Arial"/>
          <w:bdr w:val="none" w:sz="0" w:space="0" w:color="auto" w:frame="1"/>
          <w:lang w:val="fr-FR"/>
        </w:rPr>
        <w:t xml:space="preserve">les Parties et </w:t>
      </w:r>
      <w:r w:rsidRPr="004762F0">
        <w:rPr>
          <w:rFonts w:eastAsia="Arial" w:cs="Arial"/>
          <w:i/>
          <w:iCs/>
          <w:bdr w:val="none" w:sz="0" w:space="0" w:color="auto" w:frame="1"/>
          <w:lang w:val="fr-FR"/>
        </w:rPr>
        <w:t xml:space="preserve">invite </w:t>
      </w:r>
      <w:r w:rsidRPr="004762F0">
        <w:rPr>
          <w:rFonts w:eastAsia="Arial" w:cs="Arial"/>
          <w:bdr w:val="none" w:sz="0" w:space="0" w:color="auto" w:frame="1"/>
          <w:lang w:val="fr-FR"/>
        </w:rPr>
        <w:t xml:space="preserve">le Programme des Nations Unies pour l’Environnement et les autres organisations internationales, les donateurs bilatéraux et multilatéraux, y compris ceux qui s’occupent de la réduction de la pauvreté, </w:t>
      </w:r>
      <w:r w:rsidRPr="004762F0">
        <w:rPr>
          <w:rFonts w:cs="Arial"/>
          <w:lang w:val="fr-FR"/>
        </w:rPr>
        <w:t>de la neutralité en matière de dégradation des sols et des solutions basées sur la nature pour les changements climatiques</w:t>
      </w:r>
      <w:r w:rsidRPr="004762F0">
        <w:rPr>
          <w:rFonts w:eastAsia="Arial" w:cs="Arial"/>
          <w:bdr w:val="none" w:sz="0" w:space="0" w:color="auto" w:frame="1"/>
          <w:lang w:val="fr-FR"/>
        </w:rPr>
        <w:t>, à soutenir financièrement la mise en œuvre du Plan d’action, y compris à travers l’apport d’un appui financier aux pays en développement pour le renforcement des capacités en la matière</w:t>
      </w:r>
      <w:r>
        <w:rPr>
          <w:rFonts w:eastAsia="Arial" w:cs="Arial"/>
          <w:bdr w:val="none" w:sz="0" w:space="0" w:color="auto" w:frame="1"/>
          <w:lang w:val="fr-FR"/>
        </w:rPr>
        <w:t> ;</w:t>
      </w:r>
    </w:p>
    <w:p w14:paraId="2F9EF1D8" w14:textId="77777777" w:rsidR="004762F0" w:rsidRPr="004762F0" w:rsidRDefault="004762F0" w:rsidP="004762F0">
      <w:pPr>
        <w:widowControl w:val="0"/>
        <w:autoSpaceDE w:val="0"/>
        <w:adjustRightInd w:val="0"/>
        <w:spacing w:after="0" w:line="240" w:lineRule="auto"/>
        <w:ind w:left="567"/>
        <w:jc w:val="both"/>
        <w:rPr>
          <w:rFonts w:cs="Arial"/>
          <w:iCs/>
          <w:lang w:val="fr-FR"/>
        </w:rPr>
      </w:pPr>
    </w:p>
    <w:p w14:paraId="72288D10" w14:textId="77777777" w:rsidR="004762F0" w:rsidRDefault="004762F0" w:rsidP="004762F0">
      <w:pPr>
        <w:widowControl w:val="0"/>
        <w:numPr>
          <w:ilvl w:val="0"/>
          <w:numId w:val="28"/>
        </w:numPr>
        <w:autoSpaceDE w:val="0"/>
        <w:adjustRightInd w:val="0"/>
        <w:spacing w:after="0" w:line="240" w:lineRule="auto"/>
        <w:ind w:left="567" w:hanging="567"/>
        <w:jc w:val="both"/>
        <w:rPr>
          <w:rFonts w:cs="Arial"/>
          <w:lang w:val="fr-FR"/>
        </w:rPr>
      </w:pPr>
      <w:r w:rsidRPr="00F13FFA">
        <w:rPr>
          <w:rFonts w:eastAsia="Arial" w:cs="Arial"/>
          <w:i/>
          <w:iCs/>
          <w:bdr w:val="none" w:sz="0" w:space="0" w:color="auto" w:frame="1"/>
          <w:lang w:val="fr-FR"/>
        </w:rPr>
        <w:t xml:space="preserve">Invite </w:t>
      </w:r>
      <w:r w:rsidRPr="00F13FFA">
        <w:rPr>
          <w:rFonts w:eastAsia="Arial" w:cs="Arial"/>
          <w:bdr w:val="none" w:sz="0" w:space="0" w:color="auto" w:frame="1"/>
          <w:lang w:val="fr-FR"/>
        </w:rPr>
        <w:t xml:space="preserve">les Parties et le Conseil scientifique à rendre compte des progrès accomplis dans la mise en œuvre du Plan d’action, y compris en ce qui concerne le suivi et l’efficacité des mesures prises </w:t>
      </w:r>
      <w:r w:rsidRPr="004D33A0">
        <w:rPr>
          <w:rFonts w:cs="Arial"/>
          <w:lang w:val="fr-FR"/>
        </w:rPr>
        <w:t>lors des futures réunions de la Conférence des Parties</w:t>
      </w:r>
      <w:r>
        <w:rPr>
          <w:rFonts w:cs="Arial"/>
          <w:lang w:val="fr-FR"/>
        </w:rPr>
        <w:t>.</w:t>
      </w:r>
    </w:p>
    <w:p w14:paraId="167B4D8F" w14:textId="77777777" w:rsidR="004762F0" w:rsidRDefault="004762F0" w:rsidP="004762F0">
      <w:pPr>
        <w:widowControl w:val="0"/>
        <w:autoSpaceDE w:val="0"/>
        <w:adjustRightInd w:val="0"/>
        <w:spacing w:after="0" w:line="240" w:lineRule="auto"/>
        <w:jc w:val="both"/>
        <w:rPr>
          <w:rFonts w:cs="Arial"/>
          <w:lang w:val="fr-FR"/>
        </w:rPr>
        <w:sectPr w:rsidR="004762F0" w:rsidSect="0056522B">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14291FF7" w14:textId="0269F21C" w:rsidR="00DD07FD" w:rsidRPr="00CD0FE9" w:rsidRDefault="00DD07FD" w:rsidP="00DD07FD">
      <w:pPr>
        <w:spacing w:after="0" w:line="240" w:lineRule="auto"/>
        <w:jc w:val="right"/>
        <w:rPr>
          <w:rFonts w:cs="Arial"/>
          <w:b/>
          <w:bCs/>
          <w:caps/>
          <w:lang w:val="fr-FR"/>
        </w:rPr>
      </w:pPr>
      <w:r>
        <w:rPr>
          <w:rFonts w:cs="Arial"/>
          <w:b/>
          <w:caps/>
          <w:lang w:val="fr-FR"/>
        </w:rPr>
        <w:lastRenderedPageBreak/>
        <w:t>Annexe 2</w:t>
      </w:r>
    </w:p>
    <w:p w14:paraId="08BBF916" w14:textId="77777777" w:rsidR="00DD07FD" w:rsidRPr="00CD0FE9" w:rsidRDefault="00DD07FD" w:rsidP="00DD07FD">
      <w:pPr>
        <w:spacing w:after="0" w:line="240" w:lineRule="auto"/>
        <w:rPr>
          <w:rFonts w:cs="Arial"/>
          <w:lang w:val="fr-FR"/>
        </w:rPr>
      </w:pPr>
    </w:p>
    <w:p w14:paraId="1ABE17B7" w14:textId="68072C3E" w:rsidR="00241B02" w:rsidRDefault="00241B02" w:rsidP="00241B02">
      <w:pPr>
        <w:widowControl w:val="0"/>
        <w:autoSpaceDE w:val="0"/>
        <w:adjustRightInd w:val="0"/>
        <w:spacing w:after="0"/>
        <w:ind w:left="360"/>
        <w:contextualSpacing/>
        <w:jc w:val="center"/>
        <w:rPr>
          <w:rFonts w:cs="Arial"/>
          <w:lang w:val="fr-FR"/>
        </w:rPr>
      </w:pPr>
      <w:r>
        <w:rPr>
          <w:rFonts w:cs="Arial"/>
          <w:lang w:val="fr-FR"/>
        </w:rPr>
        <w:t>PROJET DE DÉCISION</w:t>
      </w:r>
      <w:r w:rsidR="004762F0">
        <w:rPr>
          <w:rFonts w:cs="Arial"/>
          <w:lang w:val="fr-FR"/>
        </w:rPr>
        <w:t>S</w:t>
      </w:r>
    </w:p>
    <w:p w14:paraId="09A08AD8" w14:textId="77777777" w:rsidR="00241B02" w:rsidRDefault="00241B02" w:rsidP="00241B02">
      <w:pPr>
        <w:widowControl w:val="0"/>
        <w:autoSpaceDE w:val="0"/>
        <w:adjustRightInd w:val="0"/>
        <w:spacing w:after="0"/>
        <w:ind w:left="360"/>
        <w:contextualSpacing/>
        <w:jc w:val="center"/>
        <w:rPr>
          <w:rFonts w:cs="Arial"/>
          <w:lang w:val="fr-FR"/>
        </w:rPr>
      </w:pPr>
    </w:p>
    <w:p w14:paraId="0D38CC4F" w14:textId="77777777" w:rsidR="004762F0" w:rsidRDefault="00241B02" w:rsidP="00241B02">
      <w:pPr>
        <w:widowControl w:val="0"/>
        <w:autoSpaceDE w:val="0"/>
        <w:adjustRightInd w:val="0"/>
        <w:spacing w:after="0"/>
        <w:ind w:left="360"/>
        <w:contextualSpacing/>
        <w:jc w:val="center"/>
        <w:rPr>
          <w:rFonts w:cs="Arial"/>
          <w:b/>
          <w:lang w:val="fr-FR"/>
        </w:rPr>
      </w:pPr>
      <w:bookmarkStart w:id="9" w:name="_Hlk129697477"/>
      <w:r>
        <w:rPr>
          <w:rFonts w:cs="Arial"/>
          <w:b/>
          <w:lang w:val="fr-FR"/>
        </w:rPr>
        <w:t xml:space="preserve">PLAN D'ACTION POUR LES OISEAUX TERRESTRES MIGRATEURS </w:t>
      </w:r>
    </w:p>
    <w:p w14:paraId="37B6A90F" w14:textId="1AC228A0" w:rsidR="00241B02" w:rsidRPr="007C15AD" w:rsidRDefault="00241B02" w:rsidP="00241B02">
      <w:pPr>
        <w:widowControl w:val="0"/>
        <w:autoSpaceDE w:val="0"/>
        <w:adjustRightInd w:val="0"/>
        <w:spacing w:after="0"/>
        <w:ind w:left="360"/>
        <w:contextualSpacing/>
        <w:jc w:val="center"/>
        <w:rPr>
          <w:rFonts w:cs="Arial"/>
          <w:b/>
          <w:lang w:val="fr-FR"/>
        </w:rPr>
      </w:pPr>
      <w:r>
        <w:rPr>
          <w:rFonts w:cs="Arial"/>
          <w:b/>
          <w:lang w:val="fr-FR"/>
        </w:rPr>
        <w:t xml:space="preserve">D'AFRIQUE </w:t>
      </w:r>
      <w:r w:rsidR="004762F0">
        <w:rPr>
          <w:rFonts w:cs="Arial"/>
          <w:b/>
          <w:lang w:val="fr-FR"/>
        </w:rPr>
        <w:t xml:space="preserve">- </w:t>
      </w:r>
      <w:r>
        <w:rPr>
          <w:rFonts w:cs="Arial"/>
          <w:b/>
          <w:lang w:val="fr-FR"/>
        </w:rPr>
        <w:t>EURASIE (AEMLAP)</w:t>
      </w:r>
      <w:bookmarkEnd w:id="9"/>
    </w:p>
    <w:p w14:paraId="10B3EBB2" w14:textId="77777777" w:rsidR="00842A4E" w:rsidRDefault="00842A4E" w:rsidP="00842A4E">
      <w:pPr>
        <w:spacing w:after="0" w:line="240" w:lineRule="auto"/>
        <w:jc w:val="both"/>
        <w:rPr>
          <w:rFonts w:cs="Arial"/>
          <w:b/>
          <w:iCs/>
          <w:szCs w:val="20"/>
          <w:lang w:val="fr-FR"/>
        </w:rPr>
      </w:pPr>
    </w:p>
    <w:p w14:paraId="1FB2F1DB" w14:textId="77777777" w:rsidR="004762F0" w:rsidRDefault="004762F0" w:rsidP="00842A4E">
      <w:pPr>
        <w:spacing w:after="0" w:line="240" w:lineRule="auto"/>
        <w:jc w:val="both"/>
        <w:rPr>
          <w:rFonts w:cs="Arial"/>
          <w:b/>
          <w:iCs/>
          <w:szCs w:val="20"/>
          <w:lang w:val="fr-FR"/>
        </w:rPr>
      </w:pPr>
    </w:p>
    <w:p w14:paraId="18024FA0" w14:textId="59CB258B" w:rsidR="00842A4E" w:rsidRPr="00842A4E" w:rsidRDefault="00842A4E" w:rsidP="004762F0">
      <w:pPr>
        <w:spacing w:after="0" w:line="240" w:lineRule="auto"/>
        <w:ind w:left="851" w:hanging="851"/>
        <w:jc w:val="both"/>
        <w:rPr>
          <w:rFonts w:cs="Arial"/>
          <w:b/>
          <w:iCs/>
          <w:szCs w:val="20"/>
          <w:lang w:val="fr-FR"/>
        </w:rPr>
      </w:pPr>
      <w:r>
        <w:rPr>
          <w:rFonts w:cs="Arial"/>
          <w:b/>
          <w:iCs/>
          <w:szCs w:val="20"/>
          <w:lang w:val="fr-FR"/>
        </w:rPr>
        <w:t>14.AA</w:t>
      </w:r>
      <w:r w:rsidR="004762F0">
        <w:rPr>
          <w:rFonts w:cs="Arial"/>
          <w:b/>
          <w:iCs/>
          <w:szCs w:val="20"/>
          <w:lang w:val="fr-FR"/>
        </w:rPr>
        <w:tab/>
      </w:r>
      <w:r>
        <w:rPr>
          <w:rFonts w:cs="Arial"/>
          <w:b/>
          <w:i/>
          <w:szCs w:val="20"/>
          <w:lang w:val="fr-FR"/>
        </w:rPr>
        <w:t>Adressé</w:t>
      </w:r>
      <w:r w:rsidR="004762F0">
        <w:rPr>
          <w:rFonts w:cs="Arial"/>
          <w:b/>
          <w:i/>
          <w:szCs w:val="20"/>
          <w:lang w:val="fr-FR"/>
        </w:rPr>
        <w:t>e</w:t>
      </w:r>
      <w:r>
        <w:rPr>
          <w:rFonts w:cs="Arial"/>
          <w:b/>
          <w:i/>
          <w:szCs w:val="20"/>
          <w:lang w:val="fr-FR"/>
        </w:rPr>
        <w:t xml:space="preserve"> aux Parties</w:t>
      </w:r>
      <w:r>
        <w:rPr>
          <w:rFonts w:cs="Arial"/>
          <w:b/>
          <w:iCs/>
          <w:szCs w:val="20"/>
          <w:lang w:val="fr-FR"/>
        </w:rPr>
        <w:t xml:space="preserve"> </w:t>
      </w:r>
    </w:p>
    <w:p w14:paraId="2BB56912" w14:textId="77777777" w:rsidR="00842A4E" w:rsidRPr="00283490" w:rsidRDefault="00842A4E" w:rsidP="00674789">
      <w:pPr>
        <w:pStyle w:val="ListParagraph"/>
        <w:spacing w:after="0" w:line="240" w:lineRule="auto"/>
        <w:ind w:left="357"/>
        <w:contextualSpacing w:val="0"/>
        <w:jc w:val="both"/>
        <w:rPr>
          <w:rFonts w:cs="Arial"/>
          <w:iCs/>
          <w:szCs w:val="20"/>
          <w:lang w:val="fr-FR"/>
        </w:rPr>
      </w:pPr>
    </w:p>
    <w:p w14:paraId="698C9700" w14:textId="4F38651A" w:rsidR="00842A4E" w:rsidRPr="00283490" w:rsidRDefault="00842A4E" w:rsidP="004762F0">
      <w:pPr>
        <w:pStyle w:val="ListParagraph"/>
        <w:spacing w:after="0" w:line="240" w:lineRule="auto"/>
        <w:ind w:left="851"/>
        <w:contextualSpacing w:val="0"/>
        <w:jc w:val="both"/>
        <w:rPr>
          <w:rFonts w:cs="Arial"/>
          <w:iCs/>
          <w:szCs w:val="20"/>
          <w:lang w:val="fr-FR"/>
        </w:rPr>
      </w:pPr>
      <w:r>
        <w:rPr>
          <w:rFonts w:cs="Arial"/>
          <w:iCs/>
          <w:szCs w:val="20"/>
          <w:lang w:val="fr-FR"/>
        </w:rPr>
        <w:t>Les Parties sont encouragées à :</w:t>
      </w:r>
    </w:p>
    <w:p w14:paraId="0B3168BE" w14:textId="61BC5866" w:rsidR="00842A4E" w:rsidRPr="00787F95" w:rsidRDefault="00842A4E" w:rsidP="00674789">
      <w:pPr>
        <w:spacing w:after="0" w:line="240" w:lineRule="auto"/>
        <w:jc w:val="both"/>
        <w:rPr>
          <w:rFonts w:cs="Arial"/>
          <w:iCs/>
          <w:szCs w:val="20"/>
          <w:lang w:val="fr-FR"/>
        </w:rPr>
      </w:pPr>
    </w:p>
    <w:p w14:paraId="06649FD3" w14:textId="770EE3D6" w:rsidR="009959E8" w:rsidRDefault="0076414F" w:rsidP="004762F0">
      <w:pPr>
        <w:pStyle w:val="ListParagraph"/>
        <w:numPr>
          <w:ilvl w:val="0"/>
          <w:numId w:val="39"/>
        </w:numPr>
        <w:spacing w:after="0" w:line="240" w:lineRule="auto"/>
        <w:ind w:left="1418" w:hanging="567"/>
        <w:contextualSpacing w:val="0"/>
        <w:jc w:val="both"/>
        <w:rPr>
          <w:rFonts w:cs="Arial"/>
          <w:iCs/>
          <w:szCs w:val="20"/>
          <w:lang w:val="fr-FR"/>
        </w:rPr>
      </w:pPr>
      <w:r>
        <w:rPr>
          <w:rFonts w:cs="Arial"/>
          <w:iCs/>
          <w:szCs w:val="20"/>
          <w:lang w:val="fr-FR"/>
        </w:rPr>
        <w:t>prendre note du programme de travail et des priorités du Groupe de travail AEMLAP et s'engager activement dans la conception, la mise en œuvre et le suivi de ses activités pendant la période intersession entre la COP14 et la COP15, en vue de mieux comprendre les voies de migration utilisées et les principales menaces affectant les oiseaux terrestres migrateurs dans cette région ;</w:t>
      </w:r>
    </w:p>
    <w:p w14:paraId="6FE0B235" w14:textId="77777777" w:rsidR="00382664" w:rsidRDefault="00382664" w:rsidP="004762F0">
      <w:pPr>
        <w:pStyle w:val="ListParagraph"/>
        <w:spacing w:after="0" w:line="240" w:lineRule="auto"/>
        <w:ind w:left="1418" w:hanging="567"/>
        <w:contextualSpacing w:val="0"/>
        <w:jc w:val="both"/>
        <w:rPr>
          <w:rFonts w:cs="Arial"/>
          <w:iCs/>
          <w:szCs w:val="20"/>
          <w:lang w:val="fr-FR"/>
        </w:rPr>
      </w:pPr>
    </w:p>
    <w:p w14:paraId="5EBED23C" w14:textId="4B6202FE" w:rsidR="00382664" w:rsidRPr="00382664" w:rsidRDefault="007B3F43" w:rsidP="004762F0">
      <w:pPr>
        <w:pStyle w:val="ListParagraph"/>
        <w:numPr>
          <w:ilvl w:val="0"/>
          <w:numId w:val="39"/>
        </w:numPr>
        <w:spacing w:after="0" w:line="240" w:lineRule="auto"/>
        <w:ind w:left="1418" w:hanging="567"/>
        <w:contextualSpacing w:val="0"/>
        <w:jc w:val="both"/>
        <w:rPr>
          <w:rFonts w:cs="Arial"/>
          <w:iCs/>
          <w:szCs w:val="20"/>
          <w:lang w:val="fr-FR"/>
        </w:rPr>
      </w:pPr>
      <w:r>
        <w:rPr>
          <w:rFonts w:cs="Arial"/>
          <w:iCs/>
          <w:szCs w:val="20"/>
          <w:lang w:val="fr-FR"/>
        </w:rPr>
        <w:t>promouvoir en parallèle l'utilisation de l'imagerie satellitaire et la surveillance des habitats et des oiseaux au sol, afin de mieux comprendre l'impact de la couverture terrestre et des changements d'utilisation des sols sur les oiseaux migrateurs d'Afrique-Eurasie, ainsi que les facteurs à l'origine de ces impacts ;</w:t>
      </w:r>
    </w:p>
    <w:p w14:paraId="5EE05236" w14:textId="77777777" w:rsidR="00382664" w:rsidRPr="00382664" w:rsidRDefault="00382664" w:rsidP="004762F0">
      <w:pPr>
        <w:pStyle w:val="ListParagraph"/>
        <w:spacing w:after="0" w:line="240" w:lineRule="auto"/>
        <w:ind w:left="1418" w:hanging="567"/>
        <w:contextualSpacing w:val="0"/>
        <w:jc w:val="both"/>
        <w:rPr>
          <w:rFonts w:cs="Arial"/>
          <w:iCs/>
          <w:szCs w:val="20"/>
          <w:lang w:val="fr-FR"/>
        </w:rPr>
      </w:pPr>
    </w:p>
    <w:p w14:paraId="77A330CB" w14:textId="75814AD9" w:rsidR="00382664" w:rsidRPr="00382664" w:rsidRDefault="0076414F" w:rsidP="004762F0">
      <w:pPr>
        <w:pStyle w:val="ListParagraph"/>
        <w:numPr>
          <w:ilvl w:val="0"/>
          <w:numId w:val="39"/>
        </w:numPr>
        <w:spacing w:after="0" w:line="240" w:lineRule="auto"/>
        <w:ind w:left="1418" w:hanging="567"/>
        <w:contextualSpacing w:val="0"/>
        <w:jc w:val="both"/>
        <w:rPr>
          <w:rFonts w:cs="Arial"/>
          <w:iCs/>
          <w:szCs w:val="20"/>
          <w:lang w:val="fr-FR"/>
        </w:rPr>
      </w:pPr>
      <w:r>
        <w:rPr>
          <w:rFonts w:cs="Arial"/>
          <w:iCs/>
          <w:szCs w:val="20"/>
          <w:lang w:val="fr-FR"/>
        </w:rPr>
        <w:t>tenir compte des projets pertinents tels que l'Atlas des migrations des oiseaux d'Eurasie et d'Afrique et intégrer leurs conclusions dans leurs politiques de conservation des espèces d'oiseaux terrestres migrateurs ;</w:t>
      </w:r>
    </w:p>
    <w:p w14:paraId="1171475E" w14:textId="7F8166E6" w:rsidR="004A0AF7" w:rsidRDefault="004A0AF7" w:rsidP="004762F0">
      <w:pPr>
        <w:pStyle w:val="ListParagraph"/>
        <w:spacing w:after="0" w:line="240" w:lineRule="auto"/>
        <w:ind w:left="1418" w:hanging="567"/>
        <w:contextualSpacing w:val="0"/>
        <w:jc w:val="both"/>
        <w:rPr>
          <w:rFonts w:cs="Arial"/>
          <w:iCs/>
          <w:szCs w:val="20"/>
          <w:lang w:val="fr-FR"/>
        </w:rPr>
      </w:pPr>
    </w:p>
    <w:p w14:paraId="0D47DD66" w14:textId="68D3F2F2" w:rsidR="00382664" w:rsidRPr="00382664" w:rsidRDefault="0076414F" w:rsidP="004762F0">
      <w:pPr>
        <w:pStyle w:val="ListParagraph"/>
        <w:numPr>
          <w:ilvl w:val="0"/>
          <w:numId w:val="39"/>
        </w:numPr>
        <w:spacing w:after="0" w:line="240" w:lineRule="auto"/>
        <w:ind w:left="1418" w:hanging="567"/>
        <w:contextualSpacing w:val="0"/>
        <w:jc w:val="both"/>
        <w:rPr>
          <w:rFonts w:cs="Arial"/>
          <w:iCs/>
          <w:szCs w:val="20"/>
          <w:lang w:val="fr-FR"/>
        </w:rPr>
      </w:pPr>
      <w:r>
        <w:rPr>
          <w:rFonts w:cs="Arial"/>
          <w:iCs/>
          <w:szCs w:val="20"/>
          <w:lang w:val="fr-FR"/>
        </w:rPr>
        <w:t>noter les récents développements visant à définir un nouveau cadre institutionnel au titre de la CMS pour l'itinéraire aérien d'Asie centrale (CAF), et veiller à ce que des synergies soient recherchées entre les États de l'aire de répartition de l'AEMLAP et de la CAF ;</w:t>
      </w:r>
    </w:p>
    <w:p w14:paraId="0A30CD7D" w14:textId="77777777" w:rsidR="00382664" w:rsidRPr="00382664" w:rsidRDefault="00382664" w:rsidP="004762F0">
      <w:pPr>
        <w:pStyle w:val="ListParagraph"/>
        <w:spacing w:after="0" w:line="240" w:lineRule="auto"/>
        <w:ind w:left="1418" w:hanging="567"/>
        <w:contextualSpacing w:val="0"/>
        <w:jc w:val="both"/>
        <w:rPr>
          <w:rFonts w:cs="Arial"/>
          <w:iCs/>
          <w:szCs w:val="20"/>
          <w:lang w:val="fr-FR"/>
        </w:rPr>
      </w:pPr>
    </w:p>
    <w:p w14:paraId="7772487C" w14:textId="69C70F5F" w:rsidR="00842A4E" w:rsidRPr="00283490" w:rsidRDefault="00BB6438" w:rsidP="004762F0">
      <w:pPr>
        <w:pStyle w:val="ListParagraph"/>
        <w:numPr>
          <w:ilvl w:val="0"/>
          <w:numId w:val="39"/>
        </w:numPr>
        <w:spacing w:after="0" w:line="240" w:lineRule="auto"/>
        <w:ind w:left="1418" w:hanging="567"/>
        <w:contextualSpacing w:val="0"/>
        <w:jc w:val="both"/>
        <w:rPr>
          <w:rFonts w:cs="Arial"/>
          <w:iCs/>
          <w:szCs w:val="20"/>
          <w:lang w:val="fr-FR"/>
        </w:rPr>
      </w:pPr>
      <w:r>
        <w:rPr>
          <w:rFonts w:cs="Arial"/>
          <w:iCs/>
          <w:szCs w:val="20"/>
          <w:lang w:val="fr-FR"/>
        </w:rPr>
        <w:t>évaluer l'état des espèces d'oiseaux prioritaires empruntant les voies de migration d'Afrique-Eurasie et élaborer des plans d'action pour ces espèces.</w:t>
      </w:r>
    </w:p>
    <w:p w14:paraId="5B6E1888" w14:textId="77777777" w:rsidR="00842A4E" w:rsidRDefault="00842A4E" w:rsidP="00674789">
      <w:pPr>
        <w:pStyle w:val="ListParagraph"/>
        <w:spacing w:after="0" w:line="240" w:lineRule="auto"/>
        <w:ind w:left="357" w:hanging="284"/>
        <w:contextualSpacing w:val="0"/>
        <w:jc w:val="both"/>
        <w:rPr>
          <w:rFonts w:cs="Arial"/>
          <w:iCs/>
          <w:szCs w:val="20"/>
          <w:lang w:val="fr-FR"/>
        </w:rPr>
      </w:pPr>
    </w:p>
    <w:p w14:paraId="46BA6F95" w14:textId="77777777" w:rsidR="00B27341" w:rsidRPr="00283490" w:rsidRDefault="00B27341" w:rsidP="00674789">
      <w:pPr>
        <w:pStyle w:val="ListParagraph"/>
        <w:spacing w:after="0" w:line="240" w:lineRule="auto"/>
        <w:ind w:left="357" w:hanging="284"/>
        <w:contextualSpacing w:val="0"/>
        <w:jc w:val="both"/>
        <w:rPr>
          <w:rFonts w:cs="Arial"/>
          <w:iCs/>
          <w:szCs w:val="20"/>
          <w:lang w:val="fr-FR"/>
        </w:rPr>
      </w:pPr>
    </w:p>
    <w:p w14:paraId="29AFF711" w14:textId="6EB7ABC6" w:rsidR="00842A4E" w:rsidRPr="00283490" w:rsidRDefault="00842A4E" w:rsidP="004762F0">
      <w:pPr>
        <w:pStyle w:val="ListParagraph"/>
        <w:spacing w:after="0" w:line="240" w:lineRule="auto"/>
        <w:ind w:left="851" w:hanging="851"/>
        <w:contextualSpacing w:val="0"/>
        <w:jc w:val="both"/>
        <w:rPr>
          <w:rFonts w:cs="Arial"/>
          <w:b/>
          <w:iCs/>
          <w:szCs w:val="20"/>
          <w:lang w:val="fr-FR"/>
        </w:rPr>
      </w:pPr>
      <w:r>
        <w:rPr>
          <w:rFonts w:cs="Arial"/>
          <w:b/>
          <w:iCs/>
          <w:szCs w:val="20"/>
          <w:lang w:val="fr-FR"/>
        </w:rPr>
        <w:t xml:space="preserve">14.BB </w:t>
      </w:r>
      <w:r w:rsidR="004762F0">
        <w:rPr>
          <w:rFonts w:cs="Arial"/>
          <w:b/>
          <w:iCs/>
          <w:szCs w:val="20"/>
          <w:lang w:val="fr-FR"/>
        </w:rPr>
        <w:tab/>
      </w:r>
      <w:r>
        <w:rPr>
          <w:rFonts w:cs="Arial"/>
          <w:b/>
          <w:i/>
          <w:szCs w:val="20"/>
          <w:lang w:val="fr-FR"/>
        </w:rPr>
        <w:t>Décision adressée aux : Parties, organisations intergouvernementales et non gouvernementales</w:t>
      </w:r>
    </w:p>
    <w:p w14:paraId="5EA622F6" w14:textId="77777777" w:rsidR="00842A4E" w:rsidRPr="00283490" w:rsidRDefault="00842A4E" w:rsidP="00674789">
      <w:pPr>
        <w:pStyle w:val="ListParagraph"/>
        <w:spacing w:after="0" w:line="240" w:lineRule="auto"/>
        <w:ind w:left="357"/>
        <w:contextualSpacing w:val="0"/>
        <w:jc w:val="both"/>
        <w:rPr>
          <w:rFonts w:cs="Arial"/>
          <w:iCs/>
          <w:szCs w:val="20"/>
          <w:lang w:val="fr-FR"/>
        </w:rPr>
      </w:pPr>
    </w:p>
    <w:p w14:paraId="269824C4" w14:textId="77777777" w:rsidR="00842A4E" w:rsidRPr="00283490" w:rsidRDefault="00842A4E" w:rsidP="004762F0">
      <w:pPr>
        <w:pStyle w:val="ListParagraph"/>
        <w:spacing w:after="0" w:line="240" w:lineRule="auto"/>
        <w:ind w:left="851"/>
        <w:contextualSpacing w:val="0"/>
        <w:jc w:val="both"/>
        <w:rPr>
          <w:rFonts w:cs="Arial"/>
          <w:iCs/>
          <w:szCs w:val="20"/>
          <w:lang w:val="fr-FR"/>
        </w:rPr>
      </w:pPr>
      <w:r>
        <w:rPr>
          <w:rFonts w:cs="Arial"/>
          <w:iCs/>
          <w:szCs w:val="20"/>
          <w:lang w:val="fr-FR"/>
        </w:rPr>
        <w:t>Parties, organisations intergouvernementales et non gouvernementales :</w:t>
      </w:r>
    </w:p>
    <w:p w14:paraId="35C72E2C" w14:textId="77777777" w:rsidR="00842A4E" w:rsidRPr="00283490" w:rsidRDefault="00842A4E" w:rsidP="00674789">
      <w:pPr>
        <w:pStyle w:val="ListParagraph"/>
        <w:spacing w:after="0" w:line="240" w:lineRule="auto"/>
        <w:ind w:left="357"/>
        <w:contextualSpacing w:val="0"/>
        <w:jc w:val="both"/>
        <w:rPr>
          <w:rFonts w:cs="Arial"/>
          <w:iCs/>
          <w:szCs w:val="20"/>
          <w:lang w:val="fr-FR"/>
        </w:rPr>
      </w:pPr>
    </w:p>
    <w:p w14:paraId="354325F3" w14:textId="156A55FE" w:rsidR="00842A4E" w:rsidRPr="00283490" w:rsidRDefault="00842A4E" w:rsidP="004762F0">
      <w:pPr>
        <w:pStyle w:val="ListParagraph"/>
        <w:numPr>
          <w:ilvl w:val="0"/>
          <w:numId w:val="40"/>
        </w:numPr>
        <w:spacing w:after="0" w:line="240" w:lineRule="auto"/>
        <w:ind w:left="1418" w:hanging="567"/>
        <w:contextualSpacing w:val="0"/>
        <w:jc w:val="both"/>
        <w:rPr>
          <w:rFonts w:cs="Arial"/>
          <w:iCs/>
          <w:szCs w:val="20"/>
          <w:lang w:val="fr-FR"/>
        </w:rPr>
      </w:pPr>
      <w:r>
        <w:rPr>
          <w:rFonts w:cs="Arial"/>
          <w:iCs/>
          <w:szCs w:val="20"/>
          <w:lang w:val="fr-FR"/>
        </w:rPr>
        <w:t xml:space="preserve">et en particulier les Parties, les donateurs bilatéraux et multilatéraux, le Fonds pour l'environnement mondial, le Programme des Nations Unies pour le développement, le Programme des Nations Unies pour l'environnement, la Convention des Nations Unies sur la lutte contre la désertification, la Communauté économique des États de l'Afrique de l'Ouest et d'autres organisations internationales pertinentes, pendant la période intersessions entre COP14 et COP15, sont invités à s'engager dans la mise en œuvre du programme de travail du groupe de travail AEML, notamment en facilitant l'échange d'informations sur les espèces et les habitats clés, en particulier pour s'attaquer aux obstacles à l'utilisation durable des terres et à la conservation des habitats en Afrique, y compris les priorités pour l'Afrique de l'Ouest et l'Asie </w:t>
      </w:r>
      <w:r>
        <w:rPr>
          <w:rFonts w:cs="Arial"/>
          <w:iCs/>
          <w:szCs w:val="20"/>
          <w:lang w:val="fr-FR"/>
        </w:rPr>
        <w:lastRenderedPageBreak/>
        <w:t>centrale, et en fournissant une assistance technique aux pays en développement pour le renforcement des capacités pertinentes ;</w:t>
      </w:r>
    </w:p>
    <w:p w14:paraId="6C13BE8E" w14:textId="77777777" w:rsidR="00842A4E" w:rsidRPr="00283490" w:rsidRDefault="00842A4E" w:rsidP="004762F0">
      <w:pPr>
        <w:pStyle w:val="ListParagraph"/>
        <w:spacing w:after="0" w:line="240" w:lineRule="auto"/>
        <w:ind w:left="1418" w:hanging="567"/>
        <w:contextualSpacing w:val="0"/>
        <w:jc w:val="both"/>
        <w:rPr>
          <w:rFonts w:cs="Arial"/>
          <w:iCs/>
          <w:szCs w:val="20"/>
          <w:lang w:val="fr-FR"/>
        </w:rPr>
      </w:pPr>
    </w:p>
    <w:p w14:paraId="4C824146" w14:textId="404558BB" w:rsidR="00842A4E" w:rsidRDefault="00842A4E" w:rsidP="004762F0">
      <w:pPr>
        <w:pStyle w:val="ListParagraph"/>
        <w:numPr>
          <w:ilvl w:val="0"/>
          <w:numId w:val="40"/>
        </w:numPr>
        <w:spacing w:after="0" w:line="240" w:lineRule="auto"/>
        <w:ind w:left="1418" w:hanging="567"/>
        <w:contextualSpacing w:val="0"/>
        <w:jc w:val="both"/>
        <w:rPr>
          <w:rFonts w:cs="Arial"/>
          <w:iCs/>
          <w:szCs w:val="20"/>
          <w:lang w:val="fr-FR"/>
        </w:rPr>
      </w:pPr>
      <w:r>
        <w:rPr>
          <w:rFonts w:cs="Arial"/>
          <w:iCs/>
          <w:szCs w:val="20"/>
          <w:lang w:val="fr-FR"/>
        </w:rPr>
        <w:t xml:space="preserve">sont invités à soutenir le Groupe de travail afin qu'il organise au moins une réunion entre la COP14 et la COP15 pour, entre autres activités, examiner la mise en œuvre du plan d'action et du programme de travail ; </w:t>
      </w:r>
    </w:p>
    <w:p w14:paraId="3C0F05A7" w14:textId="77777777" w:rsidR="00842A4E" w:rsidRDefault="00842A4E" w:rsidP="004762F0">
      <w:pPr>
        <w:pStyle w:val="ListParagraph"/>
        <w:spacing w:after="0" w:line="240" w:lineRule="auto"/>
        <w:ind w:left="1418" w:hanging="567"/>
        <w:contextualSpacing w:val="0"/>
        <w:jc w:val="both"/>
        <w:rPr>
          <w:rFonts w:cs="Arial"/>
          <w:iCs/>
          <w:szCs w:val="20"/>
          <w:lang w:val="fr-FR"/>
        </w:rPr>
      </w:pPr>
    </w:p>
    <w:p w14:paraId="2758AEBD" w14:textId="43DC43BC" w:rsidR="00842A4E" w:rsidRPr="00084F80" w:rsidRDefault="00842A4E" w:rsidP="004762F0">
      <w:pPr>
        <w:pStyle w:val="ListParagraph"/>
        <w:numPr>
          <w:ilvl w:val="0"/>
          <w:numId w:val="40"/>
        </w:numPr>
        <w:spacing w:after="0" w:line="240" w:lineRule="auto"/>
        <w:ind w:left="1418" w:hanging="567"/>
        <w:contextualSpacing w:val="0"/>
        <w:jc w:val="both"/>
        <w:rPr>
          <w:rFonts w:cs="Arial"/>
          <w:iCs/>
          <w:szCs w:val="20"/>
          <w:u w:val="single"/>
          <w:lang w:val="fr-FR"/>
        </w:rPr>
      </w:pPr>
      <w:r>
        <w:rPr>
          <w:rFonts w:cs="Arial"/>
          <w:iCs/>
          <w:szCs w:val="20"/>
          <w:lang w:val="fr-FR"/>
        </w:rPr>
        <w:t xml:space="preserve">sont invités à soutenir et à coopérer dans le cadre d'approches internationales existantes visant à conserver et à améliorer le couvert végétal (par exemple, le défi de Bonn, Bonn Challenge, Trillion </w:t>
      </w:r>
      <w:proofErr w:type="spellStart"/>
      <w:r>
        <w:rPr>
          <w:rFonts w:cs="Arial"/>
          <w:iCs/>
          <w:szCs w:val="20"/>
          <w:lang w:val="fr-FR"/>
        </w:rPr>
        <w:t>Trees</w:t>
      </w:r>
      <w:proofErr w:type="spellEnd"/>
      <w:r>
        <w:rPr>
          <w:rFonts w:cs="Arial"/>
          <w:iCs/>
          <w:szCs w:val="20"/>
          <w:lang w:val="fr-FR"/>
        </w:rPr>
        <w:t xml:space="preserve">, Great Green Wall) et les projets locaux d'aide et de développement dans le domaine de l'agriculture et de la sylviculture, en surveillant les résultats, en permettant des comparaisons entre les sites et entre les années, si possible dans le cadre d'expériences bien conçues, afin de fournir des informations sur les interventions qui peuvent créer des scénarios gagnant-gagnant pour les oiseaux en tant qu'indicateur de la biodiversité, pour les communautés locales en termes d'avantages socio-économiques, et pour la neutralité de la dégradation des terres et les solutions climatiques basées sur la nature, </w:t>
      </w:r>
      <w:r>
        <w:rPr>
          <w:color w:val="000000" w:themeColor="text1"/>
          <w:lang w:val="fr-FR"/>
        </w:rPr>
        <w:t>ou</w:t>
      </w:r>
      <w:r>
        <w:rPr>
          <w:rFonts w:cs="Arial"/>
          <w:iCs/>
          <w:color w:val="000000" w:themeColor="text1"/>
          <w:szCs w:val="20"/>
          <w:lang w:val="fr-FR"/>
        </w:rPr>
        <w:t xml:space="preserve"> qui, </w:t>
      </w:r>
      <w:r>
        <w:rPr>
          <w:color w:val="000000" w:themeColor="text1"/>
          <w:lang w:val="fr-FR"/>
        </w:rPr>
        <w:t xml:space="preserve">au </w:t>
      </w:r>
      <w:r>
        <w:rPr>
          <w:rFonts w:cs="Arial"/>
          <w:iCs/>
          <w:color w:val="000000" w:themeColor="text1"/>
          <w:szCs w:val="20"/>
          <w:lang w:val="fr-FR"/>
        </w:rPr>
        <w:t xml:space="preserve">moins, </w:t>
      </w:r>
      <w:r>
        <w:rPr>
          <w:color w:val="000000" w:themeColor="text1"/>
          <w:lang w:val="fr-FR"/>
        </w:rPr>
        <w:t xml:space="preserve">peuvent bénéficier </w:t>
      </w:r>
      <w:r>
        <w:rPr>
          <w:rFonts w:cs="Arial"/>
          <w:iCs/>
          <w:szCs w:val="20"/>
          <w:lang w:val="fr-FR"/>
        </w:rPr>
        <w:t>aux oiseaux sans nuire à ces autres objectifs</w:t>
      </w:r>
      <w:r>
        <w:rPr>
          <w:rFonts w:cs="Arial"/>
          <w:iCs/>
          <w:szCs w:val="20"/>
          <w:u w:val="single"/>
          <w:lang w:val="fr-FR"/>
        </w:rPr>
        <w:t>;</w:t>
      </w:r>
    </w:p>
    <w:p w14:paraId="10343EB0" w14:textId="77777777" w:rsidR="00842A4E" w:rsidRPr="00084F80" w:rsidRDefault="00842A4E" w:rsidP="004762F0">
      <w:pPr>
        <w:pStyle w:val="ListParagraph"/>
        <w:spacing w:after="0" w:line="240" w:lineRule="auto"/>
        <w:ind w:left="1418" w:hanging="567"/>
        <w:contextualSpacing w:val="0"/>
        <w:jc w:val="both"/>
        <w:rPr>
          <w:rFonts w:cs="Arial"/>
          <w:iCs/>
          <w:szCs w:val="20"/>
          <w:u w:val="single"/>
          <w:lang w:val="fr-FR"/>
        </w:rPr>
      </w:pPr>
    </w:p>
    <w:p w14:paraId="3F5597FD" w14:textId="6528B1F3" w:rsidR="00842A4E" w:rsidRDefault="00842A4E" w:rsidP="004762F0">
      <w:pPr>
        <w:pStyle w:val="ListParagraph"/>
        <w:numPr>
          <w:ilvl w:val="0"/>
          <w:numId w:val="40"/>
        </w:numPr>
        <w:spacing w:after="0" w:line="240" w:lineRule="auto"/>
        <w:ind w:left="1418" w:hanging="567"/>
        <w:contextualSpacing w:val="0"/>
        <w:jc w:val="both"/>
        <w:rPr>
          <w:rFonts w:cs="Arial"/>
          <w:iCs/>
          <w:szCs w:val="20"/>
          <w:lang w:val="fr-FR"/>
        </w:rPr>
      </w:pPr>
      <w:r>
        <w:rPr>
          <w:rFonts w:cs="Arial"/>
          <w:iCs/>
          <w:szCs w:val="20"/>
          <w:lang w:val="fr-FR"/>
        </w:rPr>
        <w:t>sont invités à promouvoir l'enrichissement de la couverture végétale (y compris, mais pas seulement, les arbres) par l'utilisation d'espèces indigènes et la promotion de pratiques de gestion des terres écologiquement durables et d'une utilisation rationnelle de l'eau.</w:t>
      </w:r>
    </w:p>
    <w:p w14:paraId="1376232F" w14:textId="77777777" w:rsidR="00BA620E" w:rsidRDefault="00BA620E" w:rsidP="004762F0">
      <w:pPr>
        <w:pStyle w:val="ListParagraph"/>
        <w:spacing w:after="0" w:line="240" w:lineRule="auto"/>
        <w:ind w:left="1418" w:hanging="567"/>
        <w:contextualSpacing w:val="0"/>
        <w:jc w:val="both"/>
        <w:rPr>
          <w:rFonts w:cs="Arial"/>
          <w:iCs/>
          <w:szCs w:val="20"/>
          <w:lang w:val="fr-FR"/>
        </w:rPr>
      </w:pPr>
    </w:p>
    <w:p w14:paraId="653F923B" w14:textId="77777777" w:rsidR="00BA620E" w:rsidRDefault="00BA620E" w:rsidP="00674789">
      <w:pPr>
        <w:pStyle w:val="ListParagraph"/>
        <w:spacing w:after="0" w:line="240" w:lineRule="auto"/>
        <w:ind w:left="1426" w:hanging="288"/>
        <w:contextualSpacing w:val="0"/>
        <w:jc w:val="both"/>
        <w:rPr>
          <w:rFonts w:cs="Arial"/>
          <w:iCs/>
          <w:szCs w:val="20"/>
          <w:lang w:val="fr-FR"/>
        </w:rPr>
      </w:pPr>
    </w:p>
    <w:p w14:paraId="6AC49B2B" w14:textId="001B61AB" w:rsidR="00BA620E" w:rsidRPr="00BA620E" w:rsidRDefault="00BA620E" w:rsidP="004762F0">
      <w:pPr>
        <w:spacing w:after="0" w:line="240" w:lineRule="auto"/>
        <w:ind w:left="851" w:hanging="851"/>
        <w:jc w:val="both"/>
        <w:rPr>
          <w:rFonts w:cs="Arial"/>
          <w:b/>
          <w:iCs/>
          <w:szCs w:val="20"/>
          <w:lang w:val="fr-FR"/>
        </w:rPr>
      </w:pPr>
      <w:r>
        <w:rPr>
          <w:rFonts w:cs="Arial"/>
          <w:b/>
          <w:iCs/>
          <w:szCs w:val="20"/>
          <w:lang w:val="fr-FR"/>
        </w:rPr>
        <w:t xml:space="preserve">14.CC </w:t>
      </w:r>
      <w:r w:rsidR="004762F0">
        <w:rPr>
          <w:rFonts w:cs="Arial"/>
          <w:b/>
          <w:iCs/>
          <w:szCs w:val="20"/>
          <w:lang w:val="fr-FR"/>
        </w:rPr>
        <w:tab/>
      </w:r>
      <w:r>
        <w:rPr>
          <w:rFonts w:cs="Arial"/>
          <w:b/>
          <w:i/>
          <w:szCs w:val="20"/>
          <w:lang w:val="fr-FR"/>
        </w:rPr>
        <w:t>Adressé</w:t>
      </w:r>
      <w:r w:rsidR="004762F0">
        <w:rPr>
          <w:rFonts w:cs="Arial"/>
          <w:b/>
          <w:i/>
          <w:szCs w:val="20"/>
          <w:lang w:val="fr-FR"/>
        </w:rPr>
        <w:t>e</w:t>
      </w:r>
      <w:r>
        <w:rPr>
          <w:rFonts w:cs="Arial"/>
          <w:b/>
          <w:i/>
          <w:szCs w:val="20"/>
          <w:lang w:val="fr-FR"/>
        </w:rPr>
        <w:t xml:space="preserve"> au Conseil scientifique</w:t>
      </w:r>
    </w:p>
    <w:p w14:paraId="1381BAAF" w14:textId="77777777" w:rsidR="00BA620E" w:rsidRPr="00283490" w:rsidRDefault="00BA620E" w:rsidP="00674789">
      <w:pPr>
        <w:pStyle w:val="ListParagraph"/>
        <w:spacing w:after="0" w:line="240" w:lineRule="auto"/>
        <w:ind w:left="357"/>
        <w:contextualSpacing w:val="0"/>
        <w:jc w:val="both"/>
        <w:rPr>
          <w:rFonts w:cs="Arial"/>
          <w:iCs/>
          <w:szCs w:val="20"/>
          <w:lang w:val="fr-FR"/>
        </w:rPr>
      </w:pPr>
    </w:p>
    <w:p w14:paraId="72E37B00" w14:textId="77777777" w:rsidR="00BA620E" w:rsidRPr="00283490" w:rsidRDefault="00BA620E" w:rsidP="004762F0">
      <w:pPr>
        <w:pStyle w:val="ListParagraph"/>
        <w:spacing w:after="0" w:line="240" w:lineRule="auto"/>
        <w:ind w:left="851"/>
        <w:contextualSpacing w:val="0"/>
        <w:jc w:val="both"/>
        <w:rPr>
          <w:rFonts w:cs="Arial"/>
          <w:iCs/>
          <w:szCs w:val="20"/>
          <w:lang w:val="fr-FR"/>
        </w:rPr>
      </w:pPr>
      <w:r>
        <w:rPr>
          <w:rFonts w:cs="Arial"/>
          <w:iCs/>
          <w:szCs w:val="20"/>
          <w:lang w:val="fr-FR"/>
        </w:rPr>
        <w:t>Le Conseil scientifique est invité, sous réserve de la disponibilité des ressources, à :</w:t>
      </w:r>
    </w:p>
    <w:p w14:paraId="1BF2AE61" w14:textId="77777777" w:rsidR="00BA620E" w:rsidRPr="00283490" w:rsidRDefault="00BA620E" w:rsidP="00674789">
      <w:pPr>
        <w:pStyle w:val="ListParagraph"/>
        <w:spacing w:after="0" w:line="240" w:lineRule="auto"/>
        <w:ind w:left="357"/>
        <w:contextualSpacing w:val="0"/>
        <w:jc w:val="both"/>
        <w:rPr>
          <w:rFonts w:cs="Arial"/>
          <w:iCs/>
          <w:szCs w:val="20"/>
          <w:lang w:val="fr-FR"/>
        </w:rPr>
      </w:pPr>
    </w:p>
    <w:p w14:paraId="481890FC" w14:textId="3CFE441C" w:rsidR="00BA620E" w:rsidRPr="00882800" w:rsidRDefault="00BA620E" w:rsidP="004762F0">
      <w:pPr>
        <w:pStyle w:val="ListParagraph"/>
        <w:numPr>
          <w:ilvl w:val="0"/>
          <w:numId w:val="41"/>
        </w:numPr>
        <w:spacing w:after="0" w:line="240" w:lineRule="auto"/>
        <w:ind w:left="1418" w:hanging="567"/>
        <w:contextualSpacing w:val="0"/>
        <w:jc w:val="both"/>
        <w:rPr>
          <w:rFonts w:cs="Arial"/>
          <w:iCs/>
          <w:szCs w:val="20"/>
          <w:lang w:val="fr-FR"/>
        </w:rPr>
      </w:pPr>
      <w:r>
        <w:rPr>
          <w:rFonts w:cs="Arial"/>
          <w:iCs/>
          <w:szCs w:val="20"/>
          <w:lang w:val="fr-FR"/>
        </w:rPr>
        <w:t>poursuivre le Groupe de travail sur les oiseaux terrestres migrateurs d'Afrique-Eurasie jusqu'à la COP15, en élargissant sa composition et en intégrant l'expertise des régions géographiques actuellement absentes, afin de faciliter et de suivre la mise en œuvre du plan d'action, en développant des indicateurs pour évaluer la mise en œuvre du programme de travail 2021-2026 ;</w:t>
      </w:r>
    </w:p>
    <w:p w14:paraId="717EF3E7" w14:textId="77777777" w:rsidR="00BA620E" w:rsidRPr="00283490" w:rsidRDefault="00BA620E" w:rsidP="004762F0">
      <w:pPr>
        <w:pStyle w:val="ListParagraph"/>
        <w:spacing w:after="0" w:line="240" w:lineRule="auto"/>
        <w:ind w:left="1418" w:hanging="567"/>
        <w:contextualSpacing w:val="0"/>
        <w:jc w:val="both"/>
        <w:rPr>
          <w:rFonts w:cs="Arial"/>
          <w:iCs/>
          <w:szCs w:val="20"/>
          <w:lang w:val="fr-FR"/>
        </w:rPr>
      </w:pPr>
    </w:p>
    <w:p w14:paraId="319F2188" w14:textId="682B0FB0" w:rsidR="00AE2E4A" w:rsidRDefault="00BA620E" w:rsidP="004762F0">
      <w:pPr>
        <w:pStyle w:val="ListParagraph"/>
        <w:numPr>
          <w:ilvl w:val="0"/>
          <w:numId w:val="41"/>
        </w:numPr>
        <w:spacing w:after="0" w:line="240" w:lineRule="auto"/>
        <w:ind w:left="1418" w:hanging="567"/>
        <w:contextualSpacing w:val="0"/>
        <w:jc w:val="both"/>
        <w:rPr>
          <w:rFonts w:cs="Arial"/>
          <w:iCs/>
          <w:szCs w:val="20"/>
          <w:lang w:val="fr-FR"/>
        </w:rPr>
      </w:pPr>
      <w:r>
        <w:rPr>
          <w:rFonts w:cs="Arial"/>
          <w:iCs/>
          <w:szCs w:val="20"/>
          <w:lang w:val="fr-FR"/>
        </w:rPr>
        <w:t xml:space="preserve">travailler avec le Groupe d'étude sur les oiseaux terrestres migrateurs, les institutions universitaires concernées, les bailleurs de fonds pour la recherche et le Groupe de travail, afin de promouvoir activement la recherche qui aborde les principales lacunes de connaissances relatives à la conservation des oiseaux terrestres migrateurs dans les paysages eurasiens, comme indiqué au </w:t>
      </w:r>
      <w:r>
        <w:rPr>
          <w:rFonts w:cs="Arial"/>
          <w:szCs w:val="20"/>
          <w:lang w:val="fr-FR"/>
        </w:rPr>
        <w:t xml:space="preserve">paragraphe </w:t>
      </w:r>
      <w:r>
        <w:rPr>
          <w:rFonts w:cs="Arial"/>
          <w:iCs/>
          <w:szCs w:val="20"/>
          <w:lang w:val="fr-FR"/>
        </w:rPr>
        <w:t xml:space="preserve">8 de la Résolution 11.17 (Rev.COP14) </w:t>
      </w:r>
      <w:r>
        <w:rPr>
          <w:rFonts w:cs="Arial"/>
          <w:i/>
          <w:iCs/>
          <w:szCs w:val="20"/>
          <w:lang w:val="fr-FR"/>
        </w:rPr>
        <w:t>Plan d'action pour les oiseaux terrestres migrateurs dans la région Afrique-Eurasie (AEMLAP)</w:t>
      </w:r>
      <w:r>
        <w:rPr>
          <w:rFonts w:cs="Arial"/>
          <w:iCs/>
          <w:szCs w:val="20"/>
          <w:lang w:val="fr-FR"/>
        </w:rPr>
        <w:t xml:space="preserve"> ;</w:t>
      </w:r>
    </w:p>
    <w:p w14:paraId="501FDE67" w14:textId="77777777" w:rsidR="00A802E9" w:rsidRDefault="00A802E9" w:rsidP="004762F0">
      <w:pPr>
        <w:pStyle w:val="ListParagraph"/>
        <w:spacing w:after="0" w:line="240" w:lineRule="auto"/>
        <w:ind w:left="1418" w:hanging="567"/>
        <w:contextualSpacing w:val="0"/>
        <w:jc w:val="both"/>
        <w:rPr>
          <w:rFonts w:cs="Arial"/>
          <w:iCs/>
          <w:szCs w:val="20"/>
          <w:lang w:val="fr-FR"/>
        </w:rPr>
      </w:pPr>
    </w:p>
    <w:p w14:paraId="028BB1EC" w14:textId="24345BF6" w:rsidR="00A802E9" w:rsidRPr="006E08B7" w:rsidRDefault="00BA620E" w:rsidP="004762F0">
      <w:pPr>
        <w:pStyle w:val="ListParagraph"/>
        <w:numPr>
          <w:ilvl w:val="0"/>
          <w:numId w:val="41"/>
        </w:numPr>
        <w:spacing w:after="0" w:line="240" w:lineRule="auto"/>
        <w:ind w:left="1418" w:hanging="567"/>
        <w:contextualSpacing w:val="0"/>
        <w:jc w:val="both"/>
        <w:rPr>
          <w:rFonts w:cs="Arial"/>
          <w:iCs/>
          <w:strike/>
          <w:szCs w:val="20"/>
          <w:lang w:val="fr-FR"/>
        </w:rPr>
      </w:pPr>
      <w:r>
        <w:rPr>
          <w:rFonts w:cs="Arial"/>
          <w:iCs/>
          <w:szCs w:val="20"/>
          <w:lang w:val="fr-FR"/>
        </w:rPr>
        <w:t>fournir un soutien au Groupe de travail, à son Groupe directeur et à son Unité de coordination pour la mise en œuvre du programme de travail du Groupe de travail.</w:t>
      </w:r>
    </w:p>
    <w:p w14:paraId="3F0B1390" w14:textId="4D4DDE65" w:rsidR="00D01789" w:rsidRDefault="00D01789" w:rsidP="00674789">
      <w:pPr>
        <w:widowControl w:val="0"/>
        <w:autoSpaceDE w:val="0"/>
        <w:adjustRightInd w:val="0"/>
        <w:spacing w:after="0" w:line="240" w:lineRule="auto"/>
        <w:ind w:left="360"/>
        <w:jc w:val="both"/>
        <w:rPr>
          <w:rFonts w:cs="Arial"/>
          <w:lang w:val="fr-FR"/>
        </w:rPr>
      </w:pPr>
      <w:r>
        <w:rPr>
          <w:rFonts w:cs="Arial"/>
          <w:lang w:val="fr-FR"/>
        </w:rPr>
        <w:br w:type="page"/>
      </w:r>
    </w:p>
    <w:p w14:paraId="2AC01B11" w14:textId="326976E2" w:rsidR="00283490" w:rsidRPr="003339D4" w:rsidRDefault="006F5AE9" w:rsidP="004762F0">
      <w:pPr>
        <w:pStyle w:val="ListParagraph"/>
        <w:spacing w:after="0" w:line="240" w:lineRule="auto"/>
        <w:ind w:left="851" w:hanging="851"/>
        <w:contextualSpacing w:val="0"/>
        <w:jc w:val="both"/>
        <w:rPr>
          <w:rFonts w:cs="Arial"/>
          <w:b/>
          <w:i/>
          <w:szCs w:val="20"/>
          <w:lang w:val="fr-FR"/>
        </w:rPr>
      </w:pPr>
      <w:r>
        <w:rPr>
          <w:rFonts w:cs="Arial"/>
          <w:b/>
          <w:iCs/>
          <w:szCs w:val="20"/>
          <w:lang w:val="fr-FR"/>
        </w:rPr>
        <w:lastRenderedPageBreak/>
        <w:t xml:space="preserve">14.DD </w:t>
      </w:r>
      <w:r w:rsidR="004762F0">
        <w:rPr>
          <w:rFonts w:cs="Arial"/>
          <w:b/>
          <w:iCs/>
          <w:szCs w:val="20"/>
          <w:lang w:val="fr-FR"/>
        </w:rPr>
        <w:tab/>
      </w:r>
      <w:r>
        <w:rPr>
          <w:rFonts w:cs="Arial"/>
          <w:b/>
          <w:i/>
          <w:szCs w:val="20"/>
          <w:lang w:val="fr-FR"/>
        </w:rPr>
        <w:t>Adressé</w:t>
      </w:r>
      <w:r w:rsidR="00D01789">
        <w:rPr>
          <w:rFonts w:cs="Arial"/>
          <w:b/>
          <w:i/>
          <w:szCs w:val="20"/>
          <w:lang w:val="fr-FR"/>
        </w:rPr>
        <w:t>e</w:t>
      </w:r>
      <w:r>
        <w:rPr>
          <w:rFonts w:cs="Arial"/>
          <w:b/>
          <w:i/>
          <w:szCs w:val="20"/>
          <w:lang w:val="fr-FR"/>
        </w:rPr>
        <w:t xml:space="preserve"> au Secrétariat</w:t>
      </w:r>
    </w:p>
    <w:p w14:paraId="26DB17A5" w14:textId="77777777" w:rsidR="00283490" w:rsidRPr="00283490" w:rsidRDefault="00283490" w:rsidP="00674789">
      <w:pPr>
        <w:pStyle w:val="ListParagraph"/>
        <w:spacing w:after="0" w:line="240" w:lineRule="auto"/>
        <w:ind w:left="567"/>
        <w:contextualSpacing w:val="0"/>
        <w:jc w:val="both"/>
        <w:rPr>
          <w:rFonts w:cs="Arial"/>
          <w:iCs/>
          <w:szCs w:val="20"/>
          <w:lang w:val="fr-FR"/>
        </w:rPr>
      </w:pPr>
    </w:p>
    <w:p w14:paraId="3E26DED2" w14:textId="1B9FC34B" w:rsidR="00283490" w:rsidRPr="00283490" w:rsidRDefault="00283490" w:rsidP="00D01789">
      <w:pPr>
        <w:pStyle w:val="ListParagraph"/>
        <w:spacing w:after="0" w:line="240" w:lineRule="auto"/>
        <w:ind w:left="851"/>
        <w:contextualSpacing w:val="0"/>
        <w:jc w:val="both"/>
        <w:rPr>
          <w:rFonts w:cs="Arial"/>
          <w:iCs/>
          <w:szCs w:val="20"/>
          <w:lang w:val="fr-FR"/>
        </w:rPr>
      </w:pPr>
      <w:r>
        <w:rPr>
          <w:rFonts w:cs="Arial"/>
          <w:iCs/>
          <w:szCs w:val="20"/>
          <w:lang w:val="fr-FR"/>
        </w:rPr>
        <w:t>Le secrétariat, sous réserve de la disponibilité des ressources devra :</w:t>
      </w:r>
    </w:p>
    <w:p w14:paraId="67D56A51" w14:textId="77777777" w:rsidR="00283490" w:rsidRPr="00E66443" w:rsidRDefault="00283490" w:rsidP="00674789">
      <w:pPr>
        <w:pStyle w:val="ListParagraph"/>
        <w:spacing w:after="0" w:line="240" w:lineRule="auto"/>
        <w:ind w:left="1418" w:hanging="284"/>
        <w:contextualSpacing w:val="0"/>
        <w:jc w:val="both"/>
        <w:rPr>
          <w:rFonts w:cs="Arial"/>
          <w:strike/>
          <w:szCs w:val="20"/>
          <w:lang w:val="fr-FR"/>
        </w:rPr>
      </w:pPr>
    </w:p>
    <w:p w14:paraId="58CD53A6" w14:textId="17BA755C" w:rsidR="00831DC2" w:rsidRDefault="00283490" w:rsidP="00D01789">
      <w:pPr>
        <w:pStyle w:val="ListParagraph"/>
        <w:numPr>
          <w:ilvl w:val="0"/>
          <w:numId w:val="42"/>
        </w:numPr>
        <w:spacing w:after="0" w:line="240" w:lineRule="auto"/>
        <w:ind w:left="1418" w:hanging="567"/>
        <w:contextualSpacing w:val="0"/>
        <w:jc w:val="both"/>
        <w:rPr>
          <w:rFonts w:cs="Arial"/>
          <w:iCs/>
          <w:szCs w:val="20"/>
          <w:lang w:val="fr-FR"/>
        </w:rPr>
      </w:pPr>
      <w:r>
        <w:rPr>
          <w:rFonts w:cs="Arial"/>
          <w:iCs/>
          <w:szCs w:val="20"/>
          <w:lang w:val="fr-FR"/>
        </w:rPr>
        <w:t>promouvoir l'importance de l'utilisation durable des terres pour les oiseaux migrateurs, de même que les pratiques et approches spécifiques décrites dans le programme de travail du Groupe de travail de l'AEMLAP, en collaboration avec les agences des Nations Unies concernées et d'autres institutions internationales, et rechercher des possibilités de collaboration afin d'encourager l'utilisation durable des terres pour les espèces migratrices et les populations ;</w:t>
      </w:r>
    </w:p>
    <w:p w14:paraId="45A042A0" w14:textId="77777777" w:rsidR="009A6D4F" w:rsidRDefault="009A6D4F" w:rsidP="00D01789">
      <w:pPr>
        <w:pStyle w:val="ListParagraph"/>
        <w:spacing w:after="0" w:line="240" w:lineRule="auto"/>
        <w:ind w:left="1418" w:hanging="567"/>
        <w:contextualSpacing w:val="0"/>
        <w:jc w:val="both"/>
        <w:rPr>
          <w:rFonts w:cs="Arial"/>
          <w:iCs/>
          <w:szCs w:val="20"/>
          <w:lang w:val="fr-FR"/>
        </w:rPr>
      </w:pPr>
    </w:p>
    <w:p w14:paraId="6EE0D840" w14:textId="4446CA6C" w:rsidR="006E08B7" w:rsidRPr="00283490" w:rsidRDefault="006E08B7" w:rsidP="00D01789">
      <w:pPr>
        <w:pStyle w:val="ListParagraph"/>
        <w:numPr>
          <w:ilvl w:val="0"/>
          <w:numId w:val="42"/>
        </w:numPr>
        <w:spacing w:after="0" w:line="240" w:lineRule="auto"/>
        <w:ind w:left="1418" w:hanging="567"/>
        <w:contextualSpacing w:val="0"/>
        <w:jc w:val="both"/>
        <w:rPr>
          <w:rFonts w:cs="Arial"/>
          <w:iCs/>
          <w:szCs w:val="20"/>
          <w:lang w:val="fr-FR"/>
        </w:rPr>
      </w:pPr>
      <w:r>
        <w:rPr>
          <w:rFonts w:cs="Arial"/>
          <w:iCs/>
          <w:szCs w:val="20"/>
          <w:lang w:val="fr-FR"/>
        </w:rPr>
        <w:t>collaborer avec les institutions compétentes des Nations Unies, les organisations internationales et d'autres parties prenantes pour organiser un atelier sur l'intégration des exigences en matière de biodiversité dans la mise en œuvre de la neutralité en matière de dégradation des terres à l'échelle appropriée.</w:t>
      </w:r>
    </w:p>
    <w:p w14:paraId="24ADA01B" w14:textId="77777777" w:rsidR="006E08B7" w:rsidRPr="005C1327" w:rsidRDefault="006E08B7" w:rsidP="005C1327">
      <w:pPr>
        <w:pStyle w:val="ListParagraph"/>
        <w:ind w:left="1418" w:hanging="284"/>
        <w:jc w:val="both"/>
        <w:rPr>
          <w:rFonts w:cs="Arial"/>
          <w:iCs/>
          <w:szCs w:val="20"/>
          <w:lang w:val="fr-FR"/>
        </w:rPr>
      </w:pPr>
    </w:p>
    <w:sectPr w:rsidR="006E08B7" w:rsidRPr="005C1327" w:rsidSect="0056522B">
      <w:headerReference w:type="even" r:id="rId35"/>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27DB" w14:textId="77777777" w:rsidR="009A7733" w:rsidRDefault="009A7733" w:rsidP="002E0DE9">
      <w:pPr>
        <w:spacing w:after="0" w:line="240" w:lineRule="auto"/>
        <w:rPr>
          <w:lang w:val="fr-FR"/>
        </w:rPr>
      </w:pPr>
      <w:r>
        <w:rPr>
          <w:lang w:val="fr-FR"/>
        </w:rPr>
        <w:separator/>
      </w:r>
    </w:p>
  </w:endnote>
  <w:endnote w:type="continuationSeparator" w:id="0">
    <w:p w14:paraId="36EA54FE" w14:textId="77777777" w:rsidR="009A7733" w:rsidRDefault="009A7733" w:rsidP="002E0DE9">
      <w:pPr>
        <w:spacing w:after="0" w:line="240" w:lineRule="auto"/>
        <w:rPr>
          <w:lang w:val="fr-FR"/>
        </w:rPr>
      </w:pPr>
      <w:r>
        <w:rPr>
          <w:lang w:val="fr-FR"/>
        </w:rPr>
        <w:continuationSeparator/>
      </w:r>
    </w:p>
  </w:endnote>
  <w:endnote w:type="continuationNotice" w:id="1">
    <w:p w14:paraId="55911D1A" w14:textId="77777777" w:rsidR="009A7733" w:rsidRDefault="009A7733">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4DDA" w14:textId="77777777" w:rsidR="009A7733" w:rsidRDefault="009A7733" w:rsidP="002E0DE9">
      <w:pPr>
        <w:spacing w:after="0" w:line="240" w:lineRule="auto"/>
        <w:rPr>
          <w:lang w:val="fr-FR"/>
        </w:rPr>
      </w:pPr>
      <w:r>
        <w:rPr>
          <w:lang w:val="fr-FR"/>
        </w:rPr>
        <w:separator/>
      </w:r>
    </w:p>
  </w:footnote>
  <w:footnote w:type="continuationSeparator" w:id="0">
    <w:p w14:paraId="0842E699" w14:textId="77777777" w:rsidR="009A7733" w:rsidRDefault="009A7733" w:rsidP="002E0DE9">
      <w:pPr>
        <w:spacing w:after="0" w:line="240" w:lineRule="auto"/>
        <w:rPr>
          <w:lang w:val="fr-FR"/>
        </w:rPr>
      </w:pPr>
      <w:r>
        <w:rPr>
          <w:lang w:val="fr-FR"/>
        </w:rPr>
        <w:continuationSeparator/>
      </w:r>
    </w:p>
  </w:footnote>
  <w:footnote w:type="continuationNotice" w:id="1">
    <w:p w14:paraId="3D7FC9FF" w14:textId="77777777" w:rsidR="009A7733" w:rsidRDefault="009A7733">
      <w:pPr>
        <w:spacing w:after="0" w:line="240" w:lineRule="auto"/>
        <w:rPr>
          <w:lang w:val="fr-FR"/>
        </w:rPr>
      </w:pPr>
    </w:p>
  </w:footnote>
  <w:footnote w:id="2">
    <w:p w14:paraId="1262CD44" w14:textId="77777777" w:rsidR="00955309" w:rsidRPr="00955309" w:rsidRDefault="00955309" w:rsidP="00955309">
      <w:pPr>
        <w:pStyle w:val="FootnoteText"/>
        <w:rPr>
          <w:rFonts w:cs="Arial"/>
          <w:sz w:val="16"/>
          <w:szCs w:val="16"/>
          <w:lang w:val="fr-FR"/>
        </w:rPr>
      </w:pPr>
      <w:r w:rsidRPr="002703EC">
        <w:rPr>
          <w:rStyle w:val="FootnoteReference"/>
          <w:rFonts w:cs="Arial"/>
          <w:sz w:val="16"/>
          <w:szCs w:val="16"/>
        </w:rPr>
        <w:footnoteRef/>
      </w:r>
      <w:r w:rsidRPr="00955309">
        <w:rPr>
          <w:rFonts w:cs="Arial"/>
          <w:sz w:val="16"/>
          <w:szCs w:val="16"/>
          <w:lang w:val="fr-FR"/>
        </w:rPr>
        <w:t xml:space="preserve"> </w:t>
      </w:r>
      <w:bookmarkStart w:id="2" w:name="_Hlk21333863"/>
      <w:bookmarkStart w:id="3" w:name="_Hlk21333862"/>
      <w:bookmarkStart w:id="4" w:name="_Hlk21333861"/>
      <w:bookmarkStart w:id="5" w:name="_Hlk21333860"/>
      <w:r w:rsidRPr="00955309">
        <w:rPr>
          <w:rFonts w:cs="Arial"/>
          <w:sz w:val="16"/>
          <w:szCs w:val="16"/>
          <w:lang w:val="fr-FR"/>
        </w:rPr>
        <w:t xml:space="preserve">Remplacée par la Résolution 11.17 (Rev.COP12) </w:t>
      </w:r>
      <w:r w:rsidRPr="00955309">
        <w:rPr>
          <w:rFonts w:cs="Arial"/>
          <w:i/>
          <w:sz w:val="16"/>
          <w:szCs w:val="16"/>
          <w:lang w:val="fr-FR"/>
        </w:rPr>
        <w:t>Plan d’action pour les oiseaux terrestres migrateurs d’Afrique-Eurasie (AEMLAP)</w:t>
      </w:r>
      <w:bookmarkEnd w:id="2"/>
      <w:bookmarkEnd w:id="3"/>
      <w:bookmarkEnd w:id="4"/>
      <w:bookmarkEnd w:id="5"/>
    </w:p>
  </w:footnote>
  <w:footnote w:id="3">
    <w:p w14:paraId="00F2DE2A" w14:textId="77777777" w:rsidR="00955309" w:rsidRPr="00F80C18" w:rsidRDefault="00955309" w:rsidP="00955309">
      <w:pPr>
        <w:pStyle w:val="FootnoteText"/>
        <w:rPr>
          <w:sz w:val="16"/>
          <w:szCs w:val="16"/>
          <w:u w:val="single"/>
          <w:lang w:val="fr-FR"/>
        </w:rPr>
      </w:pPr>
      <w:r>
        <w:rPr>
          <w:rStyle w:val="FootnoteReference"/>
          <w:sz w:val="16"/>
          <w:szCs w:val="16"/>
          <w:u w:val="single"/>
          <w:lang w:val="fr-FR"/>
        </w:rPr>
        <w:footnoteRef/>
      </w:r>
      <w:r>
        <w:rPr>
          <w:sz w:val="16"/>
          <w:szCs w:val="16"/>
          <w:u w:val="single"/>
          <w:lang w:val="fr-FR"/>
        </w:rPr>
        <w:t xml:space="preserve"> et les révisions ultérieures de la présente Résolution</w:t>
      </w:r>
    </w:p>
  </w:footnote>
  <w:footnote w:id="4">
    <w:p w14:paraId="00B0A07D" w14:textId="77777777" w:rsidR="00955309" w:rsidRPr="00737312" w:rsidRDefault="00955309" w:rsidP="00955309">
      <w:pPr>
        <w:pStyle w:val="FootnoteText"/>
        <w:rPr>
          <w:lang w:val="fr-FR"/>
        </w:rPr>
      </w:pPr>
      <w:r>
        <w:rPr>
          <w:rStyle w:val="FootnoteReference"/>
          <w:sz w:val="16"/>
          <w:szCs w:val="16"/>
          <w:u w:val="single"/>
          <w:lang w:val="fr-FR"/>
        </w:rPr>
        <w:footnoteRef/>
      </w:r>
      <w:r>
        <w:rPr>
          <w:sz w:val="16"/>
          <w:szCs w:val="16"/>
          <w:u w:val="single"/>
          <w:lang w:val="fr-FR"/>
        </w:rPr>
        <w:t xml:space="preserve"> et les révisions ultérieures de la présente Résolution</w:t>
      </w:r>
    </w:p>
  </w:footnote>
  <w:footnote w:id="5">
    <w:p w14:paraId="54B40CF1" w14:textId="77777777" w:rsidR="008C265B" w:rsidRPr="009E3719" w:rsidRDefault="008C265B" w:rsidP="008C265B">
      <w:pPr>
        <w:pStyle w:val="FootnoteText"/>
        <w:rPr>
          <w:sz w:val="16"/>
          <w:szCs w:val="16"/>
          <w:u w:val="single"/>
          <w:lang w:val="fr-FR"/>
        </w:rPr>
      </w:pPr>
      <w:r w:rsidRPr="009E3719">
        <w:rPr>
          <w:rStyle w:val="FootnoteReference"/>
          <w:sz w:val="16"/>
          <w:szCs w:val="16"/>
          <w:u w:val="single"/>
          <w:lang w:val="fr-FR"/>
        </w:rPr>
        <w:footnoteRef/>
      </w:r>
      <w:r w:rsidRPr="009E3719">
        <w:rPr>
          <w:sz w:val="16"/>
          <w:szCs w:val="16"/>
          <w:u w:val="single"/>
          <w:lang w:val="fr-FR"/>
        </w:rPr>
        <w:t xml:space="preserve"> et les révisions ultérieures de la présente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C968" w14:textId="140E5236" w:rsidR="00D01789" w:rsidRPr="00661875" w:rsidRDefault="00D01789" w:rsidP="00371DE1">
    <w:pPr>
      <w:pStyle w:val="Header"/>
      <w:pBdr>
        <w:bottom w:val="single" w:sz="4" w:space="1" w:color="auto"/>
      </w:pBdr>
      <w:rPr>
        <w:rFonts w:cs="Arial"/>
        <w:i/>
        <w:sz w:val="18"/>
        <w:szCs w:val="18"/>
        <w:lang w:val="fr-FR"/>
      </w:rPr>
    </w:pPr>
    <w:r>
      <w:rPr>
        <w:rFonts w:cs="Arial"/>
        <w:i/>
        <w:sz w:val="18"/>
        <w:szCs w:val="18"/>
        <w:lang w:val="fr-FR"/>
      </w:rPr>
      <w:t>UNEP/CMS/COP14/Doc.28.2/Annexe 2</w:t>
    </w:r>
  </w:p>
  <w:p w14:paraId="1FF668A2" w14:textId="77777777" w:rsidR="00D01789" w:rsidRPr="00371DE1" w:rsidRDefault="00D01789"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830F" w14:textId="1668E240" w:rsidR="00D01789" w:rsidRPr="00661875" w:rsidRDefault="00D01789" w:rsidP="00A836DB">
    <w:pPr>
      <w:pStyle w:val="Header"/>
      <w:pBdr>
        <w:bottom w:val="single" w:sz="4" w:space="1" w:color="auto"/>
      </w:pBdr>
      <w:jc w:val="right"/>
      <w:rPr>
        <w:rFonts w:cs="Arial"/>
        <w:i/>
        <w:sz w:val="18"/>
        <w:szCs w:val="18"/>
        <w:lang w:val="fr-FR"/>
      </w:rPr>
    </w:pPr>
    <w:r>
      <w:rPr>
        <w:rFonts w:cs="Arial"/>
        <w:i/>
        <w:sz w:val="18"/>
        <w:szCs w:val="18"/>
        <w:lang w:val="fr-FR"/>
      </w:rPr>
      <w:t>UNEP/CMS/COP14/Doc.28.2/Annexe2</w:t>
    </w:r>
  </w:p>
  <w:p w14:paraId="63D8BBC0" w14:textId="77777777" w:rsidR="00D01789" w:rsidRPr="00A836DB" w:rsidRDefault="00D01789"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9842" w14:textId="10243F1F" w:rsidR="004762F0" w:rsidRPr="00661875" w:rsidRDefault="004762F0" w:rsidP="004762F0">
    <w:pPr>
      <w:pStyle w:val="Header"/>
      <w:pBdr>
        <w:bottom w:val="single" w:sz="4" w:space="1" w:color="auto"/>
      </w:pBdr>
      <w:jc w:val="right"/>
      <w:rPr>
        <w:rFonts w:cs="Arial"/>
        <w:i/>
        <w:sz w:val="18"/>
        <w:szCs w:val="18"/>
        <w:lang w:val="fr-FR"/>
      </w:rPr>
    </w:pPr>
    <w:r>
      <w:rPr>
        <w:rFonts w:cs="Arial"/>
        <w:i/>
        <w:sz w:val="18"/>
        <w:szCs w:val="18"/>
        <w:lang w:val="fr-FR"/>
      </w:rPr>
      <w:t>UNEP/CMS/COP14/Doc.28.2/Annexe 2</w:t>
    </w:r>
  </w:p>
  <w:p w14:paraId="1DF2DFCA" w14:textId="77777777" w:rsidR="004762F0" w:rsidRPr="002E0DE9" w:rsidRDefault="004762F0"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65D9" w14:textId="77777777" w:rsidR="0056522B" w:rsidRPr="00EC2A58" w:rsidRDefault="0056522B" w:rsidP="0056522B">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5408" behindDoc="0" locked="0" layoutInCell="1" allowOverlap="1" wp14:anchorId="4CEA1038" wp14:editId="4A7D03B1">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3120" behindDoc="0" locked="0" layoutInCell="1" allowOverlap="1" wp14:anchorId="390384DA" wp14:editId="570C7A15">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14B45E22" wp14:editId="668C046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D5EE7A9" w14:textId="77777777" w:rsidR="0056522B" w:rsidRDefault="0056522B" w:rsidP="0056522B">
    <w:pPr>
      <w:pStyle w:val="Header"/>
    </w:pPr>
  </w:p>
  <w:p w14:paraId="4B887D92" w14:textId="77777777" w:rsidR="0056522B" w:rsidRDefault="00565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6DD1BE17" w:rsidR="00371DE1" w:rsidRPr="00661875" w:rsidRDefault="00371DE1" w:rsidP="00371DE1">
    <w:pPr>
      <w:pStyle w:val="Header"/>
      <w:pBdr>
        <w:bottom w:val="single" w:sz="4" w:space="1" w:color="auto"/>
      </w:pBdr>
      <w:rPr>
        <w:rFonts w:cs="Arial"/>
        <w:i/>
        <w:sz w:val="18"/>
        <w:szCs w:val="18"/>
        <w:lang w:val="de-DE"/>
      </w:rPr>
    </w:pPr>
    <w:r>
      <w:rPr>
        <w:rFonts w:cs="Arial"/>
        <w:i/>
        <w:sz w:val="18"/>
        <w:szCs w:val="18"/>
        <w:lang w:val="de-DE"/>
      </w:rPr>
      <w:t>UNEP/CMS/COP14/Doc.28.2</w:t>
    </w:r>
  </w:p>
  <w:p w14:paraId="7797D15F" w14:textId="77777777" w:rsidR="00371DE1" w:rsidRPr="00371DE1" w:rsidRDefault="00371DE1"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DEFADC3"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UNEP/CMS/COP14/Doc.28.2</w:t>
    </w:r>
  </w:p>
  <w:p w14:paraId="5E40C068" w14:textId="24E32600" w:rsidR="002D6582" w:rsidRPr="00A836DB"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3E98129E"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UNEP/CMS/COP14/Doc.28.2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5774111C" w:rsidR="00371DE1" w:rsidRPr="00661875" w:rsidRDefault="00371DE1" w:rsidP="00371DE1">
    <w:pPr>
      <w:pStyle w:val="Header"/>
      <w:pBdr>
        <w:bottom w:val="single" w:sz="4" w:space="1" w:color="auto"/>
      </w:pBdr>
      <w:rPr>
        <w:rFonts w:cs="Arial"/>
        <w:i/>
        <w:sz w:val="18"/>
        <w:szCs w:val="18"/>
        <w:lang w:val="fr-FR"/>
      </w:rPr>
    </w:pPr>
    <w:r>
      <w:rPr>
        <w:rFonts w:cs="Arial"/>
        <w:i/>
        <w:sz w:val="18"/>
        <w:szCs w:val="18"/>
        <w:lang w:val="fr-FR"/>
      </w:rPr>
      <w:t xml:space="preserve">UNEP/CMS/COP14/Doc.28.2/Annexe </w:t>
    </w:r>
    <w:r w:rsidR="004762F0">
      <w:rPr>
        <w:rFonts w:cs="Arial"/>
        <w:i/>
        <w:sz w:val="18"/>
        <w:szCs w:val="18"/>
        <w:lang w:val="fr-FR"/>
      </w:rPr>
      <w:t>1</w:t>
    </w:r>
  </w:p>
  <w:p w14:paraId="66849521" w14:textId="77777777" w:rsidR="00371DE1" w:rsidRPr="00371DE1" w:rsidRDefault="00371DE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A548" w14:textId="558E3044" w:rsidR="00A44566" w:rsidRPr="00661875" w:rsidRDefault="00A44566" w:rsidP="00A836DB">
    <w:pPr>
      <w:pStyle w:val="Header"/>
      <w:pBdr>
        <w:bottom w:val="single" w:sz="4" w:space="1" w:color="auto"/>
      </w:pBdr>
      <w:jc w:val="right"/>
      <w:rPr>
        <w:rFonts w:cs="Arial"/>
        <w:i/>
        <w:sz w:val="18"/>
        <w:szCs w:val="18"/>
        <w:lang w:val="fr-FR"/>
      </w:rPr>
    </w:pPr>
    <w:r>
      <w:rPr>
        <w:rFonts w:cs="Arial"/>
        <w:i/>
        <w:sz w:val="18"/>
        <w:szCs w:val="18"/>
        <w:lang w:val="fr-FR"/>
      </w:rPr>
      <w:t>UNEP/CMS/COP14/Doc.</w:t>
    </w:r>
    <w:r w:rsidR="005671E2">
      <w:rPr>
        <w:rFonts w:cs="Arial"/>
        <w:i/>
        <w:sz w:val="18"/>
        <w:szCs w:val="18"/>
        <w:lang w:val="fr-FR"/>
      </w:rPr>
      <w:t>28.2</w:t>
    </w:r>
    <w:r>
      <w:rPr>
        <w:rFonts w:cs="Arial"/>
        <w:i/>
        <w:sz w:val="18"/>
        <w:szCs w:val="18"/>
        <w:lang w:val="fr-FR"/>
      </w:rPr>
      <w:t>/Annexe</w:t>
    </w:r>
    <w:r w:rsidR="004762F0">
      <w:rPr>
        <w:rFonts w:cs="Arial"/>
        <w:i/>
        <w:sz w:val="18"/>
        <w:szCs w:val="18"/>
        <w:lang w:val="fr-FR"/>
      </w:rPr>
      <w:t>1</w:t>
    </w:r>
  </w:p>
  <w:p w14:paraId="72E48420" w14:textId="77777777" w:rsidR="00A44566" w:rsidRPr="00A836DB" w:rsidRDefault="00A44566"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F3DF255" w:rsidR="00371DE1" w:rsidRPr="00661875" w:rsidRDefault="00371DE1" w:rsidP="00C94751">
    <w:pPr>
      <w:pStyle w:val="Header"/>
      <w:pBdr>
        <w:bottom w:val="single" w:sz="4" w:space="1" w:color="auto"/>
      </w:pBdr>
      <w:rPr>
        <w:rFonts w:cs="Arial"/>
        <w:i/>
        <w:sz w:val="18"/>
        <w:szCs w:val="18"/>
        <w:lang w:val="fr-FR"/>
      </w:rPr>
    </w:pPr>
    <w:r>
      <w:rPr>
        <w:rFonts w:cs="Arial"/>
        <w:i/>
        <w:sz w:val="18"/>
        <w:szCs w:val="18"/>
        <w:lang w:val="fr-FR"/>
      </w:rPr>
      <w:t xml:space="preserve">UNEP/CMS/COP14/Doc.28.2/Annexe </w:t>
    </w:r>
    <w:r w:rsidR="004762F0">
      <w:rPr>
        <w:rFonts w:cs="Arial"/>
        <w:i/>
        <w:sz w:val="18"/>
        <w:szCs w:val="18"/>
        <w:lang w:val="fr-FR"/>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AAC"/>
    <w:multiLevelType w:val="hybridMultilevel"/>
    <w:tmpl w:val="EAB4A1FE"/>
    <w:lvl w:ilvl="0" w:tplc="722ECC94">
      <w:start w:val="1"/>
      <w:numFmt w:val="low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D1C8C"/>
    <w:multiLevelType w:val="hybridMultilevel"/>
    <w:tmpl w:val="084CB42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984249B"/>
    <w:multiLevelType w:val="hybridMultilevel"/>
    <w:tmpl w:val="9CB8E060"/>
    <w:lvl w:ilvl="0" w:tplc="46DCBE8C">
      <w:start w:val="13"/>
      <w:numFmt w:val="bullet"/>
      <w:lvlText w:val="-"/>
      <w:lvlJc w:val="left"/>
      <w:pPr>
        <w:ind w:left="927" w:hanging="360"/>
      </w:pPr>
      <w:rPr>
        <w:rFonts w:ascii="Arial" w:eastAsiaTheme="minorHAnsi" w:hAnsi="Arial" w:cs="Arial"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5" w15:restartNumberingAfterBreak="0">
    <w:nsid w:val="22B00471"/>
    <w:multiLevelType w:val="hybridMultilevel"/>
    <w:tmpl w:val="7924D1F0"/>
    <w:lvl w:ilvl="0" w:tplc="79088A2A">
      <w:start w:val="6"/>
      <w:numFmt w:val="decimal"/>
      <w:lvlText w:val="%1."/>
      <w:lvlJc w:val="left"/>
      <w:pPr>
        <w:ind w:left="720" w:hanging="72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874F7"/>
    <w:multiLevelType w:val="hybridMultilevel"/>
    <w:tmpl w:val="7348034E"/>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DE0AC4"/>
    <w:multiLevelType w:val="hybridMultilevel"/>
    <w:tmpl w:val="42A4245E"/>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7B3478"/>
    <w:multiLevelType w:val="hybridMultilevel"/>
    <w:tmpl w:val="094CEB2C"/>
    <w:lvl w:ilvl="0" w:tplc="8D882EEC">
      <w:start w:val="1"/>
      <w:numFmt w:val="decimal"/>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1"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EB173C8"/>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3"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6F4A3745"/>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B2076"/>
    <w:multiLevelType w:val="hybridMultilevel"/>
    <w:tmpl w:val="47748F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8B0E0C"/>
    <w:multiLevelType w:val="hybridMultilevel"/>
    <w:tmpl w:val="6FF230D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72D5C6C"/>
    <w:multiLevelType w:val="hybridMultilevel"/>
    <w:tmpl w:val="ABDC9F16"/>
    <w:lvl w:ilvl="0" w:tplc="FFFFFFFF">
      <w:start w:val="5"/>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7E426BF"/>
    <w:multiLevelType w:val="hybridMultilevel"/>
    <w:tmpl w:val="6FF230D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248885346">
    <w:abstractNumId w:val="19"/>
  </w:num>
  <w:num w:numId="2" w16cid:durableId="83887039">
    <w:abstractNumId w:val="30"/>
  </w:num>
  <w:num w:numId="3" w16cid:durableId="64188343">
    <w:abstractNumId w:val="6"/>
  </w:num>
  <w:num w:numId="4" w16cid:durableId="231894303">
    <w:abstractNumId w:val="15"/>
  </w:num>
  <w:num w:numId="5" w16cid:durableId="1470435874">
    <w:abstractNumId w:val="2"/>
  </w:num>
  <w:num w:numId="6" w16cid:durableId="907836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836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299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737160">
    <w:abstractNumId w:val="20"/>
  </w:num>
  <w:num w:numId="10" w16cid:durableId="189531663">
    <w:abstractNumId w:val="25"/>
  </w:num>
  <w:num w:numId="11" w16cid:durableId="982730333">
    <w:abstractNumId w:val="6"/>
    <w:lvlOverride w:ilvl="0">
      <w:startOverride w:val="1"/>
    </w:lvlOverride>
  </w:num>
  <w:num w:numId="12" w16cid:durableId="81626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97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90777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8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704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475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30644">
    <w:abstractNumId w:val="28"/>
  </w:num>
  <w:num w:numId="19" w16cid:durableId="809905676">
    <w:abstractNumId w:val="14"/>
  </w:num>
  <w:num w:numId="20" w16cid:durableId="748114212">
    <w:abstractNumId w:val="23"/>
  </w:num>
  <w:num w:numId="21" w16cid:durableId="1175531083">
    <w:abstractNumId w:val="4"/>
  </w:num>
  <w:num w:numId="22" w16cid:durableId="1030952650">
    <w:abstractNumId w:val="35"/>
  </w:num>
  <w:num w:numId="23" w16cid:durableId="1790851790">
    <w:abstractNumId w:val="34"/>
  </w:num>
  <w:num w:numId="24" w16cid:durableId="735278622">
    <w:abstractNumId w:val="32"/>
  </w:num>
  <w:num w:numId="25" w16cid:durableId="1239173815">
    <w:abstractNumId w:val="1"/>
  </w:num>
  <w:num w:numId="26" w16cid:durableId="79564609">
    <w:abstractNumId w:val="29"/>
  </w:num>
  <w:num w:numId="27" w16cid:durableId="79104511">
    <w:abstractNumId w:val="22"/>
  </w:num>
  <w:num w:numId="28" w16cid:durableId="1086195637">
    <w:abstractNumId w:val="10"/>
  </w:num>
  <w:num w:numId="29" w16cid:durableId="1710836454">
    <w:abstractNumId w:val="0"/>
  </w:num>
  <w:num w:numId="30" w16cid:durableId="98416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560270">
    <w:abstractNumId w:val="18"/>
  </w:num>
  <w:num w:numId="32" w16cid:durableId="1235820467">
    <w:abstractNumId w:val="21"/>
  </w:num>
  <w:num w:numId="33" w16cid:durableId="226308791">
    <w:abstractNumId w:val="6"/>
  </w:num>
  <w:num w:numId="34" w16cid:durableId="1902909529">
    <w:abstractNumId w:val="7"/>
  </w:num>
  <w:num w:numId="35" w16cid:durableId="1437292443">
    <w:abstractNumId w:val="33"/>
  </w:num>
  <w:num w:numId="36" w16cid:durableId="2029988230">
    <w:abstractNumId w:val="31"/>
  </w:num>
  <w:num w:numId="37" w16cid:durableId="1308319548">
    <w:abstractNumId w:val="6"/>
  </w:num>
  <w:num w:numId="38" w16cid:durableId="1144467427">
    <w:abstractNumId w:val="16"/>
  </w:num>
  <w:num w:numId="39" w16cid:durableId="1549679319">
    <w:abstractNumId w:val="24"/>
  </w:num>
  <w:num w:numId="40" w16cid:durableId="2040811662">
    <w:abstractNumId w:val="9"/>
  </w:num>
  <w:num w:numId="41" w16cid:durableId="1739548582">
    <w:abstractNumId w:val="12"/>
  </w:num>
  <w:num w:numId="42" w16cid:durableId="1952010735">
    <w:abstractNumId w:val="27"/>
  </w:num>
  <w:num w:numId="43" w16cid:durableId="13549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72E6"/>
    <w:rsid w:val="000073F2"/>
    <w:rsid w:val="00007C95"/>
    <w:rsid w:val="00011248"/>
    <w:rsid w:val="00011EBF"/>
    <w:rsid w:val="0001212C"/>
    <w:rsid w:val="0001349B"/>
    <w:rsid w:val="000145C5"/>
    <w:rsid w:val="00017E69"/>
    <w:rsid w:val="000207E3"/>
    <w:rsid w:val="00021E00"/>
    <w:rsid w:val="00025C11"/>
    <w:rsid w:val="00026F2E"/>
    <w:rsid w:val="00030F0E"/>
    <w:rsid w:val="00032929"/>
    <w:rsid w:val="00034EB9"/>
    <w:rsid w:val="00036035"/>
    <w:rsid w:val="0003634A"/>
    <w:rsid w:val="00036D38"/>
    <w:rsid w:val="00040288"/>
    <w:rsid w:val="00041671"/>
    <w:rsid w:val="00041A90"/>
    <w:rsid w:val="00041E77"/>
    <w:rsid w:val="0004262F"/>
    <w:rsid w:val="00044CB5"/>
    <w:rsid w:val="00045FD8"/>
    <w:rsid w:val="00053894"/>
    <w:rsid w:val="00055335"/>
    <w:rsid w:val="00061B87"/>
    <w:rsid w:val="00062CEF"/>
    <w:rsid w:val="000632E9"/>
    <w:rsid w:val="000634CB"/>
    <w:rsid w:val="00063895"/>
    <w:rsid w:val="0006572B"/>
    <w:rsid w:val="00067051"/>
    <w:rsid w:val="00070E0E"/>
    <w:rsid w:val="00073B05"/>
    <w:rsid w:val="00074CAE"/>
    <w:rsid w:val="00074F5D"/>
    <w:rsid w:val="000751AB"/>
    <w:rsid w:val="00081ED0"/>
    <w:rsid w:val="00083D66"/>
    <w:rsid w:val="0008402E"/>
    <w:rsid w:val="00084F80"/>
    <w:rsid w:val="0008581B"/>
    <w:rsid w:val="000927D2"/>
    <w:rsid w:val="00092D1C"/>
    <w:rsid w:val="0009315F"/>
    <w:rsid w:val="00093542"/>
    <w:rsid w:val="0009744F"/>
    <w:rsid w:val="000A2CCD"/>
    <w:rsid w:val="000A3BAD"/>
    <w:rsid w:val="000B2529"/>
    <w:rsid w:val="000B56A1"/>
    <w:rsid w:val="000B6356"/>
    <w:rsid w:val="000C02F4"/>
    <w:rsid w:val="000C05DC"/>
    <w:rsid w:val="000C349E"/>
    <w:rsid w:val="000C3A31"/>
    <w:rsid w:val="000C5092"/>
    <w:rsid w:val="000C574A"/>
    <w:rsid w:val="000C76FC"/>
    <w:rsid w:val="000C79B2"/>
    <w:rsid w:val="000D1A52"/>
    <w:rsid w:val="000D318F"/>
    <w:rsid w:val="000D4FC8"/>
    <w:rsid w:val="000D62B8"/>
    <w:rsid w:val="000D6435"/>
    <w:rsid w:val="000D66D3"/>
    <w:rsid w:val="000E0D5F"/>
    <w:rsid w:val="000E126A"/>
    <w:rsid w:val="000E451E"/>
    <w:rsid w:val="000E4721"/>
    <w:rsid w:val="000E6F3D"/>
    <w:rsid w:val="000F0CF9"/>
    <w:rsid w:val="000F2443"/>
    <w:rsid w:val="000F2A75"/>
    <w:rsid w:val="000F42B1"/>
    <w:rsid w:val="0010020D"/>
    <w:rsid w:val="00100EEF"/>
    <w:rsid w:val="001030E0"/>
    <w:rsid w:val="00104816"/>
    <w:rsid w:val="00106985"/>
    <w:rsid w:val="00107C85"/>
    <w:rsid w:val="001103E1"/>
    <w:rsid w:val="001111A1"/>
    <w:rsid w:val="001126AB"/>
    <w:rsid w:val="00114226"/>
    <w:rsid w:val="0011649B"/>
    <w:rsid w:val="00116E2E"/>
    <w:rsid w:val="0011746D"/>
    <w:rsid w:val="00120120"/>
    <w:rsid w:val="00123C16"/>
    <w:rsid w:val="00127887"/>
    <w:rsid w:val="00130343"/>
    <w:rsid w:val="00130C23"/>
    <w:rsid w:val="0013445F"/>
    <w:rsid w:val="0013719F"/>
    <w:rsid w:val="001402EF"/>
    <w:rsid w:val="00140A92"/>
    <w:rsid w:val="0014167C"/>
    <w:rsid w:val="00146763"/>
    <w:rsid w:val="001522D6"/>
    <w:rsid w:val="0015278E"/>
    <w:rsid w:val="001538DF"/>
    <w:rsid w:val="00157560"/>
    <w:rsid w:val="00157E36"/>
    <w:rsid w:val="00157EA6"/>
    <w:rsid w:val="0016032D"/>
    <w:rsid w:val="00162ABB"/>
    <w:rsid w:val="00162D2A"/>
    <w:rsid w:val="00163A8A"/>
    <w:rsid w:val="00165EB5"/>
    <w:rsid w:val="00166C1C"/>
    <w:rsid w:val="001718F2"/>
    <w:rsid w:val="0017266D"/>
    <w:rsid w:val="00172691"/>
    <w:rsid w:val="00175529"/>
    <w:rsid w:val="00180811"/>
    <w:rsid w:val="00181D92"/>
    <w:rsid w:val="00182B9F"/>
    <w:rsid w:val="00184101"/>
    <w:rsid w:val="001852B6"/>
    <w:rsid w:val="001867F3"/>
    <w:rsid w:val="00186C91"/>
    <w:rsid w:val="0019338E"/>
    <w:rsid w:val="001A2B0E"/>
    <w:rsid w:val="001A2ED9"/>
    <w:rsid w:val="001A5376"/>
    <w:rsid w:val="001A548B"/>
    <w:rsid w:val="001A6B9E"/>
    <w:rsid w:val="001B1C92"/>
    <w:rsid w:val="001B2905"/>
    <w:rsid w:val="001B33E6"/>
    <w:rsid w:val="001B3B60"/>
    <w:rsid w:val="001B4A2B"/>
    <w:rsid w:val="001B4BDD"/>
    <w:rsid w:val="001B523C"/>
    <w:rsid w:val="001B6325"/>
    <w:rsid w:val="001C1E90"/>
    <w:rsid w:val="001C3D89"/>
    <w:rsid w:val="001C45C9"/>
    <w:rsid w:val="001C4D37"/>
    <w:rsid w:val="001C63CE"/>
    <w:rsid w:val="001D0B28"/>
    <w:rsid w:val="001D1636"/>
    <w:rsid w:val="001D17D1"/>
    <w:rsid w:val="001D29AF"/>
    <w:rsid w:val="001D2D5B"/>
    <w:rsid w:val="001D345B"/>
    <w:rsid w:val="001D3F1E"/>
    <w:rsid w:val="001D48FE"/>
    <w:rsid w:val="001D7217"/>
    <w:rsid w:val="001E03C6"/>
    <w:rsid w:val="001E1170"/>
    <w:rsid w:val="001E1D69"/>
    <w:rsid w:val="001E2676"/>
    <w:rsid w:val="001E3EB1"/>
    <w:rsid w:val="001E51EE"/>
    <w:rsid w:val="001E5B1C"/>
    <w:rsid w:val="001E62F8"/>
    <w:rsid w:val="001F1407"/>
    <w:rsid w:val="001F3FC4"/>
    <w:rsid w:val="001F4748"/>
    <w:rsid w:val="001F4F34"/>
    <w:rsid w:val="001F58D6"/>
    <w:rsid w:val="001F5DDC"/>
    <w:rsid w:val="001F7AD6"/>
    <w:rsid w:val="00201DFA"/>
    <w:rsid w:val="002067F4"/>
    <w:rsid w:val="002069D5"/>
    <w:rsid w:val="00210E6D"/>
    <w:rsid w:val="00212123"/>
    <w:rsid w:val="00213DE2"/>
    <w:rsid w:val="00213F0B"/>
    <w:rsid w:val="00215185"/>
    <w:rsid w:val="002160D5"/>
    <w:rsid w:val="00216D23"/>
    <w:rsid w:val="00217066"/>
    <w:rsid w:val="00222AF5"/>
    <w:rsid w:val="002235B6"/>
    <w:rsid w:val="00223661"/>
    <w:rsid w:val="0023027D"/>
    <w:rsid w:val="00231A8E"/>
    <w:rsid w:val="00234C9A"/>
    <w:rsid w:val="002407A9"/>
    <w:rsid w:val="00240F90"/>
    <w:rsid w:val="00241B02"/>
    <w:rsid w:val="0024233C"/>
    <w:rsid w:val="0024362E"/>
    <w:rsid w:val="00246445"/>
    <w:rsid w:val="0024645C"/>
    <w:rsid w:val="00247142"/>
    <w:rsid w:val="00253280"/>
    <w:rsid w:val="00255BE3"/>
    <w:rsid w:val="00260465"/>
    <w:rsid w:val="00265E9C"/>
    <w:rsid w:val="00271B5F"/>
    <w:rsid w:val="00272EDA"/>
    <w:rsid w:val="00273704"/>
    <w:rsid w:val="00273806"/>
    <w:rsid w:val="00275668"/>
    <w:rsid w:val="0027617B"/>
    <w:rsid w:val="00276AB4"/>
    <w:rsid w:val="00277A85"/>
    <w:rsid w:val="00281B9F"/>
    <w:rsid w:val="00281F8F"/>
    <w:rsid w:val="00283422"/>
    <w:rsid w:val="00283490"/>
    <w:rsid w:val="00286A1F"/>
    <w:rsid w:val="00290722"/>
    <w:rsid w:val="00293E68"/>
    <w:rsid w:val="00294B97"/>
    <w:rsid w:val="00295D55"/>
    <w:rsid w:val="00295DEE"/>
    <w:rsid w:val="0029701F"/>
    <w:rsid w:val="0029729E"/>
    <w:rsid w:val="002A012C"/>
    <w:rsid w:val="002A1180"/>
    <w:rsid w:val="002A14B4"/>
    <w:rsid w:val="002A153E"/>
    <w:rsid w:val="002A3C3D"/>
    <w:rsid w:val="002A451F"/>
    <w:rsid w:val="002A639F"/>
    <w:rsid w:val="002A7662"/>
    <w:rsid w:val="002B064E"/>
    <w:rsid w:val="002B0B43"/>
    <w:rsid w:val="002B20A6"/>
    <w:rsid w:val="002B6B27"/>
    <w:rsid w:val="002B7061"/>
    <w:rsid w:val="002C0A7E"/>
    <w:rsid w:val="002C113A"/>
    <w:rsid w:val="002C40DD"/>
    <w:rsid w:val="002C5846"/>
    <w:rsid w:val="002C59DC"/>
    <w:rsid w:val="002C6083"/>
    <w:rsid w:val="002C6199"/>
    <w:rsid w:val="002C6BD6"/>
    <w:rsid w:val="002C7725"/>
    <w:rsid w:val="002C78AF"/>
    <w:rsid w:val="002D0D3B"/>
    <w:rsid w:val="002D0E39"/>
    <w:rsid w:val="002D6582"/>
    <w:rsid w:val="002D65AC"/>
    <w:rsid w:val="002D71D0"/>
    <w:rsid w:val="002E0DE9"/>
    <w:rsid w:val="002E20CD"/>
    <w:rsid w:val="002E36AB"/>
    <w:rsid w:val="002E4946"/>
    <w:rsid w:val="002E5BEF"/>
    <w:rsid w:val="002E7931"/>
    <w:rsid w:val="002F160D"/>
    <w:rsid w:val="002F2AE6"/>
    <w:rsid w:val="002F4354"/>
    <w:rsid w:val="002F7910"/>
    <w:rsid w:val="002F7B72"/>
    <w:rsid w:val="00301085"/>
    <w:rsid w:val="003029AB"/>
    <w:rsid w:val="003039F4"/>
    <w:rsid w:val="00303A33"/>
    <w:rsid w:val="00304B13"/>
    <w:rsid w:val="00304E14"/>
    <w:rsid w:val="00305062"/>
    <w:rsid w:val="00310B43"/>
    <w:rsid w:val="00313FDB"/>
    <w:rsid w:val="00317760"/>
    <w:rsid w:val="00322248"/>
    <w:rsid w:val="003239D1"/>
    <w:rsid w:val="00326D71"/>
    <w:rsid w:val="00326FED"/>
    <w:rsid w:val="003272EC"/>
    <w:rsid w:val="003317A8"/>
    <w:rsid w:val="003339D4"/>
    <w:rsid w:val="0033401A"/>
    <w:rsid w:val="00335F6C"/>
    <w:rsid w:val="003361F1"/>
    <w:rsid w:val="0033761E"/>
    <w:rsid w:val="003422DB"/>
    <w:rsid w:val="0034286E"/>
    <w:rsid w:val="0034337B"/>
    <w:rsid w:val="00344899"/>
    <w:rsid w:val="00344EC2"/>
    <w:rsid w:val="00346174"/>
    <w:rsid w:val="0034617C"/>
    <w:rsid w:val="003505AE"/>
    <w:rsid w:val="0035343C"/>
    <w:rsid w:val="00353B24"/>
    <w:rsid w:val="003575C5"/>
    <w:rsid w:val="00360838"/>
    <w:rsid w:val="00362CD4"/>
    <w:rsid w:val="0036326A"/>
    <w:rsid w:val="0036397F"/>
    <w:rsid w:val="00363D58"/>
    <w:rsid w:val="00367095"/>
    <w:rsid w:val="003675D6"/>
    <w:rsid w:val="00370704"/>
    <w:rsid w:val="00371DE1"/>
    <w:rsid w:val="00371F6A"/>
    <w:rsid w:val="003751A1"/>
    <w:rsid w:val="00380389"/>
    <w:rsid w:val="00381046"/>
    <w:rsid w:val="00382664"/>
    <w:rsid w:val="00383651"/>
    <w:rsid w:val="00385539"/>
    <w:rsid w:val="00386239"/>
    <w:rsid w:val="00390437"/>
    <w:rsid w:val="00390A65"/>
    <w:rsid w:val="00392513"/>
    <w:rsid w:val="0039448B"/>
    <w:rsid w:val="003A1DD6"/>
    <w:rsid w:val="003A26FB"/>
    <w:rsid w:val="003A4122"/>
    <w:rsid w:val="003A4A0C"/>
    <w:rsid w:val="003A5050"/>
    <w:rsid w:val="003A5EBD"/>
    <w:rsid w:val="003B00DE"/>
    <w:rsid w:val="003B320F"/>
    <w:rsid w:val="003B4CF6"/>
    <w:rsid w:val="003B5FC2"/>
    <w:rsid w:val="003B6B63"/>
    <w:rsid w:val="003B7CD9"/>
    <w:rsid w:val="003B7ED4"/>
    <w:rsid w:val="003C0A2D"/>
    <w:rsid w:val="003C2026"/>
    <w:rsid w:val="003C21EB"/>
    <w:rsid w:val="003C2E95"/>
    <w:rsid w:val="003C3807"/>
    <w:rsid w:val="003C48FD"/>
    <w:rsid w:val="003C4FF4"/>
    <w:rsid w:val="003D104C"/>
    <w:rsid w:val="003D14A6"/>
    <w:rsid w:val="003D32D4"/>
    <w:rsid w:val="003D4452"/>
    <w:rsid w:val="003D635C"/>
    <w:rsid w:val="003D6756"/>
    <w:rsid w:val="003E04DA"/>
    <w:rsid w:val="003E0C23"/>
    <w:rsid w:val="003E0F1E"/>
    <w:rsid w:val="003E3290"/>
    <w:rsid w:val="003E32B9"/>
    <w:rsid w:val="003E40DB"/>
    <w:rsid w:val="003E465D"/>
    <w:rsid w:val="003E49A8"/>
    <w:rsid w:val="003E507C"/>
    <w:rsid w:val="003E7285"/>
    <w:rsid w:val="003F2DA7"/>
    <w:rsid w:val="003F2EA2"/>
    <w:rsid w:val="003F35E3"/>
    <w:rsid w:val="003F455A"/>
    <w:rsid w:val="003F497A"/>
    <w:rsid w:val="004028CE"/>
    <w:rsid w:val="00402F72"/>
    <w:rsid w:val="00404CDF"/>
    <w:rsid w:val="00405CE9"/>
    <w:rsid w:val="004076BB"/>
    <w:rsid w:val="00407E33"/>
    <w:rsid w:val="00413E98"/>
    <w:rsid w:val="00421546"/>
    <w:rsid w:val="00421B67"/>
    <w:rsid w:val="0042265E"/>
    <w:rsid w:val="00424831"/>
    <w:rsid w:val="00427FDD"/>
    <w:rsid w:val="00433738"/>
    <w:rsid w:val="00440528"/>
    <w:rsid w:val="00440C90"/>
    <w:rsid w:val="00441A98"/>
    <w:rsid w:val="00443590"/>
    <w:rsid w:val="004510B3"/>
    <w:rsid w:val="00452BBC"/>
    <w:rsid w:val="0046034C"/>
    <w:rsid w:val="004610A7"/>
    <w:rsid w:val="00462FB0"/>
    <w:rsid w:val="00471A7F"/>
    <w:rsid w:val="004726DA"/>
    <w:rsid w:val="00472C58"/>
    <w:rsid w:val="00474819"/>
    <w:rsid w:val="00474F71"/>
    <w:rsid w:val="0047553A"/>
    <w:rsid w:val="004762F0"/>
    <w:rsid w:val="00476345"/>
    <w:rsid w:val="004774D4"/>
    <w:rsid w:val="0047776F"/>
    <w:rsid w:val="00480120"/>
    <w:rsid w:val="0048118D"/>
    <w:rsid w:val="004816D3"/>
    <w:rsid w:val="00483470"/>
    <w:rsid w:val="00483A55"/>
    <w:rsid w:val="00483F84"/>
    <w:rsid w:val="0049303E"/>
    <w:rsid w:val="004A0860"/>
    <w:rsid w:val="004A0AF7"/>
    <w:rsid w:val="004A1178"/>
    <w:rsid w:val="004A222A"/>
    <w:rsid w:val="004A319E"/>
    <w:rsid w:val="004A441E"/>
    <w:rsid w:val="004A5669"/>
    <w:rsid w:val="004A79C0"/>
    <w:rsid w:val="004A7EEA"/>
    <w:rsid w:val="004B07DF"/>
    <w:rsid w:val="004B292F"/>
    <w:rsid w:val="004B3011"/>
    <w:rsid w:val="004B3749"/>
    <w:rsid w:val="004B4963"/>
    <w:rsid w:val="004B6EBE"/>
    <w:rsid w:val="004B7071"/>
    <w:rsid w:val="004B7C3E"/>
    <w:rsid w:val="004B7D9D"/>
    <w:rsid w:val="004C0971"/>
    <w:rsid w:val="004C1026"/>
    <w:rsid w:val="004C4D65"/>
    <w:rsid w:val="004C7440"/>
    <w:rsid w:val="004D041E"/>
    <w:rsid w:val="004D0712"/>
    <w:rsid w:val="004D0DD0"/>
    <w:rsid w:val="004D0DDF"/>
    <w:rsid w:val="004D1292"/>
    <w:rsid w:val="004D12BB"/>
    <w:rsid w:val="004D1DB0"/>
    <w:rsid w:val="004D2E01"/>
    <w:rsid w:val="004D37E4"/>
    <w:rsid w:val="004D5326"/>
    <w:rsid w:val="004D6224"/>
    <w:rsid w:val="004D67A0"/>
    <w:rsid w:val="004D6C51"/>
    <w:rsid w:val="004D6F95"/>
    <w:rsid w:val="004D74B6"/>
    <w:rsid w:val="004D75AF"/>
    <w:rsid w:val="004E2641"/>
    <w:rsid w:val="004E48C3"/>
    <w:rsid w:val="004F0741"/>
    <w:rsid w:val="004F2144"/>
    <w:rsid w:val="004F2803"/>
    <w:rsid w:val="004F2E97"/>
    <w:rsid w:val="004F4504"/>
    <w:rsid w:val="004F689C"/>
    <w:rsid w:val="004F70F0"/>
    <w:rsid w:val="004F7130"/>
    <w:rsid w:val="004F770E"/>
    <w:rsid w:val="004F7C4E"/>
    <w:rsid w:val="00501F7E"/>
    <w:rsid w:val="00504547"/>
    <w:rsid w:val="00506790"/>
    <w:rsid w:val="00506B41"/>
    <w:rsid w:val="005136C2"/>
    <w:rsid w:val="00513837"/>
    <w:rsid w:val="00513B31"/>
    <w:rsid w:val="0051447D"/>
    <w:rsid w:val="00514563"/>
    <w:rsid w:val="00515A06"/>
    <w:rsid w:val="00516E75"/>
    <w:rsid w:val="00520869"/>
    <w:rsid w:val="00522CBC"/>
    <w:rsid w:val="00530C9A"/>
    <w:rsid w:val="00532088"/>
    <w:rsid w:val="00532CC6"/>
    <w:rsid w:val="005330F7"/>
    <w:rsid w:val="00535D14"/>
    <w:rsid w:val="00541B8D"/>
    <w:rsid w:val="00543AB9"/>
    <w:rsid w:val="0054497B"/>
    <w:rsid w:val="005505CB"/>
    <w:rsid w:val="00553636"/>
    <w:rsid w:val="005577F8"/>
    <w:rsid w:val="005578A8"/>
    <w:rsid w:val="005609B5"/>
    <w:rsid w:val="00562A3C"/>
    <w:rsid w:val="00563598"/>
    <w:rsid w:val="005642B4"/>
    <w:rsid w:val="00564378"/>
    <w:rsid w:val="005646F9"/>
    <w:rsid w:val="0056522B"/>
    <w:rsid w:val="0056556B"/>
    <w:rsid w:val="00565608"/>
    <w:rsid w:val="005671E2"/>
    <w:rsid w:val="00571F32"/>
    <w:rsid w:val="00571FAB"/>
    <w:rsid w:val="00572850"/>
    <w:rsid w:val="00575259"/>
    <w:rsid w:val="00575C35"/>
    <w:rsid w:val="0058113D"/>
    <w:rsid w:val="005860A6"/>
    <w:rsid w:val="00586311"/>
    <w:rsid w:val="00590AA4"/>
    <w:rsid w:val="00590E14"/>
    <w:rsid w:val="00591BA0"/>
    <w:rsid w:val="005923BF"/>
    <w:rsid w:val="0059291A"/>
    <w:rsid w:val="00595EF1"/>
    <w:rsid w:val="00597F8E"/>
    <w:rsid w:val="005A1E14"/>
    <w:rsid w:val="005A2951"/>
    <w:rsid w:val="005A3E34"/>
    <w:rsid w:val="005A4668"/>
    <w:rsid w:val="005A4AF0"/>
    <w:rsid w:val="005A4AFE"/>
    <w:rsid w:val="005A7268"/>
    <w:rsid w:val="005A7467"/>
    <w:rsid w:val="005B0D11"/>
    <w:rsid w:val="005B2153"/>
    <w:rsid w:val="005B3566"/>
    <w:rsid w:val="005B4689"/>
    <w:rsid w:val="005B5B82"/>
    <w:rsid w:val="005B6AC8"/>
    <w:rsid w:val="005C06D0"/>
    <w:rsid w:val="005C1327"/>
    <w:rsid w:val="005C4486"/>
    <w:rsid w:val="005C63E8"/>
    <w:rsid w:val="005C7357"/>
    <w:rsid w:val="005D0053"/>
    <w:rsid w:val="005D488F"/>
    <w:rsid w:val="005D4D5A"/>
    <w:rsid w:val="005E3ACF"/>
    <w:rsid w:val="005F1A2D"/>
    <w:rsid w:val="005F1BC7"/>
    <w:rsid w:val="005F312D"/>
    <w:rsid w:val="005F3238"/>
    <w:rsid w:val="005F3648"/>
    <w:rsid w:val="005F516F"/>
    <w:rsid w:val="00602FFF"/>
    <w:rsid w:val="00603968"/>
    <w:rsid w:val="006040F4"/>
    <w:rsid w:val="00606BFB"/>
    <w:rsid w:val="006100C4"/>
    <w:rsid w:val="00611EE1"/>
    <w:rsid w:val="00612201"/>
    <w:rsid w:val="006126DA"/>
    <w:rsid w:val="0061466D"/>
    <w:rsid w:val="00614AA3"/>
    <w:rsid w:val="006157AC"/>
    <w:rsid w:val="00621563"/>
    <w:rsid w:val="00623210"/>
    <w:rsid w:val="00625BF0"/>
    <w:rsid w:val="0063026B"/>
    <w:rsid w:val="006304E1"/>
    <w:rsid w:val="00630835"/>
    <w:rsid w:val="006315A7"/>
    <w:rsid w:val="00633C14"/>
    <w:rsid w:val="00634195"/>
    <w:rsid w:val="00635D3E"/>
    <w:rsid w:val="00636227"/>
    <w:rsid w:val="00640BE1"/>
    <w:rsid w:val="006440D3"/>
    <w:rsid w:val="00652364"/>
    <w:rsid w:val="00656C08"/>
    <w:rsid w:val="00657814"/>
    <w:rsid w:val="00661875"/>
    <w:rsid w:val="00662060"/>
    <w:rsid w:val="00663745"/>
    <w:rsid w:val="00670F35"/>
    <w:rsid w:val="00671BFD"/>
    <w:rsid w:val="00674789"/>
    <w:rsid w:val="00676E95"/>
    <w:rsid w:val="006774BA"/>
    <w:rsid w:val="00682FF7"/>
    <w:rsid w:val="00683B08"/>
    <w:rsid w:val="00683DB0"/>
    <w:rsid w:val="00683F35"/>
    <w:rsid w:val="00683FB7"/>
    <w:rsid w:val="00691E4D"/>
    <w:rsid w:val="0069483D"/>
    <w:rsid w:val="00695763"/>
    <w:rsid w:val="00695AAD"/>
    <w:rsid w:val="0069797E"/>
    <w:rsid w:val="006A0AB5"/>
    <w:rsid w:val="006A548C"/>
    <w:rsid w:val="006A7F44"/>
    <w:rsid w:val="006B133B"/>
    <w:rsid w:val="006B1C26"/>
    <w:rsid w:val="006B2E71"/>
    <w:rsid w:val="006B4A05"/>
    <w:rsid w:val="006B4C45"/>
    <w:rsid w:val="006C32CC"/>
    <w:rsid w:val="006C5436"/>
    <w:rsid w:val="006D0108"/>
    <w:rsid w:val="006D2CE6"/>
    <w:rsid w:val="006D2D46"/>
    <w:rsid w:val="006E0158"/>
    <w:rsid w:val="006E02CA"/>
    <w:rsid w:val="006E08B7"/>
    <w:rsid w:val="006E0F57"/>
    <w:rsid w:val="006E1076"/>
    <w:rsid w:val="006E1B7E"/>
    <w:rsid w:val="006F0A44"/>
    <w:rsid w:val="006F2D90"/>
    <w:rsid w:val="006F5AE9"/>
    <w:rsid w:val="006F5E07"/>
    <w:rsid w:val="006F65BF"/>
    <w:rsid w:val="00700D90"/>
    <w:rsid w:val="007017C6"/>
    <w:rsid w:val="007035C9"/>
    <w:rsid w:val="007049AD"/>
    <w:rsid w:val="00705E00"/>
    <w:rsid w:val="0070634F"/>
    <w:rsid w:val="00707101"/>
    <w:rsid w:val="00707468"/>
    <w:rsid w:val="0071172E"/>
    <w:rsid w:val="00711A29"/>
    <w:rsid w:val="007133FB"/>
    <w:rsid w:val="0071450C"/>
    <w:rsid w:val="0071504D"/>
    <w:rsid w:val="007155CF"/>
    <w:rsid w:val="00715A77"/>
    <w:rsid w:val="00715AAE"/>
    <w:rsid w:val="00715BC8"/>
    <w:rsid w:val="007164BF"/>
    <w:rsid w:val="00716AF1"/>
    <w:rsid w:val="00717CF0"/>
    <w:rsid w:val="007201B1"/>
    <w:rsid w:val="0072124E"/>
    <w:rsid w:val="0072342A"/>
    <w:rsid w:val="00725447"/>
    <w:rsid w:val="00725636"/>
    <w:rsid w:val="00726FEA"/>
    <w:rsid w:val="007272AB"/>
    <w:rsid w:val="007272F3"/>
    <w:rsid w:val="00731533"/>
    <w:rsid w:val="007320EF"/>
    <w:rsid w:val="00732628"/>
    <w:rsid w:val="00732A7E"/>
    <w:rsid w:val="007346C8"/>
    <w:rsid w:val="00737312"/>
    <w:rsid w:val="0074027E"/>
    <w:rsid w:val="0074044A"/>
    <w:rsid w:val="0074172E"/>
    <w:rsid w:val="007422EF"/>
    <w:rsid w:val="00742F19"/>
    <w:rsid w:val="00743350"/>
    <w:rsid w:val="00743E09"/>
    <w:rsid w:val="00746B94"/>
    <w:rsid w:val="00746F78"/>
    <w:rsid w:val="007503D5"/>
    <w:rsid w:val="007504B7"/>
    <w:rsid w:val="00753972"/>
    <w:rsid w:val="00754163"/>
    <w:rsid w:val="00754B58"/>
    <w:rsid w:val="007559B4"/>
    <w:rsid w:val="007572E4"/>
    <w:rsid w:val="007579DA"/>
    <w:rsid w:val="007627D2"/>
    <w:rsid w:val="0076284B"/>
    <w:rsid w:val="007630B3"/>
    <w:rsid w:val="0076414F"/>
    <w:rsid w:val="0077216E"/>
    <w:rsid w:val="00774202"/>
    <w:rsid w:val="00777DF7"/>
    <w:rsid w:val="00783D32"/>
    <w:rsid w:val="00783ECD"/>
    <w:rsid w:val="00784428"/>
    <w:rsid w:val="00784A4C"/>
    <w:rsid w:val="00786401"/>
    <w:rsid w:val="00787858"/>
    <w:rsid w:val="00787F95"/>
    <w:rsid w:val="007908EB"/>
    <w:rsid w:val="0079275D"/>
    <w:rsid w:val="00792EE5"/>
    <w:rsid w:val="007938ED"/>
    <w:rsid w:val="007A0B37"/>
    <w:rsid w:val="007A2A2B"/>
    <w:rsid w:val="007A5257"/>
    <w:rsid w:val="007A7494"/>
    <w:rsid w:val="007B3F43"/>
    <w:rsid w:val="007B47C2"/>
    <w:rsid w:val="007B7046"/>
    <w:rsid w:val="007C1898"/>
    <w:rsid w:val="007C3B38"/>
    <w:rsid w:val="007C41F3"/>
    <w:rsid w:val="007C666D"/>
    <w:rsid w:val="007D1877"/>
    <w:rsid w:val="007D3222"/>
    <w:rsid w:val="007D40D9"/>
    <w:rsid w:val="007D5049"/>
    <w:rsid w:val="007D51F8"/>
    <w:rsid w:val="007D5C77"/>
    <w:rsid w:val="007D77D9"/>
    <w:rsid w:val="007D7894"/>
    <w:rsid w:val="007E0F74"/>
    <w:rsid w:val="007E4ECC"/>
    <w:rsid w:val="007E641E"/>
    <w:rsid w:val="007E756E"/>
    <w:rsid w:val="007F0DB6"/>
    <w:rsid w:val="007F1D69"/>
    <w:rsid w:val="007F3702"/>
    <w:rsid w:val="007F3DDD"/>
    <w:rsid w:val="007F496F"/>
    <w:rsid w:val="00801A7F"/>
    <w:rsid w:val="00801B12"/>
    <w:rsid w:val="00802203"/>
    <w:rsid w:val="00802C4A"/>
    <w:rsid w:val="00803930"/>
    <w:rsid w:val="00803CE1"/>
    <w:rsid w:val="00807A50"/>
    <w:rsid w:val="008115F1"/>
    <w:rsid w:val="00812C1C"/>
    <w:rsid w:val="008134FB"/>
    <w:rsid w:val="008156DF"/>
    <w:rsid w:val="00815DBD"/>
    <w:rsid w:val="008226C3"/>
    <w:rsid w:val="0082623C"/>
    <w:rsid w:val="0082781A"/>
    <w:rsid w:val="00831565"/>
    <w:rsid w:val="00831686"/>
    <w:rsid w:val="00831DC2"/>
    <w:rsid w:val="00834EA0"/>
    <w:rsid w:val="00835054"/>
    <w:rsid w:val="008350BC"/>
    <w:rsid w:val="008407F8"/>
    <w:rsid w:val="00840ADA"/>
    <w:rsid w:val="00842A4E"/>
    <w:rsid w:val="00842F09"/>
    <w:rsid w:val="00843907"/>
    <w:rsid w:val="00843FA1"/>
    <w:rsid w:val="00846954"/>
    <w:rsid w:val="008477DB"/>
    <w:rsid w:val="00847EFF"/>
    <w:rsid w:val="00853156"/>
    <w:rsid w:val="00857A1A"/>
    <w:rsid w:val="00857F0D"/>
    <w:rsid w:val="00861CC1"/>
    <w:rsid w:val="008627BE"/>
    <w:rsid w:val="008647DD"/>
    <w:rsid w:val="00870846"/>
    <w:rsid w:val="00870A96"/>
    <w:rsid w:val="008756C2"/>
    <w:rsid w:val="00877F0A"/>
    <w:rsid w:val="00881EB0"/>
    <w:rsid w:val="00882800"/>
    <w:rsid w:val="00885E9A"/>
    <w:rsid w:val="00886C2A"/>
    <w:rsid w:val="00886E76"/>
    <w:rsid w:val="008907D4"/>
    <w:rsid w:val="00891B48"/>
    <w:rsid w:val="00891BDF"/>
    <w:rsid w:val="00893286"/>
    <w:rsid w:val="008968B7"/>
    <w:rsid w:val="00897247"/>
    <w:rsid w:val="008A37EA"/>
    <w:rsid w:val="008A4602"/>
    <w:rsid w:val="008A60D8"/>
    <w:rsid w:val="008A6B06"/>
    <w:rsid w:val="008B0373"/>
    <w:rsid w:val="008B0AC3"/>
    <w:rsid w:val="008B1154"/>
    <w:rsid w:val="008B161F"/>
    <w:rsid w:val="008B1B57"/>
    <w:rsid w:val="008B7A3A"/>
    <w:rsid w:val="008C12D9"/>
    <w:rsid w:val="008C265B"/>
    <w:rsid w:val="008C3546"/>
    <w:rsid w:val="008C46A8"/>
    <w:rsid w:val="008C543D"/>
    <w:rsid w:val="008C5C2E"/>
    <w:rsid w:val="008C5CE1"/>
    <w:rsid w:val="008D0C7A"/>
    <w:rsid w:val="008D1090"/>
    <w:rsid w:val="008D13E4"/>
    <w:rsid w:val="008D240A"/>
    <w:rsid w:val="008D352F"/>
    <w:rsid w:val="008D66E6"/>
    <w:rsid w:val="008D7F8A"/>
    <w:rsid w:val="008E00B9"/>
    <w:rsid w:val="008E0D65"/>
    <w:rsid w:val="008E1012"/>
    <w:rsid w:val="008E1507"/>
    <w:rsid w:val="008E1A51"/>
    <w:rsid w:val="008E2DB3"/>
    <w:rsid w:val="008E3671"/>
    <w:rsid w:val="008E3C13"/>
    <w:rsid w:val="008E4BA0"/>
    <w:rsid w:val="008E5A94"/>
    <w:rsid w:val="008E67D7"/>
    <w:rsid w:val="008F0F1B"/>
    <w:rsid w:val="008F2403"/>
    <w:rsid w:val="008F6947"/>
    <w:rsid w:val="008F6DAF"/>
    <w:rsid w:val="008F7A3D"/>
    <w:rsid w:val="00901ABB"/>
    <w:rsid w:val="009024A7"/>
    <w:rsid w:val="00913AC6"/>
    <w:rsid w:val="00921A0B"/>
    <w:rsid w:val="009221C0"/>
    <w:rsid w:val="009223DC"/>
    <w:rsid w:val="009238EA"/>
    <w:rsid w:val="00924647"/>
    <w:rsid w:val="00926D5A"/>
    <w:rsid w:val="0093060D"/>
    <w:rsid w:val="0093106D"/>
    <w:rsid w:val="0093125C"/>
    <w:rsid w:val="009321F9"/>
    <w:rsid w:val="00934C39"/>
    <w:rsid w:val="00937EB0"/>
    <w:rsid w:val="009430A5"/>
    <w:rsid w:val="00943503"/>
    <w:rsid w:val="00943BDE"/>
    <w:rsid w:val="00945EE3"/>
    <w:rsid w:val="009475FC"/>
    <w:rsid w:val="00947FE4"/>
    <w:rsid w:val="0095054D"/>
    <w:rsid w:val="00951172"/>
    <w:rsid w:val="009513F6"/>
    <w:rsid w:val="00951FE5"/>
    <w:rsid w:val="00955309"/>
    <w:rsid w:val="00957042"/>
    <w:rsid w:val="00957BC8"/>
    <w:rsid w:val="00961920"/>
    <w:rsid w:val="009621C5"/>
    <w:rsid w:val="0096278E"/>
    <w:rsid w:val="0096467A"/>
    <w:rsid w:val="0096511D"/>
    <w:rsid w:val="0096521E"/>
    <w:rsid w:val="009656E3"/>
    <w:rsid w:val="0096594B"/>
    <w:rsid w:val="0097196B"/>
    <w:rsid w:val="009719D2"/>
    <w:rsid w:val="00974717"/>
    <w:rsid w:val="00974AE4"/>
    <w:rsid w:val="009751E8"/>
    <w:rsid w:val="009769A1"/>
    <w:rsid w:val="00977E58"/>
    <w:rsid w:val="00980226"/>
    <w:rsid w:val="0098049A"/>
    <w:rsid w:val="00981750"/>
    <w:rsid w:val="009827AC"/>
    <w:rsid w:val="00983B2D"/>
    <w:rsid w:val="00983D94"/>
    <w:rsid w:val="00984906"/>
    <w:rsid w:val="0098499D"/>
    <w:rsid w:val="00986724"/>
    <w:rsid w:val="0099266F"/>
    <w:rsid w:val="00994A7B"/>
    <w:rsid w:val="009959E8"/>
    <w:rsid w:val="00996837"/>
    <w:rsid w:val="0099710A"/>
    <w:rsid w:val="00997505"/>
    <w:rsid w:val="009A4E5E"/>
    <w:rsid w:val="009A6D4F"/>
    <w:rsid w:val="009A7733"/>
    <w:rsid w:val="009B0E08"/>
    <w:rsid w:val="009B137C"/>
    <w:rsid w:val="009B18A6"/>
    <w:rsid w:val="009B302D"/>
    <w:rsid w:val="009B4731"/>
    <w:rsid w:val="009B47B7"/>
    <w:rsid w:val="009B77DC"/>
    <w:rsid w:val="009C1079"/>
    <w:rsid w:val="009C12A3"/>
    <w:rsid w:val="009C2C61"/>
    <w:rsid w:val="009C4977"/>
    <w:rsid w:val="009C4CE9"/>
    <w:rsid w:val="009C590A"/>
    <w:rsid w:val="009C6172"/>
    <w:rsid w:val="009C699F"/>
    <w:rsid w:val="009C76D1"/>
    <w:rsid w:val="009D0FE4"/>
    <w:rsid w:val="009D108F"/>
    <w:rsid w:val="009D4431"/>
    <w:rsid w:val="009D72DC"/>
    <w:rsid w:val="009D79C3"/>
    <w:rsid w:val="009E0B98"/>
    <w:rsid w:val="009E0CF4"/>
    <w:rsid w:val="009E0F73"/>
    <w:rsid w:val="009E1936"/>
    <w:rsid w:val="009E2FF1"/>
    <w:rsid w:val="009E3719"/>
    <w:rsid w:val="009E597C"/>
    <w:rsid w:val="009F2B94"/>
    <w:rsid w:val="009F2C2F"/>
    <w:rsid w:val="009F7C89"/>
    <w:rsid w:val="00A01218"/>
    <w:rsid w:val="00A01E8C"/>
    <w:rsid w:val="00A050BE"/>
    <w:rsid w:val="00A05773"/>
    <w:rsid w:val="00A05DA5"/>
    <w:rsid w:val="00A0668E"/>
    <w:rsid w:val="00A126D5"/>
    <w:rsid w:val="00A127A4"/>
    <w:rsid w:val="00A12DC4"/>
    <w:rsid w:val="00A12FCD"/>
    <w:rsid w:val="00A13273"/>
    <w:rsid w:val="00A17E1A"/>
    <w:rsid w:val="00A20928"/>
    <w:rsid w:val="00A22477"/>
    <w:rsid w:val="00A225FE"/>
    <w:rsid w:val="00A243B8"/>
    <w:rsid w:val="00A269AE"/>
    <w:rsid w:val="00A27B4A"/>
    <w:rsid w:val="00A30418"/>
    <w:rsid w:val="00A31C95"/>
    <w:rsid w:val="00A33A6A"/>
    <w:rsid w:val="00A34291"/>
    <w:rsid w:val="00A36B22"/>
    <w:rsid w:val="00A40401"/>
    <w:rsid w:val="00A40A4D"/>
    <w:rsid w:val="00A410BB"/>
    <w:rsid w:val="00A42B08"/>
    <w:rsid w:val="00A42C33"/>
    <w:rsid w:val="00A43282"/>
    <w:rsid w:val="00A43B8B"/>
    <w:rsid w:val="00A44566"/>
    <w:rsid w:val="00A46AF7"/>
    <w:rsid w:val="00A47F66"/>
    <w:rsid w:val="00A54DE9"/>
    <w:rsid w:val="00A5502B"/>
    <w:rsid w:val="00A565A0"/>
    <w:rsid w:val="00A56E01"/>
    <w:rsid w:val="00A6124B"/>
    <w:rsid w:val="00A65224"/>
    <w:rsid w:val="00A657B6"/>
    <w:rsid w:val="00A6589C"/>
    <w:rsid w:val="00A6604D"/>
    <w:rsid w:val="00A67F93"/>
    <w:rsid w:val="00A7303D"/>
    <w:rsid w:val="00A747AA"/>
    <w:rsid w:val="00A74EDF"/>
    <w:rsid w:val="00A802E9"/>
    <w:rsid w:val="00A836DB"/>
    <w:rsid w:val="00A84B40"/>
    <w:rsid w:val="00A8572B"/>
    <w:rsid w:val="00A85D27"/>
    <w:rsid w:val="00A85D73"/>
    <w:rsid w:val="00A86829"/>
    <w:rsid w:val="00A909E0"/>
    <w:rsid w:val="00A91124"/>
    <w:rsid w:val="00A93F1C"/>
    <w:rsid w:val="00A956DD"/>
    <w:rsid w:val="00AA1B66"/>
    <w:rsid w:val="00AA1C8D"/>
    <w:rsid w:val="00AA32F0"/>
    <w:rsid w:val="00AA4591"/>
    <w:rsid w:val="00AA503E"/>
    <w:rsid w:val="00AA6146"/>
    <w:rsid w:val="00AB525B"/>
    <w:rsid w:val="00AB6095"/>
    <w:rsid w:val="00AC0283"/>
    <w:rsid w:val="00AC117A"/>
    <w:rsid w:val="00AC22AD"/>
    <w:rsid w:val="00AC38F9"/>
    <w:rsid w:val="00AC4888"/>
    <w:rsid w:val="00AC5142"/>
    <w:rsid w:val="00AC79B1"/>
    <w:rsid w:val="00AD0ADC"/>
    <w:rsid w:val="00AD14D3"/>
    <w:rsid w:val="00AD1E35"/>
    <w:rsid w:val="00AD26AB"/>
    <w:rsid w:val="00AD6AC3"/>
    <w:rsid w:val="00AD6D50"/>
    <w:rsid w:val="00AD79F0"/>
    <w:rsid w:val="00AE14BF"/>
    <w:rsid w:val="00AE2E4A"/>
    <w:rsid w:val="00AE3AB6"/>
    <w:rsid w:val="00AE3E58"/>
    <w:rsid w:val="00AE5015"/>
    <w:rsid w:val="00AE6676"/>
    <w:rsid w:val="00AE7D13"/>
    <w:rsid w:val="00AF1E71"/>
    <w:rsid w:val="00AF28DF"/>
    <w:rsid w:val="00AF33FF"/>
    <w:rsid w:val="00AF35EF"/>
    <w:rsid w:val="00AF38B4"/>
    <w:rsid w:val="00AF3942"/>
    <w:rsid w:val="00AF4B30"/>
    <w:rsid w:val="00AF5CB0"/>
    <w:rsid w:val="00AF6545"/>
    <w:rsid w:val="00AF6910"/>
    <w:rsid w:val="00AF6A31"/>
    <w:rsid w:val="00B002A4"/>
    <w:rsid w:val="00B01A02"/>
    <w:rsid w:val="00B03803"/>
    <w:rsid w:val="00B04097"/>
    <w:rsid w:val="00B065FE"/>
    <w:rsid w:val="00B13D90"/>
    <w:rsid w:val="00B21878"/>
    <w:rsid w:val="00B21CDC"/>
    <w:rsid w:val="00B21DC2"/>
    <w:rsid w:val="00B260F2"/>
    <w:rsid w:val="00B2664E"/>
    <w:rsid w:val="00B27341"/>
    <w:rsid w:val="00B30F51"/>
    <w:rsid w:val="00B31B3F"/>
    <w:rsid w:val="00B32AEA"/>
    <w:rsid w:val="00B33653"/>
    <w:rsid w:val="00B34F60"/>
    <w:rsid w:val="00B37416"/>
    <w:rsid w:val="00B41E07"/>
    <w:rsid w:val="00B4261A"/>
    <w:rsid w:val="00B42725"/>
    <w:rsid w:val="00B4408D"/>
    <w:rsid w:val="00B45A40"/>
    <w:rsid w:val="00B45D85"/>
    <w:rsid w:val="00B469D0"/>
    <w:rsid w:val="00B47D3A"/>
    <w:rsid w:val="00B50DEC"/>
    <w:rsid w:val="00B50EE6"/>
    <w:rsid w:val="00B50F88"/>
    <w:rsid w:val="00B55616"/>
    <w:rsid w:val="00B57DFC"/>
    <w:rsid w:val="00B57E93"/>
    <w:rsid w:val="00B57F58"/>
    <w:rsid w:val="00B646E4"/>
    <w:rsid w:val="00B66B77"/>
    <w:rsid w:val="00B700D8"/>
    <w:rsid w:val="00B73B68"/>
    <w:rsid w:val="00B82BE4"/>
    <w:rsid w:val="00B83699"/>
    <w:rsid w:val="00B837CB"/>
    <w:rsid w:val="00B97C7A"/>
    <w:rsid w:val="00BA037B"/>
    <w:rsid w:val="00BA0A08"/>
    <w:rsid w:val="00BA0F1F"/>
    <w:rsid w:val="00BA1073"/>
    <w:rsid w:val="00BA222E"/>
    <w:rsid w:val="00BA27D8"/>
    <w:rsid w:val="00BA2F7C"/>
    <w:rsid w:val="00BA327D"/>
    <w:rsid w:val="00BA620E"/>
    <w:rsid w:val="00BA7B68"/>
    <w:rsid w:val="00BB0EB9"/>
    <w:rsid w:val="00BB1A1B"/>
    <w:rsid w:val="00BB1EA3"/>
    <w:rsid w:val="00BB2683"/>
    <w:rsid w:val="00BB5876"/>
    <w:rsid w:val="00BB5960"/>
    <w:rsid w:val="00BB6438"/>
    <w:rsid w:val="00BB7EEB"/>
    <w:rsid w:val="00BC003E"/>
    <w:rsid w:val="00BC0241"/>
    <w:rsid w:val="00BC1146"/>
    <w:rsid w:val="00BC1869"/>
    <w:rsid w:val="00BC6C17"/>
    <w:rsid w:val="00BD0087"/>
    <w:rsid w:val="00BD0F5C"/>
    <w:rsid w:val="00BD41D7"/>
    <w:rsid w:val="00BD51E4"/>
    <w:rsid w:val="00BD61A0"/>
    <w:rsid w:val="00BE0EA7"/>
    <w:rsid w:val="00BE148D"/>
    <w:rsid w:val="00BE20D0"/>
    <w:rsid w:val="00BE3246"/>
    <w:rsid w:val="00BE42EC"/>
    <w:rsid w:val="00BF0626"/>
    <w:rsid w:val="00BF097B"/>
    <w:rsid w:val="00BF1124"/>
    <w:rsid w:val="00BF1FBB"/>
    <w:rsid w:val="00BF3B66"/>
    <w:rsid w:val="00C00701"/>
    <w:rsid w:val="00C02846"/>
    <w:rsid w:val="00C02C82"/>
    <w:rsid w:val="00C0499E"/>
    <w:rsid w:val="00C07799"/>
    <w:rsid w:val="00C11087"/>
    <w:rsid w:val="00C115D9"/>
    <w:rsid w:val="00C1197E"/>
    <w:rsid w:val="00C1270D"/>
    <w:rsid w:val="00C128A2"/>
    <w:rsid w:val="00C12908"/>
    <w:rsid w:val="00C13E66"/>
    <w:rsid w:val="00C15318"/>
    <w:rsid w:val="00C153C6"/>
    <w:rsid w:val="00C15971"/>
    <w:rsid w:val="00C15E78"/>
    <w:rsid w:val="00C2025E"/>
    <w:rsid w:val="00C212AB"/>
    <w:rsid w:val="00C21E0E"/>
    <w:rsid w:val="00C22417"/>
    <w:rsid w:val="00C22E84"/>
    <w:rsid w:val="00C23FD9"/>
    <w:rsid w:val="00C2454C"/>
    <w:rsid w:val="00C24B4A"/>
    <w:rsid w:val="00C25FC9"/>
    <w:rsid w:val="00C2614C"/>
    <w:rsid w:val="00C26340"/>
    <w:rsid w:val="00C2719B"/>
    <w:rsid w:val="00C307F1"/>
    <w:rsid w:val="00C30996"/>
    <w:rsid w:val="00C33D2B"/>
    <w:rsid w:val="00C3460C"/>
    <w:rsid w:val="00C36F2C"/>
    <w:rsid w:val="00C371B6"/>
    <w:rsid w:val="00C3786B"/>
    <w:rsid w:val="00C440CA"/>
    <w:rsid w:val="00C44152"/>
    <w:rsid w:val="00C44B61"/>
    <w:rsid w:val="00C46775"/>
    <w:rsid w:val="00C50DA5"/>
    <w:rsid w:val="00C52342"/>
    <w:rsid w:val="00C531CE"/>
    <w:rsid w:val="00C54ADF"/>
    <w:rsid w:val="00C55891"/>
    <w:rsid w:val="00C63257"/>
    <w:rsid w:val="00C667ED"/>
    <w:rsid w:val="00C668DA"/>
    <w:rsid w:val="00C66C98"/>
    <w:rsid w:val="00C66CB7"/>
    <w:rsid w:val="00C677A7"/>
    <w:rsid w:val="00C678AF"/>
    <w:rsid w:val="00C70E84"/>
    <w:rsid w:val="00C71FE5"/>
    <w:rsid w:val="00C72061"/>
    <w:rsid w:val="00C72309"/>
    <w:rsid w:val="00C72EEA"/>
    <w:rsid w:val="00C75524"/>
    <w:rsid w:val="00C76814"/>
    <w:rsid w:val="00C76C98"/>
    <w:rsid w:val="00C77B1D"/>
    <w:rsid w:val="00C77CF9"/>
    <w:rsid w:val="00C8063A"/>
    <w:rsid w:val="00C81B53"/>
    <w:rsid w:val="00C87369"/>
    <w:rsid w:val="00C878D4"/>
    <w:rsid w:val="00C87D6D"/>
    <w:rsid w:val="00C91E8B"/>
    <w:rsid w:val="00C92EBB"/>
    <w:rsid w:val="00C94751"/>
    <w:rsid w:val="00C95C0A"/>
    <w:rsid w:val="00CA2366"/>
    <w:rsid w:val="00CA457C"/>
    <w:rsid w:val="00CA4698"/>
    <w:rsid w:val="00CA5286"/>
    <w:rsid w:val="00CA6F8E"/>
    <w:rsid w:val="00CA74B8"/>
    <w:rsid w:val="00CB2189"/>
    <w:rsid w:val="00CB7F32"/>
    <w:rsid w:val="00CC1072"/>
    <w:rsid w:val="00CC2329"/>
    <w:rsid w:val="00CC4BAF"/>
    <w:rsid w:val="00CC5AA3"/>
    <w:rsid w:val="00CC62E8"/>
    <w:rsid w:val="00CC7A4C"/>
    <w:rsid w:val="00CC7AFA"/>
    <w:rsid w:val="00CD1311"/>
    <w:rsid w:val="00CD3F7C"/>
    <w:rsid w:val="00CD4EED"/>
    <w:rsid w:val="00CD6133"/>
    <w:rsid w:val="00CD6301"/>
    <w:rsid w:val="00CD69B1"/>
    <w:rsid w:val="00CD6A40"/>
    <w:rsid w:val="00CD6F6E"/>
    <w:rsid w:val="00CE7E2D"/>
    <w:rsid w:val="00CF1A8B"/>
    <w:rsid w:val="00CF2D58"/>
    <w:rsid w:val="00CF50A1"/>
    <w:rsid w:val="00CF5752"/>
    <w:rsid w:val="00CF6CA9"/>
    <w:rsid w:val="00CF6FD8"/>
    <w:rsid w:val="00CF7487"/>
    <w:rsid w:val="00D01789"/>
    <w:rsid w:val="00D03BE7"/>
    <w:rsid w:val="00D06C19"/>
    <w:rsid w:val="00D10E68"/>
    <w:rsid w:val="00D12573"/>
    <w:rsid w:val="00D15AF3"/>
    <w:rsid w:val="00D16E16"/>
    <w:rsid w:val="00D17570"/>
    <w:rsid w:val="00D25A20"/>
    <w:rsid w:val="00D2653F"/>
    <w:rsid w:val="00D26F76"/>
    <w:rsid w:val="00D30CE4"/>
    <w:rsid w:val="00D3192F"/>
    <w:rsid w:val="00D328ED"/>
    <w:rsid w:val="00D37E92"/>
    <w:rsid w:val="00D40077"/>
    <w:rsid w:val="00D4125C"/>
    <w:rsid w:val="00D41410"/>
    <w:rsid w:val="00D445CE"/>
    <w:rsid w:val="00D45EAA"/>
    <w:rsid w:val="00D503F7"/>
    <w:rsid w:val="00D52555"/>
    <w:rsid w:val="00D537E4"/>
    <w:rsid w:val="00D568A9"/>
    <w:rsid w:val="00D604DA"/>
    <w:rsid w:val="00D60799"/>
    <w:rsid w:val="00D6169D"/>
    <w:rsid w:val="00D6215A"/>
    <w:rsid w:val="00D6567D"/>
    <w:rsid w:val="00D6591E"/>
    <w:rsid w:val="00D716D3"/>
    <w:rsid w:val="00D8086C"/>
    <w:rsid w:val="00D814F3"/>
    <w:rsid w:val="00D818D3"/>
    <w:rsid w:val="00D86C26"/>
    <w:rsid w:val="00D91C67"/>
    <w:rsid w:val="00D91DE3"/>
    <w:rsid w:val="00D9314F"/>
    <w:rsid w:val="00D93F39"/>
    <w:rsid w:val="00D96FCA"/>
    <w:rsid w:val="00D972F1"/>
    <w:rsid w:val="00DA002A"/>
    <w:rsid w:val="00DA0255"/>
    <w:rsid w:val="00DA26B4"/>
    <w:rsid w:val="00DA2AF7"/>
    <w:rsid w:val="00DA32A7"/>
    <w:rsid w:val="00DA44C6"/>
    <w:rsid w:val="00DB31C3"/>
    <w:rsid w:val="00DB4433"/>
    <w:rsid w:val="00DB7E85"/>
    <w:rsid w:val="00DC3604"/>
    <w:rsid w:val="00DC5364"/>
    <w:rsid w:val="00DC5DCD"/>
    <w:rsid w:val="00DC5EAA"/>
    <w:rsid w:val="00DC7CD7"/>
    <w:rsid w:val="00DD07FD"/>
    <w:rsid w:val="00DD1279"/>
    <w:rsid w:val="00DD1502"/>
    <w:rsid w:val="00DD3367"/>
    <w:rsid w:val="00DD3E44"/>
    <w:rsid w:val="00DD4097"/>
    <w:rsid w:val="00DD47A4"/>
    <w:rsid w:val="00DD618B"/>
    <w:rsid w:val="00DD70F4"/>
    <w:rsid w:val="00DE0F7D"/>
    <w:rsid w:val="00DE12C7"/>
    <w:rsid w:val="00DE3CF6"/>
    <w:rsid w:val="00DE4EA0"/>
    <w:rsid w:val="00DE759C"/>
    <w:rsid w:val="00DE7A1B"/>
    <w:rsid w:val="00DF41B7"/>
    <w:rsid w:val="00DF5059"/>
    <w:rsid w:val="00DF63A9"/>
    <w:rsid w:val="00E007E1"/>
    <w:rsid w:val="00E0102A"/>
    <w:rsid w:val="00E02045"/>
    <w:rsid w:val="00E03A41"/>
    <w:rsid w:val="00E047A9"/>
    <w:rsid w:val="00E107BF"/>
    <w:rsid w:val="00E13D05"/>
    <w:rsid w:val="00E152CA"/>
    <w:rsid w:val="00E16BDD"/>
    <w:rsid w:val="00E234BF"/>
    <w:rsid w:val="00E24D84"/>
    <w:rsid w:val="00E2541A"/>
    <w:rsid w:val="00E25E8A"/>
    <w:rsid w:val="00E32293"/>
    <w:rsid w:val="00E3590D"/>
    <w:rsid w:val="00E35B93"/>
    <w:rsid w:val="00E3615B"/>
    <w:rsid w:val="00E36A25"/>
    <w:rsid w:val="00E40B70"/>
    <w:rsid w:val="00E40DD9"/>
    <w:rsid w:val="00E4181B"/>
    <w:rsid w:val="00E4266C"/>
    <w:rsid w:val="00E42B9D"/>
    <w:rsid w:val="00E43464"/>
    <w:rsid w:val="00E44200"/>
    <w:rsid w:val="00E449D4"/>
    <w:rsid w:val="00E45367"/>
    <w:rsid w:val="00E47A5F"/>
    <w:rsid w:val="00E47D42"/>
    <w:rsid w:val="00E5018B"/>
    <w:rsid w:val="00E52552"/>
    <w:rsid w:val="00E52E38"/>
    <w:rsid w:val="00E53837"/>
    <w:rsid w:val="00E568BB"/>
    <w:rsid w:val="00E57C3B"/>
    <w:rsid w:val="00E610E4"/>
    <w:rsid w:val="00E6282A"/>
    <w:rsid w:val="00E631A7"/>
    <w:rsid w:val="00E63A96"/>
    <w:rsid w:val="00E66443"/>
    <w:rsid w:val="00E6718B"/>
    <w:rsid w:val="00E700E4"/>
    <w:rsid w:val="00E70A0A"/>
    <w:rsid w:val="00E70FB2"/>
    <w:rsid w:val="00E716D6"/>
    <w:rsid w:val="00E726CF"/>
    <w:rsid w:val="00E72D6C"/>
    <w:rsid w:val="00E73A6D"/>
    <w:rsid w:val="00E76DF7"/>
    <w:rsid w:val="00E81DE3"/>
    <w:rsid w:val="00E879D6"/>
    <w:rsid w:val="00E916A2"/>
    <w:rsid w:val="00E96E32"/>
    <w:rsid w:val="00E9720D"/>
    <w:rsid w:val="00EA0399"/>
    <w:rsid w:val="00EA0A08"/>
    <w:rsid w:val="00EA0C5D"/>
    <w:rsid w:val="00EA398E"/>
    <w:rsid w:val="00EA7FB5"/>
    <w:rsid w:val="00EA7FCD"/>
    <w:rsid w:val="00EB205F"/>
    <w:rsid w:val="00EB4CC2"/>
    <w:rsid w:val="00EC2287"/>
    <w:rsid w:val="00EC327B"/>
    <w:rsid w:val="00EC409F"/>
    <w:rsid w:val="00EC4F04"/>
    <w:rsid w:val="00EC56B6"/>
    <w:rsid w:val="00EC6EE1"/>
    <w:rsid w:val="00EC7564"/>
    <w:rsid w:val="00ED1A26"/>
    <w:rsid w:val="00ED244F"/>
    <w:rsid w:val="00ED27DF"/>
    <w:rsid w:val="00ED3D4A"/>
    <w:rsid w:val="00ED62B0"/>
    <w:rsid w:val="00EE081B"/>
    <w:rsid w:val="00EE3BA0"/>
    <w:rsid w:val="00EE3DD5"/>
    <w:rsid w:val="00EE52CB"/>
    <w:rsid w:val="00EE5F10"/>
    <w:rsid w:val="00EE6AAF"/>
    <w:rsid w:val="00EE72DE"/>
    <w:rsid w:val="00EE7D9B"/>
    <w:rsid w:val="00EF05BF"/>
    <w:rsid w:val="00EF0712"/>
    <w:rsid w:val="00EF0B8C"/>
    <w:rsid w:val="00EF1207"/>
    <w:rsid w:val="00EF19DE"/>
    <w:rsid w:val="00EF1CC9"/>
    <w:rsid w:val="00EF6138"/>
    <w:rsid w:val="00EF779D"/>
    <w:rsid w:val="00F01553"/>
    <w:rsid w:val="00F017C4"/>
    <w:rsid w:val="00F0233B"/>
    <w:rsid w:val="00F03BFD"/>
    <w:rsid w:val="00F050BB"/>
    <w:rsid w:val="00F05B95"/>
    <w:rsid w:val="00F118AA"/>
    <w:rsid w:val="00F11C7B"/>
    <w:rsid w:val="00F12E34"/>
    <w:rsid w:val="00F1476E"/>
    <w:rsid w:val="00F14B0E"/>
    <w:rsid w:val="00F179C7"/>
    <w:rsid w:val="00F20145"/>
    <w:rsid w:val="00F20526"/>
    <w:rsid w:val="00F21BFC"/>
    <w:rsid w:val="00F223F8"/>
    <w:rsid w:val="00F234FB"/>
    <w:rsid w:val="00F236E7"/>
    <w:rsid w:val="00F24F00"/>
    <w:rsid w:val="00F25E90"/>
    <w:rsid w:val="00F27E3B"/>
    <w:rsid w:val="00F32325"/>
    <w:rsid w:val="00F37E60"/>
    <w:rsid w:val="00F414F1"/>
    <w:rsid w:val="00F427DC"/>
    <w:rsid w:val="00F42C99"/>
    <w:rsid w:val="00F438FA"/>
    <w:rsid w:val="00F4473E"/>
    <w:rsid w:val="00F44A4F"/>
    <w:rsid w:val="00F46969"/>
    <w:rsid w:val="00F473AD"/>
    <w:rsid w:val="00F5374E"/>
    <w:rsid w:val="00F5520E"/>
    <w:rsid w:val="00F554EF"/>
    <w:rsid w:val="00F61F93"/>
    <w:rsid w:val="00F62CED"/>
    <w:rsid w:val="00F62F01"/>
    <w:rsid w:val="00F70588"/>
    <w:rsid w:val="00F705BF"/>
    <w:rsid w:val="00F72F69"/>
    <w:rsid w:val="00F73B87"/>
    <w:rsid w:val="00F74FD3"/>
    <w:rsid w:val="00F770CE"/>
    <w:rsid w:val="00F80C18"/>
    <w:rsid w:val="00F811E1"/>
    <w:rsid w:val="00F81B4A"/>
    <w:rsid w:val="00F81D3A"/>
    <w:rsid w:val="00F83302"/>
    <w:rsid w:val="00F848F9"/>
    <w:rsid w:val="00F906F1"/>
    <w:rsid w:val="00F90AE1"/>
    <w:rsid w:val="00F91D22"/>
    <w:rsid w:val="00F93373"/>
    <w:rsid w:val="00F938D3"/>
    <w:rsid w:val="00F962D6"/>
    <w:rsid w:val="00F966AE"/>
    <w:rsid w:val="00FA459C"/>
    <w:rsid w:val="00FA50DC"/>
    <w:rsid w:val="00FA5BF1"/>
    <w:rsid w:val="00FA6D6C"/>
    <w:rsid w:val="00FA721A"/>
    <w:rsid w:val="00FB38C8"/>
    <w:rsid w:val="00FB4104"/>
    <w:rsid w:val="00FB5637"/>
    <w:rsid w:val="00FB6614"/>
    <w:rsid w:val="00FB7AFB"/>
    <w:rsid w:val="00FC1756"/>
    <w:rsid w:val="00FC1D1E"/>
    <w:rsid w:val="00FC703E"/>
    <w:rsid w:val="00FC7A27"/>
    <w:rsid w:val="00FC7CB4"/>
    <w:rsid w:val="00FD0961"/>
    <w:rsid w:val="00FD4627"/>
    <w:rsid w:val="00FD5B8D"/>
    <w:rsid w:val="00FE00E5"/>
    <w:rsid w:val="00FE0D91"/>
    <w:rsid w:val="00FE5E70"/>
    <w:rsid w:val="00FE6066"/>
    <w:rsid w:val="00FE62BF"/>
    <w:rsid w:val="00FF448C"/>
    <w:rsid w:val="00FF5940"/>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88CB468E-B8FF-4507-8F1D-8EC1D0CD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E7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uiPriority w:val="99"/>
    <w:rsid w:val="00B065FE"/>
    <w:rPr>
      <w:rFonts w:cs="Times New Roman"/>
      <w:color w:val="0000FF"/>
      <w:u w:val="single"/>
    </w:rPr>
  </w:style>
  <w:style w:type="character" w:styleId="CommentReference">
    <w:name w:val="annotation reference"/>
    <w:basedOn w:val="DefaultParagraphFont"/>
    <w:uiPriority w:val="99"/>
    <w:semiHidden/>
    <w:unhideWhenUsed/>
    <w:rsid w:val="004B7D9D"/>
    <w:rPr>
      <w:sz w:val="16"/>
      <w:szCs w:val="16"/>
    </w:rPr>
  </w:style>
  <w:style w:type="paragraph" w:styleId="CommentText">
    <w:name w:val="annotation text"/>
    <w:basedOn w:val="Normal"/>
    <w:link w:val="CommentTextChar"/>
    <w:uiPriority w:val="99"/>
    <w:unhideWhenUsed/>
    <w:rsid w:val="004B7D9D"/>
    <w:pPr>
      <w:spacing w:line="240" w:lineRule="auto"/>
    </w:pPr>
    <w:rPr>
      <w:sz w:val="20"/>
      <w:szCs w:val="20"/>
    </w:rPr>
  </w:style>
  <w:style w:type="character" w:customStyle="1" w:styleId="CommentTextChar">
    <w:name w:val="Comment Text Char"/>
    <w:basedOn w:val="DefaultParagraphFont"/>
    <w:link w:val="CommentText"/>
    <w:uiPriority w:val="99"/>
    <w:rsid w:val="004B7D9D"/>
    <w:rPr>
      <w:sz w:val="20"/>
      <w:szCs w:val="20"/>
      <w:lang w:val="en-GB"/>
    </w:rPr>
  </w:style>
  <w:style w:type="paragraph" w:styleId="CommentSubject">
    <w:name w:val="annotation subject"/>
    <w:basedOn w:val="CommentText"/>
    <w:next w:val="CommentText"/>
    <w:link w:val="CommentSubjectChar"/>
    <w:uiPriority w:val="99"/>
    <w:semiHidden/>
    <w:unhideWhenUsed/>
    <w:rsid w:val="004B7D9D"/>
    <w:rPr>
      <w:b/>
      <w:bCs/>
    </w:rPr>
  </w:style>
  <w:style w:type="character" w:customStyle="1" w:styleId="CommentSubjectChar">
    <w:name w:val="Comment Subject Char"/>
    <w:basedOn w:val="CommentTextChar"/>
    <w:link w:val="CommentSubject"/>
    <w:uiPriority w:val="99"/>
    <w:semiHidden/>
    <w:rsid w:val="004B7D9D"/>
    <w:rPr>
      <w:b/>
      <w:bCs/>
      <w:sz w:val="20"/>
      <w:szCs w:val="20"/>
      <w:lang w:val="en-GB"/>
    </w:rPr>
  </w:style>
  <w:style w:type="character" w:styleId="UnresolvedMention">
    <w:name w:val="Unresolved Mention"/>
    <w:basedOn w:val="DefaultParagraphFont"/>
    <w:uiPriority w:val="99"/>
    <w:semiHidden/>
    <w:unhideWhenUsed/>
    <w:rsid w:val="004B7D9D"/>
    <w:rPr>
      <w:color w:val="605E5C"/>
      <w:shd w:val="clear" w:color="auto" w:fill="E1DFDD"/>
    </w:rPr>
  </w:style>
  <w:style w:type="paragraph" w:styleId="FootnoteText">
    <w:name w:val="footnote text"/>
    <w:basedOn w:val="Normal"/>
    <w:link w:val="FootnoteTextChar"/>
    <w:uiPriority w:val="99"/>
    <w:unhideWhenUsed/>
    <w:rsid w:val="004B7D9D"/>
    <w:pPr>
      <w:spacing w:after="0" w:line="240" w:lineRule="auto"/>
    </w:pPr>
    <w:rPr>
      <w:sz w:val="20"/>
      <w:szCs w:val="20"/>
    </w:rPr>
  </w:style>
  <w:style w:type="character" w:customStyle="1" w:styleId="FootnoteTextChar">
    <w:name w:val="Footnote Text Char"/>
    <w:basedOn w:val="DefaultParagraphFont"/>
    <w:link w:val="FootnoteText"/>
    <w:uiPriority w:val="99"/>
    <w:rsid w:val="004B7D9D"/>
    <w:rPr>
      <w:sz w:val="20"/>
      <w:szCs w:val="20"/>
      <w:lang w:val="en-GB"/>
    </w:rPr>
  </w:style>
  <w:style w:type="character" w:styleId="FootnoteReference">
    <w:name w:val="footnote reference"/>
    <w:basedOn w:val="DefaultParagraphFont"/>
    <w:uiPriority w:val="99"/>
    <w:semiHidden/>
    <w:unhideWhenUsed/>
    <w:rsid w:val="004B7D9D"/>
    <w:rPr>
      <w:vertAlign w:val="superscript"/>
    </w:rPr>
  </w:style>
  <w:style w:type="character" w:customStyle="1" w:styleId="ui-provider">
    <w:name w:val="ui-provider"/>
    <w:basedOn w:val="DefaultParagraphFont"/>
    <w:rsid w:val="004B7D9D"/>
  </w:style>
  <w:style w:type="character" w:customStyle="1" w:styleId="marklte5zuh96">
    <w:name w:val="marklte5zuh96"/>
    <w:basedOn w:val="DefaultParagraphFont"/>
    <w:rsid w:val="00725636"/>
  </w:style>
  <w:style w:type="character" w:customStyle="1" w:styleId="markbl6hsl0mz">
    <w:name w:val="markbl6hsl0mz"/>
    <w:basedOn w:val="DefaultParagraphFont"/>
    <w:rsid w:val="00725636"/>
  </w:style>
  <w:style w:type="character" w:styleId="FollowedHyperlink">
    <w:name w:val="FollowedHyperlink"/>
    <w:basedOn w:val="DefaultParagraphFont"/>
    <w:uiPriority w:val="99"/>
    <w:semiHidden/>
    <w:unhideWhenUsed/>
    <w:rsid w:val="00857A1A"/>
    <w:rPr>
      <w:color w:val="954F72" w:themeColor="followedHyperlink"/>
      <w:u w:val="single"/>
    </w:rPr>
  </w:style>
  <w:style w:type="character" w:customStyle="1" w:styleId="Heading1Char">
    <w:name w:val="Heading 1 Char"/>
    <w:basedOn w:val="DefaultParagraphFont"/>
    <w:link w:val="Heading1"/>
    <w:uiPriority w:val="9"/>
    <w:rsid w:val="00DE7A1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3335">
      <w:bodyDiv w:val="1"/>
      <w:marLeft w:val="0"/>
      <w:marRight w:val="0"/>
      <w:marTop w:val="0"/>
      <w:marBottom w:val="0"/>
      <w:divBdr>
        <w:top w:val="none" w:sz="0" w:space="0" w:color="auto"/>
        <w:left w:val="none" w:sz="0" w:space="0" w:color="auto"/>
        <w:bottom w:val="none" w:sz="0" w:space="0" w:color="auto"/>
        <w:right w:val="none" w:sz="0" w:space="0" w:color="auto"/>
      </w:divBdr>
    </w:div>
    <w:div w:id="1156141729">
      <w:bodyDiv w:val="1"/>
      <w:marLeft w:val="0"/>
      <w:marRight w:val="0"/>
      <w:marTop w:val="0"/>
      <w:marBottom w:val="0"/>
      <w:divBdr>
        <w:top w:val="none" w:sz="0" w:space="0" w:color="auto"/>
        <w:left w:val="none" w:sz="0" w:space="0" w:color="auto"/>
        <w:bottom w:val="none" w:sz="0" w:space="0" w:color="auto"/>
        <w:right w:val="none" w:sz="0" w:space="0" w:color="auto"/>
      </w:divBdr>
    </w:div>
    <w:div w:id="127470309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88981770">
      <w:bodyDiv w:val="1"/>
      <w:marLeft w:val="0"/>
      <w:marRight w:val="0"/>
      <w:marTop w:val="0"/>
      <w:marBottom w:val="0"/>
      <w:divBdr>
        <w:top w:val="none" w:sz="0" w:space="0" w:color="auto"/>
        <w:left w:val="none" w:sz="0" w:space="0" w:color="auto"/>
        <w:bottom w:val="none" w:sz="0" w:space="0" w:color="auto"/>
        <w:right w:val="none" w:sz="0" w:space="0" w:color="auto"/>
      </w:divBdr>
    </w:div>
    <w:div w:id="1855801158">
      <w:bodyDiv w:val="1"/>
      <w:marLeft w:val="0"/>
      <w:marRight w:val="0"/>
      <w:marTop w:val="0"/>
      <w:marBottom w:val="0"/>
      <w:divBdr>
        <w:top w:val="none" w:sz="0" w:space="0" w:color="auto"/>
        <w:left w:val="none" w:sz="0" w:space="0" w:color="auto"/>
        <w:bottom w:val="none" w:sz="0" w:space="0" w:color="auto"/>
        <w:right w:val="none" w:sz="0" w:space="0" w:color="auto"/>
      </w:divBdr>
    </w:div>
    <w:div w:id="2025474868">
      <w:bodyDiv w:val="1"/>
      <w:marLeft w:val="0"/>
      <w:marRight w:val="0"/>
      <w:marTop w:val="0"/>
      <w:marBottom w:val="0"/>
      <w:divBdr>
        <w:top w:val="none" w:sz="0" w:space="0" w:color="auto"/>
        <w:left w:val="none" w:sz="0" w:space="0" w:color="auto"/>
        <w:bottom w:val="none" w:sz="0" w:space="0" w:color="auto"/>
        <w:right w:val="none" w:sz="0" w:space="0" w:color="auto"/>
      </w:divBdr>
    </w:div>
    <w:div w:id="21300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meeting/meeting-range-states-central-asian-flyway" TargetMode="External"/><Relationship Id="rId26" Type="http://schemas.openxmlformats.org/officeDocument/2006/relationships/hyperlink" Target="https://www.cms.int/fr/node/24249" TargetMode="External"/><Relationship Id="rId39" Type="http://schemas.openxmlformats.org/officeDocument/2006/relationships/theme" Target="theme/theme1.xml"/><Relationship Id="rId21" Type="http://schemas.openxmlformats.org/officeDocument/2006/relationships/hyperlink" Target="https://en.nabu.de/topics/protected-areas/afribirds/index.html"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3694" TargetMode="External"/><Relationship Id="rId25" Type="http://schemas.openxmlformats.org/officeDocument/2006/relationships/hyperlink" Target="https://euring.org/data-and-codes/euring-databank"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ode/24249" TargetMode="External"/><Relationship Id="rId20" Type="http://schemas.openxmlformats.org/officeDocument/2006/relationships/hyperlink" Target="https://en.nabu.de/topics/protected-areas/afribirds/monitoring.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euring.org/" TargetMode="External"/><Relationship Id="rId32" Type="http://schemas.openxmlformats.org/officeDocument/2006/relationships/header" Target="header7.xm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igrationatlas.org/fr/node/9316" TargetMode="External"/><Relationship Id="rId28" Type="http://schemas.openxmlformats.org/officeDocument/2006/relationships/header" Target="header5.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s://www.cambridgeconservation.org/project/integrating-science-policy-and-sustainable-development-to-address-african-eurasian-migrant-landbird-declines-african-perspectives-on-a-flyway-wide-issu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irdmap.africa/"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Tilman Carlo Schneider</DisplayName>
        <AccountId>19</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1850-9479-4C13-A6D6-65AE9740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CBE0D-F265-487F-8B9D-2903EC21A6F4}">
  <ds:schemaRefs>
    <ds:schemaRef ds:uri="http://schemas.microsoft.com/office/2006/documentManagement/types"/>
    <ds:schemaRef ds:uri="http://purl.org/dc/dcmitype/"/>
    <ds:schemaRef ds:uri="http://purl.org/dc/elements/1.1/"/>
    <ds:schemaRef ds:uri="http://purl.org/dc/terms/"/>
    <ds:schemaRef ds:uri="http://www.w3.org/XML/1998/namespace"/>
    <ds:schemaRef ds:uri="c15478a5-0be8-4f5d-8383-b307d5ba8bf6"/>
    <ds:schemaRef ds:uri="985ec44e-1bab-4c0b-9df0-6ba128686fc9"/>
    <ds:schemaRef ds:uri="http://schemas.microsoft.com/office/infopath/2007/PartnerControls"/>
    <ds:schemaRef ds:uri="http://schemas.openxmlformats.org/package/2006/metadata/core-properties"/>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6DFD27AC-4E31-4588-BDFF-EF2C1A9D9558}">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7557</Words>
  <Characters>43080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cp:lastPrinted>2019-09-19T02:54:00Z</cp:lastPrinted>
  <dcterms:created xsi:type="dcterms:W3CDTF">2023-07-07T07:07:00Z</dcterms:created>
  <dcterms:modified xsi:type="dcterms:W3CDTF">2023-11-14T13:30:00Z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