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BD7A4C" w:rsidRPr="00C664E8" w14:paraId="7FBDFF21" w14:textId="77777777" w:rsidTr="004213F3">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25139EEC" w14:textId="77777777" w:rsidR="00BD7A4C" w:rsidRPr="00002A97" w:rsidRDefault="00BD7A4C" w:rsidP="004213F3">
            <w:pPr>
              <w:widowControl w:val="0"/>
              <w:suppressAutoHyphens/>
              <w:autoSpaceDE w:val="0"/>
              <w:autoSpaceDN w:val="0"/>
              <w:textAlignment w:val="baseline"/>
              <w:rPr>
                <w:rFonts w:ascii="Calibri" w:eastAsia="Calibri" w:hAnsi="Calibri" w:cs="Times New Roman"/>
              </w:rPr>
            </w:pPr>
            <w:r w:rsidRPr="00002A97">
              <w:rPr>
                <w:rFonts w:eastAsia="Times New Roman"/>
                <w:noProof/>
                <w:szCs w:val="24"/>
              </w:rPr>
              <w:drawing>
                <wp:inline distT="0" distB="0" distL="0" distR="0" wp14:anchorId="36F1A4DA" wp14:editId="6F4E0F71">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7CC48358" w14:textId="77777777" w:rsidR="00BD7A4C" w:rsidRPr="00002A97" w:rsidRDefault="00BD7A4C" w:rsidP="004213F3">
            <w:pPr>
              <w:keepNext/>
              <w:widowControl w:val="0"/>
              <w:suppressAutoHyphens/>
              <w:autoSpaceDE w:val="0"/>
              <w:autoSpaceDN w:val="0"/>
              <w:ind w:left="-108"/>
              <w:textAlignment w:val="baseline"/>
              <w:outlineLvl w:val="1"/>
              <w:rPr>
                <w:rFonts w:eastAsia="Times New Roman"/>
                <w:sz w:val="12"/>
                <w:szCs w:val="12"/>
                <w:lang w:val="es-ES" w:eastAsia="es-ES"/>
              </w:rPr>
            </w:pPr>
          </w:p>
          <w:p w14:paraId="19EFCF57" w14:textId="77777777" w:rsidR="00BD7A4C" w:rsidRPr="00002A97" w:rsidRDefault="00BD7A4C" w:rsidP="004213F3">
            <w:pPr>
              <w:keepNext/>
              <w:widowControl w:val="0"/>
              <w:suppressAutoHyphens/>
              <w:autoSpaceDE w:val="0"/>
              <w:autoSpaceDN w:val="0"/>
              <w:ind w:left="-108"/>
              <w:textAlignment w:val="baseline"/>
              <w:outlineLvl w:val="1"/>
              <w:rPr>
                <w:rFonts w:ascii="Calibri" w:eastAsia="Calibri" w:hAnsi="Calibri" w:cs="Times New Roman"/>
                <w:lang w:val="es-ES"/>
              </w:rPr>
            </w:pPr>
            <w:r w:rsidRPr="00002A97">
              <w:rPr>
                <w:rFonts w:eastAsia="Times New Roman"/>
                <w:b/>
                <w:bCs/>
                <w:sz w:val="32"/>
                <w:szCs w:val="24"/>
                <w:lang w:val="es-ES" w:eastAsia="es-ES"/>
              </w:rPr>
              <w:t>CONVENCIÓN SOBRE</w:t>
            </w:r>
          </w:p>
          <w:p w14:paraId="1FF20690" w14:textId="77777777" w:rsidR="00BD7A4C" w:rsidRPr="00002A97" w:rsidRDefault="00BD7A4C" w:rsidP="004213F3">
            <w:pPr>
              <w:keepNext/>
              <w:widowControl w:val="0"/>
              <w:suppressAutoHyphens/>
              <w:autoSpaceDE w:val="0"/>
              <w:autoSpaceDN w:val="0"/>
              <w:ind w:left="-108"/>
              <w:textAlignment w:val="baseline"/>
              <w:outlineLvl w:val="1"/>
              <w:rPr>
                <w:rFonts w:ascii="Calibri" w:eastAsia="Calibri" w:hAnsi="Calibri" w:cs="Times New Roman"/>
                <w:lang w:val="es-ES"/>
              </w:rPr>
            </w:pPr>
            <w:r w:rsidRPr="00002A97">
              <w:rPr>
                <w:rFonts w:eastAsia="Times New Roman"/>
                <w:b/>
                <w:bCs/>
                <w:sz w:val="32"/>
                <w:szCs w:val="24"/>
                <w:lang w:val="es-ES" w:eastAsia="es-ES"/>
              </w:rPr>
              <w:t>LAS ESPECIES</w:t>
            </w:r>
          </w:p>
          <w:p w14:paraId="22F28081" w14:textId="77777777" w:rsidR="00BD7A4C" w:rsidRPr="00002A97" w:rsidRDefault="00BD7A4C" w:rsidP="004213F3">
            <w:pPr>
              <w:keepNext/>
              <w:widowControl w:val="0"/>
              <w:suppressAutoHyphens/>
              <w:autoSpaceDE w:val="0"/>
              <w:autoSpaceDN w:val="0"/>
              <w:ind w:left="-108"/>
              <w:textAlignment w:val="baseline"/>
              <w:outlineLvl w:val="1"/>
              <w:rPr>
                <w:rFonts w:ascii="Calibri" w:eastAsia="Calibri" w:hAnsi="Calibri" w:cs="Times New Roman"/>
                <w:lang w:val="es-ES"/>
              </w:rPr>
            </w:pPr>
            <w:r w:rsidRPr="00002A97">
              <w:rPr>
                <w:rFonts w:eastAsia="Times New Roman"/>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4C38A590" w14:textId="517811D3" w:rsidR="00BD7A4C" w:rsidRPr="00457C8A" w:rsidRDefault="00BD7A4C" w:rsidP="004213F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Calibri" w:eastAsia="Calibri" w:hAnsi="Calibri" w:cs="Times New Roman"/>
                <w:lang w:val="fr-FR"/>
              </w:rPr>
            </w:pPr>
            <w:r w:rsidRPr="00457C8A">
              <w:rPr>
                <w:rFonts w:eastAsia="Times New Roman"/>
                <w:szCs w:val="24"/>
                <w:lang w:val="fr-FR" w:eastAsia="es-ES"/>
              </w:rPr>
              <w:t>UNEP/CMS/COP14/</w:t>
            </w:r>
            <w:r>
              <w:rPr>
                <w:rFonts w:eastAsia="Times New Roman"/>
                <w:szCs w:val="24"/>
                <w:lang w:val="fr-FR" w:eastAsia="es-ES"/>
              </w:rPr>
              <w:t>Doc</w:t>
            </w:r>
            <w:r w:rsidR="00E812E5">
              <w:rPr>
                <w:rFonts w:eastAsia="Times New Roman"/>
                <w:szCs w:val="24"/>
                <w:lang w:val="fr-FR" w:eastAsia="es-ES"/>
              </w:rPr>
              <w:t>27.7.3</w:t>
            </w:r>
          </w:p>
          <w:p w14:paraId="343450D7" w14:textId="35BA0DC2" w:rsidR="00BD7A4C" w:rsidRPr="008C0855" w:rsidRDefault="00E812E5" w:rsidP="004213F3">
            <w:pPr>
              <w:widowControl w:val="0"/>
              <w:tabs>
                <w:tab w:val="left" w:pos="5040"/>
                <w:tab w:val="left" w:pos="5760"/>
                <w:tab w:val="left" w:pos="6008"/>
                <w:tab w:val="left" w:pos="6480"/>
                <w:tab w:val="left" w:pos="7200"/>
                <w:tab w:val="left" w:pos="7920"/>
                <w:tab w:val="left" w:pos="8640"/>
              </w:tabs>
              <w:suppressAutoHyphens/>
              <w:autoSpaceDE w:val="0"/>
              <w:autoSpaceDN w:val="0"/>
              <w:spacing w:after="120"/>
              <w:textAlignment w:val="baseline"/>
              <w:rPr>
                <w:rFonts w:ascii="Calibri" w:eastAsia="Calibri" w:hAnsi="Calibri" w:cs="Times New Roman"/>
                <w:lang w:val="fr-FR"/>
              </w:rPr>
            </w:pPr>
            <w:r>
              <w:rPr>
                <w:rFonts w:eastAsia="Times New Roman"/>
                <w:szCs w:val="24"/>
                <w:lang w:val="fr-FR" w:eastAsia="es-ES"/>
              </w:rPr>
              <w:t xml:space="preserve">14 de </w:t>
            </w:r>
            <w:proofErr w:type="spellStart"/>
            <w:r>
              <w:rPr>
                <w:rFonts w:eastAsia="Times New Roman"/>
                <w:szCs w:val="24"/>
                <w:lang w:val="fr-FR" w:eastAsia="es-ES"/>
              </w:rPr>
              <w:t>noviembre</w:t>
            </w:r>
            <w:proofErr w:type="spellEnd"/>
            <w:r w:rsidR="00BD7A4C" w:rsidRPr="008C0855">
              <w:rPr>
                <w:rFonts w:eastAsia="Times New Roman"/>
                <w:szCs w:val="24"/>
                <w:lang w:val="fr-FR" w:eastAsia="es-ES"/>
              </w:rPr>
              <w:t xml:space="preserve"> 2023</w:t>
            </w:r>
          </w:p>
          <w:p w14:paraId="560E258A" w14:textId="77777777" w:rsidR="00BD7A4C" w:rsidRPr="00002A97" w:rsidRDefault="00BD7A4C" w:rsidP="004213F3">
            <w:pPr>
              <w:widowControl w:val="0"/>
              <w:suppressAutoHyphens/>
              <w:autoSpaceDE w:val="0"/>
              <w:autoSpaceDN w:val="0"/>
              <w:textAlignment w:val="baseline"/>
              <w:rPr>
                <w:rFonts w:eastAsia="Times New Roman"/>
                <w:szCs w:val="24"/>
                <w:lang w:val="es-ES_tradnl" w:eastAsia="es-ES"/>
              </w:rPr>
            </w:pPr>
            <w:r w:rsidRPr="00002A97">
              <w:rPr>
                <w:rFonts w:eastAsia="Times New Roman"/>
                <w:szCs w:val="24"/>
                <w:lang w:val="es-ES_tradnl" w:eastAsia="es-ES"/>
              </w:rPr>
              <w:t>Español</w:t>
            </w:r>
          </w:p>
          <w:p w14:paraId="77C30C60" w14:textId="77777777" w:rsidR="00BD7A4C" w:rsidRPr="000F4BDA" w:rsidRDefault="00BD7A4C" w:rsidP="004213F3">
            <w:pPr>
              <w:widowControl w:val="0"/>
              <w:suppressAutoHyphens/>
              <w:autoSpaceDE w:val="0"/>
              <w:autoSpaceDN w:val="0"/>
              <w:textAlignment w:val="baseline"/>
              <w:rPr>
                <w:rFonts w:ascii="Calibri" w:eastAsia="Calibri" w:hAnsi="Calibri" w:cs="Times New Roman"/>
                <w:lang w:val="es-ES"/>
              </w:rPr>
            </w:pPr>
            <w:r w:rsidRPr="00002A97">
              <w:rPr>
                <w:rFonts w:eastAsia="Times New Roman"/>
                <w:szCs w:val="24"/>
                <w:lang w:val="es-ES" w:eastAsia="es-ES"/>
              </w:rPr>
              <w:t xml:space="preserve">Original: </w:t>
            </w:r>
            <w:proofErr w:type="gramStart"/>
            <w:r w:rsidRPr="00002A97">
              <w:rPr>
                <w:rFonts w:eastAsia="Times New Roman"/>
                <w:szCs w:val="24"/>
                <w:lang w:val="es-ES" w:eastAsia="es-ES"/>
              </w:rPr>
              <w:t>Inglés</w:t>
            </w:r>
            <w:proofErr w:type="gramEnd"/>
          </w:p>
          <w:p w14:paraId="10BEB8A3" w14:textId="77777777" w:rsidR="00BD7A4C" w:rsidRPr="00002A97" w:rsidRDefault="00BD7A4C" w:rsidP="004213F3">
            <w:pPr>
              <w:widowControl w:val="0"/>
              <w:suppressAutoHyphens/>
              <w:autoSpaceDE w:val="0"/>
              <w:autoSpaceDN w:val="0"/>
              <w:textAlignment w:val="baseline"/>
              <w:rPr>
                <w:rFonts w:eastAsia="Times New Roman"/>
                <w:sz w:val="12"/>
                <w:szCs w:val="12"/>
                <w:lang w:val="es-ES" w:eastAsia="es-ES"/>
              </w:rPr>
            </w:pPr>
          </w:p>
        </w:tc>
      </w:tr>
    </w:tbl>
    <w:p w14:paraId="1B172BBF" w14:textId="77777777" w:rsidR="00A67CAC" w:rsidRPr="00002A97" w:rsidRDefault="00A67CAC" w:rsidP="00A67CAC">
      <w:pPr>
        <w:widowControl w:val="0"/>
        <w:tabs>
          <w:tab w:val="left" w:pos="-1057"/>
          <w:tab w:val="left" w:pos="-720"/>
        </w:tabs>
        <w:suppressAutoHyphens/>
        <w:autoSpaceDE w:val="0"/>
        <w:autoSpaceDN w:val="0"/>
        <w:textAlignment w:val="baseline"/>
        <w:rPr>
          <w:rFonts w:ascii="Calibri" w:eastAsia="Calibri" w:hAnsi="Calibri" w:cs="Times New Roman"/>
          <w:lang w:val="es-ES"/>
        </w:rPr>
      </w:pPr>
      <w:r w:rsidRPr="00002A97">
        <w:rPr>
          <w:rFonts w:eastAsia="Times New Roman"/>
          <w:szCs w:val="24"/>
          <w:lang w:val="es-ES" w:eastAsia="es-ES"/>
        </w:rPr>
        <w:t>1</w:t>
      </w:r>
      <w:r>
        <w:rPr>
          <w:rFonts w:eastAsia="Times New Roman"/>
          <w:szCs w:val="24"/>
          <w:lang w:val="es-ES" w:eastAsia="es-ES"/>
        </w:rPr>
        <w:t>4</w:t>
      </w:r>
      <w:r w:rsidRPr="00002A97">
        <w:rPr>
          <w:rFonts w:eastAsia="Times New Roman"/>
          <w:szCs w:val="24"/>
          <w:lang w:val="es-ES" w:eastAsia="es-ES"/>
        </w:rPr>
        <w:t>ª REUNIÓN DE LA CONFERENCIA DE LAS PARTES</w:t>
      </w:r>
    </w:p>
    <w:p w14:paraId="62F5FC20" w14:textId="77777777" w:rsidR="00A67CAC" w:rsidRPr="00002A97" w:rsidRDefault="00A67CAC" w:rsidP="00A67CA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es-ES"/>
        </w:rPr>
      </w:pPr>
      <w:r w:rsidRPr="000F4BDA">
        <w:rPr>
          <w:rFonts w:eastAsia="Times New Roman"/>
          <w:bCs/>
          <w:szCs w:val="24"/>
          <w:lang w:val="es-ES" w:eastAsia="es-ES"/>
        </w:rPr>
        <w:t>Samarcanda</w:t>
      </w:r>
      <w:r w:rsidRPr="00002A97">
        <w:rPr>
          <w:rFonts w:eastAsia="Times New Roman"/>
          <w:bCs/>
          <w:szCs w:val="24"/>
          <w:lang w:val="es-ES" w:eastAsia="es-ES"/>
        </w:rPr>
        <w:t xml:space="preserve">. </w:t>
      </w:r>
      <w:r>
        <w:rPr>
          <w:rFonts w:eastAsia="Times New Roman"/>
          <w:bCs/>
          <w:szCs w:val="24"/>
          <w:lang w:val="es-ES" w:eastAsia="es-ES"/>
        </w:rPr>
        <w:t>Uzbekistán</w:t>
      </w:r>
      <w:r w:rsidRPr="00002A97">
        <w:rPr>
          <w:rFonts w:eastAsia="Times New Roman"/>
          <w:bCs/>
          <w:szCs w:val="24"/>
          <w:lang w:val="es-ES" w:eastAsia="es-ES"/>
        </w:rPr>
        <w:t xml:space="preserve">, </w:t>
      </w:r>
      <w:r>
        <w:rPr>
          <w:rFonts w:eastAsia="Times New Roman"/>
          <w:bCs/>
          <w:szCs w:val="24"/>
          <w:lang w:val="es-ES" w:eastAsia="es-ES"/>
        </w:rPr>
        <w:t>12 – 17 de febrero</w:t>
      </w:r>
      <w:r w:rsidRPr="00002A97">
        <w:rPr>
          <w:rFonts w:eastAsia="Times New Roman"/>
          <w:bCs/>
          <w:szCs w:val="24"/>
          <w:lang w:val="es-ES" w:eastAsia="es-ES"/>
        </w:rPr>
        <w:t xml:space="preserve"> 202</w:t>
      </w:r>
      <w:r>
        <w:rPr>
          <w:rFonts w:eastAsia="Times New Roman"/>
          <w:bCs/>
          <w:szCs w:val="24"/>
          <w:lang w:val="es-ES" w:eastAsia="es-ES"/>
        </w:rPr>
        <w:t>4</w:t>
      </w:r>
    </w:p>
    <w:p w14:paraId="11D64B3E" w14:textId="0D7BA2DF" w:rsidR="00A67CAC" w:rsidRPr="00002A97" w:rsidRDefault="00A67CAC" w:rsidP="00A67CAC">
      <w:pPr>
        <w:widowControl w:val="0"/>
        <w:tabs>
          <w:tab w:val="left" w:pos="7020"/>
        </w:tabs>
        <w:suppressAutoHyphens/>
        <w:autoSpaceDE w:val="0"/>
        <w:autoSpaceDN w:val="0"/>
        <w:textAlignment w:val="baseline"/>
        <w:rPr>
          <w:rFonts w:ascii="Calibri" w:eastAsia="Calibri" w:hAnsi="Calibri" w:cs="Times New Roman"/>
          <w:lang w:val="es-ES"/>
        </w:rPr>
      </w:pPr>
      <w:r w:rsidRPr="00002A97">
        <w:rPr>
          <w:rFonts w:eastAsia="Times New Roman"/>
          <w:szCs w:val="24"/>
          <w:lang w:val="es-ES" w:eastAsia="es-ES"/>
        </w:rPr>
        <w:t xml:space="preserve">Punto </w:t>
      </w:r>
      <w:r w:rsidR="00E812E5">
        <w:rPr>
          <w:rFonts w:eastAsia="Times New Roman"/>
          <w:szCs w:val="24"/>
          <w:lang w:val="es-ES" w:eastAsia="es-ES"/>
        </w:rPr>
        <w:t>27.7</w:t>
      </w:r>
      <w:r w:rsidRPr="00002A97">
        <w:rPr>
          <w:rFonts w:eastAsia="Times New Roman"/>
          <w:szCs w:val="24"/>
          <w:lang w:val="es-ES" w:eastAsia="es-ES"/>
        </w:rPr>
        <w:t xml:space="preserve"> del orden del día</w:t>
      </w:r>
    </w:p>
    <w:p w14:paraId="1115BF44" w14:textId="5C96ED1F" w:rsidR="00D36E5D" w:rsidRPr="00447D01" w:rsidRDefault="00D36E5D" w:rsidP="00BD7A4C">
      <w:pPr>
        <w:widowControl w:val="0"/>
        <w:tabs>
          <w:tab w:val="left" w:pos="990"/>
        </w:tabs>
        <w:rPr>
          <w:lang w:val="es-ES"/>
        </w:rPr>
      </w:pPr>
    </w:p>
    <w:p w14:paraId="0A5748C2" w14:textId="77777777" w:rsidR="00D36E5D" w:rsidRPr="00447D01" w:rsidRDefault="00D36E5D">
      <w:pPr>
        <w:widowControl w:val="0"/>
        <w:rPr>
          <w:lang w:val="es-ES"/>
        </w:rPr>
      </w:pPr>
    </w:p>
    <w:p w14:paraId="6CD8262F" w14:textId="77777777" w:rsidR="00564AB6" w:rsidRPr="00447D01" w:rsidRDefault="00636419" w:rsidP="00327FE8">
      <w:pPr>
        <w:tabs>
          <w:tab w:val="left" w:pos="6840"/>
        </w:tabs>
        <w:spacing w:line="252" w:lineRule="exact"/>
        <w:ind w:right="26"/>
        <w:jc w:val="center"/>
        <w:rPr>
          <w:b/>
          <w:lang w:val="es-ES"/>
        </w:rPr>
      </w:pPr>
      <w:r w:rsidRPr="00447D01">
        <w:rPr>
          <w:b/>
          <w:lang w:val="es-ES"/>
        </w:rPr>
        <w:t xml:space="preserve">IMPLEMENTACIÓN DE LA INCLUSIÓN EN EL APÉNDICE I DE LA CMS PARA EL </w:t>
      </w:r>
    </w:p>
    <w:p w14:paraId="399115DB" w14:textId="56BFFF3C" w:rsidR="00D67332" w:rsidRPr="00447D01" w:rsidRDefault="00636419" w:rsidP="00564AB6">
      <w:pPr>
        <w:tabs>
          <w:tab w:val="left" w:pos="6840"/>
        </w:tabs>
        <w:spacing w:after="120"/>
        <w:ind w:right="28"/>
        <w:jc w:val="center"/>
        <w:rPr>
          <w:b/>
          <w:lang w:val="es-ES"/>
        </w:rPr>
      </w:pPr>
      <w:r w:rsidRPr="00447D01">
        <w:rPr>
          <w:b/>
          <w:lang w:val="es-ES"/>
        </w:rPr>
        <w:t xml:space="preserve">TIBURÓN OCEÁNICO </w:t>
      </w:r>
      <w:r w:rsidR="00C82653" w:rsidRPr="00447D01">
        <w:rPr>
          <w:lang w:val="es-ES"/>
        </w:rPr>
        <w:t>(</w:t>
      </w:r>
      <w:proofErr w:type="spellStart"/>
      <w:r w:rsidR="00C82653" w:rsidRPr="00447D01">
        <w:rPr>
          <w:i/>
          <w:lang w:val="es-ES"/>
        </w:rPr>
        <w:t>Carcharhinus</w:t>
      </w:r>
      <w:proofErr w:type="spellEnd"/>
      <w:r w:rsidR="00C82653" w:rsidRPr="00447D01">
        <w:rPr>
          <w:i/>
          <w:lang w:val="es-ES"/>
        </w:rPr>
        <w:t xml:space="preserve"> </w:t>
      </w:r>
      <w:proofErr w:type="spellStart"/>
      <w:r w:rsidR="00C82653" w:rsidRPr="00447D01">
        <w:rPr>
          <w:i/>
          <w:lang w:val="es-ES"/>
        </w:rPr>
        <w:t>longimanus</w:t>
      </w:r>
      <w:proofErr w:type="spellEnd"/>
      <w:r w:rsidR="00C82653" w:rsidRPr="00447D01">
        <w:rPr>
          <w:lang w:val="es-ES"/>
        </w:rPr>
        <w:t>)</w:t>
      </w:r>
    </w:p>
    <w:p w14:paraId="51AA23C2" w14:textId="7837F6B2" w:rsidR="00D36E5D" w:rsidRPr="00447D01" w:rsidRDefault="00CC463E" w:rsidP="00327FE8">
      <w:pPr>
        <w:widowControl w:val="0"/>
        <w:ind w:right="26"/>
        <w:jc w:val="center"/>
        <w:rPr>
          <w:rFonts w:ascii="Calibri" w:eastAsia="Calibri" w:hAnsi="Calibri" w:cs="Calibri"/>
          <w:lang w:val="es-ES"/>
        </w:rPr>
      </w:pPr>
      <w:r w:rsidRPr="00447D01">
        <w:rPr>
          <w:i/>
          <w:lang w:val="es-ES"/>
        </w:rPr>
        <w:t>(Preparado por las Maldivas)</w:t>
      </w:r>
    </w:p>
    <w:p w14:paraId="0818FF80" w14:textId="77777777" w:rsidR="00D36E5D" w:rsidRPr="00447D01" w:rsidRDefault="00D36E5D">
      <w:pPr>
        <w:widowControl w:val="0"/>
        <w:tabs>
          <w:tab w:val="left" w:pos="8295"/>
        </w:tabs>
        <w:jc w:val="both"/>
        <w:rPr>
          <w:lang w:val="es-ES"/>
        </w:rPr>
      </w:pPr>
    </w:p>
    <w:p w14:paraId="4CE6B20D" w14:textId="77777777" w:rsidR="00564AB6" w:rsidRPr="00447D01" w:rsidRDefault="00564AB6">
      <w:pPr>
        <w:widowControl w:val="0"/>
        <w:rPr>
          <w:rFonts w:ascii="Calibri" w:eastAsia="Calibri" w:hAnsi="Calibri" w:cs="Calibri"/>
          <w:lang w:val="es-ES"/>
        </w:rPr>
      </w:pPr>
    </w:p>
    <w:p w14:paraId="420E88DF" w14:textId="1EAF79F7" w:rsidR="00D36E5D" w:rsidRPr="00447D01" w:rsidRDefault="00CC463E">
      <w:pPr>
        <w:widowControl w:val="0"/>
        <w:rPr>
          <w:rFonts w:ascii="Calibri" w:eastAsia="Calibri" w:hAnsi="Calibri" w:cs="Calibri"/>
          <w:lang w:val="es-ES"/>
        </w:rPr>
      </w:pPr>
      <w:r w:rsidRPr="00447D01">
        <w:rPr>
          <w:noProof/>
          <w:lang w:val="es-ES" w:eastAsia="es-ES"/>
        </w:rPr>
        <mc:AlternateContent>
          <mc:Choice Requires="wps">
            <w:drawing>
              <wp:anchor distT="0" distB="0" distL="114300" distR="114300" simplePos="0" relativeHeight="251654656" behindDoc="0" locked="0" layoutInCell="1" hidden="0" allowOverlap="1" wp14:anchorId="70C2E6A3" wp14:editId="6CD47476">
                <wp:simplePos x="0" y="0"/>
                <wp:positionH relativeFrom="column">
                  <wp:posOffset>571500</wp:posOffset>
                </wp:positionH>
                <wp:positionV relativeFrom="paragraph">
                  <wp:posOffset>84455</wp:posOffset>
                </wp:positionV>
                <wp:extent cx="4629150" cy="11620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4629150" cy="11620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8251084" w14:textId="17990BCF" w:rsidR="00D36E5D" w:rsidRPr="009723D8" w:rsidRDefault="00CC463E" w:rsidP="00564AB6">
                            <w:pPr>
                              <w:spacing w:line="258" w:lineRule="auto"/>
                              <w:textDirection w:val="btLr"/>
                              <w:rPr>
                                <w:color w:val="000000" w:themeColor="text1"/>
                                <w:lang w:val="es-ES"/>
                              </w:rPr>
                            </w:pPr>
                            <w:r w:rsidRPr="009723D8">
                              <w:rPr>
                                <w:color w:val="000000" w:themeColor="text1"/>
                                <w:lang w:val="es-ES"/>
                              </w:rPr>
                              <w:t>Resumen:</w:t>
                            </w:r>
                          </w:p>
                          <w:p w14:paraId="60F74FB3" w14:textId="77777777" w:rsidR="00D36E5D" w:rsidRPr="009723D8" w:rsidRDefault="00D36E5D">
                            <w:pPr>
                              <w:jc w:val="both"/>
                              <w:textDirection w:val="btLr"/>
                              <w:rPr>
                                <w:color w:val="000000" w:themeColor="text1"/>
                                <w:lang w:val="es-ES"/>
                              </w:rPr>
                            </w:pPr>
                          </w:p>
                          <w:p w14:paraId="74FE14F5" w14:textId="7502502C" w:rsidR="00D67332" w:rsidRPr="009723D8" w:rsidRDefault="00F512BE" w:rsidP="00564AB6">
                            <w:pPr>
                              <w:tabs>
                                <w:tab w:val="left" w:pos="6096"/>
                              </w:tabs>
                              <w:ind w:right="-98"/>
                              <w:jc w:val="both"/>
                              <w:rPr>
                                <w:color w:val="000000" w:themeColor="text1"/>
                                <w:lang w:val="es-ES"/>
                              </w:rPr>
                            </w:pPr>
                            <w:r w:rsidRPr="009723D8">
                              <w:rPr>
                                <w:color w:val="000000" w:themeColor="text1"/>
                                <w:lang w:val="es-ES"/>
                              </w:rPr>
                              <w:t xml:space="preserve">El Gobierno de Maldivas ha preparado un conjunto de proyectos de decisión para mejorar la implementación de la inclusión del tiburón </w:t>
                            </w:r>
                            <w:r w:rsidR="009723D8" w:rsidRPr="009723D8">
                              <w:rPr>
                                <w:color w:val="000000" w:themeColor="text1"/>
                                <w:lang w:val="es-ES"/>
                              </w:rPr>
                              <w:t>oceánico</w:t>
                            </w:r>
                            <w:r w:rsidR="009723D8" w:rsidRPr="003E25BF">
                              <w:rPr>
                                <w:color w:val="000000" w:themeColor="text1"/>
                                <w:lang w:val="es-ES"/>
                              </w:rPr>
                              <w:t xml:space="preserve"> (</w:t>
                            </w:r>
                            <w:proofErr w:type="spellStart"/>
                            <w:r w:rsidR="00D67332" w:rsidRPr="009723D8">
                              <w:rPr>
                                <w:i/>
                                <w:color w:val="000000" w:themeColor="text1"/>
                                <w:lang w:val="es-ES"/>
                              </w:rPr>
                              <w:t>Carcharhinus</w:t>
                            </w:r>
                            <w:proofErr w:type="spellEnd"/>
                            <w:r w:rsidR="00D67332" w:rsidRPr="009723D8">
                              <w:rPr>
                                <w:i/>
                                <w:color w:val="000000" w:themeColor="text1"/>
                                <w:lang w:val="es-ES"/>
                              </w:rPr>
                              <w:t xml:space="preserve"> </w:t>
                            </w:r>
                            <w:proofErr w:type="spellStart"/>
                            <w:r w:rsidR="00D67332" w:rsidRPr="009723D8">
                              <w:rPr>
                                <w:i/>
                                <w:color w:val="000000" w:themeColor="text1"/>
                                <w:lang w:val="es-ES"/>
                              </w:rPr>
                              <w:t>longimanus</w:t>
                            </w:r>
                            <w:proofErr w:type="spellEnd"/>
                            <w:r w:rsidR="00D67332" w:rsidRPr="009723D8">
                              <w:rPr>
                                <w:color w:val="000000" w:themeColor="text1"/>
                                <w:lang w:val="es-ES"/>
                              </w:rPr>
                              <w:t>) en el Apéndice I de la CMS.</w:t>
                            </w:r>
                          </w:p>
                          <w:p w14:paraId="0F3A7783" w14:textId="77777777" w:rsidR="00D36E5D" w:rsidRPr="00AC1A59" w:rsidRDefault="00D36E5D">
                            <w:pPr>
                              <w:textDirection w:val="btLr"/>
                              <w:rPr>
                                <w:color w:val="000000" w:themeColor="text1"/>
                                <w:lang w:val="es-E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C2E6A3" id="Rectangle 9" o:spid="_x0000_s1026" style="position:absolute;margin-left:45pt;margin-top:6.65pt;width:364.5pt;height:9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">
                <v:stroke startarrowwidth="narrow" startarrowlength="short" endarrowwidth="narrow" endarrowlength="short" joinstyle="round"/>
                <v:textbox inset="2.53958mm,1.2694mm,2.53958mm,1.2694mm">
                  <w:txbxContent>
                    <w:p w14:paraId="18251084" w14:textId="17990BCF" w:rsidR="00D36E5D" w:rsidRPr="009723D8" w:rsidRDefault="00CC463E" w:rsidP="00564AB6">
                      <w:pPr>
                        <w:spacing w:line="258" w:lineRule="auto"/>
                        <w:textDirection w:val="btLr"/>
                        <w:rPr>
                          <w:color w:val="000000" w:themeColor="text1"/>
                          <w:lang w:val="es-ES"/>
                        </w:rPr>
                      </w:pPr>
                      <w:r w:rsidRPr="009723D8">
                        <w:rPr>
                          <w:color w:val="000000" w:themeColor="text1"/>
                          <w:lang w:val="es-ES"/>
                        </w:rPr>
                        <w:t>Resumen:</w:t>
                      </w:r>
                    </w:p>
                    <w:p w14:paraId="60F74FB3" w14:textId="77777777" w:rsidR="00D36E5D" w:rsidRPr="009723D8" w:rsidRDefault="00D36E5D">
                      <w:pPr>
                        <w:jc w:val="both"/>
                        <w:textDirection w:val="btLr"/>
                        <w:rPr>
                          <w:color w:val="000000" w:themeColor="text1"/>
                          <w:lang w:val="es-ES"/>
                        </w:rPr>
                      </w:pPr>
                    </w:p>
                    <w:p w14:paraId="74FE14F5" w14:textId="7502502C" w:rsidR="00D67332" w:rsidRPr="009723D8" w:rsidRDefault="00F512BE" w:rsidP="00564AB6">
                      <w:pPr>
                        <w:tabs>
                          <w:tab w:val="left" w:pos="6096"/>
                        </w:tabs>
                        <w:ind w:right="-98"/>
                        <w:jc w:val="both"/>
                        <w:rPr>
                          <w:color w:val="000000" w:themeColor="text1"/>
                          <w:lang w:val="es-ES"/>
                        </w:rPr>
                      </w:pPr>
                      <w:r w:rsidRPr="009723D8">
                        <w:rPr>
                          <w:color w:val="000000" w:themeColor="text1"/>
                          <w:lang w:val="es-ES"/>
                        </w:rPr>
                        <w:t xml:space="preserve">El Gobierno de Maldivas ha preparado un conjunto de proyectos de decisión para mejorar la implementación de la inclusión del tiburón </w:t>
                      </w:r>
                      <w:r w:rsidR="009723D8" w:rsidRPr="009723D8">
                        <w:rPr>
                          <w:color w:val="000000" w:themeColor="text1"/>
                          <w:lang w:val="es-ES"/>
                        </w:rPr>
                        <w:t>oceánico</w:t>
                      </w:r>
                      <w:r w:rsidR="009723D8" w:rsidRPr="003E25BF">
                        <w:rPr>
                          <w:color w:val="000000" w:themeColor="text1"/>
                          <w:lang w:val="es-ES"/>
                        </w:rPr>
                        <w:t xml:space="preserve"> (</w:t>
                      </w:r>
                      <w:proofErr w:type="spellStart"/>
                      <w:r w:rsidR="00D67332" w:rsidRPr="009723D8">
                        <w:rPr>
                          <w:i/>
                          <w:color w:val="000000" w:themeColor="text1"/>
                          <w:lang w:val="es-ES"/>
                        </w:rPr>
                        <w:t>Carcharhinus</w:t>
                      </w:r>
                      <w:proofErr w:type="spellEnd"/>
                      <w:r w:rsidR="00D67332" w:rsidRPr="009723D8">
                        <w:rPr>
                          <w:i/>
                          <w:color w:val="000000" w:themeColor="text1"/>
                          <w:lang w:val="es-ES"/>
                        </w:rPr>
                        <w:t xml:space="preserve"> </w:t>
                      </w:r>
                      <w:proofErr w:type="spellStart"/>
                      <w:r w:rsidR="00D67332" w:rsidRPr="009723D8">
                        <w:rPr>
                          <w:i/>
                          <w:color w:val="000000" w:themeColor="text1"/>
                          <w:lang w:val="es-ES"/>
                        </w:rPr>
                        <w:t>longimanus</w:t>
                      </w:r>
                      <w:proofErr w:type="spellEnd"/>
                      <w:r w:rsidR="00D67332" w:rsidRPr="009723D8">
                        <w:rPr>
                          <w:color w:val="000000" w:themeColor="text1"/>
                          <w:lang w:val="es-ES"/>
                        </w:rPr>
                        <w:t>) en el Apéndice I de la CMS.</w:t>
                      </w:r>
                    </w:p>
                    <w:p w14:paraId="0F3A7783" w14:textId="77777777" w:rsidR="00D36E5D" w:rsidRPr="00AC1A59" w:rsidRDefault="00D36E5D">
                      <w:pPr>
                        <w:textDirection w:val="btLr"/>
                        <w:rPr>
                          <w:color w:val="000000" w:themeColor="text1"/>
                          <w:lang w:val="es-ES"/>
                        </w:rPr>
                      </w:pPr>
                    </w:p>
                  </w:txbxContent>
                </v:textbox>
              </v:rect>
            </w:pict>
          </mc:Fallback>
        </mc:AlternateContent>
      </w:r>
    </w:p>
    <w:p w14:paraId="42A5B5C4" w14:textId="77777777" w:rsidR="00D36E5D" w:rsidRPr="00447D01" w:rsidRDefault="00D36E5D">
      <w:pPr>
        <w:widowControl w:val="0"/>
        <w:rPr>
          <w:sz w:val="21"/>
          <w:szCs w:val="21"/>
          <w:lang w:val="es-ES"/>
        </w:rPr>
      </w:pPr>
    </w:p>
    <w:p w14:paraId="6A3B097A" w14:textId="77777777" w:rsidR="00D36E5D" w:rsidRPr="00447D01" w:rsidRDefault="00D36E5D">
      <w:pPr>
        <w:widowControl w:val="0"/>
        <w:rPr>
          <w:sz w:val="21"/>
          <w:szCs w:val="21"/>
          <w:lang w:val="es-ES"/>
        </w:rPr>
      </w:pPr>
    </w:p>
    <w:p w14:paraId="75E76F06" w14:textId="77777777" w:rsidR="00D36E5D" w:rsidRPr="00447D01" w:rsidRDefault="00D36E5D">
      <w:pPr>
        <w:widowControl w:val="0"/>
        <w:rPr>
          <w:sz w:val="21"/>
          <w:szCs w:val="21"/>
          <w:lang w:val="es-ES"/>
        </w:rPr>
      </w:pPr>
    </w:p>
    <w:p w14:paraId="4A9B33FD" w14:textId="77777777" w:rsidR="00D36E5D" w:rsidRPr="00447D01" w:rsidRDefault="00D36E5D">
      <w:pPr>
        <w:widowControl w:val="0"/>
        <w:rPr>
          <w:sz w:val="21"/>
          <w:szCs w:val="21"/>
          <w:lang w:val="es-ES"/>
        </w:rPr>
      </w:pPr>
    </w:p>
    <w:p w14:paraId="3F263FA9" w14:textId="77777777" w:rsidR="00D36E5D" w:rsidRPr="00447D01" w:rsidRDefault="00D36E5D">
      <w:pPr>
        <w:widowControl w:val="0"/>
        <w:rPr>
          <w:sz w:val="21"/>
          <w:szCs w:val="21"/>
          <w:lang w:val="es-ES"/>
        </w:rPr>
      </w:pPr>
    </w:p>
    <w:p w14:paraId="39650C90" w14:textId="77777777" w:rsidR="00D36E5D" w:rsidRPr="00447D01" w:rsidRDefault="00D36E5D">
      <w:pPr>
        <w:widowControl w:val="0"/>
        <w:rPr>
          <w:sz w:val="21"/>
          <w:szCs w:val="21"/>
          <w:lang w:val="es-ES"/>
        </w:rPr>
      </w:pPr>
    </w:p>
    <w:p w14:paraId="749FC5CE" w14:textId="77777777" w:rsidR="00D36E5D" w:rsidRPr="00447D01" w:rsidRDefault="00D36E5D">
      <w:pPr>
        <w:widowControl w:val="0"/>
        <w:rPr>
          <w:sz w:val="21"/>
          <w:szCs w:val="21"/>
          <w:lang w:val="es-ES"/>
        </w:rPr>
      </w:pPr>
    </w:p>
    <w:p w14:paraId="30745358" w14:textId="77777777" w:rsidR="00D36E5D" w:rsidRPr="00447D01" w:rsidRDefault="00D36E5D">
      <w:pPr>
        <w:widowControl w:val="0"/>
        <w:rPr>
          <w:sz w:val="21"/>
          <w:szCs w:val="21"/>
          <w:lang w:val="es-ES"/>
        </w:rPr>
      </w:pPr>
    </w:p>
    <w:p w14:paraId="79AE12D5" w14:textId="77777777" w:rsidR="00D36E5D" w:rsidRPr="00447D01" w:rsidRDefault="00D36E5D">
      <w:pPr>
        <w:widowControl w:val="0"/>
        <w:rPr>
          <w:sz w:val="21"/>
          <w:szCs w:val="21"/>
          <w:lang w:val="es-ES"/>
        </w:rPr>
      </w:pPr>
    </w:p>
    <w:p w14:paraId="26157A9A" w14:textId="77777777" w:rsidR="00D36E5D" w:rsidRPr="00447D01" w:rsidRDefault="00D36E5D">
      <w:pPr>
        <w:widowControl w:val="0"/>
        <w:rPr>
          <w:sz w:val="21"/>
          <w:szCs w:val="21"/>
          <w:lang w:val="es-ES"/>
        </w:rPr>
      </w:pPr>
    </w:p>
    <w:p w14:paraId="210D3E23" w14:textId="77777777" w:rsidR="00D36E5D" w:rsidRPr="00447D01" w:rsidRDefault="00D36E5D">
      <w:pPr>
        <w:widowControl w:val="0"/>
        <w:rPr>
          <w:sz w:val="21"/>
          <w:szCs w:val="21"/>
          <w:lang w:val="es-ES"/>
        </w:rPr>
      </w:pPr>
    </w:p>
    <w:p w14:paraId="1415968A" w14:textId="77777777" w:rsidR="00D36E5D" w:rsidRPr="00447D01" w:rsidRDefault="00D36E5D">
      <w:pPr>
        <w:widowControl w:val="0"/>
        <w:rPr>
          <w:sz w:val="21"/>
          <w:szCs w:val="21"/>
          <w:lang w:val="es-ES"/>
        </w:rPr>
      </w:pPr>
    </w:p>
    <w:p w14:paraId="1B3CED19" w14:textId="77777777" w:rsidR="00D36E5D" w:rsidRPr="00447D01" w:rsidRDefault="00D36E5D">
      <w:pPr>
        <w:widowControl w:val="0"/>
        <w:rPr>
          <w:sz w:val="21"/>
          <w:szCs w:val="21"/>
          <w:lang w:val="es-ES"/>
        </w:rPr>
      </w:pPr>
    </w:p>
    <w:p w14:paraId="0B609E12" w14:textId="77777777" w:rsidR="00D36E5D" w:rsidRPr="00447D01" w:rsidRDefault="00D36E5D">
      <w:pPr>
        <w:widowControl w:val="0"/>
        <w:rPr>
          <w:sz w:val="21"/>
          <w:szCs w:val="21"/>
          <w:lang w:val="es-ES"/>
        </w:rPr>
      </w:pPr>
    </w:p>
    <w:p w14:paraId="149CBEAE" w14:textId="77777777" w:rsidR="00D36E5D" w:rsidRPr="00447D01" w:rsidRDefault="00D36E5D">
      <w:pPr>
        <w:widowControl w:val="0"/>
        <w:rPr>
          <w:sz w:val="21"/>
          <w:szCs w:val="21"/>
          <w:lang w:val="es-ES"/>
        </w:rPr>
      </w:pPr>
    </w:p>
    <w:p w14:paraId="5C4BDE25" w14:textId="77777777" w:rsidR="00D36E5D" w:rsidRPr="00447D01" w:rsidRDefault="00D36E5D">
      <w:pPr>
        <w:widowControl w:val="0"/>
        <w:rPr>
          <w:sz w:val="21"/>
          <w:szCs w:val="21"/>
          <w:lang w:val="es-ES"/>
        </w:rPr>
      </w:pPr>
    </w:p>
    <w:p w14:paraId="65960F79" w14:textId="77777777" w:rsidR="00D36E5D" w:rsidRPr="00447D01" w:rsidRDefault="00D36E5D">
      <w:pPr>
        <w:widowControl w:val="0"/>
        <w:rPr>
          <w:sz w:val="21"/>
          <w:szCs w:val="21"/>
          <w:lang w:val="es-ES"/>
        </w:rPr>
      </w:pPr>
    </w:p>
    <w:p w14:paraId="48DC9396" w14:textId="77777777" w:rsidR="00D36E5D" w:rsidRPr="00447D01" w:rsidRDefault="00D36E5D">
      <w:pPr>
        <w:widowControl w:val="0"/>
        <w:tabs>
          <w:tab w:val="left" w:pos="7245"/>
        </w:tabs>
        <w:rPr>
          <w:sz w:val="21"/>
          <w:szCs w:val="21"/>
          <w:lang w:val="es-ES"/>
        </w:rPr>
      </w:pPr>
    </w:p>
    <w:p w14:paraId="5116BA48" w14:textId="77777777" w:rsidR="00D36E5D" w:rsidRPr="00447D01" w:rsidRDefault="00D36E5D">
      <w:pPr>
        <w:widowControl w:val="0"/>
        <w:rPr>
          <w:lang w:val="es-ES"/>
        </w:rPr>
      </w:pPr>
    </w:p>
    <w:p w14:paraId="6FF53F5C" w14:textId="77777777" w:rsidR="00D36E5D" w:rsidRPr="00447D01" w:rsidRDefault="00D36E5D">
      <w:pPr>
        <w:widowControl w:val="0"/>
        <w:rPr>
          <w:lang w:val="es-ES"/>
        </w:rPr>
      </w:pPr>
    </w:p>
    <w:p w14:paraId="2E8C9925" w14:textId="77777777" w:rsidR="00D36E5D" w:rsidRPr="00447D01" w:rsidRDefault="00D36E5D">
      <w:pPr>
        <w:rPr>
          <w:lang w:val="es-ES"/>
        </w:rPr>
      </w:pPr>
    </w:p>
    <w:p w14:paraId="62DBE97F" w14:textId="77777777" w:rsidR="00D36E5D" w:rsidRPr="00447D01" w:rsidRDefault="00D36E5D">
      <w:pPr>
        <w:rPr>
          <w:lang w:val="es-ES"/>
        </w:rPr>
      </w:pPr>
    </w:p>
    <w:p w14:paraId="29998ACC" w14:textId="77777777" w:rsidR="00D36E5D" w:rsidRPr="00447D01" w:rsidRDefault="00D36E5D">
      <w:pPr>
        <w:rPr>
          <w:lang w:val="es-ES"/>
        </w:rPr>
      </w:pPr>
    </w:p>
    <w:p w14:paraId="026E8FE7" w14:textId="77777777" w:rsidR="00D36E5D" w:rsidRPr="00447D01" w:rsidRDefault="00D36E5D">
      <w:pPr>
        <w:rPr>
          <w:lang w:val="es-ES"/>
        </w:rPr>
        <w:sectPr w:rsidR="00D36E5D" w:rsidRPr="00447D0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pgNumType w:start="1"/>
          <w:cols w:space="720"/>
          <w:titlePg/>
        </w:sectPr>
      </w:pPr>
    </w:p>
    <w:p w14:paraId="3E5E6557" w14:textId="77777777" w:rsidR="00564AB6" w:rsidRPr="00447D01" w:rsidRDefault="00564AB6" w:rsidP="00E812E5">
      <w:pPr>
        <w:tabs>
          <w:tab w:val="left" w:pos="6840"/>
        </w:tabs>
        <w:ind w:right="26"/>
        <w:jc w:val="center"/>
        <w:rPr>
          <w:b/>
          <w:lang w:val="es-ES"/>
        </w:rPr>
      </w:pPr>
      <w:r w:rsidRPr="00447D01">
        <w:rPr>
          <w:b/>
          <w:lang w:val="es-ES"/>
        </w:rPr>
        <w:lastRenderedPageBreak/>
        <w:t xml:space="preserve">IMPLEMENTACIÓN DE LA INCLUSIÓN EN EL APÉNDICE I DE LA CMS PARA EL </w:t>
      </w:r>
    </w:p>
    <w:p w14:paraId="46628130" w14:textId="77777777" w:rsidR="00564AB6" w:rsidRPr="00447D01" w:rsidRDefault="00564AB6" w:rsidP="00E812E5">
      <w:pPr>
        <w:tabs>
          <w:tab w:val="left" w:pos="6840"/>
        </w:tabs>
        <w:ind w:right="28"/>
        <w:jc w:val="center"/>
        <w:rPr>
          <w:b/>
          <w:lang w:val="es-ES"/>
        </w:rPr>
      </w:pPr>
      <w:r w:rsidRPr="00447D01">
        <w:rPr>
          <w:b/>
          <w:lang w:val="es-ES"/>
        </w:rPr>
        <w:t xml:space="preserve">TIBURÓN OCEÁNICO </w:t>
      </w:r>
      <w:r w:rsidRPr="00447D01">
        <w:rPr>
          <w:lang w:val="es-ES"/>
        </w:rPr>
        <w:t>(</w:t>
      </w:r>
      <w:proofErr w:type="spellStart"/>
      <w:r w:rsidRPr="00447D01">
        <w:rPr>
          <w:i/>
          <w:lang w:val="es-ES"/>
        </w:rPr>
        <w:t>Carcharhinus</w:t>
      </w:r>
      <w:proofErr w:type="spellEnd"/>
      <w:r w:rsidRPr="00447D01">
        <w:rPr>
          <w:i/>
          <w:lang w:val="es-ES"/>
        </w:rPr>
        <w:t xml:space="preserve"> </w:t>
      </w:r>
      <w:proofErr w:type="spellStart"/>
      <w:r w:rsidRPr="00447D01">
        <w:rPr>
          <w:i/>
          <w:lang w:val="es-ES"/>
        </w:rPr>
        <w:t>longimanus</w:t>
      </w:r>
      <w:proofErr w:type="spellEnd"/>
      <w:r w:rsidRPr="00447D01">
        <w:rPr>
          <w:lang w:val="es-ES"/>
        </w:rPr>
        <w:t>)</w:t>
      </w:r>
    </w:p>
    <w:p w14:paraId="523E38FA" w14:textId="77777777" w:rsidR="00564AB6" w:rsidRDefault="00564AB6" w:rsidP="00E812E5">
      <w:pPr>
        <w:rPr>
          <w:sz w:val="24"/>
          <w:szCs w:val="24"/>
          <w:u w:val="single"/>
          <w:lang w:val="es-ES"/>
        </w:rPr>
      </w:pPr>
    </w:p>
    <w:p w14:paraId="7717CBD3" w14:textId="77777777" w:rsidR="00E812E5" w:rsidRPr="00E812E5" w:rsidRDefault="00E812E5" w:rsidP="00E812E5">
      <w:pPr>
        <w:rPr>
          <w:sz w:val="24"/>
          <w:szCs w:val="24"/>
          <w:u w:val="single"/>
          <w:lang w:val="es-ES"/>
        </w:rPr>
      </w:pPr>
    </w:p>
    <w:p w14:paraId="7694A21B" w14:textId="65AC604C" w:rsidR="005F7F6E" w:rsidRPr="00447D01" w:rsidRDefault="005F7F6E" w:rsidP="00E812E5">
      <w:pPr>
        <w:rPr>
          <w:u w:val="single"/>
          <w:lang w:val="es-ES"/>
        </w:rPr>
      </w:pPr>
      <w:r w:rsidRPr="00447D01">
        <w:rPr>
          <w:u w:val="single"/>
          <w:lang w:val="es-ES"/>
        </w:rPr>
        <w:t>Resumen</w:t>
      </w:r>
    </w:p>
    <w:p w14:paraId="2D7905A6" w14:textId="77777777" w:rsidR="005F7F6E" w:rsidRPr="00447D01" w:rsidRDefault="005F7F6E" w:rsidP="00564AB6">
      <w:pPr>
        <w:rPr>
          <w:lang w:val="es-ES"/>
        </w:rPr>
      </w:pPr>
    </w:p>
    <w:p w14:paraId="288E9D60" w14:textId="77777777" w:rsidR="00564AB6" w:rsidRPr="00447D01" w:rsidRDefault="005F7F6E" w:rsidP="00564AB6">
      <w:pPr>
        <w:pStyle w:val="NormalWeb"/>
        <w:numPr>
          <w:ilvl w:val="0"/>
          <w:numId w:val="25"/>
        </w:numPr>
        <w:spacing w:before="0" w:beforeAutospacing="0" w:after="0" w:afterAutospacing="0"/>
        <w:ind w:left="567" w:hanging="567"/>
        <w:jc w:val="both"/>
        <w:rPr>
          <w:rFonts w:ascii="Arial" w:hAnsi="Arial" w:cs="Arial"/>
          <w:sz w:val="22"/>
          <w:szCs w:val="22"/>
          <w:lang w:val="es-ES"/>
        </w:rPr>
      </w:pPr>
      <w:r w:rsidRPr="00447D01">
        <w:rPr>
          <w:rFonts w:ascii="Arial" w:hAnsi="Arial" w:cs="Arial"/>
          <w:sz w:val="22"/>
          <w:szCs w:val="22"/>
          <w:lang w:val="es-ES"/>
        </w:rPr>
        <w:t xml:space="preserve">Maldivas presentó una propuesta de Acción Concertada para la COP de la CMS (UNEP/CMS/COP14/Doc.32.3.6) y, según UNEP/CMS/COP14/Doc.32.3.6/Add.1, el Consejo Científico tomó nota de que la acción estaría mejor enmarcada como proyectos de decisión para la COP14 de la CMS. </w:t>
      </w:r>
    </w:p>
    <w:p w14:paraId="4C6CC794" w14:textId="77777777" w:rsidR="00564AB6" w:rsidRPr="00447D01" w:rsidRDefault="00564AB6" w:rsidP="00564AB6">
      <w:pPr>
        <w:pStyle w:val="NormalWeb"/>
        <w:spacing w:before="0" w:beforeAutospacing="0" w:after="0" w:afterAutospacing="0"/>
        <w:ind w:left="567"/>
        <w:jc w:val="both"/>
        <w:rPr>
          <w:rFonts w:ascii="Arial" w:hAnsi="Arial" w:cs="Arial"/>
          <w:sz w:val="22"/>
          <w:szCs w:val="22"/>
          <w:lang w:val="es-ES"/>
        </w:rPr>
      </w:pPr>
    </w:p>
    <w:p w14:paraId="6057B727" w14:textId="75C88476" w:rsidR="005F7F6E" w:rsidRPr="00447D01" w:rsidRDefault="005F7F6E" w:rsidP="00564AB6">
      <w:pPr>
        <w:pStyle w:val="NormalWeb"/>
        <w:numPr>
          <w:ilvl w:val="0"/>
          <w:numId w:val="25"/>
        </w:numPr>
        <w:spacing w:before="0" w:beforeAutospacing="0" w:after="0" w:afterAutospacing="0"/>
        <w:ind w:left="567" w:hanging="567"/>
        <w:jc w:val="both"/>
        <w:rPr>
          <w:rFonts w:ascii="Arial" w:hAnsi="Arial" w:cs="Arial"/>
          <w:sz w:val="22"/>
          <w:szCs w:val="22"/>
          <w:lang w:val="es-ES"/>
        </w:rPr>
      </w:pPr>
      <w:r w:rsidRPr="00447D01">
        <w:rPr>
          <w:rFonts w:ascii="Arial" w:hAnsi="Arial" w:cs="Arial"/>
          <w:sz w:val="22"/>
          <w:szCs w:val="22"/>
          <w:lang w:val="es-ES"/>
        </w:rPr>
        <w:t xml:space="preserve">A través de este documento, el Gobierno de las Maldivas presenta un conjunto de proyectos de decisión recomendados por el Consejo Científico para la adopción de proyectos de decisión con el fin de mejorar la implementación de la inclusión del tiburón oceánico en el Apéndice I de la CMS. </w:t>
      </w:r>
    </w:p>
    <w:p w14:paraId="14F19AF9" w14:textId="77777777" w:rsidR="00D36E5D" w:rsidRPr="00447D01" w:rsidRDefault="00D36E5D" w:rsidP="00564AB6">
      <w:pPr>
        <w:rPr>
          <w:lang w:val="es-ES"/>
        </w:rPr>
      </w:pPr>
    </w:p>
    <w:p w14:paraId="13D3073F" w14:textId="77777777" w:rsidR="00D36E5D" w:rsidRPr="00447D01" w:rsidRDefault="00CC463E">
      <w:pPr>
        <w:rPr>
          <w:u w:val="single"/>
          <w:lang w:val="es-ES"/>
        </w:rPr>
      </w:pPr>
      <w:r w:rsidRPr="00447D01">
        <w:rPr>
          <w:u w:val="single"/>
          <w:lang w:val="es-ES"/>
        </w:rPr>
        <w:t>Antecedentes</w:t>
      </w:r>
    </w:p>
    <w:p w14:paraId="73FAA566" w14:textId="77777777" w:rsidR="005F7F6E" w:rsidRPr="00447D01" w:rsidRDefault="005F7F6E" w:rsidP="0039753E">
      <w:pPr>
        <w:ind w:right="1434"/>
        <w:jc w:val="both"/>
        <w:rPr>
          <w:lang w:val="es-ES"/>
        </w:rPr>
      </w:pPr>
      <w:bookmarkStart w:id="0" w:name="_heading=h.gjdgxs" w:colFirst="0" w:colLast="0"/>
      <w:bookmarkEnd w:id="0"/>
    </w:p>
    <w:p w14:paraId="12848050" w14:textId="779F3D34" w:rsidR="00E055F3" w:rsidRPr="00447D01" w:rsidRDefault="00E055F3" w:rsidP="00564AB6">
      <w:pPr>
        <w:pStyle w:val="ListParagraph"/>
        <w:numPr>
          <w:ilvl w:val="0"/>
          <w:numId w:val="1"/>
        </w:numPr>
        <w:ind w:left="567" w:right="28" w:hanging="567"/>
        <w:contextualSpacing w:val="0"/>
        <w:jc w:val="both"/>
        <w:rPr>
          <w:lang w:val="es-ES"/>
        </w:rPr>
      </w:pPr>
      <w:r w:rsidRPr="00447D01">
        <w:rPr>
          <w:lang w:val="es-ES"/>
        </w:rPr>
        <w:t xml:space="preserve">El tiburón oceánico, que anteriormente era uno de los tiburones pelágicos más abundantes del mundo, tiene una distribución </w:t>
      </w:r>
      <w:proofErr w:type="spellStart"/>
      <w:r w:rsidRPr="00447D01">
        <w:rPr>
          <w:lang w:val="es-ES"/>
        </w:rPr>
        <w:t>circunglobal</w:t>
      </w:r>
      <w:proofErr w:type="spellEnd"/>
      <w:r w:rsidRPr="00447D01">
        <w:rPr>
          <w:lang w:val="es-ES"/>
        </w:rPr>
        <w:t xml:space="preserve"> que se extiende desde aguas oceánicas tropicales hasta aguas oceánicas templadas-cálidas donde, independientemente de su ubicación, comúnmente se encuentran con flotas reguladas por las principales Organizaciones Regionales de Ordenación Pesquera de </w:t>
      </w:r>
      <w:proofErr w:type="spellStart"/>
      <w:r w:rsidRPr="00447D01">
        <w:rPr>
          <w:lang w:val="es-ES"/>
        </w:rPr>
        <w:t>túnidos</w:t>
      </w:r>
      <w:proofErr w:type="spellEnd"/>
      <w:r w:rsidRPr="00447D01">
        <w:rPr>
          <w:lang w:val="es-ES"/>
        </w:rPr>
        <w:t xml:space="preserve"> (</w:t>
      </w:r>
      <w:proofErr w:type="spellStart"/>
      <w:r w:rsidRPr="00447D01">
        <w:rPr>
          <w:lang w:val="es-ES"/>
        </w:rPr>
        <w:t>OROPt</w:t>
      </w:r>
      <w:proofErr w:type="spellEnd"/>
      <w:r w:rsidRPr="00447D01">
        <w:rPr>
          <w:lang w:val="es-ES"/>
        </w:rPr>
        <w:t xml:space="preserve">; </w:t>
      </w:r>
      <w:proofErr w:type="spellStart"/>
      <w:r w:rsidRPr="00447D01">
        <w:rPr>
          <w:lang w:val="es-ES"/>
        </w:rPr>
        <w:t>Quieroz</w:t>
      </w:r>
      <w:proofErr w:type="spellEnd"/>
      <w:r w:rsidRPr="00447D01">
        <w:rPr>
          <w:lang w:val="es-ES"/>
        </w:rPr>
        <w:t xml:space="preserve"> et al. 2019).</w:t>
      </w:r>
    </w:p>
    <w:p w14:paraId="32DCF009" w14:textId="77777777" w:rsidR="00E055F3" w:rsidRPr="00447D01" w:rsidRDefault="00E055F3" w:rsidP="00564AB6">
      <w:pPr>
        <w:pStyle w:val="ListParagraph"/>
        <w:ind w:left="567" w:right="28" w:hanging="567"/>
        <w:contextualSpacing w:val="0"/>
        <w:jc w:val="both"/>
        <w:rPr>
          <w:lang w:val="es-ES"/>
        </w:rPr>
      </w:pPr>
    </w:p>
    <w:p w14:paraId="25BD1B7C" w14:textId="5493E75C" w:rsidR="00E055F3" w:rsidRPr="00447D01" w:rsidRDefault="0040384D" w:rsidP="00564AB6">
      <w:pPr>
        <w:pStyle w:val="ListParagraph"/>
        <w:numPr>
          <w:ilvl w:val="0"/>
          <w:numId w:val="1"/>
        </w:numPr>
        <w:ind w:left="567" w:right="28" w:hanging="567"/>
        <w:contextualSpacing w:val="0"/>
        <w:jc w:val="both"/>
        <w:rPr>
          <w:lang w:val="es-ES"/>
        </w:rPr>
      </w:pPr>
      <w:r w:rsidRPr="00447D01">
        <w:rPr>
          <w:lang w:val="es-ES"/>
        </w:rPr>
        <w:t xml:space="preserve">En un período de tiempo similar al que las Partes de la CITES decidieron incluir al tiburón oceánico (OWT por sus siglas en inglés) en el Apéndice II de la CITES (2013), la especie se había convertido en la única especie de tiburón protegida por todas las </w:t>
      </w:r>
      <w:proofErr w:type="spellStart"/>
      <w:r w:rsidRPr="00447D01">
        <w:rPr>
          <w:lang w:val="es-ES"/>
        </w:rPr>
        <w:t>OROPt</w:t>
      </w:r>
      <w:proofErr w:type="spellEnd"/>
      <w:r w:rsidRPr="00447D01">
        <w:rPr>
          <w:lang w:val="es-ES"/>
        </w:rPr>
        <w:t>, que en gran parte prohibían su retención, transbordo y desembarque en las pesquerías, cubiertas por estos organismos. Estas medidas reflejan la comprensión global de su grave estado de conservación y la urgente necesidad de acciones de gestión. Posteriormente (</w:t>
      </w:r>
      <w:proofErr w:type="spellStart"/>
      <w:r w:rsidRPr="00447D01">
        <w:rPr>
          <w:lang w:val="es-ES"/>
        </w:rPr>
        <w:t>CoP</w:t>
      </w:r>
      <w:proofErr w:type="spellEnd"/>
      <w:r w:rsidRPr="00447D01">
        <w:rPr>
          <w:lang w:val="es-ES"/>
        </w:rPr>
        <w:t xml:space="preserve"> 13, 2020), la especie fue incluida en el Apéndice I de la CMS.</w:t>
      </w:r>
    </w:p>
    <w:p w14:paraId="36371B57" w14:textId="77777777" w:rsidR="00564AB6" w:rsidRPr="00447D01" w:rsidRDefault="00564AB6" w:rsidP="00564AB6">
      <w:pPr>
        <w:ind w:left="567" w:right="28" w:hanging="567"/>
        <w:jc w:val="both"/>
        <w:rPr>
          <w:lang w:val="es-ES"/>
        </w:rPr>
      </w:pPr>
    </w:p>
    <w:p w14:paraId="198EB61F" w14:textId="0BFF4841" w:rsidR="00E055F3" w:rsidRPr="00447D01" w:rsidRDefault="00566229" w:rsidP="00564AB6">
      <w:pPr>
        <w:pStyle w:val="BodyText"/>
        <w:numPr>
          <w:ilvl w:val="0"/>
          <w:numId w:val="1"/>
        </w:numPr>
        <w:ind w:left="567" w:right="28" w:hanging="567"/>
        <w:jc w:val="both"/>
        <w:rPr>
          <w:sz w:val="22"/>
          <w:szCs w:val="22"/>
          <w:lang w:val="es-ES"/>
        </w:rPr>
      </w:pPr>
      <w:r w:rsidRPr="00447D01">
        <w:rPr>
          <w:sz w:val="22"/>
          <w:szCs w:val="22"/>
          <w:lang w:val="es-ES"/>
        </w:rPr>
        <w:t>En este documento, presentamos evidencia de la presencia continua de tiburones oceánicos en peligro crítico en el comercio internacional, realizándose ese comercio en volúmenes significativamente mayores, y desde una gama más amplia de Partes, de lo informado a la CITES. El análisis de este documento indica que hasta 36 216 tiburones oceánicos individuales fueron comercializados ilegalmente a través de la RAE de Hong Kong durante los tres años comprendidos entre 2015 y 2017, en comparación con solo ~11 815 individuos contabilizados en la base de datos de comercio de la CITES durante este período.</w:t>
      </w:r>
    </w:p>
    <w:p w14:paraId="379BF331" w14:textId="013B7A10" w:rsidR="00564AB6" w:rsidRPr="00447D01" w:rsidRDefault="00564AB6" w:rsidP="00564AB6">
      <w:pPr>
        <w:pStyle w:val="BodyText"/>
        <w:ind w:left="567" w:right="28" w:hanging="567"/>
        <w:jc w:val="both"/>
        <w:rPr>
          <w:sz w:val="22"/>
          <w:szCs w:val="22"/>
          <w:lang w:val="es-ES"/>
        </w:rPr>
      </w:pPr>
    </w:p>
    <w:p w14:paraId="081E8DE8" w14:textId="6112C874" w:rsidR="00E055F3" w:rsidRPr="00447D01" w:rsidRDefault="00E055F3" w:rsidP="00564AB6">
      <w:pPr>
        <w:pStyle w:val="BodyText"/>
        <w:numPr>
          <w:ilvl w:val="0"/>
          <w:numId w:val="1"/>
        </w:numPr>
        <w:ind w:left="567" w:right="28" w:hanging="567"/>
        <w:jc w:val="both"/>
        <w:rPr>
          <w:sz w:val="22"/>
          <w:szCs w:val="22"/>
          <w:lang w:val="es-ES"/>
        </w:rPr>
      </w:pPr>
      <w:r w:rsidRPr="00447D01">
        <w:rPr>
          <w:sz w:val="22"/>
          <w:szCs w:val="22"/>
          <w:lang w:val="es-ES"/>
        </w:rPr>
        <w:t xml:space="preserve">Los tiburones oceánicos (OWT) son una especie altamente vulnerable, pescada como captura «incidental» en las pesquerías pelágicas mundiales. Antes de su inclusión en la CITES, las preocupaciones sobre la continua disminución de las poblaciones de la especie (ahora catalogada como «En Peligro Crítico» a nivel mundial en la Lista Roja de Especies Amenazadas de la UICN) ya habían dado lugar a una mayor protección para el OWT a través de una serie de medidas de gestión pesquera y conservación de la biodiversidad (CMS), junto con acciones de regulación comercial, a escala nacional, regional y global. </w:t>
      </w:r>
    </w:p>
    <w:p w14:paraId="5CB108DC" w14:textId="61E65234" w:rsidR="00564AB6" w:rsidRPr="00447D01" w:rsidRDefault="00564AB6" w:rsidP="00564AB6">
      <w:pPr>
        <w:pStyle w:val="BodyText"/>
        <w:ind w:left="567" w:right="28" w:hanging="567"/>
        <w:jc w:val="both"/>
        <w:rPr>
          <w:sz w:val="22"/>
          <w:szCs w:val="22"/>
          <w:lang w:val="es-ES"/>
        </w:rPr>
      </w:pPr>
    </w:p>
    <w:p w14:paraId="7945D8EB" w14:textId="43EB2B3B" w:rsidR="00E055F3" w:rsidRPr="00447D01" w:rsidRDefault="00E055F3" w:rsidP="00564AB6">
      <w:pPr>
        <w:pStyle w:val="BodyText"/>
        <w:numPr>
          <w:ilvl w:val="0"/>
          <w:numId w:val="1"/>
        </w:numPr>
        <w:ind w:left="567" w:right="28" w:hanging="567"/>
        <w:jc w:val="both"/>
        <w:rPr>
          <w:sz w:val="22"/>
          <w:szCs w:val="22"/>
          <w:lang w:val="es-ES"/>
        </w:rPr>
      </w:pPr>
      <w:r w:rsidRPr="00447D01">
        <w:rPr>
          <w:sz w:val="22"/>
          <w:szCs w:val="22"/>
          <w:lang w:val="es-ES"/>
        </w:rPr>
        <w:t xml:space="preserve">Los datos sobre la captura y el comercio internacional del OWT a partir de las estadísticas disponibles en línea de la Organización de las Naciones Unidas para la </w:t>
      </w:r>
      <w:r w:rsidRPr="00447D01">
        <w:rPr>
          <w:sz w:val="22"/>
          <w:szCs w:val="22"/>
          <w:lang w:val="es-ES"/>
        </w:rPr>
        <w:lastRenderedPageBreak/>
        <w:t xml:space="preserve">Alimentación y la Agricultura (FAO), las Organizaciones Regionales de Ordenación Pesquera de </w:t>
      </w:r>
      <w:proofErr w:type="spellStart"/>
      <w:r w:rsidRPr="00447D01">
        <w:rPr>
          <w:sz w:val="22"/>
          <w:szCs w:val="22"/>
          <w:lang w:val="es-ES"/>
        </w:rPr>
        <w:t>túnidos</w:t>
      </w:r>
      <w:proofErr w:type="spellEnd"/>
      <w:r w:rsidRPr="00447D01">
        <w:rPr>
          <w:sz w:val="22"/>
          <w:szCs w:val="22"/>
          <w:lang w:val="es-ES"/>
        </w:rPr>
        <w:t xml:space="preserve"> (</w:t>
      </w:r>
      <w:proofErr w:type="spellStart"/>
      <w:r w:rsidRPr="00447D01">
        <w:rPr>
          <w:sz w:val="22"/>
          <w:szCs w:val="22"/>
          <w:lang w:val="es-ES"/>
        </w:rPr>
        <w:t>OROPt</w:t>
      </w:r>
      <w:proofErr w:type="spellEnd"/>
      <w:r w:rsidRPr="00447D01">
        <w:rPr>
          <w:sz w:val="22"/>
          <w:szCs w:val="22"/>
          <w:lang w:val="es-ES"/>
        </w:rPr>
        <w:t>; Comisión Internacional para la Conservación del Atún Atlántico (CICAA), Comisión del Atún del Océano Índico (CAOI), Comisión Interamericana del Atún Tropical (CIAT) y Comisión de Pesca del Pacífico Central y Occidental (WCPFC)), la base de datos sobre comercio de la CITES, la RAE de Hong Kong, los datos de aduanas y registros de confiscación del Departamento de Conservación de Pesca y Agricultura de la RAE de Hong Kong, en comparación con investigaciones que analizan la composición global de especies del comercio internacional de aletas, se utilizaron para evaluar los niveles recientes del comercio internacional del OWT.</w:t>
      </w:r>
    </w:p>
    <w:p w14:paraId="06ADCE5A" w14:textId="77777777" w:rsidR="00564AB6" w:rsidRPr="00447D01" w:rsidRDefault="00564AB6" w:rsidP="00564AB6">
      <w:pPr>
        <w:pStyle w:val="BodyText"/>
        <w:ind w:right="28"/>
        <w:jc w:val="both"/>
        <w:rPr>
          <w:sz w:val="22"/>
          <w:szCs w:val="22"/>
          <w:lang w:val="es-ES"/>
        </w:rPr>
      </w:pPr>
    </w:p>
    <w:p w14:paraId="7E200474" w14:textId="30B49751" w:rsidR="00E055F3" w:rsidRPr="00447D01" w:rsidRDefault="00E055F3" w:rsidP="00564AB6">
      <w:pPr>
        <w:pStyle w:val="BodyText"/>
        <w:numPr>
          <w:ilvl w:val="0"/>
          <w:numId w:val="1"/>
        </w:numPr>
        <w:ind w:left="567" w:right="28" w:hanging="567"/>
        <w:jc w:val="both"/>
        <w:rPr>
          <w:sz w:val="22"/>
          <w:szCs w:val="22"/>
          <w:lang w:val="es-ES"/>
        </w:rPr>
      </w:pPr>
      <w:r w:rsidRPr="00447D01">
        <w:rPr>
          <w:sz w:val="22"/>
          <w:szCs w:val="22"/>
          <w:lang w:val="es-ES"/>
        </w:rPr>
        <w:t xml:space="preserve">Los datos oficiales de desembarques del gobierno notificados a las </w:t>
      </w:r>
      <w:proofErr w:type="spellStart"/>
      <w:r w:rsidRPr="00447D01">
        <w:rPr>
          <w:sz w:val="22"/>
          <w:szCs w:val="22"/>
          <w:lang w:val="es-ES"/>
        </w:rPr>
        <w:t>OROPt</w:t>
      </w:r>
      <w:proofErr w:type="spellEnd"/>
      <w:r w:rsidRPr="00447D01">
        <w:rPr>
          <w:sz w:val="22"/>
          <w:szCs w:val="22"/>
          <w:lang w:val="es-ES"/>
        </w:rPr>
        <w:t xml:space="preserve"> muestran capturas reducidas ya que la especie estaba prohibida en los cuatro organismos. Se han registrado bajos volúmenes de comercio en la base de datos sobre comercio de la CITES desde que entró en vigor la inclusión en el Apéndice II de la CITES, lo que indica un buen cumplimiento de estas medidas basándose únicamente en esta base de datos. Sin embargo, las incautaciones de aletas de los OWT sin procesar, fácilmente identificables, que se comercializan ilegalmente y las investigaciones realizadas en los mercados minoristas del centro mundial del comercio de aletas de tiburón indican que los datos oficiales ocultan una subestimación sustancial de los informes de las Partes en la FAO, las OROP y la CITES y una probable falta de cumplimiento de estos organismos y medidas de la CMS para la especie. </w:t>
      </w:r>
    </w:p>
    <w:p w14:paraId="6A5B1D90" w14:textId="77777777" w:rsidR="00564AB6" w:rsidRPr="00447D01" w:rsidRDefault="00564AB6" w:rsidP="00564AB6">
      <w:pPr>
        <w:pStyle w:val="BodyText"/>
        <w:ind w:left="567" w:right="28" w:hanging="567"/>
        <w:jc w:val="both"/>
        <w:rPr>
          <w:sz w:val="22"/>
          <w:szCs w:val="22"/>
          <w:lang w:val="es-ES"/>
        </w:rPr>
      </w:pPr>
    </w:p>
    <w:p w14:paraId="4BFBD673" w14:textId="2DB35DB6" w:rsidR="00E055F3" w:rsidRPr="00447D01" w:rsidRDefault="00E055F3" w:rsidP="00564AB6">
      <w:pPr>
        <w:pStyle w:val="BodyText"/>
        <w:numPr>
          <w:ilvl w:val="0"/>
          <w:numId w:val="1"/>
        </w:numPr>
        <w:ind w:left="567" w:right="28" w:hanging="567"/>
        <w:jc w:val="both"/>
        <w:rPr>
          <w:sz w:val="22"/>
          <w:szCs w:val="22"/>
          <w:lang w:val="es-ES"/>
        </w:rPr>
      </w:pPr>
      <w:r w:rsidRPr="00447D01">
        <w:rPr>
          <w:sz w:val="22"/>
          <w:szCs w:val="22"/>
          <w:lang w:val="es-ES"/>
        </w:rPr>
        <w:t>Se estima que la RAE de Hong Kong representa el 50 % del comercio mundial de aletas. Durante la preparación inicial de las aletas para su procesamiento, cuando se importan por primera vez a la RAE de Hong Kong, se elimina el exceso de carne, piel y cartílago. Estos recortes se venden para el consumo como subproducto económico de las aletas de tiburón. Los análisis genéticos a largo plazo de estos recortes, que representan todo el comercio de aletas de tiburón (</w:t>
      </w:r>
      <w:proofErr w:type="spellStart"/>
      <w:r w:rsidRPr="00447D01">
        <w:rPr>
          <w:sz w:val="22"/>
          <w:szCs w:val="22"/>
          <w:lang w:val="es-ES"/>
        </w:rPr>
        <w:t>Fields</w:t>
      </w:r>
      <w:proofErr w:type="spellEnd"/>
      <w:r w:rsidRPr="00447D01">
        <w:rPr>
          <w:sz w:val="22"/>
          <w:szCs w:val="22"/>
          <w:lang w:val="es-ES"/>
        </w:rPr>
        <w:t xml:space="preserve"> et al. 2018, Cardeñosa et al. 2022), indican que las aletas del OWT se han mantenido en los mercados de aletas de la RAE de Hong Kong y China continental en niveles comparables a los que había antes de que la inclusión en el Apéndice II de la CITES entrara en vigor en 2014.</w:t>
      </w:r>
    </w:p>
    <w:p w14:paraId="2AF9C313" w14:textId="590FBD68" w:rsidR="00564AB6" w:rsidRPr="00447D01" w:rsidRDefault="00564AB6" w:rsidP="00564AB6">
      <w:pPr>
        <w:pStyle w:val="BodyText"/>
        <w:ind w:left="567" w:right="28" w:hanging="567"/>
        <w:jc w:val="both"/>
        <w:rPr>
          <w:sz w:val="22"/>
          <w:szCs w:val="22"/>
          <w:lang w:val="es-ES"/>
        </w:rPr>
      </w:pPr>
    </w:p>
    <w:p w14:paraId="289BF8DF" w14:textId="14CE686F" w:rsidR="00E055F3" w:rsidRPr="00447D01" w:rsidRDefault="00E055F3" w:rsidP="00564AB6">
      <w:pPr>
        <w:pStyle w:val="BodyText"/>
        <w:numPr>
          <w:ilvl w:val="0"/>
          <w:numId w:val="1"/>
        </w:numPr>
        <w:ind w:left="567" w:right="28" w:hanging="567"/>
        <w:jc w:val="both"/>
        <w:rPr>
          <w:sz w:val="22"/>
          <w:szCs w:val="22"/>
          <w:lang w:val="es-ES"/>
        </w:rPr>
      </w:pPr>
      <w:r w:rsidRPr="00447D01">
        <w:rPr>
          <w:sz w:val="22"/>
          <w:szCs w:val="22"/>
          <w:lang w:val="es-ES"/>
        </w:rPr>
        <w:t xml:space="preserve">En general, existen claras discrepancias entre los volúmenes de los OWT registrados en la base de datos sobre el comercio de la CITES y los encontrados en el comercio mundial de aletas. Además, como se explora en este documento, existen más discrepancias entre los datos de desembarques de los OWT notificados a las </w:t>
      </w:r>
      <w:proofErr w:type="spellStart"/>
      <w:r w:rsidRPr="00447D01">
        <w:rPr>
          <w:sz w:val="22"/>
          <w:szCs w:val="22"/>
          <w:lang w:val="es-ES"/>
        </w:rPr>
        <w:t>OROPt</w:t>
      </w:r>
      <w:proofErr w:type="spellEnd"/>
      <w:r w:rsidRPr="00447D01">
        <w:rPr>
          <w:sz w:val="22"/>
          <w:szCs w:val="22"/>
          <w:lang w:val="es-ES"/>
        </w:rPr>
        <w:t>, notificados a la FAO, y respecto al comercio documentado en la base de datos de comercio de la CITES. De este análisis se desprende que grandes volúmenes de productos de los OWT se comercializan sin la documentación de la CITES adecuada y que no cumplen con la CITES. Esto es preocupante en términos de cumplimiento de la CMS, ya que indica que la inclusión en el Apéndice I de la CMS, junto con las medidas</w:t>
      </w:r>
      <w:r w:rsidR="00AF5566" w:rsidRPr="00447D01">
        <w:rPr>
          <w:sz w:val="22"/>
          <w:szCs w:val="22"/>
          <w:lang w:val="es-ES"/>
        </w:rPr>
        <w:t xml:space="preserve"> </w:t>
      </w:r>
      <w:r w:rsidR="00AF5566" w:rsidRPr="00447D01">
        <w:rPr>
          <w:noProof/>
          <w:sz w:val="22"/>
          <w:szCs w:val="22"/>
          <w:lang w:val="es-ES" w:eastAsia="es-ES" w:bidi="ar-SA"/>
        </w:rPr>
        <w:lastRenderedPageBreak/>
        <w:drawing>
          <wp:anchor distT="0" distB="0" distL="0" distR="0" simplePos="0" relativeHeight="251660800" behindDoc="0" locked="0" layoutInCell="1" allowOverlap="1" wp14:anchorId="2F76373F" wp14:editId="0C1E6C62">
            <wp:simplePos x="0" y="0"/>
            <wp:positionH relativeFrom="page">
              <wp:posOffset>1490345</wp:posOffset>
            </wp:positionH>
            <wp:positionV relativeFrom="paragraph">
              <wp:posOffset>338455</wp:posOffset>
            </wp:positionV>
            <wp:extent cx="2997200" cy="2639060"/>
            <wp:effectExtent l="0" t="0" r="0" b="8890"/>
            <wp:wrapTopAndBottom/>
            <wp:docPr id="67621927" name="Picture 67621927"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927" name="Picture 67621927" descr="A map of the world&#10;&#10;Description automatically generated"/>
                    <pic:cNvPicPr/>
                  </pic:nvPicPr>
                  <pic:blipFill>
                    <a:blip r:embed="rId19" cstate="print"/>
                    <a:stretch>
                      <a:fillRect/>
                    </a:stretch>
                  </pic:blipFill>
                  <pic:spPr>
                    <a:xfrm>
                      <a:off x="0" y="0"/>
                      <a:ext cx="2997200" cy="2639060"/>
                    </a:xfrm>
                    <a:prstGeom prst="rect">
                      <a:avLst/>
                    </a:prstGeom>
                  </pic:spPr>
                </pic:pic>
              </a:graphicData>
            </a:graphic>
            <wp14:sizeRelH relativeFrom="margin">
              <wp14:pctWidth>0</wp14:pctWidth>
            </wp14:sizeRelH>
            <wp14:sizeRelV relativeFrom="margin">
              <wp14:pctHeight>0</wp14:pctHeight>
            </wp14:sizeRelV>
          </wp:anchor>
        </w:drawing>
      </w:r>
      <w:r w:rsidRPr="00447D01">
        <w:rPr>
          <w:sz w:val="22"/>
          <w:szCs w:val="22"/>
          <w:lang w:val="es-ES"/>
        </w:rPr>
        <w:t>de la CITES y las OROP, se están implementando de manera deficiente o parcial.</w:t>
      </w:r>
    </w:p>
    <w:p w14:paraId="588B6E4E" w14:textId="1BB5EBC6" w:rsidR="00D67332" w:rsidRPr="00447D01" w:rsidRDefault="00D67332" w:rsidP="00093DCB">
      <w:pPr>
        <w:spacing w:before="120"/>
        <w:ind w:left="851" w:right="1435"/>
        <w:jc w:val="both"/>
        <w:rPr>
          <w:iCs/>
          <w:sz w:val="20"/>
          <w:szCs w:val="20"/>
          <w:lang w:val="es-ES"/>
        </w:rPr>
      </w:pPr>
      <w:r w:rsidRPr="00447D01">
        <w:rPr>
          <w:iCs/>
          <w:sz w:val="20"/>
          <w:szCs w:val="20"/>
          <w:lang w:val="es-ES"/>
        </w:rPr>
        <w:t>Figura 1: Distribución global del tiburón oceánico (©Lista Roja de la UICN)</w:t>
      </w:r>
    </w:p>
    <w:p w14:paraId="066A2136" w14:textId="10287E91" w:rsidR="00093DCB" w:rsidRPr="00447D01" w:rsidRDefault="00093DCB">
      <w:pPr>
        <w:rPr>
          <w:u w:val="single"/>
          <w:lang w:val="es-ES"/>
        </w:rPr>
      </w:pPr>
    </w:p>
    <w:p w14:paraId="13A42C0E" w14:textId="33CE24E4" w:rsidR="00D36E5D" w:rsidRPr="00447D01" w:rsidRDefault="00CC463E">
      <w:pPr>
        <w:rPr>
          <w:lang w:val="es-ES"/>
        </w:rPr>
      </w:pPr>
      <w:r w:rsidRPr="00447D01">
        <w:rPr>
          <w:u w:val="single"/>
          <w:lang w:val="es-ES"/>
        </w:rPr>
        <w:t>Acciones recomendadas:</w:t>
      </w:r>
    </w:p>
    <w:p w14:paraId="1C3ACFD5" w14:textId="77777777" w:rsidR="00D36E5D" w:rsidRPr="00447D01" w:rsidRDefault="00D36E5D">
      <w:pPr>
        <w:rPr>
          <w:lang w:val="es-ES"/>
        </w:rPr>
      </w:pPr>
    </w:p>
    <w:p w14:paraId="7E1FEB4F" w14:textId="296F98ED" w:rsidR="004C7AD6" w:rsidRPr="00447D01" w:rsidRDefault="00CC463E" w:rsidP="0039753E">
      <w:pPr>
        <w:widowControl w:val="0"/>
        <w:numPr>
          <w:ilvl w:val="0"/>
          <w:numId w:val="1"/>
        </w:numPr>
        <w:ind w:left="567" w:hanging="567"/>
        <w:jc w:val="both"/>
        <w:rPr>
          <w:lang w:val="es-ES"/>
        </w:rPr>
      </w:pPr>
      <w:r w:rsidRPr="00447D01">
        <w:rPr>
          <w:lang w:val="es-ES"/>
        </w:rPr>
        <w:t>Se recomienda a la Conferencia de las Partes que:</w:t>
      </w:r>
    </w:p>
    <w:p w14:paraId="7957B79D" w14:textId="77777777" w:rsidR="00564AB6" w:rsidRPr="00447D01" w:rsidRDefault="00564AB6" w:rsidP="00564AB6">
      <w:pPr>
        <w:widowControl w:val="0"/>
        <w:ind w:left="567"/>
        <w:jc w:val="both"/>
        <w:rPr>
          <w:lang w:val="es-ES"/>
        </w:rPr>
      </w:pPr>
    </w:p>
    <w:p w14:paraId="03BBA932" w14:textId="5C093DE3" w:rsidR="00471EC3" w:rsidRPr="00447D01" w:rsidRDefault="003367A6" w:rsidP="00093DCB">
      <w:pPr>
        <w:widowControl w:val="0"/>
        <w:ind w:left="1134" w:hanging="567"/>
        <w:jc w:val="both"/>
        <w:rPr>
          <w:b/>
          <w:i/>
          <w:lang w:val="es-ES"/>
        </w:rPr>
      </w:pPr>
      <w:r w:rsidRPr="00447D01">
        <w:rPr>
          <w:lang w:val="es-ES"/>
        </w:rPr>
        <w:t>a) Adopte los proyectos de Decisiones que se incluyen en el Anexo.</w:t>
      </w:r>
    </w:p>
    <w:p w14:paraId="40AF0181" w14:textId="372B3AB4" w:rsidR="00093DCB" w:rsidRPr="00447D01" w:rsidRDefault="00093DCB" w:rsidP="00093DCB">
      <w:pPr>
        <w:widowControl w:val="0"/>
        <w:ind w:left="1134" w:hanging="567"/>
        <w:jc w:val="both"/>
        <w:rPr>
          <w:b/>
          <w:i/>
          <w:lang w:val="es-ES"/>
        </w:rPr>
      </w:pPr>
    </w:p>
    <w:p w14:paraId="054392FB" w14:textId="77777777" w:rsidR="00093DCB" w:rsidRPr="00447D01" w:rsidRDefault="00093DCB" w:rsidP="00093DCB">
      <w:pPr>
        <w:widowControl w:val="0"/>
        <w:ind w:left="1134" w:hanging="567"/>
        <w:jc w:val="both"/>
        <w:rPr>
          <w:b/>
          <w:i/>
          <w:lang w:val="es-ES"/>
        </w:rPr>
        <w:sectPr w:rsidR="00093DCB" w:rsidRPr="00447D01" w:rsidSect="00DD2FED">
          <w:headerReference w:type="even" r:id="rId20"/>
          <w:headerReference w:type="default" r:id="rId21"/>
          <w:headerReference w:type="first" r:id="rId22"/>
          <w:footerReference w:type="first" r:id="rId23"/>
          <w:pgSz w:w="11906" w:h="16838"/>
          <w:pgMar w:top="1440" w:right="1440" w:bottom="1440" w:left="1440" w:header="720" w:footer="720" w:gutter="0"/>
          <w:cols w:space="720"/>
          <w:titlePg/>
          <w:docGrid w:linePitch="299"/>
        </w:sectPr>
      </w:pPr>
    </w:p>
    <w:p w14:paraId="3E343302" w14:textId="5F19F73B" w:rsidR="00136B22" w:rsidRPr="00447D01" w:rsidRDefault="0069072E" w:rsidP="0069072E">
      <w:pPr>
        <w:jc w:val="right"/>
        <w:rPr>
          <w:b/>
          <w:iCs/>
          <w:lang w:val="es-ES"/>
        </w:rPr>
      </w:pPr>
      <w:r w:rsidRPr="00447D01">
        <w:rPr>
          <w:b/>
          <w:iCs/>
          <w:lang w:val="es-ES"/>
        </w:rPr>
        <w:lastRenderedPageBreak/>
        <w:t>ANEXO</w:t>
      </w:r>
    </w:p>
    <w:p w14:paraId="59DA2A34" w14:textId="77777777" w:rsidR="004C7AD6" w:rsidRPr="00447D01" w:rsidRDefault="004C7AD6">
      <w:pPr>
        <w:jc w:val="both"/>
        <w:rPr>
          <w:b/>
          <w:i/>
          <w:lang w:val="es-ES"/>
        </w:rPr>
      </w:pPr>
    </w:p>
    <w:p w14:paraId="09FDDA42" w14:textId="77777777" w:rsidR="00093DCB" w:rsidRPr="00447D01" w:rsidRDefault="00093DCB">
      <w:pPr>
        <w:jc w:val="both"/>
        <w:rPr>
          <w:b/>
          <w:i/>
          <w:lang w:val="es-ES"/>
        </w:rPr>
      </w:pPr>
    </w:p>
    <w:p w14:paraId="6F51D73F" w14:textId="6903D1DC" w:rsidR="004C7AD6" w:rsidRPr="00447D01" w:rsidRDefault="00093DCB" w:rsidP="00A17147">
      <w:pPr>
        <w:jc w:val="center"/>
        <w:rPr>
          <w:bCs/>
          <w:iCs/>
          <w:lang w:val="es-ES"/>
        </w:rPr>
      </w:pPr>
      <w:r w:rsidRPr="00447D01">
        <w:rPr>
          <w:bCs/>
          <w:iCs/>
          <w:lang w:val="es-ES"/>
        </w:rPr>
        <w:t>PROYECTOS DE DECISIONES</w:t>
      </w:r>
    </w:p>
    <w:p w14:paraId="7AD912E5" w14:textId="77777777" w:rsidR="0069072E" w:rsidRPr="00447D01" w:rsidRDefault="0069072E" w:rsidP="00A17147">
      <w:pPr>
        <w:jc w:val="center"/>
        <w:rPr>
          <w:bCs/>
          <w:iCs/>
          <w:lang w:val="es-ES"/>
        </w:rPr>
      </w:pPr>
    </w:p>
    <w:p w14:paraId="19B79C26" w14:textId="77777777" w:rsidR="0069072E" w:rsidRPr="00447D01" w:rsidRDefault="0069072E" w:rsidP="0069072E">
      <w:pPr>
        <w:jc w:val="center"/>
        <w:rPr>
          <w:b/>
          <w:iCs/>
          <w:lang w:val="es-ES"/>
        </w:rPr>
      </w:pPr>
      <w:r w:rsidRPr="00447D01">
        <w:rPr>
          <w:b/>
          <w:iCs/>
          <w:lang w:val="es-ES"/>
        </w:rPr>
        <w:t xml:space="preserve">IMPLEMENTACIÓN DE LA INCLUSIÓN EN EL APÉNDICE I DE LA CMS PARA EL </w:t>
      </w:r>
    </w:p>
    <w:p w14:paraId="02E59656" w14:textId="30EB8C1C" w:rsidR="0069072E" w:rsidRPr="00447D01" w:rsidRDefault="0069072E" w:rsidP="00093DCB">
      <w:pPr>
        <w:jc w:val="center"/>
        <w:rPr>
          <w:b/>
          <w:iCs/>
          <w:lang w:val="es-ES"/>
        </w:rPr>
      </w:pPr>
      <w:r w:rsidRPr="00447D01">
        <w:rPr>
          <w:b/>
          <w:iCs/>
          <w:lang w:val="es-ES"/>
        </w:rPr>
        <w:t xml:space="preserve">TIBURÓN OCEÁNICO </w:t>
      </w:r>
      <w:r w:rsidRPr="00447D01">
        <w:rPr>
          <w:bCs/>
          <w:i/>
          <w:lang w:val="es-ES"/>
        </w:rPr>
        <w:t>(</w:t>
      </w:r>
      <w:proofErr w:type="spellStart"/>
      <w:r w:rsidRPr="00447D01">
        <w:rPr>
          <w:bCs/>
          <w:i/>
          <w:lang w:val="es-ES"/>
        </w:rPr>
        <w:t>Carcharhinus</w:t>
      </w:r>
      <w:proofErr w:type="spellEnd"/>
      <w:r w:rsidRPr="00447D01">
        <w:rPr>
          <w:bCs/>
          <w:i/>
          <w:lang w:val="es-ES"/>
        </w:rPr>
        <w:t xml:space="preserve"> </w:t>
      </w:r>
      <w:proofErr w:type="spellStart"/>
      <w:r w:rsidRPr="00447D01">
        <w:rPr>
          <w:bCs/>
          <w:i/>
          <w:lang w:val="es-ES"/>
        </w:rPr>
        <w:t>longimanus</w:t>
      </w:r>
      <w:proofErr w:type="spellEnd"/>
      <w:r w:rsidRPr="00447D01">
        <w:rPr>
          <w:bCs/>
          <w:iCs/>
          <w:lang w:val="es-ES"/>
        </w:rPr>
        <w:t>)</w:t>
      </w:r>
    </w:p>
    <w:p w14:paraId="0035439E" w14:textId="77777777" w:rsidR="004C7AD6" w:rsidRPr="00447D01" w:rsidRDefault="004C7AD6">
      <w:pPr>
        <w:jc w:val="both"/>
        <w:rPr>
          <w:b/>
          <w:i/>
          <w:lang w:val="es-ES"/>
        </w:rPr>
      </w:pPr>
    </w:p>
    <w:p w14:paraId="470CCD71" w14:textId="77777777" w:rsidR="00A17147" w:rsidRPr="00447D01" w:rsidRDefault="00A17147">
      <w:pPr>
        <w:jc w:val="both"/>
        <w:rPr>
          <w:b/>
          <w:i/>
          <w:lang w:val="es-ES"/>
        </w:rPr>
      </w:pPr>
    </w:p>
    <w:p w14:paraId="0A191E98" w14:textId="5FEDF640" w:rsidR="00D36E5D" w:rsidRPr="00447D01" w:rsidRDefault="00CC463E">
      <w:pPr>
        <w:jc w:val="both"/>
        <w:rPr>
          <w:b/>
          <w:i/>
          <w:lang w:val="es-ES"/>
        </w:rPr>
      </w:pPr>
      <w:r w:rsidRPr="00447D01">
        <w:rPr>
          <w:b/>
          <w:i/>
          <w:lang w:val="es-ES"/>
        </w:rPr>
        <w:t xml:space="preserve">Dirigido a las Partes </w:t>
      </w:r>
    </w:p>
    <w:p w14:paraId="00B76040" w14:textId="77777777" w:rsidR="00D36E5D" w:rsidRPr="00447D01" w:rsidRDefault="00D36E5D">
      <w:pPr>
        <w:jc w:val="both"/>
        <w:rPr>
          <w:lang w:val="es-ES"/>
        </w:rPr>
      </w:pPr>
    </w:p>
    <w:p w14:paraId="095FD9FC" w14:textId="0B09D2A1" w:rsidR="00A04CB8" w:rsidRPr="00447D01" w:rsidRDefault="00093DCB" w:rsidP="00093DCB">
      <w:pPr>
        <w:ind w:left="851" w:hanging="851"/>
        <w:jc w:val="both"/>
        <w:rPr>
          <w:lang w:val="es-ES"/>
        </w:rPr>
      </w:pPr>
      <w:r w:rsidRPr="00447D01">
        <w:rPr>
          <w:lang w:val="es-ES"/>
        </w:rPr>
        <w:t xml:space="preserve">14.AA </w:t>
      </w:r>
      <w:r w:rsidRPr="00447D01">
        <w:rPr>
          <w:lang w:val="es-ES"/>
        </w:rPr>
        <w:tab/>
        <w:t xml:space="preserve">Se solicita a las Partes que proporcionen a la Secretaría de la CMS información sobre sus medidas de gestión nacionales y regionales para el tiburón oceánico, aclarando cómo cumplen con los objetivos de la inclusión en el Apéndice I de la CMS </w:t>
      </w:r>
    </w:p>
    <w:p w14:paraId="5235C9E6" w14:textId="6B5D80AC" w:rsidR="00D36E5D" w:rsidRPr="00447D01" w:rsidRDefault="00D36E5D">
      <w:pPr>
        <w:jc w:val="both"/>
        <w:rPr>
          <w:lang w:val="es-ES"/>
        </w:rPr>
      </w:pPr>
    </w:p>
    <w:p w14:paraId="748F6394" w14:textId="77777777" w:rsidR="00D36E5D" w:rsidRPr="00447D01" w:rsidRDefault="00CC463E">
      <w:pPr>
        <w:jc w:val="both"/>
        <w:rPr>
          <w:b/>
          <w:i/>
          <w:lang w:val="es-ES"/>
        </w:rPr>
      </w:pPr>
      <w:r w:rsidRPr="00447D01">
        <w:rPr>
          <w:b/>
          <w:i/>
          <w:lang w:val="es-ES"/>
        </w:rPr>
        <w:t>Dirigido a la Secretaría</w:t>
      </w:r>
    </w:p>
    <w:p w14:paraId="3BEC1B9A" w14:textId="6AAAD943" w:rsidR="00D36E5D" w:rsidRPr="00447D01" w:rsidRDefault="00D36E5D" w:rsidP="00093DCB">
      <w:pPr>
        <w:tabs>
          <w:tab w:val="left" w:pos="8295"/>
        </w:tabs>
        <w:jc w:val="both"/>
        <w:rPr>
          <w:lang w:val="es-ES"/>
        </w:rPr>
      </w:pPr>
    </w:p>
    <w:p w14:paraId="6BEBBFEE" w14:textId="208EB70F" w:rsidR="00D36E5D" w:rsidRPr="00447D01" w:rsidRDefault="00CC463E">
      <w:pPr>
        <w:ind w:left="851" w:hanging="851"/>
        <w:jc w:val="both"/>
        <w:rPr>
          <w:lang w:val="es-ES"/>
        </w:rPr>
      </w:pPr>
      <w:r w:rsidRPr="00447D01">
        <w:rPr>
          <w:lang w:val="es-ES"/>
        </w:rPr>
        <w:t>14.BB</w:t>
      </w:r>
      <w:r w:rsidRPr="00447D01">
        <w:rPr>
          <w:lang w:val="es-ES"/>
        </w:rPr>
        <w:tab/>
        <w:t>Se solicita a la Secretaría</w:t>
      </w:r>
    </w:p>
    <w:p w14:paraId="4E2EF742" w14:textId="77777777" w:rsidR="00D36E5D" w:rsidRPr="00447D01" w:rsidRDefault="00D36E5D">
      <w:pPr>
        <w:jc w:val="both"/>
        <w:rPr>
          <w:lang w:val="es-ES"/>
        </w:rPr>
      </w:pPr>
    </w:p>
    <w:p w14:paraId="7AD08B18" w14:textId="2EC4B1F1" w:rsidR="00D36E5D" w:rsidRPr="00447D01" w:rsidRDefault="00CC463E">
      <w:pPr>
        <w:widowControl w:val="0"/>
        <w:numPr>
          <w:ilvl w:val="0"/>
          <w:numId w:val="3"/>
        </w:numPr>
        <w:ind w:left="1418" w:hanging="567"/>
        <w:jc w:val="both"/>
        <w:rPr>
          <w:lang w:val="es-ES"/>
        </w:rPr>
      </w:pPr>
      <w:r w:rsidRPr="00447D01">
        <w:rPr>
          <w:lang w:val="es-ES"/>
        </w:rPr>
        <w:t>emit</w:t>
      </w:r>
      <w:r w:rsidR="00960DB6">
        <w:rPr>
          <w:lang w:val="es-ES"/>
        </w:rPr>
        <w:t>ir</w:t>
      </w:r>
      <w:r w:rsidRPr="00447D01">
        <w:rPr>
          <w:lang w:val="es-ES"/>
        </w:rPr>
        <w:t xml:space="preserve"> una notificación para solicitar información a las Partes en cumplimiento de la Decisión </w:t>
      </w:r>
      <w:proofErr w:type="gramStart"/>
      <w:r w:rsidRPr="00447D01">
        <w:rPr>
          <w:lang w:val="es-ES"/>
        </w:rPr>
        <w:t>14.AA</w:t>
      </w:r>
      <w:proofErr w:type="gramEnd"/>
      <w:r w:rsidRPr="00447D01">
        <w:rPr>
          <w:lang w:val="es-ES"/>
        </w:rPr>
        <w:t>;</w:t>
      </w:r>
    </w:p>
    <w:p w14:paraId="2D751C0B" w14:textId="77777777" w:rsidR="00D36E5D" w:rsidRPr="00447D01" w:rsidRDefault="00D36E5D">
      <w:pPr>
        <w:ind w:left="1418" w:hanging="567"/>
        <w:jc w:val="both"/>
        <w:rPr>
          <w:lang w:val="es-ES"/>
        </w:rPr>
      </w:pPr>
    </w:p>
    <w:p w14:paraId="00C1A34C" w14:textId="00132730" w:rsidR="00D36E5D" w:rsidRPr="00447D01" w:rsidRDefault="00CC463E">
      <w:pPr>
        <w:widowControl w:val="0"/>
        <w:numPr>
          <w:ilvl w:val="0"/>
          <w:numId w:val="3"/>
        </w:numPr>
        <w:ind w:left="1418" w:hanging="567"/>
        <w:jc w:val="both"/>
        <w:rPr>
          <w:lang w:val="es-ES"/>
        </w:rPr>
      </w:pPr>
      <w:r w:rsidRPr="00447D01">
        <w:rPr>
          <w:lang w:val="es-ES"/>
        </w:rPr>
        <w:t>cotej</w:t>
      </w:r>
      <w:r w:rsidR="00960DB6">
        <w:rPr>
          <w:lang w:val="es-ES"/>
        </w:rPr>
        <w:t>ar</w:t>
      </w:r>
      <w:r w:rsidRPr="00447D01">
        <w:rPr>
          <w:lang w:val="es-ES"/>
        </w:rPr>
        <w:t xml:space="preserve"> la información proporcionada por las Partes en respuesta a la Decisión </w:t>
      </w:r>
      <w:proofErr w:type="gramStart"/>
      <w:r w:rsidRPr="00447D01">
        <w:rPr>
          <w:lang w:val="es-ES"/>
        </w:rPr>
        <w:t>14.AA</w:t>
      </w:r>
      <w:proofErr w:type="gramEnd"/>
      <w:r w:rsidRPr="00447D01">
        <w:rPr>
          <w:lang w:val="es-ES"/>
        </w:rPr>
        <w:t>, y transmita esta información con tiempo suficiente para permitir su presentación al Comité Permanente para su revisión en su 55.</w:t>
      </w:r>
      <w:r w:rsidR="00A04CB8" w:rsidRPr="00447D01">
        <w:rPr>
          <w:vertAlign w:val="superscript"/>
          <w:lang w:val="es-ES"/>
        </w:rPr>
        <w:t>a</w:t>
      </w:r>
      <w:r w:rsidRPr="00447D01">
        <w:rPr>
          <w:lang w:val="es-ES"/>
        </w:rPr>
        <w:t xml:space="preserve"> reunión. </w:t>
      </w:r>
    </w:p>
    <w:p w14:paraId="107639B8" w14:textId="77777777" w:rsidR="00093DCB" w:rsidRPr="00447D01" w:rsidRDefault="00093DCB">
      <w:pPr>
        <w:jc w:val="both"/>
        <w:rPr>
          <w:i/>
          <w:lang w:val="es-ES"/>
        </w:rPr>
      </w:pPr>
    </w:p>
    <w:p w14:paraId="2E6E067E" w14:textId="77777777" w:rsidR="00D36E5D" w:rsidRPr="00447D01" w:rsidRDefault="00CC463E">
      <w:pPr>
        <w:jc w:val="both"/>
        <w:rPr>
          <w:b/>
          <w:i/>
          <w:lang w:val="es-ES"/>
        </w:rPr>
      </w:pPr>
      <w:r w:rsidRPr="00447D01">
        <w:rPr>
          <w:b/>
          <w:i/>
          <w:lang w:val="es-ES"/>
        </w:rPr>
        <w:t>Dirigido al Comité Permanente</w:t>
      </w:r>
    </w:p>
    <w:p w14:paraId="4DFBE50B" w14:textId="77777777" w:rsidR="00D36E5D" w:rsidRPr="00447D01" w:rsidRDefault="00D36E5D">
      <w:pPr>
        <w:jc w:val="both"/>
        <w:rPr>
          <w:lang w:val="es-ES"/>
        </w:rPr>
      </w:pPr>
    </w:p>
    <w:p w14:paraId="538EA598" w14:textId="5ECC5F20" w:rsidR="00D36E5D" w:rsidRPr="00447D01" w:rsidRDefault="00CC463E">
      <w:pPr>
        <w:ind w:left="851" w:hanging="851"/>
        <w:jc w:val="both"/>
        <w:rPr>
          <w:i/>
          <w:lang w:val="es-ES"/>
        </w:rPr>
      </w:pPr>
      <w:r w:rsidRPr="00447D01">
        <w:rPr>
          <w:lang w:val="es-ES"/>
        </w:rPr>
        <w:t>14.CC</w:t>
      </w:r>
      <w:r w:rsidRPr="00447D01">
        <w:rPr>
          <w:lang w:val="es-ES"/>
        </w:rPr>
        <w:tab/>
        <w:t>Se solicita al Comité Permanente que revise la recopilación de información proporcionada por la Secretaría en cumplimiento de la Decisión 14.BB, y que informe sobre los avances y haga recomendaciones para acciones futuras a la Convención de las Partes en su 15.ª reunión.</w:t>
      </w:r>
    </w:p>
    <w:p w14:paraId="2273A6D1" w14:textId="77777777" w:rsidR="00D36E5D" w:rsidRPr="00447D01" w:rsidRDefault="00D36E5D">
      <w:pPr>
        <w:jc w:val="both"/>
        <w:rPr>
          <w:lang w:val="es-ES"/>
        </w:rPr>
      </w:pPr>
    </w:p>
    <w:p w14:paraId="10B1EDEF" w14:textId="77777777" w:rsidR="00D36E5D" w:rsidRPr="00447D01" w:rsidRDefault="00D36E5D" w:rsidP="00F512BE">
      <w:pPr>
        <w:jc w:val="both"/>
        <w:rPr>
          <w:i/>
          <w:lang w:val="es-ES"/>
        </w:rPr>
      </w:pPr>
    </w:p>
    <w:p w14:paraId="1501ADA3" w14:textId="77777777" w:rsidR="00D36E5D" w:rsidRPr="00447D01" w:rsidRDefault="00D36E5D">
      <w:pPr>
        <w:jc w:val="both"/>
        <w:rPr>
          <w:lang w:val="es-ES"/>
        </w:rPr>
      </w:pPr>
    </w:p>
    <w:p w14:paraId="7C6F0873" w14:textId="77777777" w:rsidR="00D36E5D" w:rsidRPr="00447D01" w:rsidRDefault="00D36E5D">
      <w:pPr>
        <w:jc w:val="both"/>
        <w:rPr>
          <w:lang w:val="es-ES"/>
        </w:rPr>
      </w:pPr>
    </w:p>
    <w:p w14:paraId="4AA4137F" w14:textId="77777777" w:rsidR="00D36E5D" w:rsidRPr="00447D01" w:rsidRDefault="00D36E5D">
      <w:pPr>
        <w:tabs>
          <w:tab w:val="left" w:pos="1020"/>
        </w:tabs>
        <w:rPr>
          <w:lang w:val="es-ES"/>
        </w:rPr>
      </w:pPr>
    </w:p>
    <w:p w14:paraId="138CC263" w14:textId="77777777" w:rsidR="00D36E5D" w:rsidRPr="00447D01" w:rsidRDefault="00D36E5D">
      <w:pPr>
        <w:pBdr>
          <w:top w:val="nil"/>
          <w:left w:val="nil"/>
          <w:bottom w:val="nil"/>
          <w:right w:val="nil"/>
          <w:between w:val="nil"/>
        </w:pBdr>
        <w:ind w:left="360" w:hanging="360"/>
        <w:rPr>
          <w:lang w:val="es-ES"/>
        </w:rPr>
      </w:pPr>
    </w:p>
    <w:sectPr w:rsidR="00D36E5D" w:rsidRPr="00447D01" w:rsidSect="00DD2FED">
      <w:headerReference w:type="first" r:id="rId24"/>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CDCC" w14:textId="77777777" w:rsidR="007A2421" w:rsidRDefault="007A2421">
      <w:r>
        <w:separator/>
      </w:r>
    </w:p>
  </w:endnote>
  <w:endnote w:type="continuationSeparator" w:id="0">
    <w:p w14:paraId="11B00AB9" w14:textId="77777777" w:rsidR="007A2421" w:rsidRDefault="007A2421">
      <w:r>
        <w:continuationSeparator/>
      </w:r>
    </w:p>
  </w:endnote>
  <w:endnote w:type="continuationNotice" w:id="1">
    <w:p w14:paraId="4AC2B260" w14:textId="77777777" w:rsidR="007A2421" w:rsidRDefault="007A2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D26A" w14:textId="3FB07235" w:rsidR="00D36E5D" w:rsidRDefault="00CC463E">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E25BF">
      <w:rPr>
        <w:noProof/>
        <w:color w:val="000000"/>
        <w:sz w:val="18"/>
        <w:szCs w:val="18"/>
      </w:rPr>
      <w:t>4</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601626"/>
      <w:docPartObj>
        <w:docPartGallery w:val="Page Numbers (Bottom of Page)"/>
        <w:docPartUnique/>
      </w:docPartObj>
    </w:sdtPr>
    <w:sdtEndPr>
      <w:rPr>
        <w:noProof/>
        <w:sz w:val="18"/>
        <w:szCs w:val="18"/>
      </w:rPr>
    </w:sdtEndPr>
    <w:sdtContent>
      <w:p w14:paraId="6E3DFCFD" w14:textId="3C6D8B54" w:rsidR="00056DAD" w:rsidRPr="00564AB6" w:rsidRDefault="00056DAD" w:rsidP="00564AB6">
        <w:pPr>
          <w:pStyle w:val="Footer"/>
          <w:jc w:val="center"/>
          <w:rPr>
            <w:sz w:val="18"/>
            <w:szCs w:val="18"/>
          </w:rPr>
        </w:pPr>
        <w:r w:rsidRPr="00056DAD">
          <w:rPr>
            <w:sz w:val="18"/>
            <w:szCs w:val="18"/>
          </w:rPr>
          <w:fldChar w:fldCharType="begin"/>
        </w:r>
        <w:r w:rsidRPr="00056DAD">
          <w:rPr>
            <w:sz w:val="18"/>
            <w:szCs w:val="18"/>
          </w:rPr>
          <w:instrText xml:space="preserve"> PAGE   \* MERGEFORMAT </w:instrText>
        </w:r>
        <w:r w:rsidRPr="00056DAD">
          <w:rPr>
            <w:sz w:val="18"/>
            <w:szCs w:val="18"/>
          </w:rPr>
          <w:fldChar w:fldCharType="separate"/>
        </w:r>
        <w:r w:rsidR="003E25BF">
          <w:rPr>
            <w:noProof/>
            <w:sz w:val="18"/>
            <w:szCs w:val="18"/>
          </w:rPr>
          <w:t>3</w:t>
        </w:r>
        <w:r w:rsidRPr="00056DAD">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C9C9" w14:textId="77777777" w:rsidR="00960DB6" w:rsidRDefault="00960D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85985694"/>
      <w:docPartObj>
        <w:docPartGallery w:val="Page Numbers (Bottom of Page)"/>
        <w:docPartUnique/>
      </w:docPartObj>
    </w:sdtPr>
    <w:sdtEndPr>
      <w:rPr>
        <w:noProof/>
      </w:rPr>
    </w:sdtEndPr>
    <w:sdtContent>
      <w:p w14:paraId="73FC2B39" w14:textId="37326312" w:rsidR="00564AB6" w:rsidRPr="00564AB6" w:rsidRDefault="00564AB6" w:rsidP="00564AB6">
        <w:pPr>
          <w:pStyle w:val="Footer"/>
          <w:jc w:val="center"/>
          <w:rPr>
            <w:sz w:val="18"/>
            <w:szCs w:val="18"/>
          </w:rPr>
        </w:pPr>
        <w:r w:rsidRPr="00564AB6">
          <w:rPr>
            <w:sz w:val="18"/>
            <w:szCs w:val="18"/>
          </w:rPr>
          <w:fldChar w:fldCharType="begin"/>
        </w:r>
        <w:r w:rsidRPr="00564AB6">
          <w:rPr>
            <w:sz w:val="18"/>
            <w:szCs w:val="18"/>
          </w:rPr>
          <w:instrText xml:space="preserve"> PAGE   \* MERGEFORMAT </w:instrText>
        </w:r>
        <w:r w:rsidRPr="00564AB6">
          <w:rPr>
            <w:sz w:val="18"/>
            <w:szCs w:val="18"/>
          </w:rPr>
          <w:fldChar w:fldCharType="separate"/>
        </w:r>
        <w:r w:rsidR="003E25BF">
          <w:rPr>
            <w:noProof/>
            <w:sz w:val="18"/>
            <w:szCs w:val="18"/>
          </w:rPr>
          <w:t>2</w:t>
        </w:r>
        <w:r w:rsidRPr="00564AB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8C97" w14:textId="77777777" w:rsidR="007A2421" w:rsidRDefault="007A2421">
      <w:r>
        <w:separator/>
      </w:r>
    </w:p>
  </w:footnote>
  <w:footnote w:type="continuationSeparator" w:id="0">
    <w:p w14:paraId="00AB8CA3" w14:textId="77777777" w:rsidR="007A2421" w:rsidRDefault="007A2421">
      <w:r>
        <w:continuationSeparator/>
      </w:r>
    </w:p>
  </w:footnote>
  <w:footnote w:type="continuationNotice" w:id="1">
    <w:p w14:paraId="18B38388" w14:textId="77777777" w:rsidR="007A2421" w:rsidRDefault="007A2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8AC8" w14:textId="7D1E4050" w:rsidR="00D36E5D" w:rsidRPr="006277FA" w:rsidRDefault="00CC463E">
    <w:pPr>
      <w:pBdr>
        <w:top w:val="nil"/>
        <w:left w:val="nil"/>
        <w:bottom w:val="single" w:sz="4" w:space="1" w:color="000000"/>
        <w:right w:val="nil"/>
        <w:between w:val="nil"/>
      </w:pBdr>
      <w:tabs>
        <w:tab w:val="center" w:pos="4680"/>
        <w:tab w:val="right" w:pos="9360"/>
      </w:tabs>
      <w:rPr>
        <w:i/>
        <w:color w:val="000000"/>
        <w:sz w:val="18"/>
        <w:szCs w:val="18"/>
        <w:lang w:val="es-ES"/>
      </w:rPr>
    </w:pPr>
    <w:r w:rsidRPr="006277FA">
      <w:rPr>
        <w:i/>
        <w:color w:val="000000"/>
        <w:sz w:val="18"/>
        <w:szCs w:val="18"/>
        <w:lang w:val="es-ES"/>
      </w:rPr>
      <w:t>UNEP/CMS/COP14/</w:t>
    </w:r>
    <w:proofErr w:type="spellStart"/>
    <w:r w:rsidRPr="006277FA">
      <w:rPr>
        <w:i/>
        <w:color w:val="000000"/>
        <w:sz w:val="18"/>
        <w:szCs w:val="18"/>
        <w:lang w:val="es-ES"/>
      </w:rPr>
      <w:t>Doc.</w:t>
    </w:r>
    <w:r w:rsidRPr="006277FA">
      <w:rPr>
        <w:i/>
        <w:color w:val="000000"/>
        <w:sz w:val="18"/>
        <w:szCs w:val="18"/>
        <w:highlight w:val="yellow"/>
        <w:lang w:val="es-ES"/>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6E4A" w14:textId="77777777" w:rsidR="00D36E5D" w:rsidRPr="006277FA" w:rsidRDefault="00CC463E">
    <w:pPr>
      <w:pBdr>
        <w:top w:val="nil"/>
        <w:left w:val="nil"/>
        <w:bottom w:val="single" w:sz="4" w:space="1" w:color="000000"/>
        <w:right w:val="nil"/>
        <w:between w:val="nil"/>
      </w:pBdr>
      <w:tabs>
        <w:tab w:val="center" w:pos="4680"/>
        <w:tab w:val="right" w:pos="9360"/>
      </w:tabs>
      <w:rPr>
        <w:i/>
        <w:color w:val="000000"/>
        <w:sz w:val="18"/>
        <w:szCs w:val="18"/>
        <w:lang w:val="es-ES"/>
      </w:rPr>
    </w:pPr>
    <w:r w:rsidRPr="006277FA">
      <w:rPr>
        <w:i/>
        <w:color w:val="000000"/>
        <w:sz w:val="18"/>
        <w:szCs w:val="18"/>
        <w:lang w:val="es-ES"/>
      </w:rPr>
      <w:t>UNEP/CMS/COP14/</w:t>
    </w:r>
    <w:proofErr w:type="spellStart"/>
    <w:r w:rsidRPr="006277FA">
      <w:rPr>
        <w:i/>
        <w:color w:val="000000"/>
        <w:sz w:val="18"/>
        <w:szCs w:val="18"/>
        <w:lang w:val="es-ES"/>
      </w:rPr>
      <w:t>Doc.</w:t>
    </w:r>
    <w:r w:rsidRPr="006277FA">
      <w:rPr>
        <w:i/>
        <w:color w:val="000000"/>
        <w:sz w:val="18"/>
        <w:szCs w:val="18"/>
        <w:highlight w:val="yellow"/>
        <w:lang w:val="es-ES"/>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C470" w14:textId="77777777" w:rsidR="00AC1A59" w:rsidRPr="00002A97" w:rsidRDefault="00AC1A59" w:rsidP="00AC1A59">
    <w:pPr>
      <w:widowControl w:val="0"/>
      <w:tabs>
        <w:tab w:val="center" w:pos="4153"/>
        <w:tab w:val="right" w:pos="8306"/>
      </w:tabs>
      <w:suppressAutoHyphens/>
      <w:autoSpaceDE w:val="0"/>
      <w:autoSpaceDN w:val="0"/>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2CC6C2AC" wp14:editId="60270CFC">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552A0AD8" wp14:editId="48EEDE81">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0EDAD322" wp14:editId="7BE271C6">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Description automatically generated"/>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02252B30" w14:textId="77777777" w:rsidR="00D36E5D" w:rsidRDefault="00D36E5D">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9573" w14:textId="513482A5" w:rsidR="00D36E5D" w:rsidRDefault="00CC463E">
    <w:pPr>
      <w:pBdr>
        <w:top w:val="nil"/>
        <w:left w:val="nil"/>
        <w:bottom w:val="single" w:sz="4" w:space="1" w:color="000000"/>
        <w:right w:val="nil"/>
        <w:between w:val="nil"/>
      </w:pBdr>
      <w:tabs>
        <w:tab w:val="center" w:pos="4680"/>
        <w:tab w:val="right" w:pos="9360"/>
      </w:tabs>
      <w:rPr>
        <w:i/>
        <w:color w:val="000000"/>
        <w:sz w:val="18"/>
        <w:szCs w:val="18"/>
      </w:rPr>
    </w:pPr>
    <w:r>
      <w:rPr>
        <w:i/>
        <w:color w:val="000000"/>
        <w:sz w:val="18"/>
        <w:szCs w:val="18"/>
      </w:rPr>
      <w:t>UNEP/CMS/COP14/Doc.</w:t>
    </w:r>
    <w:r w:rsidR="008C7175" w:rsidRPr="008C7175">
      <w:t xml:space="preserve"> </w:t>
    </w:r>
    <w:r w:rsidR="008C7175" w:rsidRPr="008C7175">
      <w:rPr>
        <w:i/>
        <w:color w:val="000000"/>
        <w:sz w:val="18"/>
        <w:szCs w:val="18"/>
      </w:rPr>
      <w:t>27.7.3</w:t>
    </w:r>
  </w:p>
  <w:p w14:paraId="52A716FF" w14:textId="77777777" w:rsidR="00D36E5D" w:rsidRDefault="00D36E5D">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83B6" w14:textId="6C025267" w:rsidR="004C7AD6" w:rsidRPr="000E4BAE" w:rsidRDefault="004C7AD6" w:rsidP="008C7175">
    <w:pPr>
      <w:pBdr>
        <w:top w:val="nil"/>
        <w:left w:val="nil"/>
        <w:bottom w:val="single" w:sz="4" w:space="1" w:color="000000"/>
        <w:right w:val="nil"/>
        <w:between w:val="nil"/>
      </w:pBdr>
      <w:tabs>
        <w:tab w:val="center" w:pos="4680"/>
        <w:tab w:val="right" w:pos="9360"/>
      </w:tabs>
      <w:jc w:val="right"/>
      <w:rPr>
        <w:i/>
        <w:color w:val="000000"/>
        <w:sz w:val="18"/>
        <w:szCs w:val="18"/>
        <w:lang w:val="fr-FR"/>
      </w:rPr>
    </w:pPr>
    <w:r w:rsidRPr="000E4BAE">
      <w:rPr>
        <w:i/>
        <w:color w:val="000000"/>
        <w:sz w:val="18"/>
        <w:szCs w:val="18"/>
        <w:lang w:val="fr-FR"/>
      </w:rPr>
      <w:t>UNEP/CMS/COP14/Doc.27.7.3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8732" w14:textId="2245AA8B" w:rsidR="00D36E5D" w:rsidRPr="00564AB6" w:rsidRDefault="00CC463E" w:rsidP="00564AB6">
    <w:pPr>
      <w:pBdr>
        <w:top w:val="nil"/>
        <w:left w:val="nil"/>
        <w:bottom w:val="single" w:sz="4" w:space="1" w:color="000000"/>
        <w:right w:val="nil"/>
        <w:between w:val="nil"/>
      </w:pBdr>
      <w:tabs>
        <w:tab w:val="center" w:pos="4680"/>
        <w:tab w:val="right" w:pos="9360"/>
      </w:tabs>
      <w:rPr>
        <w:i/>
        <w:color w:val="000000"/>
        <w:sz w:val="18"/>
        <w:szCs w:val="18"/>
      </w:rPr>
    </w:pPr>
    <w:r>
      <w:rPr>
        <w:i/>
        <w:color w:val="000000"/>
        <w:sz w:val="18"/>
        <w:szCs w:val="18"/>
      </w:rPr>
      <w:t>UNEP/CMS/COP14/Doc.27.7.3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97AB" w14:textId="5D770AEB" w:rsidR="00471EC3" w:rsidRPr="006277FA" w:rsidRDefault="00471EC3" w:rsidP="00960DB6">
    <w:pPr>
      <w:pBdr>
        <w:top w:val="nil"/>
        <w:left w:val="nil"/>
        <w:bottom w:val="single" w:sz="4" w:space="1" w:color="000000"/>
        <w:right w:val="nil"/>
        <w:between w:val="nil"/>
      </w:pBdr>
      <w:tabs>
        <w:tab w:val="center" w:pos="4680"/>
        <w:tab w:val="right" w:pos="9360"/>
      </w:tabs>
      <w:jc w:val="right"/>
      <w:rPr>
        <w:i/>
        <w:color w:val="000000"/>
        <w:sz w:val="18"/>
        <w:szCs w:val="18"/>
        <w:lang w:val="es-ES"/>
      </w:rPr>
    </w:pPr>
    <w:r w:rsidRPr="006277FA">
      <w:rPr>
        <w:i/>
        <w:color w:val="000000"/>
        <w:sz w:val="18"/>
        <w:szCs w:val="18"/>
        <w:lang w:val="es-ES"/>
      </w:rPr>
      <w:t>UNEP/CMS/COP14/Doc.27.7.3/Anexo</w:t>
    </w:r>
  </w:p>
  <w:p w14:paraId="720F5914" w14:textId="77777777" w:rsidR="00471EC3" w:rsidRDefault="00471EC3">
    <w:pPr>
      <w:tabs>
        <w:tab w:val="center" w:pos="4680"/>
        <w:tab w:val="right" w:pos="9360"/>
      </w:tabs>
      <w:ind w:right="-547"/>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106"/>
    <w:multiLevelType w:val="multilevel"/>
    <w:tmpl w:val="6B2E5D76"/>
    <w:lvl w:ilvl="0">
      <w:start w:val="1"/>
      <w:numFmt w:val="lowerLetter"/>
      <w:pStyle w:val="FourthnumberingA"/>
      <w:lvlText w:val="%1)"/>
      <w:lvlJc w:val="left"/>
      <w:pPr>
        <w:ind w:left="360" w:hanging="360"/>
      </w:pPr>
      <w:rPr>
        <w:b w:val="0"/>
        <w:i w:val="0"/>
        <w:smallCaps w:val="0"/>
        <w:strike w:val="0"/>
        <w:u w:val="none"/>
        <w:vertAlign w:val="baseli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EE65DF"/>
    <w:multiLevelType w:val="multilevel"/>
    <w:tmpl w:val="D44AD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FF53D4"/>
    <w:multiLevelType w:val="multilevel"/>
    <w:tmpl w:val="626C4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761EF8"/>
    <w:multiLevelType w:val="multilevel"/>
    <w:tmpl w:val="85B27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F47545"/>
    <w:multiLevelType w:val="multilevel"/>
    <w:tmpl w:val="4A24CE0A"/>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6347FB6"/>
    <w:multiLevelType w:val="hybridMultilevel"/>
    <w:tmpl w:val="8996C0BC"/>
    <w:lvl w:ilvl="0" w:tplc="99C827D0">
      <w:start w:val="1"/>
      <w:numFmt w:val="lowerRoman"/>
      <w:lvlText w:val="(%1)."/>
      <w:lvlJc w:val="left"/>
      <w:pPr>
        <w:ind w:left="1740" w:hanging="540"/>
        <w:jc w:val="right"/>
      </w:pPr>
      <w:rPr>
        <w:rFonts w:ascii="Arial" w:eastAsia="Arial" w:hAnsi="Arial" w:cs="Arial" w:hint="default"/>
        <w:spacing w:val="-2"/>
        <w:w w:val="100"/>
        <w:sz w:val="22"/>
        <w:szCs w:val="22"/>
        <w:lang w:val="en-GB" w:eastAsia="en-GB" w:bidi="en-GB"/>
      </w:rPr>
    </w:lvl>
    <w:lvl w:ilvl="1" w:tplc="DD68992C">
      <w:start w:val="1"/>
      <w:numFmt w:val="decimal"/>
      <w:lvlText w:val="%2."/>
      <w:lvlJc w:val="left"/>
      <w:pPr>
        <w:ind w:left="2542" w:hanging="850"/>
        <w:jc w:val="left"/>
      </w:pPr>
      <w:rPr>
        <w:rFonts w:ascii="Arial" w:eastAsia="Arial" w:hAnsi="Arial" w:cs="Arial" w:hint="default"/>
        <w:b/>
        <w:bCs/>
        <w:spacing w:val="-1"/>
        <w:w w:val="100"/>
        <w:sz w:val="22"/>
        <w:szCs w:val="22"/>
        <w:lang w:val="en-GB" w:eastAsia="en-GB" w:bidi="en-GB"/>
      </w:rPr>
    </w:lvl>
    <w:lvl w:ilvl="2" w:tplc="A450300A">
      <w:numFmt w:val="bullet"/>
      <w:lvlText w:val="•"/>
      <w:lvlJc w:val="left"/>
      <w:pPr>
        <w:ind w:left="3513" w:hanging="850"/>
      </w:pPr>
      <w:rPr>
        <w:rFonts w:hint="default"/>
        <w:lang w:val="en-GB" w:eastAsia="en-GB" w:bidi="en-GB"/>
      </w:rPr>
    </w:lvl>
    <w:lvl w:ilvl="3" w:tplc="6C36CE16">
      <w:numFmt w:val="bullet"/>
      <w:lvlText w:val="•"/>
      <w:lvlJc w:val="left"/>
      <w:pPr>
        <w:ind w:left="4487" w:hanging="850"/>
      </w:pPr>
      <w:rPr>
        <w:rFonts w:hint="default"/>
        <w:lang w:val="en-GB" w:eastAsia="en-GB" w:bidi="en-GB"/>
      </w:rPr>
    </w:lvl>
    <w:lvl w:ilvl="4" w:tplc="D474E95C">
      <w:numFmt w:val="bullet"/>
      <w:lvlText w:val="•"/>
      <w:lvlJc w:val="left"/>
      <w:pPr>
        <w:ind w:left="5461" w:hanging="850"/>
      </w:pPr>
      <w:rPr>
        <w:rFonts w:hint="default"/>
        <w:lang w:val="en-GB" w:eastAsia="en-GB" w:bidi="en-GB"/>
      </w:rPr>
    </w:lvl>
    <w:lvl w:ilvl="5" w:tplc="F00CB7DE">
      <w:numFmt w:val="bullet"/>
      <w:lvlText w:val="•"/>
      <w:lvlJc w:val="left"/>
      <w:pPr>
        <w:ind w:left="6435" w:hanging="850"/>
      </w:pPr>
      <w:rPr>
        <w:rFonts w:hint="default"/>
        <w:lang w:val="en-GB" w:eastAsia="en-GB" w:bidi="en-GB"/>
      </w:rPr>
    </w:lvl>
    <w:lvl w:ilvl="6" w:tplc="7580507C">
      <w:numFmt w:val="bullet"/>
      <w:lvlText w:val="•"/>
      <w:lvlJc w:val="left"/>
      <w:pPr>
        <w:ind w:left="7408" w:hanging="850"/>
      </w:pPr>
      <w:rPr>
        <w:rFonts w:hint="default"/>
        <w:lang w:val="en-GB" w:eastAsia="en-GB" w:bidi="en-GB"/>
      </w:rPr>
    </w:lvl>
    <w:lvl w:ilvl="7" w:tplc="2690BAE4">
      <w:numFmt w:val="bullet"/>
      <w:lvlText w:val="•"/>
      <w:lvlJc w:val="left"/>
      <w:pPr>
        <w:ind w:left="8382" w:hanging="850"/>
      </w:pPr>
      <w:rPr>
        <w:rFonts w:hint="default"/>
        <w:lang w:val="en-GB" w:eastAsia="en-GB" w:bidi="en-GB"/>
      </w:rPr>
    </w:lvl>
    <w:lvl w:ilvl="8" w:tplc="30A488DE">
      <w:numFmt w:val="bullet"/>
      <w:lvlText w:val="•"/>
      <w:lvlJc w:val="left"/>
      <w:pPr>
        <w:ind w:left="9356" w:hanging="850"/>
      </w:pPr>
      <w:rPr>
        <w:rFonts w:hint="default"/>
        <w:lang w:val="en-GB" w:eastAsia="en-GB" w:bidi="en-GB"/>
      </w:rPr>
    </w:lvl>
  </w:abstractNum>
  <w:abstractNum w:abstractNumId="6" w15:restartNumberingAfterBreak="0">
    <w:nsid w:val="19476499"/>
    <w:multiLevelType w:val="multilevel"/>
    <w:tmpl w:val="127A3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13575C"/>
    <w:multiLevelType w:val="multilevel"/>
    <w:tmpl w:val="4A46A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3C0FDA"/>
    <w:multiLevelType w:val="multilevel"/>
    <w:tmpl w:val="B9429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3C5DBB"/>
    <w:multiLevelType w:val="hybridMultilevel"/>
    <w:tmpl w:val="16BEC2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DEA1F0B"/>
    <w:multiLevelType w:val="multilevel"/>
    <w:tmpl w:val="380A314A"/>
    <w:lvl w:ilvl="0">
      <w:start w:val="1"/>
      <w:numFmt w:val="lowerLetter"/>
      <w:pStyle w:val="Firstnumbering"/>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1" w15:restartNumberingAfterBreak="0">
    <w:nsid w:val="365F278F"/>
    <w:multiLevelType w:val="multilevel"/>
    <w:tmpl w:val="AFCEF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A51F54"/>
    <w:multiLevelType w:val="hybridMultilevel"/>
    <w:tmpl w:val="249005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EF6D86"/>
    <w:multiLevelType w:val="multilevel"/>
    <w:tmpl w:val="1AA22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970814"/>
    <w:multiLevelType w:val="multilevel"/>
    <w:tmpl w:val="4CA01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8B66D7"/>
    <w:multiLevelType w:val="hybridMultilevel"/>
    <w:tmpl w:val="02D856D8"/>
    <w:lvl w:ilvl="0" w:tplc="25742968">
      <w:numFmt w:val="bullet"/>
      <w:lvlText w:val="o"/>
      <w:lvlJc w:val="left"/>
      <w:pPr>
        <w:ind w:left="1081" w:hanging="360"/>
      </w:pPr>
      <w:rPr>
        <w:rFonts w:ascii="Courier New" w:eastAsia="Courier New" w:hAnsi="Courier New" w:cs="Courier New" w:hint="default"/>
        <w:w w:val="100"/>
        <w:sz w:val="22"/>
        <w:szCs w:val="22"/>
        <w:lang w:val="en-GB" w:eastAsia="en-GB" w:bidi="en-GB"/>
      </w:rPr>
    </w:lvl>
    <w:lvl w:ilvl="1" w:tplc="FBAA5754">
      <w:numFmt w:val="bullet"/>
      <w:lvlText w:val="•"/>
      <w:lvlJc w:val="left"/>
      <w:pPr>
        <w:ind w:left="1983" w:hanging="360"/>
      </w:pPr>
      <w:rPr>
        <w:rFonts w:hint="default"/>
        <w:lang w:val="en-GB" w:eastAsia="en-GB" w:bidi="en-GB"/>
      </w:rPr>
    </w:lvl>
    <w:lvl w:ilvl="2" w:tplc="96A608F8">
      <w:numFmt w:val="bullet"/>
      <w:lvlText w:val="•"/>
      <w:lvlJc w:val="left"/>
      <w:pPr>
        <w:ind w:left="2885" w:hanging="360"/>
      </w:pPr>
      <w:rPr>
        <w:rFonts w:hint="default"/>
        <w:lang w:val="en-GB" w:eastAsia="en-GB" w:bidi="en-GB"/>
      </w:rPr>
    </w:lvl>
    <w:lvl w:ilvl="3" w:tplc="5B4A924E">
      <w:numFmt w:val="bullet"/>
      <w:lvlText w:val="•"/>
      <w:lvlJc w:val="left"/>
      <w:pPr>
        <w:ind w:left="3788" w:hanging="360"/>
      </w:pPr>
      <w:rPr>
        <w:rFonts w:hint="default"/>
        <w:lang w:val="en-GB" w:eastAsia="en-GB" w:bidi="en-GB"/>
      </w:rPr>
    </w:lvl>
    <w:lvl w:ilvl="4" w:tplc="67FA743A">
      <w:numFmt w:val="bullet"/>
      <w:lvlText w:val="•"/>
      <w:lvlJc w:val="left"/>
      <w:pPr>
        <w:ind w:left="4690" w:hanging="360"/>
      </w:pPr>
      <w:rPr>
        <w:rFonts w:hint="default"/>
        <w:lang w:val="en-GB" w:eastAsia="en-GB" w:bidi="en-GB"/>
      </w:rPr>
    </w:lvl>
    <w:lvl w:ilvl="5" w:tplc="715C370E">
      <w:numFmt w:val="bullet"/>
      <w:lvlText w:val="•"/>
      <w:lvlJc w:val="left"/>
      <w:pPr>
        <w:ind w:left="5593" w:hanging="360"/>
      </w:pPr>
      <w:rPr>
        <w:rFonts w:hint="default"/>
        <w:lang w:val="en-GB" w:eastAsia="en-GB" w:bidi="en-GB"/>
      </w:rPr>
    </w:lvl>
    <w:lvl w:ilvl="6" w:tplc="7B14233C">
      <w:numFmt w:val="bullet"/>
      <w:lvlText w:val="•"/>
      <w:lvlJc w:val="left"/>
      <w:pPr>
        <w:ind w:left="6495" w:hanging="360"/>
      </w:pPr>
      <w:rPr>
        <w:rFonts w:hint="default"/>
        <w:lang w:val="en-GB" w:eastAsia="en-GB" w:bidi="en-GB"/>
      </w:rPr>
    </w:lvl>
    <w:lvl w:ilvl="7" w:tplc="1E4A6C52">
      <w:numFmt w:val="bullet"/>
      <w:lvlText w:val="•"/>
      <w:lvlJc w:val="left"/>
      <w:pPr>
        <w:ind w:left="7397" w:hanging="360"/>
      </w:pPr>
      <w:rPr>
        <w:rFonts w:hint="default"/>
        <w:lang w:val="en-GB" w:eastAsia="en-GB" w:bidi="en-GB"/>
      </w:rPr>
    </w:lvl>
    <w:lvl w:ilvl="8" w:tplc="19EE1F32">
      <w:numFmt w:val="bullet"/>
      <w:lvlText w:val="•"/>
      <w:lvlJc w:val="left"/>
      <w:pPr>
        <w:ind w:left="8300" w:hanging="360"/>
      </w:pPr>
      <w:rPr>
        <w:rFonts w:hint="default"/>
        <w:lang w:val="en-GB" w:eastAsia="en-GB" w:bidi="en-GB"/>
      </w:rPr>
    </w:lvl>
  </w:abstractNum>
  <w:abstractNum w:abstractNumId="16" w15:restartNumberingAfterBreak="0">
    <w:nsid w:val="44F05FFB"/>
    <w:multiLevelType w:val="multilevel"/>
    <w:tmpl w:val="CFAEC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8F10446"/>
    <w:multiLevelType w:val="multilevel"/>
    <w:tmpl w:val="63F2A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1F3772"/>
    <w:multiLevelType w:val="multilevel"/>
    <w:tmpl w:val="BF968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F8660B"/>
    <w:multiLevelType w:val="multilevel"/>
    <w:tmpl w:val="1256E19C"/>
    <w:lvl w:ilvl="0">
      <w:start w:val="1"/>
      <w:numFmt w:val="lowerLetter"/>
      <w:pStyle w:val="Second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3B6945"/>
    <w:multiLevelType w:val="multilevel"/>
    <w:tmpl w:val="7BC26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7784552"/>
    <w:multiLevelType w:val="multilevel"/>
    <w:tmpl w:val="24704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AF5045"/>
    <w:multiLevelType w:val="multilevel"/>
    <w:tmpl w:val="77E28B10"/>
    <w:lvl w:ilvl="0">
      <w:numFmt w:val="bullet"/>
      <w:pStyle w:val="Thirdnumberingi"/>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46F0F3B"/>
    <w:multiLevelType w:val="multilevel"/>
    <w:tmpl w:val="D5DAC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294BD0"/>
    <w:multiLevelType w:val="multilevel"/>
    <w:tmpl w:val="4A46E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317240">
    <w:abstractNumId w:val="4"/>
  </w:num>
  <w:num w:numId="2" w16cid:durableId="131532408">
    <w:abstractNumId w:val="10"/>
  </w:num>
  <w:num w:numId="3" w16cid:durableId="1849639804">
    <w:abstractNumId w:val="19"/>
  </w:num>
  <w:num w:numId="4" w16cid:durableId="553196868">
    <w:abstractNumId w:val="22"/>
  </w:num>
  <w:num w:numId="5" w16cid:durableId="1800995480">
    <w:abstractNumId w:val="0"/>
  </w:num>
  <w:num w:numId="6" w16cid:durableId="458572661">
    <w:abstractNumId w:val="5"/>
  </w:num>
  <w:num w:numId="7" w16cid:durableId="1041787857">
    <w:abstractNumId w:val="15"/>
  </w:num>
  <w:num w:numId="8" w16cid:durableId="914120717">
    <w:abstractNumId w:val="7"/>
  </w:num>
  <w:num w:numId="9" w16cid:durableId="1856459840">
    <w:abstractNumId w:val="6"/>
  </w:num>
  <w:num w:numId="10" w16cid:durableId="1409304505">
    <w:abstractNumId w:val="13"/>
  </w:num>
  <w:num w:numId="11" w16cid:durableId="1875848506">
    <w:abstractNumId w:val="1"/>
  </w:num>
  <w:num w:numId="12" w16cid:durableId="2085100638">
    <w:abstractNumId w:val="17"/>
  </w:num>
  <w:num w:numId="13" w16cid:durableId="2104569788">
    <w:abstractNumId w:val="20"/>
  </w:num>
  <w:num w:numId="14" w16cid:durableId="1824737866">
    <w:abstractNumId w:val="23"/>
  </w:num>
  <w:num w:numId="15" w16cid:durableId="371155660">
    <w:abstractNumId w:val="16"/>
  </w:num>
  <w:num w:numId="16" w16cid:durableId="1721244457">
    <w:abstractNumId w:val="11"/>
  </w:num>
  <w:num w:numId="17" w16cid:durableId="130097949">
    <w:abstractNumId w:val="21"/>
  </w:num>
  <w:num w:numId="18" w16cid:durableId="206918131">
    <w:abstractNumId w:val="14"/>
  </w:num>
  <w:num w:numId="19" w16cid:durableId="1515261496">
    <w:abstractNumId w:val="24"/>
  </w:num>
  <w:num w:numId="20" w16cid:durableId="1723168424">
    <w:abstractNumId w:val="18"/>
  </w:num>
  <w:num w:numId="21" w16cid:durableId="1323386607">
    <w:abstractNumId w:val="3"/>
  </w:num>
  <w:num w:numId="22" w16cid:durableId="605117145">
    <w:abstractNumId w:val="2"/>
  </w:num>
  <w:num w:numId="23" w16cid:durableId="997853439">
    <w:abstractNumId w:val="8"/>
  </w:num>
  <w:num w:numId="24" w16cid:durableId="855114754">
    <w:abstractNumId w:val="12"/>
  </w:num>
  <w:num w:numId="25" w16cid:durableId="1286891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5D"/>
    <w:rsid w:val="00053503"/>
    <w:rsid w:val="000549C7"/>
    <w:rsid w:val="00056DAD"/>
    <w:rsid w:val="00071A75"/>
    <w:rsid w:val="00071B56"/>
    <w:rsid w:val="00093DCB"/>
    <w:rsid w:val="000C1315"/>
    <w:rsid w:val="000E4BAE"/>
    <w:rsid w:val="000F4BE9"/>
    <w:rsid w:val="0010088A"/>
    <w:rsid w:val="00115331"/>
    <w:rsid w:val="00131D15"/>
    <w:rsid w:val="00136B22"/>
    <w:rsid w:val="00146EE4"/>
    <w:rsid w:val="00181EEB"/>
    <w:rsid w:val="00193E5C"/>
    <w:rsid w:val="001C3F34"/>
    <w:rsid w:val="001D6108"/>
    <w:rsid w:val="00220015"/>
    <w:rsid w:val="0024779A"/>
    <w:rsid w:val="0025460B"/>
    <w:rsid w:val="00283AED"/>
    <w:rsid w:val="002E154E"/>
    <w:rsid w:val="002F77E1"/>
    <w:rsid w:val="00314BE4"/>
    <w:rsid w:val="0031670C"/>
    <w:rsid w:val="00327FE8"/>
    <w:rsid w:val="003367A6"/>
    <w:rsid w:val="00362560"/>
    <w:rsid w:val="00370EEF"/>
    <w:rsid w:val="00372125"/>
    <w:rsid w:val="00390124"/>
    <w:rsid w:val="0039753E"/>
    <w:rsid w:val="003A4CA8"/>
    <w:rsid w:val="003B3BAB"/>
    <w:rsid w:val="003B60BB"/>
    <w:rsid w:val="003B74F8"/>
    <w:rsid w:val="003C56DA"/>
    <w:rsid w:val="003D4CAD"/>
    <w:rsid w:val="003E25BF"/>
    <w:rsid w:val="003F65B2"/>
    <w:rsid w:val="0040384D"/>
    <w:rsid w:val="00422CDE"/>
    <w:rsid w:val="00447D01"/>
    <w:rsid w:val="00447FE4"/>
    <w:rsid w:val="00471EC3"/>
    <w:rsid w:val="00482A3F"/>
    <w:rsid w:val="004B6178"/>
    <w:rsid w:val="004C7AD6"/>
    <w:rsid w:val="0050288B"/>
    <w:rsid w:val="00544A37"/>
    <w:rsid w:val="00564AB6"/>
    <w:rsid w:val="00566229"/>
    <w:rsid w:val="005843E7"/>
    <w:rsid w:val="005D1B19"/>
    <w:rsid w:val="005F53BC"/>
    <w:rsid w:val="005F7F6E"/>
    <w:rsid w:val="00604D85"/>
    <w:rsid w:val="0062179C"/>
    <w:rsid w:val="00625535"/>
    <w:rsid w:val="006277FA"/>
    <w:rsid w:val="00636419"/>
    <w:rsid w:val="006741D4"/>
    <w:rsid w:val="006853E4"/>
    <w:rsid w:val="0069072E"/>
    <w:rsid w:val="006A5E5F"/>
    <w:rsid w:val="006C18D7"/>
    <w:rsid w:val="006E1D7D"/>
    <w:rsid w:val="006F5C6D"/>
    <w:rsid w:val="0070698E"/>
    <w:rsid w:val="007203F9"/>
    <w:rsid w:val="0073541C"/>
    <w:rsid w:val="00794B86"/>
    <w:rsid w:val="007A11C4"/>
    <w:rsid w:val="007A2421"/>
    <w:rsid w:val="007D3A19"/>
    <w:rsid w:val="007F3A76"/>
    <w:rsid w:val="008C7175"/>
    <w:rsid w:val="008D1D8F"/>
    <w:rsid w:val="00942B9F"/>
    <w:rsid w:val="00960DB6"/>
    <w:rsid w:val="009723D8"/>
    <w:rsid w:val="009870A9"/>
    <w:rsid w:val="009F43A8"/>
    <w:rsid w:val="00A04CB8"/>
    <w:rsid w:val="00A10583"/>
    <w:rsid w:val="00A14D60"/>
    <w:rsid w:val="00A17147"/>
    <w:rsid w:val="00A60C43"/>
    <w:rsid w:val="00A67CAC"/>
    <w:rsid w:val="00AC1A59"/>
    <w:rsid w:val="00AC3AFA"/>
    <w:rsid w:val="00AD469A"/>
    <w:rsid w:val="00AF1FB6"/>
    <w:rsid w:val="00AF5566"/>
    <w:rsid w:val="00B429CF"/>
    <w:rsid w:val="00B47A1F"/>
    <w:rsid w:val="00B573E0"/>
    <w:rsid w:val="00BC7468"/>
    <w:rsid w:val="00BD7A4C"/>
    <w:rsid w:val="00C03A38"/>
    <w:rsid w:val="00C42EB8"/>
    <w:rsid w:val="00C82653"/>
    <w:rsid w:val="00CC1EF3"/>
    <w:rsid w:val="00CC463E"/>
    <w:rsid w:val="00CD34CF"/>
    <w:rsid w:val="00CD4E24"/>
    <w:rsid w:val="00CE5C7C"/>
    <w:rsid w:val="00D03673"/>
    <w:rsid w:val="00D043C6"/>
    <w:rsid w:val="00D17895"/>
    <w:rsid w:val="00D339A4"/>
    <w:rsid w:val="00D36E5D"/>
    <w:rsid w:val="00D6261F"/>
    <w:rsid w:val="00D670ED"/>
    <w:rsid w:val="00D67332"/>
    <w:rsid w:val="00DB04D7"/>
    <w:rsid w:val="00DB2CBD"/>
    <w:rsid w:val="00DD2FED"/>
    <w:rsid w:val="00E055F3"/>
    <w:rsid w:val="00E13E20"/>
    <w:rsid w:val="00E14C7B"/>
    <w:rsid w:val="00E444EC"/>
    <w:rsid w:val="00E76599"/>
    <w:rsid w:val="00E812E5"/>
    <w:rsid w:val="00E96478"/>
    <w:rsid w:val="00EE6DDA"/>
    <w:rsid w:val="00F21643"/>
    <w:rsid w:val="00F512BE"/>
    <w:rsid w:val="00FA5F65"/>
    <w:rsid w:val="00FB34BE"/>
    <w:rsid w:val="29CE3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D2007D"/>
  <w15:docId w15:val="{A90FED91-028A-A045-AF79-0F8AD18B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styleId="BodyText">
    <w:name w:val="Body Text"/>
    <w:basedOn w:val="Normal"/>
    <w:link w:val="BodyTextChar"/>
    <w:uiPriority w:val="1"/>
    <w:qFormat/>
    <w:rsid w:val="00D67332"/>
    <w:pPr>
      <w:widowControl w:val="0"/>
      <w:autoSpaceDE w:val="0"/>
      <w:autoSpaceDN w:val="0"/>
    </w:pPr>
    <w:rPr>
      <w:sz w:val="24"/>
      <w:szCs w:val="24"/>
      <w:lang w:eastAsia="en-GB" w:bidi="en-GB"/>
    </w:rPr>
  </w:style>
  <w:style w:type="character" w:customStyle="1" w:styleId="BodyTextChar">
    <w:name w:val="Body Text Char"/>
    <w:basedOn w:val="DefaultParagraphFont"/>
    <w:link w:val="BodyText"/>
    <w:uiPriority w:val="1"/>
    <w:rsid w:val="00D67332"/>
    <w:rPr>
      <w:sz w:val="24"/>
      <w:szCs w:val="24"/>
      <w:lang w:eastAsia="en-GB" w:bidi="en-GB"/>
    </w:rPr>
  </w:style>
  <w:style w:type="character" w:styleId="CommentReference">
    <w:name w:val="annotation reference"/>
    <w:basedOn w:val="DefaultParagraphFont"/>
    <w:uiPriority w:val="99"/>
    <w:semiHidden/>
    <w:unhideWhenUsed/>
    <w:rsid w:val="00E055F3"/>
    <w:rPr>
      <w:sz w:val="16"/>
      <w:szCs w:val="16"/>
    </w:rPr>
  </w:style>
  <w:style w:type="paragraph" w:styleId="CommentText">
    <w:name w:val="annotation text"/>
    <w:basedOn w:val="Normal"/>
    <w:link w:val="CommentTextChar"/>
    <w:uiPriority w:val="99"/>
    <w:unhideWhenUsed/>
    <w:rsid w:val="00E055F3"/>
    <w:rPr>
      <w:sz w:val="20"/>
      <w:szCs w:val="20"/>
    </w:rPr>
  </w:style>
  <w:style w:type="character" w:customStyle="1" w:styleId="CommentTextChar">
    <w:name w:val="Comment Text Char"/>
    <w:basedOn w:val="DefaultParagraphFont"/>
    <w:link w:val="CommentText"/>
    <w:uiPriority w:val="99"/>
    <w:rsid w:val="00E055F3"/>
    <w:rPr>
      <w:sz w:val="20"/>
      <w:szCs w:val="20"/>
    </w:rPr>
  </w:style>
  <w:style w:type="paragraph" w:styleId="CommentSubject">
    <w:name w:val="annotation subject"/>
    <w:basedOn w:val="CommentText"/>
    <w:next w:val="CommentText"/>
    <w:link w:val="CommentSubjectChar"/>
    <w:uiPriority w:val="99"/>
    <w:semiHidden/>
    <w:unhideWhenUsed/>
    <w:rsid w:val="00E055F3"/>
    <w:rPr>
      <w:b/>
      <w:bCs/>
    </w:rPr>
  </w:style>
  <w:style w:type="character" w:customStyle="1" w:styleId="CommentSubjectChar">
    <w:name w:val="Comment Subject Char"/>
    <w:basedOn w:val="CommentTextChar"/>
    <w:link w:val="CommentSubject"/>
    <w:uiPriority w:val="99"/>
    <w:semiHidden/>
    <w:rsid w:val="00E055F3"/>
    <w:rPr>
      <w:b/>
      <w:bCs/>
      <w:sz w:val="20"/>
      <w:szCs w:val="20"/>
    </w:rPr>
  </w:style>
  <w:style w:type="paragraph" w:styleId="NormalWeb">
    <w:name w:val="Normal (Web)"/>
    <w:basedOn w:val="Normal"/>
    <w:uiPriority w:val="99"/>
    <w:semiHidden/>
    <w:unhideWhenUsed/>
    <w:rsid w:val="005F7F6E"/>
    <w:pPr>
      <w:spacing w:before="100" w:beforeAutospacing="1" w:after="100" w:afterAutospacing="1"/>
    </w:pPr>
    <w:rPr>
      <w:rFonts w:ascii="Times New Roman" w:eastAsia="Times New Roman" w:hAnsi="Times New Roman" w:cs="Times New Roman"/>
      <w:sz w:val="24"/>
      <w:szCs w:val="24"/>
      <w:lang w:val="en-US"/>
    </w:rPr>
  </w:style>
  <w:style w:type="character" w:customStyle="1" w:styleId="Mention1">
    <w:name w:val="Mention1"/>
    <w:basedOn w:val="DefaultParagraphFont"/>
    <w:uiPriority w:val="99"/>
    <w:unhideWhenUsed/>
    <w:rsid w:val="0024779A"/>
    <w:rPr>
      <w:color w:val="2B579A"/>
      <w:shd w:val="clear" w:color="auto" w:fill="E1DFDD"/>
    </w:rPr>
  </w:style>
  <w:style w:type="character" w:styleId="Hyperlink">
    <w:name w:val="Hyperlink"/>
    <w:basedOn w:val="DefaultParagraphFont"/>
    <w:uiPriority w:val="99"/>
    <w:unhideWhenUsed/>
    <w:rsid w:val="003B3BAB"/>
    <w:rPr>
      <w:color w:val="0563C1" w:themeColor="hyperlink"/>
      <w:u w:val="single"/>
    </w:rPr>
  </w:style>
  <w:style w:type="character" w:customStyle="1" w:styleId="UnresolvedMention1">
    <w:name w:val="Unresolved Mention1"/>
    <w:basedOn w:val="DefaultParagraphFont"/>
    <w:uiPriority w:val="99"/>
    <w:semiHidden/>
    <w:unhideWhenUsed/>
    <w:rsid w:val="000F4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337987">
      <w:bodyDiv w:val="1"/>
      <w:marLeft w:val="0"/>
      <w:marRight w:val="0"/>
      <w:marTop w:val="0"/>
      <w:marBottom w:val="0"/>
      <w:divBdr>
        <w:top w:val="none" w:sz="0" w:space="0" w:color="auto"/>
        <w:left w:val="none" w:sz="0" w:space="0" w:color="auto"/>
        <w:bottom w:val="none" w:sz="0" w:space="0" w:color="auto"/>
        <w:right w:val="none" w:sz="0" w:space="0" w:color="auto"/>
      </w:divBdr>
      <w:divsChild>
        <w:div w:id="908611712">
          <w:marLeft w:val="0"/>
          <w:marRight w:val="0"/>
          <w:marTop w:val="0"/>
          <w:marBottom w:val="0"/>
          <w:divBdr>
            <w:top w:val="none" w:sz="0" w:space="0" w:color="auto"/>
            <w:left w:val="none" w:sz="0" w:space="0" w:color="auto"/>
            <w:bottom w:val="none" w:sz="0" w:space="0" w:color="auto"/>
            <w:right w:val="none" w:sz="0" w:space="0" w:color="auto"/>
          </w:divBdr>
          <w:divsChild>
            <w:div w:id="197547132">
              <w:marLeft w:val="0"/>
              <w:marRight w:val="0"/>
              <w:marTop w:val="0"/>
              <w:marBottom w:val="0"/>
              <w:divBdr>
                <w:top w:val="none" w:sz="0" w:space="0" w:color="auto"/>
                <w:left w:val="none" w:sz="0" w:space="0" w:color="auto"/>
                <w:bottom w:val="none" w:sz="0" w:space="0" w:color="auto"/>
                <w:right w:val="none" w:sz="0" w:space="0" w:color="auto"/>
              </w:divBdr>
              <w:divsChild>
                <w:div w:id="4385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3fAEhPktTvgrojrKBBJujj7Tw==">CgMxLjAyCGguZ2pkZ3hzOAByITFydEJ3d2xWUUtRNjYzVmFUMzFSekhrZUU2WlJ2c1RCRw==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F1C19-40E6-4242-BC28-0A5552219B3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99B59DC-3B41-407C-8A81-1FDF8F254950}">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4.xml><?xml version="1.0" encoding="utf-8"?>
<ds:datastoreItem xmlns:ds="http://schemas.openxmlformats.org/officeDocument/2006/customXml" ds:itemID="{884F399A-CF98-4A5E-8445-0DA73494108D}">
  <ds:schemaRefs>
    <ds:schemaRef ds:uri="http://schemas.openxmlformats.org/officeDocument/2006/bibliography"/>
  </ds:schemaRefs>
</ds:datastoreItem>
</file>

<file path=customXml/itemProps5.xml><?xml version="1.0" encoding="utf-8"?>
<ds:datastoreItem xmlns:ds="http://schemas.openxmlformats.org/officeDocument/2006/customXml" ds:itemID="{C8E99E27-D2BB-4AA4-BB89-19D14834E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1197</Words>
  <Characters>6829</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8010</CharactersWithSpaces>
  <SharedDoc>false</SharedDoc>
  <HLinks>
    <vt:vector size="12" baseType="variant">
      <vt:variant>
        <vt:i4>786510</vt:i4>
      </vt:variant>
      <vt:variant>
        <vt:i4>3</vt:i4>
      </vt:variant>
      <vt:variant>
        <vt:i4>0</vt:i4>
      </vt:variant>
      <vt:variant>
        <vt:i4>5</vt:i4>
      </vt:variant>
      <vt:variant>
        <vt:lpwstr>https://www.cms.int/en/document/annex-1-maldives-proposal-concerted-action-oceanic-whitetip-shark-carcharhinus-longimanus</vt:lpwstr>
      </vt:variant>
      <vt:variant>
        <vt:lpwstr/>
      </vt:variant>
      <vt:variant>
        <vt:i4>4784166</vt:i4>
      </vt:variant>
      <vt:variant>
        <vt:i4>0</vt:i4>
      </vt:variant>
      <vt:variant>
        <vt:i4>0</vt:i4>
      </vt:variant>
      <vt:variant>
        <vt:i4>5</vt:i4>
      </vt:variant>
      <vt:variant>
        <vt:lpwstr>mailto:mariana.hillcruz@un.org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Cancino</dc:creator>
  <cp:lastModifiedBy>Ximena Victoria Cancino Ordenes</cp:lastModifiedBy>
  <cp:revision>12</cp:revision>
  <dcterms:created xsi:type="dcterms:W3CDTF">2023-12-11T12:40:00Z</dcterms:created>
  <dcterms:modified xsi:type="dcterms:W3CDTF">2023-12-12T11:27:00Z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