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2354BF" w:rsidRPr="002354BF" w14:paraId="2EA6758C" w14:textId="77777777" w:rsidTr="00E26010">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0AB47321" w14:textId="77777777" w:rsidR="002354BF" w:rsidRPr="00EC2A58" w:rsidRDefault="002354BF" w:rsidP="008566BB">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2FFCBF42" wp14:editId="0E422397">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47B177B5" w14:textId="77777777" w:rsidR="002354BF" w:rsidRPr="00EC2A58" w:rsidRDefault="002354BF" w:rsidP="008566BB">
            <w:pPr>
              <w:widowControl w:val="0"/>
              <w:suppressAutoHyphens/>
              <w:autoSpaceDE w:val="0"/>
              <w:autoSpaceDN w:val="0"/>
              <w:spacing w:after="0" w:line="240" w:lineRule="auto"/>
              <w:textAlignment w:val="baseline"/>
              <w:rPr>
                <w:rFonts w:eastAsia="Times New Roman" w:cs="Arial"/>
                <w:lang w:val="fr-FR"/>
              </w:rPr>
            </w:pP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7E4A267E" w14:textId="77777777" w:rsidR="002354BF" w:rsidRPr="00EC2A58" w:rsidRDefault="002354BF" w:rsidP="008566BB">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7DB3B930" w14:textId="77777777" w:rsidR="002354BF" w:rsidRPr="00EC2A58" w:rsidRDefault="002354BF" w:rsidP="008566B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72D46BBB" w14:textId="77777777" w:rsidR="002354BF" w:rsidRPr="00EC2A58" w:rsidRDefault="002354BF" w:rsidP="008566B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5A35EA88" w14:textId="77777777" w:rsidR="002354BF" w:rsidRPr="00EC2A58" w:rsidRDefault="002354BF" w:rsidP="008566B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0FD405C7" w14:textId="6D245C3C" w:rsidR="002354BF" w:rsidRPr="00E26010" w:rsidRDefault="002354BF" w:rsidP="00C91246">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n-US"/>
              </w:rPr>
            </w:pPr>
            <w:r w:rsidRPr="00E26010">
              <w:rPr>
                <w:rFonts w:eastAsia="Arial" w:cs="Arial"/>
                <w:lang w:val="en-US"/>
              </w:rPr>
              <w:t>UNEP/CMS/COP14/Do</w:t>
            </w:r>
            <w:r w:rsidR="0060464C" w:rsidRPr="00E26010">
              <w:rPr>
                <w:rFonts w:eastAsia="Arial" w:cs="Arial"/>
                <w:lang w:val="en-US"/>
              </w:rPr>
              <w:t>c.27.7.2</w:t>
            </w:r>
            <w:r w:rsidR="00E26010" w:rsidRPr="00E26010">
              <w:rPr>
                <w:rFonts w:eastAsia="Arial" w:cs="Arial"/>
                <w:lang w:val="en-US"/>
              </w:rPr>
              <w:t>/Rev</w:t>
            </w:r>
            <w:r w:rsidR="00E26010">
              <w:rPr>
                <w:rFonts w:eastAsia="Arial" w:cs="Arial"/>
                <w:lang w:val="en-US"/>
              </w:rPr>
              <w:t>.1</w:t>
            </w:r>
          </w:p>
          <w:p w14:paraId="53EE580B" w14:textId="091EBE6D" w:rsidR="002354BF" w:rsidRPr="00C91246" w:rsidRDefault="00E26010" w:rsidP="00C91246">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Calibri" w:cs="Arial"/>
                <w:lang w:val="fr-FR"/>
              </w:rPr>
            </w:pPr>
            <w:r>
              <w:rPr>
                <w:rFonts w:eastAsia="Calibri" w:cs="Arial"/>
                <w:lang w:val="fr-FR"/>
              </w:rPr>
              <w:t>31 juillet</w:t>
            </w:r>
            <w:r w:rsidR="002354BF">
              <w:rPr>
                <w:rFonts w:eastAsia="Calibri" w:cs="Arial"/>
                <w:lang w:val="fr-FR"/>
              </w:rPr>
              <w:t xml:space="preserve"> 2023</w:t>
            </w:r>
          </w:p>
          <w:p w14:paraId="79B47309" w14:textId="77777777" w:rsidR="002354BF" w:rsidRPr="002354BF" w:rsidRDefault="002354BF" w:rsidP="00C91246">
            <w:pPr>
              <w:widowControl w:val="0"/>
              <w:suppressAutoHyphens/>
              <w:autoSpaceDE w:val="0"/>
              <w:autoSpaceDN w:val="0"/>
              <w:spacing w:before="120" w:after="0" w:line="240" w:lineRule="auto"/>
              <w:textAlignment w:val="baseline"/>
              <w:rPr>
                <w:rFonts w:ascii="Calibri" w:eastAsia="Calibri" w:hAnsi="Calibri" w:cs="Times New Roman"/>
                <w:lang w:val="fr-FR"/>
              </w:rPr>
            </w:pPr>
            <w:r w:rsidRPr="00EC2A58">
              <w:rPr>
                <w:rFonts w:eastAsia="Arial" w:cs="Arial"/>
                <w:lang w:val="fr-FR"/>
              </w:rPr>
              <w:t>Français</w:t>
            </w:r>
          </w:p>
          <w:p w14:paraId="1AAE26B2" w14:textId="77777777" w:rsidR="002354BF" w:rsidRPr="002354BF" w:rsidRDefault="002354BF" w:rsidP="00C91246">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p w14:paraId="260F290C" w14:textId="77777777" w:rsidR="002354BF" w:rsidRPr="00EC2A58" w:rsidRDefault="002354BF" w:rsidP="008566BB">
            <w:pPr>
              <w:widowControl w:val="0"/>
              <w:suppressAutoHyphens/>
              <w:autoSpaceDE w:val="0"/>
              <w:autoSpaceDN w:val="0"/>
              <w:spacing w:after="0" w:line="240" w:lineRule="auto"/>
              <w:textAlignment w:val="baseline"/>
              <w:rPr>
                <w:rFonts w:eastAsia="Times New Roman" w:cs="Arial"/>
                <w:sz w:val="12"/>
                <w:szCs w:val="12"/>
                <w:lang w:val="fr-FR"/>
              </w:rPr>
            </w:pPr>
          </w:p>
        </w:tc>
      </w:tr>
    </w:tbl>
    <w:p w14:paraId="47EBF484" w14:textId="77777777" w:rsidR="002354BF" w:rsidRPr="00EC2A58" w:rsidRDefault="002354BF" w:rsidP="002354BF">
      <w:pPr>
        <w:widowControl w:val="0"/>
        <w:tabs>
          <w:tab w:val="left" w:pos="-1057"/>
          <w:tab w:val="left" w:pos="-720"/>
        </w:tabs>
        <w:suppressAutoHyphens/>
        <w:autoSpaceDE w:val="0"/>
        <w:autoSpaceDN w:val="0"/>
        <w:spacing w:before="120"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421040FF" w14:textId="0C997179" w:rsidR="002354BF" w:rsidRPr="00EC2A58" w:rsidRDefault="002354BF" w:rsidP="002354B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2C5770">
        <w:rPr>
          <w:rFonts w:eastAsia="Arial" w:cs="Arial"/>
          <w:bCs/>
          <w:lang w:val="fr-FR"/>
        </w:rPr>
        <w:t>12</w:t>
      </w:r>
      <w:r>
        <w:rPr>
          <w:rFonts w:eastAsia="Arial" w:cs="Arial"/>
          <w:bCs/>
          <w:lang w:val="fr-FR"/>
        </w:rPr>
        <w:t xml:space="preserve"> – </w:t>
      </w:r>
      <w:r w:rsidR="002C5770">
        <w:rPr>
          <w:rFonts w:eastAsia="Arial" w:cs="Arial"/>
          <w:bCs/>
          <w:lang w:val="fr-FR"/>
        </w:rPr>
        <w:t>17 février 2024</w:t>
      </w:r>
    </w:p>
    <w:p w14:paraId="049A56B3" w14:textId="790AD304" w:rsidR="002354BF" w:rsidRPr="00EC2A58" w:rsidRDefault="002354BF" w:rsidP="002354BF">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Point</w:t>
      </w:r>
      <w:r>
        <w:rPr>
          <w:rFonts w:eastAsia="Arial" w:cs="Arial"/>
          <w:iCs/>
          <w:lang w:val="fr-FR"/>
        </w:rPr>
        <w:t xml:space="preserve"> 27.7 </w:t>
      </w:r>
      <w:r w:rsidRPr="00EC2A58">
        <w:rPr>
          <w:rFonts w:eastAsia="Arial" w:cs="Arial"/>
          <w:iCs/>
          <w:lang w:val="fr-FR"/>
        </w:rPr>
        <w:t>de l’ordre du jour</w:t>
      </w:r>
    </w:p>
    <w:p w14:paraId="7408EC0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1554ADA7"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6C96AE1E" w14:textId="48CED93E" w:rsidR="002E0DE9" w:rsidRDefault="00A128BC" w:rsidP="00F81B4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Pr>
          <w:rFonts w:eastAsia="Times New Roman" w:cs="Arial"/>
          <w:b/>
          <w:bCs/>
          <w:lang w:val="fr-FR"/>
        </w:rPr>
        <w:t>POISSONS D'EAU DOUCE, Y COMPRIS L'ANGUILLE D'EUROPE</w:t>
      </w:r>
    </w:p>
    <w:p w14:paraId="57504EB6" w14:textId="2A39D011" w:rsidR="002E0DE9" w:rsidRPr="00F81B4A"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lang w:val="fr-FR"/>
        </w:rPr>
      </w:pPr>
      <w:r>
        <w:rPr>
          <w:rFonts w:eastAsia="Times New Roman" w:cs="Arial"/>
          <w:i/>
          <w:lang w:val="fr-FR"/>
        </w:rPr>
        <w:t>(Préparé par le Secrétariat et le Conseil scientifique)</w:t>
      </w:r>
    </w:p>
    <w:p w14:paraId="7A54E364" w14:textId="77777777" w:rsidR="002E0DE9" w:rsidRPr="002E0DE9"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25A47AE0" w14:textId="687B3DA1"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lang w:val="fr-FR"/>
        </w:rPr>
      </w:pPr>
    </w:p>
    <w:p w14:paraId="320AAD7B" w14:textId="7E510BD4"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EAE13CF" w14:textId="5AF836F5" w:rsidR="002E0DE9" w:rsidRPr="002E0DE9" w:rsidRDefault="00C91246" w:rsidP="00EC4F04">
      <w:pPr>
        <w:widowControl w:val="0"/>
        <w:suppressAutoHyphens/>
        <w:autoSpaceDE w:val="0"/>
        <w:autoSpaceDN w:val="0"/>
        <w:spacing w:after="0" w:line="240" w:lineRule="auto"/>
        <w:textAlignment w:val="baseline"/>
        <w:rPr>
          <w:rFonts w:eastAsia="Times New Roman" w:cs="Arial"/>
          <w:sz w:val="21"/>
          <w:szCs w:val="21"/>
          <w:lang w:val="fr-FR"/>
        </w:rPr>
      </w:pPr>
      <w:r>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13CF45B1" wp14:editId="05BFFB0D">
                <wp:simplePos x="0" y="0"/>
                <wp:positionH relativeFrom="column">
                  <wp:posOffset>819150</wp:posOffset>
                </wp:positionH>
                <wp:positionV relativeFrom="paragraph">
                  <wp:posOffset>59055</wp:posOffset>
                </wp:positionV>
                <wp:extent cx="4686300" cy="19145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686300" cy="1914525"/>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lang w:val="fr-FR"/>
                              </w:rPr>
                            </w:pPr>
                            <w:r>
                              <w:rPr>
                                <w:rFonts w:cs="Arial"/>
                                <w:lang w:val="fr-FR"/>
                              </w:rPr>
                              <w:t>Résumé :</w:t>
                            </w:r>
                          </w:p>
                          <w:p w14:paraId="3D9DADAB" w14:textId="77777777" w:rsidR="002E0DE9" w:rsidRDefault="002E0DE9" w:rsidP="002E0DE9">
                            <w:pPr>
                              <w:spacing w:after="0"/>
                              <w:rPr>
                                <w:rFonts w:cs="Arial"/>
                                <w:lang w:val="fr-FR"/>
                              </w:rPr>
                            </w:pPr>
                          </w:p>
                          <w:p w14:paraId="76178007" w14:textId="32F62240" w:rsidR="00080BEA" w:rsidRDefault="00080BEA" w:rsidP="00C91246">
                            <w:pPr>
                              <w:spacing w:after="0" w:line="240" w:lineRule="auto"/>
                              <w:jc w:val="both"/>
                              <w:rPr>
                                <w:lang w:val="fr-FR"/>
                              </w:rPr>
                            </w:pPr>
                            <w:r>
                              <w:rPr>
                                <w:lang w:val="fr-FR"/>
                              </w:rPr>
                              <w:t>Le présent document fait état des avancées dans la mise en œuvre des Décisions 13.76 à 13.79 (</w:t>
                            </w:r>
                            <w:r>
                              <w:rPr>
                                <w:i/>
                                <w:iCs/>
                                <w:lang w:val="fr-FR"/>
                              </w:rPr>
                              <w:t>Anguille d'Europe</w:t>
                            </w:r>
                            <w:r>
                              <w:rPr>
                                <w:lang w:val="fr-FR"/>
                              </w:rPr>
                              <w:t>) et dans l'exécution de mandats antérieurement établis concernant, plus généralement, les poissons d'eau douce</w:t>
                            </w:r>
                            <w:r>
                              <w:rPr>
                                <w:i/>
                                <w:iCs/>
                                <w:lang w:val="fr-FR"/>
                              </w:rPr>
                              <w:t xml:space="preserve">.   </w:t>
                            </w:r>
                            <w:r>
                              <w:rPr>
                                <w:lang w:val="fr-FR"/>
                              </w:rPr>
                              <w:t xml:space="preserve">Il contient par ailleurs des projets de Décision pour adoption. </w:t>
                            </w:r>
                          </w:p>
                          <w:p w14:paraId="5F361646" w14:textId="77777777" w:rsidR="00E26010" w:rsidRDefault="00E26010" w:rsidP="00C91246">
                            <w:pPr>
                              <w:spacing w:after="0" w:line="240" w:lineRule="auto"/>
                              <w:jc w:val="both"/>
                              <w:rPr>
                                <w:rFonts w:cs="Arial"/>
                                <w:lang w:val="fr-FR"/>
                              </w:rPr>
                            </w:pPr>
                          </w:p>
                          <w:p w14:paraId="0A7AC1E9" w14:textId="05813248" w:rsidR="009C1079" w:rsidRPr="00E26010" w:rsidRDefault="00E26010" w:rsidP="00C91246">
                            <w:pPr>
                              <w:spacing w:after="0" w:line="240" w:lineRule="auto"/>
                              <w:jc w:val="both"/>
                              <w:rPr>
                                <w:rFonts w:cs="Arial"/>
                                <w:lang w:val="fr-FR"/>
                              </w:rPr>
                            </w:pPr>
                            <w:r w:rsidRPr="00E26010">
                              <w:rPr>
                                <w:lang w:val="fr-FR"/>
                              </w:rPr>
                              <w:t xml:space="preserve">Ce document a été révisé par le Comité de session du Conseil scientifique lors de </w:t>
                            </w:r>
                            <w:r>
                              <w:rPr>
                                <w:lang w:val="fr-FR"/>
                              </w:rPr>
                              <w:t>s</w:t>
                            </w:r>
                            <w:r w:rsidRPr="00E26010">
                              <w:rPr>
                                <w:lang w:val="fr-FR"/>
                              </w:rPr>
                              <w:t>a 6e réunion en juillet 2023</w:t>
                            </w:r>
                            <w:r>
                              <w:rPr>
                                <w:lang w:val="fr-FR"/>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64.5pt;margin-top:4.65pt;width:369pt;height:15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" strokeweight=".08811mm">
                <v:textbox>
                  <w:txbxContent>
                    <w:p w14:paraId="69DC25A9" w14:textId="77777777" w:rsidR="002E0DE9" w:rsidRDefault="002E0DE9" w:rsidP="002E0DE9">
                      <w:pPr>
                        <w:spacing w:after="0"/>
                        <w:rPr>
                          <w:rFonts w:cs="Arial"/>
                          <w:lang w:val="fr-FR"/>
                        </w:rPr>
                      </w:pPr>
                      <w:r>
                        <w:rPr>
                          <w:rFonts w:cs="Arial"/>
                          <w:lang w:val="fr-FR"/>
                        </w:rPr>
                        <w:t>Résumé :</w:t>
                      </w:r>
                    </w:p>
                    <w:p w14:paraId="3D9DADAB" w14:textId="77777777" w:rsidR="002E0DE9" w:rsidRDefault="002E0DE9" w:rsidP="002E0DE9">
                      <w:pPr>
                        <w:spacing w:after="0"/>
                        <w:rPr>
                          <w:rFonts w:cs="Arial"/>
                          <w:lang w:val="fr-FR"/>
                        </w:rPr>
                      </w:pPr>
                    </w:p>
                    <w:p w14:paraId="76178007" w14:textId="32F62240" w:rsidR="00080BEA" w:rsidRDefault="00080BEA" w:rsidP="00C91246">
                      <w:pPr>
                        <w:spacing w:after="0" w:line="240" w:lineRule="auto"/>
                        <w:jc w:val="both"/>
                        <w:rPr>
                          <w:lang w:val="fr-FR"/>
                        </w:rPr>
                      </w:pPr>
                      <w:r>
                        <w:rPr>
                          <w:lang w:val="fr-FR"/>
                        </w:rPr>
                        <w:t>Le présent document fait état des avancées dans la mise en œuvre des Décisions 13.76 à 13.79 (</w:t>
                      </w:r>
                      <w:r>
                        <w:rPr>
                          <w:i/>
                          <w:iCs/>
                          <w:lang w:val="fr-FR"/>
                        </w:rPr>
                        <w:t>Anguille d'Europe</w:t>
                      </w:r>
                      <w:r>
                        <w:rPr>
                          <w:lang w:val="fr-FR"/>
                        </w:rPr>
                        <w:t>) et dans l'exécution de mandats antérieurement établis concernant, plus généralement, les poissons d'eau douce</w:t>
                      </w:r>
                      <w:r>
                        <w:rPr>
                          <w:i/>
                          <w:iCs/>
                          <w:lang w:val="fr-FR"/>
                        </w:rPr>
                        <w:t xml:space="preserve">.   </w:t>
                      </w:r>
                      <w:r>
                        <w:rPr>
                          <w:lang w:val="fr-FR"/>
                        </w:rPr>
                        <w:t xml:space="preserve">Il contient par ailleurs des projets de Décision pour adoption. </w:t>
                      </w:r>
                    </w:p>
                    <w:p w14:paraId="5F361646" w14:textId="77777777" w:rsidR="00E26010" w:rsidRDefault="00E26010" w:rsidP="00C91246">
                      <w:pPr>
                        <w:spacing w:after="0" w:line="240" w:lineRule="auto"/>
                        <w:jc w:val="both"/>
                        <w:rPr>
                          <w:rFonts w:cs="Arial"/>
                          <w:lang w:val="fr-FR"/>
                        </w:rPr>
                      </w:pPr>
                    </w:p>
                    <w:p w14:paraId="0A7AC1E9" w14:textId="05813248" w:rsidR="009C1079" w:rsidRPr="00E26010" w:rsidRDefault="00E26010" w:rsidP="00C91246">
                      <w:pPr>
                        <w:spacing w:after="0" w:line="240" w:lineRule="auto"/>
                        <w:jc w:val="both"/>
                        <w:rPr>
                          <w:rFonts w:cs="Arial"/>
                          <w:lang w:val="fr-FR"/>
                        </w:rPr>
                      </w:pPr>
                      <w:r w:rsidRPr="00E26010">
                        <w:rPr>
                          <w:lang w:val="fr-FR"/>
                        </w:rPr>
                        <w:t xml:space="preserve">Ce document a été révisé par le Comité de session du Conseil scientifique lors de </w:t>
                      </w:r>
                      <w:r>
                        <w:rPr>
                          <w:lang w:val="fr-FR"/>
                        </w:rPr>
                        <w:t>s</w:t>
                      </w:r>
                      <w:r w:rsidRPr="00E26010">
                        <w:rPr>
                          <w:lang w:val="fr-FR"/>
                        </w:rPr>
                        <w:t>a 6e réunion en juillet 2023</w:t>
                      </w:r>
                      <w:r>
                        <w:rPr>
                          <w:lang w:val="fr-FR"/>
                        </w:rPr>
                        <w:t>.</w:t>
                      </w:r>
                    </w:p>
                  </w:txbxContent>
                </v:textbox>
              </v:shape>
            </w:pict>
          </mc:Fallback>
        </mc:AlternateContent>
      </w: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6EB42C66" w14:textId="77777777" w:rsidR="005330F7" w:rsidRDefault="005330F7" w:rsidP="00EC4F04">
      <w:pPr>
        <w:spacing w:after="0" w:line="240" w:lineRule="auto"/>
        <w:rPr>
          <w:lang w:val="fr-FR"/>
        </w:rPr>
      </w:pPr>
    </w:p>
    <w:p w14:paraId="111843FD" w14:textId="77777777" w:rsidR="002E0DE9" w:rsidRDefault="002E0DE9" w:rsidP="00EC4F04">
      <w:pPr>
        <w:spacing w:after="0" w:line="240" w:lineRule="auto"/>
        <w:rPr>
          <w:lang w:val="fr-FR"/>
        </w:rPr>
      </w:pPr>
    </w:p>
    <w:p w14:paraId="6AF4E8FF" w14:textId="77777777" w:rsidR="002E0DE9" w:rsidRDefault="002E0DE9" w:rsidP="00EC4F04">
      <w:pPr>
        <w:spacing w:after="0" w:line="240" w:lineRule="auto"/>
        <w:rPr>
          <w:lang w:val="fr-FR"/>
        </w:rPr>
      </w:pPr>
    </w:p>
    <w:p w14:paraId="509B5F4B" w14:textId="77777777" w:rsidR="002E0DE9" w:rsidRDefault="002E0DE9" w:rsidP="00EC4F04">
      <w:pPr>
        <w:spacing w:after="0" w:line="240" w:lineRule="auto"/>
        <w:rPr>
          <w:lang w:val="fr-FR"/>
        </w:rPr>
      </w:pPr>
    </w:p>
    <w:p w14:paraId="73A3A65F" w14:textId="77777777" w:rsidR="00661875" w:rsidRDefault="00661875" w:rsidP="00EC4F04">
      <w:pPr>
        <w:spacing w:after="0" w:line="240" w:lineRule="auto"/>
        <w:rPr>
          <w:lang w:val="fr-FR"/>
        </w:rPr>
        <w:sectPr w:rsidR="00661875" w:rsidSect="00743E7C">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720" w:gutter="0"/>
          <w:cols w:space="720"/>
          <w:titlePg/>
          <w:docGrid w:linePitch="360"/>
        </w:sectPr>
      </w:pPr>
    </w:p>
    <w:p w14:paraId="73909C5D" w14:textId="4FEADE38" w:rsidR="002E0DE9" w:rsidRPr="002E0DE9" w:rsidRDefault="001D526B" w:rsidP="004B7071">
      <w:pPr>
        <w:pStyle w:val="Title1"/>
        <w:rPr>
          <w:lang w:val="fr-FR"/>
        </w:rPr>
      </w:pPr>
      <w:r>
        <w:rPr>
          <w:lang w:val="fr-FR"/>
        </w:rPr>
        <w:lastRenderedPageBreak/>
        <w:t>Poissons d'eau douce, y compris l'Anguille d'Europe</w:t>
      </w:r>
    </w:p>
    <w:p w14:paraId="0DCB8F07" w14:textId="77777777" w:rsidR="002E0DE9" w:rsidRDefault="002E0DE9" w:rsidP="00EC4F04">
      <w:pPr>
        <w:suppressAutoHyphens/>
        <w:autoSpaceDN w:val="0"/>
        <w:spacing w:after="0" w:line="240" w:lineRule="auto"/>
        <w:textAlignment w:val="baseline"/>
        <w:rPr>
          <w:rFonts w:eastAsia="Calibri" w:cs="Arial"/>
          <w:lang w:val="fr-FR"/>
        </w:rPr>
      </w:pPr>
    </w:p>
    <w:p w14:paraId="4A0F002D" w14:textId="77777777" w:rsidR="00661875" w:rsidRPr="002E0DE9" w:rsidRDefault="00661875" w:rsidP="00EC4F04">
      <w:pPr>
        <w:suppressAutoHyphens/>
        <w:autoSpaceDN w:val="0"/>
        <w:spacing w:after="0" w:line="240" w:lineRule="auto"/>
        <w:textAlignment w:val="baseline"/>
        <w:rPr>
          <w:rFonts w:eastAsia="Calibri" w:cs="Arial"/>
          <w:lang w:val="fr-FR"/>
        </w:rPr>
      </w:pPr>
    </w:p>
    <w:p w14:paraId="3C86903F" w14:textId="77777777" w:rsidR="002E0DE9" w:rsidRPr="002E0DE9" w:rsidRDefault="002E0DE9" w:rsidP="00EC4F04">
      <w:pPr>
        <w:suppressAutoHyphens/>
        <w:autoSpaceDN w:val="0"/>
        <w:spacing w:after="0" w:line="240" w:lineRule="auto"/>
        <w:textAlignment w:val="baseline"/>
        <w:rPr>
          <w:rFonts w:eastAsia="Calibri" w:cs="Arial"/>
          <w:u w:val="single"/>
          <w:lang w:val="fr-FR"/>
        </w:rPr>
      </w:pPr>
      <w:r>
        <w:rPr>
          <w:rFonts w:eastAsia="Calibri" w:cs="Arial"/>
          <w:u w:val="single"/>
          <w:lang w:val="fr-FR"/>
        </w:rPr>
        <w:t>Contexte</w:t>
      </w:r>
    </w:p>
    <w:p w14:paraId="0091892C" w14:textId="77777777" w:rsidR="000F026A" w:rsidRDefault="000F026A" w:rsidP="001D526B">
      <w:pPr>
        <w:widowControl w:val="0"/>
        <w:autoSpaceDE w:val="0"/>
        <w:autoSpaceDN w:val="0"/>
        <w:adjustRightInd w:val="0"/>
        <w:spacing w:after="0" w:line="240" w:lineRule="auto"/>
        <w:contextualSpacing/>
        <w:jc w:val="both"/>
        <w:rPr>
          <w:rFonts w:cs="Arial"/>
          <w:u w:val="single"/>
          <w:lang w:val="fr-FR"/>
        </w:rPr>
      </w:pPr>
    </w:p>
    <w:p w14:paraId="48192314" w14:textId="77777777" w:rsidR="00D14760" w:rsidRDefault="00D14760" w:rsidP="00D14760">
      <w:pPr>
        <w:widowControl w:val="0"/>
        <w:autoSpaceDE w:val="0"/>
        <w:autoSpaceDN w:val="0"/>
        <w:adjustRightInd w:val="0"/>
        <w:spacing w:after="0" w:line="240" w:lineRule="auto"/>
        <w:contextualSpacing/>
        <w:jc w:val="both"/>
        <w:rPr>
          <w:rFonts w:cs="Arial"/>
          <w:lang w:val="fr-FR"/>
        </w:rPr>
      </w:pPr>
    </w:p>
    <w:p w14:paraId="0976EECE" w14:textId="7085C41A" w:rsidR="00B80E16" w:rsidRPr="00C91246" w:rsidRDefault="00934817" w:rsidP="00C91246">
      <w:pPr>
        <w:pStyle w:val="ListParagraph"/>
        <w:widowControl w:val="0"/>
        <w:numPr>
          <w:ilvl w:val="0"/>
          <w:numId w:val="6"/>
        </w:numPr>
        <w:autoSpaceDE w:val="0"/>
        <w:autoSpaceDN w:val="0"/>
        <w:adjustRightInd w:val="0"/>
        <w:spacing w:after="0" w:line="240" w:lineRule="auto"/>
        <w:ind w:left="567" w:hanging="567"/>
        <w:contextualSpacing w:val="0"/>
        <w:jc w:val="both"/>
        <w:rPr>
          <w:rFonts w:cs="Arial"/>
          <w:lang w:val="fr-FR"/>
        </w:rPr>
      </w:pPr>
      <w:r>
        <w:rPr>
          <w:rFonts w:cs="Arial"/>
          <w:lang w:val="fr-FR"/>
        </w:rPr>
        <w:t>Lors de sa 13</w:t>
      </w:r>
      <w:r>
        <w:rPr>
          <w:rFonts w:cs="Arial"/>
          <w:vertAlign w:val="superscript"/>
          <w:lang w:val="fr-FR"/>
        </w:rPr>
        <w:t>e</w:t>
      </w:r>
      <w:r>
        <w:rPr>
          <w:rFonts w:cs="Arial"/>
          <w:lang w:val="fr-FR"/>
        </w:rPr>
        <w:t xml:space="preserve"> session, la Conférence des Parties (COP13) a adopté les Décisions 13.76 à 13.79 (</w:t>
      </w:r>
      <w:r>
        <w:rPr>
          <w:rFonts w:cs="Arial"/>
          <w:i/>
          <w:iCs/>
          <w:lang w:val="fr-FR"/>
        </w:rPr>
        <w:t>Anguille d'Europe</w:t>
      </w:r>
      <w:r>
        <w:rPr>
          <w:rFonts w:cs="Arial"/>
          <w:lang w:val="fr-FR"/>
        </w:rPr>
        <w:t>), comme suit :</w:t>
      </w:r>
    </w:p>
    <w:p w14:paraId="1FB8581C" w14:textId="77777777" w:rsidR="00934817" w:rsidRDefault="00934817" w:rsidP="002B11B4">
      <w:pPr>
        <w:widowControl w:val="0"/>
        <w:autoSpaceDE w:val="0"/>
        <w:autoSpaceDN w:val="0"/>
        <w:adjustRightInd w:val="0"/>
        <w:spacing w:after="0" w:line="240" w:lineRule="auto"/>
        <w:jc w:val="both"/>
        <w:rPr>
          <w:rFonts w:cs="Arial"/>
          <w:lang w:val="fr-FR"/>
        </w:rPr>
      </w:pPr>
    </w:p>
    <w:p w14:paraId="0D40136E" w14:textId="6D8D198E" w:rsidR="00C91246" w:rsidRPr="00C91246" w:rsidRDefault="00C91246" w:rsidP="00C91246">
      <w:pPr>
        <w:widowControl w:val="0"/>
        <w:autoSpaceDE w:val="0"/>
        <w:autoSpaceDN w:val="0"/>
        <w:adjustRightInd w:val="0"/>
        <w:spacing w:after="0" w:line="240" w:lineRule="auto"/>
        <w:ind w:left="851"/>
        <w:jc w:val="both"/>
        <w:rPr>
          <w:rFonts w:cs="Arial"/>
          <w:b/>
          <w:bCs/>
          <w:i/>
          <w:iCs/>
          <w:sz w:val="20"/>
          <w:szCs w:val="20"/>
          <w:lang w:val="fr-FR"/>
        </w:rPr>
      </w:pPr>
      <w:r w:rsidRPr="00C91246">
        <w:rPr>
          <w:rFonts w:cs="Arial"/>
          <w:b/>
          <w:bCs/>
          <w:i/>
          <w:iCs/>
          <w:sz w:val="20"/>
          <w:szCs w:val="20"/>
          <w:lang w:val="fr-FR"/>
        </w:rPr>
        <w:t>13.76 Décision adressée aux Parties</w:t>
      </w:r>
    </w:p>
    <w:p w14:paraId="6E360CC5" w14:textId="77777777" w:rsidR="00C91246" w:rsidRPr="00C91246" w:rsidRDefault="00C91246" w:rsidP="00C91246">
      <w:pPr>
        <w:widowControl w:val="0"/>
        <w:autoSpaceDE w:val="0"/>
        <w:autoSpaceDN w:val="0"/>
        <w:adjustRightInd w:val="0"/>
        <w:spacing w:after="0" w:line="240" w:lineRule="auto"/>
        <w:ind w:left="851"/>
        <w:jc w:val="both"/>
        <w:rPr>
          <w:rFonts w:cs="Arial"/>
          <w:i/>
          <w:iCs/>
          <w:sz w:val="20"/>
          <w:szCs w:val="20"/>
          <w:lang w:val="fr-FR"/>
        </w:rPr>
      </w:pPr>
    </w:p>
    <w:p w14:paraId="79EB7173" w14:textId="6FAE9C1D" w:rsidR="00C91246" w:rsidRPr="00C91246" w:rsidRDefault="00C91246" w:rsidP="00C91246">
      <w:pPr>
        <w:widowControl w:val="0"/>
        <w:autoSpaceDE w:val="0"/>
        <w:autoSpaceDN w:val="0"/>
        <w:adjustRightInd w:val="0"/>
        <w:spacing w:after="0" w:line="240" w:lineRule="auto"/>
        <w:ind w:left="851"/>
        <w:jc w:val="both"/>
        <w:rPr>
          <w:rFonts w:cs="Arial"/>
          <w:i/>
          <w:iCs/>
          <w:sz w:val="20"/>
          <w:szCs w:val="20"/>
          <w:lang w:val="fr-FR"/>
        </w:rPr>
      </w:pPr>
      <w:r w:rsidRPr="00C91246">
        <w:rPr>
          <w:rFonts w:cs="Arial"/>
          <w:i/>
          <w:iCs/>
          <w:sz w:val="20"/>
          <w:szCs w:val="20"/>
          <w:lang w:val="fr-FR"/>
        </w:rPr>
        <w:t>Les Parties qui sont des États de l’aire de répartition de l’anguille d’Europe sont instamment priées de :a) donner des orientations au Secrétariat sur la structure et la portée du projet de Plan d’action pour l’anguille d’Europe (Anguilla anguilla) d’ici le 31 mai 2020, afin qu’une ébauche puisse être préparée, diffusée et finalisée à temps pour soumission au Comi-té permanent à sa 52e ou 53e réunion ;b) fournir des fonds pour l’élaboration du Plan, ainsi que pour la convocation d’une réu-nion des États de l’aire de répartition pour le finaliser.</w:t>
      </w:r>
    </w:p>
    <w:p w14:paraId="586C3725" w14:textId="77777777" w:rsidR="00C91246" w:rsidRPr="00C91246" w:rsidRDefault="00C91246" w:rsidP="00C91246">
      <w:pPr>
        <w:widowControl w:val="0"/>
        <w:autoSpaceDE w:val="0"/>
        <w:autoSpaceDN w:val="0"/>
        <w:adjustRightInd w:val="0"/>
        <w:spacing w:after="0" w:line="240" w:lineRule="auto"/>
        <w:ind w:left="851"/>
        <w:jc w:val="both"/>
        <w:rPr>
          <w:rFonts w:cs="Arial"/>
          <w:i/>
          <w:iCs/>
          <w:sz w:val="20"/>
          <w:szCs w:val="20"/>
          <w:lang w:val="fr-FR"/>
        </w:rPr>
      </w:pPr>
    </w:p>
    <w:p w14:paraId="098C96D8" w14:textId="6D833D7F" w:rsidR="00C91246" w:rsidRPr="00C91246" w:rsidRDefault="00C91246" w:rsidP="00C91246">
      <w:pPr>
        <w:widowControl w:val="0"/>
        <w:autoSpaceDE w:val="0"/>
        <w:autoSpaceDN w:val="0"/>
        <w:adjustRightInd w:val="0"/>
        <w:spacing w:after="0" w:line="240" w:lineRule="auto"/>
        <w:ind w:left="851"/>
        <w:jc w:val="both"/>
        <w:rPr>
          <w:rFonts w:cs="Arial"/>
          <w:b/>
          <w:bCs/>
          <w:i/>
          <w:iCs/>
          <w:sz w:val="20"/>
          <w:szCs w:val="20"/>
          <w:lang w:val="fr-FR"/>
        </w:rPr>
      </w:pPr>
      <w:r w:rsidRPr="00C91246">
        <w:rPr>
          <w:rFonts w:cs="Arial"/>
          <w:b/>
          <w:bCs/>
          <w:i/>
          <w:iCs/>
          <w:sz w:val="20"/>
          <w:szCs w:val="20"/>
          <w:lang w:val="fr-FR"/>
        </w:rPr>
        <w:t>13.77 Décision adressée auComité permanent</w:t>
      </w:r>
    </w:p>
    <w:p w14:paraId="71839A22" w14:textId="77777777" w:rsidR="00C91246" w:rsidRPr="00C91246" w:rsidRDefault="00C91246" w:rsidP="00C91246">
      <w:pPr>
        <w:widowControl w:val="0"/>
        <w:autoSpaceDE w:val="0"/>
        <w:autoSpaceDN w:val="0"/>
        <w:adjustRightInd w:val="0"/>
        <w:spacing w:after="0" w:line="240" w:lineRule="auto"/>
        <w:ind w:left="851"/>
        <w:jc w:val="both"/>
        <w:rPr>
          <w:rFonts w:cs="Arial"/>
          <w:i/>
          <w:iCs/>
          <w:sz w:val="20"/>
          <w:szCs w:val="20"/>
          <w:lang w:val="fr-FR"/>
        </w:rPr>
      </w:pPr>
    </w:p>
    <w:p w14:paraId="60BCF6FF" w14:textId="77777777" w:rsidR="00C91246" w:rsidRPr="00C91246" w:rsidRDefault="00C91246" w:rsidP="00C91246">
      <w:pPr>
        <w:widowControl w:val="0"/>
        <w:autoSpaceDE w:val="0"/>
        <w:autoSpaceDN w:val="0"/>
        <w:adjustRightInd w:val="0"/>
        <w:spacing w:after="0" w:line="240" w:lineRule="auto"/>
        <w:ind w:left="851"/>
        <w:jc w:val="both"/>
        <w:rPr>
          <w:rFonts w:cs="Arial"/>
          <w:i/>
          <w:iCs/>
          <w:sz w:val="20"/>
          <w:szCs w:val="20"/>
          <w:lang w:val="fr-FR"/>
        </w:rPr>
      </w:pPr>
      <w:r w:rsidRPr="00C91246">
        <w:rPr>
          <w:rFonts w:cs="Arial"/>
          <w:i/>
          <w:iCs/>
          <w:sz w:val="20"/>
          <w:szCs w:val="20"/>
          <w:lang w:val="fr-FR"/>
        </w:rPr>
        <w:t>Le Comité permanent est prié d’adopter le Plan d’action si celui-ci est soumis à sa 52e ou 53e réunion.</w:t>
      </w:r>
    </w:p>
    <w:p w14:paraId="4C5C7D29" w14:textId="77777777" w:rsidR="00C91246" w:rsidRPr="00C91246" w:rsidRDefault="00C91246" w:rsidP="00C91246">
      <w:pPr>
        <w:widowControl w:val="0"/>
        <w:autoSpaceDE w:val="0"/>
        <w:autoSpaceDN w:val="0"/>
        <w:adjustRightInd w:val="0"/>
        <w:spacing w:after="0" w:line="240" w:lineRule="auto"/>
        <w:ind w:left="851"/>
        <w:jc w:val="both"/>
        <w:rPr>
          <w:rFonts w:cs="Arial"/>
          <w:i/>
          <w:iCs/>
          <w:sz w:val="20"/>
          <w:szCs w:val="20"/>
          <w:lang w:val="fr-FR"/>
        </w:rPr>
      </w:pPr>
    </w:p>
    <w:p w14:paraId="44E66F3C" w14:textId="3D092D79" w:rsidR="00C91246" w:rsidRPr="00C91246" w:rsidRDefault="00C91246" w:rsidP="00C91246">
      <w:pPr>
        <w:widowControl w:val="0"/>
        <w:autoSpaceDE w:val="0"/>
        <w:autoSpaceDN w:val="0"/>
        <w:adjustRightInd w:val="0"/>
        <w:spacing w:after="0" w:line="240" w:lineRule="auto"/>
        <w:ind w:left="851"/>
        <w:jc w:val="both"/>
        <w:rPr>
          <w:rFonts w:cs="Arial"/>
          <w:b/>
          <w:bCs/>
          <w:i/>
          <w:iCs/>
          <w:sz w:val="20"/>
          <w:szCs w:val="20"/>
          <w:lang w:val="fr-FR"/>
        </w:rPr>
      </w:pPr>
      <w:r w:rsidRPr="00C91246">
        <w:rPr>
          <w:rFonts w:cs="Arial"/>
          <w:b/>
          <w:bCs/>
          <w:i/>
          <w:iCs/>
          <w:sz w:val="20"/>
          <w:szCs w:val="20"/>
          <w:lang w:val="fr-FR"/>
        </w:rPr>
        <w:t>13.78 Décision adressée aux OIGs &amp; ONGs</w:t>
      </w:r>
    </w:p>
    <w:p w14:paraId="57461BB9" w14:textId="77777777" w:rsidR="00C91246" w:rsidRPr="00C91246" w:rsidRDefault="00C91246" w:rsidP="00C91246">
      <w:pPr>
        <w:widowControl w:val="0"/>
        <w:autoSpaceDE w:val="0"/>
        <w:autoSpaceDN w:val="0"/>
        <w:adjustRightInd w:val="0"/>
        <w:spacing w:after="0" w:line="240" w:lineRule="auto"/>
        <w:ind w:left="851"/>
        <w:jc w:val="both"/>
        <w:rPr>
          <w:rFonts w:cs="Arial"/>
          <w:i/>
          <w:iCs/>
          <w:sz w:val="20"/>
          <w:szCs w:val="20"/>
          <w:lang w:val="fr-FR"/>
        </w:rPr>
      </w:pPr>
    </w:p>
    <w:p w14:paraId="37A27AA0" w14:textId="77777777" w:rsidR="00C91246" w:rsidRPr="00C91246" w:rsidRDefault="00C91246" w:rsidP="00C91246">
      <w:pPr>
        <w:widowControl w:val="0"/>
        <w:autoSpaceDE w:val="0"/>
        <w:autoSpaceDN w:val="0"/>
        <w:adjustRightInd w:val="0"/>
        <w:spacing w:after="0" w:line="240" w:lineRule="auto"/>
        <w:ind w:left="851"/>
        <w:jc w:val="both"/>
        <w:rPr>
          <w:rFonts w:cs="Arial"/>
          <w:i/>
          <w:iCs/>
          <w:sz w:val="20"/>
          <w:szCs w:val="20"/>
          <w:lang w:val="fr-FR"/>
        </w:rPr>
      </w:pPr>
      <w:r w:rsidRPr="00C91246">
        <w:rPr>
          <w:rFonts w:cs="Arial"/>
          <w:i/>
          <w:iCs/>
          <w:sz w:val="20"/>
          <w:szCs w:val="20"/>
          <w:lang w:val="fr-FR"/>
        </w:rPr>
        <w:t>Les organisations intergouvernementales et non gouvernementales sont instamment priées de fournir l’expertise et les fonds pour l’élaboration du Plan, ainsi que pour la convocation d’une réunion des États de l’aire de répartition en vue de finaliser ce plan.</w:t>
      </w:r>
    </w:p>
    <w:p w14:paraId="6F470D9C" w14:textId="77777777" w:rsidR="00C91246" w:rsidRPr="00C91246" w:rsidRDefault="00C91246" w:rsidP="00C91246">
      <w:pPr>
        <w:widowControl w:val="0"/>
        <w:autoSpaceDE w:val="0"/>
        <w:autoSpaceDN w:val="0"/>
        <w:adjustRightInd w:val="0"/>
        <w:spacing w:after="0" w:line="240" w:lineRule="auto"/>
        <w:ind w:left="851"/>
        <w:jc w:val="both"/>
        <w:rPr>
          <w:rFonts w:cs="Arial"/>
          <w:i/>
          <w:iCs/>
          <w:sz w:val="20"/>
          <w:szCs w:val="20"/>
          <w:lang w:val="fr-FR"/>
        </w:rPr>
      </w:pPr>
    </w:p>
    <w:p w14:paraId="629D486A" w14:textId="2AC5EE24" w:rsidR="00C91246" w:rsidRPr="00C91246" w:rsidRDefault="00C91246" w:rsidP="00C91246">
      <w:pPr>
        <w:widowControl w:val="0"/>
        <w:autoSpaceDE w:val="0"/>
        <w:autoSpaceDN w:val="0"/>
        <w:adjustRightInd w:val="0"/>
        <w:spacing w:after="0" w:line="240" w:lineRule="auto"/>
        <w:ind w:left="851"/>
        <w:jc w:val="both"/>
        <w:rPr>
          <w:rFonts w:cs="Arial"/>
          <w:b/>
          <w:bCs/>
          <w:i/>
          <w:iCs/>
          <w:sz w:val="20"/>
          <w:szCs w:val="20"/>
          <w:lang w:val="fr-FR"/>
        </w:rPr>
      </w:pPr>
      <w:r w:rsidRPr="00C91246">
        <w:rPr>
          <w:rFonts w:cs="Arial"/>
          <w:b/>
          <w:bCs/>
          <w:i/>
          <w:iCs/>
          <w:sz w:val="20"/>
          <w:szCs w:val="20"/>
          <w:lang w:val="fr-FR"/>
        </w:rPr>
        <w:t>13.79 Décision adressée au Secrétariat</w:t>
      </w:r>
    </w:p>
    <w:p w14:paraId="46EFFF65" w14:textId="77777777" w:rsidR="00C91246" w:rsidRPr="00C91246" w:rsidRDefault="00C91246" w:rsidP="00C91246">
      <w:pPr>
        <w:widowControl w:val="0"/>
        <w:autoSpaceDE w:val="0"/>
        <w:autoSpaceDN w:val="0"/>
        <w:adjustRightInd w:val="0"/>
        <w:spacing w:after="0" w:line="240" w:lineRule="auto"/>
        <w:ind w:left="851"/>
        <w:jc w:val="both"/>
        <w:rPr>
          <w:rFonts w:cs="Arial"/>
          <w:i/>
          <w:iCs/>
          <w:sz w:val="20"/>
          <w:szCs w:val="20"/>
          <w:lang w:val="fr-FR"/>
        </w:rPr>
      </w:pPr>
    </w:p>
    <w:p w14:paraId="4076DE48" w14:textId="368BE1CB" w:rsidR="00C91246" w:rsidRPr="00C91246" w:rsidRDefault="00C91246" w:rsidP="00C91246">
      <w:pPr>
        <w:widowControl w:val="0"/>
        <w:autoSpaceDE w:val="0"/>
        <w:autoSpaceDN w:val="0"/>
        <w:adjustRightInd w:val="0"/>
        <w:spacing w:after="0" w:line="240" w:lineRule="auto"/>
        <w:ind w:left="851"/>
        <w:jc w:val="both"/>
        <w:rPr>
          <w:rFonts w:cs="Arial"/>
          <w:i/>
          <w:iCs/>
          <w:sz w:val="20"/>
          <w:szCs w:val="20"/>
          <w:lang w:val="fr-FR"/>
        </w:rPr>
      </w:pPr>
      <w:r w:rsidRPr="00C91246">
        <w:rPr>
          <w:rFonts w:cs="Arial"/>
          <w:i/>
          <w:iCs/>
          <w:sz w:val="20"/>
          <w:szCs w:val="20"/>
          <w:lang w:val="fr-FR"/>
        </w:rPr>
        <w:t>Le Secrétariat est chargé, sous réserve de la disponibilité des ressources nécessaires :</w:t>
      </w:r>
    </w:p>
    <w:p w14:paraId="6CA5CF9D" w14:textId="2F58BBD8" w:rsidR="00C91246" w:rsidRPr="00C91246" w:rsidRDefault="00C91246" w:rsidP="00C91246">
      <w:pPr>
        <w:widowControl w:val="0"/>
        <w:autoSpaceDE w:val="0"/>
        <w:autoSpaceDN w:val="0"/>
        <w:adjustRightInd w:val="0"/>
        <w:spacing w:after="0" w:line="240" w:lineRule="auto"/>
        <w:ind w:left="851"/>
        <w:jc w:val="both"/>
        <w:rPr>
          <w:rFonts w:cs="Arial"/>
          <w:i/>
          <w:iCs/>
          <w:sz w:val="20"/>
          <w:szCs w:val="20"/>
          <w:lang w:val="fr-FR"/>
        </w:rPr>
      </w:pPr>
      <w:r w:rsidRPr="00C91246">
        <w:rPr>
          <w:rFonts w:cs="Arial"/>
          <w:i/>
          <w:iCs/>
          <w:sz w:val="20"/>
          <w:szCs w:val="20"/>
          <w:lang w:val="fr-FR"/>
        </w:rPr>
        <w:t>a) d’élaborer un projet de Plan d’action pour l’anguille d’Europe (Anguilla anguilla) en sui-vant les orientations fournies par les États Parties de l’aire de répartition ;b) d’organiser des consultations entre les États de l’aire de répartition et les OIG et ONG concernées sur le projet de Plan d’action, par correspondance et si le financement le permet, en convoquant une autre réunion des États de l’aire de répartition;c) de soumettre le projet de plan au Comité permanent à sa 52e ou 53e réunion pour adoption ou, s’il n’est pas finalisé à temps, à la 14e session de la Conférence des Parties.</w:t>
      </w:r>
    </w:p>
    <w:p w14:paraId="07686189" w14:textId="77777777" w:rsidR="00C91246" w:rsidRPr="00C91246" w:rsidRDefault="00C91246" w:rsidP="002B11B4">
      <w:pPr>
        <w:widowControl w:val="0"/>
        <w:autoSpaceDE w:val="0"/>
        <w:autoSpaceDN w:val="0"/>
        <w:adjustRightInd w:val="0"/>
        <w:spacing w:after="0" w:line="240" w:lineRule="auto"/>
        <w:jc w:val="both"/>
        <w:rPr>
          <w:rFonts w:cs="Arial"/>
          <w:lang w:val="fr-FR"/>
        </w:rPr>
      </w:pPr>
    </w:p>
    <w:p w14:paraId="2D1E13A0" w14:textId="6385A0FF" w:rsidR="005F7EA5" w:rsidRPr="00996F5D" w:rsidRDefault="005F7EA5" w:rsidP="002B11B4">
      <w:pPr>
        <w:pStyle w:val="ListParagraph"/>
        <w:widowControl w:val="0"/>
        <w:numPr>
          <w:ilvl w:val="0"/>
          <w:numId w:val="6"/>
        </w:numPr>
        <w:autoSpaceDE w:val="0"/>
        <w:autoSpaceDN w:val="0"/>
        <w:adjustRightInd w:val="0"/>
        <w:spacing w:after="0" w:line="240" w:lineRule="auto"/>
        <w:ind w:left="567" w:hanging="567"/>
        <w:contextualSpacing w:val="0"/>
        <w:jc w:val="both"/>
        <w:rPr>
          <w:rFonts w:cs="Arial"/>
          <w:lang w:val="fr-FR"/>
        </w:rPr>
      </w:pPr>
      <w:r>
        <w:rPr>
          <w:rFonts w:cs="Arial"/>
          <w:lang w:val="fr-FR"/>
        </w:rPr>
        <w:t>Lors de la 5</w:t>
      </w:r>
      <w:r>
        <w:rPr>
          <w:rFonts w:cs="Arial"/>
          <w:vertAlign w:val="superscript"/>
          <w:lang w:val="fr-FR"/>
        </w:rPr>
        <w:t>e</w:t>
      </w:r>
      <w:r>
        <w:rPr>
          <w:rFonts w:cs="Arial"/>
          <w:lang w:val="fr-FR"/>
        </w:rPr>
        <w:t xml:space="preserve"> réunion du Comité de session du Conseil scientifique (ScC-SC5), en 2021, l'activité suivante a été ajoutée au programme de travail :  </w:t>
      </w:r>
    </w:p>
    <w:p w14:paraId="2860648B" w14:textId="77777777" w:rsidR="00CA1F67" w:rsidRDefault="00CA1F67" w:rsidP="002B11B4">
      <w:pPr>
        <w:pStyle w:val="pf0"/>
        <w:spacing w:before="0" w:beforeAutospacing="0" w:after="0" w:afterAutospacing="0"/>
        <w:ind w:left="567"/>
        <w:rPr>
          <w:rStyle w:val="cf01"/>
          <w:rFonts w:ascii="Arial" w:hAnsi="Arial" w:cs="Arial"/>
          <w:b/>
          <w:bCs/>
          <w:i/>
          <w:iCs/>
          <w:sz w:val="20"/>
          <w:szCs w:val="20"/>
          <w:lang w:val="fr-FR"/>
        </w:rPr>
      </w:pPr>
    </w:p>
    <w:p w14:paraId="527DAB4B" w14:textId="676BA9DD" w:rsidR="004C6DAD" w:rsidRPr="00C91246" w:rsidRDefault="00332BD7" w:rsidP="00C91246">
      <w:pPr>
        <w:pStyle w:val="pf0"/>
        <w:spacing w:before="0" w:beforeAutospacing="0" w:after="0" w:afterAutospacing="0"/>
        <w:ind w:left="851"/>
        <w:rPr>
          <w:rStyle w:val="cf01"/>
          <w:rFonts w:ascii="Arial" w:hAnsi="Arial" w:cs="Arial"/>
          <w:b/>
          <w:bCs/>
          <w:i/>
          <w:iCs/>
          <w:sz w:val="20"/>
          <w:szCs w:val="20"/>
          <w:lang w:val="fr-FR"/>
        </w:rPr>
      </w:pPr>
      <w:r w:rsidRPr="00C91246">
        <w:rPr>
          <w:rStyle w:val="cf01"/>
          <w:rFonts w:ascii="Arial" w:hAnsi="Arial" w:cs="Arial"/>
          <w:b/>
          <w:bCs/>
          <w:i/>
          <w:iCs/>
          <w:sz w:val="20"/>
          <w:szCs w:val="20"/>
          <w:lang w:val="fr-FR"/>
        </w:rPr>
        <w:t xml:space="preserve">ScC-SC5. Résultat 1.2 Programme de travail : Aquatique </w:t>
      </w:r>
    </w:p>
    <w:p w14:paraId="2DC7FE86" w14:textId="0AF573DE" w:rsidR="006D1635" w:rsidRDefault="00332BD7" w:rsidP="00C91246">
      <w:pPr>
        <w:pStyle w:val="pf0"/>
        <w:spacing w:before="0" w:beforeAutospacing="0" w:after="0" w:afterAutospacing="0"/>
        <w:ind w:left="851"/>
        <w:rPr>
          <w:rStyle w:val="cf01"/>
          <w:rFonts w:ascii="Arial" w:hAnsi="Arial" w:cs="Arial"/>
          <w:i/>
          <w:iCs/>
          <w:sz w:val="20"/>
          <w:szCs w:val="20"/>
          <w:lang w:val="fr-FR"/>
        </w:rPr>
      </w:pPr>
      <w:r w:rsidRPr="00C91246">
        <w:rPr>
          <w:rStyle w:val="cf01"/>
          <w:rFonts w:ascii="Arial" w:hAnsi="Arial" w:cs="Arial"/>
          <w:i/>
          <w:iCs/>
          <w:sz w:val="20"/>
          <w:szCs w:val="20"/>
          <w:lang w:val="fr-FR"/>
        </w:rPr>
        <w:t xml:space="preserve">Donner des conseils en réponse à l'examen de l'état de conservation des poissons d'eau douce préparé par l'Amérique du Sud. Résultat attendu : recommandations </w:t>
      </w:r>
      <w:r w:rsidR="00C91246" w:rsidRPr="00C91246">
        <w:rPr>
          <w:rStyle w:val="cf01"/>
          <w:rFonts w:ascii="Arial" w:hAnsi="Arial" w:cs="Arial"/>
          <w:i/>
          <w:iCs/>
          <w:sz w:val="20"/>
          <w:szCs w:val="20"/>
          <w:lang w:val="fr-FR"/>
        </w:rPr>
        <w:t>une action de</w:t>
      </w:r>
      <w:r w:rsidRPr="00C91246">
        <w:rPr>
          <w:rStyle w:val="cf01"/>
          <w:rFonts w:ascii="Arial" w:hAnsi="Arial" w:cs="Arial"/>
          <w:i/>
          <w:iCs/>
          <w:sz w:val="20"/>
          <w:szCs w:val="20"/>
          <w:lang w:val="fr-FR"/>
        </w:rPr>
        <w:t xml:space="preserve"> conservation.</w:t>
      </w:r>
      <w:r>
        <w:rPr>
          <w:rStyle w:val="cf01"/>
          <w:rFonts w:ascii="Arial" w:hAnsi="Arial" w:cs="Arial"/>
          <w:i/>
          <w:iCs/>
          <w:sz w:val="20"/>
          <w:szCs w:val="20"/>
          <w:lang w:val="fr-FR"/>
        </w:rPr>
        <w:t xml:space="preserve"> </w:t>
      </w:r>
    </w:p>
    <w:p w14:paraId="2A7E4C92" w14:textId="77777777" w:rsidR="002B11B4" w:rsidRDefault="002B11B4" w:rsidP="002B11B4">
      <w:pPr>
        <w:spacing w:after="0" w:line="240" w:lineRule="auto"/>
        <w:rPr>
          <w:rFonts w:cs="Arial"/>
          <w:u w:val="single"/>
          <w:lang w:val="fr-FR"/>
        </w:rPr>
      </w:pPr>
    </w:p>
    <w:p w14:paraId="3702BE55" w14:textId="49BB1E18" w:rsidR="00873459" w:rsidRPr="00FB7CAA" w:rsidRDefault="00DA20C8" w:rsidP="002B11B4">
      <w:pPr>
        <w:spacing w:after="0" w:line="240" w:lineRule="auto"/>
        <w:rPr>
          <w:rFonts w:cs="Arial"/>
          <w:u w:val="single"/>
          <w:lang w:val="fr-FR"/>
        </w:rPr>
      </w:pPr>
      <w:r>
        <w:rPr>
          <w:rFonts w:cs="Arial"/>
          <w:u w:val="single"/>
          <w:lang w:val="fr-FR"/>
        </w:rPr>
        <w:t xml:space="preserve">L'Anguille d'Europe </w:t>
      </w:r>
    </w:p>
    <w:p w14:paraId="6C1879A5" w14:textId="77777777" w:rsidR="002B11B4" w:rsidRPr="00FB7CAA" w:rsidRDefault="002B11B4" w:rsidP="002B11B4">
      <w:pPr>
        <w:spacing w:after="0" w:line="240" w:lineRule="auto"/>
        <w:rPr>
          <w:rFonts w:cs="Arial"/>
          <w:u w:val="single"/>
          <w:lang w:val="fr-FR"/>
        </w:rPr>
      </w:pPr>
    </w:p>
    <w:p w14:paraId="62DED3D2" w14:textId="1CDA5ED4" w:rsidR="00267551" w:rsidRPr="00267551" w:rsidRDefault="003140F0" w:rsidP="002B11B4">
      <w:pPr>
        <w:pStyle w:val="ListParagraph"/>
        <w:numPr>
          <w:ilvl w:val="0"/>
          <w:numId w:val="6"/>
        </w:numPr>
        <w:spacing w:after="0" w:line="240" w:lineRule="auto"/>
        <w:ind w:left="567" w:hanging="567"/>
        <w:contextualSpacing w:val="0"/>
        <w:jc w:val="both"/>
        <w:rPr>
          <w:rFonts w:cs="Arial"/>
          <w:lang w:val="fr-FR"/>
        </w:rPr>
      </w:pPr>
      <w:r>
        <w:rPr>
          <w:rFonts w:cs="Arial"/>
          <w:lang w:val="fr-FR"/>
        </w:rPr>
        <w:t xml:space="preserve">Avec la coopération de la Commission de la mer des Sargasses et de la Zoological Society of London, un premier projet </w:t>
      </w:r>
      <w:r>
        <w:rPr>
          <w:rFonts w:eastAsia="Times New Roman" w:cs="Arial"/>
          <w:color w:val="333333"/>
          <w:lang w:val="fr-FR"/>
        </w:rPr>
        <w:t>de Plan d'action par espèce pour l'Anguille d'Europe (</w:t>
      </w:r>
      <w:r>
        <w:rPr>
          <w:rFonts w:eastAsia="Times New Roman" w:cs="Arial"/>
          <w:i/>
          <w:color w:val="333333"/>
          <w:lang w:val="fr-FR"/>
        </w:rPr>
        <w:t>Anguilla anguilla</w:t>
      </w:r>
      <w:r>
        <w:rPr>
          <w:rFonts w:eastAsia="Times New Roman" w:cs="Arial"/>
          <w:color w:val="333333"/>
          <w:lang w:val="fr-FR"/>
        </w:rPr>
        <w:t xml:space="preserve">) est en cours d'élaboration. Toutefois, compte tenu de la pandémie et des priorités concurrentes, il s'est avéré impossible de finaliser le projet et d'organiser une réunion des États de l'aire de répartition au cours de cette période intersessionnelle.   </w:t>
      </w:r>
    </w:p>
    <w:p w14:paraId="091AFFE6" w14:textId="617BBBC1" w:rsidR="00F464AB" w:rsidRPr="002354BF" w:rsidRDefault="006D713B" w:rsidP="002B11B4">
      <w:pPr>
        <w:pStyle w:val="ListParagraph"/>
        <w:spacing w:after="0" w:line="240" w:lineRule="auto"/>
        <w:ind w:left="360"/>
        <w:rPr>
          <w:rFonts w:cs="Arial"/>
          <w:lang w:val="fr-FR"/>
        </w:rPr>
      </w:pPr>
      <w:r w:rsidRPr="002354BF">
        <w:rPr>
          <w:rFonts w:eastAsia="Times New Roman" w:cs="Arial"/>
          <w:color w:val="333333"/>
          <w:lang w:val="fr-FR"/>
        </w:rPr>
        <w:t xml:space="preserve"> </w:t>
      </w:r>
    </w:p>
    <w:p w14:paraId="35D78B1A" w14:textId="20B6653D" w:rsidR="00DA20C8" w:rsidRPr="008C39BA" w:rsidRDefault="00F464AB" w:rsidP="002B11B4">
      <w:pPr>
        <w:pStyle w:val="ListParagraph"/>
        <w:numPr>
          <w:ilvl w:val="0"/>
          <w:numId w:val="6"/>
        </w:numPr>
        <w:spacing w:after="0" w:line="240" w:lineRule="auto"/>
        <w:ind w:left="567" w:hanging="567"/>
        <w:jc w:val="both"/>
        <w:rPr>
          <w:rFonts w:cs="Arial"/>
          <w:lang w:val="fr-FR"/>
        </w:rPr>
      </w:pPr>
      <w:r>
        <w:rPr>
          <w:rFonts w:eastAsia="Times New Roman" w:cs="Arial"/>
          <w:color w:val="333333"/>
          <w:lang w:val="fr-FR"/>
        </w:rPr>
        <w:lastRenderedPageBreak/>
        <w:t xml:space="preserve">Des discussions sont en cours avec des pays hôtes potentiels en vue d'organiser cette réunion en 2024. Il est donc proposé d'élargir le champ d'application des décisions concernées.   </w:t>
      </w:r>
    </w:p>
    <w:p w14:paraId="69D0876A" w14:textId="77777777" w:rsidR="00141859" w:rsidRDefault="00141859" w:rsidP="00DA20C8">
      <w:pPr>
        <w:widowControl w:val="0"/>
        <w:autoSpaceDE w:val="0"/>
        <w:autoSpaceDN w:val="0"/>
        <w:adjustRightInd w:val="0"/>
        <w:spacing w:after="0" w:line="240" w:lineRule="auto"/>
        <w:contextualSpacing/>
        <w:jc w:val="both"/>
        <w:rPr>
          <w:rFonts w:cs="Arial"/>
          <w:b/>
          <w:bCs/>
          <w:lang w:val="fr-FR"/>
        </w:rPr>
      </w:pPr>
    </w:p>
    <w:p w14:paraId="6D639B8B" w14:textId="23DC9600" w:rsidR="00DA20C8" w:rsidRPr="00FB7CAA" w:rsidRDefault="00DA20C8" w:rsidP="00DA20C8">
      <w:pPr>
        <w:widowControl w:val="0"/>
        <w:autoSpaceDE w:val="0"/>
        <w:autoSpaceDN w:val="0"/>
        <w:adjustRightInd w:val="0"/>
        <w:spacing w:after="0" w:line="240" w:lineRule="auto"/>
        <w:contextualSpacing/>
        <w:jc w:val="both"/>
        <w:rPr>
          <w:rFonts w:cs="Arial"/>
          <w:u w:val="single"/>
          <w:lang w:val="fr-FR"/>
        </w:rPr>
      </w:pPr>
      <w:r>
        <w:rPr>
          <w:rFonts w:cs="Arial"/>
          <w:u w:val="single"/>
          <w:lang w:val="fr-FR"/>
        </w:rPr>
        <w:t xml:space="preserve">Autres poissons d'eau douce </w:t>
      </w:r>
    </w:p>
    <w:p w14:paraId="081D76CF" w14:textId="77777777" w:rsidR="00DA20C8" w:rsidRPr="00DA20C8" w:rsidRDefault="00DA20C8" w:rsidP="002B11B4">
      <w:pPr>
        <w:spacing w:after="0" w:line="240" w:lineRule="auto"/>
        <w:rPr>
          <w:rFonts w:cs="Arial"/>
          <w:b/>
          <w:bCs/>
          <w:lang w:val="fr-FR"/>
        </w:rPr>
      </w:pPr>
    </w:p>
    <w:p w14:paraId="4EA5C5DB" w14:textId="39DA5975" w:rsidR="00E26010" w:rsidRPr="00E26010" w:rsidRDefault="00E26010" w:rsidP="003E0665">
      <w:pPr>
        <w:widowControl w:val="0"/>
        <w:numPr>
          <w:ilvl w:val="0"/>
          <w:numId w:val="6"/>
        </w:numPr>
        <w:autoSpaceDE w:val="0"/>
        <w:autoSpaceDN w:val="0"/>
        <w:adjustRightInd w:val="0"/>
        <w:spacing w:after="0" w:line="240" w:lineRule="auto"/>
        <w:ind w:left="567" w:hanging="567"/>
        <w:contextualSpacing/>
        <w:jc w:val="both"/>
        <w:rPr>
          <w:rFonts w:cs="Arial"/>
          <w:lang w:val="fr-FR"/>
        </w:rPr>
      </w:pPr>
      <w:r w:rsidRPr="00E26010">
        <w:rPr>
          <w:rFonts w:cs="Arial"/>
          <w:lang w:val="fr-FR"/>
        </w:rPr>
        <w:t xml:space="preserve">Il n'y a pas eu beaucoup de travail effectué au fil des ans dans le contexte de la CMS sur les espèces de poissons d'eau douce. Par exemple, il a été noté que le </w:t>
      </w:r>
      <w:r>
        <w:rPr>
          <w:rFonts w:cs="Arial"/>
          <w:lang w:val="fr-FR"/>
        </w:rPr>
        <w:t>silure de verre géant</w:t>
      </w:r>
      <w:r w:rsidRPr="00E26010">
        <w:rPr>
          <w:rFonts w:cs="Arial"/>
          <w:lang w:val="fr-FR"/>
        </w:rPr>
        <w:t xml:space="preserve"> (</w:t>
      </w:r>
      <w:r w:rsidRPr="00E26010">
        <w:rPr>
          <w:rFonts w:cs="Arial"/>
          <w:i/>
          <w:iCs/>
          <w:lang w:val="fr-FR"/>
        </w:rPr>
        <w:t>Pangasianodon gigas</w:t>
      </w:r>
      <w:r w:rsidRPr="00E26010">
        <w:rPr>
          <w:rFonts w:cs="Arial"/>
          <w:lang w:val="fr-FR"/>
        </w:rPr>
        <w:t>) a été inscrit à l'Annexe I de la CMS en 1979, mais il n'y a jamais eu d'initiative de la CMS sur cette espèce.</w:t>
      </w:r>
    </w:p>
    <w:p w14:paraId="60A23BBB" w14:textId="77777777" w:rsidR="00E26010" w:rsidRPr="00E26010" w:rsidRDefault="00E26010" w:rsidP="00E26010">
      <w:pPr>
        <w:widowControl w:val="0"/>
        <w:autoSpaceDE w:val="0"/>
        <w:autoSpaceDN w:val="0"/>
        <w:adjustRightInd w:val="0"/>
        <w:spacing w:after="0" w:line="240" w:lineRule="auto"/>
        <w:ind w:left="567"/>
        <w:contextualSpacing/>
        <w:jc w:val="both"/>
        <w:rPr>
          <w:rFonts w:cs="Arial"/>
          <w:lang w:val="fr-FR"/>
        </w:rPr>
      </w:pPr>
    </w:p>
    <w:p w14:paraId="7A47C2CF" w14:textId="48A442C4" w:rsidR="002C49EB" w:rsidRDefault="00D15CC9" w:rsidP="003E0665">
      <w:pPr>
        <w:widowControl w:val="0"/>
        <w:numPr>
          <w:ilvl w:val="0"/>
          <w:numId w:val="6"/>
        </w:numPr>
        <w:autoSpaceDE w:val="0"/>
        <w:autoSpaceDN w:val="0"/>
        <w:adjustRightInd w:val="0"/>
        <w:spacing w:after="0" w:line="240" w:lineRule="auto"/>
        <w:ind w:left="567" w:hanging="567"/>
        <w:contextualSpacing/>
        <w:jc w:val="both"/>
        <w:rPr>
          <w:rFonts w:cs="Arial"/>
          <w:u w:val="single"/>
          <w:lang w:val="fr-FR"/>
        </w:rPr>
      </w:pPr>
      <w:r>
        <w:rPr>
          <w:lang w:val="fr-FR"/>
        </w:rPr>
        <w:t>Pour mieux comprendre la demande présentée à la ScC-SC5, il convient de la placer dans le contexte des travaux antérieurement entrepris par le Conseil scientifique. Lors de la 15</w:t>
      </w:r>
      <w:r>
        <w:rPr>
          <w:vertAlign w:val="superscript"/>
          <w:lang w:val="fr-FR"/>
        </w:rPr>
        <w:t>e</w:t>
      </w:r>
      <w:r>
        <w:rPr>
          <w:lang w:val="fr-FR"/>
        </w:rPr>
        <w:t xml:space="preserve"> réunion du Conseil scientifique (ScC15), en 2008, le conseiller pour les poissons nommé par la COP, M. Zeb Hogan, a été chargé de préparer un rapport sur l'état de conservation des poissons d'eau douce inscrits sur les listes de la CMS. Le document ainsi produit, intitulé </w:t>
      </w:r>
      <w:r>
        <w:rPr>
          <w:i/>
          <w:iCs/>
          <w:lang w:val="fr-FR"/>
        </w:rPr>
        <w:t>Review of Freshwater Fish (Examen des poissons migrateurs d'eau douce)</w:t>
      </w:r>
      <w:r>
        <w:rPr>
          <w:lang w:val="fr-FR"/>
        </w:rPr>
        <w:t xml:space="preserve">, a été examiné lors de la ScC16, en 2010, et mis à la disposition des Parties sous la cote </w:t>
      </w:r>
      <w:hyperlink r:id="rId17" w:history="1">
        <w:r>
          <w:rPr>
            <w:rStyle w:val="Hyperlink"/>
            <w:lang w:val="fr-FR"/>
          </w:rPr>
          <w:t xml:space="preserve">UNEP/CMS/Inf.10.33. </w:t>
        </w:r>
      </w:hyperlink>
      <w:r>
        <w:rPr>
          <w:lang w:val="fr-FR"/>
        </w:rPr>
        <w:t xml:space="preserve"> Un résumé analytique a été fourni à la COP10 en 2011 sous la cote </w:t>
      </w:r>
      <w:hyperlink r:id="rId18" w:history="1">
        <w:r>
          <w:rPr>
            <w:rStyle w:val="Hyperlink"/>
            <w:lang w:val="fr-FR"/>
          </w:rPr>
          <w:t>UNEP/CMS/Conf.10.31</w:t>
        </w:r>
      </w:hyperlink>
      <w:r>
        <w:rPr>
          <w:lang w:val="fr-FR"/>
        </w:rPr>
        <w:t>. Le rapport passe en revue les évaluations de populations disponibles et fournit des orientations concernant l'inscription d'autres espèces de poissons d'eau douce aux Annexes de la CMS.</w:t>
      </w:r>
      <w:r>
        <w:rPr>
          <w:rFonts w:cs="Arial"/>
          <w:lang w:val="fr-FR"/>
        </w:rPr>
        <w:t xml:space="preserve"> </w:t>
      </w:r>
      <w:r>
        <w:rPr>
          <w:lang w:val="fr-FR"/>
        </w:rPr>
        <w:t xml:space="preserve">Au cours de cette même réunion, les Parties ont ensuite adopté la </w:t>
      </w:r>
      <w:hyperlink r:id="rId19" w:history="1">
        <w:r>
          <w:rPr>
            <w:rStyle w:val="Hyperlink"/>
            <w:lang w:val="fr-FR"/>
          </w:rPr>
          <w:t xml:space="preserve">Résolution 10.12 </w:t>
        </w:r>
      </w:hyperlink>
      <w:r>
        <w:rPr>
          <w:lang w:val="fr-FR"/>
        </w:rPr>
        <w:t>(</w:t>
      </w:r>
      <w:r>
        <w:rPr>
          <w:i/>
          <w:iCs/>
          <w:lang w:val="fr-FR"/>
        </w:rPr>
        <w:t>Poissons d'eau douce migrateurs</w:t>
      </w:r>
      <w:r>
        <w:rPr>
          <w:lang w:val="fr-FR"/>
        </w:rPr>
        <w:t xml:space="preserve">). </w:t>
      </w:r>
    </w:p>
    <w:p w14:paraId="42A1B988" w14:textId="77777777" w:rsidR="00553D11" w:rsidRDefault="00553D11" w:rsidP="002C49EB">
      <w:pPr>
        <w:widowControl w:val="0"/>
        <w:autoSpaceDE w:val="0"/>
        <w:autoSpaceDN w:val="0"/>
        <w:adjustRightInd w:val="0"/>
        <w:spacing w:after="0" w:line="240" w:lineRule="auto"/>
        <w:contextualSpacing/>
        <w:jc w:val="both"/>
        <w:rPr>
          <w:lang w:val="fr-FR"/>
        </w:rPr>
      </w:pPr>
    </w:p>
    <w:p w14:paraId="7D61FD18" w14:textId="5B72BA8C" w:rsidR="00A94DFE" w:rsidRDefault="001C59FD" w:rsidP="002B11B4">
      <w:pPr>
        <w:pStyle w:val="ListParagraph"/>
        <w:widowControl w:val="0"/>
        <w:numPr>
          <w:ilvl w:val="0"/>
          <w:numId w:val="6"/>
        </w:numPr>
        <w:autoSpaceDE w:val="0"/>
        <w:autoSpaceDN w:val="0"/>
        <w:adjustRightInd w:val="0"/>
        <w:spacing w:after="0" w:line="240" w:lineRule="auto"/>
        <w:ind w:left="567" w:hanging="567"/>
        <w:jc w:val="both"/>
        <w:rPr>
          <w:lang w:val="fr-FR"/>
        </w:rPr>
      </w:pPr>
      <w:r>
        <w:rPr>
          <w:lang w:val="fr-FR"/>
        </w:rPr>
        <w:t xml:space="preserve">L'étude a permis de définir plusieurs assemblages d'espèces (groupes d'espèces migratrices apparentées) qu'il serait probablement judicieux d'inscrire sur les listes de la CMS. Ces groupes comprennent les esturgeons et les saumons, les poissons-scies (Pristiformes), les raies d'eau douce (Himantura spp.), les anguilles (Anguillidae), les aloses (Alosinae) et les grands Pimelodidae et Characidés migrateurs d'Amérique du Sud, les poissons-chats Pangasius d'Asie du Sud-Est (notamment présents dans le Mékong), les espèces appartenant au genre Tor spp. et espèces apparentées, les Alestidés du bassin du lac Tchad et les Cichlidés des Grands Lacs d'Afrique de l'Est. Il est précisé dans le rapport qu'il s'agit non pas d'une liste exhaustive d'espèces potentiellement candidates à une inscription sur les listes de la CMS, mais d'un point de départ pour les discussions. </w:t>
      </w:r>
    </w:p>
    <w:p w14:paraId="79EE9DF6" w14:textId="77777777" w:rsidR="004F3FAD" w:rsidRPr="00BC0A8F" w:rsidRDefault="004F3FAD" w:rsidP="00095FB0">
      <w:pPr>
        <w:widowControl w:val="0"/>
        <w:autoSpaceDE w:val="0"/>
        <w:autoSpaceDN w:val="0"/>
        <w:adjustRightInd w:val="0"/>
        <w:spacing w:after="0" w:line="240" w:lineRule="auto"/>
        <w:contextualSpacing/>
        <w:jc w:val="both"/>
        <w:rPr>
          <w:rFonts w:cs="Arial"/>
          <w:u w:val="single"/>
          <w:lang w:val="fr-FR"/>
        </w:rPr>
      </w:pPr>
    </w:p>
    <w:p w14:paraId="7B1633D5" w14:textId="5E25951D" w:rsidR="003A2660" w:rsidRPr="00F71D26" w:rsidRDefault="00032C49" w:rsidP="00AD2B69">
      <w:pPr>
        <w:widowControl w:val="0"/>
        <w:numPr>
          <w:ilvl w:val="0"/>
          <w:numId w:val="6"/>
        </w:numPr>
        <w:autoSpaceDE w:val="0"/>
        <w:autoSpaceDN w:val="0"/>
        <w:adjustRightInd w:val="0"/>
        <w:spacing w:after="0" w:line="240" w:lineRule="auto"/>
        <w:ind w:left="567" w:hanging="567"/>
        <w:contextualSpacing/>
        <w:jc w:val="both"/>
        <w:rPr>
          <w:rFonts w:cs="Arial"/>
          <w:u w:val="single"/>
          <w:lang w:val="fr-FR"/>
        </w:rPr>
      </w:pPr>
      <w:r>
        <w:rPr>
          <w:lang w:val="fr-FR"/>
        </w:rPr>
        <w:t xml:space="preserve">Parmi les assemblages d'espèces identifiés dans le rapport comme étant susceptibles de bénéficier d'une telle inscription, les cinq espèces de poissons-scies (Pristiformes) et une espèce de la famille des Anguilidés (l'Anguille d'Europe, </w:t>
      </w:r>
      <w:r>
        <w:rPr>
          <w:i/>
          <w:iCs/>
          <w:lang w:val="fr-FR"/>
        </w:rPr>
        <w:t>Anguilla anguilla</w:t>
      </w:r>
      <w:r>
        <w:rPr>
          <w:lang w:val="fr-FR"/>
        </w:rPr>
        <w:t xml:space="preserve">) ont été ajoutées à l'Annexe II de la CMS en 2014. Aucune autre espèce de poisson d'eau douce n'a par la suite figuré parmi les propositions d'inscription sur les listes.  </w:t>
      </w:r>
    </w:p>
    <w:p w14:paraId="5B0DE251" w14:textId="77777777" w:rsidR="00F71D26" w:rsidRDefault="00F71D26" w:rsidP="00F71D26">
      <w:pPr>
        <w:pStyle w:val="ListParagraph"/>
        <w:rPr>
          <w:rFonts w:cs="Arial"/>
          <w:u w:val="single"/>
          <w:lang w:val="fr-FR"/>
        </w:rPr>
      </w:pPr>
    </w:p>
    <w:p w14:paraId="5C55C2CC" w14:textId="7A05ACB6" w:rsidR="00A61D3A" w:rsidRPr="009743E0" w:rsidRDefault="00A61D3A" w:rsidP="009743E0">
      <w:pPr>
        <w:widowControl w:val="0"/>
        <w:numPr>
          <w:ilvl w:val="0"/>
          <w:numId w:val="6"/>
        </w:numPr>
        <w:autoSpaceDE w:val="0"/>
        <w:autoSpaceDN w:val="0"/>
        <w:adjustRightInd w:val="0"/>
        <w:spacing w:after="0" w:line="240" w:lineRule="auto"/>
        <w:ind w:left="567" w:hanging="567"/>
        <w:contextualSpacing/>
        <w:jc w:val="both"/>
        <w:rPr>
          <w:rFonts w:cs="Arial"/>
          <w:u w:val="single"/>
          <w:lang w:val="fr-FR"/>
        </w:rPr>
      </w:pPr>
      <w:r>
        <w:rPr>
          <w:lang w:val="fr-FR"/>
        </w:rPr>
        <w:t xml:space="preserve">L'étude a également permis de recenser un certain nombre d'espèces qui, à titre individuel, bénéficieraient probablement d'une inscription sur les listes de la CMS. Ces espèces comprennent huit poissons d'eau douce d'Amérique du Sud, dont trois Characiformes du bassin de La Plata et cinq Siluriformes (trois du bassin de La Plata et deux du bassin de l'Amazone). Il convient de souligner que le Brésil et le Panama ont soumis deux propositions à la COP14 en vue d'inscrire les espèces de poisson-chat de l'Amazone, </w:t>
      </w:r>
      <w:r>
        <w:rPr>
          <w:i/>
          <w:iCs/>
          <w:lang w:val="fr-FR"/>
        </w:rPr>
        <w:t>Brachyplatystoma rousseauxii</w:t>
      </w:r>
      <w:r>
        <w:rPr>
          <w:lang w:val="fr-FR"/>
        </w:rPr>
        <w:t xml:space="preserve"> et </w:t>
      </w:r>
      <w:r>
        <w:rPr>
          <w:i/>
          <w:iCs/>
          <w:lang w:val="fr-FR"/>
        </w:rPr>
        <w:t>Brachyplatystoma vaillantii</w:t>
      </w:r>
      <w:r>
        <w:rPr>
          <w:iCs/>
          <w:lang w:val="fr-FR"/>
        </w:rPr>
        <w:t>,</w:t>
      </w:r>
      <w:r>
        <w:rPr>
          <w:lang w:val="fr-FR"/>
        </w:rPr>
        <w:t xml:space="preserve"> à l'Annexe II.</w:t>
      </w:r>
    </w:p>
    <w:p w14:paraId="33D5DEB5" w14:textId="57EC2D25" w:rsidR="00E26010" w:rsidRDefault="00E26010" w:rsidP="00AD2B69">
      <w:pPr>
        <w:widowControl w:val="0"/>
        <w:autoSpaceDE w:val="0"/>
        <w:autoSpaceDN w:val="0"/>
        <w:adjustRightInd w:val="0"/>
        <w:spacing w:after="0" w:line="240" w:lineRule="auto"/>
        <w:contextualSpacing/>
        <w:jc w:val="both"/>
        <w:rPr>
          <w:rFonts w:cs="Arial"/>
          <w:u w:val="single"/>
          <w:lang w:val="fr-FR"/>
        </w:rPr>
      </w:pPr>
      <w:r>
        <w:rPr>
          <w:rFonts w:cs="Arial"/>
          <w:u w:val="single"/>
          <w:lang w:val="fr-FR"/>
        </w:rPr>
        <w:br w:type="page"/>
      </w:r>
    </w:p>
    <w:p w14:paraId="6402656F" w14:textId="165215FA" w:rsidR="002E0DE9" w:rsidRPr="005B72AB" w:rsidRDefault="003A2660" w:rsidP="00EC4F04">
      <w:pPr>
        <w:widowControl w:val="0"/>
        <w:numPr>
          <w:ilvl w:val="0"/>
          <w:numId w:val="6"/>
        </w:numPr>
        <w:autoSpaceDE w:val="0"/>
        <w:autoSpaceDN w:val="0"/>
        <w:adjustRightInd w:val="0"/>
        <w:spacing w:after="0" w:line="240" w:lineRule="auto"/>
        <w:ind w:left="567" w:hanging="567"/>
        <w:contextualSpacing/>
        <w:jc w:val="both"/>
        <w:rPr>
          <w:rFonts w:cs="Arial"/>
          <w:u w:val="single"/>
          <w:lang w:val="fr-FR"/>
        </w:rPr>
      </w:pPr>
      <w:r>
        <w:rPr>
          <w:rFonts w:cs="Arial"/>
          <w:lang w:val="fr-FR"/>
        </w:rPr>
        <w:lastRenderedPageBreak/>
        <w:t>Lors de la 5</w:t>
      </w:r>
      <w:r>
        <w:rPr>
          <w:rFonts w:cs="Arial"/>
          <w:vertAlign w:val="superscript"/>
          <w:lang w:val="fr-FR"/>
        </w:rPr>
        <w:t>e</w:t>
      </w:r>
      <w:r>
        <w:rPr>
          <w:rFonts w:cs="Arial"/>
          <w:lang w:val="fr-FR"/>
        </w:rPr>
        <w:t xml:space="preserve"> réunion du Comité de session du Conseil scientifique (ScC-SC5), en 2021, les membres du Comité ont abordé la question des poissons d'eau douce, en particulier dans le contexte sud-américain. Le Conseil scientifique a décidé d'ajouter à son Programme de travail la nécessité d'examiner l'état de conservation des poissons d'eau douce et de formuler des recommandations sur les mesures de conservation à prendre, compte tenu notamment du grand nombre d'évaluations d'espèces d'Amérique du Sud qui ont abouti à une inscription sur la Liste rouge de l'UICN ces dernières années. À cette fin, </w:t>
      </w:r>
      <w:r w:rsidR="00C91246">
        <w:rPr>
          <w:rFonts w:cs="Arial"/>
          <w:lang w:val="fr-FR"/>
        </w:rPr>
        <w:t xml:space="preserve">un </w:t>
      </w:r>
      <w:r>
        <w:rPr>
          <w:rFonts w:cs="Arial"/>
          <w:lang w:val="fr-FR"/>
        </w:rPr>
        <w:t>nouveau projet de Décision</w:t>
      </w:r>
      <w:r w:rsidR="00C91246">
        <w:rPr>
          <w:rFonts w:cs="Arial"/>
          <w:lang w:val="fr-FR"/>
        </w:rPr>
        <w:t>s</w:t>
      </w:r>
      <w:r>
        <w:rPr>
          <w:rFonts w:cs="Arial"/>
          <w:lang w:val="fr-FR"/>
        </w:rPr>
        <w:t xml:space="preserve"> </w:t>
      </w:r>
      <w:r w:rsidR="00C91246">
        <w:rPr>
          <w:rFonts w:cs="Arial"/>
          <w:lang w:val="fr-FR"/>
        </w:rPr>
        <w:t>est</w:t>
      </w:r>
      <w:r>
        <w:rPr>
          <w:rFonts w:cs="Arial"/>
          <w:lang w:val="fr-FR"/>
        </w:rPr>
        <w:t xml:space="preserve"> proposé à l'</w:t>
      </w:r>
      <w:r w:rsidR="00C91246">
        <w:rPr>
          <w:rFonts w:cs="Arial"/>
          <w:lang w:val="fr-FR"/>
        </w:rPr>
        <w:t>A</w:t>
      </w:r>
      <w:r>
        <w:rPr>
          <w:rFonts w:cs="Arial"/>
          <w:lang w:val="fr-FR"/>
        </w:rPr>
        <w:t xml:space="preserve">nnexe 1 du présent document. </w:t>
      </w:r>
    </w:p>
    <w:p w14:paraId="7850E25C" w14:textId="77777777" w:rsidR="00E26010" w:rsidRDefault="00E26010" w:rsidP="00661875">
      <w:pPr>
        <w:spacing w:after="0" w:line="240" w:lineRule="auto"/>
        <w:rPr>
          <w:rFonts w:cs="Arial"/>
          <w:u w:val="single"/>
          <w:lang w:val="fr-FR"/>
        </w:rPr>
      </w:pPr>
    </w:p>
    <w:p w14:paraId="25D5D96F" w14:textId="258EF4C5" w:rsidR="00661875" w:rsidRPr="00CD0FE9" w:rsidRDefault="00661875" w:rsidP="00661875">
      <w:pPr>
        <w:spacing w:after="0" w:line="240" w:lineRule="auto"/>
        <w:rPr>
          <w:rFonts w:cs="Arial"/>
          <w:lang w:val="fr-FR"/>
        </w:rPr>
      </w:pPr>
      <w:r>
        <w:rPr>
          <w:rFonts w:cs="Arial"/>
          <w:u w:val="single"/>
          <w:lang w:val="fr-FR"/>
        </w:rPr>
        <w:t>Actions recommandées</w:t>
      </w:r>
    </w:p>
    <w:p w14:paraId="180331FF" w14:textId="77777777" w:rsidR="00661875" w:rsidRPr="00CD0FE9" w:rsidRDefault="00661875" w:rsidP="00661875">
      <w:pPr>
        <w:spacing w:after="0" w:line="240" w:lineRule="auto"/>
        <w:rPr>
          <w:rFonts w:cs="Arial"/>
          <w:lang w:val="fr-FR"/>
        </w:rPr>
      </w:pPr>
    </w:p>
    <w:p w14:paraId="4DA1BFBB" w14:textId="77777777" w:rsidR="00661875" w:rsidRPr="00CD0FE9" w:rsidRDefault="00661875" w:rsidP="00661875">
      <w:pPr>
        <w:widowControl w:val="0"/>
        <w:numPr>
          <w:ilvl w:val="0"/>
          <w:numId w:val="6"/>
        </w:numPr>
        <w:autoSpaceDE w:val="0"/>
        <w:autoSpaceDN w:val="0"/>
        <w:adjustRightInd w:val="0"/>
        <w:spacing w:after="0" w:line="240" w:lineRule="auto"/>
        <w:ind w:left="567" w:hanging="567"/>
        <w:jc w:val="both"/>
        <w:rPr>
          <w:rFonts w:cs="Arial"/>
          <w:lang w:val="fr-FR"/>
        </w:rPr>
      </w:pPr>
      <w:r>
        <w:rPr>
          <w:rFonts w:cs="Arial"/>
          <w:lang w:val="fr-FR" w:eastAsia="en-GB"/>
        </w:rPr>
        <w:t>Il est recommandé à la Conférence des Parties</w:t>
      </w:r>
      <w:r>
        <w:rPr>
          <w:rFonts w:cs="Arial"/>
          <w:lang w:val="fr-FR"/>
        </w:rPr>
        <w:t xml:space="preserve"> :</w:t>
      </w:r>
    </w:p>
    <w:p w14:paraId="1D2AB570" w14:textId="77777777" w:rsidR="008B1B57" w:rsidRPr="00695AAD" w:rsidRDefault="008B1B57" w:rsidP="00743E7C">
      <w:pPr>
        <w:pStyle w:val="Secondnumbering"/>
        <w:numPr>
          <w:ilvl w:val="0"/>
          <w:numId w:val="0"/>
        </w:numPr>
        <w:ind w:left="900" w:hanging="360"/>
        <w:rPr>
          <w:lang w:val="fr-FR"/>
        </w:rPr>
      </w:pPr>
    </w:p>
    <w:p w14:paraId="0A7F3D8B" w14:textId="35375622" w:rsidR="000C349E" w:rsidRPr="00695AAD" w:rsidRDefault="008B1B57" w:rsidP="002B11B4">
      <w:pPr>
        <w:pStyle w:val="Secondnumbering"/>
        <w:ind w:left="1134" w:hanging="567"/>
        <w:rPr>
          <w:lang w:val="fr-FR"/>
        </w:rPr>
      </w:pPr>
      <w:r>
        <w:rPr>
          <w:rFonts w:cs="Arial"/>
          <w:lang w:val="fr-FR"/>
        </w:rPr>
        <w:t>d'adopter les projets de Décision figurant à l'</w:t>
      </w:r>
      <w:r w:rsidR="00E26010">
        <w:rPr>
          <w:rFonts w:cs="Arial"/>
          <w:lang w:val="fr-FR"/>
        </w:rPr>
        <w:t>A</w:t>
      </w:r>
      <w:r>
        <w:rPr>
          <w:rFonts w:cs="Arial"/>
          <w:lang w:val="fr-FR"/>
        </w:rPr>
        <w:t>nnexe 1 du présent document ;</w:t>
      </w:r>
    </w:p>
    <w:p w14:paraId="648DCE6F" w14:textId="064DA1A1" w:rsidR="00C15318" w:rsidRPr="00695AAD" w:rsidRDefault="00C15318" w:rsidP="00C15318">
      <w:pPr>
        <w:pStyle w:val="ListParagraph"/>
        <w:spacing w:after="0" w:line="240" w:lineRule="auto"/>
        <w:contextualSpacing w:val="0"/>
        <w:rPr>
          <w:rFonts w:cs="Arial"/>
          <w:lang w:val="fr-FR"/>
        </w:rPr>
      </w:pPr>
    </w:p>
    <w:p w14:paraId="683D566A" w14:textId="651AD6D2" w:rsidR="00DD07FD" w:rsidRDefault="00831DC2" w:rsidP="002B11B4">
      <w:pPr>
        <w:pStyle w:val="Secondnumbering"/>
        <w:ind w:left="1134" w:hanging="567"/>
        <w:rPr>
          <w:lang w:val="fr-FR"/>
        </w:rPr>
        <w:sectPr w:rsidR="00DD07FD" w:rsidSect="0060464C">
          <w:headerReference w:type="even" r:id="rId20"/>
          <w:headerReference w:type="default" r:id="rId21"/>
          <w:footerReference w:type="default" r:id="rId22"/>
          <w:headerReference w:type="first" r:id="rId23"/>
          <w:footerReference w:type="first" r:id="rId24"/>
          <w:pgSz w:w="11906" w:h="16838" w:code="9"/>
          <w:pgMar w:top="1440" w:right="1440" w:bottom="1440" w:left="1440" w:header="720" w:footer="720" w:gutter="0"/>
          <w:pgNumType w:start="2"/>
          <w:cols w:space="720"/>
          <w:titlePg/>
          <w:docGrid w:linePitch="360"/>
        </w:sectPr>
      </w:pPr>
      <w:r>
        <w:rPr>
          <w:rFonts w:cs="Arial"/>
          <w:lang w:val="fr-FR"/>
        </w:rPr>
        <w:t>de supprimer les Décisions 13.76 à 13.79.</w:t>
      </w:r>
    </w:p>
    <w:p w14:paraId="14291FF7" w14:textId="768E7DA5" w:rsidR="00DD07FD" w:rsidRPr="00CD0FE9" w:rsidRDefault="00DD07FD" w:rsidP="00DD07FD">
      <w:pPr>
        <w:spacing w:after="0" w:line="240" w:lineRule="auto"/>
        <w:jc w:val="right"/>
        <w:rPr>
          <w:rFonts w:cs="Arial"/>
          <w:b/>
          <w:bCs/>
          <w:caps/>
          <w:lang w:val="fr-FR"/>
        </w:rPr>
      </w:pPr>
      <w:r>
        <w:rPr>
          <w:rFonts w:cs="Arial"/>
          <w:b/>
          <w:caps/>
          <w:lang w:val="fr-FR"/>
        </w:rPr>
        <w:lastRenderedPageBreak/>
        <w:t>Annexe 1</w:t>
      </w:r>
    </w:p>
    <w:p w14:paraId="08BBF916" w14:textId="77777777" w:rsidR="00DD07FD" w:rsidRPr="00CD0FE9" w:rsidRDefault="00DD07FD" w:rsidP="00DD07FD">
      <w:pPr>
        <w:spacing w:after="0" w:line="240" w:lineRule="auto"/>
        <w:rPr>
          <w:rFonts w:cs="Arial"/>
          <w:lang w:val="fr-FR"/>
        </w:rPr>
      </w:pPr>
    </w:p>
    <w:p w14:paraId="202ABD7A" w14:textId="1DEF5A54" w:rsidR="00EE7D9B" w:rsidRPr="00C92714" w:rsidRDefault="00DD07FD" w:rsidP="00C92714">
      <w:pPr>
        <w:spacing w:after="0" w:line="240" w:lineRule="auto"/>
        <w:jc w:val="center"/>
        <w:rPr>
          <w:rFonts w:cs="Arial"/>
          <w:lang w:val="fr-FR"/>
        </w:rPr>
      </w:pPr>
      <w:r>
        <w:rPr>
          <w:rFonts w:cs="Arial"/>
          <w:lang w:val="fr-FR"/>
        </w:rPr>
        <w:t>PROJET DE DÉCISION</w:t>
      </w:r>
      <w:r w:rsidR="004B7904">
        <w:rPr>
          <w:rFonts w:cs="Arial"/>
          <w:lang w:val="fr-FR"/>
        </w:rPr>
        <w:t>S</w:t>
      </w:r>
      <w:r>
        <w:rPr>
          <w:rFonts w:cs="Arial"/>
          <w:lang w:val="fr-FR"/>
        </w:rPr>
        <w:t xml:space="preserve"> </w:t>
      </w:r>
    </w:p>
    <w:p w14:paraId="6188D398" w14:textId="77777777" w:rsidR="00DD07FD" w:rsidRPr="00CD0FE9" w:rsidRDefault="00DD07FD" w:rsidP="00DD07FD">
      <w:pPr>
        <w:spacing w:after="0" w:line="240" w:lineRule="auto"/>
        <w:jc w:val="center"/>
        <w:rPr>
          <w:rFonts w:cs="Arial"/>
          <w:lang w:val="fr-FR"/>
        </w:rPr>
      </w:pPr>
    </w:p>
    <w:p w14:paraId="592A486E" w14:textId="47F7C7B1" w:rsidR="00DD07FD" w:rsidRDefault="00993D37"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Pr>
          <w:rFonts w:cs="Arial"/>
          <w:b/>
          <w:caps/>
          <w:lang w:val="fr-FR"/>
        </w:rPr>
        <w:t>Anguille d'Europe</w:t>
      </w:r>
    </w:p>
    <w:p w14:paraId="44CB451B" w14:textId="77777777" w:rsidR="00DD07FD" w:rsidRDefault="00DD07FD" w:rsidP="00DD07FD">
      <w:pPr>
        <w:spacing w:after="0" w:line="240" w:lineRule="auto"/>
        <w:jc w:val="both"/>
        <w:rPr>
          <w:rFonts w:cs="Arial"/>
          <w:lang w:val="fr-FR"/>
        </w:rPr>
      </w:pPr>
    </w:p>
    <w:p w14:paraId="1377EFD7" w14:textId="77777777" w:rsidR="004B7904" w:rsidRPr="00CD0FE9" w:rsidRDefault="004B7904" w:rsidP="00DD07FD">
      <w:pPr>
        <w:spacing w:after="0" w:line="240" w:lineRule="auto"/>
        <w:jc w:val="both"/>
        <w:rPr>
          <w:rFonts w:cs="Arial"/>
          <w:lang w:val="fr-FR"/>
        </w:rPr>
      </w:pPr>
    </w:p>
    <w:p w14:paraId="06B3027D" w14:textId="5FF2A237" w:rsidR="00DD07FD" w:rsidRPr="00CD0FE9" w:rsidRDefault="004B7904" w:rsidP="00DD07FD">
      <w:pPr>
        <w:spacing w:after="0" w:line="240" w:lineRule="auto"/>
        <w:jc w:val="both"/>
        <w:rPr>
          <w:rFonts w:cs="Arial"/>
          <w:b/>
          <w:i/>
          <w:lang w:val="fr-FR"/>
        </w:rPr>
      </w:pPr>
      <w:r>
        <w:rPr>
          <w:rFonts w:cs="Arial"/>
          <w:b/>
          <w:i/>
          <w:lang w:val="fr-FR"/>
        </w:rPr>
        <w:t xml:space="preserve">Adressée aux </w:t>
      </w:r>
      <w:r w:rsidR="00DD07FD">
        <w:rPr>
          <w:rFonts w:cs="Arial"/>
          <w:b/>
          <w:i/>
          <w:lang w:val="fr-FR"/>
        </w:rPr>
        <w:t xml:space="preserve">Parties </w:t>
      </w:r>
    </w:p>
    <w:p w14:paraId="1C7323C1" w14:textId="77777777" w:rsidR="00DD07FD" w:rsidRPr="00CD0FE9" w:rsidRDefault="00DD07FD" w:rsidP="004B7904">
      <w:pPr>
        <w:tabs>
          <w:tab w:val="left" w:pos="1701"/>
        </w:tabs>
        <w:spacing w:after="0" w:line="240" w:lineRule="auto"/>
        <w:jc w:val="both"/>
        <w:rPr>
          <w:rFonts w:cs="Arial"/>
          <w:lang w:val="fr-FR"/>
        </w:rPr>
      </w:pPr>
    </w:p>
    <w:p w14:paraId="46A56660" w14:textId="2521F16A" w:rsidR="00E71F4E" w:rsidRPr="008642AD" w:rsidRDefault="00DD07FD" w:rsidP="008642AD">
      <w:pPr>
        <w:spacing w:after="0" w:line="240" w:lineRule="auto"/>
        <w:ind w:left="851" w:hanging="851"/>
        <w:jc w:val="both"/>
        <w:rPr>
          <w:rFonts w:cs="Arial"/>
          <w:iCs/>
          <w:lang w:val="fr-FR"/>
        </w:rPr>
      </w:pPr>
      <w:r>
        <w:rPr>
          <w:rFonts w:cs="Arial"/>
          <w:lang w:val="fr-FR"/>
        </w:rPr>
        <w:t>14.AA</w:t>
      </w:r>
      <w:r w:rsidR="008642AD">
        <w:rPr>
          <w:rFonts w:cs="Arial"/>
          <w:lang w:val="fr-FR"/>
        </w:rPr>
        <w:tab/>
      </w:r>
      <w:r w:rsidR="004B7904" w:rsidRPr="008642AD">
        <w:rPr>
          <w:rFonts w:cs="Arial"/>
          <w:color w:val="333333"/>
          <w:shd w:val="clear" w:color="auto" w:fill="FFFFFF"/>
          <w:lang w:val="fr-FR"/>
        </w:rPr>
        <w:t>Les Parties qui sont des États de l’aire de répartition de l’anguille d’Europe sont instamment priées de soutenir l’élaboration du Plan d’action, ainsi que pour la convocation d’une réunion des États de l’aire de répartition pour le finaliser.</w:t>
      </w:r>
    </w:p>
    <w:p w14:paraId="372C0BCC" w14:textId="77777777" w:rsidR="00DD07FD" w:rsidRPr="008642AD" w:rsidRDefault="00DD07FD" w:rsidP="00DD07FD">
      <w:pPr>
        <w:spacing w:after="0" w:line="240" w:lineRule="auto"/>
        <w:jc w:val="both"/>
        <w:rPr>
          <w:rFonts w:cs="Arial"/>
          <w:lang w:val="fr-FR"/>
        </w:rPr>
      </w:pPr>
    </w:p>
    <w:p w14:paraId="224B9176" w14:textId="77777777" w:rsidR="00DD07FD" w:rsidRPr="00CD0FE9" w:rsidRDefault="00DD07FD" w:rsidP="00DD07FD">
      <w:pPr>
        <w:spacing w:after="0" w:line="240" w:lineRule="auto"/>
        <w:jc w:val="both"/>
        <w:rPr>
          <w:rFonts w:cs="Arial"/>
          <w:lang w:val="fr-FR"/>
        </w:rPr>
      </w:pPr>
    </w:p>
    <w:p w14:paraId="4FAAB4D9" w14:textId="73EB3ED8" w:rsidR="00DD07FD" w:rsidRPr="004B7904" w:rsidRDefault="004B7904" w:rsidP="00DD07FD">
      <w:pPr>
        <w:spacing w:after="0" w:line="240" w:lineRule="auto"/>
        <w:jc w:val="both"/>
        <w:rPr>
          <w:rFonts w:cs="Arial"/>
          <w:b/>
          <w:i/>
          <w:lang w:val="fr-FR"/>
        </w:rPr>
      </w:pPr>
      <w:r>
        <w:rPr>
          <w:rFonts w:cs="Arial"/>
          <w:b/>
          <w:i/>
          <w:lang w:val="fr-FR"/>
        </w:rPr>
        <w:t xml:space="preserve">Adressée </w:t>
      </w:r>
      <w:r w:rsidR="00DD07FD" w:rsidRPr="004B7904">
        <w:rPr>
          <w:rFonts w:cs="Arial"/>
          <w:b/>
          <w:i/>
          <w:lang w:val="fr-FR"/>
        </w:rPr>
        <w:t>aux organisations intergouvernementales et non gouvernementales</w:t>
      </w:r>
    </w:p>
    <w:p w14:paraId="62E8CC69" w14:textId="77777777" w:rsidR="00DD07FD" w:rsidRPr="004B7904" w:rsidRDefault="00DD07FD" w:rsidP="00DD07FD">
      <w:pPr>
        <w:spacing w:after="0" w:line="240" w:lineRule="auto"/>
        <w:jc w:val="both"/>
        <w:rPr>
          <w:rFonts w:cs="Arial"/>
          <w:lang w:val="fr-FR"/>
        </w:rPr>
      </w:pPr>
    </w:p>
    <w:p w14:paraId="3F678692" w14:textId="40288FB3" w:rsidR="004B7904" w:rsidRPr="004B7904" w:rsidRDefault="00DD07FD" w:rsidP="008642AD">
      <w:pPr>
        <w:ind w:left="851" w:hanging="851"/>
        <w:jc w:val="both"/>
        <w:rPr>
          <w:rFonts w:eastAsia="Times New Roman" w:cs="Arial"/>
          <w:color w:val="333333"/>
          <w:lang w:val="fr-FR"/>
        </w:rPr>
      </w:pPr>
      <w:r w:rsidRPr="004B7904">
        <w:rPr>
          <w:rFonts w:cs="Arial"/>
          <w:lang w:val="fr-FR"/>
        </w:rPr>
        <w:t xml:space="preserve">14.BB </w:t>
      </w:r>
      <w:r w:rsidR="004B7904">
        <w:rPr>
          <w:rFonts w:cs="Arial"/>
          <w:lang w:val="fr-FR"/>
        </w:rPr>
        <w:tab/>
      </w:r>
      <w:r w:rsidR="004B7904" w:rsidRPr="004B7904">
        <w:rPr>
          <w:rFonts w:eastAsia="Times New Roman" w:cs="Arial"/>
          <w:color w:val="333333"/>
          <w:lang w:val="fr-FR"/>
        </w:rPr>
        <w:t>Les organisations intergouvernementales et non gouvernementales sont instamment priées de fournir l’expertise et les fonds pour l’élaboration du Plan, ainsi que pour la convocation d’une réunion des États de l’aire de répartition en vue de finaliser ce plan.</w:t>
      </w:r>
    </w:p>
    <w:p w14:paraId="1EAA37D2" w14:textId="01A276E5" w:rsidR="00DD07FD" w:rsidRPr="004B7904" w:rsidRDefault="00DD07FD" w:rsidP="00080387">
      <w:pPr>
        <w:spacing w:after="0" w:line="240" w:lineRule="auto"/>
        <w:ind w:left="851" w:hanging="851"/>
        <w:jc w:val="both"/>
        <w:rPr>
          <w:rFonts w:cs="Arial"/>
          <w:lang w:val="fr-FR"/>
        </w:rPr>
      </w:pPr>
    </w:p>
    <w:p w14:paraId="032C32E8" w14:textId="77777777" w:rsidR="00DD07FD" w:rsidRPr="004B7904" w:rsidRDefault="00DD07FD" w:rsidP="00DD07FD">
      <w:pPr>
        <w:spacing w:after="0" w:line="240" w:lineRule="auto"/>
        <w:jc w:val="both"/>
        <w:rPr>
          <w:rFonts w:cs="Arial"/>
          <w:b/>
          <w:i/>
          <w:lang w:val="fr-FR"/>
        </w:rPr>
      </w:pPr>
    </w:p>
    <w:p w14:paraId="51A9A9EC" w14:textId="2FD8FEC4" w:rsidR="00DD07FD" w:rsidRPr="004B7904" w:rsidRDefault="004B7904" w:rsidP="00DD07FD">
      <w:pPr>
        <w:spacing w:after="0" w:line="240" w:lineRule="auto"/>
        <w:jc w:val="both"/>
        <w:rPr>
          <w:rFonts w:cs="Arial"/>
          <w:b/>
          <w:i/>
          <w:lang w:val="fr-FR"/>
        </w:rPr>
      </w:pPr>
      <w:r>
        <w:rPr>
          <w:rFonts w:cs="Arial"/>
          <w:b/>
          <w:i/>
          <w:lang w:val="fr-FR"/>
        </w:rPr>
        <w:t>Adressée au</w:t>
      </w:r>
      <w:r w:rsidR="00DD07FD" w:rsidRPr="004B7904">
        <w:rPr>
          <w:rFonts w:cs="Arial"/>
          <w:b/>
          <w:i/>
          <w:lang w:val="fr-FR"/>
        </w:rPr>
        <w:t xml:space="preserve"> Comité permanent</w:t>
      </w:r>
    </w:p>
    <w:p w14:paraId="74E8B30D" w14:textId="77777777" w:rsidR="00DD07FD" w:rsidRPr="004B7904" w:rsidRDefault="00DD07FD" w:rsidP="00DD07FD">
      <w:pPr>
        <w:spacing w:after="0" w:line="240" w:lineRule="auto"/>
        <w:jc w:val="both"/>
        <w:rPr>
          <w:rFonts w:cs="Arial"/>
          <w:lang w:val="fr-FR"/>
        </w:rPr>
      </w:pPr>
    </w:p>
    <w:p w14:paraId="27CF2459" w14:textId="3E9BAC9C" w:rsidR="00DD07FD" w:rsidRPr="0045531B" w:rsidRDefault="00DD07FD" w:rsidP="0045531B">
      <w:pPr>
        <w:spacing w:after="0" w:line="240" w:lineRule="auto"/>
        <w:ind w:left="851" w:hanging="851"/>
        <w:jc w:val="both"/>
        <w:rPr>
          <w:rFonts w:eastAsia="Times New Roman" w:cs="Arial"/>
          <w:lang w:val="fr-FR"/>
        </w:rPr>
      </w:pPr>
      <w:r w:rsidRPr="0045531B">
        <w:rPr>
          <w:rFonts w:cs="Arial"/>
          <w:lang w:val="fr-FR"/>
        </w:rPr>
        <w:t>14.CC</w:t>
      </w:r>
      <w:r w:rsidR="004B7904" w:rsidRPr="0045531B">
        <w:rPr>
          <w:rFonts w:cs="Arial"/>
          <w:lang w:val="fr-FR"/>
        </w:rPr>
        <w:tab/>
      </w:r>
      <w:r w:rsidR="004B7904" w:rsidRPr="0045531B">
        <w:rPr>
          <w:rFonts w:cs="Arial"/>
          <w:color w:val="333333"/>
          <w:shd w:val="clear" w:color="auto" w:fill="FFFFFF"/>
          <w:lang w:val="fr-FR"/>
        </w:rPr>
        <w:t xml:space="preserve">Le Comité permanent adopte le Plan d’action si celui-ci est soumis </w:t>
      </w:r>
      <w:r w:rsidR="0045531B" w:rsidRPr="0045531B">
        <w:rPr>
          <w:rFonts w:cs="Arial"/>
          <w:color w:val="333333"/>
          <w:shd w:val="clear" w:color="auto" w:fill="FFFFFF"/>
          <w:lang w:val="fr-FR"/>
        </w:rPr>
        <w:t xml:space="preserve">à </w:t>
      </w:r>
      <w:r w:rsidR="004B7904" w:rsidRPr="0045531B">
        <w:rPr>
          <w:rFonts w:cs="Arial"/>
          <w:color w:val="333333"/>
          <w:shd w:val="clear" w:color="auto" w:fill="FFFFFF"/>
          <w:lang w:val="fr-FR"/>
        </w:rPr>
        <w:t>une des réunions avant la COP15.</w:t>
      </w:r>
    </w:p>
    <w:p w14:paraId="747DE060" w14:textId="77777777" w:rsidR="000E052A" w:rsidRDefault="000E052A" w:rsidP="007D1EA2">
      <w:pPr>
        <w:spacing w:after="0" w:line="240" w:lineRule="auto"/>
        <w:ind w:left="851" w:hanging="851"/>
        <w:jc w:val="both"/>
        <w:rPr>
          <w:rFonts w:cs="Arial"/>
          <w:b/>
          <w:i/>
          <w:lang w:val="fr-FR"/>
        </w:rPr>
      </w:pPr>
    </w:p>
    <w:p w14:paraId="705D1F70" w14:textId="77777777" w:rsidR="0094022D" w:rsidRPr="004B7904" w:rsidRDefault="0094022D" w:rsidP="007D1EA2">
      <w:pPr>
        <w:spacing w:after="0" w:line="240" w:lineRule="auto"/>
        <w:ind w:left="851" w:hanging="851"/>
        <w:jc w:val="both"/>
        <w:rPr>
          <w:rFonts w:cs="Arial"/>
          <w:b/>
          <w:i/>
          <w:lang w:val="fr-FR"/>
        </w:rPr>
      </w:pPr>
    </w:p>
    <w:p w14:paraId="50B23BA1" w14:textId="7FA684AB" w:rsidR="00DD07FD" w:rsidRPr="004B7904" w:rsidRDefault="004B7904" w:rsidP="00DD07FD">
      <w:pPr>
        <w:spacing w:after="0" w:line="240" w:lineRule="auto"/>
        <w:jc w:val="both"/>
        <w:rPr>
          <w:rFonts w:cs="Arial"/>
          <w:b/>
          <w:i/>
          <w:lang w:val="fr-FR"/>
        </w:rPr>
      </w:pPr>
      <w:r>
        <w:rPr>
          <w:rFonts w:cs="Arial"/>
          <w:b/>
          <w:i/>
          <w:lang w:val="fr-FR"/>
        </w:rPr>
        <w:t>Adressée au</w:t>
      </w:r>
      <w:r w:rsidR="00DD07FD" w:rsidRPr="004B7904">
        <w:rPr>
          <w:rFonts w:cs="Arial"/>
          <w:b/>
          <w:i/>
          <w:lang w:val="fr-FR"/>
        </w:rPr>
        <w:t xml:space="preserve"> Secrétariat</w:t>
      </w:r>
    </w:p>
    <w:p w14:paraId="60A66C66" w14:textId="77777777" w:rsidR="00DD07FD" w:rsidRPr="004B7904" w:rsidRDefault="00DD07FD" w:rsidP="00DD07FD">
      <w:pPr>
        <w:spacing w:after="0" w:line="240" w:lineRule="auto"/>
        <w:jc w:val="both"/>
        <w:rPr>
          <w:rFonts w:cs="Arial"/>
          <w:lang w:val="fr-FR"/>
        </w:rPr>
      </w:pPr>
    </w:p>
    <w:p w14:paraId="2C9E452B" w14:textId="7458A8AA" w:rsidR="00F061FF" w:rsidRPr="004B7904" w:rsidRDefault="00DD07FD" w:rsidP="0045531B">
      <w:pPr>
        <w:spacing w:after="0" w:line="240" w:lineRule="auto"/>
        <w:ind w:left="851" w:hanging="851"/>
        <w:jc w:val="both"/>
        <w:rPr>
          <w:rFonts w:eastAsia="Times New Roman" w:cs="Arial"/>
          <w:lang w:val="fr-FR"/>
        </w:rPr>
      </w:pPr>
      <w:r w:rsidRPr="004B7904">
        <w:rPr>
          <w:rFonts w:cs="Arial"/>
          <w:lang w:val="fr-FR"/>
        </w:rPr>
        <w:t>14.DD</w:t>
      </w:r>
      <w:r w:rsidRPr="004B7904">
        <w:rPr>
          <w:rFonts w:eastAsia="Times New Roman" w:cs="Arial"/>
          <w:lang w:val="fr-FR"/>
        </w:rPr>
        <w:t xml:space="preserve"> </w:t>
      </w:r>
      <w:r w:rsidR="004B7904">
        <w:rPr>
          <w:rFonts w:eastAsia="Times New Roman" w:cs="Arial"/>
          <w:lang w:val="fr-FR"/>
        </w:rPr>
        <w:tab/>
      </w:r>
      <w:r w:rsidR="004B7904" w:rsidRPr="004B7904">
        <w:rPr>
          <w:rFonts w:eastAsia="Times New Roman" w:cs="Arial"/>
          <w:lang w:val="fr-FR"/>
        </w:rPr>
        <w:t>Le Secrétariat est chargé, sous réserve de la disponibilité des ressources</w:t>
      </w:r>
      <w:r w:rsidR="004B7904">
        <w:rPr>
          <w:rFonts w:eastAsia="Times New Roman" w:cs="Arial"/>
          <w:lang w:val="fr-FR"/>
        </w:rPr>
        <w:t xml:space="preserve"> </w:t>
      </w:r>
      <w:r w:rsidR="004B7904" w:rsidRPr="004B7904">
        <w:rPr>
          <w:rFonts w:eastAsia="Times New Roman" w:cs="Arial"/>
          <w:lang w:val="fr-FR"/>
        </w:rPr>
        <w:t>nécessaires</w:t>
      </w:r>
      <w:r w:rsidRPr="004B7904">
        <w:rPr>
          <w:rFonts w:eastAsia="Times New Roman" w:cs="Arial"/>
          <w:lang w:val="fr-FR"/>
        </w:rPr>
        <w:t xml:space="preserve">: </w:t>
      </w:r>
    </w:p>
    <w:p w14:paraId="2A808C27" w14:textId="77777777" w:rsidR="00F061FF" w:rsidRPr="004B7904" w:rsidRDefault="00F061FF" w:rsidP="004B7904">
      <w:pPr>
        <w:spacing w:after="0" w:line="240" w:lineRule="auto"/>
        <w:ind w:left="1701" w:hanging="1701"/>
        <w:rPr>
          <w:rFonts w:eastAsia="Times New Roman" w:cs="Arial"/>
          <w:lang w:val="fr-FR"/>
        </w:rPr>
      </w:pPr>
    </w:p>
    <w:p w14:paraId="6FA22A83" w14:textId="1D38ABF3" w:rsidR="00F061FF" w:rsidRPr="0045531B" w:rsidRDefault="0045531B" w:rsidP="0045531B">
      <w:pPr>
        <w:pStyle w:val="ListParagraph"/>
        <w:numPr>
          <w:ilvl w:val="0"/>
          <w:numId w:val="24"/>
        </w:numPr>
        <w:spacing w:after="0" w:line="240" w:lineRule="auto"/>
        <w:ind w:left="1418" w:hanging="567"/>
        <w:jc w:val="both"/>
        <w:rPr>
          <w:rFonts w:eastAsia="Times New Roman" w:cs="Arial"/>
          <w:lang w:val="fr-FR"/>
        </w:rPr>
      </w:pPr>
      <w:r>
        <w:rPr>
          <w:rFonts w:cs="Arial"/>
          <w:color w:val="333333"/>
          <w:shd w:val="clear" w:color="auto" w:fill="FFFFFF"/>
          <w:lang w:val="fr-FR"/>
        </w:rPr>
        <w:t>de finaliser</w:t>
      </w:r>
      <w:r w:rsidR="004B7904" w:rsidRPr="0045531B">
        <w:rPr>
          <w:rFonts w:cs="Arial"/>
          <w:color w:val="333333"/>
          <w:shd w:val="clear" w:color="auto" w:fill="FFFFFF"/>
          <w:lang w:val="fr-FR"/>
        </w:rPr>
        <w:t xml:space="preserve"> un projet de Plan d’action pour l’anguille d’Europe (</w:t>
      </w:r>
      <w:r w:rsidR="004B7904" w:rsidRPr="0045531B">
        <w:rPr>
          <w:rFonts w:cs="Arial"/>
          <w:i/>
          <w:iCs/>
          <w:color w:val="333333"/>
          <w:shd w:val="clear" w:color="auto" w:fill="FFFFFF"/>
          <w:lang w:val="fr-FR"/>
        </w:rPr>
        <w:t>Anguilla anguilla</w:t>
      </w:r>
      <w:r w:rsidR="004B7904" w:rsidRPr="0045531B">
        <w:rPr>
          <w:rFonts w:cs="Arial"/>
          <w:color w:val="333333"/>
          <w:shd w:val="clear" w:color="auto" w:fill="FFFFFF"/>
          <w:lang w:val="fr-FR"/>
        </w:rPr>
        <w:t>)</w:t>
      </w:r>
      <w:r>
        <w:rPr>
          <w:rFonts w:cs="Arial"/>
          <w:color w:val="333333"/>
          <w:shd w:val="clear" w:color="auto" w:fill="FFFFFF"/>
          <w:lang w:val="fr-FR"/>
        </w:rPr>
        <w:t> ;</w:t>
      </w:r>
    </w:p>
    <w:p w14:paraId="7F8EFF1D" w14:textId="77777777" w:rsidR="00F061FF" w:rsidRPr="004B7904" w:rsidRDefault="00F061FF" w:rsidP="0045531B">
      <w:pPr>
        <w:spacing w:after="0" w:line="240" w:lineRule="auto"/>
        <w:ind w:left="1418" w:hanging="567"/>
        <w:jc w:val="both"/>
        <w:rPr>
          <w:rFonts w:eastAsia="Times New Roman" w:cs="Arial"/>
          <w:lang w:val="fr-FR"/>
        </w:rPr>
      </w:pPr>
    </w:p>
    <w:p w14:paraId="7C4C07C8" w14:textId="43A71C14" w:rsidR="00F061FF" w:rsidRPr="004A5785" w:rsidRDefault="005B15D5" w:rsidP="0045531B">
      <w:pPr>
        <w:spacing w:after="0" w:line="240" w:lineRule="auto"/>
        <w:ind w:left="1418" w:hanging="567"/>
        <w:jc w:val="both"/>
        <w:rPr>
          <w:rFonts w:eastAsia="Times New Roman" w:cs="Arial"/>
          <w:lang w:val="fr-FR"/>
        </w:rPr>
      </w:pPr>
      <w:r w:rsidRPr="004A5785">
        <w:rPr>
          <w:rFonts w:eastAsia="Times New Roman" w:cs="Arial"/>
          <w:lang w:val="fr-FR"/>
        </w:rPr>
        <w:t xml:space="preserve">b) </w:t>
      </w:r>
      <w:r w:rsidR="0045531B">
        <w:rPr>
          <w:rFonts w:eastAsia="Times New Roman" w:cs="Arial"/>
          <w:lang w:val="fr-FR"/>
        </w:rPr>
        <w:tab/>
      </w:r>
      <w:r w:rsidR="004B7904" w:rsidRPr="004A5785">
        <w:rPr>
          <w:rFonts w:cs="Arial"/>
          <w:color w:val="333333"/>
          <w:shd w:val="clear" w:color="auto" w:fill="FFFFFF"/>
          <w:lang w:val="fr-FR"/>
        </w:rPr>
        <w:t>d’organiser des consultations entre les États de l’aire de répartition et les OIG et ONG concernées sur le projet de Plan d’action, par correspondance et si le financement le permet, en convoquant une autre réunion des États de l’aire de répartition</w:t>
      </w:r>
    </w:p>
    <w:p w14:paraId="4DB57263" w14:textId="77777777" w:rsidR="00F061FF" w:rsidRPr="004B7904" w:rsidRDefault="00F061FF" w:rsidP="0045531B">
      <w:pPr>
        <w:spacing w:after="0" w:line="240" w:lineRule="auto"/>
        <w:ind w:left="1418" w:hanging="567"/>
        <w:jc w:val="both"/>
        <w:rPr>
          <w:rFonts w:eastAsia="Times New Roman" w:cs="Arial"/>
          <w:lang w:val="fr-FR"/>
        </w:rPr>
      </w:pPr>
    </w:p>
    <w:p w14:paraId="4B917A57" w14:textId="7CED0E78" w:rsidR="005B15D5" w:rsidRPr="0045531B" w:rsidRDefault="005B15D5" w:rsidP="0045531B">
      <w:pPr>
        <w:spacing w:after="0" w:line="240" w:lineRule="auto"/>
        <w:ind w:left="1418" w:hanging="567"/>
        <w:jc w:val="both"/>
        <w:rPr>
          <w:rFonts w:eastAsia="Times New Roman" w:cs="Arial"/>
          <w:b/>
          <w:i/>
          <w:lang w:val="fr-FR"/>
        </w:rPr>
      </w:pPr>
      <w:r w:rsidRPr="0045531B">
        <w:rPr>
          <w:rFonts w:eastAsia="Times New Roman" w:cs="Arial"/>
          <w:lang w:val="fr-FR"/>
        </w:rPr>
        <w:t xml:space="preserve">c) </w:t>
      </w:r>
      <w:r w:rsidR="0045531B">
        <w:rPr>
          <w:rFonts w:eastAsia="Times New Roman" w:cs="Arial"/>
          <w:lang w:val="fr-FR"/>
        </w:rPr>
        <w:tab/>
      </w:r>
      <w:r w:rsidR="004B7904" w:rsidRPr="0045531B">
        <w:rPr>
          <w:rFonts w:cs="Arial"/>
          <w:color w:val="333333"/>
          <w:shd w:val="clear" w:color="auto" w:fill="FFFFFF"/>
          <w:lang w:val="fr-FR"/>
        </w:rPr>
        <w:t xml:space="preserve">de soumettre le projet de plan au Comité permanent à </w:t>
      </w:r>
      <w:r w:rsidR="004A5785" w:rsidRPr="0045531B">
        <w:rPr>
          <w:rFonts w:cs="Arial"/>
          <w:color w:val="333333"/>
          <w:shd w:val="clear" w:color="auto" w:fill="FFFFFF"/>
          <w:lang w:val="fr-FR"/>
        </w:rPr>
        <w:t xml:space="preserve">une des réunions avant la COP15 </w:t>
      </w:r>
      <w:r w:rsidR="004B7904" w:rsidRPr="0045531B">
        <w:rPr>
          <w:rFonts w:cs="Arial"/>
          <w:color w:val="333333"/>
          <w:shd w:val="clear" w:color="auto" w:fill="FFFFFF"/>
          <w:lang w:val="fr-FR"/>
        </w:rPr>
        <w:t>pour adoption ou, s’il n’est pas finalisé à temps, à la 1</w:t>
      </w:r>
      <w:r w:rsidR="004A5785" w:rsidRPr="0045531B">
        <w:rPr>
          <w:rFonts w:cs="Arial"/>
          <w:color w:val="333333"/>
          <w:shd w:val="clear" w:color="auto" w:fill="FFFFFF"/>
          <w:lang w:val="fr-FR"/>
        </w:rPr>
        <w:t>5</w:t>
      </w:r>
      <w:r w:rsidR="004B7904" w:rsidRPr="0045531B">
        <w:rPr>
          <w:rFonts w:cs="Arial"/>
          <w:color w:val="333333"/>
          <w:shd w:val="clear" w:color="auto" w:fill="FFFFFF"/>
          <w:vertAlign w:val="superscript"/>
          <w:lang w:val="fr-FR"/>
        </w:rPr>
        <w:t>e</w:t>
      </w:r>
      <w:r w:rsidR="004B7904" w:rsidRPr="0045531B">
        <w:rPr>
          <w:rFonts w:cs="Arial"/>
          <w:color w:val="333333"/>
          <w:shd w:val="clear" w:color="auto" w:fill="FFFFFF"/>
          <w:lang w:val="fr-FR"/>
        </w:rPr>
        <w:t xml:space="preserve"> </w:t>
      </w:r>
      <w:r w:rsidR="004A5785" w:rsidRPr="0045531B">
        <w:rPr>
          <w:rFonts w:cs="Arial"/>
          <w:color w:val="333333"/>
          <w:shd w:val="clear" w:color="auto" w:fill="FFFFFF"/>
          <w:lang w:val="fr-FR"/>
        </w:rPr>
        <w:t xml:space="preserve">réunion </w:t>
      </w:r>
      <w:r w:rsidR="004B7904" w:rsidRPr="0045531B">
        <w:rPr>
          <w:rFonts w:cs="Arial"/>
          <w:color w:val="333333"/>
          <w:shd w:val="clear" w:color="auto" w:fill="FFFFFF"/>
          <w:lang w:val="fr-FR"/>
        </w:rPr>
        <w:t>de la Conférence des Parties.</w:t>
      </w:r>
    </w:p>
    <w:p w14:paraId="7A20D774" w14:textId="77777777" w:rsidR="00EF7ADB" w:rsidRDefault="00EF7ADB" w:rsidP="00DD07FD">
      <w:pPr>
        <w:pStyle w:val="Secondnumbering"/>
        <w:numPr>
          <w:ilvl w:val="0"/>
          <w:numId w:val="0"/>
        </w:numPr>
        <w:rPr>
          <w:lang w:val="fr-FR"/>
        </w:rPr>
      </w:pPr>
    </w:p>
    <w:p w14:paraId="28B375A9" w14:textId="28E79A57" w:rsidR="004A5785" w:rsidRDefault="004A5785" w:rsidP="00DD07FD">
      <w:pPr>
        <w:pStyle w:val="Secondnumbering"/>
        <w:numPr>
          <w:ilvl w:val="0"/>
          <w:numId w:val="0"/>
        </w:numPr>
        <w:rPr>
          <w:lang w:val="fr-FR"/>
        </w:rPr>
      </w:pPr>
      <w:r>
        <w:rPr>
          <w:lang w:val="fr-FR"/>
        </w:rPr>
        <w:br w:type="page"/>
      </w:r>
    </w:p>
    <w:p w14:paraId="7375AAB8" w14:textId="52F0C7FE" w:rsidR="00E21E34" w:rsidRDefault="00E21E34" w:rsidP="00E21E34">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Pr>
          <w:rFonts w:cs="Arial"/>
          <w:b/>
          <w:caps/>
          <w:lang w:val="fr-FR"/>
        </w:rPr>
        <w:lastRenderedPageBreak/>
        <w:t>Poissons d'eau douce</w:t>
      </w:r>
    </w:p>
    <w:p w14:paraId="04233EA5" w14:textId="77777777" w:rsidR="00E21E34" w:rsidRPr="00CD0FE9" w:rsidRDefault="00E21E34" w:rsidP="00E21E34">
      <w:pPr>
        <w:spacing w:after="0" w:line="240" w:lineRule="auto"/>
        <w:jc w:val="both"/>
        <w:rPr>
          <w:rFonts w:cs="Arial"/>
          <w:lang w:val="fr-FR"/>
        </w:rPr>
      </w:pPr>
    </w:p>
    <w:p w14:paraId="572705B3" w14:textId="31BF700A" w:rsidR="00E21E34" w:rsidRPr="00CD0FE9" w:rsidRDefault="004A5785" w:rsidP="00E21E34">
      <w:pPr>
        <w:spacing w:after="0" w:line="240" w:lineRule="auto"/>
        <w:jc w:val="both"/>
        <w:rPr>
          <w:rFonts w:cs="Arial"/>
          <w:b/>
          <w:i/>
          <w:lang w:val="fr-FR"/>
        </w:rPr>
      </w:pPr>
      <w:r>
        <w:rPr>
          <w:rFonts w:cs="Arial"/>
          <w:b/>
          <w:i/>
          <w:lang w:val="fr-FR"/>
        </w:rPr>
        <w:t>Adressée aux</w:t>
      </w:r>
      <w:r w:rsidR="00E21E34">
        <w:rPr>
          <w:rFonts w:cs="Arial"/>
          <w:b/>
          <w:i/>
          <w:lang w:val="fr-FR"/>
        </w:rPr>
        <w:t xml:space="preserve"> Parties </w:t>
      </w:r>
    </w:p>
    <w:p w14:paraId="0F1281FE" w14:textId="77777777" w:rsidR="00E21E34" w:rsidRPr="00CD0FE9" w:rsidRDefault="00E21E34" w:rsidP="00E21E34">
      <w:pPr>
        <w:spacing w:after="0" w:line="240" w:lineRule="auto"/>
        <w:jc w:val="both"/>
        <w:rPr>
          <w:rFonts w:cs="Arial"/>
          <w:lang w:val="fr-FR"/>
        </w:rPr>
      </w:pPr>
    </w:p>
    <w:p w14:paraId="54119835" w14:textId="479C70A9" w:rsidR="00E21E34" w:rsidRPr="006361B1" w:rsidRDefault="00E21E34" w:rsidP="00E21E34">
      <w:pPr>
        <w:spacing w:after="0" w:line="240" w:lineRule="auto"/>
        <w:ind w:left="851" w:hanging="851"/>
        <w:jc w:val="both"/>
        <w:rPr>
          <w:rFonts w:cs="Arial"/>
          <w:iCs/>
          <w:lang w:val="fr-FR"/>
        </w:rPr>
      </w:pPr>
      <w:r>
        <w:rPr>
          <w:rFonts w:cs="Arial"/>
          <w:lang w:val="fr-FR"/>
        </w:rPr>
        <w:t>14.EE</w:t>
      </w:r>
      <w:r>
        <w:rPr>
          <w:rFonts w:cs="Arial"/>
          <w:lang w:val="fr-FR"/>
        </w:rPr>
        <w:tab/>
      </w:r>
      <w:r>
        <w:rPr>
          <w:rFonts w:cs="Arial"/>
          <w:iCs/>
          <w:lang w:val="fr-FR"/>
        </w:rPr>
        <w:t xml:space="preserve">Les Parties </w:t>
      </w:r>
      <w:r>
        <w:rPr>
          <w:rFonts w:eastAsia="Times New Roman" w:cs="Arial"/>
          <w:color w:val="333333"/>
          <w:lang w:val="fr-FR"/>
        </w:rPr>
        <w:t>sont invitées à</w:t>
      </w:r>
      <w:r>
        <w:rPr>
          <w:rFonts w:eastAsia="Times New Roman" w:cs="Arial"/>
          <w:iCs/>
          <w:color w:val="333333"/>
          <w:lang w:val="fr-FR"/>
        </w:rPr>
        <w:t xml:space="preserve"> </w:t>
      </w:r>
    </w:p>
    <w:p w14:paraId="4536FD2B" w14:textId="77777777" w:rsidR="00E21E34" w:rsidRDefault="00E21E34" w:rsidP="00E21E34">
      <w:pPr>
        <w:spacing w:after="0" w:line="240" w:lineRule="auto"/>
        <w:jc w:val="both"/>
        <w:rPr>
          <w:rFonts w:cs="Arial"/>
          <w:lang w:val="fr-FR"/>
        </w:rPr>
      </w:pPr>
    </w:p>
    <w:p w14:paraId="47371A47" w14:textId="29DAC8FD" w:rsidR="002D2755" w:rsidRDefault="00E26010" w:rsidP="0045531B">
      <w:pPr>
        <w:pStyle w:val="ListParagraph"/>
        <w:numPr>
          <w:ilvl w:val="0"/>
          <w:numId w:val="20"/>
        </w:numPr>
        <w:spacing w:after="0" w:line="240" w:lineRule="auto"/>
        <w:ind w:left="1418" w:hanging="567"/>
        <w:jc w:val="both"/>
        <w:rPr>
          <w:rFonts w:eastAsia="Times New Roman" w:cs="Arial"/>
          <w:color w:val="333333"/>
          <w:lang w:val="fr-FR"/>
        </w:rPr>
      </w:pPr>
      <w:r>
        <w:rPr>
          <w:rFonts w:eastAsia="Times New Roman" w:cs="Arial"/>
          <w:color w:val="333333"/>
          <w:lang w:val="fr-FR"/>
        </w:rPr>
        <w:t xml:space="preserve">promouvoir le </w:t>
      </w:r>
      <w:r w:rsidR="00CA44D1">
        <w:rPr>
          <w:rFonts w:eastAsia="Times New Roman" w:cs="Arial"/>
          <w:color w:val="333333"/>
          <w:lang w:val="fr-FR"/>
        </w:rPr>
        <w:t>partage des données sur les espèces de poissons d'eau douce qui sont des migrateurs transfrontaliers, y compris des données sur l'abondance actuelle de ces espèces, leur écologie et la dégradation de leur habitat, notamment pour les espèces figurant sur les listes rouges nationales, régionales ou mondiales ;</w:t>
      </w:r>
    </w:p>
    <w:p w14:paraId="27F7E824" w14:textId="77777777" w:rsidR="002D2755" w:rsidRDefault="002D2755" w:rsidP="0045531B">
      <w:pPr>
        <w:spacing w:after="0" w:line="240" w:lineRule="auto"/>
        <w:ind w:left="1418" w:hanging="567"/>
        <w:jc w:val="both"/>
        <w:rPr>
          <w:rFonts w:eastAsia="Times New Roman" w:cs="Arial"/>
          <w:color w:val="333333"/>
          <w:lang w:val="fr-FR"/>
        </w:rPr>
      </w:pPr>
    </w:p>
    <w:p w14:paraId="6C917874" w14:textId="58D0E992" w:rsidR="002D2755" w:rsidRDefault="00484246" w:rsidP="0045531B">
      <w:pPr>
        <w:pStyle w:val="ListParagraph"/>
        <w:numPr>
          <w:ilvl w:val="0"/>
          <w:numId w:val="20"/>
        </w:numPr>
        <w:spacing w:after="0" w:line="240" w:lineRule="auto"/>
        <w:ind w:left="1418" w:hanging="567"/>
        <w:jc w:val="both"/>
        <w:rPr>
          <w:rFonts w:eastAsia="Times New Roman" w:cs="Arial"/>
          <w:color w:val="333333"/>
          <w:lang w:val="fr-FR"/>
        </w:rPr>
      </w:pPr>
      <w:r>
        <w:rPr>
          <w:rFonts w:eastAsia="Times New Roman" w:cs="Arial"/>
          <w:color w:val="333333"/>
          <w:lang w:val="fr-FR"/>
        </w:rPr>
        <w:t xml:space="preserve">prendre des mesures concernant les barrages hydroélectriques pour atténuer les effets des obstacles établis dans les cours d'eau, comme la création de zones </w:t>
      </w:r>
      <w:r w:rsidR="00E26010">
        <w:rPr>
          <w:rFonts w:eastAsia="Times New Roman" w:cs="Arial"/>
          <w:color w:val="333333"/>
          <w:lang w:val="fr-FR"/>
        </w:rPr>
        <w:t>protégées</w:t>
      </w:r>
      <w:r>
        <w:rPr>
          <w:rFonts w:eastAsia="Times New Roman" w:cs="Arial"/>
          <w:color w:val="333333"/>
          <w:lang w:val="fr-FR"/>
        </w:rPr>
        <w:t xml:space="preserve"> </w:t>
      </w:r>
      <w:r w:rsidR="00E26010" w:rsidRPr="00E26010">
        <w:rPr>
          <w:rFonts w:eastAsia="Times New Roman" w:cs="Arial"/>
          <w:color w:val="333333"/>
          <w:lang w:val="fr-FR"/>
        </w:rPr>
        <w:t>et d'autres mesures efficaces de conservation par zone</w:t>
      </w:r>
      <w:r w:rsidR="00BF490F">
        <w:rPr>
          <w:rFonts w:eastAsia="Times New Roman" w:cs="Arial"/>
          <w:color w:val="333333"/>
          <w:lang w:val="fr-FR"/>
        </w:rPr>
        <w:t>,</w:t>
      </w:r>
      <w:r w:rsidR="00E26010" w:rsidRPr="00E26010">
        <w:rPr>
          <w:rFonts w:eastAsia="Times New Roman" w:cs="Arial"/>
          <w:color w:val="333333"/>
          <w:lang w:val="fr-FR"/>
        </w:rPr>
        <w:t xml:space="preserve"> </w:t>
      </w:r>
      <w:r>
        <w:rPr>
          <w:rFonts w:eastAsia="Times New Roman" w:cs="Arial"/>
          <w:color w:val="333333"/>
          <w:lang w:val="fr-FR"/>
        </w:rPr>
        <w:t>dans les plaines d'inondation supérieures et inférieures qui sont importantes pour les cycles d'alimentation et de frai des populations de poissons migrateurs sauvages;</w:t>
      </w:r>
    </w:p>
    <w:p w14:paraId="00D92E5F" w14:textId="77777777" w:rsidR="00BF490F" w:rsidRDefault="00BF490F" w:rsidP="0045531B">
      <w:pPr>
        <w:pStyle w:val="ListParagraph"/>
        <w:spacing w:after="0" w:line="240" w:lineRule="auto"/>
        <w:ind w:left="1418" w:hanging="567"/>
        <w:jc w:val="both"/>
        <w:rPr>
          <w:rFonts w:eastAsia="Times New Roman" w:cs="Arial"/>
          <w:color w:val="333333"/>
          <w:lang w:val="fr-FR"/>
        </w:rPr>
      </w:pPr>
    </w:p>
    <w:p w14:paraId="6EF81AF3" w14:textId="264831AB" w:rsidR="00BF490F" w:rsidRDefault="00BF490F" w:rsidP="0045531B">
      <w:pPr>
        <w:pStyle w:val="ListParagraph"/>
        <w:numPr>
          <w:ilvl w:val="0"/>
          <w:numId w:val="20"/>
        </w:numPr>
        <w:spacing w:after="0" w:line="240" w:lineRule="auto"/>
        <w:ind w:left="1418" w:hanging="567"/>
        <w:jc w:val="both"/>
        <w:rPr>
          <w:rFonts w:eastAsia="Times New Roman" w:cs="Arial"/>
          <w:color w:val="333333"/>
          <w:lang w:val="fr-FR"/>
        </w:rPr>
      </w:pPr>
      <w:r w:rsidRPr="00BF490F">
        <w:rPr>
          <w:rFonts w:eastAsia="Times New Roman" w:cs="Arial"/>
          <w:color w:val="333333"/>
          <w:lang w:val="fr-FR"/>
        </w:rPr>
        <w:t>envisager l'élaboration d'un plan d'action multi-espèces basé sur la minimisation des principales menaces pesant sur un groupe d'espèces</w:t>
      </w:r>
      <w:r>
        <w:rPr>
          <w:rFonts w:eastAsia="Times New Roman" w:cs="Arial"/>
          <w:color w:val="333333"/>
          <w:lang w:val="fr-FR"/>
        </w:rPr>
        <w:t> ;</w:t>
      </w:r>
    </w:p>
    <w:p w14:paraId="23C6F001" w14:textId="77777777" w:rsidR="002D2755" w:rsidRPr="003B52B8" w:rsidRDefault="002D2755" w:rsidP="002D2755">
      <w:pPr>
        <w:pStyle w:val="ListParagraph"/>
        <w:rPr>
          <w:rFonts w:eastAsia="Times New Roman" w:cs="Arial"/>
          <w:color w:val="333333"/>
          <w:lang w:val="fr-FR"/>
        </w:rPr>
      </w:pPr>
    </w:p>
    <w:p w14:paraId="21F22591" w14:textId="10207D31" w:rsidR="002D2755" w:rsidRPr="00237434" w:rsidRDefault="00E37263" w:rsidP="0045531B">
      <w:pPr>
        <w:pStyle w:val="ListParagraph"/>
        <w:numPr>
          <w:ilvl w:val="0"/>
          <w:numId w:val="20"/>
        </w:numPr>
        <w:spacing w:after="0" w:line="240" w:lineRule="auto"/>
        <w:ind w:left="1418" w:hanging="567"/>
        <w:jc w:val="both"/>
        <w:rPr>
          <w:rFonts w:eastAsia="Times New Roman" w:cs="Arial"/>
          <w:color w:val="333333"/>
          <w:lang w:val="fr-FR"/>
        </w:rPr>
      </w:pPr>
      <w:r>
        <w:rPr>
          <w:rFonts w:eastAsia="Times New Roman" w:cs="Arial"/>
          <w:color w:val="333333"/>
          <w:lang w:val="fr-FR"/>
        </w:rPr>
        <w:t>collaborer avec d'autres États de l'aire de répartition pour proposer l'inscription aux Annexes de la CMS d'autres espèces de poissons migrateurs d'eau douce menacées.</w:t>
      </w:r>
    </w:p>
    <w:p w14:paraId="3139D84F" w14:textId="77777777" w:rsidR="002D2755" w:rsidRDefault="002D2755" w:rsidP="00E21E34">
      <w:pPr>
        <w:spacing w:after="0" w:line="240" w:lineRule="auto"/>
        <w:jc w:val="both"/>
        <w:rPr>
          <w:rFonts w:cs="Arial"/>
          <w:lang w:val="fr-FR"/>
        </w:rPr>
      </w:pPr>
    </w:p>
    <w:p w14:paraId="4A422FE0" w14:textId="77777777" w:rsidR="0094022D" w:rsidRDefault="0094022D" w:rsidP="00E21E34">
      <w:pPr>
        <w:spacing w:after="0" w:line="240" w:lineRule="auto"/>
        <w:jc w:val="both"/>
        <w:rPr>
          <w:rFonts w:cs="Arial"/>
          <w:lang w:val="fr-FR"/>
        </w:rPr>
      </w:pPr>
    </w:p>
    <w:p w14:paraId="728CA485" w14:textId="53F56F77" w:rsidR="00241B36" w:rsidRPr="00CD0FE9" w:rsidRDefault="004A5785" w:rsidP="00241B36">
      <w:pPr>
        <w:spacing w:after="0" w:line="240" w:lineRule="auto"/>
        <w:jc w:val="both"/>
        <w:rPr>
          <w:rFonts w:cs="Arial"/>
          <w:b/>
          <w:i/>
          <w:lang w:val="fr-FR"/>
        </w:rPr>
      </w:pPr>
      <w:r>
        <w:rPr>
          <w:rFonts w:cs="Arial"/>
          <w:b/>
          <w:i/>
          <w:lang w:val="fr-FR"/>
        </w:rPr>
        <w:t>Adressée aux org</w:t>
      </w:r>
      <w:r w:rsidR="00241B36">
        <w:rPr>
          <w:rFonts w:cs="Arial"/>
          <w:b/>
          <w:i/>
          <w:lang w:val="fr-FR"/>
        </w:rPr>
        <w:t>anisations non gouvernementales</w:t>
      </w:r>
    </w:p>
    <w:p w14:paraId="17AD6872" w14:textId="77777777" w:rsidR="00241B36" w:rsidRDefault="00241B36" w:rsidP="00E21E34">
      <w:pPr>
        <w:spacing w:after="0" w:line="240" w:lineRule="auto"/>
        <w:jc w:val="both"/>
        <w:rPr>
          <w:rFonts w:cs="Arial"/>
          <w:lang w:val="fr-FR"/>
        </w:rPr>
      </w:pPr>
    </w:p>
    <w:p w14:paraId="31190DAC" w14:textId="77777777" w:rsidR="00BF490F" w:rsidRDefault="00241B36" w:rsidP="004A5785">
      <w:pPr>
        <w:spacing w:after="0" w:line="240" w:lineRule="auto"/>
        <w:ind w:left="851" w:hanging="851"/>
        <w:jc w:val="both"/>
        <w:rPr>
          <w:rFonts w:eastAsia="Times New Roman" w:cs="Arial"/>
          <w:color w:val="333333"/>
          <w:lang w:val="fr-FR"/>
        </w:rPr>
      </w:pPr>
      <w:r>
        <w:rPr>
          <w:rFonts w:cs="Arial"/>
          <w:lang w:val="fr-FR"/>
        </w:rPr>
        <w:t>14.FF</w:t>
      </w:r>
      <w:r>
        <w:rPr>
          <w:rFonts w:cs="Arial"/>
          <w:lang w:val="fr-FR"/>
        </w:rPr>
        <w:tab/>
      </w:r>
      <w:r>
        <w:rPr>
          <w:rFonts w:cs="Arial"/>
          <w:iCs/>
          <w:lang w:val="fr-FR"/>
        </w:rPr>
        <w:t xml:space="preserve">Les organisations non gouvernementales </w:t>
      </w:r>
      <w:r>
        <w:rPr>
          <w:rFonts w:eastAsia="Times New Roman" w:cs="Arial"/>
          <w:color w:val="333333"/>
          <w:lang w:val="fr-FR"/>
        </w:rPr>
        <w:t>sont invitées à</w:t>
      </w:r>
      <w:r w:rsidR="00BF490F">
        <w:rPr>
          <w:rFonts w:eastAsia="Times New Roman" w:cs="Arial"/>
          <w:color w:val="333333"/>
          <w:lang w:val="fr-FR"/>
        </w:rPr>
        <w:t> :</w:t>
      </w:r>
    </w:p>
    <w:p w14:paraId="29FF3E49" w14:textId="77777777" w:rsidR="00BF490F" w:rsidRDefault="00BF490F" w:rsidP="004A5785">
      <w:pPr>
        <w:spacing w:after="0" w:line="240" w:lineRule="auto"/>
        <w:ind w:left="851" w:hanging="851"/>
        <w:jc w:val="both"/>
        <w:rPr>
          <w:rFonts w:eastAsia="Times New Roman" w:cs="Arial"/>
          <w:color w:val="333333"/>
          <w:lang w:val="fr-FR"/>
        </w:rPr>
      </w:pPr>
    </w:p>
    <w:p w14:paraId="6A0AE0B4" w14:textId="42BD8B36" w:rsidR="00C10BFA" w:rsidRDefault="00241B36" w:rsidP="0045531B">
      <w:pPr>
        <w:pStyle w:val="ListParagraph"/>
        <w:numPr>
          <w:ilvl w:val="0"/>
          <w:numId w:val="22"/>
        </w:numPr>
        <w:spacing w:after="0" w:line="240" w:lineRule="auto"/>
        <w:ind w:left="1418" w:hanging="567"/>
        <w:jc w:val="both"/>
        <w:rPr>
          <w:rFonts w:eastAsia="Times New Roman" w:cs="Arial"/>
          <w:color w:val="333333"/>
          <w:lang w:val="fr-FR"/>
        </w:rPr>
      </w:pPr>
      <w:r w:rsidRPr="00BF490F">
        <w:rPr>
          <w:rFonts w:eastAsia="Times New Roman" w:cs="Arial"/>
          <w:color w:val="333333"/>
          <w:lang w:val="fr-FR"/>
        </w:rPr>
        <w:t xml:space="preserve">travailler en étroite collaboration avec les États de l'aire de répartition pour </w:t>
      </w:r>
      <w:r w:rsidR="00BF490F">
        <w:rPr>
          <w:rFonts w:eastAsia="Times New Roman" w:cs="Arial"/>
          <w:color w:val="333333"/>
          <w:lang w:val="fr-FR"/>
        </w:rPr>
        <w:t xml:space="preserve">fournir une expertise et un financement pour la collecte et le </w:t>
      </w:r>
      <w:r w:rsidRPr="00BF490F">
        <w:rPr>
          <w:rFonts w:eastAsia="Times New Roman" w:cs="Arial"/>
          <w:color w:val="333333"/>
          <w:lang w:val="fr-FR"/>
        </w:rPr>
        <w:t>partage des données sur les espèces de poissons d'eau douce qui sont des migrateurs transfrontaliers, y compris des données sur l'abondance actuelle de ces espèces, leur écologie et la dégradation de leur habitat, notamment pour les espèces figurant sur les listes rouges nationales, régionales ou mondiales</w:t>
      </w:r>
      <w:r w:rsidR="00BF490F">
        <w:rPr>
          <w:rFonts w:eastAsia="Times New Roman" w:cs="Arial"/>
          <w:color w:val="333333"/>
          <w:lang w:val="fr-FR"/>
        </w:rPr>
        <w:t> ;</w:t>
      </w:r>
    </w:p>
    <w:p w14:paraId="14142180" w14:textId="77777777" w:rsidR="00BF490F" w:rsidRDefault="00BF490F" w:rsidP="0045531B">
      <w:pPr>
        <w:pStyle w:val="ListParagraph"/>
        <w:spacing w:after="0" w:line="240" w:lineRule="auto"/>
        <w:ind w:left="1418" w:hanging="567"/>
        <w:jc w:val="both"/>
        <w:rPr>
          <w:rFonts w:eastAsia="Times New Roman" w:cs="Arial"/>
          <w:color w:val="333333"/>
          <w:lang w:val="fr-FR"/>
        </w:rPr>
      </w:pPr>
    </w:p>
    <w:p w14:paraId="18B4ACE5" w14:textId="12E775DA" w:rsidR="00BF490F" w:rsidRPr="00BF490F" w:rsidRDefault="00BF490F" w:rsidP="0045531B">
      <w:pPr>
        <w:pStyle w:val="ListParagraph"/>
        <w:numPr>
          <w:ilvl w:val="0"/>
          <w:numId w:val="22"/>
        </w:numPr>
        <w:spacing w:after="0" w:line="240" w:lineRule="auto"/>
        <w:ind w:left="1418" w:hanging="567"/>
        <w:jc w:val="both"/>
        <w:rPr>
          <w:rFonts w:eastAsia="Times New Roman" w:cs="Arial"/>
          <w:color w:val="333333"/>
          <w:lang w:val="fr-FR"/>
        </w:rPr>
      </w:pPr>
      <w:r w:rsidRPr="00BF490F">
        <w:rPr>
          <w:rFonts w:eastAsia="Times New Roman" w:cs="Arial"/>
          <w:color w:val="333333"/>
          <w:lang w:val="fr-FR"/>
        </w:rPr>
        <w:t>fournir de l'expertise et des fonds aux États de l'aire de répartition pour soutenir leur recherche et le partage des données.</w:t>
      </w:r>
    </w:p>
    <w:p w14:paraId="6AC74F38" w14:textId="77777777" w:rsidR="00D15415" w:rsidRDefault="00D15415" w:rsidP="0045531B">
      <w:pPr>
        <w:spacing w:after="0" w:line="240" w:lineRule="auto"/>
        <w:ind w:left="1418" w:hanging="567"/>
        <w:jc w:val="both"/>
        <w:rPr>
          <w:rFonts w:cs="Arial"/>
          <w:b/>
          <w:i/>
          <w:lang w:val="fr-FR"/>
        </w:rPr>
      </w:pPr>
    </w:p>
    <w:p w14:paraId="19ABFF19" w14:textId="77777777" w:rsidR="0094022D" w:rsidRPr="00CD0FE9" w:rsidRDefault="0094022D" w:rsidP="00E21E34">
      <w:pPr>
        <w:spacing w:after="0" w:line="240" w:lineRule="auto"/>
        <w:jc w:val="both"/>
        <w:rPr>
          <w:rFonts w:cs="Arial"/>
          <w:b/>
          <w:i/>
          <w:lang w:val="fr-FR"/>
        </w:rPr>
      </w:pPr>
    </w:p>
    <w:p w14:paraId="699B3C53" w14:textId="77998B0B" w:rsidR="00E21E34" w:rsidRPr="00CD0FE9" w:rsidRDefault="004A5785" w:rsidP="00E21E34">
      <w:pPr>
        <w:spacing w:after="0" w:line="240" w:lineRule="auto"/>
        <w:jc w:val="both"/>
        <w:rPr>
          <w:rFonts w:cs="Arial"/>
          <w:b/>
          <w:i/>
          <w:lang w:val="fr-FR"/>
        </w:rPr>
      </w:pPr>
      <w:r>
        <w:rPr>
          <w:rFonts w:cs="Arial"/>
          <w:b/>
          <w:i/>
          <w:lang w:val="fr-FR"/>
        </w:rPr>
        <w:t xml:space="preserve">Adressée au </w:t>
      </w:r>
      <w:r w:rsidR="00E21E34">
        <w:rPr>
          <w:rFonts w:cs="Arial"/>
          <w:b/>
          <w:i/>
          <w:lang w:val="fr-FR"/>
        </w:rPr>
        <w:t>Conseil scientifique</w:t>
      </w:r>
    </w:p>
    <w:p w14:paraId="036636F7" w14:textId="77777777" w:rsidR="00E21E34" w:rsidRPr="00CD0FE9" w:rsidRDefault="00E21E34" w:rsidP="00E21E34">
      <w:pPr>
        <w:spacing w:after="0" w:line="240" w:lineRule="auto"/>
        <w:jc w:val="both"/>
        <w:rPr>
          <w:rFonts w:cs="Arial"/>
          <w:lang w:val="fr-FR"/>
        </w:rPr>
      </w:pPr>
    </w:p>
    <w:p w14:paraId="0C9A50DB" w14:textId="02DFC292" w:rsidR="00AA61B1" w:rsidRDefault="00E21E34" w:rsidP="00C42C5E">
      <w:pPr>
        <w:spacing w:after="0" w:line="240" w:lineRule="auto"/>
        <w:ind w:left="851" w:hanging="851"/>
        <w:jc w:val="both"/>
        <w:rPr>
          <w:rFonts w:cs="Arial"/>
          <w:lang w:val="fr-FR"/>
        </w:rPr>
      </w:pPr>
      <w:r>
        <w:rPr>
          <w:rFonts w:cs="Arial"/>
          <w:lang w:val="fr-FR"/>
        </w:rPr>
        <w:t>14.GG</w:t>
      </w:r>
      <w:r>
        <w:rPr>
          <w:rFonts w:cs="Arial"/>
          <w:lang w:val="fr-FR"/>
        </w:rPr>
        <w:tab/>
        <w:t xml:space="preserve">Le Conseil scientifique est </w:t>
      </w:r>
      <w:r w:rsidR="002C5770">
        <w:rPr>
          <w:rFonts w:cs="Arial"/>
          <w:lang w:val="fr-FR"/>
        </w:rPr>
        <w:t>prié</w:t>
      </w:r>
      <w:r>
        <w:rPr>
          <w:rFonts w:cs="Arial"/>
          <w:lang w:val="fr-FR"/>
        </w:rPr>
        <w:t xml:space="preserve">, sous réserve de la disponibilité de ressources externes : </w:t>
      </w:r>
    </w:p>
    <w:p w14:paraId="404EB7C4" w14:textId="77777777" w:rsidR="00AA61B1" w:rsidRDefault="00AA61B1" w:rsidP="00C42C5E">
      <w:pPr>
        <w:spacing w:after="0" w:line="240" w:lineRule="auto"/>
        <w:ind w:left="851" w:hanging="851"/>
        <w:jc w:val="both"/>
        <w:rPr>
          <w:rFonts w:cs="Arial"/>
          <w:lang w:val="fr-FR"/>
        </w:rPr>
      </w:pPr>
    </w:p>
    <w:p w14:paraId="41D30136" w14:textId="05132192" w:rsidR="00C42C5E" w:rsidRPr="00C92714" w:rsidRDefault="002C5770" w:rsidP="0045531B">
      <w:pPr>
        <w:pStyle w:val="ListParagraph"/>
        <w:numPr>
          <w:ilvl w:val="0"/>
          <w:numId w:val="19"/>
        </w:numPr>
        <w:spacing w:after="0" w:line="240" w:lineRule="auto"/>
        <w:ind w:left="1418" w:hanging="567"/>
        <w:jc w:val="both"/>
        <w:rPr>
          <w:rFonts w:cs="Arial"/>
          <w:lang w:val="fr-FR"/>
        </w:rPr>
      </w:pPr>
      <w:r>
        <w:rPr>
          <w:rFonts w:cs="Arial"/>
          <w:lang w:val="fr-FR"/>
        </w:rPr>
        <w:t>de</w:t>
      </w:r>
      <w:r w:rsidR="0026456B">
        <w:rPr>
          <w:rFonts w:cs="Arial"/>
          <w:lang w:val="fr-FR"/>
        </w:rPr>
        <w:t xml:space="preserve"> réaliser une étude sur les </w:t>
      </w:r>
      <w:r w:rsidR="0026456B">
        <w:rPr>
          <w:lang w:val="fr-FR"/>
        </w:rPr>
        <w:t xml:space="preserve">poissons d'eau douce, en mettant à jour l'étude présentée dans le document </w:t>
      </w:r>
      <w:hyperlink r:id="rId25" w:history="1">
        <w:r w:rsidR="0026456B">
          <w:rPr>
            <w:rStyle w:val="Hyperlink"/>
            <w:lang w:val="fr-FR"/>
          </w:rPr>
          <w:t xml:space="preserve">UNEP/CMS/Inf.10.33 </w:t>
        </w:r>
      </w:hyperlink>
      <w:r w:rsidR="0026456B">
        <w:rPr>
          <w:lang w:val="fr-FR"/>
        </w:rPr>
        <w:t>et en fournissant des orientations concernant l'inscription d'autres poissons d'eau douce aux Annexes de la CMS ;</w:t>
      </w:r>
    </w:p>
    <w:p w14:paraId="1D526B31" w14:textId="77777777" w:rsidR="00C92714" w:rsidRPr="00C92714" w:rsidRDefault="00C92714" w:rsidP="0045531B">
      <w:pPr>
        <w:spacing w:after="0" w:line="240" w:lineRule="auto"/>
        <w:ind w:left="1418" w:hanging="567"/>
        <w:jc w:val="both"/>
        <w:rPr>
          <w:rFonts w:cs="Arial"/>
          <w:lang w:val="fr-FR"/>
        </w:rPr>
      </w:pPr>
    </w:p>
    <w:p w14:paraId="0535FA65" w14:textId="67804BF1" w:rsidR="00E55D0D" w:rsidRPr="00C92714" w:rsidRDefault="002C5770" w:rsidP="0045531B">
      <w:pPr>
        <w:pStyle w:val="ListParagraph"/>
        <w:numPr>
          <w:ilvl w:val="0"/>
          <w:numId w:val="19"/>
        </w:numPr>
        <w:spacing w:after="0" w:line="240" w:lineRule="auto"/>
        <w:ind w:left="1418" w:hanging="567"/>
        <w:jc w:val="both"/>
        <w:rPr>
          <w:rFonts w:cs="Arial"/>
          <w:lang w:val="fr-FR"/>
        </w:rPr>
      </w:pPr>
      <w:r>
        <w:rPr>
          <w:rStyle w:val="normaltextrun"/>
          <w:rFonts w:cs="Arial"/>
          <w:color w:val="000000"/>
          <w:shd w:val="clear" w:color="auto" w:fill="FFFFFF"/>
          <w:lang w:val="fr-FR"/>
        </w:rPr>
        <w:t>de</w:t>
      </w:r>
      <w:r w:rsidR="00E37263">
        <w:rPr>
          <w:rStyle w:val="normaltextrun"/>
          <w:rFonts w:cs="Arial"/>
          <w:color w:val="000000"/>
          <w:shd w:val="clear" w:color="auto" w:fill="FFFFFF"/>
          <w:lang w:val="fr-FR"/>
        </w:rPr>
        <w:t xml:space="preserve"> rendre compte des progrès accomplis dans la mise en œuvre de cette Décision lors de la 15</w:t>
      </w:r>
      <w:r w:rsidR="00E37263">
        <w:rPr>
          <w:rStyle w:val="normaltextrun"/>
          <w:rFonts w:cs="Arial"/>
          <w:color w:val="000000"/>
          <w:shd w:val="clear" w:color="auto" w:fill="FFFFFF"/>
          <w:vertAlign w:val="superscript"/>
          <w:lang w:val="fr-FR"/>
        </w:rPr>
        <w:t>e</w:t>
      </w:r>
      <w:r w:rsidR="00E37263">
        <w:rPr>
          <w:rStyle w:val="normaltextrun"/>
          <w:rFonts w:cs="Arial"/>
          <w:color w:val="000000"/>
          <w:shd w:val="clear" w:color="auto" w:fill="FFFFFF"/>
          <w:lang w:val="fr-FR"/>
        </w:rPr>
        <w:t xml:space="preserve"> Session de la Conférence des Parties.</w:t>
      </w:r>
      <w:r w:rsidR="00E37263">
        <w:rPr>
          <w:rStyle w:val="eop"/>
          <w:rFonts w:cs="Arial"/>
          <w:color w:val="000000"/>
          <w:shd w:val="clear" w:color="auto" w:fill="FFFFFF"/>
          <w:lang w:val="fr-FR"/>
        </w:rPr>
        <w:t> </w:t>
      </w:r>
    </w:p>
    <w:p w14:paraId="5BDDF2C7" w14:textId="7EB4EB00" w:rsidR="00E21E34" w:rsidRPr="00CD0FE9" w:rsidRDefault="004A5785" w:rsidP="00E21E34">
      <w:pPr>
        <w:spacing w:after="0" w:line="240" w:lineRule="auto"/>
        <w:jc w:val="both"/>
        <w:rPr>
          <w:rFonts w:cs="Arial"/>
          <w:b/>
          <w:i/>
          <w:lang w:val="fr-FR"/>
        </w:rPr>
      </w:pPr>
      <w:r>
        <w:rPr>
          <w:rFonts w:cs="Arial"/>
          <w:b/>
          <w:i/>
          <w:lang w:val="fr-FR"/>
        </w:rPr>
        <w:lastRenderedPageBreak/>
        <w:t xml:space="preserve">Adressée au </w:t>
      </w:r>
      <w:r w:rsidR="00E21E34">
        <w:rPr>
          <w:rFonts w:cs="Arial"/>
          <w:b/>
          <w:i/>
          <w:lang w:val="fr-FR"/>
        </w:rPr>
        <w:t>Secrétariat</w:t>
      </w:r>
    </w:p>
    <w:p w14:paraId="6CB79F6C" w14:textId="77777777" w:rsidR="00E21E34" w:rsidRPr="00CD0FE9" w:rsidRDefault="00E21E34" w:rsidP="00E21E34">
      <w:pPr>
        <w:spacing w:after="0" w:line="240" w:lineRule="auto"/>
        <w:jc w:val="both"/>
        <w:rPr>
          <w:rFonts w:cs="Arial"/>
          <w:lang w:val="fr-FR"/>
        </w:rPr>
      </w:pPr>
    </w:p>
    <w:p w14:paraId="17852A80" w14:textId="1D125FEA" w:rsidR="002C5770" w:rsidRDefault="00E21E34" w:rsidP="0045531B">
      <w:pPr>
        <w:spacing w:after="0" w:line="240" w:lineRule="auto"/>
        <w:ind w:left="851" w:hanging="851"/>
        <w:jc w:val="both"/>
        <w:rPr>
          <w:rFonts w:eastAsia="Times New Roman" w:cs="Arial"/>
          <w:lang w:val="fr-FR"/>
        </w:rPr>
      </w:pPr>
      <w:r>
        <w:rPr>
          <w:rFonts w:cs="Arial"/>
          <w:lang w:val="fr-FR"/>
        </w:rPr>
        <w:t>14.HH</w:t>
      </w:r>
      <w:r>
        <w:rPr>
          <w:rFonts w:cs="Arial"/>
          <w:lang w:val="fr-FR"/>
        </w:rPr>
        <w:tab/>
      </w:r>
      <w:r>
        <w:rPr>
          <w:rFonts w:eastAsia="Times New Roman" w:cs="Arial"/>
          <w:lang w:val="fr-FR"/>
        </w:rPr>
        <w:t>Le Secrétariat, sous réserve de la disponibilité des ressources,</w:t>
      </w:r>
      <w:r w:rsidR="002C5770">
        <w:rPr>
          <w:rFonts w:eastAsia="Times New Roman" w:cs="Arial"/>
          <w:lang w:val="fr-FR"/>
        </w:rPr>
        <w:t> :</w:t>
      </w:r>
    </w:p>
    <w:p w14:paraId="5132832B" w14:textId="77777777" w:rsidR="002C5770" w:rsidRDefault="002C5770" w:rsidP="0045531B">
      <w:pPr>
        <w:spacing w:after="0" w:line="240" w:lineRule="auto"/>
        <w:ind w:left="1418" w:hanging="567"/>
        <w:jc w:val="both"/>
        <w:rPr>
          <w:rFonts w:eastAsia="Times New Roman" w:cs="Arial"/>
          <w:lang w:val="fr-FR"/>
        </w:rPr>
      </w:pPr>
    </w:p>
    <w:p w14:paraId="52105326" w14:textId="5A31EE69" w:rsidR="00E21E34" w:rsidRDefault="00E21E34" w:rsidP="0045531B">
      <w:pPr>
        <w:pStyle w:val="ListParagraph"/>
        <w:numPr>
          <w:ilvl w:val="0"/>
          <w:numId w:val="23"/>
        </w:numPr>
        <w:spacing w:after="0" w:line="240" w:lineRule="auto"/>
        <w:ind w:left="1418" w:hanging="567"/>
        <w:jc w:val="both"/>
        <w:rPr>
          <w:rFonts w:eastAsia="Times New Roman" w:cs="Arial"/>
          <w:lang w:val="fr-FR"/>
        </w:rPr>
      </w:pPr>
      <w:r w:rsidRPr="002C5770">
        <w:rPr>
          <w:rFonts w:eastAsia="Times New Roman" w:cs="Arial"/>
          <w:lang w:val="fr-FR"/>
        </w:rPr>
        <w:t>aide le Conseil scientifique à réaliser l'étude mentionnée dans la Décision 14.GG</w:t>
      </w:r>
      <w:r w:rsidR="002C5770">
        <w:rPr>
          <w:rFonts w:eastAsia="Times New Roman" w:cs="Arial"/>
          <w:lang w:val="fr-FR"/>
        </w:rPr>
        <w:t>. ;</w:t>
      </w:r>
    </w:p>
    <w:p w14:paraId="5A665B86" w14:textId="77777777" w:rsidR="002C5770" w:rsidRDefault="002C5770" w:rsidP="0045531B">
      <w:pPr>
        <w:pStyle w:val="ListParagraph"/>
        <w:spacing w:after="0" w:line="240" w:lineRule="auto"/>
        <w:ind w:left="1418" w:hanging="567"/>
        <w:jc w:val="both"/>
        <w:rPr>
          <w:rFonts w:eastAsia="Times New Roman" w:cs="Arial"/>
          <w:lang w:val="fr-FR"/>
        </w:rPr>
      </w:pPr>
    </w:p>
    <w:p w14:paraId="5F517B49" w14:textId="032D3AAC" w:rsidR="002C5770" w:rsidRDefault="002C5770" w:rsidP="0045531B">
      <w:pPr>
        <w:pStyle w:val="ListParagraph"/>
        <w:numPr>
          <w:ilvl w:val="0"/>
          <w:numId w:val="23"/>
        </w:numPr>
        <w:spacing w:after="0" w:line="240" w:lineRule="auto"/>
        <w:ind w:left="1418" w:hanging="567"/>
        <w:jc w:val="both"/>
        <w:rPr>
          <w:rFonts w:eastAsia="Times New Roman" w:cs="Arial"/>
          <w:lang w:val="fr-FR"/>
        </w:rPr>
      </w:pPr>
      <w:r w:rsidRPr="002C5770">
        <w:rPr>
          <w:rFonts w:eastAsia="Times New Roman" w:cs="Arial"/>
          <w:lang w:val="fr-FR"/>
        </w:rPr>
        <w:t>fourni</w:t>
      </w:r>
      <w:r w:rsidR="0045531B">
        <w:rPr>
          <w:rFonts w:eastAsia="Times New Roman" w:cs="Arial"/>
          <w:lang w:val="fr-FR"/>
        </w:rPr>
        <w:t>t</w:t>
      </w:r>
      <w:r w:rsidRPr="002C5770">
        <w:rPr>
          <w:rFonts w:eastAsia="Times New Roman" w:cs="Arial"/>
          <w:lang w:val="fr-FR"/>
        </w:rPr>
        <w:t xml:space="preserve"> un soutien technique aux parties pour la mise en œuvre des activités décrites dans la décision 14.EE ;</w:t>
      </w:r>
    </w:p>
    <w:p w14:paraId="4EB4B26A" w14:textId="77777777" w:rsidR="002C5770" w:rsidRDefault="002C5770" w:rsidP="0045531B">
      <w:pPr>
        <w:pStyle w:val="ListParagraph"/>
        <w:spacing w:after="0" w:line="240" w:lineRule="auto"/>
        <w:ind w:left="1418" w:hanging="567"/>
        <w:jc w:val="both"/>
        <w:rPr>
          <w:rFonts w:eastAsia="Times New Roman" w:cs="Arial"/>
          <w:lang w:val="fr-FR"/>
        </w:rPr>
      </w:pPr>
    </w:p>
    <w:p w14:paraId="00F9D9FF" w14:textId="66B3B9D3" w:rsidR="002C5770" w:rsidRPr="002C5770" w:rsidRDefault="002C5770" w:rsidP="0045531B">
      <w:pPr>
        <w:pStyle w:val="ListParagraph"/>
        <w:numPr>
          <w:ilvl w:val="0"/>
          <w:numId w:val="23"/>
        </w:numPr>
        <w:spacing w:after="0" w:line="240" w:lineRule="auto"/>
        <w:ind w:left="1418" w:hanging="567"/>
        <w:jc w:val="both"/>
        <w:rPr>
          <w:rFonts w:eastAsia="Times New Roman" w:cs="Arial"/>
          <w:lang w:val="fr-FR"/>
        </w:rPr>
      </w:pPr>
      <w:r w:rsidRPr="002C5770">
        <w:rPr>
          <w:rFonts w:eastAsia="Times New Roman" w:cs="Arial"/>
          <w:lang w:val="fr-FR"/>
        </w:rPr>
        <w:t>développe et diffuse des lignes directrices et des outils de gestion pertinents aux Parties et aux autres parties prenantes.</w:t>
      </w:r>
    </w:p>
    <w:p w14:paraId="5752B3FE" w14:textId="77777777" w:rsidR="00E21E34" w:rsidRDefault="00E21E34" w:rsidP="0045531B">
      <w:pPr>
        <w:spacing w:after="0" w:line="240" w:lineRule="auto"/>
        <w:ind w:left="1418" w:hanging="567"/>
        <w:rPr>
          <w:rFonts w:eastAsia="Times New Roman" w:cs="Arial"/>
          <w:color w:val="333333"/>
          <w:sz w:val="20"/>
          <w:szCs w:val="20"/>
          <w:lang w:val="fr-FR"/>
        </w:rPr>
      </w:pPr>
    </w:p>
    <w:p w14:paraId="5C2430EC" w14:textId="77777777" w:rsidR="00E21E34" w:rsidRPr="00DD07FD" w:rsidRDefault="00E21E34" w:rsidP="00DD07FD">
      <w:pPr>
        <w:pStyle w:val="Secondnumbering"/>
        <w:numPr>
          <w:ilvl w:val="0"/>
          <w:numId w:val="0"/>
        </w:numPr>
        <w:rPr>
          <w:lang w:val="fr-FR"/>
        </w:rPr>
      </w:pPr>
    </w:p>
    <w:sectPr w:rsidR="00E21E34" w:rsidRPr="00DD07FD" w:rsidSect="00743E7C">
      <w:headerReference w:type="even" r:id="rId26"/>
      <w:headerReference w:type="default" r:id="rId27"/>
      <w:footerReference w:type="default" r:id="rId28"/>
      <w:headerReference w:type="first" r:id="rId2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19D29" w14:textId="77777777" w:rsidR="003F4FF8" w:rsidRDefault="003F4FF8" w:rsidP="002E0DE9">
      <w:pPr>
        <w:spacing w:after="0" w:line="240" w:lineRule="auto"/>
        <w:rPr>
          <w:lang w:val="fr-FR"/>
        </w:rPr>
      </w:pPr>
      <w:r>
        <w:rPr>
          <w:lang w:val="fr-FR"/>
        </w:rPr>
        <w:separator/>
      </w:r>
    </w:p>
  </w:endnote>
  <w:endnote w:type="continuationSeparator" w:id="0">
    <w:p w14:paraId="37FF6F1B" w14:textId="77777777" w:rsidR="003F4FF8" w:rsidRDefault="003F4FF8" w:rsidP="002E0DE9">
      <w:pPr>
        <w:spacing w:after="0" w:line="240" w:lineRule="auto"/>
        <w:rPr>
          <w:lang w:val="fr-FR"/>
        </w:rPr>
      </w:pPr>
      <w:r>
        <w:rPr>
          <w:lang w:val="fr-FR"/>
        </w:rPr>
        <w:continuationSeparator/>
      </w:r>
    </w:p>
  </w:endnote>
  <w:endnote w:type="continuationNotice" w:id="1">
    <w:p w14:paraId="4CF3AA91" w14:textId="77777777" w:rsidR="003F4FF8" w:rsidRDefault="003F4FF8">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B77D" w14:textId="7A92B9E2" w:rsidR="002354BF" w:rsidRDefault="0060464C" w:rsidP="0060464C">
    <w:pPr>
      <w:pStyle w:val="Footer"/>
      <w:tabs>
        <w:tab w:val="clear" w:pos="4680"/>
        <w:tab w:val="clear" w:pos="9360"/>
        <w:tab w:val="left" w:pos="217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907290"/>
      <w:docPartObj>
        <w:docPartGallery w:val="Page Numbers (Bottom of Page)"/>
        <w:docPartUnique/>
      </w:docPartObj>
    </w:sdtPr>
    <w:sdtEndPr>
      <w:rPr>
        <w:noProof/>
        <w:sz w:val="18"/>
        <w:szCs w:val="18"/>
      </w:rPr>
    </w:sdtEndPr>
    <w:sdtContent>
      <w:p w14:paraId="002803F1" w14:textId="0C32CA12" w:rsidR="0060464C" w:rsidRPr="0060464C" w:rsidRDefault="0060464C" w:rsidP="00176153">
        <w:pPr>
          <w:pStyle w:val="Footer"/>
          <w:jc w:val="center"/>
          <w:rPr>
            <w:sz w:val="18"/>
            <w:szCs w:val="18"/>
          </w:rPr>
        </w:pPr>
        <w:r w:rsidRPr="0060464C">
          <w:rPr>
            <w:sz w:val="18"/>
            <w:szCs w:val="18"/>
          </w:rPr>
          <w:fldChar w:fldCharType="begin"/>
        </w:r>
        <w:r w:rsidRPr="0060464C">
          <w:rPr>
            <w:sz w:val="18"/>
            <w:szCs w:val="18"/>
          </w:rPr>
          <w:instrText xml:space="preserve"> PAGE   \* MERGEFORMAT </w:instrText>
        </w:r>
        <w:r w:rsidRPr="0060464C">
          <w:rPr>
            <w:sz w:val="18"/>
            <w:szCs w:val="18"/>
          </w:rPr>
          <w:fldChar w:fldCharType="separate"/>
        </w:r>
        <w:r w:rsidRPr="0060464C">
          <w:rPr>
            <w:noProof/>
            <w:sz w:val="18"/>
            <w:szCs w:val="18"/>
          </w:rPr>
          <w:t>2</w:t>
        </w:r>
        <w:r w:rsidRPr="0060464C">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97312394"/>
      <w:docPartObj>
        <w:docPartGallery w:val="Page Numbers (Bottom of Page)"/>
        <w:docPartUnique/>
      </w:docPartObj>
    </w:sdtPr>
    <w:sdtEndPr>
      <w:rPr>
        <w:noProof/>
      </w:rPr>
    </w:sdtEndPr>
    <w:sdtContent>
      <w:p w14:paraId="1C3D882E" w14:textId="4780550D" w:rsidR="00176153" w:rsidRPr="00176153" w:rsidRDefault="00176153" w:rsidP="00176153">
        <w:pPr>
          <w:pStyle w:val="Footer"/>
          <w:jc w:val="center"/>
          <w:rPr>
            <w:sz w:val="18"/>
            <w:szCs w:val="18"/>
          </w:rPr>
        </w:pPr>
        <w:r w:rsidRPr="00176153">
          <w:rPr>
            <w:sz w:val="18"/>
            <w:szCs w:val="18"/>
          </w:rPr>
          <w:fldChar w:fldCharType="begin"/>
        </w:r>
        <w:r w:rsidRPr="00176153">
          <w:rPr>
            <w:sz w:val="18"/>
            <w:szCs w:val="18"/>
          </w:rPr>
          <w:instrText xml:space="preserve"> PAGE   \* MERGEFORMAT </w:instrText>
        </w:r>
        <w:r w:rsidRPr="00176153">
          <w:rPr>
            <w:sz w:val="18"/>
            <w:szCs w:val="18"/>
          </w:rPr>
          <w:fldChar w:fldCharType="separate"/>
        </w:r>
        <w:r w:rsidRPr="00176153">
          <w:rPr>
            <w:noProof/>
            <w:sz w:val="18"/>
            <w:szCs w:val="18"/>
          </w:rPr>
          <w:t>2</w:t>
        </w:r>
        <w:r w:rsidRPr="00176153">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158827"/>
      <w:docPartObj>
        <w:docPartGallery w:val="Page Numbers (Bottom of Page)"/>
        <w:docPartUnique/>
      </w:docPartObj>
    </w:sdtPr>
    <w:sdtEndPr>
      <w:rPr>
        <w:noProof/>
        <w:sz w:val="18"/>
        <w:szCs w:val="18"/>
      </w:rPr>
    </w:sdtEndPr>
    <w:sdtContent>
      <w:p w14:paraId="50CF1EBE" w14:textId="10A910BE" w:rsidR="0060464C" w:rsidRPr="0060464C" w:rsidRDefault="0060464C" w:rsidP="0094022D">
        <w:pPr>
          <w:pStyle w:val="Footer"/>
          <w:jc w:val="center"/>
          <w:rPr>
            <w:sz w:val="18"/>
            <w:szCs w:val="18"/>
          </w:rPr>
        </w:pPr>
        <w:r w:rsidRPr="0060464C">
          <w:rPr>
            <w:sz w:val="18"/>
            <w:szCs w:val="18"/>
          </w:rPr>
          <w:fldChar w:fldCharType="begin"/>
        </w:r>
        <w:r w:rsidRPr="0060464C">
          <w:rPr>
            <w:sz w:val="18"/>
            <w:szCs w:val="18"/>
          </w:rPr>
          <w:instrText xml:space="preserve"> PAGE   \* MERGEFORMAT </w:instrText>
        </w:r>
        <w:r w:rsidRPr="0060464C">
          <w:rPr>
            <w:sz w:val="18"/>
            <w:szCs w:val="18"/>
          </w:rPr>
          <w:fldChar w:fldCharType="separate"/>
        </w:r>
        <w:r w:rsidRPr="0060464C">
          <w:rPr>
            <w:noProof/>
            <w:sz w:val="18"/>
            <w:szCs w:val="18"/>
          </w:rPr>
          <w:t>2</w:t>
        </w:r>
        <w:r w:rsidRPr="0060464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89AA" w14:textId="77777777" w:rsidR="003F4FF8" w:rsidRDefault="003F4FF8" w:rsidP="002E0DE9">
      <w:pPr>
        <w:spacing w:after="0" w:line="240" w:lineRule="auto"/>
        <w:rPr>
          <w:lang w:val="fr-FR"/>
        </w:rPr>
      </w:pPr>
      <w:r>
        <w:rPr>
          <w:lang w:val="fr-FR"/>
        </w:rPr>
        <w:separator/>
      </w:r>
    </w:p>
  </w:footnote>
  <w:footnote w:type="continuationSeparator" w:id="0">
    <w:p w14:paraId="3AF45923" w14:textId="77777777" w:rsidR="003F4FF8" w:rsidRDefault="003F4FF8" w:rsidP="002E0DE9">
      <w:pPr>
        <w:spacing w:after="0" w:line="240" w:lineRule="auto"/>
        <w:rPr>
          <w:lang w:val="fr-FR"/>
        </w:rPr>
      </w:pPr>
      <w:r>
        <w:rPr>
          <w:lang w:val="fr-FR"/>
        </w:rPr>
        <w:continuationSeparator/>
      </w:r>
    </w:p>
  </w:footnote>
  <w:footnote w:type="continuationNotice" w:id="1">
    <w:p w14:paraId="37972977" w14:textId="77777777" w:rsidR="003F4FF8" w:rsidRDefault="003F4FF8">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lang w:val="fr-FR"/>
      </w:rPr>
    </w:pPr>
    <w:r>
      <w:rPr>
        <w:rFonts w:eastAsia="Times New Roman" w:cs="Arial"/>
        <w:i/>
        <w:sz w:val="18"/>
        <w:szCs w:val="18"/>
        <w:lang w:val="fr-FR"/>
      </w:rPr>
      <w:t>UNEP/CMS/COP13/Doc.</w:t>
    </w:r>
    <w:r>
      <w:rPr>
        <w:rFonts w:eastAsia="Times New Roman" w:cs="Arial"/>
        <w:i/>
        <w:sz w:val="18"/>
        <w:szCs w:val="18"/>
        <w:shd w:val="clear" w:color="auto" w:fill="FFFF00"/>
        <w:lang w:val="fr-FR"/>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lang w:val="fr-FR"/>
      </w:rPr>
    </w:pPr>
    <w:r>
      <w:rPr>
        <w:rFonts w:eastAsia="Times New Roman" w:cs="Arial"/>
        <w:i/>
        <w:sz w:val="18"/>
        <w:szCs w:val="18"/>
        <w:lang w:val="fr-FR"/>
      </w:rPr>
      <w:t>UNEP/CMS/COP14/Doc.</w:t>
    </w:r>
    <w:r>
      <w:rPr>
        <w:rFonts w:eastAsia="Times New Roman" w:cs="Arial"/>
        <w:i/>
        <w:sz w:val="18"/>
        <w:szCs w:val="18"/>
        <w:shd w:val="clear" w:color="auto" w:fill="FFFF00"/>
        <w:lang w:val="fr-FR"/>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1EAC2" w14:textId="77777777" w:rsidR="002354BF" w:rsidRPr="00EC2A58" w:rsidRDefault="002354BF" w:rsidP="002354BF">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r>
      <w:rPr>
        <w:noProof/>
      </w:rPr>
      <w:drawing>
        <wp:anchor distT="0" distB="0" distL="114300" distR="114300" simplePos="0" relativeHeight="251661312" behindDoc="0" locked="0" layoutInCell="1" allowOverlap="1" wp14:anchorId="7823A84E" wp14:editId="0AFCBC10">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1CC771E1" wp14:editId="2A6883D4">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Description automatically generated"/>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0696339C" wp14:editId="4B46A81C">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4180279" w14:textId="77777777" w:rsidR="002354BF" w:rsidRDefault="002354BF" w:rsidP="002354BF">
    <w:pPr>
      <w:pStyle w:val="Header"/>
    </w:pPr>
  </w:p>
  <w:p w14:paraId="142B9732" w14:textId="77777777" w:rsidR="002354BF" w:rsidRDefault="002354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A6BA" w14:textId="1279D2DA" w:rsidR="00C91246" w:rsidRPr="00E26010" w:rsidRDefault="00C91246" w:rsidP="00C91246">
    <w:pPr>
      <w:pStyle w:val="Header"/>
      <w:pBdr>
        <w:bottom w:val="single" w:sz="4" w:space="1" w:color="auto"/>
      </w:pBdr>
      <w:rPr>
        <w:rFonts w:cs="Arial"/>
        <w:i/>
        <w:sz w:val="18"/>
        <w:szCs w:val="18"/>
        <w:lang w:val="en-US"/>
      </w:rPr>
    </w:pPr>
    <w:r w:rsidRPr="00E26010">
      <w:rPr>
        <w:rFonts w:cs="Arial"/>
        <w:i/>
        <w:sz w:val="18"/>
        <w:szCs w:val="18"/>
        <w:lang w:val="en-US"/>
      </w:rPr>
      <w:t>UNEP/CMS/COP14/Doc.27.7.2</w:t>
    </w:r>
    <w:r w:rsidR="00E26010" w:rsidRPr="00E26010">
      <w:rPr>
        <w:rFonts w:cs="Arial"/>
        <w:i/>
        <w:sz w:val="18"/>
        <w:szCs w:val="18"/>
        <w:lang w:val="en-US"/>
      </w:rPr>
      <w:t>/Rev</w:t>
    </w:r>
    <w:r w:rsidR="00E26010">
      <w:rPr>
        <w:rFonts w:cs="Arial"/>
        <w:i/>
        <w:sz w:val="18"/>
        <w:szCs w:val="18"/>
        <w:lang w:val="en-US"/>
      </w:rPr>
      <w:t>.1</w:t>
    </w:r>
  </w:p>
  <w:p w14:paraId="0EB2F9BE" w14:textId="77777777" w:rsidR="002D6582" w:rsidRPr="00E26010" w:rsidRDefault="002D6582" w:rsidP="00371DE1">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89C6" w14:textId="462F752C" w:rsidR="00A836DB" w:rsidRPr="00E26010" w:rsidRDefault="00A836DB" w:rsidP="00A836DB">
    <w:pPr>
      <w:pStyle w:val="Header"/>
      <w:pBdr>
        <w:bottom w:val="single" w:sz="4" w:space="1" w:color="auto"/>
      </w:pBdr>
      <w:jc w:val="right"/>
      <w:rPr>
        <w:rFonts w:cs="Arial"/>
        <w:i/>
        <w:sz w:val="18"/>
        <w:szCs w:val="18"/>
        <w:lang w:val="en-US"/>
      </w:rPr>
    </w:pPr>
    <w:r w:rsidRPr="00E26010">
      <w:rPr>
        <w:rFonts w:cs="Arial"/>
        <w:i/>
        <w:sz w:val="18"/>
        <w:szCs w:val="18"/>
        <w:lang w:val="en-US"/>
      </w:rPr>
      <w:t>UNEP/CMS/COP14/Doc.27.7.2</w:t>
    </w:r>
    <w:r w:rsidR="00E26010" w:rsidRPr="00E26010">
      <w:rPr>
        <w:rFonts w:cs="Arial"/>
        <w:i/>
        <w:sz w:val="18"/>
        <w:szCs w:val="18"/>
        <w:lang w:val="en-US"/>
      </w:rPr>
      <w:t>/Rev</w:t>
    </w:r>
    <w:r w:rsidR="00E26010">
      <w:rPr>
        <w:rFonts w:cs="Arial"/>
        <w:i/>
        <w:sz w:val="18"/>
        <w:szCs w:val="18"/>
        <w:lang w:val="en-US"/>
      </w:rPr>
      <w:t>.1</w:t>
    </w:r>
  </w:p>
  <w:p w14:paraId="0E24A8B0" w14:textId="402AB1F3" w:rsidR="002D6582" w:rsidRPr="00E26010" w:rsidRDefault="002D6582" w:rsidP="00A836DB">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4A3F" w14:textId="164B2914" w:rsidR="00A836DB" w:rsidRPr="00661875" w:rsidRDefault="00A836DB" w:rsidP="00A836DB">
    <w:pPr>
      <w:pStyle w:val="Header"/>
      <w:pBdr>
        <w:bottom w:val="single" w:sz="4" w:space="1" w:color="auto"/>
      </w:pBdr>
      <w:rPr>
        <w:rFonts w:cs="Arial"/>
        <w:i/>
        <w:sz w:val="18"/>
        <w:szCs w:val="18"/>
        <w:lang w:val="de-DE"/>
      </w:rPr>
    </w:pPr>
    <w:r>
      <w:rPr>
        <w:rFonts w:cs="Arial"/>
        <w:i/>
        <w:sz w:val="18"/>
        <w:szCs w:val="18"/>
        <w:lang w:val="de-DE"/>
      </w:rPr>
      <w:t>UNEP/CMS/COP14/Doc.27.7.2</w:t>
    </w:r>
    <w:r w:rsidR="00E26010">
      <w:rPr>
        <w:rFonts w:cs="Arial"/>
        <w:i/>
        <w:sz w:val="18"/>
        <w:szCs w:val="18"/>
        <w:lang w:val="de-DE"/>
      </w:rPr>
      <w:t>/Rev.1</w:t>
    </w:r>
  </w:p>
  <w:p w14:paraId="7F96EB0D" w14:textId="77777777" w:rsidR="002D6582" w:rsidRPr="00E26010" w:rsidRDefault="002D658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020C2" w14:textId="2226AD85" w:rsidR="004A5785" w:rsidRPr="00EF18FF" w:rsidRDefault="004A5785" w:rsidP="004A5785">
    <w:pPr>
      <w:pStyle w:val="Header"/>
      <w:pBdr>
        <w:bottom w:val="single" w:sz="4" w:space="1" w:color="auto"/>
      </w:pBdr>
      <w:rPr>
        <w:rFonts w:cs="Arial"/>
        <w:i/>
        <w:sz w:val="18"/>
        <w:szCs w:val="18"/>
        <w:lang w:val="en-US"/>
      </w:rPr>
    </w:pPr>
    <w:r>
      <w:rPr>
        <w:rFonts w:cs="Arial"/>
        <w:i/>
        <w:sz w:val="18"/>
        <w:szCs w:val="18"/>
        <w:lang w:val="en-US"/>
      </w:rPr>
      <w:t>UNEP/CMS/COP14/Doc.27.7.2/</w:t>
    </w:r>
    <w:r w:rsidR="00E26010">
      <w:rPr>
        <w:rFonts w:cs="Arial"/>
        <w:i/>
        <w:sz w:val="18"/>
        <w:szCs w:val="18"/>
        <w:lang w:val="en-US"/>
      </w:rPr>
      <w:t>Rev.1/</w:t>
    </w:r>
    <w:r>
      <w:rPr>
        <w:rFonts w:cs="Arial"/>
        <w:i/>
        <w:sz w:val="18"/>
        <w:szCs w:val="18"/>
        <w:lang w:val="en-US"/>
      </w:rPr>
      <w:t>Annexe 1</w:t>
    </w:r>
  </w:p>
  <w:p w14:paraId="66849521" w14:textId="77777777" w:rsidR="00371DE1" w:rsidRPr="00371DE1" w:rsidRDefault="00371DE1" w:rsidP="00371DE1">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90B4" w14:textId="34CCD701" w:rsidR="0060464C" w:rsidRPr="00EF18FF" w:rsidRDefault="0060464C" w:rsidP="00A836DB">
    <w:pPr>
      <w:pStyle w:val="Header"/>
      <w:pBdr>
        <w:bottom w:val="single" w:sz="4" w:space="1" w:color="auto"/>
      </w:pBdr>
      <w:jc w:val="right"/>
      <w:rPr>
        <w:rFonts w:cs="Arial"/>
        <w:i/>
        <w:sz w:val="18"/>
        <w:szCs w:val="18"/>
        <w:lang w:val="en-US"/>
      </w:rPr>
    </w:pPr>
    <w:r>
      <w:rPr>
        <w:rFonts w:cs="Arial"/>
        <w:i/>
        <w:sz w:val="18"/>
        <w:szCs w:val="18"/>
        <w:lang w:val="en-US"/>
      </w:rPr>
      <w:t>UNEP/CMS/COP14/Doc.27.7.2/</w:t>
    </w:r>
    <w:r w:rsidR="002C5770">
      <w:rPr>
        <w:rFonts w:cs="Arial"/>
        <w:i/>
        <w:sz w:val="18"/>
        <w:szCs w:val="18"/>
        <w:lang w:val="en-US"/>
      </w:rPr>
      <w:t>Rev.1/</w:t>
    </w:r>
    <w:r>
      <w:rPr>
        <w:rFonts w:cs="Arial"/>
        <w:i/>
        <w:sz w:val="18"/>
        <w:szCs w:val="18"/>
        <w:lang w:val="en-US"/>
      </w:rPr>
      <w:t>Annexe 1</w:t>
    </w:r>
  </w:p>
  <w:p w14:paraId="14772242" w14:textId="77777777" w:rsidR="0060464C" w:rsidRPr="002354BF" w:rsidRDefault="0060464C" w:rsidP="00A836DB">
    <w:pPr>
      <w:pStyle w:val="Header"/>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7C4EA615" w:rsidR="00371DE1" w:rsidRPr="00EF18FF" w:rsidRDefault="00371DE1" w:rsidP="00CF3917">
    <w:pPr>
      <w:pStyle w:val="Header"/>
      <w:pBdr>
        <w:bottom w:val="single" w:sz="4" w:space="1" w:color="auto"/>
      </w:pBdr>
      <w:jc w:val="right"/>
      <w:rPr>
        <w:rFonts w:cs="Arial"/>
        <w:i/>
        <w:sz w:val="18"/>
        <w:szCs w:val="18"/>
        <w:lang w:val="en-US"/>
      </w:rPr>
    </w:pPr>
    <w:r>
      <w:rPr>
        <w:rFonts w:cs="Arial"/>
        <w:i/>
        <w:sz w:val="18"/>
        <w:szCs w:val="18"/>
        <w:lang w:val="en-US"/>
      </w:rPr>
      <w:t>UNEP/CMS/COP14/Doc.27.7.2/</w:t>
    </w:r>
    <w:r w:rsidR="00E26010">
      <w:rPr>
        <w:rFonts w:cs="Arial"/>
        <w:i/>
        <w:sz w:val="18"/>
        <w:szCs w:val="18"/>
        <w:lang w:val="en-US"/>
      </w:rPr>
      <w:t>Rev.1/</w:t>
    </w:r>
    <w:r>
      <w:rPr>
        <w:rFonts w:cs="Arial"/>
        <w:i/>
        <w:sz w:val="18"/>
        <w:szCs w:val="18"/>
        <w:lang w:val="en-US"/>
      </w:rPr>
      <w:t>Annex</w:t>
    </w:r>
    <w:r w:rsidR="002354BF">
      <w:rPr>
        <w:rFonts w:cs="Arial"/>
        <w:i/>
        <w:sz w:val="18"/>
        <w:szCs w:val="18"/>
        <w:lang w:val="en-US"/>
      </w:rPr>
      <w:t xml:space="preserve">e </w:t>
    </w:r>
    <w:r>
      <w:rPr>
        <w:rFonts w:cs="Arial"/>
        <w:i/>
        <w:sz w:val="18"/>
        <w:szCs w:val="18"/>
        <w:lang w:val="en-US"/>
      </w:rPr>
      <w:t>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97A31B5"/>
    <w:multiLevelType w:val="hybridMultilevel"/>
    <w:tmpl w:val="4C12A79C"/>
    <w:lvl w:ilvl="0" w:tplc="540A0017">
      <w:start w:val="1"/>
      <w:numFmt w:val="lowerLetter"/>
      <w:lvlText w:val="%1)"/>
      <w:lvlJc w:val="left"/>
      <w:pPr>
        <w:ind w:left="1154" w:hanging="360"/>
      </w:pPr>
      <w:rPr>
        <w:rFonts w:hint="default"/>
      </w:rPr>
    </w:lvl>
    <w:lvl w:ilvl="1" w:tplc="540A0019" w:tentative="1">
      <w:start w:val="1"/>
      <w:numFmt w:val="lowerLetter"/>
      <w:lvlText w:val="%2."/>
      <w:lvlJc w:val="left"/>
      <w:pPr>
        <w:ind w:left="1874" w:hanging="360"/>
      </w:pPr>
    </w:lvl>
    <w:lvl w:ilvl="2" w:tplc="540A001B" w:tentative="1">
      <w:start w:val="1"/>
      <w:numFmt w:val="lowerRoman"/>
      <w:lvlText w:val="%3."/>
      <w:lvlJc w:val="right"/>
      <w:pPr>
        <w:ind w:left="2594" w:hanging="180"/>
      </w:pPr>
    </w:lvl>
    <w:lvl w:ilvl="3" w:tplc="540A000F" w:tentative="1">
      <w:start w:val="1"/>
      <w:numFmt w:val="decimal"/>
      <w:lvlText w:val="%4."/>
      <w:lvlJc w:val="left"/>
      <w:pPr>
        <w:ind w:left="3314" w:hanging="360"/>
      </w:pPr>
    </w:lvl>
    <w:lvl w:ilvl="4" w:tplc="540A0019" w:tentative="1">
      <w:start w:val="1"/>
      <w:numFmt w:val="lowerLetter"/>
      <w:lvlText w:val="%5."/>
      <w:lvlJc w:val="left"/>
      <w:pPr>
        <w:ind w:left="4034" w:hanging="360"/>
      </w:pPr>
    </w:lvl>
    <w:lvl w:ilvl="5" w:tplc="540A001B" w:tentative="1">
      <w:start w:val="1"/>
      <w:numFmt w:val="lowerRoman"/>
      <w:lvlText w:val="%6."/>
      <w:lvlJc w:val="right"/>
      <w:pPr>
        <w:ind w:left="4754" w:hanging="180"/>
      </w:pPr>
    </w:lvl>
    <w:lvl w:ilvl="6" w:tplc="540A000F" w:tentative="1">
      <w:start w:val="1"/>
      <w:numFmt w:val="decimal"/>
      <w:lvlText w:val="%7."/>
      <w:lvlJc w:val="left"/>
      <w:pPr>
        <w:ind w:left="5474" w:hanging="360"/>
      </w:pPr>
    </w:lvl>
    <w:lvl w:ilvl="7" w:tplc="540A0019" w:tentative="1">
      <w:start w:val="1"/>
      <w:numFmt w:val="lowerLetter"/>
      <w:lvlText w:val="%8."/>
      <w:lvlJc w:val="left"/>
      <w:pPr>
        <w:ind w:left="6194" w:hanging="360"/>
      </w:pPr>
    </w:lvl>
    <w:lvl w:ilvl="8" w:tplc="540A001B" w:tentative="1">
      <w:start w:val="1"/>
      <w:numFmt w:val="lowerRoman"/>
      <w:lvlText w:val="%9."/>
      <w:lvlJc w:val="right"/>
      <w:pPr>
        <w:ind w:left="6914"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5" w15:restartNumberingAfterBreak="0">
    <w:nsid w:val="336C74C3"/>
    <w:multiLevelType w:val="hybridMultilevel"/>
    <w:tmpl w:val="545E08B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77296C"/>
    <w:multiLevelType w:val="hybridMultilevel"/>
    <w:tmpl w:val="B2F29798"/>
    <w:lvl w:ilvl="0" w:tplc="C51A1EE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4BE009FB"/>
    <w:multiLevelType w:val="hybridMultilevel"/>
    <w:tmpl w:val="20CA696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4" w15:restartNumberingAfterBreak="0">
    <w:nsid w:val="5C55673A"/>
    <w:multiLevelType w:val="hybridMultilevel"/>
    <w:tmpl w:val="57CA3E90"/>
    <w:lvl w:ilvl="0" w:tplc="118459DA">
      <w:start w:val="1"/>
      <w:numFmt w:val="lowerLetter"/>
      <w:lvlText w:val="%1)"/>
      <w:lvlJc w:val="left"/>
      <w:pPr>
        <w:ind w:left="2061" w:hanging="360"/>
      </w:pPr>
      <w:rPr>
        <w:rFonts w:hint="default"/>
      </w:rPr>
    </w:lvl>
    <w:lvl w:ilvl="1" w:tplc="20000019" w:tentative="1">
      <w:start w:val="1"/>
      <w:numFmt w:val="lowerLetter"/>
      <w:lvlText w:val="%2."/>
      <w:lvlJc w:val="left"/>
      <w:pPr>
        <w:ind w:left="2781" w:hanging="360"/>
      </w:pPr>
    </w:lvl>
    <w:lvl w:ilvl="2" w:tplc="2000001B" w:tentative="1">
      <w:start w:val="1"/>
      <w:numFmt w:val="lowerRoman"/>
      <w:lvlText w:val="%3."/>
      <w:lvlJc w:val="right"/>
      <w:pPr>
        <w:ind w:left="3501" w:hanging="180"/>
      </w:pPr>
    </w:lvl>
    <w:lvl w:ilvl="3" w:tplc="2000000F" w:tentative="1">
      <w:start w:val="1"/>
      <w:numFmt w:val="decimal"/>
      <w:lvlText w:val="%4."/>
      <w:lvlJc w:val="left"/>
      <w:pPr>
        <w:ind w:left="4221" w:hanging="360"/>
      </w:pPr>
    </w:lvl>
    <w:lvl w:ilvl="4" w:tplc="20000019" w:tentative="1">
      <w:start w:val="1"/>
      <w:numFmt w:val="lowerLetter"/>
      <w:lvlText w:val="%5."/>
      <w:lvlJc w:val="left"/>
      <w:pPr>
        <w:ind w:left="4941" w:hanging="360"/>
      </w:pPr>
    </w:lvl>
    <w:lvl w:ilvl="5" w:tplc="2000001B" w:tentative="1">
      <w:start w:val="1"/>
      <w:numFmt w:val="lowerRoman"/>
      <w:lvlText w:val="%6."/>
      <w:lvlJc w:val="right"/>
      <w:pPr>
        <w:ind w:left="5661" w:hanging="180"/>
      </w:pPr>
    </w:lvl>
    <w:lvl w:ilvl="6" w:tplc="2000000F" w:tentative="1">
      <w:start w:val="1"/>
      <w:numFmt w:val="decimal"/>
      <w:lvlText w:val="%7."/>
      <w:lvlJc w:val="left"/>
      <w:pPr>
        <w:ind w:left="6381" w:hanging="360"/>
      </w:pPr>
    </w:lvl>
    <w:lvl w:ilvl="7" w:tplc="20000019" w:tentative="1">
      <w:start w:val="1"/>
      <w:numFmt w:val="lowerLetter"/>
      <w:lvlText w:val="%8."/>
      <w:lvlJc w:val="left"/>
      <w:pPr>
        <w:ind w:left="7101" w:hanging="360"/>
      </w:pPr>
    </w:lvl>
    <w:lvl w:ilvl="8" w:tplc="2000001B" w:tentative="1">
      <w:start w:val="1"/>
      <w:numFmt w:val="lowerRoman"/>
      <w:lvlText w:val="%9."/>
      <w:lvlJc w:val="right"/>
      <w:pPr>
        <w:ind w:left="7821" w:hanging="180"/>
      </w:pPr>
    </w:lvl>
  </w:abstractNum>
  <w:abstractNum w:abstractNumId="1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D334DB"/>
    <w:multiLevelType w:val="hybridMultilevel"/>
    <w:tmpl w:val="4C12A79C"/>
    <w:lvl w:ilvl="0" w:tplc="FFFFFFFF">
      <w:start w:val="1"/>
      <w:numFmt w:val="lowerLetter"/>
      <w:lvlText w:val="%1)"/>
      <w:lvlJc w:val="left"/>
      <w:pPr>
        <w:ind w:left="1154" w:hanging="360"/>
      </w:pPr>
      <w:rPr>
        <w:rFonts w:hint="default"/>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20"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2051882461">
    <w:abstractNumId w:val="12"/>
  </w:num>
  <w:num w:numId="2" w16cid:durableId="964459839">
    <w:abstractNumId w:val="18"/>
  </w:num>
  <w:num w:numId="3" w16cid:durableId="1187406991">
    <w:abstractNumId w:val="3"/>
  </w:num>
  <w:num w:numId="4" w16cid:durableId="1552964646">
    <w:abstractNumId w:val="10"/>
  </w:num>
  <w:num w:numId="5" w16cid:durableId="1668751723">
    <w:abstractNumId w:val="2"/>
  </w:num>
  <w:num w:numId="6" w16cid:durableId="269526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50800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3217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1270786">
    <w:abstractNumId w:val="13"/>
  </w:num>
  <w:num w:numId="10" w16cid:durableId="746532556">
    <w:abstractNumId w:val="15"/>
  </w:num>
  <w:num w:numId="11" w16cid:durableId="375472755">
    <w:abstractNumId w:val="3"/>
    <w:lvlOverride w:ilvl="0">
      <w:startOverride w:val="1"/>
    </w:lvlOverride>
  </w:num>
  <w:num w:numId="12" w16cid:durableId="9627288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2980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31379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79043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4793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29655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5576250">
    <w:abstractNumId w:val="17"/>
  </w:num>
  <w:num w:numId="19" w16cid:durableId="502820670">
    <w:abstractNumId w:val="8"/>
  </w:num>
  <w:num w:numId="20" w16cid:durableId="823354761">
    <w:abstractNumId w:val="1"/>
  </w:num>
  <w:num w:numId="21" w16cid:durableId="2016766399">
    <w:abstractNumId w:val="19"/>
  </w:num>
  <w:num w:numId="22" w16cid:durableId="761998240">
    <w:abstractNumId w:val="9"/>
  </w:num>
  <w:num w:numId="23" w16cid:durableId="553666435">
    <w:abstractNumId w:val="5"/>
  </w:num>
  <w:num w:numId="24" w16cid:durableId="5243634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zMLMwMjO3MDNQ0lEKTi0uzszPAykwrAUAkLKWCywAAAA="/>
  </w:docVars>
  <w:rsids>
    <w:rsidRoot w:val="002E0DE9"/>
    <w:rsid w:val="000034B2"/>
    <w:rsid w:val="00005EBD"/>
    <w:rsid w:val="00010E38"/>
    <w:rsid w:val="0001212C"/>
    <w:rsid w:val="000172CD"/>
    <w:rsid w:val="0002274A"/>
    <w:rsid w:val="00025845"/>
    <w:rsid w:val="00031E8B"/>
    <w:rsid w:val="00032864"/>
    <w:rsid w:val="00032C49"/>
    <w:rsid w:val="00037CBD"/>
    <w:rsid w:val="000411DB"/>
    <w:rsid w:val="00042F71"/>
    <w:rsid w:val="00050B10"/>
    <w:rsid w:val="00050CA1"/>
    <w:rsid w:val="00053D27"/>
    <w:rsid w:val="0005403B"/>
    <w:rsid w:val="000552F7"/>
    <w:rsid w:val="00064704"/>
    <w:rsid w:val="0006629E"/>
    <w:rsid w:val="0007131F"/>
    <w:rsid w:val="00080387"/>
    <w:rsid w:val="00080BEA"/>
    <w:rsid w:val="000815F8"/>
    <w:rsid w:val="00095FB0"/>
    <w:rsid w:val="00096D8C"/>
    <w:rsid w:val="00096E55"/>
    <w:rsid w:val="00097CA4"/>
    <w:rsid w:val="000B2C91"/>
    <w:rsid w:val="000C2721"/>
    <w:rsid w:val="000C349E"/>
    <w:rsid w:val="000D045C"/>
    <w:rsid w:val="000D318F"/>
    <w:rsid w:val="000D4281"/>
    <w:rsid w:val="000D785A"/>
    <w:rsid w:val="000E052A"/>
    <w:rsid w:val="000E229F"/>
    <w:rsid w:val="000E788E"/>
    <w:rsid w:val="000F026A"/>
    <w:rsid w:val="000F0AD9"/>
    <w:rsid w:val="001068E1"/>
    <w:rsid w:val="001123DB"/>
    <w:rsid w:val="00115E68"/>
    <w:rsid w:val="00120701"/>
    <w:rsid w:val="00141859"/>
    <w:rsid w:val="00147933"/>
    <w:rsid w:val="00155FD6"/>
    <w:rsid w:val="00171815"/>
    <w:rsid w:val="0017266D"/>
    <w:rsid w:val="00175C6E"/>
    <w:rsid w:val="00176153"/>
    <w:rsid w:val="00187607"/>
    <w:rsid w:val="001A2ED9"/>
    <w:rsid w:val="001A4508"/>
    <w:rsid w:val="001B0C62"/>
    <w:rsid w:val="001C59FD"/>
    <w:rsid w:val="001D10E7"/>
    <w:rsid w:val="001D526B"/>
    <w:rsid w:val="001D69E5"/>
    <w:rsid w:val="001E6F3E"/>
    <w:rsid w:val="001F10D5"/>
    <w:rsid w:val="001F2CA4"/>
    <w:rsid w:val="00200821"/>
    <w:rsid w:val="00201DFA"/>
    <w:rsid w:val="00210459"/>
    <w:rsid w:val="002118CF"/>
    <w:rsid w:val="002145CE"/>
    <w:rsid w:val="00215782"/>
    <w:rsid w:val="002354BF"/>
    <w:rsid w:val="00240F90"/>
    <w:rsid w:val="00241B36"/>
    <w:rsid w:val="002456C3"/>
    <w:rsid w:val="00257F00"/>
    <w:rsid w:val="0026456B"/>
    <w:rsid w:val="00264C4B"/>
    <w:rsid w:val="00264F93"/>
    <w:rsid w:val="00267156"/>
    <w:rsid w:val="00267551"/>
    <w:rsid w:val="00273B6E"/>
    <w:rsid w:val="0027617B"/>
    <w:rsid w:val="00281B9F"/>
    <w:rsid w:val="00285F92"/>
    <w:rsid w:val="00293EF2"/>
    <w:rsid w:val="002954CF"/>
    <w:rsid w:val="002973D3"/>
    <w:rsid w:val="002A012C"/>
    <w:rsid w:val="002A178B"/>
    <w:rsid w:val="002B11B4"/>
    <w:rsid w:val="002B1DDF"/>
    <w:rsid w:val="002C49EB"/>
    <w:rsid w:val="002C5770"/>
    <w:rsid w:val="002C6BD6"/>
    <w:rsid w:val="002C6FF6"/>
    <w:rsid w:val="002D2755"/>
    <w:rsid w:val="002D6582"/>
    <w:rsid w:val="002E0DE9"/>
    <w:rsid w:val="002F2A93"/>
    <w:rsid w:val="00310B43"/>
    <w:rsid w:val="003140F0"/>
    <w:rsid w:val="00322248"/>
    <w:rsid w:val="00323FFF"/>
    <w:rsid w:val="00324E3F"/>
    <w:rsid w:val="00332BD7"/>
    <w:rsid w:val="00335E07"/>
    <w:rsid w:val="00360838"/>
    <w:rsid w:val="003629AA"/>
    <w:rsid w:val="00371DE1"/>
    <w:rsid w:val="00372F3E"/>
    <w:rsid w:val="0037384B"/>
    <w:rsid w:val="00377847"/>
    <w:rsid w:val="00383651"/>
    <w:rsid w:val="00392513"/>
    <w:rsid w:val="00396118"/>
    <w:rsid w:val="0039645D"/>
    <w:rsid w:val="003A10D2"/>
    <w:rsid w:val="003A2660"/>
    <w:rsid w:val="003B2E96"/>
    <w:rsid w:val="003B608F"/>
    <w:rsid w:val="003B62DE"/>
    <w:rsid w:val="003B7E71"/>
    <w:rsid w:val="003C1B2A"/>
    <w:rsid w:val="003D6072"/>
    <w:rsid w:val="003E0665"/>
    <w:rsid w:val="003E0F1E"/>
    <w:rsid w:val="003E4E97"/>
    <w:rsid w:val="003F0B0F"/>
    <w:rsid w:val="003F4A60"/>
    <w:rsid w:val="003F4FF8"/>
    <w:rsid w:val="00413342"/>
    <w:rsid w:val="00425853"/>
    <w:rsid w:val="00432F0B"/>
    <w:rsid w:val="0045531B"/>
    <w:rsid w:val="00461356"/>
    <w:rsid w:val="00466D4A"/>
    <w:rsid w:val="004728AD"/>
    <w:rsid w:val="0048118D"/>
    <w:rsid w:val="00484246"/>
    <w:rsid w:val="00492368"/>
    <w:rsid w:val="00492C34"/>
    <w:rsid w:val="00494E65"/>
    <w:rsid w:val="004A0249"/>
    <w:rsid w:val="004A3D62"/>
    <w:rsid w:val="004A5785"/>
    <w:rsid w:val="004B279B"/>
    <w:rsid w:val="004B2E83"/>
    <w:rsid w:val="004B7071"/>
    <w:rsid w:val="004B7904"/>
    <w:rsid w:val="004C52E0"/>
    <w:rsid w:val="004C6104"/>
    <w:rsid w:val="004C6DAD"/>
    <w:rsid w:val="004D12BB"/>
    <w:rsid w:val="004D1914"/>
    <w:rsid w:val="004D3D30"/>
    <w:rsid w:val="004D415F"/>
    <w:rsid w:val="004E2264"/>
    <w:rsid w:val="004F2AB3"/>
    <w:rsid w:val="004F3FAD"/>
    <w:rsid w:val="005104FA"/>
    <w:rsid w:val="00516AB6"/>
    <w:rsid w:val="0051766A"/>
    <w:rsid w:val="005330F7"/>
    <w:rsid w:val="005342EB"/>
    <w:rsid w:val="00540656"/>
    <w:rsid w:val="00552AD3"/>
    <w:rsid w:val="00553D11"/>
    <w:rsid w:val="0055622E"/>
    <w:rsid w:val="00556349"/>
    <w:rsid w:val="00556E09"/>
    <w:rsid w:val="00562153"/>
    <w:rsid w:val="00562A3C"/>
    <w:rsid w:val="00563598"/>
    <w:rsid w:val="00570F49"/>
    <w:rsid w:val="00576575"/>
    <w:rsid w:val="0057673D"/>
    <w:rsid w:val="00584C11"/>
    <w:rsid w:val="005A2951"/>
    <w:rsid w:val="005A3A10"/>
    <w:rsid w:val="005B15D5"/>
    <w:rsid w:val="005B5EBA"/>
    <w:rsid w:val="005B6E52"/>
    <w:rsid w:val="005B72AB"/>
    <w:rsid w:val="005C7E1A"/>
    <w:rsid w:val="005D06A2"/>
    <w:rsid w:val="005D488F"/>
    <w:rsid w:val="005D4CAB"/>
    <w:rsid w:val="005E64DD"/>
    <w:rsid w:val="005F7EA5"/>
    <w:rsid w:val="006037E1"/>
    <w:rsid w:val="00603826"/>
    <w:rsid w:val="0060464C"/>
    <w:rsid w:val="006100C4"/>
    <w:rsid w:val="006239A0"/>
    <w:rsid w:val="0063026B"/>
    <w:rsid w:val="0063279B"/>
    <w:rsid w:val="006361B1"/>
    <w:rsid w:val="00645B35"/>
    <w:rsid w:val="00646D15"/>
    <w:rsid w:val="00652364"/>
    <w:rsid w:val="00660885"/>
    <w:rsid w:val="00661875"/>
    <w:rsid w:val="0066571E"/>
    <w:rsid w:val="006671A3"/>
    <w:rsid w:val="0067351A"/>
    <w:rsid w:val="00686749"/>
    <w:rsid w:val="00695AAD"/>
    <w:rsid w:val="00696DB9"/>
    <w:rsid w:val="0069797E"/>
    <w:rsid w:val="006A354F"/>
    <w:rsid w:val="006A6B50"/>
    <w:rsid w:val="006B2652"/>
    <w:rsid w:val="006B5610"/>
    <w:rsid w:val="006D1635"/>
    <w:rsid w:val="006D203C"/>
    <w:rsid w:val="006D713B"/>
    <w:rsid w:val="006E3B8C"/>
    <w:rsid w:val="006E4B7D"/>
    <w:rsid w:val="006E51C8"/>
    <w:rsid w:val="006F1523"/>
    <w:rsid w:val="006F1960"/>
    <w:rsid w:val="00707192"/>
    <w:rsid w:val="007109AF"/>
    <w:rsid w:val="00711296"/>
    <w:rsid w:val="00711A29"/>
    <w:rsid w:val="00715FB6"/>
    <w:rsid w:val="00721B0C"/>
    <w:rsid w:val="007245CD"/>
    <w:rsid w:val="007246FF"/>
    <w:rsid w:val="0073015A"/>
    <w:rsid w:val="007428E7"/>
    <w:rsid w:val="00743E7C"/>
    <w:rsid w:val="007572E4"/>
    <w:rsid w:val="00761E80"/>
    <w:rsid w:val="00763467"/>
    <w:rsid w:val="007951AB"/>
    <w:rsid w:val="0079526A"/>
    <w:rsid w:val="007953E9"/>
    <w:rsid w:val="00797DF3"/>
    <w:rsid w:val="007A44C6"/>
    <w:rsid w:val="007B52D9"/>
    <w:rsid w:val="007C1614"/>
    <w:rsid w:val="007C304E"/>
    <w:rsid w:val="007C35FE"/>
    <w:rsid w:val="007C4ED6"/>
    <w:rsid w:val="007C666D"/>
    <w:rsid w:val="007D1EA2"/>
    <w:rsid w:val="007D5DD1"/>
    <w:rsid w:val="007D77D9"/>
    <w:rsid w:val="007E4F59"/>
    <w:rsid w:val="007E58DF"/>
    <w:rsid w:val="007E641E"/>
    <w:rsid w:val="007F44BD"/>
    <w:rsid w:val="00803CE1"/>
    <w:rsid w:val="00806CD3"/>
    <w:rsid w:val="00814DD2"/>
    <w:rsid w:val="008156DF"/>
    <w:rsid w:val="00815A1E"/>
    <w:rsid w:val="00820D6B"/>
    <w:rsid w:val="008226C3"/>
    <w:rsid w:val="00831DC2"/>
    <w:rsid w:val="00836DEE"/>
    <w:rsid w:val="0084195A"/>
    <w:rsid w:val="008469CD"/>
    <w:rsid w:val="00862A46"/>
    <w:rsid w:val="008642AD"/>
    <w:rsid w:val="00873459"/>
    <w:rsid w:val="008752D6"/>
    <w:rsid w:val="00877F0A"/>
    <w:rsid w:val="00882CB3"/>
    <w:rsid w:val="00887A35"/>
    <w:rsid w:val="008955DC"/>
    <w:rsid w:val="00895E8B"/>
    <w:rsid w:val="008B0AC3"/>
    <w:rsid w:val="008B1154"/>
    <w:rsid w:val="008B1B57"/>
    <w:rsid w:val="008B6387"/>
    <w:rsid w:val="008C26EB"/>
    <w:rsid w:val="008C3546"/>
    <w:rsid w:val="008C39BA"/>
    <w:rsid w:val="008D0753"/>
    <w:rsid w:val="008D66E6"/>
    <w:rsid w:val="008E40B9"/>
    <w:rsid w:val="0090477C"/>
    <w:rsid w:val="00904EA8"/>
    <w:rsid w:val="0090727B"/>
    <w:rsid w:val="00907CBD"/>
    <w:rsid w:val="0091470C"/>
    <w:rsid w:val="00917922"/>
    <w:rsid w:val="0092302C"/>
    <w:rsid w:val="0092353B"/>
    <w:rsid w:val="00925551"/>
    <w:rsid w:val="00934817"/>
    <w:rsid w:val="00935A01"/>
    <w:rsid w:val="0094022D"/>
    <w:rsid w:val="00945AD8"/>
    <w:rsid w:val="00947FE4"/>
    <w:rsid w:val="00950AC9"/>
    <w:rsid w:val="009724C9"/>
    <w:rsid w:val="009743E0"/>
    <w:rsid w:val="00974C2E"/>
    <w:rsid w:val="0098492F"/>
    <w:rsid w:val="00993D37"/>
    <w:rsid w:val="00996F5D"/>
    <w:rsid w:val="009A1489"/>
    <w:rsid w:val="009B4731"/>
    <w:rsid w:val="009B4781"/>
    <w:rsid w:val="009C1079"/>
    <w:rsid w:val="009C1C9F"/>
    <w:rsid w:val="009C313D"/>
    <w:rsid w:val="009D558A"/>
    <w:rsid w:val="009E685B"/>
    <w:rsid w:val="009F2C2F"/>
    <w:rsid w:val="009F5895"/>
    <w:rsid w:val="009F6F9F"/>
    <w:rsid w:val="00A03A61"/>
    <w:rsid w:val="00A03D0C"/>
    <w:rsid w:val="00A0577A"/>
    <w:rsid w:val="00A113D6"/>
    <w:rsid w:val="00A128BC"/>
    <w:rsid w:val="00A22058"/>
    <w:rsid w:val="00A2239B"/>
    <w:rsid w:val="00A25D48"/>
    <w:rsid w:val="00A25EB6"/>
    <w:rsid w:val="00A34291"/>
    <w:rsid w:val="00A45EB2"/>
    <w:rsid w:val="00A61D3A"/>
    <w:rsid w:val="00A66A56"/>
    <w:rsid w:val="00A719CB"/>
    <w:rsid w:val="00A836DB"/>
    <w:rsid w:val="00A839BA"/>
    <w:rsid w:val="00A94DFE"/>
    <w:rsid w:val="00AA26FC"/>
    <w:rsid w:val="00AA61B1"/>
    <w:rsid w:val="00AC4C47"/>
    <w:rsid w:val="00AD2B69"/>
    <w:rsid w:val="00AD5A94"/>
    <w:rsid w:val="00AE3539"/>
    <w:rsid w:val="00AE3F5D"/>
    <w:rsid w:val="00AE528C"/>
    <w:rsid w:val="00AE67EB"/>
    <w:rsid w:val="00AE6D3C"/>
    <w:rsid w:val="00AE7CDB"/>
    <w:rsid w:val="00AF06C8"/>
    <w:rsid w:val="00AF33FF"/>
    <w:rsid w:val="00AF4D22"/>
    <w:rsid w:val="00AF4E9A"/>
    <w:rsid w:val="00B15664"/>
    <w:rsid w:val="00B213E5"/>
    <w:rsid w:val="00B34ED9"/>
    <w:rsid w:val="00B34F60"/>
    <w:rsid w:val="00B46A40"/>
    <w:rsid w:val="00B52751"/>
    <w:rsid w:val="00B57989"/>
    <w:rsid w:val="00B57E93"/>
    <w:rsid w:val="00B65DE5"/>
    <w:rsid w:val="00B80E16"/>
    <w:rsid w:val="00B82707"/>
    <w:rsid w:val="00B86408"/>
    <w:rsid w:val="00B97B5C"/>
    <w:rsid w:val="00BB0A48"/>
    <w:rsid w:val="00BB214E"/>
    <w:rsid w:val="00BB2683"/>
    <w:rsid w:val="00BC0A8F"/>
    <w:rsid w:val="00BC575D"/>
    <w:rsid w:val="00BC6606"/>
    <w:rsid w:val="00BD05CB"/>
    <w:rsid w:val="00BE0EA7"/>
    <w:rsid w:val="00BF490F"/>
    <w:rsid w:val="00C10BFA"/>
    <w:rsid w:val="00C12D5B"/>
    <w:rsid w:val="00C15318"/>
    <w:rsid w:val="00C15971"/>
    <w:rsid w:val="00C16D1E"/>
    <w:rsid w:val="00C2025E"/>
    <w:rsid w:val="00C2246F"/>
    <w:rsid w:val="00C2719B"/>
    <w:rsid w:val="00C27844"/>
    <w:rsid w:val="00C3469C"/>
    <w:rsid w:val="00C35A74"/>
    <w:rsid w:val="00C42C5E"/>
    <w:rsid w:val="00C53972"/>
    <w:rsid w:val="00C54985"/>
    <w:rsid w:val="00C84A21"/>
    <w:rsid w:val="00C87871"/>
    <w:rsid w:val="00C91246"/>
    <w:rsid w:val="00C92714"/>
    <w:rsid w:val="00C94751"/>
    <w:rsid w:val="00C962D4"/>
    <w:rsid w:val="00CA1F67"/>
    <w:rsid w:val="00CA44D1"/>
    <w:rsid w:val="00CA7268"/>
    <w:rsid w:val="00CA7802"/>
    <w:rsid w:val="00CB50BB"/>
    <w:rsid w:val="00CB603C"/>
    <w:rsid w:val="00CC1443"/>
    <w:rsid w:val="00CC2C21"/>
    <w:rsid w:val="00CC4EB5"/>
    <w:rsid w:val="00CD055E"/>
    <w:rsid w:val="00CD3F7C"/>
    <w:rsid w:val="00CD4924"/>
    <w:rsid w:val="00CD7007"/>
    <w:rsid w:val="00CE0D90"/>
    <w:rsid w:val="00CE1324"/>
    <w:rsid w:val="00CE35F0"/>
    <w:rsid w:val="00CF3917"/>
    <w:rsid w:val="00CF6CA9"/>
    <w:rsid w:val="00CF759D"/>
    <w:rsid w:val="00D03668"/>
    <w:rsid w:val="00D14760"/>
    <w:rsid w:val="00D15415"/>
    <w:rsid w:val="00D15CC9"/>
    <w:rsid w:val="00D16427"/>
    <w:rsid w:val="00D204CA"/>
    <w:rsid w:val="00D231BD"/>
    <w:rsid w:val="00D23A70"/>
    <w:rsid w:val="00D269B7"/>
    <w:rsid w:val="00D32661"/>
    <w:rsid w:val="00D32BE3"/>
    <w:rsid w:val="00D42D8C"/>
    <w:rsid w:val="00D537E4"/>
    <w:rsid w:val="00D64094"/>
    <w:rsid w:val="00D8003B"/>
    <w:rsid w:val="00D81BA9"/>
    <w:rsid w:val="00D95E08"/>
    <w:rsid w:val="00DA022D"/>
    <w:rsid w:val="00DA20C8"/>
    <w:rsid w:val="00DA728E"/>
    <w:rsid w:val="00DB58A4"/>
    <w:rsid w:val="00DB6DB6"/>
    <w:rsid w:val="00DC0CEF"/>
    <w:rsid w:val="00DD07FD"/>
    <w:rsid w:val="00DD3E44"/>
    <w:rsid w:val="00DE1D2E"/>
    <w:rsid w:val="00DE30DA"/>
    <w:rsid w:val="00DE3B3F"/>
    <w:rsid w:val="00DF3BE9"/>
    <w:rsid w:val="00E00F18"/>
    <w:rsid w:val="00E16BDD"/>
    <w:rsid w:val="00E21E34"/>
    <w:rsid w:val="00E234BF"/>
    <w:rsid w:val="00E26010"/>
    <w:rsid w:val="00E3100F"/>
    <w:rsid w:val="00E37263"/>
    <w:rsid w:val="00E40B70"/>
    <w:rsid w:val="00E4266D"/>
    <w:rsid w:val="00E5039B"/>
    <w:rsid w:val="00E53213"/>
    <w:rsid w:val="00E54124"/>
    <w:rsid w:val="00E55105"/>
    <w:rsid w:val="00E55D0D"/>
    <w:rsid w:val="00E57A02"/>
    <w:rsid w:val="00E6282A"/>
    <w:rsid w:val="00E64793"/>
    <w:rsid w:val="00E65E79"/>
    <w:rsid w:val="00E71F4E"/>
    <w:rsid w:val="00E73C41"/>
    <w:rsid w:val="00E7489B"/>
    <w:rsid w:val="00E77DC5"/>
    <w:rsid w:val="00E84768"/>
    <w:rsid w:val="00E9136A"/>
    <w:rsid w:val="00E94029"/>
    <w:rsid w:val="00EA1C5C"/>
    <w:rsid w:val="00EA5CBB"/>
    <w:rsid w:val="00EA6929"/>
    <w:rsid w:val="00EC4F04"/>
    <w:rsid w:val="00EC57C9"/>
    <w:rsid w:val="00EC6EE1"/>
    <w:rsid w:val="00EE350D"/>
    <w:rsid w:val="00EE6ADB"/>
    <w:rsid w:val="00EE7D9B"/>
    <w:rsid w:val="00EF18FF"/>
    <w:rsid w:val="00EF4456"/>
    <w:rsid w:val="00EF7ADB"/>
    <w:rsid w:val="00F02F6D"/>
    <w:rsid w:val="00F04761"/>
    <w:rsid w:val="00F0494D"/>
    <w:rsid w:val="00F061FF"/>
    <w:rsid w:val="00F118AA"/>
    <w:rsid w:val="00F11A7A"/>
    <w:rsid w:val="00F234E4"/>
    <w:rsid w:val="00F25E58"/>
    <w:rsid w:val="00F25E90"/>
    <w:rsid w:val="00F30A77"/>
    <w:rsid w:val="00F345B1"/>
    <w:rsid w:val="00F36EF2"/>
    <w:rsid w:val="00F43493"/>
    <w:rsid w:val="00F464AB"/>
    <w:rsid w:val="00F67D6C"/>
    <w:rsid w:val="00F71D26"/>
    <w:rsid w:val="00F75F01"/>
    <w:rsid w:val="00F81B4A"/>
    <w:rsid w:val="00F963D5"/>
    <w:rsid w:val="00FA1E72"/>
    <w:rsid w:val="00FB7CAA"/>
    <w:rsid w:val="00FC1295"/>
    <w:rsid w:val="00FC1350"/>
    <w:rsid w:val="00FE00E5"/>
    <w:rsid w:val="00FE08A1"/>
    <w:rsid w:val="00FF4926"/>
    <w:rsid w:val="00FF4F80"/>
    <w:rsid w:val="00FF564D"/>
    <w:rsid w:val="00FF72DB"/>
    <w:rsid w:val="42274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BBF097E2-C79C-4B59-A6F3-B4E2746B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3">
    <w:name w:val="heading 3"/>
    <w:basedOn w:val="Normal"/>
    <w:link w:val="Heading3Char"/>
    <w:uiPriority w:val="9"/>
    <w:qFormat/>
    <w:rsid w:val="00CA726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Hyperlink">
    <w:name w:val="Hyperlink"/>
    <w:basedOn w:val="DefaultParagraphFont"/>
    <w:uiPriority w:val="99"/>
    <w:unhideWhenUsed/>
    <w:rsid w:val="00D03668"/>
    <w:rPr>
      <w:color w:val="0563C1" w:themeColor="hyperlink"/>
      <w:u w:val="single"/>
    </w:rPr>
  </w:style>
  <w:style w:type="character" w:styleId="UnresolvedMention">
    <w:name w:val="Unresolved Mention"/>
    <w:basedOn w:val="DefaultParagraphFont"/>
    <w:uiPriority w:val="99"/>
    <w:semiHidden/>
    <w:unhideWhenUsed/>
    <w:rsid w:val="00D03668"/>
    <w:rPr>
      <w:color w:val="605E5C"/>
      <w:shd w:val="clear" w:color="auto" w:fill="E1DFDD"/>
    </w:rPr>
  </w:style>
  <w:style w:type="character" w:styleId="CommentReference">
    <w:name w:val="annotation reference"/>
    <w:basedOn w:val="DefaultParagraphFont"/>
    <w:uiPriority w:val="99"/>
    <w:semiHidden/>
    <w:unhideWhenUsed/>
    <w:rsid w:val="00A25EB6"/>
    <w:rPr>
      <w:sz w:val="16"/>
      <w:szCs w:val="16"/>
    </w:rPr>
  </w:style>
  <w:style w:type="paragraph" w:styleId="CommentText">
    <w:name w:val="annotation text"/>
    <w:basedOn w:val="Normal"/>
    <w:link w:val="CommentTextChar"/>
    <w:uiPriority w:val="99"/>
    <w:unhideWhenUsed/>
    <w:rsid w:val="00A25EB6"/>
    <w:pPr>
      <w:spacing w:line="240" w:lineRule="auto"/>
    </w:pPr>
    <w:rPr>
      <w:sz w:val="20"/>
      <w:szCs w:val="20"/>
    </w:rPr>
  </w:style>
  <w:style w:type="character" w:customStyle="1" w:styleId="CommentTextChar">
    <w:name w:val="Comment Text Char"/>
    <w:basedOn w:val="DefaultParagraphFont"/>
    <w:link w:val="CommentText"/>
    <w:uiPriority w:val="99"/>
    <w:rsid w:val="00A25EB6"/>
    <w:rPr>
      <w:sz w:val="20"/>
      <w:szCs w:val="20"/>
      <w:lang w:val="en-GB"/>
    </w:rPr>
  </w:style>
  <w:style w:type="paragraph" w:styleId="CommentSubject">
    <w:name w:val="annotation subject"/>
    <w:basedOn w:val="CommentText"/>
    <w:next w:val="CommentText"/>
    <w:link w:val="CommentSubjectChar"/>
    <w:uiPriority w:val="99"/>
    <w:semiHidden/>
    <w:unhideWhenUsed/>
    <w:rsid w:val="00A25EB6"/>
    <w:rPr>
      <w:b/>
      <w:bCs/>
    </w:rPr>
  </w:style>
  <w:style w:type="character" w:customStyle="1" w:styleId="CommentSubjectChar">
    <w:name w:val="Comment Subject Char"/>
    <w:basedOn w:val="CommentTextChar"/>
    <w:link w:val="CommentSubject"/>
    <w:uiPriority w:val="99"/>
    <w:semiHidden/>
    <w:rsid w:val="00A25EB6"/>
    <w:rPr>
      <w:b/>
      <w:bCs/>
      <w:sz w:val="20"/>
      <w:szCs w:val="20"/>
      <w:lang w:val="en-GB"/>
    </w:rPr>
  </w:style>
  <w:style w:type="character" w:styleId="FollowedHyperlink">
    <w:name w:val="FollowedHyperlink"/>
    <w:basedOn w:val="DefaultParagraphFont"/>
    <w:uiPriority w:val="99"/>
    <w:semiHidden/>
    <w:unhideWhenUsed/>
    <w:rsid w:val="00645B35"/>
    <w:rPr>
      <w:color w:val="954F72" w:themeColor="followedHyperlink"/>
      <w:u w:val="single"/>
    </w:rPr>
  </w:style>
  <w:style w:type="character" w:styleId="Mention">
    <w:name w:val="Mention"/>
    <w:basedOn w:val="DefaultParagraphFont"/>
    <w:uiPriority w:val="99"/>
    <w:unhideWhenUsed/>
    <w:rsid w:val="006E4B7D"/>
    <w:rPr>
      <w:color w:val="2B579A"/>
      <w:shd w:val="clear" w:color="auto" w:fill="E1DFDD"/>
    </w:rPr>
  </w:style>
  <w:style w:type="character" w:customStyle="1" w:styleId="Heading3Char">
    <w:name w:val="Heading 3 Char"/>
    <w:basedOn w:val="DefaultParagraphFont"/>
    <w:link w:val="Heading3"/>
    <w:uiPriority w:val="9"/>
    <w:rsid w:val="00CA7268"/>
    <w:rPr>
      <w:rFonts w:ascii="Times New Roman" w:eastAsia="Times New Roman" w:hAnsi="Times New Roman" w:cs="Times New Roman"/>
      <w:b/>
      <w:bCs/>
      <w:sz w:val="27"/>
      <w:szCs w:val="27"/>
    </w:rPr>
  </w:style>
  <w:style w:type="character" w:styleId="Strong">
    <w:name w:val="Strong"/>
    <w:basedOn w:val="DefaultParagraphFont"/>
    <w:uiPriority w:val="22"/>
    <w:qFormat/>
    <w:rsid w:val="00CA7268"/>
    <w:rPr>
      <w:b/>
      <w:bCs/>
    </w:rPr>
  </w:style>
  <w:style w:type="character" w:customStyle="1" w:styleId="field-content">
    <w:name w:val="field-content"/>
    <w:basedOn w:val="DefaultParagraphFont"/>
    <w:rsid w:val="00CA7268"/>
  </w:style>
  <w:style w:type="paragraph" w:styleId="NormalWeb">
    <w:name w:val="Normal (Web)"/>
    <w:basedOn w:val="Normal"/>
    <w:uiPriority w:val="99"/>
    <w:semiHidden/>
    <w:unhideWhenUsed/>
    <w:rsid w:val="00CA726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Normal"/>
    <w:rsid w:val="00332B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332BD7"/>
    <w:rPr>
      <w:rFonts w:ascii="Segoe UI" w:hAnsi="Segoe UI" w:cs="Segoe UI" w:hint="default"/>
      <w:sz w:val="18"/>
      <w:szCs w:val="18"/>
    </w:rPr>
  </w:style>
  <w:style w:type="character" w:customStyle="1" w:styleId="normaltextrun">
    <w:name w:val="normaltextrun"/>
    <w:basedOn w:val="DefaultParagraphFont"/>
    <w:rsid w:val="003B2E96"/>
  </w:style>
  <w:style w:type="character" w:customStyle="1" w:styleId="eop">
    <w:name w:val="eop"/>
    <w:basedOn w:val="DefaultParagraphFont"/>
    <w:rsid w:val="003B2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36538">
      <w:bodyDiv w:val="1"/>
      <w:marLeft w:val="0"/>
      <w:marRight w:val="0"/>
      <w:marTop w:val="0"/>
      <w:marBottom w:val="0"/>
      <w:divBdr>
        <w:top w:val="none" w:sz="0" w:space="0" w:color="auto"/>
        <w:left w:val="none" w:sz="0" w:space="0" w:color="auto"/>
        <w:bottom w:val="none" w:sz="0" w:space="0" w:color="auto"/>
        <w:right w:val="none" w:sz="0" w:space="0" w:color="auto"/>
      </w:divBdr>
      <w:divsChild>
        <w:div w:id="1118453765">
          <w:marLeft w:val="0"/>
          <w:marRight w:val="0"/>
          <w:marTop w:val="0"/>
          <w:marBottom w:val="0"/>
          <w:divBdr>
            <w:top w:val="none" w:sz="0" w:space="0" w:color="auto"/>
            <w:left w:val="none" w:sz="0" w:space="0" w:color="auto"/>
            <w:bottom w:val="none" w:sz="0" w:space="0" w:color="auto"/>
            <w:right w:val="none" w:sz="0" w:space="0" w:color="auto"/>
          </w:divBdr>
          <w:divsChild>
            <w:div w:id="14887734">
              <w:marLeft w:val="0"/>
              <w:marRight w:val="0"/>
              <w:marTop w:val="0"/>
              <w:marBottom w:val="0"/>
              <w:divBdr>
                <w:top w:val="none" w:sz="0" w:space="0" w:color="auto"/>
                <w:left w:val="none" w:sz="0" w:space="0" w:color="auto"/>
                <w:bottom w:val="none" w:sz="0" w:space="0" w:color="auto"/>
                <w:right w:val="none" w:sz="0" w:space="0" w:color="auto"/>
              </w:divBdr>
            </w:div>
            <w:div w:id="899749879">
              <w:marLeft w:val="0"/>
              <w:marRight w:val="0"/>
              <w:marTop w:val="0"/>
              <w:marBottom w:val="0"/>
              <w:divBdr>
                <w:top w:val="none" w:sz="0" w:space="0" w:color="auto"/>
                <w:left w:val="none" w:sz="0" w:space="0" w:color="auto"/>
                <w:bottom w:val="none" w:sz="0" w:space="0" w:color="auto"/>
                <w:right w:val="none" w:sz="0" w:space="0" w:color="auto"/>
              </w:divBdr>
            </w:div>
            <w:div w:id="1821338553">
              <w:marLeft w:val="0"/>
              <w:marRight w:val="0"/>
              <w:marTop w:val="0"/>
              <w:marBottom w:val="0"/>
              <w:divBdr>
                <w:top w:val="none" w:sz="0" w:space="0" w:color="auto"/>
                <w:left w:val="none" w:sz="0" w:space="0" w:color="auto"/>
                <w:bottom w:val="none" w:sz="0" w:space="0" w:color="auto"/>
                <w:right w:val="none" w:sz="0" w:space="0" w:color="auto"/>
              </w:divBdr>
            </w:div>
            <w:div w:id="2079089017">
              <w:marLeft w:val="0"/>
              <w:marRight w:val="0"/>
              <w:marTop w:val="0"/>
              <w:marBottom w:val="0"/>
              <w:divBdr>
                <w:top w:val="none" w:sz="0" w:space="0" w:color="auto"/>
                <w:left w:val="none" w:sz="0" w:space="0" w:color="auto"/>
                <w:bottom w:val="none" w:sz="0" w:space="0" w:color="auto"/>
                <w:right w:val="none" w:sz="0" w:space="0" w:color="auto"/>
              </w:divBdr>
              <w:divsChild>
                <w:div w:id="15283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3019">
          <w:marLeft w:val="0"/>
          <w:marRight w:val="0"/>
          <w:marTop w:val="0"/>
          <w:marBottom w:val="0"/>
          <w:divBdr>
            <w:top w:val="none" w:sz="0" w:space="0" w:color="auto"/>
            <w:left w:val="none" w:sz="0" w:space="0" w:color="auto"/>
            <w:bottom w:val="none" w:sz="0" w:space="0" w:color="auto"/>
            <w:right w:val="none" w:sz="0" w:space="0" w:color="auto"/>
          </w:divBdr>
          <w:divsChild>
            <w:div w:id="13775117">
              <w:marLeft w:val="0"/>
              <w:marRight w:val="0"/>
              <w:marTop w:val="0"/>
              <w:marBottom w:val="0"/>
              <w:divBdr>
                <w:top w:val="none" w:sz="0" w:space="0" w:color="auto"/>
                <w:left w:val="none" w:sz="0" w:space="0" w:color="auto"/>
                <w:bottom w:val="none" w:sz="0" w:space="0" w:color="auto"/>
                <w:right w:val="none" w:sz="0" w:space="0" w:color="auto"/>
              </w:divBdr>
            </w:div>
            <w:div w:id="284582301">
              <w:marLeft w:val="0"/>
              <w:marRight w:val="0"/>
              <w:marTop w:val="0"/>
              <w:marBottom w:val="0"/>
              <w:divBdr>
                <w:top w:val="none" w:sz="0" w:space="0" w:color="auto"/>
                <w:left w:val="none" w:sz="0" w:space="0" w:color="auto"/>
                <w:bottom w:val="none" w:sz="0" w:space="0" w:color="auto"/>
                <w:right w:val="none" w:sz="0" w:space="0" w:color="auto"/>
              </w:divBdr>
            </w:div>
            <w:div w:id="553810996">
              <w:marLeft w:val="0"/>
              <w:marRight w:val="0"/>
              <w:marTop w:val="0"/>
              <w:marBottom w:val="0"/>
              <w:divBdr>
                <w:top w:val="none" w:sz="0" w:space="0" w:color="auto"/>
                <w:left w:val="none" w:sz="0" w:space="0" w:color="auto"/>
                <w:bottom w:val="none" w:sz="0" w:space="0" w:color="auto"/>
                <w:right w:val="none" w:sz="0" w:space="0" w:color="auto"/>
              </w:divBdr>
              <w:divsChild>
                <w:div w:id="1929535736">
                  <w:marLeft w:val="0"/>
                  <w:marRight w:val="0"/>
                  <w:marTop w:val="0"/>
                  <w:marBottom w:val="0"/>
                  <w:divBdr>
                    <w:top w:val="none" w:sz="0" w:space="0" w:color="auto"/>
                    <w:left w:val="none" w:sz="0" w:space="0" w:color="auto"/>
                    <w:bottom w:val="none" w:sz="0" w:space="0" w:color="auto"/>
                    <w:right w:val="none" w:sz="0" w:space="0" w:color="auto"/>
                  </w:divBdr>
                </w:div>
              </w:divsChild>
            </w:div>
            <w:div w:id="2063946787">
              <w:marLeft w:val="0"/>
              <w:marRight w:val="0"/>
              <w:marTop w:val="0"/>
              <w:marBottom w:val="0"/>
              <w:divBdr>
                <w:top w:val="none" w:sz="0" w:space="0" w:color="auto"/>
                <w:left w:val="none" w:sz="0" w:space="0" w:color="auto"/>
                <w:bottom w:val="none" w:sz="0" w:space="0" w:color="auto"/>
                <w:right w:val="none" w:sz="0" w:space="0" w:color="auto"/>
              </w:divBdr>
            </w:div>
          </w:divsChild>
        </w:div>
        <w:div w:id="1645701538">
          <w:marLeft w:val="0"/>
          <w:marRight w:val="0"/>
          <w:marTop w:val="0"/>
          <w:marBottom w:val="0"/>
          <w:divBdr>
            <w:top w:val="none" w:sz="0" w:space="0" w:color="auto"/>
            <w:left w:val="none" w:sz="0" w:space="0" w:color="auto"/>
            <w:bottom w:val="none" w:sz="0" w:space="0" w:color="auto"/>
            <w:right w:val="none" w:sz="0" w:space="0" w:color="auto"/>
          </w:divBdr>
          <w:divsChild>
            <w:div w:id="864711457">
              <w:marLeft w:val="0"/>
              <w:marRight w:val="0"/>
              <w:marTop w:val="0"/>
              <w:marBottom w:val="0"/>
              <w:divBdr>
                <w:top w:val="none" w:sz="0" w:space="0" w:color="auto"/>
                <w:left w:val="none" w:sz="0" w:space="0" w:color="auto"/>
                <w:bottom w:val="none" w:sz="0" w:space="0" w:color="auto"/>
                <w:right w:val="none" w:sz="0" w:space="0" w:color="auto"/>
              </w:divBdr>
              <w:divsChild>
                <w:div w:id="1632973929">
                  <w:marLeft w:val="0"/>
                  <w:marRight w:val="0"/>
                  <w:marTop w:val="0"/>
                  <w:marBottom w:val="0"/>
                  <w:divBdr>
                    <w:top w:val="none" w:sz="0" w:space="0" w:color="auto"/>
                    <w:left w:val="none" w:sz="0" w:space="0" w:color="auto"/>
                    <w:bottom w:val="none" w:sz="0" w:space="0" w:color="auto"/>
                    <w:right w:val="none" w:sz="0" w:space="0" w:color="auto"/>
                  </w:divBdr>
                </w:div>
              </w:divsChild>
            </w:div>
            <w:div w:id="1144928563">
              <w:marLeft w:val="0"/>
              <w:marRight w:val="0"/>
              <w:marTop w:val="0"/>
              <w:marBottom w:val="0"/>
              <w:divBdr>
                <w:top w:val="none" w:sz="0" w:space="0" w:color="auto"/>
                <w:left w:val="none" w:sz="0" w:space="0" w:color="auto"/>
                <w:bottom w:val="none" w:sz="0" w:space="0" w:color="auto"/>
                <w:right w:val="none" w:sz="0" w:space="0" w:color="auto"/>
              </w:divBdr>
            </w:div>
            <w:div w:id="1452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50111">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419056835">
      <w:bodyDiv w:val="1"/>
      <w:marLeft w:val="0"/>
      <w:marRight w:val="0"/>
      <w:marTop w:val="0"/>
      <w:marBottom w:val="0"/>
      <w:divBdr>
        <w:top w:val="none" w:sz="0" w:space="0" w:color="auto"/>
        <w:left w:val="none" w:sz="0" w:space="0" w:color="auto"/>
        <w:bottom w:val="none" w:sz="0" w:space="0" w:color="auto"/>
        <w:right w:val="none" w:sz="0" w:space="0" w:color="auto"/>
      </w:divBdr>
    </w:div>
    <w:div w:id="1424837598">
      <w:bodyDiv w:val="1"/>
      <w:marLeft w:val="0"/>
      <w:marRight w:val="0"/>
      <w:marTop w:val="0"/>
      <w:marBottom w:val="0"/>
      <w:divBdr>
        <w:top w:val="none" w:sz="0" w:space="0" w:color="auto"/>
        <w:left w:val="none" w:sz="0" w:space="0" w:color="auto"/>
        <w:bottom w:val="none" w:sz="0" w:space="0" w:color="auto"/>
        <w:right w:val="none" w:sz="0" w:space="0" w:color="auto"/>
      </w:divBdr>
      <w:divsChild>
        <w:div w:id="990254668">
          <w:marLeft w:val="0"/>
          <w:marRight w:val="0"/>
          <w:marTop w:val="0"/>
          <w:marBottom w:val="0"/>
          <w:divBdr>
            <w:top w:val="none" w:sz="0" w:space="0" w:color="auto"/>
            <w:left w:val="none" w:sz="0" w:space="0" w:color="auto"/>
            <w:bottom w:val="none" w:sz="0" w:space="0" w:color="auto"/>
            <w:right w:val="none" w:sz="0" w:space="0" w:color="auto"/>
          </w:divBdr>
        </w:div>
        <w:div w:id="1034160081">
          <w:marLeft w:val="0"/>
          <w:marRight w:val="0"/>
          <w:marTop w:val="0"/>
          <w:marBottom w:val="0"/>
          <w:divBdr>
            <w:top w:val="none" w:sz="0" w:space="0" w:color="auto"/>
            <w:left w:val="none" w:sz="0" w:space="0" w:color="auto"/>
            <w:bottom w:val="none" w:sz="0" w:space="0" w:color="auto"/>
            <w:right w:val="none" w:sz="0" w:space="0" w:color="auto"/>
          </w:divBdr>
          <w:divsChild>
            <w:div w:id="1589387551">
              <w:marLeft w:val="0"/>
              <w:marRight w:val="0"/>
              <w:marTop w:val="0"/>
              <w:marBottom w:val="0"/>
              <w:divBdr>
                <w:top w:val="none" w:sz="0" w:space="0" w:color="auto"/>
                <w:left w:val="none" w:sz="0" w:space="0" w:color="auto"/>
                <w:bottom w:val="none" w:sz="0" w:space="0" w:color="auto"/>
                <w:right w:val="none" w:sz="0" w:space="0" w:color="auto"/>
              </w:divBdr>
            </w:div>
          </w:divsChild>
        </w:div>
        <w:div w:id="2057699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fr/document/executive-summary-review-freshwater-fish"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sites/default/files/document/inf_33_freshwater_fish_eonly_0.pdf" TargetMode="External"/><Relationship Id="rId25" Type="http://schemas.openxmlformats.org/officeDocument/2006/relationships/hyperlink" Target="https://www.cms.int/fr/document/review-freshwater-fish"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cms.int/fr/document/migratory-freshwater-fish"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MediaLengthInSeconds xmlns="a7b50396-0b06-45c1-b28e-46f86d566a10" xsi:nil="true"/>
    <SharedWithUsers xmlns="c15478a5-0be8-4f5d-8383-b307d5ba8bf6">
      <UserInfo>
        <DisplayName>Andrea Pauly</DisplayName>
        <AccountId>15</AccountId>
        <AccountType/>
      </UserInfo>
      <UserInfo>
        <DisplayName>Jenny Renell</DisplayName>
        <AccountId>34</AccountId>
        <AccountType/>
      </UserInfo>
      <UserInfo>
        <DisplayName>Heidrun Frisch-Nwakanma</DisplayName>
        <AccountId>28</AccountId>
        <AccountType/>
      </UserInfo>
      <UserInfo>
        <DisplayName>Melanie Virtue</DisplayName>
        <AccountId>24</AccountId>
        <AccountType/>
      </UserInfo>
      <UserInfo>
        <DisplayName>Aydin Bahramlouian</DisplayName>
        <AccountId>29</AccountId>
        <AccountType/>
      </UserInfo>
    </SharedWithUsers>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Notes xmlns="a7b50396-0b06-45c1-b28e-46f86d566a10" xsi:nil="true"/>
    <Sent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F4D6B2E0-A983-4E00-92A5-9590D8E32781}">
  <ds:schemaRefs>
    <ds:schemaRef ds:uri="http://schemas.microsoft.com/office/2006/metadata/properties"/>
    <ds:schemaRef ds:uri="985ec44e-1bab-4c0b-9df0-6ba128686fc9"/>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documentManagement/types"/>
    <ds:schemaRef ds:uri="http://www.w3.org/XML/1998/namespace"/>
    <ds:schemaRef ds:uri="c15478a5-0be8-4f5d-8383-b307d5ba8bf6"/>
    <ds:schemaRef ds:uri="a7b50396-0b06-45c1-b28e-46f86d566a10"/>
    <ds:schemaRef ds:uri="http://purl.org/dc/dcmitype/"/>
  </ds:schemaRefs>
</ds:datastoreItem>
</file>

<file path=customXml/itemProps3.xml><?xml version="1.0" encoding="utf-8"?>
<ds:datastoreItem xmlns:ds="http://schemas.openxmlformats.org/officeDocument/2006/customXml" ds:itemID="{4CAC8B9A-9431-4E3A-A101-B0317690D244}"/>
</file>

<file path=customXml/itemProps4.xml><?xml version="1.0" encoding="utf-8"?>
<ds:datastoreItem xmlns:ds="http://schemas.openxmlformats.org/officeDocument/2006/customXml" ds:itemID="{F5668C51-6D13-42C1-955A-4357D1D2C5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CharactersWithSpaces>
  <SharedDoc>false</SharedDoc>
  <HLinks>
    <vt:vector size="24" baseType="variant">
      <vt:variant>
        <vt:i4>3604517</vt:i4>
      </vt:variant>
      <vt:variant>
        <vt:i4>9</vt:i4>
      </vt:variant>
      <vt:variant>
        <vt:i4>0</vt:i4>
      </vt:variant>
      <vt:variant>
        <vt:i4>5</vt:i4>
      </vt:variant>
      <vt:variant>
        <vt:lpwstr>https://www.cms.int/en/document/review-freshwater-fish</vt:lpwstr>
      </vt:variant>
      <vt:variant>
        <vt:lpwstr/>
      </vt:variant>
      <vt:variant>
        <vt:i4>5898330</vt:i4>
      </vt:variant>
      <vt:variant>
        <vt:i4>6</vt:i4>
      </vt:variant>
      <vt:variant>
        <vt:i4>0</vt:i4>
      </vt:variant>
      <vt:variant>
        <vt:i4>5</vt:i4>
      </vt:variant>
      <vt:variant>
        <vt:lpwstr>https://www.cms.int/en/document/migratory-freshwater-fish</vt:lpwstr>
      </vt:variant>
      <vt:variant>
        <vt:lpwstr/>
      </vt:variant>
      <vt:variant>
        <vt:i4>4456538</vt:i4>
      </vt:variant>
      <vt:variant>
        <vt:i4>3</vt:i4>
      </vt:variant>
      <vt:variant>
        <vt:i4>0</vt:i4>
      </vt:variant>
      <vt:variant>
        <vt:i4>5</vt:i4>
      </vt:variant>
      <vt:variant>
        <vt:lpwstr>https://www.cms.int/en/document/executive-summary-review-freshwater-fish</vt:lpwstr>
      </vt:variant>
      <vt:variant>
        <vt:lpwstr/>
      </vt:variant>
      <vt:variant>
        <vt:i4>4784233</vt:i4>
      </vt:variant>
      <vt:variant>
        <vt:i4>0</vt:i4>
      </vt:variant>
      <vt:variant>
        <vt:i4>0</vt:i4>
      </vt:variant>
      <vt:variant>
        <vt:i4>5</vt:i4>
      </vt:variant>
      <vt:variant>
        <vt:lpwstr>https://www.cms.int/sites/default/files/document/inf_33_freshwater_fish_eonly_0.pdf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cp:lastPrinted>2019-09-19T20:54:00Z</cp:lastPrinted>
  <dcterms:created xsi:type="dcterms:W3CDTF">2023-11-27T08:33:00Z</dcterms:created>
  <dcterms:modified xsi:type="dcterms:W3CDTF">2024-02-02T09:08:00Z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TaxKeyword">
    <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